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5885F" w14:textId="77777777" w:rsidR="00754C9A" w:rsidRDefault="00754C9A" w:rsidP="00441B6F">
      <w:pPr>
        <w:pStyle w:val="Title"/>
        <w:spacing w:after="0"/>
        <w:jc w:val="both"/>
        <w:rPr>
          <w:rFonts w:ascii="Arial" w:hAnsi="Arial" w:cs="Arial"/>
        </w:rPr>
      </w:pPr>
    </w:p>
    <w:p w14:paraId="473C1444" w14:textId="77777777" w:rsidR="00D420BC" w:rsidRDefault="00D420BC" w:rsidP="006869A8">
      <w:pPr>
        <w:pStyle w:val="Author"/>
        <w:spacing w:line="240" w:lineRule="auto"/>
        <w:rPr>
          <w:rFonts w:ascii="Arial" w:hAnsi="Arial" w:cs="Arial"/>
          <w:bCs/>
          <w:iCs/>
          <w:kern w:val="28"/>
          <w:sz w:val="36"/>
        </w:rPr>
      </w:pPr>
      <w:r w:rsidRPr="00D420BC">
        <w:rPr>
          <w:rFonts w:ascii="Arial" w:hAnsi="Arial" w:cs="Arial"/>
          <w:bCs/>
          <w:iCs/>
          <w:kern w:val="28"/>
          <w:sz w:val="36"/>
        </w:rPr>
        <w:t xml:space="preserve">Original Research Article </w:t>
      </w:r>
    </w:p>
    <w:p w14:paraId="29359D0D" w14:textId="28A7C4F8" w:rsidR="00A258C3" w:rsidRDefault="006869A8" w:rsidP="006869A8">
      <w:pPr>
        <w:pStyle w:val="Author"/>
        <w:spacing w:line="240" w:lineRule="auto"/>
        <w:rPr>
          <w:rFonts w:ascii="Arial" w:hAnsi="Arial" w:cs="Arial"/>
          <w:bCs/>
          <w:iCs/>
          <w:kern w:val="28"/>
          <w:sz w:val="36"/>
        </w:rPr>
      </w:pPr>
      <w:r w:rsidRPr="006869A8">
        <w:rPr>
          <w:rFonts w:ascii="Arial" w:hAnsi="Arial" w:cs="Arial"/>
          <w:bCs/>
          <w:iCs/>
          <w:kern w:val="28"/>
          <w:sz w:val="36"/>
        </w:rPr>
        <w:t xml:space="preserve">Perceptions and Determinants of Credit Service Use among Residents: A Case Study of Kampong Cham Commune, </w:t>
      </w:r>
      <w:proofErr w:type="spellStart"/>
      <w:r w:rsidRPr="006869A8">
        <w:rPr>
          <w:rFonts w:ascii="Arial" w:hAnsi="Arial" w:cs="Arial"/>
          <w:bCs/>
          <w:iCs/>
          <w:kern w:val="28"/>
          <w:sz w:val="36"/>
        </w:rPr>
        <w:t>Sambour</w:t>
      </w:r>
      <w:proofErr w:type="spellEnd"/>
      <w:r w:rsidRPr="006869A8">
        <w:rPr>
          <w:rFonts w:ascii="Arial" w:hAnsi="Arial" w:cs="Arial"/>
          <w:bCs/>
          <w:iCs/>
          <w:kern w:val="28"/>
          <w:sz w:val="36"/>
        </w:rPr>
        <w:t xml:space="preserve"> District, </w:t>
      </w:r>
      <w:proofErr w:type="spellStart"/>
      <w:r w:rsidRPr="006869A8">
        <w:rPr>
          <w:rFonts w:ascii="Arial" w:hAnsi="Arial" w:cs="Arial"/>
          <w:bCs/>
          <w:iCs/>
          <w:kern w:val="28"/>
          <w:sz w:val="36"/>
        </w:rPr>
        <w:t>Kratie</w:t>
      </w:r>
      <w:proofErr w:type="spellEnd"/>
      <w:r w:rsidRPr="006869A8">
        <w:rPr>
          <w:rFonts w:ascii="Arial" w:hAnsi="Arial" w:cs="Arial"/>
          <w:bCs/>
          <w:iCs/>
          <w:kern w:val="28"/>
          <w:sz w:val="36"/>
        </w:rPr>
        <w:t xml:space="preserve"> Province</w:t>
      </w:r>
    </w:p>
    <w:p w14:paraId="74484E71" w14:textId="77777777" w:rsidR="006869A8" w:rsidRPr="00790ADA" w:rsidRDefault="006869A8" w:rsidP="006869A8">
      <w:pPr>
        <w:pStyle w:val="Author"/>
        <w:spacing w:line="240" w:lineRule="auto"/>
        <w:rPr>
          <w:rFonts w:ascii="Arial" w:hAnsi="Arial" w:cs="Arial"/>
          <w:sz w:val="36"/>
        </w:rPr>
      </w:pPr>
    </w:p>
    <w:p w14:paraId="45EFB201" w14:textId="77777777" w:rsidR="00790ADA" w:rsidRDefault="00790ADA" w:rsidP="00441B6F">
      <w:pPr>
        <w:pStyle w:val="Affiliation"/>
        <w:spacing w:after="0" w:line="240" w:lineRule="auto"/>
        <w:jc w:val="both"/>
        <w:rPr>
          <w:rFonts w:ascii="Arial" w:hAnsi="Arial" w:cs="Arial"/>
        </w:rPr>
      </w:pPr>
    </w:p>
    <w:p w14:paraId="178CB0A6" w14:textId="77777777" w:rsidR="002C57D2" w:rsidRPr="00FB3A86" w:rsidRDefault="002C57D2" w:rsidP="00441B6F">
      <w:pPr>
        <w:pStyle w:val="Affiliation"/>
        <w:spacing w:after="0" w:line="240" w:lineRule="auto"/>
        <w:jc w:val="both"/>
        <w:rPr>
          <w:rFonts w:ascii="Arial" w:hAnsi="Arial" w:cs="Arial"/>
        </w:rPr>
      </w:pPr>
    </w:p>
    <w:p w14:paraId="0B619372" w14:textId="77777777" w:rsidR="00B01FCD" w:rsidRPr="00FB3A86" w:rsidRDefault="00F13544" w:rsidP="00441B6F">
      <w:pPr>
        <w:pStyle w:val="Copyright"/>
        <w:spacing w:after="0" w:line="240" w:lineRule="auto"/>
        <w:jc w:val="both"/>
        <w:rPr>
          <w:rFonts w:ascii="Arial" w:hAnsi="Arial" w:cs="Arial"/>
        </w:rPr>
        <w:sectPr w:rsidR="00B01FCD" w:rsidRPr="00FB3A86" w:rsidSect="00AD6EF9">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Pr>
          <w:rFonts w:ascii="Arial" w:hAnsi="Arial" w:cs="Arial"/>
        </w:rPr>
      </w:r>
      <w:r>
        <w:rPr>
          <w:rFonts w:ascii="Arial" w:hAnsi="Arial" w:cs="Arial"/>
        </w:rPr>
        <w:pict w14:anchorId="0E371FF6">
          <v:shapetype id="_x0000_t32" coordsize="21600,21600" o:spt="32" o:oned="t" path="m,l21600,21600e" filled="f">
            <v:path arrowok="t" fillok="f" o:connecttype="none"/>
            <o:lock v:ext="edit" shapetype="t"/>
          </v:shapetype>
          <v:shape id="_x0000_s104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62264D" w14:textId="35BB3E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64200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3808E15D" w14:textId="77777777" w:rsidTr="001E44FE">
        <w:tc>
          <w:tcPr>
            <w:tcW w:w="9576" w:type="dxa"/>
            <w:shd w:val="clear" w:color="auto" w:fill="F2F2F2"/>
          </w:tcPr>
          <w:p w14:paraId="3F29799A" w14:textId="77777777" w:rsidR="006869A8" w:rsidRDefault="006869A8" w:rsidP="00441B6F">
            <w:pPr>
              <w:pStyle w:val="Body"/>
              <w:spacing w:after="0"/>
              <w:rPr>
                <w:rFonts w:ascii="Arial" w:eastAsia="Calibri" w:hAnsi="Arial" w:cs="Arial"/>
                <w:bCs/>
                <w:szCs w:val="22"/>
              </w:rPr>
            </w:pPr>
            <w:r w:rsidRPr="006869A8">
              <w:rPr>
                <w:rFonts w:ascii="Arial" w:eastAsia="Calibri" w:hAnsi="Arial" w:cs="Arial"/>
                <w:b/>
                <w:szCs w:val="22"/>
              </w:rPr>
              <w:t xml:space="preserve">Aims: </w:t>
            </w:r>
            <w:r w:rsidRPr="006869A8">
              <w:rPr>
                <w:rFonts w:ascii="Arial" w:eastAsia="Calibri" w:hAnsi="Arial" w:cs="Arial"/>
                <w:bCs/>
                <w:szCs w:val="22"/>
              </w:rPr>
              <w:t xml:space="preserve">This study examined the perceptions and factors that determine the use of credit services by 111 farming households in Kampong Cham commune, </w:t>
            </w:r>
            <w:proofErr w:type="spellStart"/>
            <w:r w:rsidRPr="006869A8">
              <w:rPr>
                <w:rFonts w:ascii="Arial" w:eastAsia="Calibri" w:hAnsi="Arial" w:cs="Arial"/>
                <w:bCs/>
                <w:szCs w:val="22"/>
              </w:rPr>
              <w:t>Sambour</w:t>
            </w:r>
            <w:proofErr w:type="spellEnd"/>
            <w:r w:rsidRPr="006869A8">
              <w:rPr>
                <w:rFonts w:ascii="Arial" w:eastAsia="Calibri" w:hAnsi="Arial" w:cs="Arial"/>
                <w:bCs/>
                <w:szCs w:val="22"/>
              </w:rPr>
              <w:t xml:space="preserve"> district, </w:t>
            </w:r>
            <w:proofErr w:type="spellStart"/>
            <w:r w:rsidRPr="006869A8">
              <w:rPr>
                <w:rFonts w:ascii="Arial" w:eastAsia="Calibri" w:hAnsi="Arial" w:cs="Arial"/>
                <w:bCs/>
                <w:szCs w:val="22"/>
              </w:rPr>
              <w:t>Kratie</w:t>
            </w:r>
            <w:proofErr w:type="spellEnd"/>
            <w:r w:rsidRPr="006869A8">
              <w:rPr>
                <w:rFonts w:ascii="Arial" w:eastAsia="Calibri" w:hAnsi="Arial" w:cs="Arial"/>
                <w:bCs/>
                <w:szCs w:val="22"/>
              </w:rPr>
              <w:t xml:space="preserve"> province, Cambodia. </w:t>
            </w:r>
          </w:p>
          <w:p w14:paraId="226223A2" w14:textId="77777777" w:rsidR="006869A8" w:rsidRDefault="006869A8" w:rsidP="00441B6F">
            <w:pPr>
              <w:pStyle w:val="Body"/>
              <w:spacing w:after="0"/>
              <w:rPr>
                <w:rFonts w:ascii="Arial" w:eastAsia="Calibri" w:hAnsi="Arial" w:cs="Arial"/>
                <w:bCs/>
                <w:szCs w:val="22"/>
              </w:rPr>
            </w:pPr>
            <w:r>
              <w:rPr>
                <w:rFonts w:ascii="Arial" w:eastAsia="Calibri" w:hAnsi="Arial" w:cs="Arial"/>
                <w:b/>
                <w:szCs w:val="22"/>
              </w:rPr>
              <w:t>Method</w:t>
            </w:r>
            <w:r>
              <w:rPr>
                <w:rFonts w:ascii="Arial" w:eastAsia="Calibri" w:hAnsi="Arial" w:cs="Arial"/>
                <w:bCs/>
                <w:szCs w:val="22"/>
              </w:rPr>
              <w:t xml:space="preserve">: </w:t>
            </w:r>
            <w:r w:rsidRPr="006869A8">
              <w:rPr>
                <w:rFonts w:ascii="Arial" w:eastAsia="Calibri" w:hAnsi="Arial" w:cs="Arial"/>
                <w:bCs/>
                <w:szCs w:val="22"/>
              </w:rPr>
              <w:t>Data collected from four villages (</w:t>
            </w:r>
            <w:proofErr w:type="spellStart"/>
            <w:r w:rsidRPr="006869A8">
              <w:rPr>
                <w:rFonts w:ascii="Arial" w:eastAsia="Calibri" w:hAnsi="Arial" w:cs="Arial"/>
                <w:bCs/>
                <w:szCs w:val="22"/>
              </w:rPr>
              <w:t>Ampil</w:t>
            </w:r>
            <w:proofErr w:type="spellEnd"/>
            <w:r w:rsidRPr="006869A8">
              <w:rPr>
                <w:rFonts w:ascii="Arial" w:eastAsia="Calibri" w:hAnsi="Arial" w:cs="Arial"/>
                <w:bCs/>
                <w:szCs w:val="22"/>
              </w:rPr>
              <w:t xml:space="preserve"> </w:t>
            </w:r>
            <w:proofErr w:type="spellStart"/>
            <w:r w:rsidRPr="006869A8">
              <w:rPr>
                <w:rFonts w:ascii="Arial" w:eastAsia="Calibri" w:hAnsi="Arial" w:cs="Arial"/>
                <w:bCs/>
                <w:szCs w:val="22"/>
              </w:rPr>
              <w:t>Teuk</w:t>
            </w:r>
            <w:proofErr w:type="spellEnd"/>
            <w:r w:rsidRPr="006869A8">
              <w:rPr>
                <w:rFonts w:ascii="Arial" w:eastAsia="Calibri" w:hAnsi="Arial" w:cs="Arial"/>
                <w:bCs/>
                <w:szCs w:val="22"/>
              </w:rPr>
              <w:t xml:space="preserve">, </w:t>
            </w:r>
            <w:proofErr w:type="spellStart"/>
            <w:r w:rsidRPr="006869A8">
              <w:rPr>
                <w:rFonts w:ascii="Arial" w:eastAsia="Calibri" w:hAnsi="Arial" w:cs="Arial"/>
                <w:bCs/>
                <w:szCs w:val="22"/>
              </w:rPr>
              <w:t>Samphin</w:t>
            </w:r>
            <w:proofErr w:type="spellEnd"/>
            <w:r w:rsidRPr="006869A8">
              <w:rPr>
                <w:rFonts w:ascii="Arial" w:eastAsia="Calibri" w:hAnsi="Arial" w:cs="Arial"/>
                <w:bCs/>
                <w:szCs w:val="22"/>
              </w:rPr>
              <w:t xml:space="preserve">, </w:t>
            </w:r>
            <w:proofErr w:type="spellStart"/>
            <w:r w:rsidRPr="006869A8">
              <w:rPr>
                <w:rFonts w:ascii="Arial" w:eastAsia="Calibri" w:hAnsi="Arial" w:cs="Arial"/>
                <w:bCs/>
                <w:szCs w:val="22"/>
              </w:rPr>
              <w:t>Ajen</w:t>
            </w:r>
            <w:proofErr w:type="spellEnd"/>
            <w:r w:rsidRPr="006869A8">
              <w:rPr>
                <w:rFonts w:ascii="Arial" w:eastAsia="Calibri" w:hAnsi="Arial" w:cs="Arial"/>
                <w:bCs/>
                <w:szCs w:val="22"/>
              </w:rPr>
              <w:t xml:space="preserve">, and </w:t>
            </w:r>
            <w:proofErr w:type="spellStart"/>
            <w:r w:rsidRPr="006869A8">
              <w:rPr>
                <w:rFonts w:ascii="Arial" w:eastAsia="Calibri" w:hAnsi="Arial" w:cs="Arial"/>
                <w:bCs/>
                <w:szCs w:val="22"/>
              </w:rPr>
              <w:t>Tansong</w:t>
            </w:r>
            <w:proofErr w:type="spellEnd"/>
            <w:r w:rsidRPr="006869A8">
              <w:rPr>
                <w:rFonts w:ascii="Arial" w:eastAsia="Calibri" w:hAnsi="Arial" w:cs="Arial"/>
                <w:bCs/>
                <w:szCs w:val="22"/>
              </w:rPr>
              <w:t xml:space="preserve"> </w:t>
            </w:r>
            <w:proofErr w:type="spellStart"/>
            <w:r w:rsidRPr="006869A8">
              <w:rPr>
                <w:rFonts w:ascii="Arial" w:eastAsia="Calibri" w:hAnsi="Arial" w:cs="Arial"/>
                <w:bCs/>
                <w:szCs w:val="22"/>
              </w:rPr>
              <w:t>Paek</w:t>
            </w:r>
            <w:proofErr w:type="spellEnd"/>
            <w:r w:rsidRPr="006869A8">
              <w:rPr>
                <w:rFonts w:ascii="Arial" w:eastAsia="Calibri" w:hAnsi="Arial" w:cs="Arial"/>
                <w:bCs/>
                <w:szCs w:val="22"/>
              </w:rPr>
              <w:t xml:space="preserve">) showed that respondents had moderate understanding of credit services, with the strongest understanding of benefits and trust in financial institutions, but little understanding of credit terms, repayment terms, and associated risks. The main factors affecting the decision to borrow included family encouragement, lack of personal funds, flexible repayment terms, and ease of applying for credit, while interest rates and repayment terms had a lesser influence. Common problems included difficulty understanding credit contracts, insufficient access to financial data, and poor repayment plan design. </w:t>
            </w:r>
          </w:p>
          <w:p w14:paraId="144E327F" w14:textId="77777777" w:rsidR="006869A8" w:rsidRDefault="006869A8" w:rsidP="00441B6F">
            <w:pPr>
              <w:pStyle w:val="Body"/>
              <w:spacing w:after="0"/>
              <w:rPr>
                <w:rFonts w:ascii="Arial" w:eastAsia="Calibri" w:hAnsi="Arial" w:cs="Arial"/>
                <w:bCs/>
                <w:szCs w:val="22"/>
              </w:rPr>
            </w:pPr>
            <w:r>
              <w:rPr>
                <w:rFonts w:ascii="Arial" w:eastAsia="Calibri" w:hAnsi="Arial" w:cs="Arial"/>
                <w:b/>
                <w:szCs w:val="22"/>
              </w:rPr>
              <w:t xml:space="preserve">Results: </w:t>
            </w:r>
            <w:r w:rsidRPr="006869A8">
              <w:rPr>
                <w:rFonts w:ascii="Arial" w:eastAsia="Calibri" w:hAnsi="Arial" w:cs="Arial"/>
                <w:bCs/>
                <w:szCs w:val="22"/>
              </w:rPr>
              <w:t>The results of statistical analysis using one-way ANOVA showed that there were statistically significant differences in understanding and experience between income levels and villages, while occupation, education level, and age did not show statistically significant differences. However, gender showed statistically significant differences in understanding and challenges. The reliability of the research instrument was high (Cronbach’s α value between 0.81 and 0.90; overall α value = 0.86).</w:t>
            </w:r>
          </w:p>
          <w:p w14:paraId="63E3DFAD" w14:textId="62649F13" w:rsidR="00505F06" w:rsidRPr="006869A8" w:rsidRDefault="006869A8" w:rsidP="00441B6F">
            <w:pPr>
              <w:pStyle w:val="Body"/>
              <w:spacing w:after="0"/>
              <w:rPr>
                <w:rFonts w:ascii="Arial" w:eastAsia="Calibri" w:hAnsi="Arial" w:cs="Arial"/>
                <w:bCs/>
                <w:szCs w:val="22"/>
              </w:rPr>
            </w:pPr>
            <w:r w:rsidRPr="006869A8">
              <w:rPr>
                <w:rFonts w:ascii="Arial" w:eastAsia="Calibri" w:hAnsi="Arial" w:cs="Arial"/>
                <w:b/>
                <w:szCs w:val="22"/>
              </w:rPr>
              <w:t>Conclusion:</w:t>
            </w:r>
            <w:r w:rsidRPr="006869A8">
              <w:rPr>
                <w:rFonts w:ascii="Arial" w:eastAsia="Calibri" w:hAnsi="Arial" w:cs="Arial"/>
                <w:bCs/>
                <w:szCs w:val="22"/>
              </w:rPr>
              <w:t xml:space="preserve"> The results of the study highlight the need to implement specific financial education programs to increase understanding of credit terms, repayment management, and risk awareness, as well as to promote credit services that are more dignified and flexible to encourage responsible borrowing and strengthen financial resource capacity in rural Cambodia.</w:t>
            </w:r>
          </w:p>
        </w:tc>
      </w:tr>
    </w:tbl>
    <w:p w14:paraId="47BA8DBE" w14:textId="77777777" w:rsidR="00636EB2" w:rsidRDefault="00636EB2" w:rsidP="00441B6F">
      <w:pPr>
        <w:pStyle w:val="Body"/>
        <w:spacing w:after="0"/>
        <w:rPr>
          <w:rFonts w:ascii="Arial" w:hAnsi="Arial" w:cs="Arial"/>
          <w:i/>
        </w:rPr>
      </w:pPr>
    </w:p>
    <w:p w14:paraId="5ADC8D82" w14:textId="5A124762" w:rsidR="00A24E7E" w:rsidRDefault="00A24E7E" w:rsidP="00441B6F">
      <w:pPr>
        <w:pStyle w:val="Body"/>
        <w:spacing w:after="0"/>
        <w:rPr>
          <w:rFonts w:ascii="Arial" w:hAnsi="Arial" w:cs="Arial"/>
          <w:i/>
        </w:rPr>
      </w:pPr>
      <w:r>
        <w:rPr>
          <w:rFonts w:ascii="Arial" w:hAnsi="Arial" w:cs="Arial"/>
          <w:i/>
        </w:rPr>
        <w:t xml:space="preserve">Keywords: </w:t>
      </w:r>
      <w:r w:rsidR="006869A8" w:rsidRPr="006869A8">
        <w:rPr>
          <w:rFonts w:ascii="Arial" w:hAnsi="Arial" w:cs="Arial"/>
          <w:i/>
        </w:rPr>
        <w:t>Financial literacy; credit service use; borrowing behavior; rural households; socioeconomic factors; microfinance; Cambodia</w:t>
      </w:r>
    </w:p>
    <w:p w14:paraId="5A2DAC1C" w14:textId="77777777" w:rsidR="00790ADA" w:rsidRDefault="00790ADA" w:rsidP="00441B6F">
      <w:pPr>
        <w:pStyle w:val="Body"/>
        <w:spacing w:after="0"/>
        <w:rPr>
          <w:rFonts w:ascii="Arial" w:hAnsi="Arial" w:cs="Arial"/>
          <w:i/>
        </w:rPr>
      </w:pPr>
    </w:p>
    <w:p w14:paraId="6CAB6DDE" w14:textId="77777777" w:rsidR="006869A8" w:rsidRDefault="006869A8" w:rsidP="00441B6F">
      <w:pPr>
        <w:pStyle w:val="AbstHead"/>
        <w:spacing w:after="0"/>
        <w:jc w:val="both"/>
        <w:rPr>
          <w:rFonts w:ascii="Arial" w:hAnsi="Arial" w:cs="Arial"/>
        </w:rPr>
      </w:pPr>
    </w:p>
    <w:p w14:paraId="2409B5D8" w14:textId="65A1379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91F1F8" w14:textId="77777777" w:rsidR="00790ADA" w:rsidRPr="00FB3A86" w:rsidRDefault="00790ADA" w:rsidP="00441B6F">
      <w:pPr>
        <w:pStyle w:val="AbstHead"/>
        <w:spacing w:after="0"/>
        <w:jc w:val="both"/>
        <w:rPr>
          <w:rFonts w:ascii="Arial" w:hAnsi="Arial" w:cs="Arial"/>
        </w:rPr>
      </w:pPr>
    </w:p>
    <w:p w14:paraId="159D2F09" w14:textId="0844629C" w:rsidR="00790ADA" w:rsidRDefault="006869A8" w:rsidP="00441B6F">
      <w:pPr>
        <w:pStyle w:val="Body"/>
        <w:spacing w:after="0"/>
        <w:rPr>
          <w:rFonts w:ascii="Arial" w:hAnsi="Arial" w:cs="Arial"/>
        </w:rPr>
      </w:pPr>
      <w:r w:rsidRPr="006869A8">
        <w:rPr>
          <w:rFonts w:ascii="Arial" w:hAnsi="Arial" w:cs="Arial"/>
        </w:rPr>
        <w:t xml:space="preserve">Cambodia is a developing country with a growing but weak economy, where the financial sector has become a key driver for sustainable development and poverty reduction (Cambodia Development Resources Institute [CDRI], 2025). Over the past two decades, access to financial services has improved significantly, thanks to the rapid growth of microfinance institutions (MFIs), which provide credit, savings, and small investment opportunities to people and small enterprises, especially in rural areas (Taiwo et al., 2016). </w:t>
      </w:r>
      <w:r w:rsidRPr="006869A8">
        <w:rPr>
          <w:rFonts w:ascii="Arial" w:hAnsi="Arial" w:cs="Arial"/>
        </w:rPr>
        <w:lastRenderedPageBreak/>
        <w:t>These institutions play a key role in providing resources to expand businesses, develop agriculture, and increase household incomes, as well as helping rural communities to cope with external challenges such as epidemics, economic downturns, and natural disasters (Anurag et al., 2024). Microfinance has become a key tool for economic growth, inclusion, and social development in Cambodia, helping thousands of ethnic families move from subsistence livelihoods to small enterprises (Chantha et al., 2024). Despite these achievements, the financial well-being of many rural households remains weak due to limited understanding of credit management and repayment terms (</w:t>
      </w:r>
      <w:proofErr w:type="spellStart"/>
      <w:r w:rsidRPr="006869A8">
        <w:rPr>
          <w:rFonts w:ascii="Arial" w:hAnsi="Arial" w:cs="Arial"/>
        </w:rPr>
        <w:t>Kyeyune</w:t>
      </w:r>
      <w:proofErr w:type="spellEnd"/>
      <w:r w:rsidRPr="006869A8">
        <w:rPr>
          <w:rFonts w:ascii="Arial" w:hAnsi="Arial" w:cs="Arial"/>
        </w:rPr>
        <w:t xml:space="preserve"> &amp; </w:t>
      </w:r>
      <w:proofErr w:type="spellStart"/>
      <w:r w:rsidRPr="006869A8">
        <w:rPr>
          <w:rFonts w:ascii="Arial" w:hAnsi="Arial" w:cs="Arial"/>
        </w:rPr>
        <w:t>Ntayi</w:t>
      </w:r>
      <w:proofErr w:type="spellEnd"/>
      <w:r w:rsidRPr="006869A8">
        <w:rPr>
          <w:rFonts w:ascii="Arial" w:hAnsi="Arial" w:cs="Arial"/>
        </w:rPr>
        <w:t>, 2025). Rapid credit growth has not always been matched by high levels of financial literacy. This has led to borrowers misusing loans, not planning how to pay them back, and getting into more debt (Transparency International Cambodia, 2021). Financial literacy, which includes the knowledge, attitudes, and behaviors necessary for effective financial decision-making, is a key factor in personal and national economic stability (</w:t>
      </w:r>
      <w:proofErr w:type="spellStart"/>
      <w:r w:rsidRPr="006869A8">
        <w:rPr>
          <w:rFonts w:ascii="Arial" w:hAnsi="Arial" w:cs="Arial"/>
        </w:rPr>
        <w:t>Katnic</w:t>
      </w:r>
      <w:proofErr w:type="spellEnd"/>
      <w:r w:rsidRPr="006869A8">
        <w:rPr>
          <w:rFonts w:ascii="Arial" w:hAnsi="Arial" w:cs="Arial"/>
        </w:rPr>
        <w:t xml:space="preserve"> et al., 2024). Financially literate individuals are better able to budget, manage savings, assess borrowing risks, and avoid over-indebtedness (Lusardi &amp; Mitchell, 2014; Uy et al., 2024). At the community level, improving financial literacy can foster participation in the formal financial system and increase trust, reducing reliance on illegal moneylenders, many of whom charge high interest rates (Das, 2024). Previous studies have shown a strong relationship between financial literacy, educational level, household income, and social capital (Chakrabarty, 2012; Zhao &amp; Li, 2021). These results suggest that the ability to make effective borrowing decisions depends not only on access to financial institutions but also on personal knowledge, social environment, and confidence in repayment ability. Recognizing this, researchers and policymakers have focused on developing specific financial education programs, community training activities, and the practice of providing credit in a dignified manner to ensure effective financial outcomes and support sustainable economic development (UNCDF, 2020; MEF, 2022; </w:t>
      </w:r>
      <w:proofErr w:type="spellStart"/>
      <w:r w:rsidRPr="006869A8">
        <w:rPr>
          <w:rFonts w:ascii="Arial" w:hAnsi="Arial" w:cs="Arial"/>
        </w:rPr>
        <w:t>Zeqiraj</w:t>
      </w:r>
      <w:proofErr w:type="spellEnd"/>
      <w:r w:rsidRPr="006869A8">
        <w:rPr>
          <w:rFonts w:ascii="Arial" w:hAnsi="Arial" w:cs="Arial"/>
        </w:rPr>
        <w:t xml:space="preserve"> et al., 2022). In Cambodia, especially in </w:t>
      </w:r>
      <w:proofErr w:type="spellStart"/>
      <w:r w:rsidRPr="006869A8">
        <w:rPr>
          <w:rFonts w:ascii="Arial" w:hAnsi="Arial" w:cs="Arial"/>
        </w:rPr>
        <w:t>Kratie</w:t>
      </w:r>
      <w:proofErr w:type="spellEnd"/>
      <w:r w:rsidRPr="006869A8">
        <w:rPr>
          <w:rFonts w:ascii="Arial" w:hAnsi="Arial" w:cs="Arial"/>
        </w:rPr>
        <w:t xml:space="preserve"> province, low financial literacy remains a major obstacle to effective use of credit services (Uy &amp; Flores, 2024). Many clients do not fully understand the term “credit,” interest rates, and repayment schedules, while some use the borrowed money for purposes other than the original purpose (Bucks &amp; Pence, 2008). These behaviors not only reduce the value of credit services but also significantly increase the risk of chronic debt for rural households. Therefore, this study, titled “Perceptions and Factors Determining the Use of Credit Services by Citizens: A Case Study of Kampong Cham Commune, </w:t>
      </w:r>
      <w:proofErr w:type="spellStart"/>
      <w:r w:rsidRPr="006869A8">
        <w:rPr>
          <w:rFonts w:ascii="Arial" w:hAnsi="Arial" w:cs="Arial"/>
        </w:rPr>
        <w:t>Sambour</w:t>
      </w:r>
      <w:proofErr w:type="spellEnd"/>
      <w:r w:rsidRPr="006869A8">
        <w:rPr>
          <w:rFonts w:ascii="Arial" w:hAnsi="Arial" w:cs="Arial"/>
        </w:rPr>
        <w:t xml:space="preserve"> District, </w:t>
      </w:r>
      <w:proofErr w:type="spellStart"/>
      <w:r w:rsidRPr="006869A8">
        <w:rPr>
          <w:rFonts w:ascii="Arial" w:hAnsi="Arial" w:cs="Arial"/>
        </w:rPr>
        <w:t>Kratie</w:t>
      </w:r>
      <w:proofErr w:type="spellEnd"/>
      <w:r w:rsidRPr="006869A8">
        <w:rPr>
          <w:rFonts w:ascii="Arial" w:hAnsi="Arial" w:cs="Arial"/>
        </w:rPr>
        <w:t xml:space="preserve"> Province,” aims to assess citizens’ perceptions of credit services, the factors that motivate them to use these services, and the barriers they face. This study aims to measure the level of rural households' awareness towards credit services, identify key socio-economic, and institutional factors that affect their borrowing decisions, and understand the challenges they face and their coping strategies.</w:t>
      </w:r>
    </w:p>
    <w:p w14:paraId="73633613" w14:textId="77777777" w:rsidR="006869A8" w:rsidRPr="00FB3A86" w:rsidRDefault="006869A8" w:rsidP="00441B6F">
      <w:pPr>
        <w:pStyle w:val="Body"/>
        <w:spacing w:after="0"/>
        <w:rPr>
          <w:rFonts w:ascii="Arial" w:hAnsi="Arial" w:cs="Arial"/>
        </w:rPr>
      </w:pPr>
    </w:p>
    <w:p w14:paraId="5C14077A" w14:textId="7CB9829D" w:rsidR="00E66E10" w:rsidRDefault="00902823" w:rsidP="006869A8">
      <w:pPr>
        <w:pStyle w:val="AbstHead"/>
        <w:spacing w:after="0"/>
        <w:jc w:val="both"/>
        <w:rPr>
          <w:rFonts w:ascii="Arial" w:hAnsi="Arial" w:cs="Arial"/>
        </w:rPr>
      </w:pPr>
      <w:r>
        <w:rPr>
          <w:rFonts w:ascii="Arial" w:hAnsi="Arial" w:cs="Arial"/>
        </w:rPr>
        <w:t>2. method</w:t>
      </w:r>
      <w:r w:rsidR="00000F8F">
        <w:rPr>
          <w:rFonts w:ascii="Arial" w:hAnsi="Arial" w:cs="Arial"/>
        </w:rPr>
        <w:t xml:space="preserve">s </w:t>
      </w:r>
    </w:p>
    <w:p w14:paraId="076FBFD2" w14:textId="77777777" w:rsidR="00790ADA" w:rsidRPr="00FB3A86" w:rsidRDefault="00790ADA" w:rsidP="00441B6F">
      <w:pPr>
        <w:pStyle w:val="Body"/>
        <w:spacing w:after="0"/>
        <w:rPr>
          <w:rFonts w:ascii="Arial" w:hAnsi="Arial" w:cs="Arial"/>
        </w:rPr>
      </w:pPr>
    </w:p>
    <w:p w14:paraId="51EB6104" w14:textId="77777777" w:rsidR="006869A8" w:rsidRDefault="00AA74E0" w:rsidP="00441B6F">
      <w:pPr>
        <w:pStyle w:val="Body"/>
        <w:spacing w:after="0"/>
        <w:rPr>
          <w:rFonts w:ascii="Arial" w:hAnsi="Arial" w:cs="Arial"/>
          <w:b/>
          <w:sz w:val="22"/>
        </w:rPr>
      </w:pPr>
      <w:r w:rsidRPr="00C30A0F">
        <w:rPr>
          <w:rFonts w:ascii="Arial" w:hAnsi="Arial" w:cs="Arial"/>
          <w:b/>
          <w:caps/>
          <w:sz w:val="22"/>
        </w:rPr>
        <w:t xml:space="preserve">2.1 </w:t>
      </w:r>
      <w:r w:rsidR="006869A8">
        <w:rPr>
          <w:rFonts w:ascii="Arial" w:hAnsi="Arial" w:cs="Arial"/>
          <w:b/>
          <w:sz w:val="22"/>
        </w:rPr>
        <w:t>Study Area</w:t>
      </w:r>
    </w:p>
    <w:p w14:paraId="260AF53F" w14:textId="77777777" w:rsidR="006869A8" w:rsidRPr="006869A8" w:rsidRDefault="006869A8" w:rsidP="006869A8">
      <w:pPr>
        <w:pStyle w:val="Body"/>
        <w:rPr>
          <w:rFonts w:ascii="Arial" w:hAnsi="Arial" w:cs="Arial"/>
        </w:rPr>
      </w:pPr>
      <w:r w:rsidRPr="006869A8">
        <w:rPr>
          <w:rFonts w:ascii="Arial" w:hAnsi="Arial" w:cs="Arial"/>
        </w:rPr>
        <w:t>Kampong Cham Commune is one of the five administrative communes (</w:t>
      </w:r>
      <w:proofErr w:type="spellStart"/>
      <w:r w:rsidRPr="006869A8">
        <w:rPr>
          <w:rFonts w:ascii="Arial" w:hAnsi="Arial" w:cs="Arial"/>
        </w:rPr>
        <w:t>sangkats</w:t>
      </w:r>
      <w:proofErr w:type="spellEnd"/>
      <w:r w:rsidRPr="006869A8">
        <w:rPr>
          <w:rFonts w:ascii="Arial" w:hAnsi="Arial" w:cs="Arial"/>
        </w:rPr>
        <w:t xml:space="preserve">) of </w:t>
      </w:r>
      <w:proofErr w:type="spellStart"/>
      <w:r w:rsidRPr="006869A8">
        <w:rPr>
          <w:rFonts w:ascii="Arial" w:hAnsi="Arial" w:cs="Arial"/>
        </w:rPr>
        <w:t>Sambour</w:t>
      </w:r>
      <w:proofErr w:type="spellEnd"/>
      <w:r w:rsidRPr="006869A8">
        <w:rPr>
          <w:rFonts w:ascii="Arial" w:hAnsi="Arial" w:cs="Arial"/>
        </w:rPr>
        <w:t xml:space="preserve"> District, </w:t>
      </w:r>
      <w:proofErr w:type="spellStart"/>
      <w:r w:rsidRPr="006869A8">
        <w:rPr>
          <w:rFonts w:ascii="Arial" w:hAnsi="Arial" w:cs="Arial"/>
        </w:rPr>
        <w:t>Kratie</w:t>
      </w:r>
      <w:proofErr w:type="spellEnd"/>
      <w:r w:rsidRPr="006869A8">
        <w:rPr>
          <w:rFonts w:ascii="Arial" w:hAnsi="Arial" w:cs="Arial"/>
        </w:rPr>
        <w:t xml:space="preserve"> Province, Cambodia. It is bordered by Sok Chit Commune of Kampong Thom Province to the west, </w:t>
      </w:r>
      <w:proofErr w:type="spellStart"/>
      <w:r w:rsidRPr="006869A8">
        <w:rPr>
          <w:rFonts w:ascii="Arial" w:hAnsi="Arial" w:cs="Arial"/>
        </w:rPr>
        <w:t>Boeung</w:t>
      </w:r>
      <w:proofErr w:type="spellEnd"/>
      <w:r w:rsidRPr="006869A8">
        <w:rPr>
          <w:rFonts w:ascii="Arial" w:hAnsi="Arial" w:cs="Arial"/>
        </w:rPr>
        <w:t xml:space="preserve"> Char and </w:t>
      </w:r>
      <w:proofErr w:type="spellStart"/>
      <w:r w:rsidRPr="006869A8">
        <w:rPr>
          <w:rFonts w:ascii="Arial" w:hAnsi="Arial" w:cs="Arial"/>
        </w:rPr>
        <w:t>Sambour</w:t>
      </w:r>
      <w:proofErr w:type="spellEnd"/>
      <w:r w:rsidRPr="006869A8">
        <w:rPr>
          <w:rFonts w:ascii="Arial" w:hAnsi="Arial" w:cs="Arial"/>
        </w:rPr>
        <w:t xml:space="preserve"> Communes to the east and north, and </w:t>
      </w:r>
      <w:proofErr w:type="spellStart"/>
      <w:r w:rsidRPr="006869A8">
        <w:rPr>
          <w:rFonts w:ascii="Arial" w:hAnsi="Arial" w:cs="Arial"/>
        </w:rPr>
        <w:t>Vathanak</w:t>
      </w:r>
      <w:proofErr w:type="spellEnd"/>
      <w:r w:rsidRPr="006869A8">
        <w:rPr>
          <w:rFonts w:ascii="Arial" w:hAnsi="Arial" w:cs="Arial"/>
        </w:rPr>
        <w:t xml:space="preserve"> Commune to the south. The commune has seven villages, but this study focused on only four villages: </w:t>
      </w:r>
      <w:proofErr w:type="spellStart"/>
      <w:r w:rsidRPr="006869A8">
        <w:rPr>
          <w:rFonts w:ascii="Arial" w:hAnsi="Arial" w:cs="Arial"/>
        </w:rPr>
        <w:t>Ampil</w:t>
      </w:r>
      <w:proofErr w:type="spellEnd"/>
      <w:r w:rsidRPr="006869A8">
        <w:rPr>
          <w:rFonts w:ascii="Arial" w:hAnsi="Arial" w:cs="Arial"/>
        </w:rPr>
        <w:t xml:space="preserve"> </w:t>
      </w:r>
      <w:proofErr w:type="spellStart"/>
      <w:r w:rsidRPr="006869A8">
        <w:rPr>
          <w:rFonts w:ascii="Arial" w:hAnsi="Arial" w:cs="Arial"/>
        </w:rPr>
        <w:t>Teuk</w:t>
      </w:r>
      <w:proofErr w:type="spellEnd"/>
      <w:r w:rsidRPr="006869A8">
        <w:rPr>
          <w:rFonts w:ascii="Arial" w:hAnsi="Arial" w:cs="Arial"/>
        </w:rPr>
        <w:t xml:space="preserve">, </w:t>
      </w:r>
      <w:proofErr w:type="spellStart"/>
      <w:r w:rsidRPr="006869A8">
        <w:rPr>
          <w:rFonts w:ascii="Arial" w:hAnsi="Arial" w:cs="Arial"/>
        </w:rPr>
        <w:t>Samphin</w:t>
      </w:r>
      <w:proofErr w:type="spellEnd"/>
      <w:r w:rsidRPr="006869A8">
        <w:rPr>
          <w:rFonts w:ascii="Arial" w:hAnsi="Arial" w:cs="Arial"/>
        </w:rPr>
        <w:t xml:space="preserve">, </w:t>
      </w:r>
      <w:proofErr w:type="spellStart"/>
      <w:r w:rsidRPr="006869A8">
        <w:rPr>
          <w:rFonts w:ascii="Arial" w:hAnsi="Arial" w:cs="Arial"/>
        </w:rPr>
        <w:t>Ajen</w:t>
      </w:r>
      <w:proofErr w:type="spellEnd"/>
      <w:r w:rsidRPr="006869A8">
        <w:rPr>
          <w:rFonts w:ascii="Arial" w:hAnsi="Arial" w:cs="Arial"/>
        </w:rPr>
        <w:t xml:space="preserve">, and </w:t>
      </w:r>
      <w:proofErr w:type="spellStart"/>
      <w:r w:rsidRPr="006869A8">
        <w:rPr>
          <w:rFonts w:ascii="Arial" w:hAnsi="Arial" w:cs="Arial"/>
        </w:rPr>
        <w:t>Tansong</w:t>
      </w:r>
      <w:proofErr w:type="spellEnd"/>
      <w:r w:rsidRPr="006869A8">
        <w:rPr>
          <w:rFonts w:ascii="Arial" w:hAnsi="Arial" w:cs="Arial"/>
        </w:rPr>
        <w:t xml:space="preserve"> </w:t>
      </w:r>
      <w:proofErr w:type="spellStart"/>
      <w:r w:rsidRPr="006869A8">
        <w:rPr>
          <w:rFonts w:ascii="Arial" w:hAnsi="Arial" w:cs="Arial"/>
        </w:rPr>
        <w:t>Paek</w:t>
      </w:r>
      <w:proofErr w:type="spellEnd"/>
      <w:r w:rsidRPr="006869A8">
        <w:rPr>
          <w:rFonts w:ascii="Arial" w:hAnsi="Arial" w:cs="Arial"/>
        </w:rPr>
        <w:t>, which are areas with widespread access to credit services. These areas were selected to represent the different geographical and socio-economic conditions in the commune. The study was conducted over a six-month period, from January to June 2025.</w:t>
      </w:r>
    </w:p>
    <w:p w14:paraId="0D6F3480" w14:textId="77777777" w:rsidR="006869A8" w:rsidRPr="00092AE9" w:rsidRDefault="006869A8" w:rsidP="00092AE9">
      <w:pPr>
        <w:pStyle w:val="Body"/>
        <w:spacing w:after="0"/>
        <w:rPr>
          <w:rFonts w:ascii="Arial" w:hAnsi="Arial" w:cs="Arial"/>
          <w:b/>
          <w:sz w:val="22"/>
        </w:rPr>
      </w:pPr>
      <w:r w:rsidRPr="00092AE9">
        <w:rPr>
          <w:rFonts w:ascii="Arial" w:hAnsi="Arial" w:cs="Arial"/>
          <w:b/>
          <w:sz w:val="22"/>
        </w:rPr>
        <w:t>2.2 Research Design</w:t>
      </w:r>
    </w:p>
    <w:p w14:paraId="651E8F5D" w14:textId="7E3DD854" w:rsidR="00AA74E0" w:rsidRDefault="006869A8" w:rsidP="006869A8">
      <w:pPr>
        <w:pStyle w:val="Body"/>
        <w:spacing w:after="0"/>
        <w:rPr>
          <w:rFonts w:ascii="Arial" w:hAnsi="Arial" w:cs="Arial"/>
        </w:rPr>
      </w:pPr>
      <w:r w:rsidRPr="006869A8">
        <w:rPr>
          <w:rFonts w:ascii="Arial" w:hAnsi="Arial" w:cs="Arial"/>
        </w:rPr>
        <w:lastRenderedPageBreak/>
        <w:t>A quantitative research design was applied to examine perceptions, influencing factors, and challenges related to credit service use among rural households. The quantitative approach was selected to enable objective measurement and statistical analysis of household responses, ensuring reliability and comparability across demographic groups.</w:t>
      </w:r>
    </w:p>
    <w:p w14:paraId="26ECDC31"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2.3 Population and Sampling</w:t>
      </w:r>
    </w:p>
    <w:p w14:paraId="606EC5D7" w14:textId="0184857C" w:rsidR="00505F06" w:rsidRDefault="00092AE9" w:rsidP="00092AE9">
      <w:pPr>
        <w:pStyle w:val="Body"/>
        <w:spacing w:after="0"/>
        <w:rPr>
          <w:rFonts w:ascii="Arial" w:hAnsi="Arial" w:cs="Arial"/>
        </w:rPr>
      </w:pPr>
      <w:r w:rsidRPr="00092AE9">
        <w:rPr>
          <w:rFonts w:ascii="Arial" w:hAnsi="Arial" w:cs="Arial"/>
        </w:rPr>
        <w:t>According to the Population Change Report (2025), Kampong Cham Commune comprises 1,553 households, of which 1,150 were identified as credit users. These 1,150 households constituted the population frame for the study.</w:t>
      </w:r>
      <w:r>
        <w:rPr>
          <w:rFonts w:ascii="Arial" w:hAnsi="Arial" w:cs="Arial"/>
        </w:rPr>
        <w:t xml:space="preserve"> </w:t>
      </w:r>
    </w:p>
    <w:p w14:paraId="7BE827B5" w14:textId="35CD35A4" w:rsidR="00790ADA" w:rsidRDefault="00F13544" w:rsidP="00441B6F">
      <w:pPr>
        <w:pStyle w:val="Body"/>
        <w:spacing w:after="0"/>
        <w:rPr>
          <w:rFonts w:ascii="Arial" w:hAnsi="Arial" w:cs="Arial"/>
        </w:rPr>
      </w:pPr>
      <w:r>
        <w:rPr>
          <w:noProof/>
        </w:rPr>
        <w:pict w14:anchorId="1A7DFDF8">
          <v:group id="Group 3" o:spid="_x0000_s1039" style="position:absolute;left:0;text-align:left;margin-left:151.85pt;margin-top:2.5pt;width:75pt;height:53pt;z-index:251661312" coordsize="9525,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">
            <v:group id="Group 333579628" o:spid="_x0000_s1040" style="position:absolute;width:9525;height:6731" coordsize="9525,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">
              <v:shapetype id="_x0000_t202" coordsize="21600,21600" o:spt="202" path="m,l,21600r21600,l21600,xe">
                <v:stroke joinstyle="miter"/>
                <v:path gradientshapeok="t" o:connecttype="rect"/>
              </v:shapetype>
              <v:shape id="Text Box 5" o:spid="_x0000_s1041" type="#_x0000_t202" style="position:absolute;top:1397;width:4508;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" filled="f" stroked="f" strokeweight=".5pt">
                <v:textbox>
                  <w:txbxContent>
                    <w:p w14:paraId="7A0C25C9" w14:textId="77777777" w:rsidR="00092AE9" w:rsidRDefault="00092AE9" w:rsidP="00092AE9">
                      <w:pPr>
                        <w:jc w:val="both"/>
                        <w:rPr>
                          <w:rFonts w:eastAsia="Calibri" w:cs="Khmer OS Content"/>
                          <w:color w:val="000000" w:themeColor="text1"/>
                          <w:kern w:val="24"/>
                          <w:sz w:val="24"/>
                          <w:szCs w:val="24"/>
                        </w:rPr>
                      </w:pPr>
                      <w:r>
                        <w:rPr>
                          <w:rFonts w:eastAsia="Calibri" w:cs="Khmer OS Content"/>
                          <w:color w:val="000000" w:themeColor="text1"/>
                          <w:kern w:val="24"/>
                        </w:rPr>
                        <w:t>n =</w:t>
                      </w:r>
                    </w:p>
                  </w:txbxContent>
                </v:textbox>
              </v:shape>
              <v:shape id="Text Box 5" o:spid="_x0000_s1042" type="#_x0000_t202" style="position:absolute;left:2667;width:4508;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" filled="f" stroked="f" strokeweight=".5pt">
                <v:textbox>
                  <w:txbxContent>
                    <w:p w14:paraId="3F12976B" w14:textId="77777777" w:rsidR="00092AE9" w:rsidRDefault="00092AE9" w:rsidP="00092AE9">
                      <w:pPr>
                        <w:jc w:val="center"/>
                        <w:rPr>
                          <w:rFonts w:eastAsia="Calibri" w:cs="Khmer OS Content"/>
                          <w:color w:val="000000" w:themeColor="text1"/>
                          <w:kern w:val="24"/>
                          <w:sz w:val="24"/>
                          <w:szCs w:val="24"/>
                        </w:rPr>
                      </w:pPr>
                      <w:r>
                        <w:rPr>
                          <w:rFonts w:eastAsia="Calibri" w:cs="Khmer OS Content"/>
                          <w:color w:val="000000" w:themeColor="text1"/>
                          <w:kern w:val="24"/>
                        </w:rPr>
                        <w:t>N</w:t>
                      </w:r>
                    </w:p>
                  </w:txbxContent>
                </v:textbox>
              </v:shape>
              <v:shape id="Text Box 5" o:spid="_x0000_s1043" type="#_x0000_t202" style="position:absolute;left:317;top:3365;width:9208;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" filled="f" stroked="f" strokeweight=".5pt">
                <v:textbox>
                  <w:txbxContent>
                    <w:p w14:paraId="4747AB94" w14:textId="77777777" w:rsidR="00092AE9" w:rsidRDefault="00092AE9" w:rsidP="00092AE9">
                      <w:pPr>
                        <w:jc w:val="center"/>
                        <w:rPr>
                          <w:rFonts w:eastAsia="Calibri" w:cs="Khmer OS Content"/>
                          <w:color w:val="000000" w:themeColor="text1"/>
                          <w:kern w:val="24"/>
                          <w:sz w:val="24"/>
                          <w:szCs w:val="24"/>
                        </w:rPr>
                      </w:pPr>
                      <w:r>
                        <w:rPr>
                          <w:rFonts w:eastAsia="Calibri" w:cs="Khmer OS Content"/>
                          <w:color w:val="000000" w:themeColor="text1"/>
                          <w:kern w:val="24"/>
                        </w:rPr>
                        <w:t>1 + N (e)</w:t>
                      </w:r>
                      <w:r>
                        <w:rPr>
                          <w:rFonts w:eastAsia="Calibri" w:cs="Khmer OS Content"/>
                          <w:color w:val="000000" w:themeColor="text1"/>
                          <w:kern w:val="24"/>
                          <w:position w:val="7"/>
                          <w:vertAlign w:val="superscript"/>
                        </w:rPr>
                        <w:t>2</w:t>
                      </w:r>
                    </w:p>
                  </w:txbxContent>
                </v:textbox>
              </v:shape>
            </v:group>
            <v:line id="Straight Connector 2037693515" o:spid="_x0000_s1044" style="position:absolute;visibility:visible;mso-wrap-style:square" from="3302,3048" to="7175,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" strokecolor="windowText" strokeweight="1pt">
              <v:stroke joinstyle="miter"/>
            </v:line>
          </v:group>
        </w:pict>
      </w:r>
    </w:p>
    <w:p w14:paraId="191648FB" w14:textId="55690A16" w:rsidR="00092AE9" w:rsidRDefault="00092AE9" w:rsidP="00441B6F">
      <w:pPr>
        <w:pStyle w:val="Body"/>
        <w:spacing w:after="0"/>
        <w:rPr>
          <w:rFonts w:ascii="Arial" w:hAnsi="Arial" w:cs="Arial"/>
        </w:rPr>
      </w:pPr>
    </w:p>
    <w:p w14:paraId="20F44B61" w14:textId="77777777" w:rsidR="00092AE9" w:rsidRDefault="00092AE9" w:rsidP="00441B6F">
      <w:pPr>
        <w:pStyle w:val="Body"/>
        <w:spacing w:after="0"/>
        <w:rPr>
          <w:rFonts w:ascii="Arial" w:hAnsi="Arial" w:cs="Arial"/>
        </w:rPr>
      </w:pPr>
    </w:p>
    <w:p w14:paraId="0B45AA00" w14:textId="77777777" w:rsidR="00092AE9" w:rsidRDefault="00092AE9" w:rsidP="00441B6F">
      <w:pPr>
        <w:pStyle w:val="Body"/>
        <w:spacing w:after="0"/>
        <w:rPr>
          <w:rFonts w:ascii="Arial" w:hAnsi="Arial" w:cs="Arial"/>
        </w:rPr>
      </w:pPr>
    </w:p>
    <w:p w14:paraId="2BDF189F" w14:textId="77777777" w:rsidR="00092AE9" w:rsidRPr="00092AE9" w:rsidRDefault="00092AE9" w:rsidP="00092AE9">
      <w:pPr>
        <w:pStyle w:val="Body"/>
        <w:spacing w:after="0"/>
        <w:rPr>
          <w:rFonts w:ascii="Arial" w:hAnsi="Arial" w:cs="Arial"/>
        </w:rPr>
      </w:pPr>
      <w:r w:rsidRPr="00092AE9">
        <w:rPr>
          <w:rFonts w:ascii="Arial" w:hAnsi="Arial" w:cs="Arial"/>
        </w:rPr>
        <w:t>where:</w:t>
      </w:r>
    </w:p>
    <w:p w14:paraId="28C04F6C" w14:textId="77777777" w:rsidR="00092AE9" w:rsidRPr="00092AE9" w:rsidRDefault="00092AE9" w:rsidP="00092AE9">
      <w:pPr>
        <w:pStyle w:val="Body"/>
        <w:spacing w:after="0"/>
        <w:rPr>
          <w:rFonts w:ascii="Arial" w:hAnsi="Arial" w:cs="Arial"/>
        </w:rPr>
      </w:pPr>
      <w:r w:rsidRPr="00092AE9">
        <w:rPr>
          <w:rFonts w:ascii="Arial" w:hAnsi="Arial" w:cs="Arial"/>
        </w:rPr>
        <w:t>n = required sample size,</w:t>
      </w:r>
    </w:p>
    <w:p w14:paraId="74B3BCE5" w14:textId="77777777" w:rsidR="00092AE9" w:rsidRPr="00092AE9" w:rsidRDefault="00092AE9" w:rsidP="00092AE9">
      <w:pPr>
        <w:pStyle w:val="Body"/>
        <w:spacing w:after="0"/>
        <w:rPr>
          <w:rFonts w:ascii="Arial" w:hAnsi="Arial" w:cs="Arial"/>
        </w:rPr>
      </w:pPr>
      <w:r w:rsidRPr="00092AE9">
        <w:rPr>
          <w:rFonts w:ascii="Arial" w:hAnsi="Arial" w:cs="Arial"/>
        </w:rPr>
        <w:t>N = total population (1,150 households),</w:t>
      </w:r>
    </w:p>
    <w:p w14:paraId="2E629527" w14:textId="77777777" w:rsidR="00092AE9" w:rsidRPr="00092AE9" w:rsidRDefault="00092AE9" w:rsidP="00092AE9">
      <w:pPr>
        <w:pStyle w:val="Body"/>
        <w:spacing w:after="0"/>
        <w:rPr>
          <w:rFonts w:ascii="Arial" w:hAnsi="Arial" w:cs="Arial"/>
        </w:rPr>
      </w:pPr>
      <w:r w:rsidRPr="00092AE9">
        <w:rPr>
          <w:rFonts w:ascii="Arial" w:hAnsi="Arial" w:cs="Arial"/>
        </w:rPr>
        <w:t>e = margin of error (0.09 or 9%).</w:t>
      </w:r>
    </w:p>
    <w:p w14:paraId="3CF162F9" w14:textId="1700CBAB" w:rsidR="00092AE9" w:rsidRDefault="00092AE9" w:rsidP="00092AE9">
      <w:pPr>
        <w:pStyle w:val="Body"/>
        <w:spacing w:after="0"/>
        <w:rPr>
          <w:rFonts w:ascii="Arial" w:hAnsi="Arial" w:cs="Arial"/>
        </w:rPr>
      </w:pPr>
      <w:r w:rsidRPr="00092AE9">
        <w:rPr>
          <w:rFonts w:ascii="Arial" w:hAnsi="Arial" w:cs="Arial"/>
        </w:rPr>
        <w:t>Applying this formula, the calculated sample size was 111 households, which were proportionally distributed across the four selected villages.</w:t>
      </w:r>
    </w:p>
    <w:tbl>
      <w:tblPr>
        <w:tblStyle w:val="TableGrid"/>
        <w:tblW w:w="83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633"/>
        <w:gridCol w:w="2670"/>
        <w:gridCol w:w="2220"/>
      </w:tblGrid>
      <w:tr w:rsidR="00092AE9" w:rsidRPr="00A549D0" w14:paraId="5F688147" w14:textId="77777777" w:rsidTr="00092AE9">
        <w:trPr>
          <w:trHeight w:val="302"/>
        </w:trPr>
        <w:tc>
          <w:tcPr>
            <w:tcW w:w="0" w:type="auto"/>
            <w:tcBorders>
              <w:top w:val="single" w:sz="4" w:space="0" w:color="000000"/>
              <w:bottom w:val="single" w:sz="4" w:space="0" w:color="000000"/>
            </w:tcBorders>
            <w:hideMark/>
          </w:tcPr>
          <w:p w14:paraId="0B44AF9D" w14:textId="77777777" w:rsidR="00092AE9" w:rsidRPr="00A549D0" w:rsidRDefault="00092AE9" w:rsidP="00883683">
            <w:pPr>
              <w:jc w:val="center"/>
              <w:rPr>
                <w:rFonts w:eastAsia="Times New Roman"/>
                <w:szCs w:val="24"/>
                <w:lang w:bidi="km-KH"/>
              </w:rPr>
            </w:pPr>
            <w:r w:rsidRPr="00A549D0">
              <w:rPr>
                <w:rFonts w:eastAsia="Times New Roman"/>
                <w:szCs w:val="24"/>
                <w:lang w:bidi="km-KH"/>
              </w:rPr>
              <w:t>Commune</w:t>
            </w:r>
          </w:p>
        </w:tc>
        <w:tc>
          <w:tcPr>
            <w:tcW w:w="0" w:type="auto"/>
            <w:tcBorders>
              <w:top w:val="single" w:sz="4" w:space="0" w:color="000000"/>
              <w:bottom w:val="single" w:sz="4" w:space="0" w:color="000000"/>
            </w:tcBorders>
            <w:hideMark/>
          </w:tcPr>
          <w:p w14:paraId="6511CB56" w14:textId="77777777" w:rsidR="00092AE9" w:rsidRPr="00A549D0" w:rsidRDefault="00092AE9" w:rsidP="00883683">
            <w:pPr>
              <w:jc w:val="center"/>
              <w:rPr>
                <w:rFonts w:eastAsia="Times New Roman"/>
                <w:szCs w:val="24"/>
                <w:lang w:bidi="km-KH"/>
              </w:rPr>
            </w:pPr>
            <w:r w:rsidRPr="00A549D0">
              <w:rPr>
                <w:rFonts w:eastAsia="Times New Roman"/>
                <w:szCs w:val="24"/>
                <w:lang w:bidi="km-KH"/>
              </w:rPr>
              <w:t>Village</w:t>
            </w:r>
          </w:p>
        </w:tc>
        <w:tc>
          <w:tcPr>
            <w:tcW w:w="0" w:type="auto"/>
            <w:tcBorders>
              <w:top w:val="single" w:sz="4" w:space="0" w:color="000000"/>
              <w:bottom w:val="single" w:sz="4" w:space="0" w:color="000000"/>
            </w:tcBorders>
            <w:hideMark/>
          </w:tcPr>
          <w:p w14:paraId="76B29002" w14:textId="77777777" w:rsidR="00092AE9" w:rsidRPr="00A549D0" w:rsidRDefault="00092AE9" w:rsidP="00883683">
            <w:pPr>
              <w:jc w:val="center"/>
              <w:rPr>
                <w:rFonts w:eastAsia="Times New Roman"/>
                <w:szCs w:val="24"/>
                <w:lang w:bidi="km-KH"/>
              </w:rPr>
            </w:pPr>
            <w:r w:rsidRPr="00A549D0">
              <w:rPr>
                <w:rFonts w:eastAsia="Times New Roman"/>
                <w:szCs w:val="24"/>
                <w:lang w:bidi="km-KH"/>
              </w:rPr>
              <w:t>Total Number of Families</w:t>
            </w:r>
          </w:p>
        </w:tc>
        <w:tc>
          <w:tcPr>
            <w:tcW w:w="0" w:type="auto"/>
            <w:tcBorders>
              <w:top w:val="single" w:sz="4" w:space="0" w:color="000000"/>
              <w:bottom w:val="single" w:sz="4" w:space="0" w:color="000000"/>
            </w:tcBorders>
            <w:hideMark/>
          </w:tcPr>
          <w:p w14:paraId="3B4BA0E7" w14:textId="77777777" w:rsidR="00092AE9" w:rsidRPr="00A549D0" w:rsidRDefault="00092AE9" w:rsidP="00883683">
            <w:pPr>
              <w:jc w:val="center"/>
              <w:rPr>
                <w:rFonts w:eastAsia="Times New Roman"/>
                <w:szCs w:val="24"/>
                <w:lang w:bidi="km-KH"/>
              </w:rPr>
            </w:pPr>
            <w:r w:rsidRPr="00A549D0">
              <w:rPr>
                <w:rFonts w:eastAsia="Times New Roman"/>
                <w:szCs w:val="24"/>
                <w:lang w:bidi="km-KH"/>
              </w:rPr>
              <w:t>Families Interviewed</w:t>
            </w:r>
          </w:p>
        </w:tc>
      </w:tr>
      <w:tr w:rsidR="00092AE9" w:rsidRPr="00535FAB" w14:paraId="10A883AD" w14:textId="77777777" w:rsidTr="00092AE9">
        <w:trPr>
          <w:trHeight w:val="291"/>
        </w:trPr>
        <w:tc>
          <w:tcPr>
            <w:tcW w:w="0" w:type="auto"/>
            <w:vMerge w:val="restart"/>
            <w:tcBorders>
              <w:top w:val="single" w:sz="4" w:space="0" w:color="000000"/>
            </w:tcBorders>
            <w:vAlign w:val="center"/>
            <w:hideMark/>
          </w:tcPr>
          <w:p w14:paraId="473465F2" w14:textId="77777777" w:rsidR="00092AE9" w:rsidRPr="00A549D0" w:rsidRDefault="00092AE9" w:rsidP="00883683">
            <w:pPr>
              <w:jc w:val="center"/>
              <w:rPr>
                <w:rFonts w:eastAsia="Times New Roman"/>
                <w:szCs w:val="24"/>
                <w:lang w:bidi="km-KH"/>
              </w:rPr>
            </w:pPr>
            <w:r w:rsidRPr="00A549D0">
              <w:rPr>
                <w:rFonts w:eastAsia="Times New Roman"/>
                <w:szCs w:val="24"/>
                <w:lang w:bidi="km-KH"/>
              </w:rPr>
              <w:t>Kampong Cham</w:t>
            </w:r>
          </w:p>
        </w:tc>
        <w:tc>
          <w:tcPr>
            <w:tcW w:w="0" w:type="auto"/>
            <w:tcBorders>
              <w:top w:val="single" w:sz="4" w:space="0" w:color="000000"/>
            </w:tcBorders>
            <w:hideMark/>
          </w:tcPr>
          <w:p w14:paraId="4037D6FF" w14:textId="77777777" w:rsidR="00092AE9" w:rsidRPr="00A549D0" w:rsidRDefault="00092AE9" w:rsidP="00883683">
            <w:pPr>
              <w:rPr>
                <w:rFonts w:eastAsia="Times New Roman"/>
                <w:szCs w:val="24"/>
                <w:lang w:bidi="km-KH"/>
              </w:rPr>
            </w:pPr>
            <w:proofErr w:type="spellStart"/>
            <w:r w:rsidRPr="00A549D0">
              <w:rPr>
                <w:rFonts w:eastAsia="Times New Roman"/>
                <w:szCs w:val="24"/>
                <w:lang w:bidi="km-KH"/>
              </w:rPr>
              <w:t>Ampil</w:t>
            </w:r>
            <w:proofErr w:type="spellEnd"/>
            <w:r w:rsidRPr="00A549D0">
              <w:rPr>
                <w:rFonts w:eastAsia="Times New Roman"/>
                <w:szCs w:val="24"/>
                <w:lang w:bidi="km-KH"/>
              </w:rPr>
              <w:t xml:space="preserve"> </w:t>
            </w:r>
            <w:proofErr w:type="spellStart"/>
            <w:r w:rsidRPr="00A549D0">
              <w:rPr>
                <w:rFonts w:eastAsia="Times New Roman"/>
                <w:szCs w:val="24"/>
                <w:lang w:bidi="km-KH"/>
              </w:rPr>
              <w:t>Teuk</w:t>
            </w:r>
            <w:proofErr w:type="spellEnd"/>
          </w:p>
        </w:tc>
        <w:tc>
          <w:tcPr>
            <w:tcW w:w="0" w:type="auto"/>
            <w:tcBorders>
              <w:top w:val="single" w:sz="4" w:space="0" w:color="000000"/>
            </w:tcBorders>
            <w:vAlign w:val="center"/>
            <w:hideMark/>
          </w:tcPr>
          <w:p w14:paraId="393FC58F" w14:textId="77777777" w:rsidR="00092AE9" w:rsidRPr="00A549D0" w:rsidRDefault="00092AE9" w:rsidP="00883683">
            <w:pPr>
              <w:jc w:val="center"/>
              <w:rPr>
                <w:rFonts w:eastAsia="Times New Roman"/>
                <w:szCs w:val="24"/>
                <w:lang w:bidi="km-KH"/>
              </w:rPr>
            </w:pPr>
            <w:r w:rsidRPr="00A549D0">
              <w:rPr>
                <w:rFonts w:eastAsia="Times New Roman"/>
                <w:szCs w:val="24"/>
                <w:lang w:bidi="km-KH"/>
              </w:rPr>
              <w:t>209</w:t>
            </w:r>
          </w:p>
        </w:tc>
        <w:tc>
          <w:tcPr>
            <w:tcW w:w="0" w:type="auto"/>
            <w:tcBorders>
              <w:top w:val="single" w:sz="4" w:space="0" w:color="000000"/>
            </w:tcBorders>
            <w:vAlign w:val="center"/>
            <w:hideMark/>
          </w:tcPr>
          <w:p w14:paraId="5E8ADF61" w14:textId="77777777" w:rsidR="00092AE9" w:rsidRPr="00A549D0" w:rsidRDefault="00092AE9" w:rsidP="00883683">
            <w:pPr>
              <w:jc w:val="center"/>
              <w:rPr>
                <w:rFonts w:eastAsia="Times New Roman"/>
                <w:szCs w:val="24"/>
                <w:lang w:bidi="km-KH"/>
              </w:rPr>
            </w:pPr>
            <w:r w:rsidRPr="00A549D0">
              <w:rPr>
                <w:rFonts w:eastAsia="Times New Roman"/>
                <w:szCs w:val="24"/>
                <w:lang w:bidi="km-KH"/>
              </w:rPr>
              <w:t>20</w:t>
            </w:r>
          </w:p>
        </w:tc>
      </w:tr>
      <w:tr w:rsidR="00092AE9" w:rsidRPr="00535FAB" w14:paraId="1F9D4170" w14:textId="77777777" w:rsidTr="00092AE9">
        <w:trPr>
          <w:trHeight w:val="302"/>
        </w:trPr>
        <w:tc>
          <w:tcPr>
            <w:tcW w:w="0" w:type="auto"/>
            <w:vMerge/>
          </w:tcPr>
          <w:p w14:paraId="2BD04BDB" w14:textId="77777777" w:rsidR="00092AE9" w:rsidRPr="00A549D0" w:rsidRDefault="00092AE9" w:rsidP="00883683">
            <w:pPr>
              <w:rPr>
                <w:rFonts w:eastAsia="Times New Roman"/>
                <w:szCs w:val="24"/>
                <w:lang w:bidi="km-KH"/>
              </w:rPr>
            </w:pPr>
          </w:p>
        </w:tc>
        <w:tc>
          <w:tcPr>
            <w:tcW w:w="0" w:type="auto"/>
            <w:hideMark/>
          </w:tcPr>
          <w:p w14:paraId="70FAD963" w14:textId="77777777" w:rsidR="00092AE9" w:rsidRPr="00A549D0" w:rsidRDefault="00092AE9" w:rsidP="00883683">
            <w:pPr>
              <w:rPr>
                <w:rFonts w:eastAsia="Times New Roman"/>
                <w:szCs w:val="24"/>
                <w:lang w:bidi="km-KH"/>
              </w:rPr>
            </w:pPr>
            <w:proofErr w:type="spellStart"/>
            <w:r w:rsidRPr="00A549D0">
              <w:rPr>
                <w:rFonts w:eastAsia="Times New Roman"/>
                <w:szCs w:val="24"/>
                <w:lang w:bidi="km-KH"/>
              </w:rPr>
              <w:t>Samphin</w:t>
            </w:r>
            <w:proofErr w:type="spellEnd"/>
          </w:p>
        </w:tc>
        <w:tc>
          <w:tcPr>
            <w:tcW w:w="0" w:type="auto"/>
            <w:vAlign w:val="center"/>
            <w:hideMark/>
          </w:tcPr>
          <w:p w14:paraId="62729A15" w14:textId="77777777" w:rsidR="00092AE9" w:rsidRPr="00A549D0" w:rsidRDefault="00092AE9" w:rsidP="00883683">
            <w:pPr>
              <w:jc w:val="center"/>
              <w:rPr>
                <w:rFonts w:eastAsia="Times New Roman"/>
                <w:szCs w:val="24"/>
                <w:lang w:bidi="km-KH"/>
              </w:rPr>
            </w:pPr>
            <w:r w:rsidRPr="00A549D0">
              <w:rPr>
                <w:rFonts w:eastAsia="Times New Roman"/>
                <w:szCs w:val="24"/>
                <w:lang w:bidi="km-KH"/>
              </w:rPr>
              <w:t>187</w:t>
            </w:r>
          </w:p>
        </w:tc>
        <w:tc>
          <w:tcPr>
            <w:tcW w:w="0" w:type="auto"/>
            <w:vAlign w:val="center"/>
            <w:hideMark/>
          </w:tcPr>
          <w:p w14:paraId="618DFFDA" w14:textId="77777777" w:rsidR="00092AE9" w:rsidRPr="00A549D0" w:rsidRDefault="00092AE9" w:rsidP="00883683">
            <w:pPr>
              <w:jc w:val="center"/>
              <w:rPr>
                <w:rFonts w:eastAsia="Times New Roman"/>
                <w:szCs w:val="24"/>
                <w:lang w:bidi="km-KH"/>
              </w:rPr>
            </w:pPr>
            <w:r w:rsidRPr="00A549D0">
              <w:rPr>
                <w:rFonts w:eastAsia="Times New Roman"/>
                <w:szCs w:val="24"/>
                <w:lang w:bidi="km-KH"/>
              </w:rPr>
              <w:t>18</w:t>
            </w:r>
          </w:p>
        </w:tc>
      </w:tr>
      <w:tr w:rsidR="00092AE9" w:rsidRPr="00535FAB" w14:paraId="69C93A9E" w14:textId="77777777" w:rsidTr="00092AE9">
        <w:trPr>
          <w:trHeight w:val="291"/>
        </w:trPr>
        <w:tc>
          <w:tcPr>
            <w:tcW w:w="0" w:type="auto"/>
            <w:vMerge/>
          </w:tcPr>
          <w:p w14:paraId="6EE42719" w14:textId="77777777" w:rsidR="00092AE9" w:rsidRPr="00A549D0" w:rsidRDefault="00092AE9" w:rsidP="00883683">
            <w:pPr>
              <w:rPr>
                <w:rFonts w:eastAsia="Times New Roman"/>
                <w:szCs w:val="24"/>
                <w:lang w:bidi="km-KH"/>
              </w:rPr>
            </w:pPr>
          </w:p>
        </w:tc>
        <w:tc>
          <w:tcPr>
            <w:tcW w:w="0" w:type="auto"/>
            <w:hideMark/>
          </w:tcPr>
          <w:p w14:paraId="41BCD9E0" w14:textId="77777777" w:rsidR="00092AE9" w:rsidRPr="00A549D0" w:rsidRDefault="00092AE9" w:rsidP="00883683">
            <w:pPr>
              <w:rPr>
                <w:rFonts w:eastAsia="Times New Roman"/>
                <w:szCs w:val="24"/>
                <w:lang w:bidi="km-KH"/>
              </w:rPr>
            </w:pPr>
            <w:r w:rsidRPr="00A549D0">
              <w:rPr>
                <w:rFonts w:eastAsia="Times New Roman"/>
                <w:szCs w:val="24"/>
                <w:lang w:bidi="km-KH"/>
              </w:rPr>
              <w:t>Ajen</w:t>
            </w:r>
          </w:p>
        </w:tc>
        <w:tc>
          <w:tcPr>
            <w:tcW w:w="0" w:type="auto"/>
            <w:vAlign w:val="center"/>
            <w:hideMark/>
          </w:tcPr>
          <w:p w14:paraId="04FF4085" w14:textId="77777777" w:rsidR="00092AE9" w:rsidRPr="00A549D0" w:rsidRDefault="00092AE9" w:rsidP="00883683">
            <w:pPr>
              <w:jc w:val="center"/>
              <w:rPr>
                <w:rFonts w:eastAsia="Times New Roman"/>
                <w:szCs w:val="24"/>
                <w:lang w:bidi="km-KH"/>
              </w:rPr>
            </w:pPr>
            <w:r w:rsidRPr="00A549D0">
              <w:rPr>
                <w:rFonts w:eastAsia="Times New Roman"/>
                <w:szCs w:val="24"/>
                <w:lang w:bidi="km-KH"/>
              </w:rPr>
              <w:t>405</w:t>
            </w:r>
          </w:p>
        </w:tc>
        <w:tc>
          <w:tcPr>
            <w:tcW w:w="0" w:type="auto"/>
            <w:vAlign w:val="center"/>
            <w:hideMark/>
          </w:tcPr>
          <w:p w14:paraId="4F5ACF22" w14:textId="77777777" w:rsidR="00092AE9" w:rsidRPr="00A549D0" w:rsidRDefault="00092AE9" w:rsidP="00883683">
            <w:pPr>
              <w:jc w:val="center"/>
              <w:rPr>
                <w:rFonts w:eastAsia="Times New Roman"/>
                <w:szCs w:val="24"/>
                <w:lang w:bidi="km-KH"/>
              </w:rPr>
            </w:pPr>
            <w:r w:rsidRPr="00A549D0">
              <w:rPr>
                <w:rFonts w:eastAsia="Times New Roman"/>
                <w:szCs w:val="24"/>
                <w:lang w:bidi="km-KH"/>
              </w:rPr>
              <w:t>39</w:t>
            </w:r>
          </w:p>
        </w:tc>
      </w:tr>
      <w:tr w:rsidR="00092AE9" w:rsidRPr="00535FAB" w14:paraId="1E701E9D" w14:textId="77777777" w:rsidTr="00092AE9">
        <w:trPr>
          <w:trHeight w:val="302"/>
        </w:trPr>
        <w:tc>
          <w:tcPr>
            <w:tcW w:w="0" w:type="auto"/>
            <w:vMerge/>
          </w:tcPr>
          <w:p w14:paraId="67DAB57C" w14:textId="77777777" w:rsidR="00092AE9" w:rsidRPr="00A549D0" w:rsidRDefault="00092AE9" w:rsidP="00883683">
            <w:pPr>
              <w:rPr>
                <w:rFonts w:eastAsia="Times New Roman"/>
                <w:szCs w:val="24"/>
                <w:lang w:bidi="km-KH"/>
              </w:rPr>
            </w:pPr>
          </w:p>
        </w:tc>
        <w:tc>
          <w:tcPr>
            <w:tcW w:w="0" w:type="auto"/>
            <w:hideMark/>
          </w:tcPr>
          <w:p w14:paraId="4C713A13" w14:textId="77777777" w:rsidR="00092AE9" w:rsidRPr="00A549D0" w:rsidRDefault="00092AE9" w:rsidP="00883683">
            <w:pPr>
              <w:rPr>
                <w:rFonts w:eastAsia="Times New Roman"/>
                <w:szCs w:val="24"/>
                <w:lang w:bidi="km-KH"/>
              </w:rPr>
            </w:pPr>
            <w:proofErr w:type="spellStart"/>
            <w:r w:rsidRPr="00A549D0">
              <w:rPr>
                <w:rFonts w:eastAsia="Times New Roman"/>
                <w:szCs w:val="24"/>
                <w:lang w:bidi="km-KH"/>
              </w:rPr>
              <w:t>Tansong</w:t>
            </w:r>
            <w:proofErr w:type="spellEnd"/>
            <w:r w:rsidRPr="00A549D0">
              <w:rPr>
                <w:rFonts w:eastAsia="Times New Roman"/>
                <w:szCs w:val="24"/>
                <w:lang w:bidi="km-KH"/>
              </w:rPr>
              <w:t xml:space="preserve"> </w:t>
            </w:r>
            <w:proofErr w:type="spellStart"/>
            <w:r w:rsidRPr="00A549D0">
              <w:rPr>
                <w:rFonts w:eastAsia="Times New Roman"/>
                <w:szCs w:val="24"/>
                <w:lang w:bidi="km-KH"/>
              </w:rPr>
              <w:t>Paek</w:t>
            </w:r>
            <w:proofErr w:type="spellEnd"/>
          </w:p>
        </w:tc>
        <w:tc>
          <w:tcPr>
            <w:tcW w:w="0" w:type="auto"/>
            <w:vAlign w:val="center"/>
            <w:hideMark/>
          </w:tcPr>
          <w:p w14:paraId="2ECDD78D" w14:textId="77777777" w:rsidR="00092AE9" w:rsidRPr="00A549D0" w:rsidRDefault="00092AE9" w:rsidP="00883683">
            <w:pPr>
              <w:jc w:val="center"/>
              <w:rPr>
                <w:rFonts w:eastAsia="Times New Roman"/>
                <w:szCs w:val="24"/>
                <w:lang w:bidi="km-KH"/>
              </w:rPr>
            </w:pPr>
            <w:r w:rsidRPr="00A549D0">
              <w:rPr>
                <w:rFonts w:eastAsia="Times New Roman"/>
                <w:szCs w:val="24"/>
                <w:lang w:bidi="km-KH"/>
              </w:rPr>
              <w:t>349</w:t>
            </w:r>
          </w:p>
        </w:tc>
        <w:tc>
          <w:tcPr>
            <w:tcW w:w="0" w:type="auto"/>
            <w:vAlign w:val="center"/>
            <w:hideMark/>
          </w:tcPr>
          <w:p w14:paraId="29D2FE3C" w14:textId="77777777" w:rsidR="00092AE9" w:rsidRPr="00A549D0" w:rsidRDefault="00092AE9" w:rsidP="00883683">
            <w:pPr>
              <w:jc w:val="center"/>
              <w:rPr>
                <w:rFonts w:eastAsia="Times New Roman"/>
                <w:szCs w:val="24"/>
                <w:lang w:bidi="km-KH"/>
              </w:rPr>
            </w:pPr>
            <w:r w:rsidRPr="00A549D0">
              <w:rPr>
                <w:rFonts w:eastAsia="Times New Roman"/>
                <w:szCs w:val="24"/>
                <w:lang w:bidi="km-KH"/>
              </w:rPr>
              <w:t>34</w:t>
            </w:r>
          </w:p>
        </w:tc>
      </w:tr>
      <w:tr w:rsidR="00092AE9" w:rsidRPr="00A549D0" w14:paraId="15E67EB2" w14:textId="77777777" w:rsidTr="00092AE9">
        <w:trPr>
          <w:trHeight w:val="302"/>
        </w:trPr>
        <w:tc>
          <w:tcPr>
            <w:tcW w:w="0" w:type="auto"/>
            <w:hideMark/>
          </w:tcPr>
          <w:p w14:paraId="4E532634" w14:textId="77777777" w:rsidR="00092AE9" w:rsidRPr="00A549D0" w:rsidRDefault="00092AE9" w:rsidP="00883683">
            <w:pPr>
              <w:rPr>
                <w:rFonts w:eastAsia="Times New Roman"/>
                <w:szCs w:val="24"/>
                <w:lang w:bidi="km-KH"/>
              </w:rPr>
            </w:pPr>
            <w:r w:rsidRPr="00A549D0">
              <w:rPr>
                <w:rFonts w:eastAsia="Times New Roman"/>
                <w:szCs w:val="24"/>
                <w:lang w:bidi="km-KH"/>
              </w:rPr>
              <w:t>Total</w:t>
            </w:r>
          </w:p>
        </w:tc>
        <w:tc>
          <w:tcPr>
            <w:tcW w:w="0" w:type="auto"/>
            <w:hideMark/>
          </w:tcPr>
          <w:p w14:paraId="66ED896E" w14:textId="77777777" w:rsidR="00092AE9" w:rsidRPr="00A549D0" w:rsidRDefault="00092AE9" w:rsidP="00883683">
            <w:pPr>
              <w:rPr>
                <w:rFonts w:eastAsia="Times New Roman"/>
                <w:szCs w:val="24"/>
                <w:lang w:bidi="km-KH"/>
              </w:rPr>
            </w:pPr>
            <w:r w:rsidRPr="00A549D0">
              <w:rPr>
                <w:rFonts w:eastAsia="Times New Roman"/>
                <w:szCs w:val="24"/>
                <w:lang w:bidi="km-KH"/>
              </w:rPr>
              <w:t>4 villages</w:t>
            </w:r>
          </w:p>
        </w:tc>
        <w:tc>
          <w:tcPr>
            <w:tcW w:w="0" w:type="auto"/>
            <w:vAlign w:val="center"/>
            <w:hideMark/>
          </w:tcPr>
          <w:p w14:paraId="41BE3A6B" w14:textId="77777777" w:rsidR="00092AE9" w:rsidRPr="00A549D0" w:rsidRDefault="00092AE9" w:rsidP="00883683">
            <w:pPr>
              <w:jc w:val="center"/>
              <w:rPr>
                <w:rFonts w:eastAsia="Times New Roman"/>
                <w:szCs w:val="24"/>
                <w:lang w:bidi="km-KH"/>
              </w:rPr>
            </w:pPr>
            <w:r w:rsidRPr="00A549D0">
              <w:rPr>
                <w:rFonts w:eastAsia="Times New Roman"/>
                <w:szCs w:val="24"/>
                <w:lang w:bidi="km-KH"/>
              </w:rPr>
              <w:t>1,150</w:t>
            </w:r>
          </w:p>
        </w:tc>
        <w:tc>
          <w:tcPr>
            <w:tcW w:w="0" w:type="auto"/>
            <w:vAlign w:val="center"/>
            <w:hideMark/>
          </w:tcPr>
          <w:p w14:paraId="39D40592" w14:textId="77777777" w:rsidR="00092AE9" w:rsidRPr="00A549D0" w:rsidRDefault="00092AE9" w:rsidP="00883683">
            <w:pPr>
              <w:jc w:val="center"/>
              <w:rPr>
                <w:rFonts w:eastAsia="Times New Roman"/>
                <w:szCs w:val="24"/>
                <w:lang w:bidi="km-KH"/>
              </w:rPr>
            </w:pPr>
            <w:r w:rsidRPr="00A549D0">
              <w:rPr>
                <w:rFonts w:eastAsia="Times New Roman"/>
                <w:szCs w:val="24"/>
                <w:lang w:bidi="km-KH"/>
              </w:rPr>
              <w:t>111</w:t>
            </w:r>
          </w:p>
        </w:tc>
      </w:tr>
    </w:tbl>
    <w:p w14:paraId="249FA36F" w14:textId="687CD369" w:rsidR="00092AE9" w:rsidRDefault="00092AE9" w:rsidP="00092AE9">
      <w:pPr>
        <w:pStyle w:val="Body"/>
        <w:spacing w:after="0"/>
        <w:rPr>
          <w:rFonts w:ascii="Arial" w:hAnsi="Arial" w:cs="Arial"/>
        </w:rPr>
      </w:pPr>
      <w:r w:rsidRPr="00092AE9">
        <w:rPr>
          <w:rFonts w:ascii="Arial" w:hAnsi="Arial" w:cs="Arial"/>
        </w:rPr>
        <w:t>This proportional allocation ensured adequate representation of each village and reflected the diversity of economic and social backgrounds among households.</w:t>
      </w:r>
    </w:p>
    <w:p w14:paraId="493D159D"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2.4 Sampling Technique</w:t>
      </w:r>
    </w:p>
    <w:p w14:paraId="4772FE81" w14:textId="77777777" w:rsidR="00092AE9" w:rsidRPr="00092AE9" w:rsidRDefault="00092AE9" w:rsidP="00092AE9">
      <w:pPr>
        <w:pStyle w:val="Body"/>
        <w:rPr>
          <w:rFonts w:ascii="Arial" w:hAnsi="Arial" w:cs="Arial"/>
        </w:rPr>
      </w:pPr>
      <w:r w:rsidRPr="00092AE9">
        <w:rPr>
          <w:rFonts w:ascii="Arial" w:hAnsi="Arial" w:cs="Arial"/>
        </w:rPr>
        <w:t>A non-probability snowball sampling method was used to select respondents. This method was suitable for identifying households that were currently using or had previously used credit services, as such households were often not included in official databases. The selection process began with key experts identified by the village head, who then introduced other participants who met the appropriate study criteria. Selection continued until the required sample size was reached. Although snowball sampling has some limitations in generalizing the results, it is the most appropriate method for studying financial behavior in communities where respondents have social networks and share similar experiences with credit use.</w:t>
      </w:r>
    </w:p>
    <w:p w14:paraId="219A65DE"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2.5 Data Collection Methods</w:t>
      </w:r>
    </w:p>
    <w:p w14:paraId="3B42C8AB" w14:textId="77777777" w:rsidR="00092AE9" w:rsidRPr="00092AE9" w:rsidRDefault="00092AE9" w:rsidP="00092AE9">
      <w:pPr>
        <w:pStyle w:val="Body"/>
        <w:rPr>
          <w:rFonts w:ascii="Arial" w:hAnsi="Arial" w:cs="Arial"/>
          <w:b/>
          <w:bCs/>
        </w:rPr>
      </w:pPr>
      <w:r w:rsidRPr="00092AE9">
        <w:rPr>
          <w:rFonts w:ascii="Arial" w:hAnsi="Arial" w:cs="Arial"/>
          <w:b/>
          <w:bCs/>
        </w:rPr>
        <w:t>2.5.1 Primary Data</w:t>
      </w:r>
    </w:p>
    <w:p w14:paraId="0C192BDB" w14:textId="77777777" w:rsidR="00092AE9" w:rsidRPr="00092AE9" w:rsidRDefault="00092AE9" w:rsidP="00092AE9">
      <w:pPr>
        <w:pStyle w:val="Body"/>
        <w:rPr>
          <w:rFonts w:ascii="Arial" w:hAnsi="Arial" w:cs="Arial"/>
        </w:rPr>
      </w:pPr>
      <w:r w:rsidRPr="00092AE9">
        <w:rPr>
          <w:rFonts w:ascii="Arial" w:hAnsi="Arial" w:cs="Arial"/>
        </w:rPr>
        <w:t>Primary data were collected through structured face-to-face interviews with the 111 sampled households. A pre-tested questionnaire was used to ensure clarity and consistency. The questionnaire included sections on (1) demographic information, (2) awareness and understanding of credit services, (3) determinants influencing borrowing decisions, and (4) challenges and response strategies in credit utilization. Prior to data collection, permission was obtained from local authorities, and all participants provided verbal consent to participate in the study.</w:t>
      </w:r>
    </w:p>
    <w:p w14:paraId="3CB41AF8" w14:textId="77777777" w:rsidR="00092AE9" w:rsidRPr="00092AE9" w:rsidRDefault="00092AE9" w:rsidP="00092AE9">
      <w:pPr>
        <w:pStyle w:val="Body"/>
        <w:rPr>
          <w:rFonts w:ascii="Arial" w:hAnsi="Arial" w:cs="Arial"/>
          <w:b/>
          <w:bCs/>
        </w:rPr>
      </w:pPr>
      <w:r w:rsidRPr="00092AE9">
        <w:rPr>
          <w:rFonts w:ascii="Arial" w:hAnsi="Arial" w:cs="Arial"/>
          <w:b/>
          <w:bCs/>
        </w:rPr>
        <w:t>2.5.2 Secondary Data</w:t>
      </w:r>
    </w:p>
    <w:p w14:paraId="647B6E97" w14:textId="77777777" w:rsidR="00092AE9" w:rsidRPr="00092AE9" w:rsidRDefault="00092AE9" w:rsidP="00092AE9">
      <w:pPr>
        <w:pStyle w:val="Body"/>
        <w:rPr>
          <w:rFonts w:ascii="Arial" w:hAnsi="Arial" w:cs="Arial"/>
        </w:rPr>
      </w:pPr>
      <w:r w:rsidRPr="00092AE9">
        <w:rPr>
          <w:rFonts w:ascii="Arial" w:hAnsi="Arial" w:cs="Arial"/>
        </w:rPr>
        <w:lastRenderedPageBreak/>
        <w:t>Secondary data were gathered from commune administrative records, government statistical reports, and relevant online publications. These sources were used to supplement and contextualize the primary data collected from respondents.</w:t>
      </w:r>
    </w:p>
    <w:p w14:paraId="6E4E702B"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2.6 Data Analysis</w:t>
      </w:r>
    </w:p>
    <w:p w14:paraId="1B895F70" w14:textId="023A960F" w:rsidR="00092AE9" w:rsidRDefault="00092AE9" w:rsidP="00092AE9">
      <w:pPr>
        <w:pStyle w:val="Body"/>
        <w:spacing w:after="0"/>
        <w:rPr>
          <w:rFonts w:ascii="Arial" w:hAnsi="Arial" w:cs="Arial"/>
        </w:rPr>
      </w:pPr>
      <w:r w:rsidRPr="00092AE9">
        <w:rPr>
          <w:rFonts w:ascii="Arial" w:hAnsi="Arial" w:cs="Arial"/>
        </w:rPr>
        <w:t>All data, which came from 111 respondents, underwent a systematic process — it was encoded, tabulated, and analyzed using both Microsoft Excel and the Statistical Package for the Social Sciences (SPSS). We relied on descriptive statistics (such as frequencies, means, and standard deviations) to clearly outline the sociodemographic profile of the participants and their existing understanding of credit services. To identify statistically significant differences between key groups, we ran one-way analysis of variance (ANOVA) across variables such as gender, income, occupation, education, and village location. Importantly, the internal reliability of our survey was confirmed by a Cronbach’s Alpha score of over 0.70, which is considered highly acceptable for social science work. While the core of the study was quantitative, we intentionally incorporated qualitative interpretations in the results phase. We used observations and open-ended responses to provide a rich contextual understanding that supported the figures, giving us a deeper understanding of the views and</w:t>
      </w:r>
      <w:r w:rsidRPr="00092AE9">
        <w:t xml:space="preserve"> </w:t>
      </w:r>
      <w:r w:rsidRPr="00092AE9">
        <w:rPr>
          <w:rFonts w:ascii="Arial" w:hAnsi="Arial" w:cs="Arial"/>
        </w:rPr>
        <w:t>behaviors of rural households, which ultimately informed the study’s policy recommendations.</w:t>
      </w:r>
    </w:p>
    <w:p w14:paraId="14483AA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2477DA" w14:textId="77777777" w:rsidR="00092AE9" w:rsidRPr="00092AE9" w:rsidRDefault="00092AE9" w:rsidP="00092AE9">
      <w:pPr>
        <w:pStyle w:val="Body"/>
        <w:spacing w:after="0"/>
        <w:rPr>
          <w:rFonts w:ascii="Arial" w:hAnsi="Arial" w:cs="Arial"/>
          <w:b/>
          <w:sz w:val="22"/>
        </w:rPr>
      </w:pPr>
      <w:r w:rsidRPr="00092AE9">
        <w:rPr>
          <w:rFonts w:ascii="Arial" w:hAnsi="Arial" w:cs="Arial"/>
          <w:b/>
          <w:sz w:val="22"/>
        </w:rPr>
        <w:t>3.1 Socio-Demographic Characteristics of Respondents</w:t>
      </w:r>
    </w:p>
    <w:p w14:paraId="31FDC6F2" w14:textId="3616EC2B" w:rsidR="00790ADA" w:rsidRPr="00FB3A86" w:rsidRDefault="00092AE9" w:rsidP="00092AE9">
      <w:pPr>
        <w:pStyle w:val="Body"/>
        <w:spacing w:after="0"/>
        <w:rPr>
          <w:rFonts w:ascii="Arial" w:hAnsi="Arial" w:cs="Arial"/>
        </w:rPr>
      </w:pPr>
      <w:r w:rsidRPr="00092AE9">
        <w:rPr>
          <w:rFonts w:ascii="Arial" w:hAnsi="Arial" w:cs="Arial"/>
        </w:rPr>
        <w:t>The socio-demographic profile in Kampong Cham commune shows some distinct patterns. The sample is overwhelmingly female (76%) compared to just 24% male, with over half of respondents (55%) in the prime working age group of 31 to 45 years. Education levels are predictably low. 73% of samples have completed only primary school, and tertiary education completion is minimal. In terms of economy, the community's dependence on land is clear, as 79% rely on agriculture as their primary occupation, surpassing traders (12%) and civil servants (7%). This focus on agriculture translates into a low-income reality: a staggering 68% of households report earning less than $200 per month. Not surprisingly, spending patterns closely mirrored these low incomes, revealing a fundamental constraint: most households have very little capacity for meaningful savings.</w:t>
      </w:r>
    </w:p>
    <w:p w14:paraId="2E2B8287" w14:textId="77777777" w:rsidR="00092AE9" w:rsidRPr="00092AE9" w:rsidRDefault="00092AE9" w:rsidP="00092AE9">
      <w:pPr>
        <w:spacing w:after="160" w:line="259" w:lineRule="auto"/>
        <w:rPr>
          <w:b/>
          <w:bCs/>
          <w:szCs w:val="24"/>
          <w:lang w:bidi="km-KH"/>
        </w:rPr>
      </w:pPr>
      <w:r w:rsidRPr="000756C2">
        <w:rPr>
          <w:b/>
          <w:bCs/>
          <w:szCs w:val="24"/>
          <w:lang w:bidi="km-KH"/>
        </w:rPr>
        <w:t>Table 1</w:t>
      </w:r>
      <w:r w:rsidRPr="00092AE9">
        <w:rPr>
          <w:b/>
          <w:bCs/>
          <w:szCs w:val="24"/>
          <w:lang w:bidi="km-KH"/>
        </w:rPr>
        <w:t>. Socio-demographic characteristics of respondents (n = 111).</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409"/>
        <w:gridCol w:w="1273"/>
        <w:gridCol w:w="1006"/>
        <w:gridCol w:w="750"/>
        <w:gridCol w:w="995"/>
        <w:gridCol w:w="661"/>
        <w:gridCol w:w="661"/>
      </w:tblGrid>
      <w:tr w:rsidR="006C565F" w:rsidRPr="00092AE9" w14:paraId="241F4301" w14:textId="77777777" w:rsidTr="00883683">
        <w:tc>
          <w:tcPr>
            <w:tcW w:w="1701" w:type="dxa"/>
            <w:hideMark/>
          </w:tcPr>
          <w:p w14:paraId="1757E73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Variables</w:t>
            </w:r>
          </w:p>
        </w:tc>
        <w:tc>
          <w:tcPr>
            <w:tcW w:w="1418" w:type="dxa"/>
            <w:hideMark/>
          </w:tcPr>
          <w:p w14:paraId="224DDB8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Categories</w:t>
            </w:r>
          </w:p>
        </w:tc>
        <w:tc>
          <w:tcPr>
            <w:tcW w:w="1315" w:type="dxa"/>
            <w:hideMark/>
          </w:tcPr>
          <w:p w14:paraId="1FECC7BB" w14:textId="77777777" w:rsidR="00092AE9" w:rsidRPr="00092AE9" w:rsidRDefault="00092AE9" w:rsidP="00883683">
            <w:pPr>
              <w:jc w:val="center"/>
              <w:rPr>
                <w:rFonts w:ascii="Arial" w:eastAsia="Times New Roman" w:hAnsi="Arial" w:cs="Arial"/>
                <w:sz w:val="20"/>
                <w:szCs w:val="20"/>
                <w:lang w:eastAsia="zh-CN" w:bidi="km-KH"/>
              </w:rPr>
            </w:pPr>
            <w:proofErr w:type="spellStart"/>
            <w:r w:rsidRPr="00092AE9">
              <w:rPr>
                <w:rFonts w:ascii="Arial" w:eastAsia="Times New Roman" w:hAnsi="Arial" w:cs="Arial"/>
                <w:sz w:val="20"/>
                <w:szCs w:val="20"/>
                <w:lang w:eastAsia="zh-CN" w:bidi="km-KH"/>
              </w:rPr>
              <w:t>Ampil</w:t>
            </w:r>
            <w:proofErr w:type="spellEnd"/>
            <w:r w:rsidRPr="00092AE9">
              <w:rPr>
                <w:rFonts w:ascii="Arial" w:eastAsia="Times New Roman" w:hAnsi="Arial" w:cs="Arial"/>
                <w:sz w:val="20"/>
                <w:szCs w:val="20"/>
                <w:lang w:eastAsia="zh-CN" w:bidi="km-KH"/>
              </w:rPr>
              <w:t xml:space="preserve"> </w:t>
            </w:r>
            <w:proofErr w:type="spellStart"/>
            <w:r w:rsidRPr="00092AE9">
              <w:rPr>
                <w:rFonts w:ascii="Arial" w:eastAsia="Times New Roman" w:hAnsi="Arial" w:cs="Arial"/>
                <w:sz w:val="20"/>
                <w:szCs w:val="20"/>
                <w:lang w:eastAsia="zh-CN" w:bidi="km-KH"/>
              </w:rPr>
              <w:t>Teuk</w:t>
            </w:r>
            <w:proofErr w:type="spellEnd"/>
          </w:p>
        </w:tc>
        <w:tc>
          <w:tcPr>
            <w:tcW w:w="0" w:type="auto"/>
            <w:hideMark/>
          </w:tcPr>
          <w:p w14:paraId="59B70F0C" w14:textId="77777777" w:rsidR="00092AE9" w:rsidRPr="00092AE9" w:rsidRDefault="00092AE9" w:rsidP="00883683">
            <w:pPr>
              <w:jc w:val="center"/>
              <w:rPr>
                <w:rFonts w:ascii="Arial" w:eastAsia="Times New Roman" w:hAnsi="Arial" w:cs="Arial"/>
                <w:sz w:val="20"/>
                <w:szCs w:val="20"/>
                <w:lang w:eastAsia="zh-CN" w:bidi="km-KH"/>
              </w:rPr>
            </w:pPr>
            <w:proofErr w:type="spellStart"/>
            <w:r w:rsidRPr="00092AE9">
              <w:rPr>
                <w:rFonts w:ascii="Arial" w:eastAsia="Times New Roman" w:hAnsi="Arial" w:cs="Arial"/>
                <w:sz w:val="20"/>
                <w:szCs w:val="20"/>
                <w:lang w:eastAsia="zh-CN" w:bidi="km-KH"/>
              </w:rPr>
              <w:t>Samphin</w:t>
            </w:r>
            <w:proofErr w:type="spellEnd"/>
          </w:p>
        </w:tc>
        <w:tc>
          <w:tcPr>
            <w:tcW w:w="0" w:type="auto"/>
            <w:hideMark/>
          </w:tcPr>
          <w:p w14:paraId="5EC92F7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Ajen</w:t>
            </w:r>
          </w:p>
        </w:tc>
        <w:tc>
          <w:tcPr>
            <w:tcW w:w="0" w:type="auto"/>
            <w:hideMark/>
          </w:tcPr>
          <w:p w14:paraId="672E44CA" w14:textId="77777777" w:rsidR="00092AE9" w:rsidRPr="00092AE9" w:rsidRDefault="00092AE9" w:rsidP="00883683">
            <w:pPr>
              <w:jc w:val="center"/>
              <w:rPr>
                <w:rFonts w:ascii="Arial" w:eastAsia="Times New Roman" w:hAnsi="Arial" w:cs="Arial"/>
                <w:sz w:val="20"/>
                <w:szCs w:val="20"/>
                <w:lang w:eastAsia="zh-CN" w:bidi="km-KH"/>
              </w:rPr>
            </w:pPr>
            <w:proofErr w:type="spellStart"/>
            <w:r w:rsidRPr="00092AE9">
              <w:rPr>
                <w:rFonts w:ascii="Arial" w:eastAsia="Times New Roman" w:hAnsi="Arial" w:cs="Arial"/>
                <w:sz w:val="20"/>
                <w:szCs w:val="20"/>
                <w:lang w:eastAsia="zh-CN" w:bidi="km-KH"/>
              </w:rPr>
              <w:t>Tansong</w:t>
            </w:r>
            <w:proofErr w:type="spellEnd"/>
            <w:r w:rsidRPr="00092AE9">
              <w:rPr>
                <w:rFonts w:ascii="Arial" w:eastAsia="Times New Roman" w:hAnsi="Arial" w:cs="Arial"/>
                <w:sz w:val="20"/>
                <w:szCs w:val="20"/>
                <w:lang w:eastAsia="zh-CN" w:bidi="km-KH"/>
              </w:rPr>
              <w:t xml:space="preserve"> </w:t>
            </w:r>
            <w:proofErr w:type="spellStart"/>
            <w:r w:rsidRPr="00092AE9">
              <w:rPr>
                <w:rFonts w:ascii="Arial" w:eastAsia="Times New Roman" w:hAnsi="Arial" w:cs="Arial"/>
                <w:sz w:val="20"/>
                <w:szCs w:val="20"/>
                <w:lang w:eastAsia="zh-CN" w:bidi="km-KH"/>
              </w:rPr>
              <w:t>Thleak</w:t>
            </w:r>
            <w:proofErr w:type="spellEnd"/>
          </w:p>
        </w:tc>
        <w:tc>
          <w:tcPr>
            <w:tcW w:w="0" w:type="auto"/>
            <w:hideMark/>
          </w:tcPr>
          <w:p w14:paraId="7511D67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Total (n)</w:t>
            </w:r>
          </w:p>
        </w:tc>
        <w:tc>
          <w:tcPr>
            <w:tcW w:w="0" w:type="auto"/>
            <w:hideMark/>
          </w:tcPr>
          <w:p w14:paraId="485C9DD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Total (%)</w:t>
            </w:r>
          </w:p>
        </w:tc>
      </w:tr>
      <w:tr w:rsidR="006C565F" w:rsidRPr="00092AE9" w14:paraId="713D4651" w14:textId="77777777" w:rsidTr="00883683">
        <w:tc>
          <w:tcPr>
            <w:tcW w:w="1701" w:type="dxa"/>
            <w:hideMark/>
          </w:tcPr>
          <w:p w14:paraId="5E5A3C4D"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Gender</w:t>
            </w:r>
          </w:p>
        </w:tc>
        <w:tc>
          <w:tcPr>
            <w:tcW w:w="1418" w:type="dxa"/>
            <w:vAlign w:val="center"/>
            <w:hideMark/>
          </w:tcPr>
          <w:p w14:paraId="46C845F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Female</w:t>
            </w:r>
          </w:p>
        </w:tc>
        <w:tc>
          <w:tcPr>
            <w:tcW w:w="1315" w:type="dxa"/>
            <w:vAlign w:val="center"/>
            <w:hideMark/>
          </w:tcPr>
          <w:p w14:paraId="0C31E9F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 (100%)</w:t>
            </w:r>
          </w:p>
        </w:tc>
        <w:tc>
          <w:tcPr>
            <w:tcW w:w="0" w:type="auto"/>
            <w:vAlign w:val="center"/>
            <w:hideMark/>
          </w:tcPr>
          <w:p w14:paraId="71E916D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15 (83%)</w:t>
            </w:r>
          </w:p>
        </w:tc>
        <w:tc>
          <w:tcPr>
            <w:tcW w:w="0" w:type="auto"/>
            <w:vAlign w:val="center"/>
            <w:hideMark/>
          </w:tcPr>
          <w:p w14:paraId="161D66A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30 (77%)</w:t>
            </w:r>
          </w:p>
        </w:tc>
        <w:tc>
          <w:tcPr>
            <w:tcW w:w="0" w:type="auto"/>
            <w:vAlign w:val="center"/>
            <w:hideMark/>
          </w:tcPr>
          <w:p w14:paraId="00F90CB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19 (56%)</w:t>
            </w:r>
          </w:p>
        </w:tc>
        <w:tc>
          <w:tcPr>
            <w:tcW w:w="0" w:type="auto"/>
            <w:vAlign w:val="center"/>
            <w:hideMark/>
          </w:tcPr>
          <w:p w14:paraId="6D6A54D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84</w:t>
            </w:r>
          </w:p>
        </w:tc>
        <w:tc>
          <w:tcPr>
            <w:tcW w:w="0" w:type="auto"/>
            <w:vAlign w:val="center"/>
            <w:hideMark/>
          </w:tcPr>
          <w:p w14:paraId="2346E14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76%</w:t>
            </w:r>
          </w:p>
        </w:tc>
      </w:tr>
      <w:tr w:rsidR="006C565F" w:rsidRPr="00092AE9" w14:paraId="545A19C9" w14:textId="77777777" w:rsidTr="00883683">
        <w:tc>
          <w:tcPr>
            <w:tcW w:w="1701" w:type="dxa"/>
            <w:hideMark/>
          </w:tcPr>
          <w:p w14:paraId="56BF9659"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0EF7B72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Male</w:t>
            </w:r>
          </w:p>
        </w:tc>
        <w:tc>
          <w:tcPr>
            <w:tcW w:w="1315" w:type="dxa"/>
            <w:vAlign w:val="center"/>
            <w:hideMark/>
          </w:tcPr>
          <w:p w14:paraId="503A902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71B86C4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(17%)</w:t>
            </w:r>
          </w:p>
        </w:tc>
        <w:tc>
          <w:tcPr>
            <w:tcW w:w="0" w:type="auto"/>
            <w:vAlign w:val="center"/>
            <w:hideMark/>
          </w:tcPr>
          <w:p w14:paraId="4B1F9AC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 (23%)</w:t>
            </w:r>
          </w:p>
        </w:tc>
        <w:tc>
          <w:tcPr>
            <w:tcW w:w="0" w:type="auto"/>
            <w:vAlign w:val="center"/>
            <w:hideMark/>
          </w:tcPr>
          <w:p w14:paraId="168228E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15 (44%)</w:t>
            </w:r>
          </w:p>
        </w:tc>
        <w:tc>
          <w:tcPr>
            <w:tcW w:w="0" w:type="auto"/>
            <w:vAlign w:val="center"/>
            <w:hideMark/>
          </w:tcPr>
          <w:p w14:paraId="1A67E08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27</w:t>
            </w:r>
          </w:p>
        </w:tc>
        <w:tc>
          <w:tcPr>
            <w:tcW w:w="0" w:type="auto"/>
            <w:vAlign w:val="center"/>
            <w:hideMark/>
          </w:tcPr>
          <w:p w14:paraId="1E1CDD1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w:t>
            </w:r>
          </w:p>
        </w:tc>
      </w:tr>
      <w:tr w:rsidR="006C565F" w:rsidRPr="00092AE9" w14:paraId="647C7217" w14:textId="77777777" w:rsidTr="00883683">
        <w:tc>
          <w:tcPr>
            <w:tcW w:w="1701" w:type="dxa"/>
            <w:hideMark/>
          </w:tcPr>
          <w:p w14:paraId="1F9C25D7"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Age (Years)</w:t>
            </w:r>
          </w:p>
        </w:tc>
        <w:tc>
          <w:tcPr>
            <w:tcW w:w="1418" w:type="dxa"/>
            <w:vAlign w:val="center"/>
            <w:hideMark/>
          </w:tcPr>
          <w:p w14:paraId="4464593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20–30</w:t>
            </w:r>
          </w:p>
        </w:tc>
        <w:tc>
          <w:tcPr>
            <w:tcW w:w="1315" w:type="dxa"/>
            <w:vAlign w:val="center"/>
            <w:hideMark/>
          </w:tcPr>
          <w:p w14:paraId="58BF379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(20%)</w:t>
            </w:r>
          </w:p>
        </w:tc>
        <w:tc>
          <w:tcPr>
            <w:tcW w:w="0" w:type="auto"/>
            <w:vAlign w:val="center"/>
            <w:hideMark/>
          </w:tcPr>
          <w:p w14:paraId="3AC5A1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(6%)</w:t>
            </w:r>
          </w:p>
        </w:tc>
        <w:tc>
          <w:tcPr>
            <w:tcW w:w="0" w:type="auto"/>
            <w:vAlign w:val="center"/>
            <w:hideMark/>
          </w:tcPr>
          <w:p w14:paraId="4ADC596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 (26%)</w:t>
            </w:r>
          </w:p>
        </w:tc>
        <w:tc>
          <w:tcPr>
            <w:tcW w:w="0" w:type="auto"/>
            <w:vAlign w:val="center"/>
            <w:hideMark/>
          </w:tcPr>
          <w:p w14:paraId="025DFBB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(12%)</w:t>
            </w:r>
          </w:p>
        </w:tc>
        <w:tc>
          <w:tcPr>
            <w:tcW w:w="0" w:type="auto"/>
            <w:vAlign w:val="center"/>
            <w:hideMark/>
          </w:tcPr>
          <w:p w14:paraId="6A8F542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19</w:t>
            </w:r>
          </w:p>
        </w:tc>
        <w:tc>
          <w:tcPr>
            <w:tcW w:w="0" w:type="auto"/>
            <w:vAlign w:val="center"/>
            <w:hideMark/>
          </w:tcPr>
          <w:p w14:paraId="179C5BD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17%</w:t>
            </w:r>
          </w:p>
        </w:tc>
      </w:tr>
      <w:tr w:rsidR="006C565F" w:rsidRPr="00092AE9" w14:paraId="2A5671EA" w14:textId="77777777" w:rsidTr="00883683">
        <w:tc>
          <w:tcPr>
            <w:tcW w:w="1701" w:type="dxa"/>
            <w:hideMark/>
          </w:tcPr>
          <w:p w14:paraId="1531C987"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320D0C7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31–45</w:t>
            </w:r>
          </w:p>
        </w:tc>
        <w:tc>
          <w:tcPr>
            <w:tcW w:w="1315" w:type="dxa"/>
            <w:vAlign w:val="center"/>
            <w:hideMark/>
          </w:tcPr>
          <w:p w14:paraId="39A43BE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11 (55%)</w:t>
            </w:r>
          </w:p>
        </w:tc>
        <w:tc>
          <w:tcPr>
            <w:tcW w:w="0" w:type="auto"/>
            <w:vAlign w:val="center"/>
            <w:hideMark/>
          </w:tcPr>
          <w:p w14:paraId="6C9BAEE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 (56%)</w:t>
            </w:r>
          </w:p>
        </w:tc>
        <w:tc>
          <w:tcPr>
            <w:tcW w:w="0" w:type="auto"/>
            <w:vAlign w:val="center"/>
            <w:hideMark/>
          </w:tcPr>
          <w:p w14:paraId="2B9138B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16 (41%)</w:t>
            </w:r>
          </w:p>
        </w:tc>
        <w:tc>
          <w:tcPr>
            <w:tcW w:w="0" w:type="auto"/>
            <w:vAlign w:val="center"/>
            <w:hideMark/>
          </w:tcPr>
          <w:p w14:paraId="7D39C73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 (71%)</w:t>
            </w:r>
          </w:p>
        </w:tc>
        <w:tc>
          <w:tcPr>
            <w:tcW w:w="0" w:type="auto"/>
            <w:vAlign w:val="center"/>
            <w:hideMark/>
          </w:tcPr>
          <w:p w14:paraId="2C9CFAD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61</w:t>
            </w:r>
          </w:p>
        </w:tc>
        <w:tc>
          <w:tcPr>
            <w:tcW w:w="0" w:type="auto"/>
            <w:vAlign w:val="center"/>
            <w:hideMark/>
          </w:tcPr>
          <w:p w14:paraId="1D503D9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55%</w:t>
            </w:r>
          </w:p>
        </w:tc>
      </w:tr>
      <w:tr w:rsidR="006C565F" w:rsidRPr="00092AE9" w14:paraId="79C09558" w14:textId="77777777" w:rsidTr="00883683">
        <w:tc>
          <w:tcPr>
            <w:tcW w:w="1701" w:type="dxa"/>
            <w:hideMark/>
          </w:tcPr>
          <w:p w14:paraId="515CE51D"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73CE71D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46–55</w:t>
            </w:r>
          </w:p>
        </w:tc>
        <w:tc>
          <w:tcPr>
            <w:tcW w:w="1315" w:type="dxa"/>
            <w:vAlign w:val="center"/>
            <w:hideMark/>
          </w:tcPr>
          <w:p w14:paraId="51F1F29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(15%)</w:t>
            </w:r>
          </w:p>
        </w:tc>
        <w:tc>
          <w:tcPr>
            <w:tcW w:w="0" w:type="auto"/>
            <w:vAlign w:val="center"/>
            <w:hideMark/>
          </w:tcPr>
          <w:p w14:paraId="49F4483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5 (28%)</w:t>
            </w:r>
          </w:p>
        </w:tc>
        <w:tc>
          <w:tcPr>
            <w:tcW w:w="0" w:type="auto"/>
            <w:vAlign w:val="center"/>
            <w:hideMark/>
          </w:tcPr>
          <w:p w14:paraId="3B83837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 (18%)</w:t>
            </w:r>
          </w:p>
        </w:tc>
        <w:tc>
          <w:tcPr>
            <w:tcW w:w="0" w:type="auto"/>
            <w:vAlign w:val="center"/>
            <w:hideMark/>
          </w:tcPr>
          <w:p w14:paraId="3F57D82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 (18%)</w:t>
            </w:r>
          </w:p>
        </w:tc>
        <w:tc>
          <w:tcPr>
            <w:tcW w:w="0" w:type="auto"/>
            <w:vAlign w:val="center"/>
            <w:hideMark/>
          </w:tcPr>
          <w:p w14:paraId="280D360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21</w:t>
            </w:r>
          </w:p>
        </w:tc>
        <w:tc>
          <w:tcPr>
            <w:tcW w:w="0" w:type="auto"/>
            <w:vAlign w:val="center"/>
            <w:hideMark/>
          </w:tcPr>
          <w:p w14:paraId="1DDE71C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19%</w:t>
            </w:r>
          </w:p>
        </w:tc>
      </w:tr>
      <w:tr w:rsidR="006C565F" w:rsidRPr="00092AE9" w14:paraId="25B3A45F" w14:textId="77777777" w:rsidTr="00883683">
        <w:tc>
          <w:tcPr>
            <w:tcW w:w="1701" w:type="dxa"/>
            <w:hideMark/>
          </w:tcPr>
          <w:p w14:paraId="6C2E42EF"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5CAAF4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56+</w:t>
            </w:r>
          </w:p>
        </w:tc>
        <w:tc>
          <w:tcPr>
            <w:tcW w:w="1315" w:type="dxa"/>
            <w:vAlign w:val="center"/>
            <w:hideMark/>
          </w:tcPr>
          <w:p w14:paraId="0BB40D2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(10%)</w:t>
            </w:r>
          </w:p>
        </w:tc>
        <w:tc>
          <w:tcPr>
            <w:tcW w:w="0" w:type="auto"/>
            <w:vAlign w:val="center"/>
            <w:hideMark/>
          </w:tcPr>
          <w:p w14:paraId="1568F4B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(11%)</w:t>
            </w:r>
          </w:p>
        </w:tc>
        <w:tc>
          <w:tcPr>
            <w:tcW w:w="0" w:type="auto"/>
            <w:vAlign w:val="center"/>
            <w:hideMark/>
          </w:tcPr>
          <w:p w14:paraId="7680299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 (15%)</w:t>
            </w:r>
          </w:p>
        </w:tc>
        <w:tc>
          <w:tcPr>
            <w:tcW w:w="0" w:type="auto"/>
            <w:vAlign w:val="center"/>
            <w:hideMark/>
          </w:tcPr>
          <w:p w14:paraId="2DC8EA1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0FC932A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w:t>
            </w:r>
          </w:p>
        </w:tc>
        <w:tc>
          <w:tcPr>
            <w:tcW w:w="0" w:type="auto"/>
            <w:vAlign w:val="center"/>
            <w:hideMark/>
          </w:tcPr>
          <w:p w14:paraId="34A7D56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w:t>
            </w:r>
          </w:p>
        </w:tc>
      </w:tr>
      <w:tr w:rsidR="006C565F" w:rsidRPr="00092AE9" w14:paraId="6AD871D8" w14:textId="77777777" w:rsidTr="00883683">
        <w:tc>
          <w:tcPr>
            <w:tcW w:w="1701" w:type="dxa"/>
            <w:hideMark/>
          </w:tcPr>
          <w:p w14:paraId="77B587F5"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Education Level</w:t>
            </w:r>
          </w:p>
        </w:tc>
        <w:tc>
          <w:tcPr>
            <w:tcW w:w="1418" w:type="dxa"/>
            <w:vAlign w:val="center"/>
            <w:hideMark/>
          </w:tcPr>
          <w:p w14:paraId="0A2DABB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No Schooling</w:t>
            </w:r>
          </w:p>
        </w:tc>
        <w:tc>
          <w:tcPr>
            <w:tcW w:w="1315" w:type="dxa"/>
            <w:vAlign w:val="center"/>
            <w:hideMark/>
          </w:tcPr>
          <w:p w14:paraId="1521E3C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502CF22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6752DBB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(5%)</w:t>
            </w:r>
          </w:p>
        </w:tc>
        <w:tc>
          <w:tcPr>
            <w:tcW w:w="0" w:type="auto"/>
            <w:vAlign w:val="center"/>
            <w:hideMark/>
          </w:tcPr>
          <w:p w14:paraId="70C31C7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08281B8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c>
          <w:tcPr>
            <w:tcW w:w="0" w:type="auto"/>
            <w:vAlign w:val="center"/>
            <w:hideMark/>
          </w:tcPr>
          <w:p w14:paraId="05B4241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r>
      <w:tr w:rsidR="006C565F" w:rsidRPr="00092AE9" w14:paraId="0DE9E5BC" w14:textId="77777777" w:rsidTr="00883683">
        <w:tc>
          <w:tcPr>
            <w:tcW w:w="1701" w:type="dxa"/>
            <w:hideMark/>
          </w:tcPr>
          <w:p w14:paraId="0C946B3A"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34E2380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Primary</w:t>
            </w:r>
          </w:p>
        </w:tc>
        <w:tc>
          <w:tcPr>
            <w:tcW w:w="1315" w:type="dxa"/>
            <w:vAlign w:val="center"/>
            <w:hideMark/>
          </w:tcPr>
          <w:p w14:paraId="658B777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16 (80%)</w:t>
            </w:r>
          </w:p>
        </w:tc>
        <w:tc>
          <w:tcPr>
            <w:tcW w:w="0" w:type="auto"/>
            <w:vAlign w:val="center"/>
            <w:hideMark/>
          </w:tcPr>
          <w:p w14:paraId="32723EA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11 (61%)</w:t>
            </w:r>
          </w:p>
        </w:tc>
        <w:tc>
          <w:tcPr>
            <w:tcW w:w="0" w:type="auto"/>
            <w:vAlign w:val="center"/>
            <w:hideMark/>
          </w:tcPr>
          <w:p w14:paraId="63D9AE1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30 (77%)</w:t>
            </w:r>
          </w:p>
        </w:tc>
        <w:tc>
          <w:tcPr>
            <w:tcW w:w="0" w:type="auto"/>
            <w:vAlign w:val="center"/>
            <w:hideMark/>
          </w:tcPr>
          <w:p w14:paraId="30F9392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 (71%)</w:t>
            </w:r>
          </w:p>
        </w:tc>
        <w:tc>
          <w:tcPr>
            <w:tcW w:w="0" w:type="auto"/>
            <w:vAlign w:val="center"/>
            <w:hideMark/>
          </w:tcPr>
          <w:p w14:paraId="64130E0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81</w:t>
            </w:r>
          </w:p>
        </w:tc>
        <w:tc>
          <w:tcPr>
            <w:tcW w:w="0" w:type="auto"/>
            <w:vAlign w:val="center"/>
            <w:hideMark/>
          </w:tcPr>
          <w:p w14:paraId="4A0DC92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73%</w:t>
            </w:r>
          </w:p>
        </w:tc>
      </w:tr>
      <w:tr w:rsidR="006C565F" w:rsidRPr="00092AE9" w14:paraId="277222A2" w14:textId="77777777" w:rsidTr="00883683">
        <w:tc>
          <w:tcPr>
            <w:tcW w:w="1701" w:type="dxa"/>
            <w:hideMark/>
          </w:tcPr>
          <w:p w14:paraId="611F229B"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027F6ED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Lower Secondary</w:t>
            </w:r>
          </w:p>
        </w:tc>
        <w:tc>
          <w:tcPr>
            <w:tcW w:w="1315" w:type="dxa"/>
            <w:vAlign w:val="center"/>
            <w:hideMark/>
          </w:tcPr>
          <w:p w14:paraId="6DCB584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(20%)</w:t>
            </w:r>
          </w:p>
        </w:tc>
        <w:tc>
          <w:tcPr>
            <w:tcW w:w="0" w:type="auto"/>
            <w:vAlign w:val="center"/>
            <w:hideMark/>
          </w:tcPr>
          <w:p w14:paraId="2D07CFB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 (39%)</w:t>
            </w:r>
          </w:p>
        </w:tc>
        <w:tc>
          <w:tcPr>
            <w:tcW w:w="0" w:type="auto"/>
            <w:vAlign w:val="center"/>
            <w:hideMark/>
          </w:tcPr>
          <w:p w14:paraId="1FB8FB3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(10%)</w:t>
            </w:r>
          </w:p>
        </w:tc>
        <w:tc>
          <w:tcPr>
            <w:tcW w:w="0" w:type="auto"/>
            <w:vAlign w:val="center"/>
            <w:hideMark/>
          </w:tcPr>
          <w:p w14:paraId="168B703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 (26%)</w:t>
            </w:r>
          </w:p>
        </w:tc>
        <w:tc>
          <w:tcPr>
            <w:tcW w:w="0" w:type="auto"/>
            <w:vAlign w:val="center"/>
            <w:hideMark/>
          </w:tcPr>
          <w:p w14:paraId="7E5C96A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w:t>
            </w:r>
          </w:p>
        </w:tc>
        <w:tc>
          <w:tcPr>
            <w:tcW w:w="0" w:type="auto"/>
            <w:vAlign w:val="center"/>
            <w:hideMark/>
          </w:tcPr>
          <w:p w14:paraId="410CE9C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22%</w:t>
            </w:r>
          </w:p>
        </w:tc>
      </w:tr>
      <w:tr w:rsidR="006C565F" w:rsidRPr="00092AE9" w14:paraId="45326386" w14:textId="77777777" w:rsidTr="00883683">
        <w:tc>
          <w:tcPr>
            <w:tcW w:w="1701" w:type="dxa"/>
            <w:hideMark/>
          </w:tcPr>
          <w:p w14:paraId="60A76D6D"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121DE0D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Upper Secondary</w:t>
            </w:r>
          </w:p>
        </w:tc>
        <w:tc>
          <w:tcPr>
            <w:tcW w:w="1315" w:type="dxa"/>
            <w:vAlign w:val="center"/>
            <w:hideMark/>
          </w:tcPr>
          <w:p w14:paraId="1F48583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356C752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1CD7C7E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(5%)</w:t>
            </w:r>
          </w:p>
        </w:tc>
        <w:tc>
          <w:tcPr>
            <w:tcW w:w="0" w:type="auto"/>
            <w:vAlign w:val="center"/>
            <w:hideMark/>
          </w:tcPr>
          <w:p w14:paraId="1D1C446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6079F83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w:t>
            </w:r>
          </w:p>
        </w:tc>
        <w:tc>
          <w:tcPr>
            <w:tcW w:w="0" w:type="auto"/>
            <w:vAlign w:val="center"/>
            <w:hideMark/>
          </w:tcPr>
          <w:p w14:paraId="42334D8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w:t>
            </w:r>
          </w:p>
        </w:tc>
      </w:tr>
      <w:tr w:rsidR="006C565F" w:rsidRPr="00092AE9" w14:paraId="1E641F4B" w14:textId="77777777" w:rsidTr="00883683">
        <w:tc>
          <w:tcPr>
            <w:tcW w:w="1701" w:type="dxa"/>
            <w:hideMark/>
          </w:tcPr>
          <w:p w14:paraId="3920F4F4"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062165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Bachelor Degree</w:t>
            </w:r>
          </w:p>
        </w:tc>
        <w:tc>
          <w:tcPr>
            <w:tcW w:w="1315" w:type="dxa"/>
            <w:vAlign w:val="center"/>
            <w:hideMark/>
          </w:tcPr>
          <w:p w14:paraId="0E0028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372928F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4115814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710DF3D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3F51220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w:t>
            </w:r>
          </w:p>
        </w:tc>
        <w:tc>
          <w:tcPr>
            <w:tcW w:w="0" w:type="auto"/>
            <w:vAlign w:val="center"/>
            <w:hideMark/>
          </w:tcPr>
          <w:p w14:paraId="2694328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w:t>
            </w:r>
          </w:p>
        </w:tc>
      </w:tr>
      <w:tr w:rsidR="006C565F" w:rsidRPr="00092AE9" w14:paraId="7EDC8086" w14:textId="77777777" w:rsidTr="00883683">
        <w:tc>
          <w:tcPr>
            <w:tcW w:w="1701" w:type="dxa"/>
            <w:hideMark/>
          </w:tcPr>
          <w:p w14:paraId="02115272"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Occupation</w:t>
            </w:r>
          </w:p>
        </w:tc>
        <w:tc>
          <w:tcPr>
            <w:tcW w:w="1418" w:type="dxa"/>
            <w:vAlign w:val="center"/>
            <w:hideMark/>
          </w:tcPr>
          <w:p w14:paraId="6D949CD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Farming</w:t>
            </w:r>
          </w:p>
        </w:tc>
        <w:tc>
          <w:tcPr>
            <w:tcW w:w="1315" w:type="dxa"/>
            <w:vAlign w:val="center"/>
            <w:hideMark/>
          </w:tcPr>
          <w:p w14:paraId="7952554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18 (90%)</w:t>
            </w:r>
          </w:p>
        </w:tc>
        <w:tc>
          <w:tcPr>
            <w:tcW w:w="0" w:type="auto"/>
            <w:vAlign w:val="center"/>
            <w:hideMark/>
          </w:tcPr>
          <w:p w14:paraId="669F505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14 (78%)</w:t>
            </w:r>
          </w:p>
        </w:tc>
        <w:tc>
          <w:tcPr>
            <w:tcW w:w="0" w:type="auto"/>
            <w:vAlign w:val="center"/>
            <w:hideMark/>
          </w:tcPr>
          <w:p w14:paraId="08DA5D6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24 (62%)</w:t>
            </w:r>
          </w:p>
        </w:tc>
        <w:tc>
          <w:tcPr>
            <w:tcW w:w="0" w:type="auto"/>
            <w:vAlign w:val="center"/>
            <w:hideMark/>
          </w:tcPr>
          <w:p w14:paraId="3C3DB73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32 (94%)</w:t>
            </w:r>
          </w:p>
        </w:tc>
        <w:tc>
          <w:tcPr>
            <w:tcW w:w="0" w:type="auto"/>
            <w:vAlign w:val="center"/>
            <w:hideMark/>
          </w:tcPr>
          <w:p w14:paraId="26AABC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88</w:t>
            </w:r>
          </w:p>
        </w:tc>
        <w:tc>
          <w:tcPr>
            <w:tcW w:w="0" w:type="auto"/>
            <w:vAlign w:val="center"/>
            <w:hideMark/>
          </w:tcPr>
          <w:p w14:paraId="7F190B8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79%</w:t>
            </w:r>
          </w:p>
        </w:tc>
      </w:tr>
      <w:tr w:rsidR="006C565F" w:rsidRPr="00092AE9" w14:paraId="5B0DB63F" w14:textId="77777777" w:rsidTr="00883683">
        <w:tc>
          <w:tcPr>
            <w:tcW w:w="1701" w:type="dxa"/>
            <w:hideMark/>
          </w:tcPr>
          <w:p w14:paraId="6C3B9B53"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5C2A8B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Business</w:t>
            </w:r>
          </w:p>
        </w:tc>
        <w:tc>
          <w:tcPr>
            <w:tcW w:w="1315" w:type="dxa"/>
            <w:vAlign w:val="center"/>
            <w:hideMark/>
          </w:tcPr>
          <w:p w14:paraId="57CFBED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(5%)</w:t>
            </w:r>
          </w:p>
        </w:tc>
        <w:tc>
          <w:tcPr>
            <w:tcW w:w="0" w:type="auto"/>
            <w:vAlign w:val="center"/>
            <w:hideMark/>
          </w:tcPr>
          <w:p w14:paraId="57D9EF3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(6%)</w:t>
            </w:r>
          </w:p>
        </w:tc>
        <w:tc>
          <w:tcPr>
            <w:tcW w:w="0" w:type="auto"/>
            <w:vAlign w:val="center"/>
            <w:hideMark/>
          </w:tcPr>
          <w:p w14:paraId="5EBADD0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 (26%)</w:t>
            </w:r>
          </w:p>
        </w:tc>
        <w:tc>
          <w:tcPr>
            <w:tcW w:w="0" w:type="auto"/>
            <w:vAlign w:val="center"/>
            <w:hideMark/>
          </w:tcPr>
          <w:p w14:paraId="41BE63C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4005D9E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13</w:t>
            </w:r>
          </w:p>
        </w:tc>
        <w:tc>
          <w:tcPr>
            <w:tcW w:w="0" w:type="auto"/>
            <w:vAlign w:val="center"/>
            <w:hideMark/>
          </w:tcPr>
          <w:p w14:paraId="3B843C6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12%</w:t>
            </w:r>
          </w:p>
        </w:tc>
      </w:tr>
      <w:tr w:rsidR="006C565F" w:rsidRPr="00092AE9" w14:paraId="71433215" w14:textId="77777777" w:rsidTr="00883683">
        <w:tc>
          <w:tcPr>
            <w:tcW w:w="1701" w:type="dxa"/>
            <w:hideMark/>
          </w:tcPr>
          <w:p w14:paraId="38157AA2"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2B0E7A5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Government</w:t>
            </w:r>
          </w:p>
        </w:tc>
        <w:tc>
          <w:tcPr>
            <w:tcW w:w="1315" w:type="dxa"/>
            <w:vAlign w:val="center"/>
            <w:hideMark/>
          </w:tcPr>
          <w:p w14:paraId="6577F4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(5%)</w:t>
            </w:r>
          </w:p>
        </w:tc>
        <w:tc>
          <w:tcPr>
            <w:tcW w:w="0" w:type="auto"/>
            <w:vAlign w:val="center"/>
            <w:hideMark/>
          </w:tcPr>
          <w:p w14:paraId="45F677B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(11%)</w:t>
            </w:r>
          </w:p>
        </w:tc>
        <w:tc>
          <w:tcPr>
            <w:tcW w:w="0" w:type="auto"/>
            <w:vAlign w:val="center"/>
            <w:hideMark/>
          </w:tcPr>
          <w:p w14:paraId="1B5AB5B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(10%)</w:t>
            </w:r>
          </w:p>
        </w:tc>
        <w:tc>
          <w:tcPr>
            <w:tcW w:w="0" w:type="auto"/>
            <w:vAlign w:val="center"/>
            <w:hideMark/>
          </w:tcPr>
          <w:p w14:paraId="01FAF7D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1402C75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w:t>
            </w:r>
          </w:p>
        </w:tc>
        <w:tc>
          <w:tcPr>
            <w:tcW w:w="0" w:type="auto"/>
            <w:vAlign w:val="center"/>
            <w:hideMark/>
          </w:tcPr>
          <w:p w14:paraId="49A59B4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w:t>
            </w:r>
          </w:p>
        </w:tc>
      </w:tr>
      <w:tr w:rsidR="006C565F" w:rsidRPr="00092AE9" w14:paraId="2ADAC301" w14:textId="77777777" w:rsidTr="00883683">
        <w:tc>
          <w:tcPr>
            <w:tcW w:w="1701" w:type="dxa"/>
            <w:hideMark/>
          </w:tcPr>
          <w:p w14:paraId="39E5456B"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2BA4E20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Worker</w:t>
            </w:r>
          </w:p>
        </w:tc>
        <w:tc>
          <w:tcPr>
            <w:tcW w:w="1315" w:type="dxa"/>
            <w:vAlign w:val="center"/>
            <w:hideMark/>
          </w:tcPr>
          <w:p w14:paraId="6F7FFD4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1C25A69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(6%)</w:t>
            </w:r>
          </w:p>
        </w:tc>
        <w:tc>
          <w:tcPr>
            <w:tcW w:w="0" w:type="auto"/>
            <w:vAlign w:val="center"/>
            <w:hideMark/>
          </w:tcPr>
          <w:p w14:paraId="6B743E6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(3%)</w:t>
            </w:r>
          </w:p>
        </w:tc>
        <w:tc>
          <w:tcPr>
            <w:tcW w:w="0" w:type="auto"/>
            <w:vAlign w:val="center"/>
            <w:hideMark/>
          </w:tcPr>
          <w:p w14:paraId="6589D51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73BFF87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c>
          <w:tcPr>
            <w:tcW w:w="0" w:type="auto"/>
            <w:vAlign w:val="center"/>
            <w:hideMark/>
          </w:tcPr>
          <w:p w14:paraId="26ABE0C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r>
      <w:tr w:rsidR="006C565F" w:rsidRPr="00092AE9" w14:paraId="2541E147" w14:textId="77777777" w:rsidTr="00883683">
        <w:tc>
          <w:tcPr>
            <w:tcW w:w="1701" w:type="dxa"/>
            <w:hideMark/>
          </w:tcPr>
          <w:p w14:paraId="2577C43F"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Monthly Income (USD)</w:t>
            </w:r>
          </w:p>
        </w:tc>
        <w:tc>
          <w:tcPr>
            <w:tcW w:w="1418" w:type="dxa"/>
            <w:vAlign w:val="center"/>
            <w:hideMark/>
          </w:tcPr>
          <w:p w14:paraId="7EB0784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&lt; 200</w:t>
            </w:r>
          </w:p>
        </w:tc>
        <w:tc>
          <w:tcPr>
            <w:tcW w:w="1315" w:type="dxa"/>
            <w:vAlign w:val="center"/>
            <w:hideMark/>
          </w:tcPr>
          <w:p w14:paraId="5303425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11 (55%)</w:t>
            </w:r>
          </w:p>
        </w:tc>
        <w:tc>
          <w:tcPr>
            <w:tcW w:w="0" w:type="auto"/>
            <w:vAlign w:val="center"/>
            <w:hideMark/>
          </w:tcPr>
          <w:p w14:paraId="3F15CC5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18 (100%)</w:t>
            </w:r>
          </w:p>
        </w:tc>
        <w:tc>
          <w:tcPr>
            <w:tcW w:w="0" w:type="auto"/>
            <w:vAlign w:val="center"/>
            <w:hideMark/>
          </w:tcPr>
          <w:p w14:paraId="424C13C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18 (46%)</w:t>
            </w:r>
          </w:p>
        </w:tc>
        <w:tc>
          <w:tcPr>
            <w:tcW w:w="0" w:type="auto"/>
            <w:vAlign w:val="center"/>
            <w:hideMark/>
          </w:tcPr>
          <w:p w14:paraId="7BA040D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28 (82%)</w:t>
            </w:r>
          </w:p>
        </w:tc>
        <w:tc>
          <w:tcPr>
            <w:tcW w:w="0" w:type="auto"/>
            <w:vAlign w:val="center"/>
            <w:hideMark/>
          </w:tcPr>
          <w:p w14:paraId="4DE3653F"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75</w:t>
            </w:r>
          </w:p>
        </w:tc>
        <w:tc>
          <w:tcPr>
            <w:tcW w:w="0" w:type="auto"/>
            <w:vAlign w:val="center"/>
            <w:hideMark/>
          </w:tcPr>
          <w:p w14:paraId="27AFFB2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68%</w:t>
            </w:r>
          </w:p>
        </w:tc>
      </w:tr>
      <w:tr w:rsidR="006C565F" w:rsidRPr="00092AE9" w14:paraId="62985013" w14:textId="77777777" w:rsidTr="00883683">
        <w:tc>
          <w:tcPr>
            <w:tcW w:w="1701" w:type="dxa"/>
            <w:hideMark/>
          </w:tcPr>
          <w:p w14:paraId="6B6C34C9"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3131F49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201–300</w:t>
            </w:r>
          </w:p>
        </w:tc>
        <w:tc>
          <w:tcPr>
            <w:tcW w:w="1315" w:type="dxa"/>
            <w:vAlign w:val="center"/>
            <w:hideMark/>
          </w:tcPr>
          <w:p w14:paraId="6481EC9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 (40%)</w:t>
            </w:r>
          </w:p>
        </w:tc>
        <w:tc>
          <w:tcPr>
            <w:tcW w:w="0" w:type="auto"/>
            <w:vAlign w:val="center"/>
            <w:hideMark/>
          </w:tcPr>
          <w:p w14:paraId="675E80F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2F85BC2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 (26%)</w:t>
            </w:r>
          </w:p>
        </w:tc>
        <w:tc>
          <w:tcPr>
            <w:tcW w:w="0" w:type="auto"/>
            <w:vAlign w:val="center"/>
            <w:hideMark/>
          </w:tcPr>
          <w:p w14:paraId="3890D24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(9%)</w:t>
            </w:r>
          </w:p>
        </w:tc>
        <w:tc>
          <w:tcPr>
            <w:tcW w:w="0" w:type="auto"/>
            <w:vAlign w:val="center"/>
            <w:hideMark/>
          </w:tcPr>
          <w:p w14:paraId="26DFD60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21</w:t>
            </w:r>
          </w:p>
        </w:tc>
        <w:tc>
          <w:tcPr>
            <w:tcW w:w="0" w:type="auto"/>
            <w:vAlign w:val="center"/>
            <w:hideMark/>
          </w:tcPr>
          <w:p w14:paraId="74224AB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19%</w:t>
            </w:r>
          </w:p>
        </w:tc>
      </w:tr>
      <w:tr w:rsidR="006C565F" w:rsidRPr="00092AE9" w14:paraId="59A3C6AE" w14:textId="77777777" w:rsidTr="00883683">
        <w:tc>
          <w:tcPr>
            <w:tcW w:w="1701" w:type="dxa"/>
            <w:hideMark/>
          </w:tcPr>
          <w:p w14:paraId="0844D8C6"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543CDEA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301–400</w:t>
            </w:r>
          </w:p>
        </w:tc>
        <w:tc>
          <w:tcPr>
            <w:tcW w:w="1315" w:type="dxa"/>
            <w:vAlign w:val="center"/>
            <w:hideMark/>
          </w:tcPr>
          <w:p w14:paraId="3E3755E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 (5%)</w:t>
            </w:r>
          </w:p>
        </w:tc>
        <w:tc>
          <w:tcPr>
            <w:tcW w:w="0" w:type="auto"/>
            <w:vAlign w:val="center"/>
            <w:hideMark/>
          </w:tcPr>
          <w:p w14:paraId="6BE794E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2E49144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(8%)</w:t>
            </w:r>
          </w:p>
        </w:tc>
        <w:tc>
          <w:tcPr>
            <w:tcW w:w="0" w:type="auto"/>
            <w:vAlign w:val="center"/>
            <w:hideMark/>
          </w:tcPr>
          <w:p w14:paraId="449C9D7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4751FA1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w:t>
            </w:r>
          </w:p>
        </w:tc>
        <w:tc>
          <w:tcPr>
            <w:tcW w:w="0" w:type="auto"/>
            <w:vAlign w:val="center"/>
            <w:hideMark/>
          </w:tcPr>
          <w:p w14:paraId="2EF3CA4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w:t>
            </w:r>
          </w:p>
        </w:tc>
      </w:tr>
      <w:tr w:rsidR="006C565F" w:rsidRPr="00092AE9" w14:paraId="0277BC78" w14:textId="77777777" w:rsidTr="00883683">
        <w:tc>
          <w:tcPr>
            <w:tcW w:w="1701" w:type="dxa"/>
            <w:hideMark/>
          </w:tcPr>
          <w:p w14:paraId="7B09E696"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5DFFF7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&gt; 401</w:t>
            </w:r>
          </w:p>
        </w:tc>
        <w:tc>
          <w:tcPr>
            <w:tcW w:w="1315" w:type="dxa"/>
            <w:vAlign w:val="center"/>
            <w:hideMark/>
          </w:tcPr>
          <w:p w14:paraId="3D58D63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141FEA1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2763EE23"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8 (21%)</w:t>
            </w:r>
          </w:p>
        </w:tc>
        <w:tc>
          <w:tcPr>
            <w:tcW w:w="0" w:type="auto"/>
            <w:vAlign w:val="center"/>
            <w:hideMark/>
          </w:tcPr>
          <w:p w14:paraId="3FB38BA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(9%)</w:t>
            </w:r>
          </w:p>
        </w:tc>
        <w:tc>
          <w:tcPr>
            <w:tcW w:w="0" w:type="auto"/>
            <w:vAlign w:val="center"/>
            <w:hideMark/>
          </w:tcPr>
          <w:p w14:paraId="6600944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11</w:t>
            </w:r>
          </w:p>
        </w:tc>
        <w:tc>
          <w:tcPr>
            <w:tcW w:w="0" w:type="auto"/>
            <w:vAlign w:val="center"/>
            <w:hideMark/>
          </w:tcPr>
          <w:p w14:paraId="3F462EA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10%</w:t>
            </w:r>
          </w:p>
        </w:tc>
      </w:tr>
      <w:tr w:rsidR="006C565F" w:rsidRPr="00092AE9" w14:paraId="44D72220" w14:textId="77777777" w:rsidTr="00883683">
        <w:tc>
          <w:tcPr>
            <w:tcW w:w="1701" w:type="dxa"/>
            <w:hideMark/>
          </w:tcPr>
          <w:p w14:paraId="4686033D" w14:textId="77777777" w:rsidR="00092AE9" w:rsidRPr="00092AE9" w:rsidRDefault="00092AE9" w:rsidP="00883683">
            <w:pP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Monthly Expenditure (USD)</w:t>
            </w:r>
          </w:p>
        </w:tc>
        <w:tc>
          <w:tcPr>
            <w:tcW w:w="1418" w:type="dxa"/>
            <w:vAlign w:val="center"/>
            <w:hideMark/>
          </w:tcPr>
          <w:p w14:paraId="1E37051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&lt; 200</w:t>
            </w:r>
          </w:p>
        </w:tc>
        <w:tc>
          <w:tcPr>
            <w:tcW w:w="1315" w:type="dxa"/>
            <w:vAlign w:val="center"/>
            <w:hideMark/>
          </w:tcPr>
          <w:p w14:paraId="3FCC251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 (100%)</w:t>
            </w:r>
          </w:p>
        </w:tc>
        <w:tc>
          <w:tcPr>
            <w:tcW w:w="0" w:type="auto"/>
            <w:vAlign w:val="center"/>
            <w:hideMark/>
          </w:tcPr>
          <w:p w14:paraId="15B7D15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 (50%)</w:t>
            </w:r>
          </w:p>
        </w:tc>
        <w:tc>
          <w:tcPr>
            <w:tcW w:w="0" w:type="auto"/>
            <w:vAlign w:val="center"/>
            <w:hideMark/>
          </w:tcPr>
          <w:p w14:paraId="47E7360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 (51%)</w:t>
            </w:r>
          </w:p>
        </w:tc>
        <w:tc>
          <w:tcPr>
            <w:tcW w:w="0" w:type="auto"/>
            <w:vAlign w:val="center"/>
            <w:hideMark/>
          </w:tcPr>
          <w:p w14:paraId="0C1147B9"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27 (79%)</w:t>
            </w:r>
          </w:p>
        </w:tc>
        <w:tc>
          <w:tcPr>
            <w:tcW w:w="0" w:type="auto"/>
            <w:vAlign w:val="center"/>
            <w:hideMark/>
          </w:tcPr>
          <w:p w14:paraId="0DF9442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76</w:t>
            </w:r>
          </w:p>
        </w:tc>
        <w:tc>
          <w:tcPr>
            <w:tcW w:w="0" w:type="auto"/>
            <w:vAlign w:val="center"/>
            <w:hideMark/>
          </w:tcPr>
          <w:p w14:paraId="2EB730C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68%</w:t>
            </w:r>
          </w:p>
        </w:tc>
      </w:tr>
      <w:tr w:rsidR="006C565F" w:rsidRPr="00092AE9" w14:paraId="07C79134" w14:textId="77777777" w:rsidTr="00883683">
        <w:tc>
          <w:tcPr>
            <w:tcW w:w="1701" w:type="dxa"/>
            <w:hideMark/>
          </w:tcPr>
          <w:p w14:paraId="0C450BAE"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4FDDD4D2"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201–300</w:t>
            </w:r>
          </w:p>
        </w:tc>
        <w:tc>
          <w:tcPr>
            <w:tcW w:w="1315" w:type="dxa"/>
            <w:vAlign w:val="center"/>
            <w:hideMark/>
          </w:tcPr>
          <w:p w14:paraId="0C3A687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37C741FA"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9 (50%)</w:t>
            </w:r>
          </w:p>
        </w:tc>
        <w:tc>
          <w:tcPr>
            <w:tcW w:w="0" w:type="auto"/>
            <w:vAlign w:val="center"/>
            <w:hideMark/>
          </w:tcPr>
          <w:p w14:paraId="723AE0F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13 (33%)</w:t>
            </w:r>
          </w:p>
        </w:tc>
        <w:tc>
          <w:tcPr>
            <w:tcW w:w="0" w:type="auto"/>
            <w:vAlign w:val="center"/>
            <w:hideMark/>
          </w:tcPr>
          <w:p w14:paraId="57D673EC"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(12%)</w:t>
            </w:r>
          </w:p>
        </w:tc>
        <w:tc>
          <w:tcPr>
            <w:tcW w:w="0" w:type="auto"/>
            <w:vAlign w:val="center"/>
            <w:hideMark/>
          </w:tcPr>
          <w:p w14:paraId="592A041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26</w:t>
            </w:r>
          </w:p>
        </w:tc>
        <w:tc>
          <w:tcPr>
            <w:tcW w:w="0" w:type="auto"/>
            <w:vAlign w:val="center"/>
            <w:hideMark/>
          </w:tcPr>
          <w:p w14:paraId="3BECD58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23%</w:t>
            </w:r>
          </w:p>
        </w:tc>
      </w:tr>
      <w:tr w:rsidR="006C565F" w:rsidRPr="00092AE9" w14:paraId="5362F97B" w14:textId="77777777" w:rsidTr="00883683">
        <w:trPr>
          <w:trHeight w:val="426"/>
        </w:trPr>
        <w:tc>
          <w:tcPr>
            <w:tcW w:w="1701" w:type="dxa"/>
            <w:hideMark/>
          </w:tcPr>
          <w:p w14:paraId="0E1A3B7B"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1F688B04"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301–400</w:t>
            </w:r>
          </w:p>
        </w:tc>
        <w:tc>
          <w:tcPr>
            <w:tcW w:w="1315" w:type="dxa"/>
            <w:vAlign w:val="center"/>
            <w:hideMark/>
          </w:tcPr>
          <w:p w14:paraId="08A9EE2D"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7A22E00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26F968C7"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 (5%)</w:t>
            </w:r>
          </w:p>
        </w:tc>
        <w:tc>
          <w:tcPr>
            <w:tcW w:w="0" w:type="auto"/>
            <w:vAlign w:val="center"/>
            <w:hideMark/>
          </w:tcPr>
          <w:p w14:paraId="49355410"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1DE6C56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c>
          <w:tcPr>
            <w:tcW w:w="0" w:type="auto"/>
            <w:vAlign w:val="center"/>
            <w:hideMark/>
          </w:tcPr>
          <w:p w14:paraId="392ECC5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2%</w:t>
            </w:r>
          </w:p>
        </w:tc>
      </w:tr>
      <w:tr w:rsidR="006C565F" w:rsidRPr="00092AE9" w14:paraId="3A8C60B1" w14:textId="77777777" w:rsidTr="00883683">
        <w:tc>
          <w:tcPr>
            <w:tcW w:w="1701" w:type="dxa"/>
            <w:hideMark/>
          </w:tcPr>
          <w:p w14:paraId="1709BA87" w14:textId="77777777" w:rsidR="00092AE9" w:rsidRPr="00092AE9" w:rsidRDefault="00092AE9" w:rsidP="00883683">
            <w:pPr>
              <w:rPr>
                <w:rFonts w:ascii="Arial" w:eastAsia="Times New Roman" w:hAnsi="Arial" w:cs="Arial"/>
                <w:sz w:val="20"/>
                <w:szCs w:val="20"/>
                <w:lang w:eastAsia="zh-CN" w:bidi="km-KH"/>
              </w:rPr>
            </w:pPr>
          </w:p>
        </w:tc>
        <w:tc>
          <w:tcPr>
            <w:tcW w:w="1418" w:type="dxa"/>
            <w:vAlign w:val="center"/>
            <w:hideMark/>
          </w:tcPr>
          <w:p w14:paraId="6B459486"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&gt; 401</w:t>
            </w:r>
          </w:p>
        </w:tc>
        <w:tc>
          <w:tcPr>
            <w:tcW w:w="1315" w:type="dxa"/>
            <w:vAlign w:val="center"/>
            <w:hideMark/>
          </w:tcPr>
          <w:p w14:paraId="675FBD7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5EF4172E"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0 (0%)</w:t>
            </w:r>
          </w:p>
        </w:tc>
        <w:tc>
          <w:tcPr>
            <w:tcW w:w="0" w:type="auto"/>
            <w:vAlign w:val="center"/>
            <w:hideMark/>
          </w:tcPr>
          <w:p w14:paraId="552A2C35"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4 (10%)</w:t>
            </w:r>
          </w:p>
        </w:tc>
        <w:tc>
          <w:tcPr>
            <w:tcW w:w="0" w:type="auto"/>
            <w:vAlign w:val="center"/>
            <w:hideMark/>
          </w:tcPr>
          <w:p w14:paraId="4DEEC7B1"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3 (9%)</w:t>
            </w:r>
          </w:p>
        </w:tc>
        <w:tc>
          <w:tcPr>
            <w:tcW w:w="0" w:type="auto"/>
            <w:vAlign w:val="center"/>
            <w:hideMark/>
          </w:tcPr>
          <w:p w14:paraId="5C6FB45B"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7</w:t>
            </w:r>
          </w:p>
        </w:tc>
        <w:tc>
          <w:tcPr>
            <w:tcW w:w="0" w:type="auto"/>
            <w:vAlign w:val="center"/>
            <w:hideMark/>
          </w:tcPr>
          <w:p w14:paraId="4466E5D8" w14:textId="77777777" w:rsidR="00092AE9" w:rsidRPr="00092AE9" w:rsidRDefault="00092AE9" w:rsidP="00883683">
            <w:pPr>
              <w:jc w:val="center"/>
              <w:rPr>
                <w:rFonts w:ascii="Arial" w:eastAsia="Times New Roman" w:hAnsi="Arial" w:cs="Arial"/>
                <w:sz w:val="20"/>
                <w:szCs w:val="20"/>
                <w:lang w:eastAsia="zh-CN" w:bidi="km-KH"/>
              </w:rPr>
            </w:pPr>
            <w:r w:rsidRPr="00092AE9">
              <w:rPr>
                <w:rFonts w:ascii="Arial" w:eastAsia="Times New Roman" w:hAnsi="Arial" w:cs="Arial"/>
                <w:sz w:val="20"/>
                <w:szCs w:val="20"/>
                <w:lang w:eastAsia="zh-CN" w:bidi="km-KH"/>
              </w:rPr>
              <w:t>6%</w:t>
            </w:r>
          </w:p>
        </w:tc>
      </w:tr>
    </w:tbl>
    <w:p w14:paraId="6C37EF87" w14:textId="77777777" w:rsidR="00790ADA" w:rsidRDefault="00790ADA" w:rsidP="00441B6F">
      <w:pPr>
        <w:pStyle w:val="Body"/>
        <w:spacing w:after="0"/>
        <w:rPr>
          <w:rFonts w:ascii="Arial" w:hAnsi="Arial" w:cs="Arial"/>
        </w:rPr>
      </w:pPr>
    </w:p>
    <w:p w14:paraId="1CC7A59D" w14:textId="77777777" w:rsidR="00092AE9" w:rsidRPr="00092AE9" w:rsidRDefault="00092AE9" w:rsidP="00092AE9">
      <w:pPr>
        <w:spacing w:after="160" w:line="259" w:lineRule="auto"/>
        <w:rPr>
          <w:b/>
          <w:bCs/>
          <w:szCs w:val="24"/>
          <w:lang w:bidi="km-KH"/>
        </w:rPr>
      </w:pPr>
      <w:r w:rsidRPr="00092AE9">
        <w:rPr>
          <w:b/>
          <w:bCs/>
          <w:szCs w:val="24"/>
          <w:lang w:bidi="km-KH"/>
        </w:rPr>
        <w:t>3.2 Types of Financial Institutions Used by Respondents</w:t>
      </w:r>
    </w:p>
    <w:p w14:paraId="7A552097" w14:textId="0C6DCF23" w:rsidR="00092AE9" w:rsidRDefault="00092AE9" w:rsidP="00092AE9">
      <w:pPr>
        <w:pStyle w:val="Body"/>
        <w:spacing w:after="0"/>
        <w:rPr>
          <w:rFonts w:ascii="Arial" w:hAnsi="Arial" w:cs="Arial"/>
        </w:rPr>
      </w:pPr>
      <w:r w:rsidRPr="00092AE9">
        <w:rPr>
          <w:rFonts w:ascii="Arial" w:hAnsi="Arial" w:cs="Arial"/>
        </w:rPr>
        <w:t>Fig</w:t>
      </w:r>
      <w:r w:rsidR="006C565F">
        <w:rPr>
          <w:rFonts w:ascii="Arial" w:hAnsi="Arial" w:cs="Arial"/>
        </w:rPr>
        <w:t xml:space="preserve">. </w:t>
      </w:r>
      <w:r w:rsidRPr="00092AE9">
        <w:rPr>
          <w:rFonts w:ascii="Arial" w:hAnsi="Arial" w:cs="Arial"/>
        </w:rPr>
        <w:t xml:space="preserve">1 shows the types of financial institutions that people use most frequently for loans. The results show that LOLC is the credit institution with the largest number of clients, accounting for 40% of all borrowers, followed by AMK (23%), while ACLEDA, </w:t>
      </w:r>
      <w:proofErr w:type="spellStart"/>
      <w:r w:rsidRPr="00092AE9">
        <w:rPr>
          <w:rFonts w:ascii="Arial" w:hAnsi="Arial" w:cs="Arial"/>
        </w:rPr>
        <w:t>Mohanokor</w:t>
      </w:r>
      <w:proofErr w:type="spellEnd"/>
      <w:r w:rsidRPr="00092AE9">
        <w:rPr>
          <w:rFonts w:ascii="Arial" w:hAnsi="Arial" w:cs="Arial"/>
        </w:rPr>
        <w:t xml:space="preserve">, </w:t>
      </w:r>
      <w:proofErr w:type="spellStart"/>
      <w:r w:rsidRPr="00092AE9">
        <w:rPr>
          <w:rFonts w:ascii="Arial" w:hAnsi="Arial" w:cs="Arial"/>
        </w:rPr>
        <w:t>Prasac</w:t>
      </w:r>
      <w:proofErr w:type="spellEnd"/>
      <w:r w:rsidRPr="00092AE9">
        <w:rPr>
          <w:rFonts w:ascii="Arial" w:hAnsi="Arial" w:cs="Arial"/>
        </w:rPr>
        <w:t xml:space="preserve"> and Woori have lower service rates, ranging from 8–11%. The results show that LOLC and AMK have the highest service coverage and borrower selection in Kampong Cham commune. This popularity may be due to their flexible loan terms, convenient branch locations, and customer trust built through a long history of providing services in rural Cambodia. While institutions such as </w:t>
      </w:r>
      <w:proofErr w:type="spellStart"/>
      <w:r w:rsidRPr="00092AE9">
        <w:rPr>
          <w:rFonts w:ascii="Arial" w:hAnsi="Arial" w:cs="Arial"/>
        </w:rPr>
        <w:t>Prasac</w:t>
      </w:r>
      <w:proofErr w:type="spellEnd"/>
      <w:r w:rsidRPr="00092AE9">
        <w:rPr>
          <w:rFonts w:ascii="Arial" w:hAnsi="Arial" w:cs="Arial"/>
        </w:rPr>
        <w:t xml:space="preserve">, </w:t>
      </w:r>
      <w:proofErr w:type="spellStart"/>
      <w:r w:rsidRPr="00092AE9">
        <w:rPr>
          <w:rFonts w:ascii="Arial" w:hAnsi="Arial" w:cs="Arial"/>
        </w:rPr>
        <w:t>Mohanokor</w:t>
      </w:r>
      <w:proofErr w:type="spellEnd"/>
      <w:r w:rsidRPr="00092AE9">
        <w:rPr>
          <w:rFonts w:ascii="Arial" w:hAnsi="Arial" w:cs="Arial"/>
        </w:rPr>
        <w:t xml:space="preserve"> and Woori have fewer clients, this may be due to strict collateral requirements or lack of access to rural communities. Overall, these results indicate that the microfinance sector in Kampong Cham commune is concentrated in a few large institutions, which indicates a lack of diversity in credit sources and may lead to market dominance by LOLC and AMK institutions. Such a narrow institutional focus could affect borrower behavior, competitive interest rates, and ease of access to credit for people in different villages.</w:t>
      </w:r>
    </w:p>
    <w:p w14:paraId="22AB5B6E" w14:textId="45B924C3" w:rsidR="00092AE9" w:rsidRDefault="00092AE9" w:rsidP="00092AE9">
      <w:pPr>
        <w:pStyle w:val="Body"/>
        <w:spacing w:after="0"/>
        <w:jc w:val="center"/>
        <w:rPr>
          <w:rFonts w:ascii="Arial" w:hAnsi="Arial" w:cs="Arial"/>
        </w:rPr>
      </w:pPr>
      <w:r>
        <w:rPr>
          <w:b/>
          <w:bCs/>
          <w:noProof/>
          <w:szCs w:val="24"/>
          <w:lang w:bidi="km-KH"/>
        </w:rPr>
        <w:lastRenderedPageBreak/>
        <w:drawing>
          <wp:inline distT="0" distB="0" distL="0" distR="0" wp14:anchorId="6AC41D3C" wp14:editId="41B35FF5">
            <wp:extent cx="4519892" cy="2906485"/>
            <wp:effectExtent l="0" t="0" r="0" b="0"/>
            <wp:docPr id="2550748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4437" cy="2909407"/>
                    </a:xfrm>
                    <a:prstGeom prst="rect">
                      <a:avLst/>
                    </a:prstGeom>
                    <a:noFill/>
                  </pic:spPr>
                </pic:pic>
              </a:graphicData>
            </a:graphic>
          </wp:inline>
        </w:drawing>
      </w:r>
    </w:p>
    <w:p w14:paraId="00F462A9" w14:textId="5437B2EC" w:rsidR="00092AE9" w:rsidRDefault="00092AE9" w:rsidP="00441B6F">
      <w:pPr>
        <w:pStyle w:val="Body"/>
        <w:spacing w:after="0"/>
        <w:rPr>
          <w:rFonts w:ascii="Arial" w:hAnsi="Arial" w:cs="Arial"/>
        </w:rPr>
      </w:pPr>
      <w:r w:rsidRPr="006C565F">
        <w:rPr>
          <w:rFonts w:ascii="Arial" w:hAnsi="Arial" w:cs="Arial"/>
          <w:b/>
          <w:bCs/>
        </w:rPr>
        <w:t>Fig</w:t>
      </w:r>
      <w:r w:rsidR="006C565F">
        <w:rPr>
          <w:rFonts w:ascii="Arial" w:hAnsi="Arial" w:cs="Arial"/>
          <w:b/>
          <w:bCs/>
        </w:rPr>
        <w:t xml:space="preserve">. </w:t>
      </w:r>
      <w:r w:rsidRPr="006C565F">
        <w:rPr>
          <w:rFonts w:ascii="Arial" w:hAnsi="Arial" w:cs="Arial"/>
          <w:b/>
          <w:bCs/>
        </w:rPr>
        <w:t>1.</w:t>
      </w:r>
      <w:r w:rsidRPr="00092AE9">
        <w:rPr>
          <w:rFonts w:ascii="Arial" w:hAnsi="Arial" w:cs="Arial"/>
        </w:rPr>
        <w:t xml:space="preserve"> Percentage distribution of respondents according to the financial institutions they used for credit services in Kampong Cham Commune, </w:t>
      </w:r>
      <w:proofErr w:type="spellStart"/>
      <w:r w:rsidRPr="00092AE9">
        <w:rPr>
          <w:rFonts w:ascii="Arial" w:hAnsi="Arial" w:cs="Arial"/>
        </w:rPr>
        <w:t>Sambour</w:t>
      </w:r>
      <w:proofErr w:type="spellEnd"/>
      <w:r w:rsidRPr="00092AE9">
        <w:rPr>
          <w:rFonts w:ascii="Arial" w:hAnsi="Arial" w:cs="Arial"/>
        </w:rPr>
        <w:t xml:space="preserve"> District, </w:t>
      </w:r>
      <w:proofErr w:type="spellStart"/>
      <w:r w:rsidRPr="00092AE9">
        <w:rPr>
          <w:rFonts w:ascii="Arial" w:hAnsi="Arial" w:cs="Arial"/>
        </w:rPr>
        <w:t>Kratie</w:t>
      </w:r>
      <w:proofErr w:type="spellEnd"/>
      <w:r w:rsidRPr="00092AE9">
        <w:rPr>
          <w:rFonts w:ascii="Arial" w:hAnsi="Arial" w:cs="Arial"/>
        </w:rPr>
        <w:t xml:space="preserve"> Province. LOLC accounted for the largest proportion (40%) of borrowers, followed by AMK (23%), ACLEDA (11%), </w:t>
      </w:r>
      <w:proofErr w:type="spellStart"/>
      <w:r w:rsidRPr="00092AE9">
        <w:rPr>
          <w:rFonts w:ascii="Arial" w:hAnsi="Arial" w:cs="Arial"/>
        </w:rPr>
        <w:t>Mohanokor</w:t>
      </w:r>
      <w:proofErr w:type="spellEnd"/>
      <w:r w:rsidRPr="00092AE9">
        <w:rPr>
          <w:rFonts w:ascii="Arial" w:hAnsi="Arial" w:cs="Arial"/>
        </w:rPr>
        <w:t xml:space="preserve"> (10%), </w:t>
      </w:r>
      <w:proofErr w:type="spellStart"/>
      <w:r w:rsidRPr="00092AE9">
        <w:rPr>
          <w:rFonts w:ascii="Arial" w:hAnsi="Arial" w:cs="Arial"/>
        </w:rPr>
        <w:t>Prasac</w:t>
      </w:r>
      <w:proofErr w:type="spellEnd"/>
      <w:r w:rsidRPr="00092AE9">
        <w:rPr>
          <w:rFonts w:ascii="Arial" w:hAnsi="Arial" w:cs="Arial"/>
        </w:rPr>
        <w:t xml:space="preserve"> (8%), and Woori (8%).</w:t>
      </w:r>
    </w:p>
    <w:p w14:paraId="612487D7" w14:textId="77777777" w:rsidR="00092AE9" w:rsidRPr="00092AE9" w:rsidRDefault="00092AE9" w:rsidP="00092AE9">
      <w:pPr>
        <w:spacing w:after="160" w:line="259" w:lineRule="auto"/>
        <w:rPr>
          <w:b/>
          <w:bCs/>
          <w:szCs w:val="24"/>
          <w:lang w:bidi="km-KH"/>
        </w:rPr>
      </w:pPr>
      <w:r w:rsidRPr="00092AE9">
        <w:rPr>
          <w:b/>
          <w:bCs/>
          <w:szCs w:val="24"/>
          <w:lang w:bidi="km-KH"/>
        </w:rPr>
        <w:t>3. 2 General Awareness and Understanding of Credit Services</w:t>
      </w:r>
    </w:p>
    <w:p w14:paraId="517C21BD" w14:textId="77777777" w:rsidR="00092AE9" w:rsidRPr="00092AE9" w:rsidRDefault="00092AE9" w:rsidP="00092AE9">
      <w:pPr>
        <w:pStyle w:val="Body"/>
        <w:rPr>
          <w:rFonts w:ascii="Arial" w:hAnsi="Arial" w:cs="Arial"/>
        </w:rPr>
      </w:pPr>
      <w:r w:rsidRPr="00092AE9">
        <w:rPr>
          <w:rFonts w:ascii="Arial" w:hAnsi="Arial" w:cs="Arial"/>
        </w:rPr>
        <w:t>Table 2 summarizes respondents’ understanding and perceptions of credit services. Overall, respondents showed moderate understanding of most items (mean values ranged from 3.0 to 3.6 on a 5-point scale). Understanding of the benefits of borrowing (M = 3.64) and trust in credit institutions (M = 3.58) had the highest scores, while understanding of loan terms and repayments was lower (M = 2.98–3.03). Respondents still showed moderate satisfaction with credit services, including customer service (M = 3.48) and the speed of the credit application process (M = 3.50). These results indicate that rural borrowers have a moderate but incomplete understanding of financial tasks and the credit system.</w:t>
      </w:r>
    </w:p>
    <w:p w14:paraId="1C739FB9" w14:textId="22273950" w:rsidR="00092AE9" w:rsidRPr="00092AE9" w:rsidRDefault="00092AE9" w:rsidP="00092AE9">
      <w:pPr>
        <w:pStyle w:val="Body"/>
        <w:spacing w:after="0"/>
        <w:rPr>
          <w:rFonts w:ascii="Arial" w:hAnsi="Arial" w:cs="Arial"/>
          <w:b/>
          <w:bCs/>
        </w:rPr>
      </w:pPr>
      <w:r w:rsidRPr="00092AE9">
        <w:rPr>
          <w:rFonts w:ascii="Arial" w:hAnsi="Arial" w:cs="Arial"/>
          <w:b/>
          <w:bCs/>
        </w:rPr>
        <w:t>Table 2. Awareness and understanding of credit services among respondents.</w:t>
      </w:r>
    </w:p>
    <w:tbl>
      <w:tblPr>
        <w:tblW w:w="8424" w:type="dxa"/>
        <w:tblLook w:val="04A0" w:firstRow="1" w:lastRow="0" w:firstColumn="1" w:lastColumn="0" w:noHBand="0" w:noVBand="1"/>
      </w:tblPr>
      <w:tblGrid>
        <w:gridCol w:w="695"/>
        <w:gridCol w:w="3916"/>
        <w:gridCol w:w="875"/>
        <w:gridCol w:w="716"/>
        <w:gridCol w:w="569"/>
        <w:gridCol w:w="850"/>
        <w:gridCol w:w="803"/>
      </w:tblGrid>
      <w:tr w:rsidR="00092AE9" w:rsidRPr="00092AE9" w14:paraId="5CC941F5" w14:textId="77777777" w:rsidTr="00092AE9">
        <w:trPr>
          <w:trHeight w:val="550"/>
        </w:trPr>
        <w:tc>
          <w:tcPr>
            <w:tcW w:w="695" w:type="dxa"/>
            <w:tcBorders>
              <w:top w:val="single" w:sz="4" w:space="0" w:color="auto"/>
              <w:left w:val="nil"/>
              <w:bottom w:val="single" w:sz="4" w:space="0" w:color="auto"/>
              <w:right w:val="nil"/>
            </w:tcBorders>
            <w:noWrap/>
            <w:vAlign w:val="center"/>
            <w:hideMark/>
          </w:tcPr>
          <w:p w14:paraId="5C15774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cs/>
                <w:lang w:eastAsia="en-GB" w:bidi="km-KH"/>
              </w:rPr>
              <w:t>Code</w:t>
            </w:r>
          </w:p>
        </w:tc>
        <w:tc>
          <w:tcPr>
            <w:tcW w:w="3916" w:type="dxa"/>
            <w:tcBorders>
              <w:top w:val="single" w:sz="4" w:space="0" w:color="auto"/>
              <w:left w:val="nil"/>
              <w:bottom w:val="single" w:sz="4" w:space="0" w:color="auto"/>
              <w:right w:val="nil"/>
            </w:tcBorders>
            <w:noWrap/>
            <w:vAlign w:val="center"/>
            <w:hideMark/>
          </w:tcPr>
          <w:p w14:paraId="3E8E169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cs/>
                <w:lang w:eastAsia="en-GB" w:bidi="km-KH"/>
              </w:rPr>
              <w:t>Description</w:t>
            </w:r>
          </w:p>
        </w:tc>
        <w:tc>
          <w:tcPr>
            <w:tcW w:w="875" w:type="dxa"/>
            <w:tcBorders>
              <w:top w:val="single" w:sz="4" w:space="0" w:color="auto"/>
              <w:left w:val="nil"/>
              <w:bottom w:val="single" w:sz="4" w:space="0" w:color="auto"/>
              <w:right w:val="nil"/>
            </w:tcBorders>
            <w:noWrap/>
            <w:vAlign w:val="center"/>
            <w:hideMark/>
          </w:tcPr>
          <w:p w14:paraId="6C058E5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Sum</w:t>
            </w:r>
          </w:p>
        </w:tc>
        <w:tc>
          <w:tcPr>
            <w:tcW w:w="716" w:type="dxa"/>
            <w:tcBorders>
              <w:top w:val="single" w:sz="4" w:space="0" w:color="auto"/>
              <w:left w:val="nil"/>
              <w:bottom w:val="single" w:sz="4" w:space="0" w:color="auto"/>
              <w:right w:val="nil"/>
            </w:tcBorders>
            <w:noWrap/>
            <w:vAlign w:val="center"/>
            <w:hideMark/>
          </w:tcPr>
          <w:p w14:paraId="2C32D0F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Max</w:t>
            </w:r>
          </w:p>
        </w:tc>
        <w:tc>
          <w:tcPr>
            <w:tcW w:w="569" w:type="dxa"/>
            <w:tcBorders>
              <w:top w:val="single" w:sz="4" w:space="0" w:color="auto"/>
              <w:left w:val="nil"/>
              <w:bottom w:val="single" w:sz="4" w:space="0" w:color="auto"/>
              <w:right w:val="nil"/>
            </w:tcBorders>
            <w:noWrap/>
            <w:vAlign w:val="center"/>
            <w:hideMark/>
          </w:tcPr>
          <w:p w14:paraId="3487451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Min</w:t>
            </w:r>
          </w:p>
        </w:tc>
        <w:tc>
          <w:tcPr>
            <w:tcW w:w="850" w:type="dxa"/>
            <w:tcBorders>
              <w:top w:val="single" w:sz="4" w:space="0" w:color="auto"/>
              <w:left w:val="nil"/>
              <w:bottom w:val="single" w:sz="4" w:space="0" w:color="auto"/>
              <w:right w:val="nil"/>
            </w:tcBorders>
            <w:noWrap/>
            <w:vAlign w:val="center"/>
            <w:hideMark/>
          </w:tcPr>
          <w:p w14:paraId="4473118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Mean</w:t>
            </w:r>
          </w:p>
        </w:tc>
        <w:tc>
          <w:tcPr>
            <w:tcW w:w="803" w:type="dxa"/>
            <w:tcBorders>
              <w:top w:val="single" w:sz="4" w:space="0" w:color="auto"/>
              <w:left w:val="nil"/>
              <w:bottom w:val="single" w:sz="4" w:space="0" w:color="auto"/>
              <w:right w:val="nil"/>
            </w:tcBorders>
            <w:noWrap/>
            <w:vAlign w:val="center"/>
            <w:hideMark/>
          </w:tcPr>
          <w:p w14:paraId="0D75018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SD</w:t>
            </w:r>
          </w:p>
        </w:tc>
      </w:tr>
      <w:tr w:rsidR="00092AE9" w:rsidRPr="00092AE9" w14:paraId="257BD834" w14:textId="77777777" w:rsidTr="00092AE9">
        <w:trPr>
          <w:trHeight w:val="550"/>
        </w:trPr>
        <w:tc>
          <w:tcPr>
            <w:tcW w:w="695" w:type="dxa"/>
            <w:tcBorders>
              <w:top w:val="nil"/>
              <w:left w:val="nil"/>
              <w:bottom w:val="nil"/>
              <w:right w:val="nil"/>
            </w:tcBorders>
            <w:noWrap/>
            <w:hideMark/>
          </w:tcPr>
          <w:p w14:paraId="2FF435A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Q4</w:t>
            </w:r>
          </w:p>
        </w:tc>
        <w:tc>
          <w:tcPr>
            <w:tcW w:w="3916" w:type="dxa"/>
            <w:tcBorders>
              <w:top w:val="nil"/>
              <w:left w:val="nil"/>
              <w:bottom w:val="nil"/>
              <w:right w:val="nil"/>
            </w:tcBorders>
            <w:noWrap/>
            <w:hideMark/>
          </w:tcPr>
          <w:p w14:paraId="46BA7BB1" w14:textId="77777777" w:rsidR="00092AE9" w:rsidRPr="00092AE9" w:rsidRDefault="00092AE9" w:rsidP="00883683">
            <w:pPr>
              <w:rPr>
                <w:rFonts w:ascii="Arial" w:hAnsi="Arial" w:cs="Arial"/>
                <w:color w:val="000000"/>
                <w:lang w:eastAsia="en-GB" w:bidi="km-KH"/>
              </w:rPr>
            </w:pPr>
            <w:r w:rsidRPr="00092AE9">
              <w:rPr>
                <w:rFonts w:ascii="Arial" w:hAnsi="Arial" w:cs="Arial"/>
              </w:rPr>
              <w:t>How well do you understand the terms and conditions of borrowing money from credit institutions?</w:t>
            </w:r>
          </w:p>
        </w:tc>
        <w:tc>
          <w:tcPr>
            <w:tcW w:w="875" w:type="dxa"/>
            <w:tcBorders>
              <w:top w:val="nil"/>
              <w:left w:val="nil"/>
              <w:bottom w:val="nil"/>
              <w:right w:val="nil"/>
            </w:tcBorders>
            <w:noWrap/>
            <w:vAlign w:val="center"/>
            <w:hideMark/>
          </w:tcPr>
          <w:p w14:paraId="7B28081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331</w:t>
            </w:r>
          </w:p>
        </w:tc>
        <w:tc>
          <w:tcPr>
            <w:tcW w:w="716" w:type="dxa"/>
            <w:tcBorders>
              <w:top w:val="nil"/>
              <w:left w:val="nil"/>
              <w:bottom w:val="nil"/>
              <w:right w:val="nil"/>
            </w:tcBorders>
            <w:noWrap/>
            <w:vAlign w:val="center"/>
            <w:hideMark/>
          </w:tcPr>
          <w:p w14:paraId="49CB75E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569" w:type="dxa"/>
            <w:tcBorders>
              <w:top w:val="nil"/>
              <w:left w:val="nil"/>
              <w:bottom w:val="nil"/>
              <w:right w:val="nil"/>
            </w:tcBorders>
            <w:noWrap/>
            <w:vAlign w:val="center"/>
            <w:hideMark/>
          </w:tcPr>
          <w:p w14:paraId="1D77226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7E70343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2.98</w:t>
            </w:r>
          </w:p>
        </w:tc>
        <w:tc>
          <w:tcPr>
            <w:tcW w:w="803" w:type="dxa"/>
            <w:tcBorders>
              <w:top w:val="nil"/>
              <w:left w:val="nil"/>
              <w:bottom w:val="nil"/>
              <w:right w:val="nil"/>
            </w:tcBorders>
            <w:noWrap/>
            <w:vAlign w:val="center"/>
            <w:hideMark/>
          </w:tcPr>
          <w:p w14:paraId="3191126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0.72</w:t>
            </w:r>
          </w:p>
        </w:tc>
      </w:tr>
      <w:tr w:rsidR="00092AE9" w:rsidRPr="00092AE9" w14:paraId="330F8F97" w14:textId="77777777" w:rsidTr="00092AE9">
        <w:trPr>
          <w:trHeight w:val="550"/>
        </w:trPr>
        <w:tc>
          <w:tcPr>
            <w:tcW w:w="695" w:type="dxa"/>
            <w:tcBorders>
              <w:top w:val="nil"/>
              <w:left w:val="nil"/>
              <w:bottom w:val="nil"/>
              <w:right w:val="nil"/>
            </w:tcBorders>
            <w:noWrap/>
            <w:hideMark/>
          </w:tcPr>
          <w:p w14:paraId="1B22141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Q5</w:t>
            </w:r>
          </w:p>
        </w:tc>
        <w:tc>
          <w:tcPr>
            <w:tcW w:w="3916" w:type="dxa"/>
            <w:tcBorders>
              <w:top w:val="nil"/>
              <w:left w:val="nil"/>
              <w:bottom w:val="nil"/>
              <w:right w:val="nil"/>
            </w:tcBorders>
            <w:noWrap/>
            <w:hideMark/>
          </w:tcPr>
          <w:p w14:paraId="056A727B" w14:textId="77777777" w:rsidR="00092AE9" w:rsidRPr="00092AE9" w:rsidRDefault="00092AE9" w:rsidP="00883683">
            <w:pPr>
              <w:rPr>
                <w:rFonts w:ascii="Arial" w:hAnsi="Arial" w:cs="Arial"/>
                <w:color w:val="000000"/>
                <w:lang w:eastAsia="en-GB" w:bidi="km-KH"/>
              </w:rPr>
            </w:pPr>
            <w:r w:rsidRPr="00092AE9">
              <w:rPr>
                <w:rFonts w:ascii="Arial" w:hAnsi="Arial" w:cs="Arial"/>
              </w:rPr>
              <w:t>Do you understand the process of refunds or repayments related to credit services?</w:t>
            </w:r>
          </w:p>
        </w:tc>
        <w:tc>
          <w:tcPr>
            <w:tcW w:w="875" w:type="dxa"/>
            <w:tcBorders>
              <w:top w:val="nil"/>
              <w:left w:val="nil"/>
              <w:bottom w:val="nil"/>
              <w:right w:val="nil"/>
            </w:tcBorders>
            <w:noWrap/>
            <w:vAlign w:val="center"/>
            <w:hideMark/>
          </w:tcPr>
          <w:p w14:paraId="5FB6994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336</w:t>
            </w:r>
          </w:p>
        </w:tc>
        <w:tc>
          <w:tcPr>
            <w:tcW w:w="716" w:type="dxa"/>
            <w:tcBorders>
              <w:top w:val="nil"/>
              <w:left w:val="nil"/>
              <w:bottom w:val="nil"/>
              <w:right w:val="nil"/>
            </w:tcBorders>
            <w:noWrap/>
            <w:vAlign w:val="center"/>
            <w:hideMark/>
          </w:tcPr>
          <w:p w14:paraId="7B22DBE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569" w:type="dxa"/>
            <w:tcBorders>
              <w:top w:val="nil"/>
              <w:left w:val="nil"/>
              <w:bottom w:val="nil"/>
              <w:right w:val="nil"/>
            </w:tcBorders>
            <w:noWrap/>
            <w:vAlign w:val="center"/>
            <w:hideMark/>
          </w:tcPr>
          <w:p w14:paraId="035C40E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0533D3E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3.03</w:t>
            </w:r>
          </w:p>
        </w:tc>
        <w:tc>
          <w:tcPr>
            <w:tcW w:w="803" w:type="dxa"/>
            <w:tcBorders>
              <w:top w:val="nil"/>
              <w:left w:val="nil"/>
              <w:bottom w:val="nil"/>
              <w:right w:val="nil"/>
            </w:tcBorders>
            <w:noWrap/>
            <w:vAlign w:val="center"/>
            <w:hideMark/>
          </w:tcPr>
          <w:p w14:paraId="305474B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0.72</w:t>
            </w:r>
          </w:p>
        </w:tc>
      </w:tr>
      <w:tr w:rsidR="00092AE9" w:rsidRPr="00092AE9" w14:paraId="66F7A12C" w14:textId="77777777" w:rsidTr="00092AE9">
        <w:trPr>
          <w:trHeight w:val="550"/>
        </w:trPr>
        <w:tc>
          <w:tcPr>
            <w:tcW w:w="695" w:type="dxa"/>
            <w:tcBorders>
              <w:top w:val="nil"/>
              <w:left w:val="nil"/>
              <w:bottom w:val="nil"/>
              <w:right w:val="nil"/>
            </w:tcBorders>
            <w:noWrap/>
            <w:hideMark/>
          </w:tcPr>
          <w:p w14:paraId="7704634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Q6</w:t>
            </w:r>
          </w:p>
        </w:tc>
        <w:tc>
          <w:tcPr>
            <w:tcW w:w="3916" w:type="dxa"/>
            <w:tcBorders>
              <w:top w:val="nil"/>
              <w:left w:val="nil"/>
              <w:bottom w:val="nil"/>
              <w:right w:val="nil"/>
            </w:tcBorders>
            <w:noWrap/>
            <w:hideMark/>
          </w:tcPr>
          <w:p w14:paraId="7E61894F" w14:textId="77777777" w:rsidR="00092AE9" w:rsidRPr="00092AE9" w:rsidRDefault="00092AE9" w:rsidP="00883683">
            <w:pPr>
              <w:rPr>
                <w:rFonts w:ascii="Arial" w:hAnsi="Arial" w:cs="Arial"/>
                <w:color w:val="000000"/>
                <w:lang w:eastAsia="en-GB" w:bidi="km-KH"/>
              </w:rPr>
            </w:pPr>
            <w:r w:rsidRPr="00092AE9">
              <w:rPr>
                <w:rFonts w:ascii="Arial" w:hAnsi="Arial" w:cs="Arial"/>
              </w:rPr>
              <w:t>How well do you understand the interest payments charged on credit services?</w:t>
            </w:r>
          </w:p>
        </w:tc>
        <w:tc>
          <w:tcPr>
            <w:tcW w:w="875" w:type="dxa"/>
            <w:tcBorders>
              <w:top w:val="nil"/>
              <w:left w:val="nil"/>
              <w:bottom w:val="nil"/>
              <w:right w:val="nil"/>
            </w:tcBorders>
            <w:noWrap/>
            <w:vAlign w:val="center"/>
            <w:hideMark/>
          </w:tcPr>
          <w:p w14:paraId="7EDD98E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352</w:t>
            </w:r>
          </w:p>
        </w:tc>
        <w:tc>
          <w:tcPr>
            <w:tcW w:w="716" w:type="dxa"/>
            <w:tcBorders>
              <w:top w:val="nil"/>
              <w:left w:val="nil"/>
              <w:bottom w:val="nil"/>
              <w:right w:val="nil"/>
            </w:tcBorders>
            <w:noWrap/>
            <w:vAlign w:val="center"/>
            <w:hideMark/>
          </w:tcPr>
          <w:p w14:paraId="163FC3D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2748D49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300F80C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3.17</w:t>
            </w:r>
          </w:p>
        </w:tc>
        <w:tc>
          <w:tcPr>
            <w:tcW w:w="803" w:type="dxa"/>
            <w:tcBorders>
              <w:top w:val="nil"/>
              <w:left w:val="nil"/>
              <w:bottom w:val="nil"/>
              <w:right w:val="nil"/>
            </w:tcBorders>
            <w:noWrap/>
            <w:vAlign w:val="center"/>
            <w:hideMark/>
          </w:tcPr>
          <w:p w14:paraId="5DCB9A9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0.73</w:t>
            </w:r>
          </w:p>
        </w:tc>
      </w:tr>
      <w:tr w:rsidR="00092AE9" w:rsidRPr="00092AE9" w14:paraId="4098EE08" w14:textId="77777777" w:rsidTr="00092AE9">
        <w:trPr>
          <w:trHeight w:val="550"/>
        </w:trPr>
        <w:tc>
          <w:tcPr>
            <w:tcW w:w="695" w:type="dxa"/>
            <w:tcBorders>
              <w:top w:val="nil"/>
              <w:left w:val="nil"/>
              <w:bottom w:val="nil"/>
              <w:right w:val="nil"/>
            </w:tcBorders>
            <w:noWrap/>
            <w:hideMark/>
          </w:tcPr>
          <w:p w14:paraId="44EF05E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Q7</w:t>
            </w:r>
          </w:p>
        </w:tc>
        <w:tc>
          <w:tcPr>
            <w:tcW w:w="3916" w:type="dxa"/>
            <w:tcBorders>
              <w:top w:val="nil"/>
              <w:left w:val="nil"/>
              <w:bottom w:val="nil"/>
              <w:right w:val="nil"/>
            </w:tcBorders>
            <w:noWrap/>
            <w:hideMark/>
          </w:tcPr>
          <w:p w14:paraId="20C23E7E"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you understand the consequences of borrowing without a proper plan?</w:t>
            </w:r>
          </w:p>
        </w:tc>
        <w:tc>
          <w:tcPr>
            <w:tcW w:w="875" w:type="dxa"/>
            <w:tcBorders>
              <w:top w:val="nil"/>
              <w:left w:val="nil"/>
              <w:bottom w:val="nil"/>
              <w:right w:val="nil"/>
            </w:tcBorders>
            <w:noWrap/>
            <w:vAlign w:val="center"/>
            <w:hideMark/>
          </w:tcPr>
          <w:p w14:paraId="56E43DD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404</w:t>
            </w:r>
          </w:p>
        </w:tc>
        <w:tc>
          <w:tcPr>
            <w:tcW w:w="716" w:type="dxa"/>
            <w:tcBorders>
              <w:top w:val="nil"/>
              <w:left w:val="nil"/>
              <w:bottom w:val="nil"/>
              <w:right w:val="nil"/>
            </w:tcBorders>
            <w:noWrap/>
            <w:vAlign w:val="center"/>
            <w:hideMark/>
          </w:tcPr>
          <w:p w14:paraId="0D263C2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0EDF4B9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2764818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3.64</w:t>
            </w:r>
          </w:p>
        </w:tc>
        <w:tc>
          <w:tcPr>
            <w:tcW w:w="803" w:type="dxa"/>
            <w:tcBorders>
              <w:top w:val="nil"/>
              <w:left w:val="nil"/>
              <w:bottom w:val="nil"/>
              <w:right w:val="nil"/>
            </w:tcBorders>
            <w:noWrap/>
            <w:vAlign w:val="center"/>
            <w:hideMark/>
          </w:tcPr>
          <w:p w14:paraId="55C9FA6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0.74</w:t>
            </w:r>
          </w:p>
        </w:tc>
      </w:tr>
      <w:tr w:rsidR="00092AE9" w:rsidRPr="00092AE9" w14:paraId="116EAE3A" w14:textId="77777777" w:rsidTr="00092AE9">
        <w:trPr>
          <w:trHeight w:val="550"/>
        </w:trPr>
        <w:tc>
          <w:tcPr>
            <w:tcW w:w="695" w:type="dxa"/>
            <w:tcBorders>
              <w:top w:val="nil"/>
              <w:left w:val="nil"/>
              <w:bottom w:val="nil"/>
              <w:right w:val="nil"/>
            </w:tcBorders>
            <w:noWrap/>
            <w:hideMark/>
          </w:tcPr>
          <w:p w14:paraId="45F078D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Q8</w:t>
            </w:r>
          </w:p>
        </w:tc>
        <w:tc>
          <w:tcPr>
            <w:tcW w:w="3916" w:type="dxa"/>
            <w:tcBorders>
              <w:top w:val="nil"/>
              <w:left w:val="nil"/>
              <w:bottom w:val="nil"/>
              <w:right w:val="nil"/>
            </w:tcBorders>
            <w:noWrap/>
            <w:hideMark/>
          </w:tcPr>
          <w:p w14:paraId="35593C21"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you understand the benefits of using credit services?</w:t>
            </w:r>
          </w:p>
        </w:tc>
        <w:tc>
          <w:tcPr>
            <w:tcW w:w="875" w:type="dxa"/>
            <w:tcBorders>
              <w:top w:val="nil"/>
              <w:left w:val="nil"/>
              <w:bottom w:val="nil"/>
              <w:right w:val="nil"/>
            </w:tcBorders>
            <w:noWrap/>
            <w:vAlign w:val="center"/>
            <w:hideMark/>
          </w:tcPr>
          <w:p w14:paraId="3B649E4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366</w:t>
            </w:r>
          </w:p>
        </w:tc>
        <w:tc>
          <w:tcPr>
            <w:tcW w:w="716" w:type="dxa"/>
            <w:tcBorders>
              <w:top w:val="nil"/>
              <w:left w:val="nil"/>
              <w:bottom w:val="nil"/>
              <w:right w:val="nil"/>
            </w:tcBorders>
            <w:noWrap/>
            <w:vAlign w:val="center"/>
            <w:hideMark/>
          </w:tcPr>
          <w:p w14:paraId="1E18A69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32BAD8E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4520C42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3.30</w:t>
            </w:r>
          </w:p>
        </w:tc>
        <w:tc>
          <w:tcPr>
            <w:tcW w:w="803" w:type="dxa"/>
            <w:tcBorders>
              <w:top w:val="nil"/>
              <w:left w:val="nil"/>
              <w:bottom w:val="nil"/>
              <w:right w:val="nil"/>
            </w:tcBorders>
            <w:noWrap/>
            <w:vAlign w:val="center"/>
            <w:hideMark/>
          </w:tcPr>
          <w:p w14:paraId="1512E88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0.73</w:t>
            </w:r>
          </w:p>
        </w:tc>
      </w:tr>
      <w:tr w:rsidR="00092AE9" w:rsidRPr="00092AE9" w14:paraId="2E2473E5" w14:textId="77777777" w:rsidTr="00092AE9">
        <w:trPr>
          <w:trHeight w:val="550"/>
        </w:trPr>
        <w:tc>
          <w:tcPr>
            <w:tcW w:w="695" w:type="dxa"/>
            <w:tcBorders>
              <w:top w:val="nil"/>
              <w:left w:val="nil"/>
              <w:bottom w:val="nil"/>
              <w:right w:val="nil"/>
            </w:tcBorders>
            <w:noWrap/>
            <w:hideMark/>
          </w:tcPr>
          <w:p w14:paraId="5E1EA93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lastRenderedPageBreak/>
              <w:t>Q9</w:t>
            </w:r>
          </w:p>
        </w:tc>
        <w:tc>
          <w:tcPr>
            <w:tcW w:w="3916" w:type="dxa"/>
            <w:tcBorders>
              <w:top w:val="nil"/>
              <w:left w:val="nil"/>
              <w:bottom w:val="nil"/>
              <w:right w:val="nil"/>
            </w:tcBorders>
            <w:noWrap/>
            <w:hideMark/>
          </w:tcPr>
          <w:p w14:paraId="594F252F"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you understand the disadvantages or risks of using credit services?</w:t>
            </w:r>
          </w:p>
        </w:tc>
        <w:tc>
          <w:tcPr>
            <w:tcW w:w="875" w:type="dxa"/>
            <w:tcBorders>
              <w:top w:val="nil"/>
              <w:left w:val="nil"/>
              <w:bottom w:val="nil"/>
              <w:right w:val="nil"/>
            </w:tcBorders>
            <w:noWrap/>
            <w:vAlign w:val="center"/>
            <w:hideMark/>
          </w:tcPr>
          <w:p w14:paraId="4C52535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368</w:t>
            </w:r>
          </w:p>
        </w:tc>
        <w:tc>
          <w:tcPr>
            <w:tcW w:w="716" w:type="dxa"/>
            <w:tcBorders>
              <w:top w:val="nil"/>
              <w:left w:val="nil"/>
              <w:bottom w:val="nil"/>
              <w:right w:val="nil"/>
            </w:tcBorders>
            <w:noWrap/>
            <w:vAlign w:val="center"/>
            <w:hideMark/>
          </w:tcPr>
          <w:p w14:paraId="0D55081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1223B35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7EA3124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3.32</w:t>
            </w:r>
          </w:p>
        </w:tc>
        <w:tc>
          <w:tcPr>
            <w:tcW w:w="803" w:type="dxa"/>
            <w:tcBorders>
              <w:top w:val="nil"/>
              <w:left w:val="nil"/>
              <w:bottom w:val="nil"/>
              <w:right w:val="nil"/>
            </w:tcBorders>
            <w:noWrap/>
            <w:vAlign w:val="center"/>
            <w:hideMark/>
          </w:tcPr>
          <w:p w14:paraId="5100FE3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0.72</w:t>
            </w:r>
          </w:p>
        </w:tc>
      </w:tr>
      <w:tr w:rsidR="00092AE9" w:rsidRPr="00092AE9" w14:paraId="69CB80AC" w14:textId="77777777" w:rsidTr="00092AE9">
        <w:trPr>
          <w:trHeight w:val="550"/>
        </w:trPr>
        <w:tc>
          <w:tcPr>
            <w:tcW w:w="695" w:type="dxa"/>
            <w:tcBorders>
              <w:top w:val="nil"/>
              <w:left w:val="nil"/>
              <w:bottom w:val="nil"/>
              <w:right w:val="nil"/>
            </w:tcBorders>
            <w:noWrap/>
            <w:hideMark/>
          </w:tcPr>
          <w:p w14:paraId="477EE6B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Q11</w:t>
            </w:r>
          </w:p>
        </w:tc>
        <w:tc>
          <w:tcPr>
            <w:tcW w:w="3916" w:type="dxa"/>
            <w:tcBorders>
              <w:top w:val="nil"/>
              <w:left w:val="nil"/>
              <w:bottom w:val="nil"/>
              <w:right w:val="nil"/>
            </w:tcBorders>
            <w:noWrap/>
            <w:hideMark/>
          </w:tcPr>
          <w:p w14:paraId="6A65E21B" w14:textId="77777777" w:rsidR="00092AE9" w:rsidRPr="00092AE9" w:rsidRDefault="00092AE9" w:rsidP="00883683">
            <w:pPr>
              <w:rPr>
                <w:rFonts w:ascii="Arial" w:hAnsi="Arial" w:cs="Arial"/>
                <w:color w:val="000000"/>
                <w:lang w:eastAsia="en-GB" w:bidi="km-KH"/>
              </w:rPr>
            </w:pPr>
            <w:r w:rsidRPr="00092AE9">
              <w:rPr>
                <w:rFonts w:ascii="Arial" w:hAnsi="Arial" w:cs="Arial"/>
              </w:rPr>
              <w:t>Do you trust the information provided about credit terms and conditions?</w:t>
            </w:r>
          </w:p>
        </w:tc>
        <w:tc>
          <w:tcPr>
            <w:tcW w:w="875" w:type="dxa"/>
            <w:tcBorders>
              <w:top w:val="nil"/>
              <w:left w:val="nil"/>
              <w:bottom w:val="nil"/>
              <w:right w:val="nil"/>
            </w:tcBorders>
            <w:noWrap/>
            <w:vAlign w:val="center"/>
            <w:hideMark/>
          </w:tcPr>
          <w:p w14:paraId="61A007A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397</w:t>
            </w:r>
          </w:p>
        </w:tc>
        <w:tc>
          <w:tcPr>
            <w:tcW w:w="716" w:type="dxa"/>
            <w:tcBorders>
              <w:top w:val="nil"/>
              <w:left w:val="nil"/>
              <w:bottom w:val="nil"/>
              <w:right w:val="nil"/>
            </w:tcBorders>
            <w:noWrap/>
            <w:vAlign w:val="center"/>
            <w:hideMark/>
          </w:tcPr>
          <w:p w14:paraId="5352E72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2E7A168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1CBE6F8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3.58</w:t>
            </w:r>
          </w:p>
        </w:tc>
        <w:tc>
          <w:tcPr>
            <w:tcW w:w="803" w:type="dxa"/>
            <w:tcBorders>
              <w:top w:val="nil"/>
              <w:left w:val="nil"/>
              <w:bottom w:val="nil"/>
              <w:right w:val="nil"/>
            </w:tcBorders>
            <w:noWrap/>
            <w:vAlign w:val="center"/>
            <w:hideMark/>
          </w:tcPr>
          <w:p w14:paraId="50C9D3B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0.73</w:t>
            </w:r>
          </w:p>
        </w:tc>
      </w:tr>
      <w:tr w:rsidR="00092AE9" w:rsidRPr="00092AE9" w14:paraId="7C28EE58" w14:textId="77777777" w:rsidTr="00092AE9">
        <w:trPr>
          <w:trHeight w:val="550"/>
        </w:trPr>
        <w:tc>
          <w:tcPr>
            <w:tcW w:w="695" w:type="dxa"/>
            <w:tcBorders>
              <w:top w:val="nil"/>
              <w:left w:val="nil"/>
              <w:bottom w:val="nil"/>
              <w:right w:val="nil"/>
            </w:tcBorders>
            <w:noWrap/>
            <w:hideMark/>
          </w:tcPr>
          <w:p w14:paraId="3F142FF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Q12</w:t>
            </w:r>
          </w:p>
        </w:tc>
        <w:tc>
          <w:tcPr>
            <w:tcW w:w="3916" w:type="dxa"/>
            <w:tcBorders>
              <w:top w:val="nil"/>
              <w:left w:val="nil"/>
              <w:bottom w:val="nil"/>
              <w:right w:val="nil"/>
            </w:tcBorders>
            <w:noWrap/>
            <w:hideMark/>
          </w:tcPr>
          <w:p w14:paraId="0481A6CD" w14:textId="77777777" w:rsidR="00092AE9" w:rsidRPr="00092AE9" w:rsidRDefault="00092AE9" w:rsidP="00883683">
            <w:pPr>
              <w:rPr>
                <w:rFonts w:ascii="Arial" w:hAnsi="Arial" w:cs="Arial"/>
                <w:color w:val="000000"/>
                <w:lang w:eastAsia="en-GB" w:bidi="km-KH"/>
              </w:rPr>
            </w:pPr>
            <w:r w:rsidRPr="00092AE9">
              <w:rPr>
                <w:rFonts w:ascii="Arial" w:hAnsi="Arial" w:cs="Arial"/>
              </w:rPr>
              <w:t>Do you trust credit institutions to provide fair and transparent credit services?</w:t>
            </w:r>
          </w:p>
        </w:tc>
        <w:tc>
          <w:tcPr>
            <w:tcW w:w="875" w:type="dxa"/>
            <w:tcBorders>
              <w:top w:val="nil"/>
              <w:left w:val="nil"/>
              <w:bottom w:val="nil"/>
              <w:right w:val="nil"/>
            </w:tcBorders>
            <w:noWrap/>
            <w:vAlign w:val="center"/>
            <w:hideMark/>
          </w:tcPr>
          <w:p w14:paraId="7CE8A83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401</w:t>
            </w:r>
          </w:p>
        </w:tc>
        <w:tc>
          <w:tcPr>
            <w:tcW w:w="716" w:type="dxa"/>
            <w:tcBorders>
              <w:top w:val="nil"/>
              <w:left w:val="nil"/>
              <w:bottom w:val="nil"/>
              <w:right w:val="nil"/>
            </w:tcBorders>
            <w:noWrap/>
            <w:vAlign w:val="center"/>
            <w:hideMark/>
          </w:tcPr>
          <w:p w14:paraId="04892F9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1DF3EBA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nil"/>
              <w:right w:val="nil"/>
            </w:tcBorders>
            <w:noWrap/>
            <w:vAlign w:val="center"/>
            <w:hideMark/>
          </w:tcPr>
          <w:p w14:paraId="31A4552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3.61</w:t>
            </w:r>
          </w:p>
        </w:tc>
        <w:tc>
          <w:tcPr>
            <w:tcW w:w="803" w:type="dxa"/>
            <w:tcBorders>
              <w:top w:val="nil"/>
              <w:left w:val="nil"/>
              <w:bottom w:val="nil"/>
              <w:right w:val="nil"/>
            </w:tcBorders>
            <w:noWrap/>
            <w:vAlign w:val="center"/>
            <w:hideMark/>
          </w:tcPr>
          <w:p w14:paraId="0863EA8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0.74</w:t>
            </w:r>
          </w:p>
        </w:tc>
      </w:tr>
      <w:tr w:rsidR="00092AE9" w:rsidRPr="00092AE9" w14:paraId="5D15ABBD" w14:textId="77777777" w:rsidTr="00092AE9">
        <w:trPr>
          <w:trHeight w:val="550"/>
        </w:trPr>
        <w:tc>
          <w:tcPr>
            <w:tcW w:w="695" w:type="dxa"/>
            <w:tcBorders>
              <w:top w:val="nil"/>
              <w:left w:val="nil"/>
              <w:bottom w:val="nil"/>
              <w:right w:val="nil"/>
            </w:tcBorders>
            <w:noWrap/>
            <w:hideMark/>
          </w:tcPr>
          <w:p w14:paraId="494C93B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Q14</w:t>
            </w:r>
          </w:p>
        </w:tc>
        <w:tc>
          <w:tcPr>
            <w:tcW w:w="3916" w:type="dxa"/>
            <w:tcBorders>
              <w:top w:val="nil"/>
              <w:left w:val="nil"/>
              <w:bottom w:val="nil"/>
              <w:right w:val="nil"/>
            </w:tcBorders>
            <w:noWrap/>
            <w:hideMark/>
          </w:tcPr>
          <w:p w14:paraId="19CC978C" w14:textId="77777777" w:rsidR="00092AE9" w:rsidRPr="00092AE9" w:rsidRDefault="00092AE9" w:rsidP="00883683">
            <w:pPr>
              <w:rPr>
                <w:rFonts w:ascii="Arial" w:hAnsi="Arial" w:cs="Arial"/>
                <w:color w:val="000000"/>
                <w:lang w:eastAsia="en-GB" w:bidi="km-KH"/>
              </w:rPr>
            </w:pPr>
            <w:r w:rsidRPr="00092AE9">
              <w:rPr>
                <w:rFonts w:ascii="Arial" w:hAnsi="Arial" w:cs="Arial"/>
              </w:rPr>
              <w:t>Do you believe that using credit services is beneficial to your financial situation?</w:t>
            </w:r>
          </w:p>
        </w:tc>
        <w:tc>
          <w:tcPr>
            <w:tcW w:w="875" w:type="dxa"/>
            <w:tcBorders>
              <w:top w:val="nil"/>
              <w:left w:val="nil"/>
              <w:bottom w:val="nil"/>
              <w:right w:val="nil"/>
            </w:tcBorders>
            <w:noWrap/>
            <w:vAlign w:val="center"/>
            <w:hideMark/>
          </w:tcPr>
          <w:p w14:paraId="58DEA03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386</w:t>
            </w:r>
          </w:p>
        </w:tc>
        <w:tc>
          <w:tcPr>
            <w:tcW w:w="716" w:type="dxa"/>
            <w:tcBorders>
              <w:top w:val="nil"/>
              <w:left w:val="nil"/>
              <w:bottom w:val="nil"/>
              <w:right w:val="nil"/>
            </w:tcBorders>
            <w:noWrap/>
            <w:vAlign w:val="center"/>
            <w:hideMark/>
          </w:tcPr>
          <w:p w14:paraId="6FB4327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6F01080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w:t>
            </w:r>
          </w:p>
        </w:tc>
        <w:tc>
          <w:tcPr>
            <w:tcW w:w="850" w:type="dxa"/>
            <w:tcBorders>
              <w:top w:val="nil"/>
              <w:left w:val="nil"/>
              <w:bottom w:val="nil"/>
              <w:right w:val="nil"/>
            </w:tcBorders>
            <w:noWrap/>
            <w:vAlign w:val="center"/>
            <w:hideMark/>
          </w:tcPr>
          <w:p w14:paraId="159EA84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3.48</w:t>
            </w:r>
          </w:p>
        </w:tc>
        <w:tc>
          <w:tcPr>
            <w:tcW w:w="803" w:type="dxa"/>
            <w:tcBorders>
              <w:top w:val="nil"/>
              <w:left w:val="nil"/>
              <w:bottom w:val="nil"/>
              <w:right w:val="nil"/>
            </w:tcBorders>
            <w:noWrap/>
            <w:vAlign w:val="center"/>
            <w:hideMark/>
          </w:tcPr>
          <w:p w14:paraId="02AA5F4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0.75</w:t>
            </w:r>
          </w:p>
        </w:tc>
      </w:tr>
      <w:tr w:rsidR="00092AE9" w:rsidRPr="00092AE9" w14:paraId="267940CA" w14:textId="77777777" w:rsidTr="00092AE9">
        <w:trPr>
          <w:trHeight w:val="550"/>
        </w:trPr>
        <w:tc>
          <w:tcPr>
            <w:tcW w:w="695" w:type="dxa"/>
            <w:tcBorders>
              <w:top w:val="nil"/>
              <w:left w:val="nil"/>
              <w:bottom w:val="nil"/>
              <w:right w:val="nil"/>
            </w:tcBorders>
            <w:noWrap/>
            <w:hideMark/>
          </w:tcPr>
          <w:p w14:paraId="236A4B0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Q15</w:t>
            </w:r>
          </w:p>
        </w:tc>
        <w:tc>
          <w:tcPr>
            <w:tcW w:w="3916" w:type="dxa"/>
            <w:tcBorders>
              <w:top w:val="nil"/>
              <w:left w:val="nil"/>
              <w:bottom w:val="nil"/>
              <w:right w:val="nil"/>
            </w:tcBorders>
            <w:noWrap/>
            <w:hideMark/>
          </w:tcPr>
          <w:p w14:paraId="3FCE16F3" w14:textId="77777777" w:rsidR="00092AE9" w:rsidRPr="00092AE9" w:rsidRDefault="00092AE9" w:rsidP="00883683">
            <w:pPr>
              <w:rPr>
                <w:rFonts w:ascii="Arial" w:hAnsi="Arial" w:cs="Arial"/>
                <w:color w:val="000000"/>
                <w:lang w:eastAsia="en-GB" w:bidi="km-KH"/>
              </w:rPr>
            </w:pPr>
            <w:r w:rsidRPr="00092AE9">
              <w:rPr>
                <w:rFonts w:ascii="Arial" w:hAnsi="Arial" w:cs="Arial"/>
              </w:rPr>
              <w:t>Are you satisfied with the customer service provided by the credit institution?</w:t>
            </w:r>
          </w:p>
        </w:tc>
        <w:tc>
          <w:tcPr>
            <w:tcW w:w="875" w:type="dxa"/>
            <w:tcBorders>
              <w:top w:val="nil"/>
              <w:left w:val="nil"/>
              <w:bottom w:val="nil"/>
              <w:right w:val="nil"/>
            </w:tcBorders>
            <w:noWrap/>
            <w:vAlign w:val="center"/>
            <w:hideMark/>
          </w:tcPr>
          <w:p w14:paraId="6053515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377</w:t>
            </w:r>
          </w:p>
        </w:tc>
        <w:tc>
          <w:tcPr>
            <w:tcW w:w="716" w:type="dxa"/>
            <w:tcBorders>
              <w:top w:val="nil"/>
              <w:left w:val="nil"/>
              <w:bottom w:val="nil"/>
              <w:right w:val="nil"/>
            </w:tcBorders>
            <w:noWrap/>
            <w:vAlign w:val="center"/>
            <w:hideMark/>
          </w:tcPr>
          <w:p w14:paraId="7763D05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569" w:type="dxa"/>
            <w:tcBorders>
              <w:top w:val="nil"/>
              <w:left w:val="nil"/>
              <w:bottom w:val="nil"/>
              <w:right w:val="nil"/>
            </w:tcBorders>
            <w:noWrap/>
            <w:vAlign w:val="center"/>
            <w:hideMark/>
          </w:tcPr>
          <w:p w14:paraId="4B3B943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w:t>
            </w:r>
          </w:p>
        </w:tc>
        <w:tc>
          <w:tcPr>
            <w:tcW w:w="850" w:type="dxa"/>
            <w:tcBorders>
              <w:top w:val="nil"/>
              <w:left w:val="nil"/>
              <w:bottom w:val="nil"/>
              <w:right w:val="nil"/>
            </w:tcBorders>
            <w:noWrap/>
            <w:vAlign w:val="center"/>
            <w:hideMark/>
          </w:tcPr>
          <w:p w14:paraId="47B28F5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3.40</w:t>
            </w:r>
          </w:p>
        </w:tc>
        <w:tc>
          <w:tcPr>
            <w:tcW w:w="803" w:type="dxa"/>
            <w:tcBorders>
              <w:top w:val="nil"/>
              <w:left w:val="nil"/>
              <w:bottom w:val="nil"/>
              <w:right w:val="nil"/>
            </w:tcBorders>
            <w:noWrap/>
            <w:vAlign w:val="center"/>
            <w:hideMark/>
          </w:tcPr>
          <w:p w14:paraId="2832231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0.74</w:t>
            </w:r>
          </w:p>
        </w:tc>
      </w:tr>
      <w:tr w:rsidR="00092AE9" w:rsidRPr="00092AE9" w14:paraId="1F83D4D6" w14:textId="77777777" w:rsidTr="00092AE9">
        <w:trPr>
          <w:trHeight w:val="550"/>
        </w:trPr>
        <w:tc>
          <w:tcPr>
            <w:tcW w:w="695" w:type="dxa"/>
            <w:tcBorders>
              <w:top w:val="nil"/>
              <w:left w:val="nil"/>
              <w:bottom w:val="nil"/>
              <w:right w:val="nil"/>
            </w:tcBorders>
            <w:noWrap/>
            <w:hideMark/>
          </w:tcPr>
          <w:p w14:paraId="14B73C8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Q16</w:t>
            </w:r>
          </w:p>
        </w:tc>
        <w:tc>
          <w:tcPr>
            <w:tcW w:w="3916" w:type="dxa"/>
            <w:tcBorders>
              <w:top w:val="nil"/>
              <w:left w:val="nil"/>
              <w:bottom w:val="nil"/>
              <w:right w:val="nil"/>
            </w:tcBorders>
            <w:noWrap/>
            <w:hideMark/>
          </w:tcPr>
          <w:p w14:paraId="5499FB41" w14:textId="77777777" w:rsidR="00092AE9" w:rsidRPr="00092AE9" w:rsidRDefault="00092AE9" w:rsidP="00883683">
            <w:pPr>
              <w:rPr>
                <w:rFonts w:ascii="Arial" w:hAnsi="Arial" w:cs="Arial"/>
                <w:color w:val="000000"/>
                <w:lang w:eastAsia="en-GB" w:bidi="km-KH"/>
              </w:rPr>
            </w:pPr>
            <w:r w:rsidRPr="00092AE9">
              <w:rPr>
                <w:rFonts w:ascii="Arial" w:hAnsi="Arial" w:cs="Arial"/>
              </w:rPr>
              <w:t>Are you satisfied with the information provided about borrowing and repayment?</w:t>
            </w:r>
          </w:p>
        </w:tc>
        <w:tc>
          <w:tcPr>
            <w:tcW w:w="875" w:type="dxa"/>
            <w:tcBorders>
              <w:top w:val="nil"/>
              <w:left w:val="nil"/>
              <w:bottom w:val="nil"/>
              <w:right w:val="nil"/>
            </w:tcBorders>
            <w:noWrap/>
            <w:vAlign w:val="center"/>
            <w:hideMark/>
          </w:tcPr>
          <w:p w14:paraId="3248E24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388</w:t>
            </w:r>
          </w:p>
        </w:tc>
        <w:tc>
          <w:tcPr>
            <w:tcW w:w="716" w:type="dxa"/>
            <w:tcBorders>
              <w:top w:val="nil"/>
              <w:left w:val="nil"/>
              <w:bottom w:val="nil"/>
              <w:right w:val="nil"/>
            </w:tcBorders>
            <w:noWrap/>
            <w:vAlign w:val="center"/>
            <w:hideMark/>
          </w:tcPr>
          <w:p w14:paraId="311C91D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nil"/>
              <w:right w:val="nil"/>
            </w:tcBorders>
            <w:noWrap/>
            <w:vAlign w:val="center"/>
            <w:hideMark/>
          </w:tcPr>
          <w:p w14:paraId="3013776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w:t>
            </w:r>
          </w:p>
        </w:tc>
        <w:tc>
          <w:tcPr>
            <w:tcW w:w="850" w:type="dxa"/>
            <w:tcBorders>
              <w:top w:val="nil"/>
              <w:left w:val="nil"/>
              <w:bottom w:val="nil"/>
              <w:right w:val="nil"/>
            </w:tcBorders>
            <w:noWrap/>
            <w:vAlign w:val="center"/>
            <w:hideMark/>
          </w:tcPr>
          <w:p w14:paraId="75D7F71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3.50</w:t>
            </w:r>
          </w:p>
        </w:tc>
        <w:tc>
          <w:tcPr>
            <w:tcW w:w="803" w:type="dxa"/>
            <w:tcBorders>
              <w:top w:val="nil"/>
              <w:left w:val="nil"/>
              <w:bottom w:val="nil"/>
              <w:right w:val="nil"/>
            </w:tcBorders>
            <w:noWrap/>
            <w:vAlign w:val="center"/>
            <w:hideMark/>
          </w:tcPr>
          <w:p w14:paraId="792F1D4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0.75</w:t>
            </w:r>
          </w:p>
        </w:tc>
      </w:tr>
      <w:tr w:rsidR="00092AE9" w:rsidRPr="00092AE9" w14:paraId="6B12A0DA" w14:textId="77777777" w:rsidTr="00092AE9">
        <w:trPr>
          <w:trHeight w:val="550"/>
        </w:trPr>
        <w:tc>
          <w:tcPr>
            <w:tcW w:w="695" w:type="dxa"/>
            <w:tcBorders>
              <w:top w:val="nil"/>
              <w:left w:val="nil"/>
              <w:bottom w:val="single" w:sz="4" w:space="0" w:color="auto"/>
              <w:right w:val="nil"/>
            </w:tcBorders>
            <w:noWrap/>
          </w:tcPr>
          <w:p w14:paraId="1F88E2B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Q17</w:t>
            </w:r>
          </w:p>
        </w:tc>
        <w:tc>
          <w:tcPr>
            <w:tcW w:w="3916" w:type="dxa"/>
            <w:tcBorders>
              <w:top w:val="nil"/>
              <w:left w:val="nil"/>
              <w:bottom w:val="single" w:sz="4" w:space="0" w:color="auto"/>
              <w:right w:val="nil"/>
            </w:tcBorders>
            <w:noWrap/>
          </w:tcPr>
          <w:p w14:paraId="616D8F0B" w14:textId="77777777" w:rsidR="00092AE9" w:rsidRPr="00092AE9" w:rsidRDefault="00092AE9" w:rsidP="00883683">
            <w:pPr>
              <w:rPr>
                <w:rFonts w:ascii="Arial" w:hAnsi="Arial" w:cs="Arial"/>
                <w:color w:val="000000" w:themeColor="text1"/>
                <w:cs/>
              </w:rPr>
            </w:pPr>
            <w:r w:rsidRPr="00092AE9">
              <w:rPr>
                <w:rFonts w:ascii="Arial" w:hAnsi="Arial" w:cs="Arial"/>
              </w:rPr>
              <w:t>Are you satisfied with the speed of the loan approval and disbursement process?</w:t>
            </w:r>
          </w:p>
        </w:tc>
        <w:tc>
          <w:tcPr>
            <w:tcW w:w="875" w:type="dxa"/>
            <w:tcBorders>
              <w:top w:val="nil"/>
              <w:left w:val="nil"/>
              <w:bottom w:val="single" w:sz="4" w:space="0" w:color="auto"/>
              <w:right w:val="nil"/>
            </w:tcBorders>
            <w:noWrap/>
            <w:vAlign w:val="center"/>
          </w:tcPr>
          <w:p w14:paraId="431584A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393</w:t>
            </w:r>
          </w:p>
        </w:tc>
        <w:tc>
          <w:tcPr>
            <w:tcW w:w="716" w:type="dxa"/>
            <w:tcBorders>
              <w:top w:val="nil"/>
              <w:left w:val="nil"/>
              <w:bottom w:val="single" w:sz="4" w:space="0" w:color="auto"/>
              <w:right w:val="nil"/>
            </w:tcBorders>
            <w:noWrap/>
            <w:vAlign w:val="center"/>
          </w:tcPr>
          <w:p w14:paraId="2B8F6EA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569" w:type="dxa"/>
            <w:tcBorders>
              <w:top w:val="nil"/>
              <w:left w:val="nil"/>
              <w:bottom w:val="single" w:sz="4" w:space="0" w:color="auto"/>
              <w:right w:val="nil"/>
            </w:tcBorders>
            <w:noWrap/>
            <w:vAlign w:val="center"/>
          </w:tcPr>
          <w:p w14:paraId="389426E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850" w:type="dxa"/>
            <w:tcBorders>
              <w:top w:val="nil"/>
              <w:left w:val="nil"/>
              <w:bottom w:val="single" w:sz="4" w:space="0" w:color="auto"/>
              <w:right w:val="nil"/>
            </w:tcBorders>
            <w:noWrap/>
            <w:vAlign w:val="center"/>
          </w:tcPr>
          <w:p w14:paraId="26A43A0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3.54</w:t>
            </w:r>
          </w:p>
        </w:tc>
        <w:tc>
          <w:tcPr>
            <w:tcW w:w="803" w:type="dxa"/>
            <w:tcBorders>
              <w:top w:val="nil"/>
              <w:left w:val="nil"/>
              <w:bottom w:val="single" w:sz="4" w:space="0" w:color="auto"/>
              <w:right w:val="nil"/>
            </w:tcBorders>
            <w:noWrap/>
            <w:vAlign w:val="center"/>
          </w:tcPr>
          <w:p w14:paraId="0553633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0.75</w:t>
            </w:r>
          </w:p>
        </w:tc>
      </w:tr>
    </w:tbl>
    <w:p w14:paraId="2BA4FE9D" w14:textId="77777777" w:rsidR="00092AE9" w:rsidRPr="00092AE9" w:rsidRDefault="00092AE9" w:rsidP="00441B6F">
      <w:pPr>
        <w:pStyle w:val="Body"/>
        <w:spacing w:after="0"/>
        <w:rPr>
          <w:rFonts w:ascii="Arial" w:hAnsi="Arial" w:cs="Arial"/>
        </w:rPr>
      </w:pPr>
    </w:p>
    <w:p w14:paraId="25C91982" w14:textId="77777777" w:rsidR="00092AE9" w:rsidRPr="00092AE9" w:rsidRDefault="00092AE9" w:rsidP="00092AE9">
      <w:pPr>
        <w:spacing w:after="160" w:line="259" w:lineRule="auto"/>
        <w:rPr>
          <w:b/>
          <w:bCs/>
          <w:szCs w:val="24"/>
          <w:lang w:bidi="km-KH"/>
        </w:rPr>
      </w:pPr>
      <w:r w:rsidRPr="00092AE9">
        <w:rPr>
          <w:b/>
          <w:bCs/>
          <w:szCs w:val="24"/>
          <w:lang w:bidi="km-KH"/>
        </w:rPr>
        <w:t>3.3 Factors Influencing Borrowing Decisions</w:t>
      </w:r>
    </w:p>
    <w:p w14:paraId="2EE44A13" w14:textId="77777777" w:rsidR="00092AE9" w:rsidRPr="00092AE9" w:rsidRDefault="00092AE9" w:rsidP="00092AE9">
      <w:pPr>
        <w:pStyle w:val="Body"/>
        <w:rPr>
          <w:rFonts w:ascii="Arial" w:hAnsi="Arial" w:cs="Arial"/>
        </w:rPr>
      </w:pPr>
      <w:r w:rsidRPr="00092AE9">
        <w:rPr>
          <w:rFonts w:ascii="Arial" w:hAnsi="Arial" w:cs="Arial"/>
        </w:rPr>
        <w:t>Table 3 shows the factors that influence households’ decision to use credit services. The results show that family influence (M = 3.75) and lack of funds (M = 3.68) are the most important factors that motivate borrowing. Institutional factors also play an important role. Respondents value the flexibility of loan terms (M = 3.65), the ease of loan application procedures (M = 3.63), and trust in the credit institution (M = 3.54). In contrast, financial factors such as interest rates (M = 3.34) and repayment terms (M = 3.37) have a minor impact. Overall, these results suggest that socio-economic needs and ease of access to credit are the main factors driving rural households’ borrowing decisions, rather than strong considerations of financial terms or the cost of the loan.</w:t>
      </w:r>
    </w:p>
    <w:p w14:paraId="00B55903" w14:textId="06FA8293" w:rsidR="00092AE9" w:rsidRPr="00403DB2" w:rsidRDefault="00092AE9" w:rsidP="00092AE9">
      <w:pPr>
        <w:pStyle w:val="Body"/>
        <w:spacing w:after="0"/>
        <w:rPr>
          <w:rFonts w:ascii="Arial" w:hAnsi="Arial" w:cs="Arial"/>
          <w:b/>
          <w:bCs/>
        </w:rPr>
      </w:pPr>
      <w:r w:rsidRPr="00403DB2">
        <w:rPr>
          <w:rFonts w:ascii="Arial" w:hAnsi="Arial" w:cs="Arial"/>
          <w:b/>
          <w:bCs/>
        </w:rPr>
        <w:t>Table 3. Factors influencing household borrowing decisions.</w:t>
      </w:r>
    </w:p>
    <w:tbl>
      <w:tblPr>
        <w:tblW w:w="8424" w:type="dxa"/>
        <w:tblLook w:val="04A0" w:firstRow="1" w:lastRow="0" w:firstColumn="1" w:lastColumn="0" w:noHBand="0" w:noVBand="1"/>
      </w:tblPr>
      <w:tblGrid>
        <w:gridCol w:w="695"/>
        <w:gridCol w:w="4089"/>
        <w:gridCol w:w="714"/>
        <w:gridCol w:w="706"/>
        <w:gridCol w:w="708"/>
        <w:gridCol w:w="906"/>
        <w:gridCol w:w="606"/>
      </w:tblGrid>
      <w:tr w:rsidR="00092AE9" w:rsidRPr="00092AE9" w14:paraId="244DCBE6" w14:textId="77777777" w:rsidTr="00092AE9">
        <w:trPr>
          <w:trHeight w:val="478"/>
        </w:trPr>
        <w:tc>
          <w:tcPr>
            <w:tcW w:w="695" w:type="dxa"/>
            <w:tcBorders>
              <w:top w:val="single" w:sz="4" w:space="0" w:color="auto"/>
              <w:left w:val="nil"/>
              <w:bottom w:val="single" w:sz="4" w:space="0" w:color="auto"/>
              <w:right w:val="nil"/>
            </w:tcBorders>
            <w:noWrap/>
            <w:vAlign w:val="center"/>
            <w:hideMark/>
          </w:tcPr>
          <w:p w14:paraId="7285023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themeColor="text1"/>
                <w:cs/>
                <w:lang w:bidi="km-KH"/>
              </w:rPr>
              <w:t>Code</w:t>
            </w:r>
          </w:p>
        </w:tc>
        <w:tc>
          <w:tcPr>
            <w:tcW w:w="4089" w:type="dxa"/>
            <w:tcBorders>
              <w:top w:val="single" w:sz="4" w:space="0" w:color="auto"/>
              <w:left w:val="nil"/>
              <w:bottom w:val="single" w:sz="4" w:space="0" w:color="auto"/>
              <w:right w:val="nil"/>
            </w:tcBorders>
            <w:noWrap/>
            <w:vAlign w:val="center"/>
            <w:hideMark/>
          </w:tcPr>
          <w:p w14:paraId="73B1EEC9" w14:textId="77777777" w:rsidR="00092AE9" w:rsidRPr="00092AE9" w:rsidRDefault="00092AE9" w:rsidP="00883683">
            <w:pPr>
              <w:jc w:val="center"/>
              <w:rPr>
                <w:rFonts w:ascii="Arial" w:hAnsi="Arial" w:cs="Arial"/>
                <w:color w:val="000000"/>
                <w:cs/>
                <w:lang w:eastAsia="en-GB" w:bidi="km-KH"/>
              </w:rPr>
            </w:pPr>
            <w:r w:rsidRPr="00092AE9">
              <w:rPr>
                <w:rFonts w:ascii="Arial" w:hAnsi="Arial" w:cs="Arial"/>
                <w:color w:val="000000" w:themeColor="text1"/>
                <w:cs/>
                <w:lang w:bidi="km-KH"/>
              </w:rPr>
              <w:t>Description</w:t>
            </w:r>
          </w:p>
        </w:tc>
        <w:tc>
          <w:tcPr>
            <w:tcW w:w="714" w:type="dxa"/>
            <w:tcBorders>
              <w:top w:val="single" w:sz="4" w:space="0" w:color="auto"/>
              <w:left w:val="nil"/>
              <w:bottom w:val="single" w:sz="4" w:space="0" w:color="auto"/>
              <w:right w:val="nil"/>
            </w:tcBorders>
            <w:noWrap/>
            <w:vAlign w:val="center"/>
            <w:hideMark/>
          </w:tcPr>
          <w:p w14:paraId="0C227EE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Sum</w:t>
            </w:r>
          </w:p>
        </w:tc>
        <w:tc>
          <w:tcPr>
            <w:tcW w:w="706" w:type="dxa"/>
            <w:tcBorders>
              <w:top w:val="single" w:sz="4" w:space="0" w:color="auto"/>
              <w:left w:val="nil"/>
              <w:bottom w:val="single" w:sz="4" w:space="0" w:color="auto"/>
              <w:right w:val="nil"/>
            </w:tcBorders>
            <w:noWrap/>
            <w:vAlign w:val="center"/>
            <w:hideMark/>
          </w:tcPr>
          <w:p w14:paraId="226AE3F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Max</w:t>
            </w:r>
          </w:p>
        </w:tc>
        <w:tc>
          <w:tcPr>
            <w:tcW w:w="708" w:type="dxa"/>
            <w:tcBorders>
              <w:top w:val="single" w:sz="4" w:space="0" w:color="auto"/>
              <w:left w:val="nil"/>
              <w:bottom w:val="single" w:sz="4" w:space="0" w:color="auto"/>
              <w:right w:val="nil"/>
            </w:tcBorders>
            <w:noWrap/>
            <w:vAlign w:val="center"/>
            <w:hideMark/>
          </w:tcPr>
          <w:p w14:paraId="79B9681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Min</w:t>
            </w:r>
          </w:p>
        </w:tc>
        <w:tc>
          <w:tcPr>
            <w:tcW w:w="906" w:type="dxa"/>
            <w:tcBorders>
              <w:top w:val="single" w:sz="4" w:space="0" w:color="auto"/>
              <w:left w:val="nil"/>
              <w:bottom w:val="single" w:sz="4" w:space="0" w:color="auto"/>
              <w:right w:val="nil"/>
            </w:tcBorders>
            <w:noWrap/>
            <w:vAlign w:val="center"/>
            <w:hideMark/>
          </w:tcPr>
          <w:p w14:paraId="58DABB2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Mean</w:t>
            </w:r>
          </w:p>
        </w:tc>
        <w:tc>
          <w:tcPr>
            <w:tcW w:w="606" w:type="dxa"/>
            <w:tcBorders>
              <w:top w:val="single" w:sz="4" w:space="0" w:color="auto"/>
              <w:left w:val="nil"/>
              <w:bottom w:val="single" w:sz="4" w:space="0" w:color="auto"/>
              <w:right w:val="nil"/>
            </w:tcBorders>
            <w:noWrap/>
            <w:vAlign w:val="center"/>
            <w:hideMark/>
          </w:tcPr>
          <w:p w14:paraId="5A4BAD8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SD</w:t>
            </w:r>
          </w:p>
        </w:tc>
      </w:tr>
      <w:tr w:rsidR="00092AE9" w:rsidRPr="00092AE9" w14:paraId="3E85768B" w14:textId="77777777" w:rsidTr="00092AE9">
        <w:trPr>
          <w:trHeight w:val="478"/>
        </w:trPr>
        <w:tc>
          <w:tcPr>
            <w:tcW w:w="695" w:type="dxa"/>
            <w:tcBorders>
              <w:top w:val="nil"/>
              <w:left w:val="nil"/>
              <w:bottom w:val="nil"/>
              <w:right w:val="nil"/>
            </w:tcBorders>
            <w:noWrap/>
            <w:hideMark/>
          </w:tcPr>
          <w:p w14:paraId="5793E99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w:t>
            </w:r>
          </w:p>
        </w:tc>
        <w:tc>
          <w:tcPr>
            <w:tcW w:w="4089" w:type="dxa"/>
            <w:tcBorders>
              <w:top w:val="nil"/>
              <w:left w:val="nil"/>
              <w:bottom w:val="nil"/>
              <w:right w:val="nil"/>
            </w:tcBorders>
            <w:noWrap/>
            <w:hideMark/>
          </w:tcPr>
          <w:p w14:paraId="6074C75A" w14:textId="77777777" w:rsidR="00092AE9" w:rsidRPr="00092AE9" w:rsidRDefault="00092AE9" w:rsidP="00883683">
            <w:pPr>
              <w:rPr>
                <w:rFonts w:ascii="Arial" w:hAnsi="Arial" w:cs="Arial"/>
                <w:color w:val="000000"/>
                <w:lang w:eastAsia="en-GB" w:bidi="km-KH"/>
              </w:rPr>
            </w:pPr>
            <w:r w:rsidRPr="00092AE9">
              <w:rPr>
                <w:rFonts w:ascii="Arial" w:hAnsi="Arial" w:cs="Arial"/>
              </w:rPr>
              <w:t>Did low interest rates motivate your decision to use credit services?</w:t>
            </w:r>
          </w:p>
        </w:tc>
        <w:tc>
          <w:tcPr>
            <w:tcW w:w="714" w:type="dxa"/>
            <w:tcBorders>
              <w:top w:val="nil"/>
              <w:left w:val="nil"/>
              <w:bottom w:val="nil"/>
              <w:right w:val="nil"/>
            </w:tcBorders>
            <w:noWrap/>
            <w:vAlign w:val="center"/>
            <w:hideMark/>
          </w:tcPr>
          <w:p w14:paraId="7B10B9C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393</w:t>
            </w:r>
          </w:p>
        </w:tc>
        <w:tc>
          <w:tcPr>
            <w:tcW w:w="706" w:type="dxa"/>
            <w:tcBorders>
              <w:top w:val="nil"/>
              <w:left w:val="nil"/>
              <w:bottom w:val="nil"/>
              <w:right w:val="nil"/>
            </w:tcBorders>
            <w:noWrap/>
            <w:vAlign w:val="center"/>
            <w:hideMark/>
          </w:tcPr>
          <w:p w14:paraId="4BB52C8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007A8B2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839ACB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3.54</w:t>
            </w:r>
          </w:p>
        </w:tc>
        <w:tc>
          <w:tcPr>
            <w:tcW w:w="606" w:type="dxa"/>
            <w:tcBorders>
              <w:top w:val="nil"/>
              <w:left w:val="nil"/>
              <w:bottom w:val="nil"/>
              <w:right w:val="nil"/>
            </w:tcBorders>
            <w:noWrap/>
            <w:vAlign w:val="center"/>
            <w:hideMark/>
          </w:tcPr>
          <w:p w14:paraId="57A3B5E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0.75</w:t>
            </w:r>
          </w:p>
        </w:tc>
      </w:tr>
      <w:tr w:rsidR="00092AE9" w:rsidRPr="00092AE9" w14:paraId="0D337277" w14:textId="77777777" w:rsidTr="00092AE9">
        <w:trPr>
          <w:trHeight w:val="478"/>
        </w:trPr>
        <w:tc>
          <w:tcPr>
            <w:tcW w:w="695" w:type="dxa"/>
            <w:tcBorders>
              <w:top w:val="nil"/>
              <w:left w:val="nil"/>
              <w:bottom w:val="nil"/>
              <w:right w:val="nil"/>
            </w:tcBorders>
            <w:noWrap/>
            <w:hideMark/>
          </w:tcPr>
          <w:p w14:paraId="21218B5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Q2</w:t>
            </w:r>
          </w:p>
        </w:tc>
        <w:tc>
          <w:tcPr>
            <w:tcW w:w="4089" w:type="dxa"/>
            <w:tcBorders>
              <w:top w:val="nil"/>
              <w:left w:val="nil"/>
              <w:bottom w:val="nil"/>
              <w:right w:val="nil"/>
            </w:tcBorders>
            <w:noWrap/>
            <w:hideMark/>
          </w:tcPr>
          <w:p w14:paraId="1EEC3299" w14:textId="77777777" w:rsidR="00092AE9" w:rsidRPr="00092AE9" w:rsidRDefault="00092AE9" w:rsidP="00883683">
            <w:pPr>
              <w:rPr>
                <w:rFonts w:ascii="Arial" w:hAnsi="Arial" w:cs="Arial"/>
                <w:color w:val="000000"/>
                <w:lang w:eastAsia="en-GB" w:bidi="km-KH"/>
              </w:rPr>
            </w:pPr>
            <w:r w:rsidRPr="00092AE9">
              <w:rPr>
                <w:rFonts w:ascii="Arial" w:hAnsi="Arial" w:cs="Arial"/>
              </w:rPr>
              <w:t>Does easy access to borrowing influence your decision to use credit services?</w:t>
            </w:r>
          </w:p>
        </w:tc>
        <w:tc>
          <w:tcPr>
            <w:tcW w:w="714" w:type="dxa"/>
            <w:tcBorders>
              <w:top w:val="nil"/>
              <w:left w:val="nil"/>
              <w:bottom w:val="nil"/>
              <w:right w:val="nil"/>
            </w:tcBorders>
            <w:noWrap/>
            <w:vAlign w:val="center"/>
            <w:hideMark/>
          </w:tcPr>
          <w:p w14:paraId="665DD9D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368</w:t>
            </w:r>
          </w:p>
        </w:tc>
        <w:tc>
          <w:tcPr>
            <w:tcW w:w="706" w:type="dxa"/>
            <w:tcBorders>
              <w:top w:val="nil"/>
              <w:left w:val="nil"/>
              <w:bottom w:val="nil"/>
              <w:right w:val="nil"/>
            </w:tcBorders>
            <w:noWrap/>
            <w:vAlign w:val="center"/>
            <w:hideMark/>
          </w:tcPr>
          <w:p w14:paraId="397A16A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1BC38B1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37BCA2D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3.32</w:t>
            </w:r>
          </w:p>
        </w:tc>
        <w:tc>
          <w:tcPr>
            <w:tcW w:w="606" w:type="dxa"/>
            <w:tcBorders>
              <w:top w:val="nil"/>
              <w:left w:val="nil"/>
              <w:bottom w:val="nil"/>
              <w:right w:val="nil"/>
            </w:tcBorders>
            <w:noWrap/>
            <w:vAlign w:val="center"/>
            <w:hideMark/>
          </w:tcPr>
          <w:p w14:paraId="5ABFDAA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0.76</w:t>
            </w:r>
          </w:p>
        </w:tc>
      </w:tr>
      <w:tr w:rsidR="00092AE9" w:rsidRPr="00092AE9" w14:paraId="117CB806" w14:textId="77777777" w:rsidTr="00092AE9">
        <w:trPr>
          <w:trHeight w:val="478"/>
        </w:trPr>
        <w:tc>
          <w:tcPr>
            <w:tcW w:w="695" w:type="dxa"/>
            <w:tcBorders>
              <w:top w:val="nil"/>
              <w:left w:val="nil"/>
              <w:bottom w:val="nil"/>
              <w:right w:val="nil"/>
            </w:tcBorders>
            <w:noWrap/>
            <w:hideMark/>
          </w:tcPr>
          <w:p w14:paraId="09BAEB2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Q3</w:t>
            </w:r>
          </w:p>
        </w:tc>
        <w:tc>
          <w:tcPr>
            <w:tcW w:w="4089" w:type="dxa"/>
            <w:tcBorders>
              <w:top w:val="nil"/>
              <w:left w:val="nil"/>
              <w:bottom w:val="nil"/>
              <w:right w:val="nil"/>
            </w:tcBorders>
            <w:noWrap/>
            <w:hideMark/>
          </w:tcPr>
          <w:p w14:paraId="62DB887C" w14:textId="77777777" w:rsidR="00092AE9" w:rsidRPr="00092AE9" w:rsidRDefault="00092AE9" w:rsidP="00883683">
            <w:pPr>
              <w:rPr>
                <w:rFonts w:ascii="Arial" w:hAnsi="Arial" w:cs="Arial"/>
                <w:color w:val="000000"/>
                <w:lang w:eastAsia="en-GB" w:bidi="km-KH"/>
              </w:rPr>
            </w:pPr>
            <w:r w:rsidRPr="00092AE9">
              <w:rPr>
                <w:rFonts w:ascii="Arial" w:hAnsi="Arial" w:cs="Arial"/>
              </w:rPr>
              <w:t>Did detailed explanations about credit services influence your decision to use them?</w:t>
            </w:r>
          </w:p>
        </w:tc>
        <w:tc>
          <w:tcPr>
            <w:tcW w:w="714" w:type="dxa"/>
            <w:tcBorders>
              <w:top w:val="nil"/>
              <w:left w:val="nil"/>
              <w:bottom w:val="nil"/>
              <w:right w:val="nil"/>
            </w:tcBorders>
            <w:noWrap/>
            <w:vAlign w:val="center"/>
            <w:hideMark/>
          </w:tcPr>
          <w:p w14:paraId="1B0FF70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373</w:t>
            </w:r>
          </w:p>
        </w:tc>
        <w:tc>
          <w:tcPr>
            <w:tcW w:w="706" w:type="dxa"/>
            <w:tcBorders>
              <w:top w:val="nil"/>
              <w:left w:val="nil"/>
              <w:bottom w:val="nil"/>
              <w:right w:val="nil"/>
            </w:tcBorders>
            <w:noWrap/>
            <w:vAlign w:val="center"/>
            <w:hideMark/>
          </w:tcPr>
          <w:p w14:paraId="4E84BCA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55464F3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05592D0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3.36</w:t>
            </w:r>
          </w:p>
        </w:tc>
        <w:tc>
          <w:tcPr>
            <w:tcW w:w="606" w:type="dxa"/>
            <w:tcBorders>
              <w:top w:val="nil"/>
              <w:left w:val="nil"/>
              <w:bottom w:val="nil"/>
              <w:right w:val="nil"/>
            </w:tcBorders>
            <w:noWrap/>
            <w:vAlign w:val="center"/>
            <w:hideMark/>
          </w:tcPr>
          <w:p w14:paraId="4920FC5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0.78</w:t>
            </w:r>
          </w:p>
        </w:tc>
      </w:tr>
      <w:tr w:rsidR="00092AE9" w:rsidRPr="00092AE9" w14:paraId="20AE9CAF" w14:textId="77777777" w:rsidTr="00092AE9">
        <w:trPr>
          <w:trHeight w:val="478"/>
        </w:trPr>
        <w:tc>
          <w:tcPr>
            <w:tcW w:w="695" w:type="dxa"/>
            <w:tcBorders>
              <w:top w:val="nil"/>
              <w:left w:val="nil"/>
              <w:bottom w:val="nil"/>
              <w:right w:val="nil"/>
            </w:tcBorders>
            <w:noWrap/>
            <w:hideMark/>
          </w:tcPr>
          <w:p w14:paraId="78AC76A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Q4</w:t>
            </w:r>
          </w:p>
        </w:tc>
        <w:tc>
          <w:tcPr>
            <w:tcW w:w="4089" w:type="dxa"/>
            <w:tcBorders>
              <w:top w:val="nil"/>
              <w:left w:val="nil"/>
              <w:bottom w:val="nil"/>
              <w:right w:val="nil"/>
            </w:tcBorders>
            <w:noWrap/>
            <w:hideMark/>
          </w:tcPr>
          <w:p w14:paraId="0B51A30B" w14:textId="77777777" w:rsidR="00092AE9" w:rsidRPr="00092AE9" w:rsidRDefault="00092AE9" w:rsidP="00883683">
            <w:pPr>
              <w:rPr>
                <w:rFonts w:ascii="Arial" w:hAnsi="Arial" w:cs="Arial"/>
                <w:color w:val="000000"/>
                <w:lang w:eastAsia="en-GB" w:bidi="km-KH"/>
              </w:rPr>
            </w:pPr>
            <w:r w:rsidRPr="00092AE9">
              <w:rPr>
                <w:rFonts w:ascii="Arial" w:hAnsi="Arial" w:cs="Arial"/>
              </w:rPr>
              <w:t>Does the lack of personal capital influence your decision to borrow money?</w:t>
            </w:r>
          </w:p>
        </w:tc>
        <w:tc>
          <w:tcPr>
            <w:tcW w:w="714" w:type="dxa"/>
            <w:tcBorders>
              <w:top w:val="nil"/>
              <w:left w:val="nil"/>
              <w:bottom w:val="nil"/>
              <w:right w:val="nil"/>
            </w:tcBorders>
            <w:noWrap/>
            <w:vAlign w:val="center"/>
            <w:hideMark/>
          </w:tcPr>
          <w:p w14:paraId="55E8888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409</w:t>
            </w:r>
          </w:p>
        </w:tc>
        <w:tc>
          <w:tcPr>
            <w:tcW w:w="706" w:type="dxa"/>
            <w:tcBorders>
              <w:top w:val="nil"/>
              <w:left w:val="nil"/>
              <w:bottom w:val="nil"/>
              <w:right w:val="nil"/>
            </w:tcBorders>
            <w:noWrap/>
            <w:vAlign w:val="center"/>
            <w:hideMark/>
          </w:tcPr>
          <w:p w14:paraId="54CA915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7A36787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16B8607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3.68</w:t>
            </w:r>
          </w:p>
        </w:tc>
        <w:tc>
          <w:tcPr>
            <w:tcW w:w="606" w:type="dxa"/>
            <w:tcBorders>
              <w:top w:val="nil"/>
              <w:left w:val="nil"/>
              <w:bottom w:val="nil"/>
              <w:right w:val="nil"/>
            </w:tcBorders>
            <w:noWrap/>
            <w:vAlign w:val="center"/>
            <w:hideMark/>
          </w:tcPr>
          <w:p w14:paraId="3A59C38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0.79</w:t>
            </w:r>
          </w:p>
        </w:tc>
      </w:tr>
      <w:tr w:rsidR="00092AE9" w:rsidRPr="00092AE9" w14:paraId="495B6725" w14:textId="77777777" w:rsidTr="00092AE9">
        <w:trPr>
          <w:trHeight w:val="478"/>
        </w:trPr>
        <w:tc>
          <w:tcPr>
            <w:tcW w:w="695" w:type="dxa"/>
            <w:tcBorders>
              <w:top w:val="nil"/>
              <w:left w:val="nil"/>
              <w:bottom w:val="nil"/>
              <w:right w:val="nil"/>
            </w:tcBorders>
            <w:noWrap/>
            <w:hideMark/>
          </w:tcPr>
          <w:p w14:paraId="65BDB77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Q5</w:t>
            </w:r>
          </w:p>
        </w:tc>
        <w:tc>
          <w:tcPr>
            <w:tcW w:w="4089" w:type="dxa"/>
            <w:tcBorders>
              <w:top w:val="nil"/>
              <w:left w:val="nil"/>
              <w:bottom w:val="nil"/>
              <w:right w:val="nil"/>
            </w:tcBorders>
            <w:noWrap/>
            <w:hideMark/>
          </w:tcPr>
          <w:p w14:paraId="3A3464E4" w14:textId="77777777" w:rsidR="00092AE9" w:rsidRPr="00092AE9" w:rsidRDefault="00092AE9" w:rsidP="00883683">
            <w:pPr>
              <w:rPr>
                <w:rFonts w:ascii="Arial" w:hAnsi="Arial" w:cs="Arial"/>
                <w:color w:val="000000"/>
                <w:lang w:eastAsia="en-GB" w:bidi="km-KH"/>
              </w:rPr>
            </w:pPr>
            <w:r w:rsidRPr="00092AE9">
              <w:rPr>
                <w:rFonts w:ascii="Arial" w:hAnsi="Arial" w:cs="Arial"/>
              </w:rPr>
              <w:t>Does your family influence your decision to use credit services?</w:t>
            </w:r>
          </w:p>
        </w:tc>
        <w:tc>
          <w:tcPr>
            <w:tcW w:w="714" w:type="dxa"/>
            <w:tcBorders>
              <w:top w:val="nil"/>
              <w:left w:val="nil"/>
              <w:bottom w:val="nil"/>
              <w:right w:val="nil"/>
            </w:tcBorders>
            <w:noWrap/>
            <w:vAlign w:val="center"/>
            <w:hideMark/>
          </w:tcPr>
          <w:p w14:paraId="070F40B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416</w:t>
            </w:r>
          </w:p>
        </w:tc>
        <w:tc>
          <w:tcPr>
            <w:tcW w:w="706" w:type="dxa"/>
            <w:tcBorders>
              <w:top w:val="nil"/>
              <w:left w:val="nil"/>
              <w:bottom w:val="nil"/>
              <w:right w:val="nil"/>
            </w:tcBorders>
            <w:noWrap/>
            <w:vAlign w:val="center"/>
            <w:hideMark/>
          </w:tcPr>
          <w:p w14:paraId="6F31932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5BE80D1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04C4E21"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3.75</w:t>
            </w:r>
          </w:p>
        </w:tc>
        <w:tc>
          <w:tcPr>
            <w:tcW w:w="606" w:type="dxa"/>
            <w:tcBorders>
              <w:top w:val="nil"/>
              <w:left w:val="nil"/>
              <w:bottom w:val="nil"/>
              <w:right w:val="nil"/>
            </w:tcBorders>
            <w:noWrap/>
            <w:vAlign w:val="center"/>
            <w:hideMark/>
          </w:tcPr>
          <w:p w14:paraId="3A5E291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0.78</w:t>
            </w:r>
          </w:p>
        </w:tc>
      </w:tr>
      <w:tr w:rsidR="00092AE9" w:rsidRPr="00092AE9" w14:paraId="2F8F3ED9" w14:textId="77777777" w:rsidTr="00092AE9">
        <w:trPr>
          <w:trHeight w:val="478"/>
        </w:trPr>
        <w:tc>
          <w:tcPr>
            <w:tcW w:w="695" w:type="dxa"/>
            <w:tcBorders>
              <w:top w:val="nil"/>
              <w:left w:val="nil"/>
              <w:bottom w:val="nil"/>
              <w:right w:val="nil"/>
            </w:tcBorders>
            <w:noWrap/>
            <w:hideMark/>
          </w:tcPr>
          <w:p w14:paraId="5290BFB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Q6</w:t>
            </w:r>
          </w:p>
        </w:tc>
        <w:tc>
          <w:tcPr>
            <w:tcW w:w="4089" w:type="dxa"/>
            <w:tcBorders>
              <w:top w:val="nil"/>
              <w:left w:val="nil"/>
              <w:bottom w:val="nil"/>
              <w:right w:val="nil"/>
            </w:tcBorders>
            <w:noWrap/>
            <w:hideMark/>
          </w:tcPr>
          <w:p w14:paraId="1617E869" w14:textId="77777777" w:rsidR="00092AE9" w:rsidRPr="00092AE9" w:rsidRDefault="00092AE9" w:rsidP="00883683">
            <w:pPr>
              <w:rPr>
                <w:rFonts w:ascii="Arial" w:hAnsi="Arial" w:cs="Arial"/>
                <w:color w:val="000000"/>
                <w:lang w:eastAsia="en-GB" w:bidi="km-KH"/>
              </w:rPr>
            </w:pPr>
            <w:r w:rsidRPr="00092AE9">
              <w:rPr>
                <w:rFonts w:ascii="Arial" w:hAnsi="Arial" w:cs="Arial"/>
              </w:rPr>
              <w:t>Does the use of credit have an impact on your daily living expenses?</w:t>
            </w:r>
          </w:p>
        </w:tc>
        <w:tc>
          <w:tcPr>
            <w:tcW w:w="714" w:type="dxa"/>
            <w:tcBorders>
              <w:top w:val="nil"/>
              <w:left w:val="nil"/>
              <w:bottom w:val="nil"/>
              <w:right w:val="nil"/>
            </w:tcBorders>
            <w:noWrap/>
            <w:vAlign w:val="center"/>
            <w:hideMark/>
          </w:tcPr>
          <w:p w14:paraId="2E3BD39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332</w:t>
            </w:r>
          </w:p>
        </w:tc>
        <w:tc>
          <w:tcPr>
            <w:tcW w:w="706" w:type="dxa"/>
            <w:tcBorders>
              <w:top w:val="nil"/>
              <w:left w:val="nil"/>
              <w:bottom w:val="nil"/>
              <w:right w:val="nil"/>
            </w:tcBorders>
            <w:noWrap/>
            <w:vAlign w:val="center"/>
            <w:hideMark/>
          </w:tcPr>
          <w:p w14:paraId="4830503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008164E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F09E55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2.99</w:t>
            </w:r>
          </w:p>
        </w:tc>
        <w:tc>
          <w:tcPr>
            <w:tcW w:w="606" w:type="dxa"/>
            <w:tcBorders>
              <w:top w:val="nil"/>
              <w:left w:val="nil"/>
              <w:bottom w:val="nil"/>
              <w:right w:val="nil"/>
            </w:tcBorders>
            <w:noWrap/>
            <w:vAlign w:val="center"/>
            <w:hideMark/>
          </w:tcPr>
          <w:p w14:paraId="39AFFD2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0.77</w:t>
            </w:r>
          </w:p>
        </w:tc>
      </w:tr>
      <w:tr w:rsidR="00092AE9" w:rsidRPr="00092AE9" w14:paraId="07118F73" w14:textId="77777777" w:rsidTr="00092AE9">
        <w:trPr>
          <w:trHeight w:val="478"/>
        </w:trPr>
        <w:tc>
          <w:tcPr>
            <w:tcW w:w="695" w:type="dxa"/>
            <w:tcBorders>
              <w:top w:val="nil"/>
              <w:left w:val="nil"/>
              <w:bottom w:val="nil"/>
              <w:right w:val="nil"/>
            </w:tcBorders>
            <w:noWrap/>
            <w:hideMark/>
          </w:tcPr>
          <w:p w14:paraId="256ACC7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Q7</w:t>
            </w:r>
          </w:p>
        </w:tc>
        <w:tc>
          <w:tcPr>
            <w:tcW w:w="4089" w:type="dxa"/>
            <w:tcBorders>
              <w:top w:val="nil"/>
              <w:left w:val="nil"/>
              <w:bottom w:val="nil"/>
              <w:right w:val="nil"/>
            </w:tcBorders>
            <w:noWrap/>
            <w:hideMark/>
          </w:tcPr>
          <w:p w14:paraId="0D32F5EF" w14:textId="77777777" w:rsidR="00092AE9" w:rsidRPr="00092AE9" w:rsidRDefault="00092AE9" w:rsidP="00883683">
            <w:pPr>
              <w:rPr>
                <w:rFonts w:ascii="Arial" w:hAnsi="Arial" w:cs="Arial"/>
                <w:color w:val="000000"/>
                <w:lang w:eastAsia="en-GB" w:bidi="km-KH"/>
              </w:rPr>
            </w:pPr>
            <w:r w:rsidRPr="00092AE9">
              <w:rPr>
                <w:rFonts w:ascii="Arial" w:hAnsi="Arial" w:cs="Arial"/>
              </w:rPr>
              <w:t>Does the widespread use of credit services in your community influence your decision to borrow?</w:t>
            </w:r>
          </w:p>
        </w:tc>
        <w:tc>
          <w:tcPr>
            <w:tcW w:w="714" w:type="dxa"/>
            <w:tcBorders>
              <w:top w:val="nil"/>
              <w:left w:val="nil"/>
              <w:bottom w:val="nil"/>
              <w:right w:val="nil"/>
            </w:tcBorders>
            <w:noWrap/>
            <w:vAlign w:val="center"/>
            <w:hideMark/>
          </w:tcPr>
          <w:p w14:paraId="7711793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392</w:t>
            </w:r>
          </w:p>
        </w:tc>
        <w:tc>
          <w:tcPr>
            <w:tcW w:w="706" w:type="dxa"/>
            <w:tcBorders>
              <w:top w:val="nil"/>
              <w:left w:val="nil"/>
              <w:bottom w:val="nil"/>
              <w:right w:val="nil"/>
            </w:tcBorders>
            <w:noWrap/>
            <w:vAlign w:val="center"/>
            <w:hideMark/>
          </w:tcPr>
          <w:p w14:paraId="7464E17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5D2A770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41246D6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3.53</w:t>
            </w:r>
          </w:p>
        </w:tc>
        <w:tc>
          <w:tcPr>
            <w:tcW w:w="606" w:type="dxa"/>
            <w:tcBorders>
              <w:top w:val="nil"/>
              <w:left w:val="nil"/>
              <w:bottom w:val="nil"/>
              <w:right w:val="nil"/>
            </w:tcBorders>
            <w:noWrap/>
            <w:vAlign w:val="center"/>
            <w:hideMark/>
          </w:tcPr>
          <w:p w14:paraId="2D85F4E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0.52</w:t>
            </w:r>
          </w:p>
        </w:tc>
      </w:tr>
      <w:tr w:rsidR="00092AE9" w:rsidRPr="00092AE9" w14:paraId="63F4E147" w14:textId="77777777" w:rsidTr="00092AE9">
        <w:trPr>
          <w:trHeight w:val="478"/>
        </w:trPr>
        <w:tc>
          <w:tcPr>
            <w:tcW w:w="695" w:type="dxa"/>
            <w:tcBorders>
              <w:top w:val="nil"/>
              <w:left w:val="nil"/>
              <w:bottom w:val="nil"/>
              <w:right w:val="nil"/>
            </w:tcBorders>
            <w:noWrap/>
            <w:hideMark/>
          </w:tcPr>
          <w:p w14:paraId="47B8EB7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Q8</w:t>
            </w:r>
          </w:p>
        </w:tc>
        <w:tc>
          <w:tcPr>
            <w:tcW w:w="4089" w:type="dxa"/>
            <w:tcBorders>
              <w:top w:val="nil"/>
              <w:left w:val="nil"/>
              <w:bottom w:val="nil"/>
              <w:right w:val="nil"/>
            </w:tcBorders>
            <w:noWrap/>
            <w:hideMark/>
          </w:tcPr>
          <w:p w14:paraId="1C2E3961" w14:textId="77777777" w:rsidR="00092AE9" w:rsidRPr="00092AE9" w:rsidRDefault="00092AE9" w:rsidP="00883683">
            <w:pPr>
              <w:rPr>
                <w:rFonts w:ascii="Arial" w:hAnsi="Arial" w:cs="Arial"/>
                <w:color w:val="000000"/>
                <w:lang w:eastAsia="en-GB" w:bidi="km-KH"/>
              </w:rPr>
            </w:pPr>
            <w:r w:rsidRPr="00092AE9">
              <w:rPr>
                <w:rFonts w:ascii="Arial" w:hAnsi="Arial" w:cs="Arial"/>
              </w:rPr>
              <w:t xml:space="preserve">Is sharing experiences about credit services with neighbors effective in </w:t>
            </w:r>
            <w:r w:rsidRPr="00092AE9">
              <w:rPr>
                <w:rFonts w:ascii="Arial" w:hAnsi="Arial" w:cs="Arial"/>
              </w:rPr>
              <w:lastRenderedPageBreak/>
              <w:t>influencing your decision?</w:t>
            </w:r>
          </w:p>
        </w:tc>
        <w:tc>
          <w:tcPr>
            <w:tcW w:w="714" w:type="dxa"/>
            <w:tcBorders>
              <w:top w:val="nil"/>
              <w:left w:val="nil"/>
              <w:bottom w:val="nil"/>
              <w:right w:val="nil"/>
            </w:tcBorders>
            <w:noWrap/>
            <w:vAlign w:val="center"/>
            <w:hideMark/>
          </w:tcPr>
          <w:p w14:paraId="345C0F7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lastRenderedPageBreak/>
              <w:t>393</w:t>
            </w:r>
          </w:p>
        </w:tc>
        <w:tc>
          <w:tcPr>
            <w:tcW w:w="706" w:type="dxa"/>
            <w:tcBorders>
              <w:top w:val="nil"/>
              <w:left w:val="nil"/>
              <w:bottom w:val="nil"/>
              <w:right w:val="nil"/>
            </w:tcBorders>
            <w:noWrap/>
            <w:vAlign w:val="center"/>
            <w:hideMark/>
          </w:tcPr>
          <w:p w14:paraId="4AC9F7C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4134A72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1BFD4CA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3.54</w:t>
            </w:r>
          </w:p>
        </w:tc>
        <w:tc>
          <w:tcPr>
            <w:tcW w:w="606" w:type="dxa"/>
            <w:tcBorders>
              <w:top w:val="nil"/>
              <w:left w:val="nil"/>
              <w:bottom w:val="nil"/>
              <w:right w:val="nil"/>
            </w:tcBorders>
            <w:noWrap/>
            <w:vAlign w:val="center"/>
            <w:hideMark/>
          </w:tcPr>
          <w:p w14:paraId="5F73439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0.48</w:t>
            </w:r>
          </w:p>
        </w:tc>
      </w:tr>
      <w:tr w:rsidR="00092AE9" w:rsidRPr="00092AE9" w14:paraId="1C4D8B52" w14:textId="77777777" w:rsidTr="00092AE9">
        <w:trPr>
          <w:trHeight w:val="478"/>
        </w:trPr>
        <w:tc>
          <w:tcPr>
            <w:tcW w:w="695" w:type="dxa"/>
            <w:tcBorders>
              <w:top w:val="nil"/>
              <w:left w:val="nil"/>
              <w:bottom w:val="nil"/>
              <w:right w:val="nil"/>
            </w:tcBorders>
            <w:noWrap/>
            <w:hideMark/>
          </w:tcPr>
          <w:p w14:paraId="4473507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Q9</w:t>
            </w:r>
          </w:p>
        </w:tc>
        <w:tc>
          <w:tcPr>
            <w:tcW w:w="4089" w:type="dxa"/>
            <w:tcBorders>
              <w:top w:val="nil"/>
              <w:left w:val="nil"/>
              <w:bottom w:val="nil"/>
              <w:right w:val="nil"/>
            </w:tcBorders>
            <w:noWrap/>
            <w:hideMark/>
          </w:tcPr>
          <w:p w14:paraId="16E1A4E4" w14:textId="77777777" w:rsidR="00092AE9" w:rsidRPr="00092AE9" w:rsidRDefault="00092AE9" w:rsidP="00883683">
            <w:pPr>
              <w:rPr>
                <w:rFonts w:ascii="Arial" w:hAnsi="Arial" w:cs="Arial"/>
                <w:color w:val="000000"/>
                <w:lang w:eastAsia="en-GB" w:bidi="km-KH"/>
              </w:rPr>
            </w:pPr>
            <w:r w:rsidRPr="00092AE9">
              <w:rPr>
                <w:rFonts w:ascii="Arial" w:hAnsi="Arial" w:cs="Arial"/>
              </w:rPr>
              <w:t>Are you confident in your ability to repay borrowed money?</w:t>
            </w:r>
          </w:p>
        </w:tc>
        <w:tc>
          <w:tcPr>
            <w:tcW w:w="714" w:type="dxa"/>
            <w:tcBorders>
              <w:top w:val="nil"/>
              <w:left w:val="nil"/>
              <w:bottom w:val="nil"/>
              <w:right w:val="nil"/>
            </w:tcBorders>
            <w:noWrap/>
            <w:vAlign w:val="center"/>
            <w:hideMark/>
          </w:tcPr>
          <w:p w14:paraId="697F8E4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402</w:t>
            </w:r>
          </w:p>
        </w:tc>
        <w:tc>
          <w:tcPr>
            <w:tcW w:w="706" w:type="dxa"/>
            <w:tcBorders>
              <w:top w:val="nil"/>
              <w:left w:val="nil"/>
              <w:bottom w:val="nil"/>
              <w:right w:val="nil"/>
            </w:tcBorders>
            <w:noWrap/>
            <w:vAlign w:val="center"/>
            <w:hideMark/>
          </w:tcPr>
          <w:p w14:paraId="5D811BC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3D132B5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237242C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3.62</w:t>
            </w:r>
          </w:p>
        </w:tc>
        <w:tc>
          <w:tcPr>
            <w:tcW w:w="606" w:type="dxa"/>
            <w:tcBorders>
              <w:top w:val="nil"/>
              <w:left w:val="nil"/>
              <w:bottom w:val="nil"/>
              <w:right w:val="nil"/>
            </w:tcBorders>
            <w:noWrap/>
            <w:vAlign w:val="center"/>
            <w:hideMark/>
          </w:tcPr>
          <w:p w14:paraId="7177CF0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0.49</w:t>
            </w:r>
          </w:p>
        </w:tc>
      </w:tr>
      <w:tr w:rsidR="00092AE9" w:rsidRPr="00092AE9" w14:paraId="2CAF274C" w14:textId="77777777" w:rsidTr="00092AE9">
        <w:trPr>
          <w:trHeight w:val="478"/>
        </w:trPr>
        <w:tc>
          <w:tcPr>
            <w:tcW w:w="695" w:type="dxa"/>
            <w:tcBorders>
              <w:top w:val="nil"/>
              <w:left w:val="nil"/>
              <w:bottom w:val="nil"/>
              <w:right w:val="nil"/>
            </w:tcBorders>
            <w:noWrap/>
            <w:hideMark/>
          </w:tcPr>
          <w:p w14:paraId="65E68B8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Q10</w:t>
            </w:r>
          </w:p>
        </w:tc>
        <w:tc>
          <w:tcPr>
            <w:tcW w:w="4089" w:type="dxa"/>
            <w:tcBorders>
              <w:top w:val="nil"/>
              <w:left w:val="nil"/>
              <w:bottom w:val="nil"/>
              <w:right w:val="nil"/>
            </w:tcBorders>
            <w:noWrap/>
            <w:hideMark/>
          </w:tcPr>
          <w:p w14:paraId="588473FE" w14:textId="77777777" w:rsidR="00092AE9" w:rsidRPr="00092AE9" w:rsidRDefault="00092AE9" w:rsidP="00883683">
            <w:pPr>
              <w:rPr>
                <w:rFonts w:ascii="Arial" w:hAnsi="Arial" w:cs="Arial"/>
                <w:color w:val="000000"/>
                <w:lang w:eastAsia="en-GB" w:bidi="km-KH"/>
              </w:rPr>
            </w:pPr>
            <w:r w:rsidRPr="00092AE9">
              <w:rPr>
                <w:rFonts w:ascii="Arial" w:hAnsi="Arial" w:cs="Arial"/>
              </w:rPr>
              <w:t>Do you trust credit institutions?</w:t>
            </w:r>
          </w:p>
        </w:tc>
        <w:tc>
          <w:tcPr>
            <w:tcW w:w="714" w:type="dxa"/>
            <w:tcBorders>
              <w:top w:val="nil"/>
              <w:left w:val="nil"/>
              <w:bottom w:val="nil"/>
              <w:right w:val="nil"/>
            </w:tcBorders>
            <w:noWrap/>
            <w:vAlign w:val="center"/>
            <w:hideMark/>
          </w:tcPr>
          <w:p w14:paraId="6C62B3F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393</w:t>
            </w:r>
          </w:p>
        </w:tc>
        <w:tc>
          <w:tcPr>
            <w:tcW w:w="706" w:type="dxa"/>
            <w:tcBorders>
              <w:top w:val="nil"/>
              <w:left w:val="nil"/>
              <w:bottom w:val="nil"/>
              <w:right w:val="nil"/>
            </w:tcBorders>
            <w:noWrap/>
            <w:vAlign w:val="center"/>
            <w:hideMark/>
          </w:tcPr>
          <w:p w14:paraId="219EB24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602ABD7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62B440D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3.54</w:t>
            </w:r>
          </w:p>
        </w:tc>
        <w:tc>
          <w:tcPr>
            <w:tcW w:w="606" w:type="dxa"/>
            <w:tcBorders>
              <w:top w:val="nil"/>
              <w:left w:val="nil"/>
              <w:bottom w:val="nil"/>
              <w:right w:val="nil"/>
            </w:tcBorders>
            <w:noWrap/>
            <w:vAlign w:val="center"/>
            <w:hideMark/>
          </w:tcPr>
          <w:p w14:paraId="38298A6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0.50</w:t>
            </w:r>
          </w:p>
        </w:tc>
      </w:tr>
      <w:tr w:rsidR="00092AE9" w:rsidRPr="00092AE9" w14:paraId="6FF32831" w14:textId="77777777" w:rsidTr="00092AE9">
        <w:trPr>
          <w:trHeight w:val="478"/>
        </w:trPr>
        <w:tc>
          <w:tcPr>
            <w:tcW w:w="695" w:type="dxa"/>
            <w:tcBorders>
              <w:top w:val="nil"/>
              <w:left w:val="nil"/>
              <w:bottom w:val="nil"/>
              <w:right w:val="nil"/>
            </w:tcBorders>
            <w:noWrap/>
            <w:hideMark/>
          </w:tcPr>
          <w:p w14:paraId="568369F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Q11</w:t>
            </w:r>
          </w:p>
        </w:tc>
        <w:tc>
          <w:tcPr>
            <w:tcW w:w="4089" w:type="dxa"/>
            <w:tcBorders>
              <w:top w:val="nil"/>
              <w:left w:val="nil"/>
              <w:bottom w:val="nil"/>
              <w:right w:val="nil"/>
            </w:tcBorders>
            <w:noWrap/>
            <w:hideMark/>
          </w:tcPr>
          <w:p w14:paraId="0A8452DE" w14:textId="77777777" w:rsidR="00092AE9" w:rsidRPr="00092AE9" w:rsidRDefault="00092AE9" w:rsidP="00883683">
            <w:pPr>
              <w:rPr>
                <w:rFonts w:ascii="Arial" w:hAnsi="Arial" w:cs="Arial"/>
                <w:color w:val="000000"/>
                <w:lang w:eastAsia="en-GB" w:bidi="km-KH"/>
              </w:rPr>
            </w:pPr>
            <w:r w:rsidRPr="00092AE9">
              <w:rPr>
                <w:rFonts w:ascii="Arial" w:hAnsi="Arial" w:cs="Arial"/>
              </w:rPr>
              <w:t>Do you believe that borrowing money is related to your understanding of credit services?</w:t>
            </w:r>
          </w:p>
        </w:tc>
        <w:tc>
          <w:tcPr>
            <w:tcW w:w="714" w:type="dxa"/>
            <w:tcBorders>
              <w:top w:val="nil"/>
              <w:left w:val="nil"/>
              <w:bottom w:val="nil"/>
              <w:right w:val="nil"/>
            </w:tcBorders>
            <w:noWrap/>
            <w:vAlign w:val="center"/>
            <w:hideMark/>
          </w:tcPr>
          <w:p w14:paraId="116BBBF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381</w:t>
            </w:r>
          </w:p>
        </w:tc>
        <w:tc>
          <w:tcPr>
            <w:tcW w:w="706" w:type="dxa"/>
            <w:tcBorders>
              <w:top w:val="nil"/>
              <w:left w:val="nil"/>
              <w:bottom w:val="nil"/>
              <w:right w:val="nil"/>
            </w:tcBorders>
            <w:noWrap/>
            <w:vAlign w:val="center"/>
            <w:hideMark/>
          </w:tcPr>
          <w:p w14:paraId="6D1761E6"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3513ACF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4EDF55A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3.43</w:t>
            </w:r>
          </w:p>
        </w:tc>
        <w:tc>
          <w:tcPr>
            <w:tcW w:w="606" w:type="dxa"/>
            <w:tcBorders>
              <w:top w:val="nil"/>
              <w:left w:val="nil"/>
              <w:bottom w:val="nil"/>
              <w:right w:val="nil"/>
            </w:tcBorders>
            <w:noWrap/>
            <w:vAlign w:val="center"/>
            <w:hideMark/>
          </w:tcPr>
          <w:p w14:paraId="68E68E6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0.52</w:t>
            </w:r>
          </w:p>
        </w:tc>
      </w:tr>
      <w:tr w:rsidR="00092AE9" w:rsidRPr="00092AE9" w14:paraId="4E868966" w14:textId="77777777" w:rsidTr="00092AE9">
        <w:trPr>
          <w:trHeight w:val="478"/>
        </w:trPr>
        <w:tc>
          <w:tcPr>
            <w:tcW w:w="695" w:type="dxa"/>
            <w:tcBorders>
              <w:top w:val="nil"/>
              <w:left w:val="nil"/>
              <w:bottom w:val="nil"/>
              <w:right w:val="nil"/>
            </w:tcBorders>
            <w:noWrap/>
            <w:hideMark/>
          </w:tcPr>
          <w:p w14:paraId="5E59C0E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Q13</w:t>
            </w:r>
          </w:p>
        </w:tc>
        <w:tc>
          <w:tcPr>
            <w:tcW w:w="4089" w:type="dxa"/>
            <w:tcBorders>
              <w:top w:val="nil"/>
              <w:left w:val="nil"/>
              <w:bottom w:val="nil"/>
              <w:right w:val="nil"/>
            </w:tcBorders>
            <w:noWrap/>
            <w:hideMark/>
          </w:tcPr>
          <w:p w14:paraId="344A6DB5" w14:textId="77777777" w:rsidR="00092AE9" w:rsidRPr="00092AE9" w:rsidRDefault="00092AE9" w:rsidP="00883683">
            <w:pPr>
              <w:rPr>
                <w:rFonts w:ascii="Arial" w:hAnsi="Arial" w:cs="Arial"/>
                <w:color w:val="000000"/>
                <w:lang w:eastAsia="en-GB" w:bidi="km-KH"/>
              </w:rPr>
            </w:pPr>
            <w:r w:rsidRPr="00092AE9">
              <w:rPr>
                <w:rFonts w:ascii="Arial" w:hAnsi="Arial" w:cs="Arial"/>
              </w:rPr>
              <w:t>How easy is it to apply for a loan, and how much does this influence your borrowing decision?</w:t>
            </w:r>
          </w:p>
        </w:tc>
        <w:tc>
          <w:tcPr>
            <w:tcW w:w="714" w:type="dxa"/>
            <w:tcBorders>
              <w:top w:val="nil"/>
              <w:left w:val="nil"/>
              <w:bottom w:val="nil"/>
              <w:right w:val="nil"/>
            </w:tcBorders>
            <w:noWrap/>
            <w:vAlign w:val="center"/>
            <w:hideMark/>
          </w:tcPr>
          <w:p w14:paraId="265F820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381</w:t>
            </w:r>
          </w:p>
        </w:tc>
        <w:tc>
          <w:tcPr>
            <w:tcW w:w="706" w:type="dxa"/>
            <w:tcBorders>
              <w:top w:val="nil"/>
              <w:left w:val="nil"/>
              <w:bottom w:val="nil"/>
              <w:right w:val="nil"/>
            </w:tcBorders>
            <w:noWrap/>
            <w:vAlign w:val="center"/>
            <w:hideMark/>
          </w:tcPr>
          <w:p w14:paraId="390C5F7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2AB7746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5AF89BC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3.43</w:t>
            </w:r>
          </w:p>
        </w:tc>
        <w:tc>
          <w:tcPr>
            <w:tcW w:w="606" w:type="dxa"/>
            <w:tcBorders>
              <w:top w:val="nil"/>
              <w:left w:val="nil"/>
              <w:bottom w:val="nil"/>
              <w:right w:val="nil"/>
            </w:tcBorders>
            <w:noWrap/>
            <w:vAlign w:val="center"/>
            <w:hideMark/>
          </w:tcPr>
          <w:p w14:paraId="0E7C383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0.53</w:t>
            </w:r>
          </w:p>
        </w:tc>
      </w:tr>
      <w:tr w:rsidR="00092AE9" w:rsidRPr="00092AE9" w14:paraId="5806A3E2" w14:textId="77777777" w:rsidTr="00092AE9">
        <w:trPr>
          <w:trHeight w:val="478"/>
        </w:trPr>
        <w:tc>
          <w:tcPr>
            <w:tcW w:w="695" w:type="dxa"/>
            <w:tcBorders>
              <w:top w:val="nil"/>
              <w:left w:val="nil"/>
              <w:bottom w:val="nil"/>
              <w:right w:val="nil"/>
            </w:tcBorders>
            <w:noWrap/>
            <w:hideMark/>
          </w:tcPr>
          <w:p w14:paraId="1A51F6F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Q14</w:t>
            </w:r>
          </w:p>
        </w:tc>
        <w:tc>
          <w:tcPr>
            <w:tcW w:w="4089" w:type="dxa"/>
            <w:tcBorders>
              <w:top w:val="nil"/>
              <w:left w:val="nil"/>
              <w:bottom w:val="nil"/>
              <w:right w:val="nil"/>
            </w:tcBorders>
            <w:noWrap/>
            <w:hideMark/>
          </w:tcPr>
          <w:p w14:paraId="557BD3DE"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does the interest rate set by the credit institution influence your borrowing decision?</w:t>
            </w:r>
          </w:p>
        </w:tc>
        <w:tc>
          <w:tcPr>
            <w:tcW w:w="714" w:type="dxa"/>
            <w:tcBorders>
              <w:top w:val="nil"/>
              <w:left w:val="nil"/>
              <w:bottom w:val="nil"/>
              <w:right w:val="nil"/>
            </w:tcBorders>
            <w:noWrap/>
            <w:vAlign w:val="center"/>
            <w:hideMark/>
          </w:tcPr>
          <w:p w14:paraId="0A7BD4B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371</w:t>
            </w:r>
          </w:p>
        </w:tc>
        <w:tc>
          <w:tcPr>
            <w:tcW w:w="706" w:type="dxa"/>
            <w:tcBorders>
              <w:top w:val="nil"/>
              <w:left w:val="nil"/>
              <w:bottom w:val="nil"/>
              <w:right w:val="nil"/>
            </w:tcBorders>
            <w:noWrap/>
            <w:vAlign w:val="center"/>
            <w:hideMark/>
          </w:tcPr>
          <w:p w14:paraId="4B9BA3D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2CE8DCD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C6C5833"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3.34</w:t>
            </w:r>
          </w:p>
        </w:tc>
        <w:tc>
          <w:tcPr>
            <w:tcW w:w="606" w:type="dxa"/>
            <w:tcBorders>
              <w:top w:val="nil"/>
              <w:left w:val="nil"/>
              <w:bottom w:val="nil"/>
              <w:right w:val="nil"/>
            </w:tcBorders>
            <w:noWrap/>
            <w:vAlign w:val="center"/>
            <w:hideMark/>
          </w:tcPr>
          <w:p w14:paraId="63809CA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0.54</w:t>
            </w:r>
          </w:p>
        </w:tc>
      </w:tr>
      <w:tr w:rsidR="00092AE9" w:rsidRPr="00092AE9" w14:paraId="1920E31B" w14:textId="77777777" w:rsidTr="00092AE9">
        <w:trPr>
          <w:trHeight w:val="478"/>
        </w:trPr>
        <w:tc>
          <w:tcPr>
            <w:tcW w:w="695" w:type="dxa"/>
            <w:tcBorders>
              <w:top w:val="nil"/>
              <w:left w:val="nil"/>
              <w:bottom w:val="nil"/>
              <w:right w:val="nil"/>
            </w:tcBorders>
            <w:noWrap/>
            <w:hideMark/>
          </w:tcPr>
          <w:p w14:paraId="11CA008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Q15</w:t>
            </w:r>
          </w:p>
        </w:tc>
        <w:tc>
          <w:tcPr>
            <w:tcW w:w="4089" w:type="dxa"/>
            <w:tcBorders>
              <w:top w:val="nil"/>
              <w:left w:val="nil"/>
              <w:bottom w:val="nil"/>
              <w:right w:val="nil"/>
            </w:tcBorders>
            <w:noWrap/>
            <w:hideMark/>
          </w:tcPr>
          <w:p w14:paraId="0D83E6D6"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the repayment terms (e.g., duration and repayment capacity) influence your borrowing decision?</w:t>
            </w:r>
          </w:p>
        </w:tc>
        <w:tc>
          <w:tcPr>
            <w:tcW w:w="714" w:type="dxa"/>
            <w:tcBorders>
              <w:top w:val="nil"/>
              <w:left w:val="nil"/>
              <w:bottom w:val="nil"/>
              <w:right w:val="nil"/>
            </w:tcBorders>
            <w:noWrap/>
            <w:vAlign w:val="center"/>
            <w:hideMark/>
          </w:tcPr>
          <w:p w14:paraId="183B496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374</w:t>
            </w:r>
          </w:p>
        </w:tc>
        <w:tc>
          <w:tcPr>
            <w:tcW w:w="706" w:type="dxa"/>
            <w:tcBorders>
              <w:top w:val="nil"/>
              <w:left w:val="nil"/>
              <w:bottom w:val="nil"/>
              <w:right w:val="nil"/>
            </w:tcBorders>
            <w:noWrap/>
            <w:vAlign w:val="center"/>
            <w:hideMark/>
          </w:tcPr>
          <w:p w14:paraId="357BCDF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69990C2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2F74912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3.37</w:t>
            </w:r>
          </w:p>
        </w:tc>
        <w:tc>
          <w:tcPr>
            <w:tcW w:w="606" w:type="dxa"/>
            <w:tcBorders>
              <w:top w:val="nil"/>
              <w:left w:val="nil"/>
              <w:bottom w:val="nil"/>
              <w:right w:val="nil"/>
            </w:tcBorders>
            <w:noWrap/>
            <w:vAlign w:val="center"/>
            <w:hideMark/>
          </w:tcPr>
          <w:p w14:paraId="25F0921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0.55</w:t>
            </w:r>
          </w:p>
        </w:tc>
      </w:tr>
      <w:tr w:rsidR="00092AE9" w:rsidRPr="00092AE9" w14:paraId="380D705A" w14:textId="77777777" w:rsidTr="00092AE9">
        <w:trPr>
          <w:trHeight w:val="478"/>
        </w:trPr>
        <w:tc>
          <w:tcPr>
            <w:tcW w:w="695" w:type="dxa"/>
            <w:tcBorders>
              <w:top w:val="nil"/>
              <w:left w:val="nil"/>
              <w:bottom w:val="nil"/>
              <w:right w:val="nil"/>
            </w:tcBorders>
            <w:noWrap/>
            <w:hideMark/>
          </w:tcPr>
          <w:p w14:paraId="1DB5547C"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Q16</w:t>
            </w:r>
          </w:p>
        </w:tc>
        <w:tc>
          <w:tcPr>
            <w:tcW w:w="4089" w:type="dxa"/>
            <w:tcBorders>
              <w:top w:val="nil"/>
              <w:left w:val="nil"/>
              <w:bottom w:val="nil"/>
              <w:right w:val="nil"/>
            </w:tcBorders>
            <w:noWrap/>
            <w:hideMark/>
          </w:tcPr>
          <w:p w14:paraId="5076CC13"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document or collateral requirements influence your borrowing decision?</w:t>
            </w:r>
          </w:p>
        </w:tc>
        <w:tc>
          <w:tcPr>
            <w:tcW w:w="714" w:type="dxa"/>
            <w:tcBorders>
              <w:top w:val="nil"/>
              <w:left w:val="nil"/>
              <w:bottom w:val="nil"/>
              <w:right w:val="nil"/>
            </w:tcBorders>
            <w:noWrap/>
            <w:vAlign w:val="center"/>
            <w:hideMark/>
          </w:tcPr>
          <w:p w14:paraId="787FC32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402</w:t>
            </w:r>
          </w:p>
        </w:tc>
        <w:tc>
          <w:tcPr>
            <w:tcW w:w="706" w:type="dxa"/>
            <w:tcBorders>
              <w:top w:val="nil"/>
              <w:left w:val="nil"/>
              <w:bottom w:val="nil"/>
              <w:right w:val="nil"/>
            </w:tcBorders>
            <w:noWrap/>
            <w:vAlign w:val="center"/>
            <w:hideMark/>
          </w:tcPr>
          <w:p w14:paraId="586D94B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7EF0091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599905C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3.62</w:t>
            </w:r>
          </w:p>
        </w:tc>
        <w:tc>
          <w:tcPr>
            <w:tcW w:w="606" w:type="dxa"/>
            <w:tcBorders>
              <w:top w:val="nil"/>
              <w:left w:val="nil"/>
              <w:bottom w:val="nil"/>
              <w:right w:val="nil"/>
            </w:tcBorders>
            <w:noWrap/>
            <w:vAlign w:val="center"/>
            <w:hideMark/>
          </w:tcPr>
          <w:p w14:paraId="5E7E8DA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0.57</w:t>
            </w:r>
          </w:p>
        </w:tc>
      </w:tr>
      <w:tr w:rsidR="00092AE9" w:rsidRPr="00092AE9" w14:paraId="2493DEDE" w14:textId="77777777" w:rsidTr="00092AE9">
        <w:trPr>
          <w:trHeight w:val="478"/>
        </w:trPr>
        <w:tc>
          <w:tcPr>
            <w:tcW w:w="695" w:type="dxa"/>
            <w:tcBorders>
              <w:top w:val="nil"/>
              <w:left w:val="nil"/>
              <w:bottom w:val="nil"/>
              <w:right w:val="nil"/>
            </w:tcBorders>
            <w:noWrap/>
            <w:hideMark/>
          </w:tcPr>
          <w:p w14:paraId="769BEC0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Q17</w:t>
            </w:r>
          </w:p>
        </w:tc>
        <w:tc>
          <w:tcPr>
            <w:tcW w:w="4089" w:type="dxa"/>
            <w:tcBorders>
              <w:top w:val="nil"/>
              <w:left w:val="nil"/>
              <w:bottom w:val="nil"/>
              <w:right w:val="nil"/>
            </w:tcBorders>
            <w:noWrap/>
            <w:hideMark/>
          </w:tcPr>
          <w:p w14:paraId="56B9F539"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does the credit policy of the institution influence your borrowing decision?</w:t>
            </w:r>
          </w:p>
        </w:tc>
        <w:tc>
          <w:tcPr>
            <w:tcW w:w="714" w:type="dxa"/>
            <w:tcBorders>
              <w:top w:val="nil"/>
              <w:left w:val="nil"/>
              <w:bottom w:val="nil"/>
              <w:right w:val="nil"/>
            </w:tcBorders>
            <w:noWrap/>
            <w:vAlign w:val="center"/>
            <w:hideMark/>
          </w:tcPr>
          <w:p w14:paraId="3701662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390</w:t>
            </w:r>
          </w:p>
        </w:tc>
        <w:tc>
          <w:tcPr>
            <w:tcW w:w="706" w:type="dxa"/>
            <w:tcBorders>
              <w:top w:val="nil"/>
              <w:left w:val="nil"/>
              <w:bottom w:val="nil"/>
              <w:right w:val="nil"/>
            </w:tcBorders>
            <w:noWrap/>
            <w:vAlign w:val="center"/>
            <w:hideMark/>
          </w:tcPr>
          <w:p w14:paraId="4BB87C7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7F8CF2E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5D5018F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3.51</w:t>
            </w:r>
          </w:p>
        </w:tc>
        <w:tc>
          <w:tcPr>
            <w:tcW w:w="606" w:type="dxa"/>
            <w:tcBorders>
              <w:top w:val="nil"/>
              <w:left w:val="nil"/>
              <w:bottom w:val="nil"/>
              <w:right w:val="nil"/>
            </w:tcBorders>
            <w:noWrap/>
            <w:vAlign w:val="center"/>
            <w:hideMark/>
          </w:tcPr>
          <w:p w14:paraId="64DA44F2"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0.58</w:t>
            </w:r>
          </w:p>
        </w:tc>
      </w:tr>
      <w:tr w:rsidR="00092AE9" w:rsidRPr="00092AE9" w14:paraId="1A969D6D" w14:textId="77777777" w:rsidTr="00092AE9">
        <w:trPr>
          <w:trHeight w:val="478"/>
        </w:trPr>
        <w:tc>
          <w:tcPr>
            <w:tcW w:w="695" w:type="dxa"/>
            <w:tcBorders>
              <w:top w:val="nil"/>
              <w:left w:val="nil"/>
              <w:bottom w:val="nil"/>
              <w:right w:val="nil"/>
            </w:tcBorders>
            <w:noWrap/>
            <w:hideMark/>
          </w:tcPr>
          <w:p w14:paraId="57D9B42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Q18</w:t>
            </w:r>
          </w:p>
        </w:tc>
        <w:tc>
          <w:tcPr>
            <w:tcW w:w="4089" w:type="dxa"/>
            <w:tcBorders>
              <w:top w:val="nil"/>
              <w:left w:val="nil"/>
              <w:bottom w:val="nil"/>
              <w:right w:val="nil"/>
            </w:tcBorders>
            <w:noWrap/>
            <w:hideMark/>
          </w:tcPr>
          <w:p w14:paraId="55E11D46"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flexible credit terms (e.g., problem relief or rescheduling) influence your borrowing decision?</w:t>
            </w:r>
          </w:p>
        </w:tc>
        <w:tc>
          <w:tcPr>
            <w:tcW w:w="714" w:type="dxa"/>
            <w:tcBorders>
              <w:top w:val="nil"/>
              <w:left w:val="nil"/>
              <w:bottom w:val="nil"/>
              <w:right w:val="nil"/>
            </w:tcBorders>
            <w:noWrap/>
            <w:vAlign w:val="center"/>
            <w:hideMark/>
          </w:tcPr>
          <w:p w14:paraId="382CEFDB"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405</w:t>
            </w:r>
          </w:p>
        </w:tc>
        <w:tc>
          <w:tcPr>
            <w:tcW w:w="706" w:type="dxa"/>
            <w:tcBorders>
              <w:top w:val="nil"/>
              <w:left w:val="nil"/>
              <w:bottom w:val="nil"/>
              <w:right w:val="nil"/>
            </w:tcBorders>
            <w:noWrap/>
            <w:vAlign w:val="center"/>
            <w:hideMark/>
          </w:tcPr>
          <w:p w14:paraId="2EFA6DD7"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5</w:t>
            </w:r>
          </w:p>
        </w:tc>
        <w:tc>
          <w:tcPr>
            <w:tcW w:w="708" w:type="dxa"/>
            <w:tcBorders>
              <w:top w:val="nil"/>
              <w:left w:val="nil"/>
              <w:bottom w:val="nil"/>
              <w:right w:val="nil"/>
            </w:tcBorders>
            <w:noWrap/>
            <w:vAlign w:val="center"/>
            <w:hideMark/>
          </w:tcPr>
          <w:p w14:paraId="58549D4E"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4123AF20"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3.65</w:t>
            </w:r>
          </w:p>
        </w:tc>
        <w:tc>
          <w:tcPr>
            <w:tcW w:w="606" w:type="dxa"/>
            <w:tcBorders>
              <w:top w:val="nil"/>
              <w:left w:val="nil"/>
              <w:bottom w:val="nil"/>
              <w:right w:val="nil"/>
            </w:tcBorders>
            <w:noWrap/>
            <w:vAlign w:val="center"/>
            <w:hideMark/>
          </w:tcPr>
          <w:p w14:paraId="110226C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0.60</w:t>
            </w:r>
          </w:p>
        </w:tc>
      </w:tr>
      <w:tr w:rsidR="00092AE9" w:rsidRPr="00092AE9" w14:paraId="0B17E5F5" w14:textId="77777777" w:rsidTr="00092AE9">
        <w:trPr>
          <w:trHeight w:val="478"/>
        </w:trPr>
        <w:tc>
          <w:tcPr>
            <w:tcW w:w="695" w:type="dxa"/>
            <w:tcBorders>
              <w:top w:val="nil"/>
              <w:left w:val="nil"/>
              <w:bottom w:val="nil"/>
              <w:right w:val="nil"/>
            </w:tcBorders>
            <w:noWrap/>
            <w:hideMark/>
          </w:tcPr>
          <w:p w14:paraId="1F221F1D"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Q19</w:t>
            </w:r>
          </w:p>
        </w:tc>
        <w:tc>
          <w:tcPr>
            <w:tcW w:w="4089" w:type="dxa"/>
            <w:tcBorders>
              <w:top w:val="nil"/>
              <w:left w:val="nil"/>
              <w:bottom w:val="nil"/>
              <w:right w:val="nil"/>
            </w:tcBorders>
            <w:noWrap/>
            <w:hideMark/>
          </w:tcPr>
          <w:p w14:paraId="7B105E11" w14:textId="77777777" w:rsidR="00092AE9" w:rsidRPr="00092AE9" w:rsidRDefault="00092AE9" w:rsidP="00883683">
            <w:pPr>
              <w:rPr>
                <w:rFonts w:ascii="Arial" w:hAnsi="Arial" w:cs="Arial"/>
                <w:color w:val="000000"/>
                <w:lang w:eastAsia="en-GB" w:bidi="km-KH"/>
              </w:rPr>
            </w:pPr>
            <w:r w:rsidRPr="00092AE9">
              <w:rPr>
                <w:rFonts w:ascii="Arial" w:hAnsi="Arial" w:cs="Arial"/>
              </w:rPr>
              <w:t>How much do the overall loan application terms influence your decision to borrow?</w:t>
            </w:r>
          </w:p>
        </w:tc>
        <w:tc>
          <w:tcPr>
            <w:tcW w:w="714" w:type="dxa"/>
            <w:tcBorders>
              <w:top w:val="nil"/>
              <w:left w:val="nil"/>
              <w:bottom w:val="nil"/>
              <w:right w:val="nil"/>
            </w:tcBorders>
            <w:noWrap/>
            <w:vAlign w:val="center"/>
            <w:hideMark/>
          </w:tcPr>
          <w:p w14:paraId="3DF5BDC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388</w:t>
            </w:r>
          </w:p>
        </w:tc>
        <w:tc>
          <w:tcPr>
            <w:tcW w:w="706" w:type="dxa"/>
            <w:tcBorders>
              <w:top w:val="nil"/>
              <w:left w:val="nil"/>
              <w:bottom w:val="nil"/>
              <w:right w:val="nil"/>
            </w:tcBorders>
            <w:noWrap/>
            <w:vAlign w:val="center"/>
            <w:hideMark/>
          </w:tcPr>
          <w:p w14:paraId="177DF155"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nil"/>
              <w:right w:val="nil"/>
            </w:tcBorders>
            <w:noWrap/>
            <w:vAlign w:val="center"/>
            <w:hideMark/>
          </w:tcPr>
          <w:p w14:paraId="559FF74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nil"/>
              <w:right w:val="nil"/>
            </w:tcBorders>
            <w:noWrap/>
            <w:vAlign w:val="center"/>
            <w:hideMark/>
          </w:tcPr>
          <w:p w14:paraId="74DE8834"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3.50</w:t>
            </w:r>
          </w:p>
        </w:tc>
        <w:tc>
          <w:tcPr>
            <w:tcW w:w="606" w:type="dxa"/>
            <w:tcBorders>
              <w:top w:val="nil"/>
              <w:left w:val="nil"/>
              <w:bottom w:val="nil"/>
              <w:right w:val="nil"/>
            </w:tcBorders>
            <w:noWrap/>
            <w:vAlign w:val="center"/>
            <w:hideMark/>
          </w:tcPr>
          <w:p w14:paraId="181C272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0.62</w:t>
            </w:r>
          </w:p>
        </w:tc>
      </w:tr>
      <w:tr w:rsidR="00092AE9" w:rsidRPr="00092AE9" w14:paraId="48BD87CE" w14:textId="77777777" w:rsidTr="00092AE9">
        <w:trPr>
          <w:trHeight w:val="478"/>
        </w:trPr>
        <w:tc>
          <w:tcPr>
            <w:tcW w:w="695" w:type="dxa"/>
            <w:tcBorders>
              <w:top w:val="nil"/>
              <w:left w:val="nil"/>
              <w:bottom w:val="single" w:sz="4" w:space="0" w:color="auto"/>
              <w:right w:val="nil"/>
            </w:tcBorders>
            <w:noWrap/>
            <w:hideMark/>
          </w:tcPr>
          <w:p w14:paraId="2EDD9E1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Q20</w:t>
            </w:r>
          </w:p>
        </w:tc>
        <w:tc>
          <w:tcPr>
            <w:tcW w:w="4089" w:type="dxa"/>
            <w:tcBorders>
              <w:top w:val="nil"/>
              <w:left w:val="nil"/>
              <w:bottom w:val="single" w:sz="4" w:space="0" w:color="auto"/>
              <w:right w:val="nil"/>
            </w:tcBorders>
            <w:noWrap/>
            <w:hideMark/>
          </w:tcPr>
          <w:p w14:paraId="07072AD5" w14:textId="77777777" w:rsidR="00092AE9" w:rsidRPr="00092AE9" w:rsidRDefault="00092AE9" w:rsidP="00883683">
            <w:pPr>
              <w:rPr>
                <w:rFonts w:ascii="Arial" w:hAnsi="Arial" w:cs="Arial"/>
                <w:color w:val="000000"/>
                <w:lang w:eastAsia="en-GB" w:bidi="km-KH"/>
              </w:rPr>
            </w:pPr>
            <w:r w:rsidRPr="00092AE9">
              <w:rPr>
                <w:rFonts w:ascii="Arial" w:hAnsi="Arial" w:cs="Arial"/>
              </w:rPr>
              <w:t>Does the ease of the loan process affect your borrowing decision?</w:t>
            </w:r>
          </w:p>
        </w:tc>
        <w:tc>
          <w:tcPr>
            <w:tcW w:w="714" w:type="dxa"/>
            <w:tcBorders>
              <w:top w:val="nil"/>
              <w:left w:val="nil"/>
              <w:bottom w:val="single" w:sz="4" w:space="0" w:color="auto"/>
              <w:right w:val="nil"/>
            </w:tcBorders>
            <w:noWrap/>
            <w:vAlign w:val="center"/>
            <w:hideMark/>
          </w:tcPr>
          <w:p w14:paraId="3902E99F"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403</w:t>
            </w:r>
          </w:p>
        </w:tc>
        <w:tc>
          <w:tcPr>
            <w:tcW w:w="706" w:type="dxa"/>
            <w:tcBorders>
              <w:top w:val="nil"/>
              <w:left w:val="nil"/>
              <w:bottom w:val="single" w:sz="4" w:space="0" w:color="auto"/>
              <w:right w:val="nil"/>
            </w:tcBorders>
            <w:noWrap/>
            <w:vAlign w:val="center"/>
            <w:hideMark/>
          </w:tcPr>
          <w:p w14:paraId="3FC9541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4</w:t>
            </w:r>
          </w:p>
        </w:tc>
        <w:tc>
          <w:tcPr>
            <w:tcW w:w="708" w:type="dxa"/>
            <w:tcBorders>
              <w:top w:val="nil"/>
              <w:left w:val="nil"/>
              <w:bottom w:val="single" w:sz="4" w:space="0" w:color="auto"/>
              <w:right w:val="nil"/>
            </w:tcBorders>
            <w:noWrap/>
            <w:vAlign w:val="center"/>
            <w:hideMark/>
          </w:tcPr>
          <w:p w14:paraId="29AC2D08"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1</w:t>
            </w:r>
          </w:p>
        </w:tc>
        <w:tc>
          <w:tcPr>
            <w:tcW w:w="906" w:type="dxa"/>
            <w:tcBorders>
              <w:top w:val="nil"/>
              <w:left w:val="nil"/>
              <w:bottom w:val="single" w:sz="4" w:space="0" w:color="auto"/>
              <w:right w:val="nil"/>
            </w:tcBorders>
            <w:noWrap/>
            <w:vAlign w:val="center"/>
            <w:hideMark/>
          </w:tcPr>
          <w:p w14:paraId="4D485F9A"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3.63</w:t>
            </w:r>
          </w:p>
        </w:tc>
        <w:tc>
          <w:tcPr>
            <w:tcW w:w="606" w:type="dxa"/>
            <w:tcBorders>
              <w:top w:val="nil"/>
              <w:left w:val="nil"/>
              <w:bottom w:val="single" w:sz="4" w:space="0" w:color="auto"/>
              <w:right w:val="nil"/>
            </w:tcBorders>
            <w:noWrap/>
            <w:vAlign w:val="center"/>
            <w:hideMark/>
          </w:tcPr>
          <w:p w14:paraId="6C886CA9" w14:textId="77777777" w:rsidR="00092AE9" w:rsidRPr="00092AE9" w:rsidRDefault="00092AE9" w:rsidP="00883683">
            <w:pPr>
              <w:jc w:val="center"/>
              <w:rPr>
                <w:rFonts w:ascii="Arial" w:hAnsi="Arial" w:cs="Arial"/>
                <w:color w:val="000000"/>
                <w:lang w:eastAsia="en-GB" w:bidi="km-KH"/>
              </w:rPr>
            </w:pPr>
            <w:r w:rsidRPr="00092AE9">
              <w:rPr>
                <w:rFonts w:ascii="Arial" w:hAnsi="Arial" w:cs="Arial"/>
                <w:color w:val="000000"/>
                <w:lang w:eastAsia="en-GB" w:bidi="km-KH"/>
              </w:rPr>
              <w:t>0.64</w:t>
            </w:r>
          </w:p>
        </w:tc>
      </w:tr>
    </w:tbl>
    <w:p w14:paraId="689E135D" w14:textId="77777777" w:rsidR="00092AE9" w:rsidRDefault="00092AE9" w:rsidP="00441B6F">
      <w:pPr>
        <w:pStyle w:val="Body"/>
        <w:spacing w:after="0"/>
        <w:rPr>
          <w:rFonts w:ascii="Arial" w:hAnsi="Arial" w:cs="Arial"/>
        </w:rPr>
      </w:pPr>
    </w:p>
    <w:p w14:paraId="17AD50D4" w14:textId="77777777" w:rsidR="00092AE9" w:rsidRPr="00092AE9" w:rsidRDefault="00092AE9" w:rsidP="00092AE9">
      <w:pPr>
        <w:spacing w:after="160" w:line="259" w:lineRule="auto"/>
        <w:rPr>
          <w:b/>
          <w:bCs/>
          <w:szCs w:val="24"/>
          <w:lang w:bidi="km-KH"/>
        </w:rPr>
      </w:pPr>
      <w:r w:rsidRPr="00092AE9">
        <w:rPr>
          <w:b/>
          <w:bCs/>
          <w:szCs w:val="24"/>
          <w:lang w:bidi="km-KH"/>
        </w:rPr>
        <w:t>3. 4 Challenges in Credit Use and Response Strategies</w:t>
      </w:r>
    </w:p>
    <w:p w14:paraId="6F02821F" w14:textId="77777777" w:rsidR="00092AE9" w:rsidRPr="00092AE9" w:rsidRDefault="00092AE9" w:rsidP="00092AE9">
      <w:pPr>
        <w:pStyle w:val="Body"/>
        <w:rPr>
          <w:rFonts w:ascii="Arial" w:hAnsi="Arial" w:cs="Arial"/>
        </w:rPr>
      </w:pPr>
      <w:r w:rsidRPr="00092AE9">
        <w:rPr>
          <w:rFonts w:ascii="Arial" w:hAnsi="Arial" w:cs="Arial"/>
        </w:rPr>
        <w:t>Table 4 summarizes challenges faced during credit use and strategies employed by respondents. Mostly, respondents found loan terms and contracts very difficult to understand (M = 3.05–3.16) and cited limited access to information (M = 2.94) as a major obstacle. However, many reported consulting families before borrowing (M = 3.80) and raising additional income to repay debts (M = 3.41). These findings suggest that while borrowers face comprehension barriers, they employ informal strategies such as family consultation and supplementary income generation to manage repayment.</w:t>
      </w:r>
    </w:p>
    <w:p w14:paraId="0F226A1A" w14:textId="4E46C670" w:rsidR="00092AE9" w:rsidRPr="00403DB2" w:rsidRDefault="00092AE9" w:rsidP="00092AE9">
      <w:pPr>
        <w:pStyle w:val="Body"/>
        <w:spacing w:after="0"/>
        <w:rPr>
          <w:rFonts w:ascii="Arial" w:hAnsi="Arial" w:cs="Arial"/>
          <w:b/>
          <w:bCs/>
        </w:rPr>
      </w:pPr>
      <w:r w:rsidRPr="00403DB2">
        <w:rPr>
          <w:rFonts w:ascii="Arial" w:hAnsi="Arial" w:cs="Arial"/>
          <w:b/>
          <w:bCs/>
        </w:rPr>
        <w:t>Table 4. Challenges and response strategies in credit service utilization.</w:t>
      </w:r>
    </w:p>
    <w:tbl>
      <w:tblPr>
        <w:tblW w:w="8299" w:type="dxa"/>
        <w:tblLook w:val="04A0" w:firstRow="1" w:lastRow="0" w:firstColumn="1" w:lastColumn="0" w:noHBand="0" w:noVBand="1"/>
      </w:tblPr>
      <w:tblGrid>
        <w:gridCol w:w="879"/>
        <w:gridCol w:w="3944"/>
        <w:gridCol w:w="876"/>
        <w:gridCol w:w="625"/>
        <w:gridCol w:w="547"/>
        <w:gridCol w:w="717"/>
        <w:gridCol w:w="753"/>
      </w:tblGrid>
      <w:tr w:rsidR="00403DB2" w:rsidRPr="00403DB2" w14:paraId="72A27D35" w14:textId="77777777" w:rsidTr="00403DB2">
        <w:trPr>
          <w:trHeight w:val="489"/>
        </w:trPr>
        <w:tc>
          <w:tcPr>
            <w:tcW w:w="879" w:type="dxa"/>
            <w:tcBorders>
              <w:top w:val="single" w:sz="4" w:space="0" w:color="auto"/>
              <w:left w:val="nil"/>
              <w:bottom w:val="single" w:sz="4" w:space="0" w:color="auto"/>
              <w:right w:val="nil"/>
            </w:tcBorders>
            <w:noWrap/>
            <w:vAlign w:val="center"/>
            <w:hideMark/>
          </w:tcPr>
          <w:p w14:paraId="1CB94F58"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cs/>
                <w:lang w:eastAsia="en-GB" w:bidi="km-KH"/>
              </w:rPr>
              <w:t>Code</w:t>
            </w:r>
          </w:p>
        </w:tc>
        <w:tc>
          <w:tcPr>
            <w:tcW w:w="3944" w:type="dxa"/>
            <w:tcBorders>
              <w:top w:val="single" w:sz="4" w:space="0" w:color="auto"/>
              <w:left w:val="nil"/>
              <w:bottom w:val="single" w:sz="4" w:space="0" w:color="auto"/>
              <w:right w:val="nil"/>
            </w:tcBorders>
            <w:noWrap/>
            <w:vAlign w:val="center"/>
            <w:hideMark/>
          </w:tcPr>
          <w:p w14:paraId="0C25B76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themeColor="text1"/>
                <w:cs/>
                <w:lang w:bidi="km-KH"/>
              </w:rPr>
              <w:t>Description</w:t>
            </w:r>
          </w:p>
        </w:tc>
        <w:tc>
          <w:tcPr>
            <w:tcW w:w="876" w:type="dxa"/>
            <w:tcBorders>
              <w:top w:val="single" w:sz="4" w:space="0" w:color="auto"/>
              <w:left w:val="nil"/>
              <w:bottom w:val="single" w:sz="4" w:space="0" w:color="auto"/>
              <w:right w:val="nil"/>
            </w:tcBorders>
            <w:noWrap/>
            <w:vAlign w:val="center"/>
            <w:hideMark/>
          </w:tcPr>
          <w:p w14:paraId="1DFA2C2F"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Sum</w:t>
            </w:r>
          </w:p>
        </w:tc>
        <w:tc>
          <w:tcPr>
            <w:tcW w:w="625" w:type="dxa"/>
            <w:tcBorders>
              <w:top w:val="single" w:sz="4" w:space="0" w:color="auto"/>
              <w:left w:val="nil"/>
              <w:bottom w:val="single" w:sz="4" w:space="0" w:color="auto"/>
              <w:right w:val="nil"/>
            </w:tcBorders>
            <w:noWrap/>
            <w:vAlign w:val="center"/>
            <w:hideMark/>
          </w:tcPr>
          <w:p w14:paraId="217DD64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Max</w:t>
            </w:r>
          </w:p>
        </w:tc>
        <w:tc>
          <w:tcPr>
            <w:tcW w:w="547" w:type="dxa"/>
            <w:tcBorders>
              <w:top w:val="single" w:sz="4" w:space="0" w:color="auto"/>
              <w:left w:val="nil"/>
              <w:bottom w:val="single" w:sz="4" w:space="0" w:color="auto"/>
              <w:right w:val="nil"/>
            </w:tcBorders>
            <w:noWrap/>
            <w:vAlign w:val="center"/>
            <w:hideMark/>
          </w:tcPr>
          <w:p w14:paraId="7392150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Min</w:t>
            </w:r>
          </w:p>
        </w:tc>
        <w:tc>
          <w:tcPr>
            <w:tcW w:w="675" w:type="dxa"/>
            <w:tcBorders>
              <w:top w:val="single" w:sz="4" w:space="0" w:color="auto"/>
              <w:left w:val="nil"/>
              <w:bottom w:val="single" w:sz="4" w:space="0" w:color="auto"/>
              <w:right w:val="nil"/>
            </w:tcBorders>
            <w:noWrap/>
            <w:vAlign w:val="center"/>
            <w:hideMark/>
          </w:tcPr>
          <w:p w14:paraId="463E2A2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Mean</w:t>
            </w:r>
          </w:p>
        </w:tc>
        <w:tc>
          <w:tcPr>
            <w:tcW w:w="753" w:type="dxa"/>
            <w:tcBorders>
              <w:top w:val="single" w:sz="4" w:space="0" w:color="auto"/>
              <w:left w:val="nil"/>
              <w:bottom w:val="single" w:sz="4" w:space="0" w:color="auto"/>
              <w:right w:val="nil"/>
            </w:tcBorders>
            <w:noWrap/>
            <w:vAlign w:val="center"/>
            <w:hideMark/>
          </w:tcPr>
          <w:p w14:paraId="59E2F37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SD</w:t>
            </w:r>
          </w:p>
        </w:tc>
      </w:tr>
      <w:tr w:rsidR="00403DB2" w:rsidRPr="00403DB2" w14:paraId="16B661EF" w14:textId="77777777" w:rsidTr="00403DB2">
        <w:trPr>
          <w:trHeight w:val="489"/>
        </w:trPr>
        <w:tc>
          <w:tcPr>
            <w:tcW w:w="879" w:type="dxa"/>
            <w:tcBorders>
              <w:top w:val="nil"/>
              <w:left w:val="nil"/>
              <w:bottom w:val="nil"/>
              <w:right w:val="nil"/>
            </w:tcBorders>
            <w:noWrap/>
            <w:hideMark/>
          </w:tcPr>
          <w:p w14:paraId="5EAA52D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w:t>
            </w:r>
          </w:p>
        </w:tc>
        <w:tc>
          <w:tcPr>
            <w:tcW w:w="3944" w:type="dxa"/>
            <w:tcBorders>
              <w:top w:val="nil"/>
              <w:left w:val="nil"/>
              <w:bottom w:val="nil"/>
              <w:right w:val="nil"/>
            </w:tcBorders>
            <w:noWrap/>
            <w:hideMark/>
          </w:tcPr>
          <w:p w14:paraId="4737D971" w14:textId="77777777" w:rsidR="00403DB2" w:rsidRPr="00403DB2" w:rsidRDefault="00403DB2" w:rsidP="00883683">
            <w:pPr>
              <w:rPr>
                <w:rFonts w:ascii="Arial" w:hAnsi="Arial" w:cs="Arial"/>
                <w:color w:val="000000"/>
                <w:lang w:eastAsia="en-GB" w:bidi="km-KH"/>
              </w:rPr>
            </w:pPr>
            <w:r w:rsidRPr="00403DB2">
              <w:rPr>
                <w:rFonts w:ascii="Arial" w:hAnsi="Arial" w:cs="Arial"/>
              </w:rPr>
              <w:t>Do you find it easy to understand the terms and conditions of a loan?</w:t>
            </w:r>
          </w:p>
        </w:tc>
        <w:tc>
          <w:tcPr>
            <w:tcW w:w="876" w:type="dxa"/>
            <w:tcBorders>
              <w:top w:val="nil"/>
              <w:left w:val="nil"/>
              <w:bottom w:val="nil"/>
              <w:right w:val="nil"/>
            </w:tcBorders>
            <w:noWrap/>
            <w:vAlign w:val="center"/>
            <w:hideMark/>
          </w:tcPr>
          <w:p w14:paraId="449DA2C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351</w:t>
            </w:r>
          </w:p>
        </w:tc>
        <w:tc>
          <w:tcPr>
            <w:tcW w:w="625" w:type="dxa"/>
            <w:tcBorders>
              <w:top w:val="nil"/>
              <w:left w:val="nil"/>
              <w:bottom w:val="nil"/>
              <w:right w:val="nil"/>
            </w:tcBorders>
            <w:noWrap/>
            <w:vAlign w:val="center"/>
            <w:hideMark/>
          </w:tcPr>
          <w:p w14:paraId="6E79DD1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5423BBC8"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79E7CE6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3.16</w:t>
            </w:r>
          </w:p>
        </w:tc>
        <w:tc>
          <w:tcPr>
            <w:tcW w:w="753" w:type="dxa"/>
            <w:tcBorders>
              <w:top w:val="nil"/>
              <w:left w:val="nil"/>
              <w:bottom w:val="nil"/>
              <w:right w:val="nil"/>
            </w:tcBorders>
            <w:noWrap/>
            <w:vAlign w:val="center"/>
            <w:hideMark/>
          </w:tcPr>
          <w:p w14:paraId="4CE5609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0.69</w:t>
            </w:r>
          </w:p>
        </w:tc>
      </w:tr>
      <w:tr w:rsidR="00403DB2" w:rsidRPr="00403DB2" w14:paraId="5565107C" w14:textId="77777777" w:rsidTr="00403DB2">
        <w:trPr>
          <w:trHeight w:val="489"/>
        </w:trPr>
        <w:tc>
          <w:tcPr>
            <w:tcW w:w="879" w:type="dxa"/>
            <w:tcBorders>
              <w:top w:val="nil"/>
              <w:left w:val="nil"/>
              <w:bottom w:val="nil"/>
              <w:right w:val="nil"/>
            </w:tcBorders>
            <w:noWrap/>
            <w:hideMark/>
          </w:tcPr>
          <w:p w14:paraId="6DD7DDB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Q2</w:t>
            </w:r>
          </w:p>
        </w:tc>
        <w:tc>
          <w:tcPr>
            <w:tcW w:w="3944" w:type="dxa"/>
            <w:tcBorders>
              <w:top w:val="nil"/>
              <w:left w:val="nil"/>
              <w:bottom w:val="nil"/>
              <w:right w:val="nil"/>
            </w:tcBorders>
            <w:noWrap/>
            <w:hideMark/>
          </w:tcPr>
          <w:p w14:paraId="0D60E7A2" w14:textId="77777777" w:rsidR="00403DB2" w:rsidRPr="00403DB2" w:rsidRDefault="00403DB2" w:rsidP="00883683">
            <w:pPr>
              <w:rPr>
                <w:rFonts w:ascii="Arial" w:hAnsi="Arial" w:cs="Arial"/>
                <w:color w:val="000000"/>
                <w:lang w:eastAsia="en-GB" w:bidi="km-KH"/>
              </w:rPr>
            </w:pPr>
            <w:r w:rsidRPr="00403DB2">
              <w:rPr>
                <w:rFonts w:ascii="Arial" w:hAnsi="Arial" w:cs="Arial"/>
              </w:rPr>
              <w:t>Do you find it easy to understand credit contracts?</w:t>
            </w:r>
          </w:p>
        </w:tc>
        <w:tc>
          <w:tcPr>
            <w:tcW w:w="876" w:type="dxa"/>
            <w:tcBorders>
              <w:top w:val="nil"/>
              <w:left w:val="nil"/>
              <w:bottom w:val="nil"/>
              <w:right w:val="nil"/>
            </w:tcBorders>
            <w:noWrap/>
            <w:vAlign w:val="center"/>
            <w:hideMark/>
          </w:tcPr>
          <w:p w14:paraId="59A2EFF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339</w:t>
            </w:r>
          </w:p>
        </w:tc>
        <w:tc>
          <w:tcPr>
            <w:tcW w:w="625" w:type="dxa"/>
            <w:tcBorders>
              <w:top w:val="nil"/>
              <w:left w:val="nil"/>
              <w:bottom w:val="nil"/>
              <w:right w:val="nil"/>
            </w:tcBorders>
            <w:noWrap/>
            <w:vAlign w:val="center"/>
            <w:hideMark/>
          </w:tcPr>
          <w:p w14:paraId="5ADCC6D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w:t>
            </w:r>
          </w:p>
        </w:tc>
        <w:tc>
          <w:tcPr>
            <w:tcW w:w="547" w:type="dxa"/>
            <w:tcBorders>
              <w:top w:val="nil"/>
              <w:left w:val="nil"/>
              <w:bottom w:val="nil"/>
              <w:right w:val="nil"/>
            </w:tcBorders>
            <w:noWrap/>
            <w:vAlign w:val="center"/>
            <w:hideMark/>
          </w:tcPr>
          <w:p w14:paraId="62C45C4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2215D30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3.05</w:t>
            </w:r>
          </w:p>
        </w:tc>
        <w:tc>
          <w:tcPr>
            <w:tcW w:w="753" w:type="dxa"/>
            <w:tcBorders>
              <w:top w:val="nil"/>
              <w:left w:val="nil"/>
              <w:bottom w:val="nil"/>
              <w:right w:val="nil"/>
            </w:tcBorders>
            <w:noWrap/>
            <w:vAlign w:val="center"/>
            <w:hideMark/>
          </w:tcPr>
          <w:p w14:paraId="3A4DCAA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0.62</w:t>
            </w:r>
          </w:p>
        </w:tc>
      </w:tr>
      <w:tr w:rsidR="00403DB2" w:rsidRPr="00403DB2" w14:paraId="34F7EA6A" w14:textId="77777777" w:rsidTr="00403DB2">
        <w:trPr>
          <w:trHeight w:val="489"/>
        </w:trPr>
        <w:tc>
          <w:tcPr>
            <w:tcW w:w="879" w:type="dxa"/>
            <w:tcBorders>
              <w:top w:val="nil"/>
              <w:left w:val="nil"/>
              <w:bottom w:val="nil"/>
              <w:right w:val="nil"/>
            </w:tcBorders>
            <w:noWrap/>
            <w:hideMark/>
          </w:tcPr>
          <w:p w14:paraId="2136436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Q3</w:t>
            </w:r>
          </w:p>
        </w:tc>
        <w:tc>
          <w:tcPr>
            <w:tcW w:w="3944" w:type="dxa"/>
            <w:tcBorders>
              <w:top w:val="nil"/>
              <w:left w:val="nil"/>
              <w:bottom w:val="nil"/>
              <w:right w:val="nil"/>
            </w:tcBorders>
            <w:noWrap/>
            <w:hideMark/>
          </w:tcPr>
          <w:p w14:paraId="39C3D461" w14:textId="77777777" w:rsidR="00403DB2" w:rsidRPr="00403DB2" w:rsidRDefault="00403DB2" w:rsidP="00883683">
            <w:pPr>
              <w:rPr>
                <w:rFonts w:ascii="Arial" w:hAnsi="Arial" w:cs="Arial"/>
                <w:color w:val="000000"/>
                <w:lang w:eastAsia="en-GB" w:bidi="km-KH"/>
              </w:rPr>
            </w:pPr>
            <w:r w:rsidRPr="00403DB2">
              <w:rPr>
                <w:rFonts w:ascii="Arial" w:hAnsi="Arial" w:cs="Arial"/>
              </w:rPr>
              <w:t>Does the lack of information about credit services make it easier for you to decide to use them?</w:t>
            </w:r>
          </w:p>
        </w:tc>
        <w:tc>
          <w:tcPr>
            <w:tcW w:w="876" w:type="dxa"/>
            <w:tcBorders>
              <w:top w:val="nil"/>
              <w:left w:val="nil"/>
              <w:bottom w:val="nil"/>
              <w:right w:val="nil"/>
            </w:tcBorders>
            <w:noWrap/>
            <w:vAlign w:val="center"/>
            <w:hideMark/>
          </w:tcPr>
          <w:p w14:paraId="28B7558C"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326</w:t>
            </w:r>
          </w:p>
        </w:tc>
        <w:tc>
          <w:tcPr>
            <w:tcW w:w="625" w:type="dxa"/>
            <w:tcBorders>
              <w:top w:val="nil"/>
              <w:left w:val="nil"/>
              <w:bottom w:val="nil"/>
              <w:right w:val="nil"/>
            </w:tcBorders>
            <w:noWrap/>
            <w:vAlign w:val="center"/>
            <w:hideMark/>
          </w:tcPr>
          <w:p w14:paraId="1C599A3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w:t>
            </w:r>
          </w:p>
        </w:tc>
        <w:tc>
          <w:tcPr>
            <w:tcW w:w="547" w:type="dxa"/>
            <w:tcBorders>
              <w:top w:val="nil"/>
              <w:left w:val="nil"/>
              <w:bottom w:val="nil"/>
              <w:right w:val="nil"/>
            </w:tcBorders>
            <w:noWrap/>
            <w:vAlign w:val="center"/>
            <w:hideMark/>
          </w:tcPr>
          <w:p w14:paraId="347D752A"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4C048F8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2.94</w:t>
            </w:r>
          </w:p>
        </w:tc>
        <w:tc>
          <w:tcPr>
            <w:tcW w:w="753" w:type="dxa"/>
            <w:tcBorders>
              <w:top w:val="nil"/>
              <w:left w:val="nil"/>
              <w:bottom w:val="nil"/>
              <w:right w:val="nil"/>
            </w:tcBorders>
            <w:noWrap/>
            <w:vAlign w:val="center"/>
            <w:hideMark/>
          </w:tcPr>
          <w:p w14:paraId="6603A5AE"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0.64</w:t>
            </w:r>
          </w:p>
        </w:tc>
      </w:tr>
      <w:tr w:rsidR="00403DB2" w:rsidRPr="00403DB2" w14:paraId="614E569C" w14:textId="77777777" w:rsidTr="00403DB2">
        <w:trPr>
          <w:trHeight w:val="489"/>
        </w:trPr>
        <w:tc>
          <w:tcPr>
            <w:tcW w:w="879" w:type="dxa"/>
            <w:tcBorders>
              <w:top w:val="nil"/>
              <w:left w:val="nil"/>
              <w:bottom w:val="nil"/>
              <w:right w:val="nil"/>
            </w:tcBorders>
            <w:noWrap/>
            <w:hideMark/>
          </w:tcPr>
          <w:p w14:paraId="25E8B50F"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lastRenderedPageBreak/>
              <w:t>Q4</w:t>
            </w:r>
          </w:p>
        </w:tc>
        <w:tc>
          <w:tcPr>
            <w:tcW w:w="3944" w:type="dxa"/>
            <w:tcBorders>
              <w:top w:val="nil"/>
              <w:left w:val="nil"/>
              <w:bottom w:val="nil"/>
              <w:right w:val="nil"/>
            </w:tcBorders>
            <w:noWrap/>
            <w:hideMark/>
          </w:tcPr>
          <w:p w14:paraId="6B76BE0A" w14:textId="77777777" w:rsidR="00403DB2" w:rsidRPr="00403DB2" w:rsidRDefault="00403DB2" w:rsidP="00883683">
            <w:pPr>
              <w:rPr>
                <w:rFonts w:ascii="Arial" w:hAnsi="Arial" w:cs="Arial"/>
                <w:color w:val="000000"/>
                <w:lang w:eastAsia="en-GB" w:bidi="km-KH"/>
              </w:rPr>
            </w:pPr>
            <w:r w:rsidRPr="00403DB2">
              <w:rPr>
                <w:rFonts w:ascii="Arial" w:hAnsi="Arial" w:cs="Arial"/>
              </w:rPr>
              <w:t>Are high interest rates convenient or acceptable for you?</w:t>
            </w:r>
          </w:p>
        </w:tc>
        <w:tc>
          <w:tcPr>
            <w:tcW w:w="876" w:type="dxa"/>
            <w:tcBorders>
              <w:top w:val="nil"/>
              <w:left w:val="nil"/>
              <w:bottom w:val="nil"/>
              <w:right w:val="nil"/>
            </w:tcBorders>
            <w:noWrap/>
            <w:vAlign w:val="center"/>
            <w:hideMark/>
          </w:tcPr>
          <w:p w14:paraId="45656B4F"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394</w:t>
            </w:r>
          </w:p>
        </w:tc>
        <w:tc>
          <w:tcPr>
            <w:tcW w:w="625" w:type="dxa"/>
            <w:tcBorders>
              <w:top w:val="nil"/>
              <w:left w:val="nil"/>
              <w:bottom w:val="nil"/>
              <w:right w:val="nil"/>
            </w:tcBorders>
            <w:noWrap/>
            <w:vAlign w:val="center"/>
            <w:hideMark/>
          </w:tcPr>
          <w:p w14:paraId="5ED2A245"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51A8127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37D98AE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3.55</w:t>
            </w:r>
          </w:p>
        </w:tc>
        <w:tc>
          <w:tcPr>
            <w:tcW w:w="753" w:type="dxa"/>
            <w:tcBorders>
              <w:top w:val="nil"/>
              <w:left w:val="nil"/>
              <w:bottom w:val="nil"/>
              <w:right w:val="nil"/>
            </w:tcBorders>
            <w:noWrap/>
            <w:vAlign w:val="center"/>
            <w:hideMark/>
          </w:tcPr>
          <w:p w14:paraId="2FB22BF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0.50</w:t>
            </w:r>
          </w:p>
        </w:tc>
      </w:tr>
      <w:tr w:rsidR="00403DB2" w:rsidRPr="00403DB2" w14:paraId="6D9F73EC" w14:textId="77777777" w:rsidTr="00403DB2">
        <w:trPr>
          <w:trHeight w:val="489"/>
        </w:trPr>
        <w:tc>
          <w:tcPr>
            <w:tcW w:w="879" w:type="dxa"/>
            <w:tcBorders>
              <w:top w:val="nil"/>
              <w:left w:val="nil"/>
              <w:bottom w:val="nil"/>
              <w:right w:val="nil"/>
            </w:tcBorders>
            <w:noWrap/>
            <w:hideMark/>
          </w:tcPr>
          <w:p w14:paraId="155D866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Q5</w:t>
            </w:r>
          </w:p>
        </w:tc>
        <w:tc>
          <w:tcPr>
            <w:tcW w:w="3944" w:type="dxa"/>
            <w:tcBorders>
              <w:top w:val="nil"/>
              <w:left w:val="nil"/>
              <w:bottom w:val="nil"/>
              <w:right w:val="nil"/>
            </w:tcBorders>
            <w:noWrap/>
            <w:hideMark/>
          </w:tcPr>
          <w:p w14:paraId="3FF8D356" w14:textId="77777777" w:rsidR="00403DB2" w:rsidRPr="00403DB2" w:rsidRDefault="00403DB2" w:rsidP="00883683">
            <w:pPr>
              <w:rPr>
                <w:rFonts w:ascii="Arial" w:hAnsi="Arial" w:cs="Arial"/>
                <w:color w:val="000000"/>
                <w:lang w:eastAsia="en-GB" w:bidi="km-KH"/>
              </w:rPr>
            </w:pPr>
            <w:r w:rsidRPr="00403DB2">
              <w:rPr>
                <w:rFonts w:ascii="Arial" w:hAnsi="Arial" w:cs="Arial"/>
              </w:rPr>
              <w:t>Are the documentation requirements easy to meet when applying for credit?</w:t>
            </w:r>
          </w:p>
        </w:tc>
        <w:tc>
          <w:tcPr>
            <w:tcW w:w="876" w:type="dxa"/>
            <w:tcBorders>
              <w:top w:val="nil"/>
              <w:left w:val="nil"/>
              <w:bottom w:val="nil"/>
              <w:right w:val="nil"/>
            </w:tcBorders>
            <w:noWrap/>
            <w:vAlign w:val="center"/>
            <w:hideMark/>
          </w:tcPr>
          <w:p w14:paraId="47D0688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387</w:t>
            </w:r>
          </w:p>
        </w:tc>
        <w:tc>
          <w:tcPr>
            <w:tcW w:w="625" w:type="dxa"/>
            <w:tcBorders>
              <w:top w:val="nil"/>
              <w:left w:val="nil"/>
              <w:bottom w:val="nil"/>
              <w:right w:val="nil"/>
            </w:tcBorders>
            <w:noWrap/>
            <w:vAlign w:val="center"/>
            <w:hideMark/>
          </w:tcPr>
          <w:p w14:paraId="2145E3AC"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113C09EA"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475513F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3.49</w:t>
            </w:r>
          </w:p>
        </w:tc>
        <w:tc>
          <w:tcPr>
            <w:tcW w:w="753" w:type="dxa"/>
            <w:tcBorders>
              <w:top w:val="nil"/>
              <w:left w:val="nil"/>
              <w:bottom w:val="nil"/>
              <w:right w:val="nil"/>
            </w:tcBorders>
            <w:noWrap/>
            <w:vAlign w:val="center"/>
            <w:hideMark/>
          </w:tcPr>
          <w:p w14:paraId="25EC199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0.51</w:t>
            </w:r>
          </w:p>
        </w:tc>
      </w:tr>
      <w:tr w:rsidR="00403DB2" w:rsidRPr="00403DB2" w14:paraId="0C398F8F" w14:textId="77777777" w:rsidTr="00403DB2">
        <w:trPr>
          <w:trHeight w:val="489"/>
        </w:trPr>
        <w:tc>
          <w:tcPr>
            <w:tcW w:w="879" w:type="dxa"/>
            <w:tcBorders>
              <w:top w:val="nil"/>
              <w:left w:val="nil"/>
              <w:bottom w:val="nil"/>
              <w:right w:val="nil"/>
            </w:tcBorders>
            <w:noWrap/>
            <w:hideMark/>
          </w:tcPr>
          <w:p w14:paraId="192F276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Q6</w:t>
            </w:r>
          </w:p>
        </w:tc>
        <w:tc>
          <w:tcPr>
            <w:tcW w:w="3944" w:type="dxa"/>
            <w:tcBorders>
              <w:top w:val="nil"/>
              <w:left w:val="nil"/>
              <w:bottom w:val="nil"/>
              <w:right w:val="nil"/>
            </w:tcBorders>
            <w:noWrap/>
            <w:hideMark/>
          </w:tcPr>
          <w:p w14:paraId="4107B898" w14:textId="77777777" w:rsidR="00403DB2" w:rsidRPr="00403DB2" w:rsidRDefault="00403DB2" w:rsidP="00883683">
            <w:pPr>
              <w:rPr>
                <w:rFonts w:ascii="Arial" w:hAnsi="Arial" w:cs="Arial"/>
                <w:color w:val="000000"/>
                <w:lang w:eastAsia="en-GB" w:bidi="km-KH"/>
              </w:rPr>
            </w:pPr>
            <w:r w:rsidRPr="00403DB2">
              <w:rPr>
                <w:rFonts w:ascii="Arial" w:hAnsi="Arial" w:cs="Arial"/>
              </w:rPr>
              <w:t>Is it easy for you to make loan payments when your income is low or unstable?</w:t>
            </w:r>
          </w:p>
        </w:tc>
        <w:tc>
          <w:tcPr>
            <w:tcW w:w="876" w:type="dxa"/>
            <w:tcBorders>
              <w:top w:val="nil"/>
              <w:left w:val="nil"/>
              <w:bottom w:val="nil"/>
              <w:right w:val="nil"/>
            </w:tcBorders>
            <w:noWrap/>
            <w:vAlign w:val="center"/>
            <w:hideMark/>
          </w:tcPr>
          <w:p w14:paraId="604163B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397</w:t>
            </w:r>
          </w:p>
        </w:tc>
        <w:tc>
          <w:tcPr>
            <w:tcW w:w="625" w:type="dxa"/>
            <w:tcBorders>
              <w:top w:val="nil"/>
              <w:left w:val="nil"/>
              <w:bottom w:val="nil"/>
              <w:right w:val="nil"/>
            </w:tcBorders>
            <w:noWrap/>
            <w:vAlign w:val="center"/>
            <w:hideMark/>
          </w:tcPr>
          <w:p w14:paraId="479ACAF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1869C9D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2D70071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3.58</w:t>
            </w:r>
          </w:p>
        </w:tc>
        <w:tc>
          <w:tcPr>
            <w:tcW w:w="753" w:type="dxa"/>
            <w:tcBorders>
              <w:top w:val="nil"/>
              <w:left w:val="nil"/>
              <w:bottom w:val="nil"/>
              <w:right w:val="nil"/>
            </w:tcBorders>
            <w:noWrap/>
            <w:vAlign w:val="center"/>
            <w:hideMark/>
          </w:tcPr>
          <w:p w14:paraId="3DCD68C8"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0.52</w:t>
            </w:r>
          </w:p>
        </w:tc>
      </w:tr>
      <w:tr w:rsidR="00403DB2" w:rsidRPr="00403DB2" w14:paraId="5C61A1DA" w14:textId="77777777" w:rsidTr="00403DB2">
        <w:trPr>
          <w:trHeight w:val="489"/>
        </w:trPr>
        <w:tc>
          <w:tcPr>
            <w:tcW w:w="879" w:type="dxa"/>
            <w:tcBorders>
              <w:top w:val="nil"/>
              <w:left w:val="nil"/>
              <w:bottom w:val="nil"/>
              <w:right w:val="nil"/>
            </w:tcBorders>
            <w:noWrap/>
            <w:hideMark/>
          </w:tcPr>
          <w:p w14:paraId="17451EB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Q9</w:t>
            </w:r>
          </w:p>
        </w:tc>
        <w:tc>
          <w:tcPr>
            <w:tcW w:w="3944" w:type="dxa"/>
            <w:tcBorders>
              <w:top w:val="nil"/>
              <w:left w:val="nil"/>
              <w:bottom w:val="nil"/>
              <w:right w:val="nil"/>
            </w:tcBorders>
            <w:noWrap/>
            <w:hideMark/>
          </w:tcPr>
          <w:p w14:paraId="51B7398D" w14:textId="77777777" w:rsidR="00403DB2" w:rsidRPr="00403DB2" w:rsidRDefault="00403DB2" w:rsidP="00883683">
            <w:pPr>
              <w:rPr>
                <w:rFonts w:ascii="Arial" w:hAnsi="Arial" w:cs="Arial"/>
                <w:color w:val="000000"/>
                <w:lang w:eastAsia="en-GB" w:bidi="km-KH"/>
              </w:rPr>
            </w:pPr>
            <w:r w:rsidRPr="00403DB2">
              <w:rPr>
                <w:rFonts w:ascii="Arial" w:hAnsi="Arial" w:cs="Arial"/>
              </w:rPr>
              <w:t>Have you made a monthly repayment plan to ensure timely loan payments?</w:t>
            </w:r>
          </w:p>
        </w:tc>
        <w:tc>
          <w:tcPr>
            <w:tcW w:w="876" w:type="dxa"/>
            <w:tcBorders>
              <w:top w:val="nil"/>
              <w:left w:val="nil"/>
              <w:bottom w:val="nil"/>
              <w:right w:val="nil"/>
            </w:tcBorders>
            <w:noWrap/>
            <w:vAlign w:val="center"/>
            <w:hideMark/>
          </w:tcPr>
          <w:p w14:paraId="7D27BA7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350</w:t>
            </w:r>
          </w:p>
        </w:tc>
        <w:tc>
          <w:tcPr>
            <w:tcW w:w="625" w:type="dxa"/>
            <w:tcBorders>
              <w:top w:val="nil"/>
              <w:left w:val="nil"/>
              <w:bottom w:val="nil"/>
              <w:right w:val="nil"/>
            </w:tcBorders>
            <w:noWrap/>
            <w:vAlign w:val="center"/>
            <w:hideMark/>
          </w:tcPr>
          <w:p w14:paraId="7829B58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w:t>
            </w:r>
          </w:p>
        </w:tc>
        <w:tc>
          <w:tcPr>
            <w:tcW w:w="547" w:type="dxa"/>
            <w:tcBorders>
              <w:top w:val="nil"/>
              <w:left w:val="nil"/>
              <w:bottom w:val="nil"/>
              <w:right w:val="nil"/>
            </w:tcBorders>
            <w:noWrap/>
            <w:vAlign w:val="center"/>
            <w:hideMark/>
          </w:tcPr>
          <w:p w14:paraId="7325185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7122980A"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3.15</w:t>
            </w:r>
          </w:p>
        </w:tc>
        <w:tc>
          <w:tcPr>
            <w:tcW w:w="753" w:type="dxa"/>
            <w:tcBorders>
              <w:top w:val="nil"/>
              <w:left w:val="nil"/>
              <w:bottom w:val="nil"/>
              <w:right w:val="nil"/>
            </w:tcBorders>
            <w:noWrap/>
            <w:vAlign w:val="center"/>
            <w:hideMark/>
          </w:tcPr>
          <w:p w14:paraId="572FB5E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0.52</w:t>
            </w:r>
          </w:p>
        </w:tc>
      </w:tr>
      <w:tr w:rsidR="00403DB2" w:rsidRPr="00403DB2" w14:paraId="038FF859" w14:textId="77777777" w:rsidTr="00403DB2">
        <w:trPr>
          <w:trHeight w:val="489"/>
        </w:trPr>
        <w:tc>
          <w:tcPr>
            <w:tcW w:w="879" w:type="dxa"/>
            <w:tcBorders>
              <w:top w:val="nil"/>
              <w:left w:val="nil"/>
              <w:bottom w:val="nil"/>
              <w:right w:val="nil"/>
            </w:tcBorders>
            <w:noWrap/>
            <w:hideMark/>
          </w:tcPr>
          <w:p w14:paraId="288B009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Q10</w:t>
            </w:r>
          </w:p>
        </w:tc>
        <w:tc>
          <w:tcPr>
            <w:tcW w:w="3944" w:type="dxa"/>
            <w:tcBorders>
              <w:top w:val="nil"/>
              <w:left w:val="nil"/>
              <w:bottom w:val="nil"/>
              <w:right w:val="nil"/>
            </w:tcBorders>
            <w:noWrap/>
            <w:hideMark/>
          </w:tcPr>
          <w:p w14:paraId="77A34765" w14:textId="77777777" w:rsidR="00403DB2" w:rsidRPr="00403DB2" w:rsidRDefault="00403DB2" w:rsidP="00883683">
            <w:pPr>
              <w:rPr>
                <w:rFonts w:ascii="Arial" w:hAnsi="Arial" w:cs="Arial"/>
                <w:color w:val="000000"/>
                <w:lang w:eastAsia="en-GB" w:bidi="km-KH"/>
              </w:rPr>
            </w:pPr>
            <w:r w:rsidRPr="00403DB2">
              <w:rPr>
                <w:rFonts w:ascii="Arial" w:hAnsi="Arial" w:cs="Arial"/>
              </w:rPr>
              <w:t>Did you consult with family members before deciding to borrow money?</w:t>
            </w:r>
          </w:p>
        </w:tc>
        <w:tc>
          <w:tcPr>
            <w:tcW w:w="876" w:type="dxa"/>
            <w:tcBorders>
              <w:top w:val="nil"/>
              <w:left w:val="nil"/>
              <w:bottom w:val="nil"/>
              <w:right w:val="nil"/>
            </w:tcBorders>
            <w:noWrap/>
            <w:vAlign w:val="center"/>
            <w:hideMark/>
          </w:tcPr>
          <w:p w14:paraId="4DF6EF0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422</w:t>
            </w:r>
          </w:p>
        </w:tc>
        <w:tc>
          <w:tcPr>
            <w:tcW w:w="625" w:type="dxa"/>
            <w:tcBorders>
              <w:top w:val="nil"/>
              <w:left w:val="nil"/>
              <w:bottom w:val="nil"/>
              <w:right w:val="nil"/>
            </w:tcBorders>
            <w:noWrap/>
            <w:vAlign w:val="center"/>
            <w:hideMark/>
          </w:tcPr>
          <w:p w14:paraId="153C5A1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47585AC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239F4FE6"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3.80</w:t>
            </w:r>
          </w:p>
        </w:tc>
        <w:tc>
          <w:tcPr>
            <w:tcW w:w="753" w:type="dxa"/>
            <w:tcBorders>
              <w:top w:val="nil"/>
              <w:left w:val="nil"/>
              <w:bottom w:val="nil"/>
              <w:right w:val="nil"/>
            </w:tcBorders>
            <w:noWrap/>
            <w:vAlign w:val="center"/>
            <w:hideMark/>
          </w:tcPr>
          <w:p w14:paraId="31C8E89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0.52</w:t>
            </w:r>
          </w:p>
        </w:tc>
      </w:tr>
      <w:tr w:rsidR="00403DB2" w:rsidRPr="00403DB2" w14:paraId="596F1D9D" w14:textId="77777777" w:rsidTr="00403DB2">
        <w:trPr>
          <w:trHeight w:val="489"/>
        </w:trPr>
        <w:tc>
          <w:tcPr>
            <w:tcW w:w="879" w:type="dxa"/>
            <w:tcBorders>
              <w:top w:val="nil"/>
              <w:left w:val="nil"/>
              <w:bottom w:val="nil"/>
              <w:right w:val="nil"/>
            </w:tcBorders>
            <w:noWrap/>
            <w:hideMark/>
          </w:tcPr>
          <w:p w14:paraId="45371BB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Q11</w:t>
            </w:r>
          </w:p>
        </w:tc>
        <w:tc>
          <w:tcPr>
            <w:tcW w:w="3944" w:type="dxa"/>
            <w:tcBorders>
              <w:top w:val="nil"/>
              <w:left w:val="nil"/>
              <w:bottom w:val="nil"/>
              <w:right w:val="nil"/>
            </w:tcBorders>
            <w:noWrap/>
            <w:hideMark/>
          </w:tcPr>
          <w:p w14:paraId="6E2FFE58" w14:textId="77777777" w:rsidR="00403DB2" w:rsidRPr="00403DB2" w:rsidRDefault="00403DB2" w:rsidP="00883683">
            <w:pPr>
              <w:rPr>
                <w:rFonts w:ascii="Arial" w:hAnsi="Arial" w:cs="Arial"/>
                <w:color w:val="000000"/>
                <w:lang w:eastAsia="en-GB" w:bidi="km-KH"/>
              </w:rPr>
            </w:pPr>
            <w:r w:rsidRPr="00403DB2">
              <w:rPr>
                <w:rFonts w:ascii="Arial" w:hAnsi="Arial" w:cs="Arial"/>
              </w:rPr>
              <w:t>Have you sought information from other credit institutions before borrowing?</w:t>
            </w:r>
          </w:p>
        </w:tc>
        <w:tc>
          <w:tcPr>
            <w:tcW w:w="876" w:type="dxa"/>
            <w:tcBorders>
              <w:top w:val="nil"/>
              <w:left w:val="nil"/>
              <w:bottom w:val="nil"/>
              <w:right w:val="nil"/>
            </w:tcBorders>
            <w:noWrap/>
            <w:vAlign w:val="center"/>
            <w:hideMark/>
          </w:tcPr>
          <w:p w14:paraId="423D6A4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387</w:t>
            </w:r>
          </w:p>
        </w:tc>
        <w:tc>
          <w:tcPr>
            <w:tcW w:w="625" w:type="dxa"/>
            <w:tcBorders>
              <w:top w:val="nil"/>
              <w:left w:val="nil"/>
              <w:bottom w:val="nil"/>
              <w:right w:val="nil"/>
            </w:tcBorders>
            <w:noWrap/>
            <w:vAlign w:val="center"/>
            <w:hideMark/>
          </w:tcPr>
          <w:p w14:paraId="49223C38"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4</w:t>
            </w:r>
          </w:p>
        </w:tc>
        <w:tc>
          <w:tcPr>
            <w:tcW w:w="547" w:type="dxa"/>
            <w:tcBorders>
              <w:top w:val="nil"/>
              <w:left w:val="nil"/>
              <w:bottom w:val="nil"/>
              <w:right w:val="nil"/>
            </w:tcBorders>
            <w:noWrap/>
            <w:vAlign w:val="center"/>
            <w:hideMark/>
          </w:tcPr>
          <w:p w14:paraId="416D0CCE"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0F911A3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3.49</w:t>
            </w:r>
          </w:p>
        </w:tc>
        <w:tc>
          <w:tcPr>
            <w:tcW w:w="753" w:type="dxa"/>
            <w:tcBorders>
              <w:top w:val="nil"/>
              <w:left w:val="nil"/>
              <w:bottom w:val="nil"/>
              <w:right w:val="nil"/>
            </w:tcBorders>
            <w:noWrap/>
            <w:vAlign w:val="center"/>
            <w:hideMark/>
          </w:tcPr>
          <w:p w14:paraId="4CA7B8F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0.52</w:t>
            </w:r>
          </w:p>
        </w:tc>
      </w:tr>
      <w:tr w:rsidR="00403DB2" w:rsidRPr="00403DB2" w14:paraId="3C54B740" w14:textId="77777777" w:rsidTr="00403DB2">
        <w:trPr>
          <w:trHeight w:val="489"/>
        </w:trPr>
        <w:tc>
          <w:tcPr>
            <w:tcW w:w="879" w:type="dxa"/>
            <w:tcBorders>
              <w:top w:val="nil"/>
              <w:left w:val="nil"/>
              <w:right w:val="nil"/>
            </w:tcBorders>
            <w:noWrap/>
            <w:hideMark/>
          </w:tcPr>
          <w:p w14:paraId="16CFF9FD"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Q12</w:t>
            </w:r>
          </w:p>
        </w:tc>
        <w:tc>
          <w:tcPr>
            <w:tcW w:w="3944" w:type="dxa"/>
            <w:tcBorders>
              <w:top w:val="nil"/>
              <w:left w:val="nil"/>
              <w:right w:val="nil"/>
            </w:tcBorders>
            <w:noWrap/>
            <w:hideMark/>
          </w:tcPr>
          <w:p w14:paraId="43B60C3E" w14:textId="77777777" w:rsidR="00403DB2" w:rsidRPr="00403DB2" w:rsidRDefault="00403DB2" w:rsidP="00883683">
            <w:pPr>
              <w:rPr>
                <w:rFonts w:ascii="Arial" w:hAnsi="Arial" w:cs="Arial"/>
                <w:color w:val="000000"/>
                <w:lang w:eastAsia="en-GB" w:bidi="km-KH"/>
              </w:rPr>
            </w:pPr>
            <w:r w:rsidRPr="00403DB2">
              <w:rPr>
                <w:rFonts w:ascii="Arial" w:hAnsi="Arial" w:cs="Arial"/>
              </w:rPr>
              <w:t>Have you tried to raise additional income to support your loan repayments?</w:t>
            </w:r>
          </w:p>
        </w:tc>
        <w:tc>
          <w:tcPr>
            <w:tcW w:w="876" w:type="dxa"/>
            <w:tcBorders>
              <w:top w:val="nil"/>
              <w:left w:val="nil"/>
              <w:right w:val="nil"/>
            </w:tcBorders>
            <w:noWrap/>
            <w:vAlign w:val="center"/>
            <w:hideMark/>
          </w:tcPr>
          <w:p w14:paraId="3A007C3E"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379</w:t>
            </w:r>
          </w:p>
        </w:tc>
        <w:tc>
          <w:tcPr>
            <w:tcW w:w="625" w:type="dxa"/>
            <w:tcBorders>
              <w:top w:val="nil"/>
              <w:left w:val="nil"/>
              <w:right w:val="nil"/>
            </w:tcBorders>
            <w:noWrap/>
            <w:vAlign w:val="center"/>
            <w:hideMark/>
          </w:tcPr>
          <w:p w14:paraId="3FAB2892"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right w:val="nil"/>
            </w:tcBorders>
            <w:noWrap/>
            <w:vAlign w:val="center"/>
            <w:hideMark/>
          </w:tcPr>
          <w:p w14:paraId="24403EE9"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right w:val="nil"/>
            </w:tcBorders>
            <w:noWrap/>
            <w:vAlign w:val="center"/>
            <w:hideMark/>
          </w:tcPr>
          <w:p w14:paraId="4FBA2A4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3.41</w:t>
            </w:r>
          </w:p>
        </w:tc>
        <w:tc>
          <w:tcPr>
            <w:tcW w:w="753" w:type="dxa"/>
            <w:tcBorders>
              <w:top w:val="nil"/>
              <w:left w:val="nil"/>
              <w:right w:val="nil"/>
            </w:tcBorders>
            <w:noWrap/>
            <w:vAlign w:val="center"/>
            <w:hideMark/>
          </w:tcPr>
          <w:p w14:paraId="33F44054"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0.53</w:t>
            </w:r>
          </w:p>
        </w:tc>
      </w:tr>
      <w:tr w:rsidR="00403DB2" w:rsidRPr="00403DB2" w14:paraId="6D6C5B41" w14:textId="77777777" w:rsidTr="00403DB2">
        <w:trPr>
          <w:trHeight w:val="489"/>
        </w:trPr>
        <w:tc>
          <w:tcPr>
            <w:tcW w:w="879" w:type="dxa"/>
            <w:tcBorders>
              <w:top w:val="nil"/>
              <w:left w:val="nil"/>
              <w:bottom w:val="nil"/>
              <w:right w:val="nil"/>
            </w:tcBorders>
            <w:noWrap/>
            <w:hideMark/>
          </w:tcPr>
          <w:p w14:paraId="1906D8D6"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Q13</w:t>
            </w:r>
          </w:p>
        </w:tc>
        <w:tc>
          <w:tcPr>
            <w:tcW w:w="3944" w:type="dxa"/>
            <w:tcBorders>
              <w:top w:val="nil"/>
              <w:left w:val="nil"/>
              <w:bottom w:val="nil"/>
              <w:right w:val="nil"/>
            </w:tcBorders>
            <w:noWrap/>
            <w:hideMark/>
          </w:tcPr>
          <w:p w14:paraId="36B94144" w14:textId="77777777" w:rsidR="00403DB2" w:rsidRPr="00403DB2" w:rsidRDefault="00403DB2" w:rsidP="00883683">
            <w:pPr>
              <w:rPr>
                <w:rFonts w:ascii="Arial" w:hAnsi="Arial" w:cs="Arial"/>
                <w:color w:val="000000"/>
                <w:lang w:eastAsia="en-GB" w:bidi="km-KH"/>
              </w:rPr>
            </w:pPr>
            <w:r w:rsidRPr="00403DB2">
              <w:rPr>
                <w:rFonts w:ascii="Arial" w:hAnsi="Arial" w:cs="Arial"/>
              </w:rPr>
              <w:t>Have you avoided borrowing money when you were not sure about your repayment ability?</w:t>
            </w:r>
          </w:p>
        </w:tc>
        <w:tc>
          <w:tcPr>
            <w:tcW w:w="876" w:type="dxa"/>
            <w:tcBorders>
              <w:top w:val="nil"/>
              <w:left w:val="nil"/>
              <w:bottom w:val="nil"/>
              <w:right w:val="nil"/>
            </w:tcBorders>
            <w:noWrap/>
            <w:vAlign w:val="center"/>
            <w:hideMark/>
          </w:tcPr>
          <w:p w14:paraId="7C09980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360</w:t>
            </w:r>
          </w:p>
        </w:tc>
        <w:tc>
          <w:tcPr>
            <w:tcW w:w="625" w:type="dxa"/>
            <w:tcBorders>
              <w:top w:val="nil"/>
              <w:left w:val="nil"/>
              <w:bottom w:val="nil"/>
              <w:right w:val="nil"/>
            </w:tcBorders>
            <w:noWrap/>
            <w:vAlign w:val="center"/>
            <w:hideMark/>
          </w:tcPr>
          <w:p w14:paraId="171A4BF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nil"/>
              <w:right w:val="nil"/>
            </w:tcBorders>
            <w:noWrap/>
            <w:vAlign w:val="center"/>
            <w:hideMark/>
          </w:tcPr>
          <w:p w14:paraId="66E018B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nil"/>
              <w:right w:val="nil"/>
            </w:tcBorders>
            <w:noWrap/>
            <w:vAlign w:val="center"/>
            <w:hideMark/>
          </w:tcPr>
          <w:p w14:paraId="3E211F3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3.24</w:t>
            </w:r>
          </w:p>
        </w:tc>
        <w:tc>
          <w:tcPr>
            <w:tcW w:w="753" w:type="dxa"/>
            <w:tcBorders>
              <w:top w:val="nil"/>
              <w:left w:val="nil"/>
              <w:bottom w:val="nil"/>
              <w:right w:val="nil"/>
            </w:tcBorders>
            <w:noWrap/>
            <w:vAlign w:val="center"/>
            <w:hideMark/>
          </w:tcPr>
          <w:p w14:paraId="17B748B1"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0.48</w:t>
            </w:r>
          </w:p>
        </w:tc>
      </w:tr>
      <w:tr w:rsidR="00403DB2" w:rsidRPr="00403DB2" w14:paraId="4ED72DEE" w14:textId="77777777" w:rsidTr="00403DB2">
        <w:trPr>
          <w:trHeight w:val="489"/>
        </w:trPr>
        <w:tc>
          <w:tcPr>
            <w:tcW w:w="879" w:type="dxa"/>
            <w:tcBorders>
              <w:top w:val="nil"/>
              <w:left w:val="nil"/>
              <w:bottom w:val="single" w:sz="4" w:space="0" w:color="auto"/>
              <w:right w:val="nil"/>
            </w:tcBorders>
            <w:noWrap/>
            <w:hideMark/>
          </w:tcPr>
          <w:p w14:paraId="70F5CC37"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Q15</w:t>
            </w:r>
          </w:p>
        </w:tc>
        <w:tc>
          <w:tcPr>
            <w:tcW w:w="3944" w:type="dxa"/>
            <w:tcBorders>
              <w:top w:val="nil"/>
              <w:left w:val="nil"/>
              <w:bottom w:val="single" w:sz="4" w:space="0" w:color="auto"/>
              <w:right w:val="nil"/>
            </w:tcBorders>
            <w:noWrap/>
            <w:hideMark/>
          </w:tcPr>
          <w:p w14:paraId="20A840B6" w14:textId="77777777" w:rsidR="00403DB2" w:rsidRPr="00403DB2" w:rsidRDefault="00403DB2" w:rsidP="00883683">
            <w:pPr>
              <w:rPr>
                <w:rFonts w:ascii="Arial" w:hAnsi="Arial" w:cs="Arial"/>
                <w:color w:val="000000"/>
                <w:lang w:eastAsia="en-GB" w:bidi="km-KH"/>
              </w:rPr>
            </w:pPr>
            <w:r w:rsidRPr="00403DB2">
              <w:rPr>
                <w:rFonts w:ascii="Arial" w:hAnsi="Arial" w:cs="Arial"/>
              </w:rPr>
              <w:t>How effective are these actions or solutions in helping you manage your loans?</w:t>
            </w:r>
          </w:p>
        </w:tc>
        <w:tc>
          <w:tcPr>
            <w:tcW w:w="876" w:type="dxa"/>
            <w:tcBorders>
              <w:top w:val="nil"/>
              <w:left w:val="nil"/>
              <w:bottom w:val="single" w:sz="4" w:space="0" w:color="auto"/>
              <w:right w:val="nil"/>
            </w:tcBorders>
            <w:noWrap/>
            <w:vAlign w:val="center"/>
            <w:hideMark/>
          </w:tcPr>
          <w:p w14:paraId="71C73ACA"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379</w:t>
            </w:r>
          </w:p>
        </w:tc>
        <w:tc>
          <w:tcPr>
            <w:tcW w:w="625" w:type="dxa"/>
            <w:tcBorders>
              <w:top w:val="nil"/>
              <w:left w:val="nil"/>
              <w:bottom w:val="single" w:sz="4" w:space="0" w:color="auto"/>
              <w:right w:val="nil"/>
            </w:tcBorders>
            <w:noWrap/>
            <w:vAlign w:val="center"/>
            <w:hideMark/>
          </w:tcPr>
          <w:p w14:paraId="03274BD3"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5</w:t>
            </w:r>
          </w:p>
        </w:tc>
        <w:tc>
          <w:tcPr>
            <w:tcW w:w="547" w:type="dxa"/>
            <w:tcBorders>
              <w:top w:val="nil"/>
              <w:left w:val="nil"/>
              <w:bottom w:val="single" w:sz="4" w:space="0" w:color="auto"/>
              <w:right w:val="nil"/>
            </w:tcBorders>
            <w:noWrap/>
            <w:vAlign w:val="center"/>
            <w:hideMark/>
          </w:tcPr>
          <w:p w14:paraId="15949B9F"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1</w:t>
            </w:r>
          </w:p>
        </w:tc>
        <w:tc>
          <w:tcPr>
            <w:tcW w:w="675" w:type="dxa"/>
            <w:tcBorders>
              <w:top w:val="nil"/>
              <w:left w:val="nil"/>
              <w:bottom w:val="single" w:sz="4" w:space="0" w:color="auto"/>
              <w:right w:val="nil"/>
            </w:tcBorders>
            <w:noWrap/>
            <w:vAlign w:val="center"/>
            <w:hideMark/>
          </w:tcPr>
          <w:p w14:paraId="0122DE90"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3.41</w:t>
            </w:r>
          </w:p>
        </w:tc>
        <w:tc>
          <w:tcPr>
            <w:tcW w:w="753" w:type="dxa"/>
            <w:tcBorders>
              <w:top w:val="nil"/>
              <w:left w:val="nil"/>
              <w:bottom w:val="single" w:sz="4" w:space="0" w:color="auto"/>
              <w:right w:val="nil"/>
            </w:tcBorders>
            <w:noWrap/>
            <w:vAlign w:val="center"/>
            <w:hideMark/>
          </w:tcPr>
          <w:p w14:paraId="31C0DC7B" w14:textId="77777777" w:rsidR="00403DB2" w:rsidRPr="00403DB2" w:rsidRDefault="00403DB2" w:rsidP="00883683">
            <w:pPr>
              <w:jc w:val="center"/>
              <w:rPr>
                <w:rFonts w:ascii="Arial" w:hAnsi="Arial" w:cs="Arial"/>
                <w:color w:val="000000"/>
                <w:lang w:eastAsia="en-GB" w:bidi="km-KH"/>
              </w:rPr>
            </w:pPr>
            <w:r w:rsidRPr="00403DB2">
              <w:rPr>
                <w:rFonts w:ascii="Arial" w:hAnsi="Arial" w:cs="Arial"/>
                <w:color w:val="000000"/>
                <w:lang w:eastAsia="en-GB" w:bidi="km-KH"/>
              </w:rPr>
              <w:t>0.59</w:t>
            </w:r>
          </w:p>
        </w:tc>
      </w:tr>
    </w:tbl>
    <w:p w14:paraId="4926FE21" w14:textId="77777777" w:rsidR="00092AE9" w:rsidRDefault="00092AE9" w:rsidP="00092AE9">
      <w:pPr>
        <w:pStyle w:val="Body"/>
        <w:spacing w:after="0"/>
        <w:rPr>
          <w:rFonts w:ascii="Arial" w:hAnsi="Arial" w:cs="Arial"/>
        </w:rPr>
      </w:pPr>
    </w:p>
    <w:p w14:paraId="056FDB0A" w14:textId="77777777" w:rsidR="00403DB2" w:rsidRPr="00403DB2" w:rsidRDefault="00403DB2" w:rsidP="00403DB2">
      <w:pPr>
        <w:spacing w:after="160" w:line="259" w:lineRule="auto"/>
        <w:rPr>
          <w:b/>
          <w:bCs/>
          <w:szCs w:val="24"/>
          <w:lang w:bidi="km-KH"/>
        </w:rPr>
      </w:pPr>
      <w:r w:rsidRPr="00403DB2">
        <w:rPr>
          <w:b/>
          <w:bCs/>
          <w:szCs w:val="24"/>
          <w:lang w:bidi="km-KH"/>
        </w:rPr>
        <w:t>3.5 Comparison of Group Means</w:t>
      </w:r>
    </w:p>
    <w:p w14:paraId="2F32C721" w14:textId="77777777" w:rsidR="00403DB2" w:rsidRPr="00403DB2" w:rsidRDefault="00403DB2" w:rsidP="00403DB2">
      <w:pPr>
        <w:pStyle w:val="Body"/>
        <w:rPr>
          <w:rFonts w:ascii="Arial" w:hAnsi="Arial" w:cs="Arial"/>
        </w:rPr>
      </w:pPr>
      <w:r w:rsidRPr="00403DB2">
        <w:rPr>
          <w:rFonts w:ascii="Arial" w:hAnsi="Arial" w:cs="Arial"/>
        </w:rPr>
        <w:t>This Figure 2 illustrates how respondents’ levels of understanding, perceived influencing factors, and experienced challenges vary across demographic characteristics.</w:t>
      </w:r>
    </w:p>
    <w:p w14:paraId="0B9BC021" w14:textId="77777777" w:rsidR="00403DB2" w:rsidRDefault="00403DB2" w:rsidP="00D33556">
      <w:pPr>
        <w:pStyle w:val="Body"/>
        <w:numPr>
          <w:ilvl w:val="0"/>
          <w:numId w:val="31"/>
        </w:numPr>
        <w:rPr>
          <w:rFonts w:ascii="Arial" w:hAnsi="Arial" w:cs="Arial"/>
        </w:rPr>
      </w:pPr>
      <w:r w:rsidRPr="00403DB2">
        <w:rPr>
          <w:rFonts w:ascii="Arial" w:hAnsi="Arial" w:cs="Arial"/>
        </w:rPr>
        <w:t>Occupation: Respondents (laborers) recorded significantly higher mean scores for influencing factors compared to other occupational groups, reporting that they were more affected by external motivations.</w:t>
      </w:r>
    </w:p>
    <w:p w14:paraId="71A395C2" w14:textId="77777777" w:rsidR="00403DB2" w:rsidRDefault="00403DB2" w:rsidP="00B24B07">
      <w:pPr>
        <w:pStyle w:val="Body"/>
        <w:numPr>
          <w:ilvl w:val="0"/>
          <w:numId w:val="31"/>
        </w:numPr>
        <w:rPr>
          <w:rFonts w:ascii="Arial" w:hAnsi="Arial" w:cs="Arial"/>
        </w:rPr>
      </w:pPr>
      <w:r w:rsidRPr="00403DB2">
        <w:rPr>
          <w:rFonts w:ascii="Arial" w:hAnsi="Arial" w:cs="Arial"/>
        </w:rPr>
        <w:t>Income: Participants earning more than $401/month indicated clear differences from the group of lower income, especially in influencing factors, showing that income level influences perceptions of credit utilization.</w:t>
      </w:r>
    </w:p>
    <w:p w14:paraId="519C02BA" w14:textId="77777777" w:rsidR="00403DB2" w:rsidRDefault="00403DB2" w:rsidP="00597DDA">
      <w:pPr>
        <w:pStyle w:val="Body"/>
        <w:numPr>
          <w:ilvl w:val="0"/>
          <w:numId w:val="31"/>
        </w:numPr>
        <w:rPr>
          <w:rFonts w:ascii="Arial" w:hAnsi="Arial" w:cs="Arial"/>
        </w:rPr>
      </w:pPr>
      <w:r w:rsidRPr="00403DB2">
        <w:rPr>
          <w:rFonts w:ascii="Arial" w:hAnsi="Arial" w:cs="Arial"/>
        </w:rPr>
        <w:t>Gender: There were no significant differences between male and female respondents across all indicators (same letter "B"), indicating similar views and experiences regardless of gender.</w:t>
      </w:r>
    </w:p>
    <w:p w14:paraId="6D542A5B" w14:textId="77777777" w:rsidR="00403DB2" w:rsidRDefault="00403DB2" w:rsidP="00597DDA">
      <w:pPr>
        <w:pStyle w:val="Body"/>
        <w:numPr>
          <w:ilvl w:val="0"/>
          <w:numId w:val="31"/>
        </w:numPr>
        <w:rPr>
          <w:rFonts w:ascii="Arial" w:hAnsi="Arial" w:cs="Arial"/>
        </w:rPr>
      </w:pPr>
      <w:r>
        <w:rPr>
          <w:rFonts w:ascii="Arial" w:hAnsi="Arial" w:cs="Arial"/>
        </w:rPr>
        <w:t>E</w:t>
      </w:r>
      <w:r w:rsidRPr="00403DB2">
        <w:rPr>
          <w:rFonts w:ascii="Arial" w:hAnsi="Arial" w:cs="Arial"/>
        </w:rPr>
        <w:t>ducation: Respondents with a high school education had significantly higher scores for influencing factors, while those with other education levels showed little difference.</w:t>
      </w:r>
    </w:p>
    <w:p w14:paraId="65ECDC2D" w14:textId="77777777" w:rsidR="00403DB2" w:rsidRDefault="00403DB2" w:rsidP="00403DB2">
      <w:pPr>
        <w:pStyle w:val="Body"/>
        <w:numPr>
          <w:ilvl w:val="0"/>
          <w:numId w:val="31"/>
        </w:numPr>
        <w:rPr>
          <w:rFonts w:ascii="Arial" w:hAnsi="Arial" w:cs="Arial"/>
        </w:rPr>
      </w:pPr>
      <w:r w:rsidRPr="00403DB2">
        <w:rPr>
          <w:rFonts w:ascii="Arial" w:hAnsi="Arial" w:cs="Arial"/>
        </w:rPr>
        <w:t>Age: Participants aged 56 and above had higher scores for influencing factors but lower scores for understanding and challenges, suggesting differences that may be linked to age or generational experience.</w:t>
      </w:r>
    </w:p>
    <w:p w14:paraId="53B1BBA8" w14:textId="79CDC433" w:rsidR="00403DB2" w:rsidRPr="00403DB2" w:rsidRDefault="00403DB2" w:rsidP="00403DB2">
      <w:pPr>
        <w:pStyle w:val="Body"/>
        <w:numPr>
          <w:ilvl w:val="0"/>
          <w:numId w:val="31"/>
        </w:numPr>
        <w:rPr>
          <w:rFonts w:ascii="Arial" w:hAnsi="Arial" w:cs="Arial"/>
        </w:rPr>
      </w:pPr>
      <w:r w:rsidRPr="00403DB2">
        <w:rPr>
          <w:rFonts w:ascii="Arial" w:hAnsi="Arial" w:cs="Arial"/>
        </w:rPr>
        <w:t xml:space="preserve">Residence: Respondents from </w:t>
      </w:r>
      <w:proofErr w:type="spellStart"/>
      <w:r w:rsidRPr="00403DB2">
        <w:rPr>
          <w:rFonts w:ascii="Arial" w:hAnsi="Arial" w:cs="Arial"/>
        </w:rPr>
        <w:t>Tansong</w:t>
      </w:r>
      <w:proofErr w:type="spellEnd"/>
      <w:r w:rsidRPr="00403DB2">
        <w:rPr>
          <w:rFonts w:ascii="Arial" w:hAnsi="Arial" w:cs="Arial"/>
        </w:rPr>
        <w:t xml:space="preserve"> </w:t>
      </w:r>
      <w:proofErr w:type="spellStart"/>
      <w:r w:rsidRPr="00403DB2">
        <w:rPr>
          <w:rFonts w:ascii="Arial" w:hAnsi="Arial" w:cs="Arial"/>
        </w:rPr>
        <w:t>Paek</w:t>
      </w:r>
      <w:proofErr w:type="spellEnd"/>
      <w:r w:rsidRPr="00403DB2">
        <w:rPr>
          <w:rFonts w:ascii="Arial" w:hAnsi="Arial" w:cs="Arial"/>
        </w:rPr>
        <w:t xml:space="preserve"> reported notably higher scores for influencing factors, reflecting possible regional differences in awareness or access to credit information.</w:t>
      </w:r>
    </w:p>
    <w:p w14:paraId="237FDA9A" w14:textId="64790754" w:rsidR="00092AE9" w:rsidRDefault="00403DB2" w:rsidP="00403DB2">
      <w:pPr>
        <w:pStyle w:val="Body"/>
        <w:spacing w:after="0"/>
        <w:rPr>
          <w:rFonts w:ascii="Arial" w:hAnsi="Arial" w:cs="Arial"/>
        </w:rPr>
      </w:pPr>
      <w:r w:rsidRPr="00403DB2">
        <w:rPr>
          <w:rFonts w:ascii="Arial" w:hAnsi="Arial" w:cs="Arial"/>
        </w:rPr>
        <w:lastRenderedPageBreak/>
        <w:t>Overall, the figure visually emphasizes which demographic groups differ significantly in their perceptions and experiences, supporting further interpretation of socio-demographic influences on the studied topic.</w:t>
      </w:r>
    </w:p>
    <w:p w14:paraId="09C2C55C" w14:textId="6E64F190" w:rsidR="00092AE9" w:rsidRDefault="00403DB2" w:rsidP="00092AE9">
      <w:pPr>
        <w:pStyle w:val="Body"/>
        <w:spacing w:after="0"/>
        <w:rPr>
          <w:rFonts w:ascii="Arial" w:hAnsi="Arial" w:cs="Arial"/>
        </w:rPr>
      </w:pPr>
      <w:r w:rsidRPr="002119FB">
        <w:rPr>
          <w:b/>
          <w:bCs/>
          <w:noProof/>
          <w:szCs w:val="24"/>
          <w:lang w:bidi="km-KH"/>
        </w:rPr>
        <w:drawing>
          <wp:inline distT="0" distB="0" distL="0" distR="0" wp14:anchorId="319404BE" wp14:editId="5CB80F06">
            <wp:extent cx="5212080" cy="4244281"/>
            <wp:effectExtent l="0" t="0" r="0" b="0"/>
            <wp:docPr id="2111796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96488" name=""/>
                    <pic:cNvPicPr/>
                  </pic:nvPicPr>
                  <pic:blipFill rotWithShape="1">
                    <a:blip r:embed="rId15"/>
                    <a:srcRect t="5046"/>
                    <a:stretch>
                      <a:fillRect/>
                    </a:stretch>
                  </pic:blipFill>
                  <pic:spPr bwMode="auto">
                    <a:xfrm>
                      <a:off x="0" y="0"/>
                      <a:ext cx="5212080" cy="4244281"/>
                    </a:xfrm>
                    <a:prstGeom prst="rect">
                      <a:avLst/>
                    </a:prstGeom>
                    <a:ln>
                      <a:noFill/>
                    </a:ln>
                    <a:extLst>
                      <a:ext uri="{53640926-AAD7-44D8-BBD7-CCE9431645EC}">
                        <a14:shadowObscured xmlns:a14="http://schemas.microsoft.com/office/drawing/2010/main"/>
                      </a:ext>
                    </a:extLst>
                  </pic:spPr>
                </pic:pic>
              </a:graphicData>
            </a:graphic>
          </wp:inline>
        </w:drawing>
      </w:r>
    </w:p>
    <w:p w14:paraId="6CFDB956" w14:textId="7D12692D" w:rsidR="00092AE9" w:rsidRDefault="00403DB2" w:rsidP="00092AE9">
      <w:pPr>
        <w:pStyle w:val="Body"/>
        <w:spacing w:after="0"/>
        <w:rPr>
          <w:rFonts w:ascii="Arial" w:hAnsi="Arial" w:cs="Arial"/>
        </w:rPr>
      </w:pPr>
      <w:r w:rsidRPr="00403DB2">
        <w:rPr>
          <w:rFonts w:ascii="Arial" w:hAnsi="Arial" w:cs="Arial"/>
          <w:b/>
          <w:bCs/>
        </w:rPr>
        <w:t>Fig</w:t>
      </w:r>
      <w:r>
        <w:rPr>
          <w:rFonts w:ascii="Arial" w:hAnsi="Arial" w:cs="Arial"/>
          <w:b/>
          <w:bCs/>
        </w:rPr>
        <w:t xml:space="preserve">. </w:t>
      </w:r>
      <w:r w:rsidRPr="00403DB2">
        <w:rPr>
          <w:rFonts w:ascii="Arial" w:hAnsi="Arial" w:cs="Arial"/>
          <w:b/>
          <w:bCs/>
        </w:rPr>
        <w:t>2.</w:t>
      </w:r>
      <w:r w:rsidRPr="00403DB2">
        <w:rPr>
          <w:rFonts w:ascii="Arial" w:hAnsi="Arial" w:cs="Arial"/>
        </w:rPr>
        <w:t xml:space="preserve"> Mean ± SEM of understanding, influencing factors, and challenges by demographic group with post-hoc Tukey HSD comparisons. Each subplot represents a specific demographic category (Occupation, Income, Gender, Education, Age, and Residence). Bars indicate the mean score (1–5 scale) with standard error of the mean (SEM) for three evaluated dimensions: Understanding (green), Influencing factors (orange), and Challenges (blue). Different lowercase letters above the columns denote significant differences among demographic groups within each measure based on Tukey’s HSD test (p &lt; 0.05). Columns sharing the same letter are not significantly different.</w:t>
      </w:r>
    </w:p>
    <w:p w14:paraId="6649CE68" w14:textId="77777777" w:rsidR="00092AE9" w:rsidRDefault="00092AE9" w:rsidP="00092AE9">
      <w:pPr>
        <w:pStyle w:val="Body"/>
        <w:spacing w:after="0"/>
        <w:rPr>
          <w:rFonts w:ascii="Arial" w:hAnsi="Arial" w:cs="Arial"/>
        </w:rPr>
      </w:pPr>
    </w:p>
    <w:p w14:paraId="02E42B5D" w14:textId="77777777" w:rsidR="00403DB2" w:rsidRPr="00403DB2" w:rsidRDefault="00403DB2" w:rsidP="00403DB2">
      <w:pPr>
        <w:spacing w:after="160" w:line="259" w:lineRule="auto"/>
        <w:rPr>
          <w:b/>
          <w:bCs/>
          <w:szCs w:val="24"/>
          <w:lang w:bidi="km-KH"/>
        </w:rPr>
      </w:pPr>
      <w:r w:rsidRPr="00403DB2">
        <w:rPr>
          <w:b/>
          <w:bCs/>
          <w:szCs w:val="24"/>
          <w:lang w:bidi="km-KH"/>
        </w:rPr>
        <w:t>3.6 Reliability of Research Instrument</w:t>
      </w:r>
    </w:p>
    <w:p w14:paraId="0660524D" w14:textId="1AF402FF" w:rsidR="00403DB2" w:rsidRPr="00403DB2" w:rsidRDefault="00403DB2" w:rsidP="00403DB2">
      <w:pPr>
        <w:pStyle w:val="Body"/>
        <w:rPr>
          <w:rFonts w:ascii="Arial" w:hAnsi="Arial" w:cs="Arial"/>
        </w:rPr>
      </w:pPr>
      <w:r w:rsidRPr="00403DB2">
        <w:rPr>
          <w:rFonts w:ascii="Arial" w:hAnsi="Arial" w:cs="Arial"/>
        </w:rPr>
        <w:t xml:space="preserve">Table </w:t>
      </w:r>
      <w:r w:rsidR="00D420BC">
        <w:rPr>
          <w:rFonts w:ascii="Arial" w:hAnsi="Arial" w:cs="Arial"/>
        </w:rPr>
        <w:t>5</w:t>
      </w:r>
      <w:r w:rsidRPr="00403DB2">
        <w:rPr>
          <w:rFonts w:ascii="Arial" w:hAnsi="Arial" w:cs="Arial"/>
        </w:rPr>
        <w:t xml:space="preserve"> presents the results of the reliability test using Cronbach’s Alpha, which showed high internal consistency across all components of the questionnaire. The coefficient values were α = 0.88 for awareness and understanding, α = 0.90 for influencing factors, and α = 0.81 for challenges and response strategies. The overall reliability of the instrument was α = 0.86, confirming that the questionnaire demonstrated strong statistical reliability for use in social science research.</w:t>
      </w:r>
    </w:p>
    <w:p w14:paraId="47000A75" w14:textId="4735E840" w:rsidR="00092AE9" w:rsidRPr="00403DB2" w:rsidRDefault="00403DB2" w:rsidP="00403DB2">
      <w:pPr>
        <w:pStyle w:val="Body"/>
        <w:spacing w:after="0"/>
        <w:rPr>
          <w:rFonts w:ascii="Arial" w:hAnsi="Arial" w:cs="Arial"/>
          <w:b/>
          <w:bCs/>
        </w:rPr>
      </w:pPr>
      <w:r w:rsidRPr="00403DB2">
        <w:rPr>
          <w:rFonts w:ascii="Arial" w:hAnsi="Arial" w:cs="Arial"/>
          <w:b/>
          <w:bCs/>
        </w:rPr>
        <w:t xml:space="preserve">Table </w:t>
      </w:r>
      <w:r w:rsidR="00D420BC">
        <w:rPr>
          <w:rFonts w:ascii="Arial" w:hAnsi="Arial" w:cs="Arial"/>
          <w:b/>
          <w:bCs/>
        </w:rPr>
        <w:t>5</w:t>
      </w:r>
      <w:r w:rsidRPr="00403DB2">
        <w:rPr>
          <w:rFonts w:ascii="Arial" w:hAnsi="Arial" w:cs="Arial"/>
          <w:b/>
          <w:bCs/>
        </w:rPr>
        <w:t>. Reliability statistics of the research instrument.</w:t>
      </w:r>
    </w:p>
    <w:tbl>
      <w:tblPr>
        <w:tblStyle w:val="TableGrid"/>
        <w:tblW w:w="82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701"/>
        <w:gridCol w:w="2229"/>
      </w:tblGrid>
      <w:tr w:rsidR="00403DB2" w:rsidRPr="00403DB2" w14:paraId="3F774E6A" w14:textId="77777777" w:rsidTr="00403DB2">
        <w:trPr>
          <w:trHeight w:val="371"/>
        </w:trPr>
        <w:tc>
          <w:tcPr>
            <w:tcW w:w="4361" w:type="dxa"/>
            <w:tcBorders>
              <w:top w:val="single" w:sz="4" w:space="0" w:color="000000"/>
              <w:bottom w:val="single" w:sz="4" w:space="0" w:color="000000"/>
            </w:tcBorders>
            <w:hideMark/>
          </w:tcPr>
          <w:p w14:paraId="50183D6E"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Variable</w:t>
            </w:r>
          </w:p>
        </w:tc>
        <w:tc>
          <w:tcPr>
            <w:tcW w:w="1701" w:type="dxa"/>
            <w:tcBorders>
              <w:top w:val="single" w:sz="4" w:space="0" w:color="000000"/>
              <w:bottom w:val="single" w:sz="4" w:space="0" w:color="000000"/>
            </w:tcBorders>
            <w:hideMark/>
          </w:tcPr>
          <w:p w14:paraId="4CF98492"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Number of Items</w:t>
            </w:r>
          </w:p>
        </w:tc>
        <w:tc>
          <w:tcPr>
            <w:tcW w:w="2229" w:type="dxa"/>
            <w:tcBorders>
              <w:top w:val="single" w:sz="4" w:space="0" w:color="000000"/>
              <w:bottom w:val="single" w:sz="4" w:space="0" w:color="000000"/>
            </w:tcBorders>
            <w:hideMark/>
          </w:tcPr>
          <w:p w14:paraId="1B5FA630"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Cronbach’s Alpha (α)</w:t>
            </w:r>
          </w:p>
        </w:tc>
      </w:tr>
      <w:tr w:rsidR="00403DB2" w:rsidRPr="00403DB2" w14:paraId="28F5C629" w14:textId="77777777" w:rsidTr="00403DB2">
        <w:trPr>
          <w:trHeight w:val="379"/>
        </w:trPr>
        <w:tc>
          <w:tcPr>
            <w:tcW w:w="4361" w:type="dxa"/>
            <w:tcBorders>
              <w:top w:val="single" w:sz="4" w:space="0" w:color="000000"/>
            </w:tcBorders>
            <w:hideMark/>
          </w:tcPr>
          <w:p w14:paraId="5F07FD37"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lastRenderedPageBreak/>
              <w:t>Variable 1: General understanding of credit service use</w:t>
            </w:r>
          </w:p>
        </w:tc>
        <w:tc>
          <w:tcPr>
            <w:tcW w:w="1701" w:type="dxa"/>
            <w:tcBorders>
              <w:top w:val="single" w:sz="4" w:space="0" w:color="000000"/>
            </w:tcBorders>
            <w:hideMark/>
          </w:tcPr>
          <w:p w14:paraId="508A1679"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12</w:t>
            </w:r>
          </w:p>
        </w:tc>
        <w:tc>
          <w:tcPr>
            <w:tcW w:w="2229" w:type="dxa"/>
            <w:tcBorders>
              <w:top w:val="single" w:sz="4" w:space="0" w:color="000000"/>
            </w:tcBorders>
            <w:hideMark/>
          </w:tcPr>
          <w:p w14:paraId="5C8D0496"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0.88</w:t>
            </w:r>
          </w:p>
        </w:tc>
      </w:tr>
      <w:tr w:rsidR="00403DB2" w:rsidRPr="00403DB2" w14:paraId="617EA964" w14:textId="77777777" w:rsidTr="00403DB2">
        <w:trPr>
          <w:trHeight w:val="371"/>
        </w:trPr>
        <w:tc>
          <w:tcPr>
            <w:tcW w:w="4361" w:type="dxa"/>
            <w:hideMark/>
          </w:tcPr>
          <w:p w14:paraId="77BFDA4C"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Variable 2: Factors influencing credit service use</w:t>
            </w:r>
          </w:p>
        </w:tc>
        <w:tc>
          <w:tcPr>
            <w:tcW w:w="1701" w:type="dxa"/>
            <w:hideMark/>
          </w:tcPr>
          <w:p w14:paraId="162699C9"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19</w:t>
            </w:r>
          </w:p>
        </w:tc>
        <w:tc>
          <w:tcPr>
            <w:tcW w:w="2229" w:type="dxa"/>
            <w:hideMark/>
          </w:tcPr>
          <w:p w14:paraId="61E67761"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0.90</w:t>
            </w:r>
          </w:p>
        </w:tc>
      </w:tr>
      <w:tr w:rsidR="00403DB2" w:rsidRPr="00403DB2" w14:paraId="3FAC71BF" w14:textId="77777777" w:rsidTr="00403DB2">
        <w:trPr>
          <w:trHeight w:val="371"/>
        </w:trPr>
        <w:tc>
          <w:tcPr>
            <w:tcW w:w="4361" w:type="dxa"/>
            <w:hideMark/>
          </w:tcPr>
          <w:p w14:paraId="53354369"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Variable 3: Challenges and response strategies</w:t>
            </w:r>
          </w:p>
        </w:tc>
        <w:tc>
          <w:tcPr>
            <w:tcW w:w="1701" w:type="dxa"/>
            <w:hideMark/>
          </w:tcPr>
          <w:p w14:paraId="3D67E411"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12</w:t>
            </w:r>
          </w:p>
        </w:tc>
        <w:tc>
          <w:tcPr>
            <w:tcW w:w="2229" w:type="dxa"/>
            <w:hideMark/>
          </w:tcPr>
          <w:p w14:paraId="55A5409C"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0.81</w:t>
            </w:r>
          </w:p>
        </w:tc>
      </w:tr>
      <w:tr w:rsidR="00403DB2" w:rsidRPr="00403DB2" w14:paraId="53CC9A79" w14:textId="77777777" w:rsidTr="00403DB2">
        <w:trPr>
          <w:trHeight w:val="371"/>
        </w:trPr>
        <w:tc>
          <w:tcPr>
            <w:tcW w:w="4361" w:type="dxa"/>
            <w:hideMark/>
          </w:tcPr>
          <w:p w14:paraId="55947464"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Overall (Average)</w:t>
            </w:r>
          </w:p>
        </w:tc>
        <w:tc>
          <w:tcPr>
            <w:tcW w:w="1701" w:type="dxa"/>
            <w:hideMark/>
          </w:tcPr>
          <w:p w14:paraId="3B420F86"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14.33</w:t>
            </w:r>
          </w:p>
        </w:tc>
        <w:tc>
          <w:tcPr>
            <w:tcW w:w="2229" w:type="dxa"/>
            <w:hideMark/>
          </w:tcPr>
          <w:p w14:paraId="705A506F" w14:textId="77777777" w:rsidR="00403DB2" w:rsidRPr="00403DB2" w:rsidRDefault="00403DB2" w:rsidP="00883683">
            <w:pPr>
              <w:spacing w:line="259" w:lineRule="auto"/>
              <w:rPr>
                <w:rFonts w:ascii="Arial" w:hAnsi="Arial" w:cs="Arial"/>
                <w:sz w:val="20"/>
                <w:szCs w:val="20"/>
                <w:lang w:bidi="km-KH"/>
              </w:rPr>
            </w:pPr>
            <w:r w:rsidRPr="00403DB2">
              <w:rPr>
                <w:rFonts w:ascii="Arial" w:hAnsi="Arial" w:cs="Arial"/>
                <w:sz w:val="20"/>
                <w:szCs w:val="20"/>
                <w:lang w:bidi="km-KH"/>
              </w:rPr>
              <w:t>0.86</w:t>
            </w:r>
          </w:p>
        </w:tc>
      </w:tr>
    </w:tbl>
    <w:p w14:paraId="70EA9CF0" w14:textId="77777777" w:rsidR="00092AE9" w:rsidRDefault="00092AE9" w:rsidP="00441B6F">
      <w:pPr>
        <w:pStyle w:val="Body"/>
        <w:spacing w:after="0"/>
        <w:rPr>
          <w:rFonts w:ascii="Arial" w:hAnsi="Arial" w:cs="Arial"/>
        </w:rPr>
      </w:pPr>
    </w:p>
    <w:p w14:paraId="69798B07" w14:textId="0DD2C0F6" w:rsidR="00092AE9" w:rsidRDefault="00403DB2" w:rsidP="00403DB2">
      <w:pPr>
        <w:pStyle w:val="ConcHead"/>
        <w:spacing w:after="0"/>
        <w:jc w:val="both"/>
        <w:rPr>
          <w:rFonts w:ascii="Arial" w:hAnsi="Arial" w:cs="Arial"/>
        </w:rPr>
      </w:pPr>
      <w:r>
        <w:rPr>
          <w:rFonts w:ascii="Arial" w:hAnsi="Arial" w:cs="Arial"/>
        </w:rPr>
        <w:t>4. DISCUSSION</w:t>
      </w:r>
    </w:p>
    <w:p w14:paraId="767FF174" w14:textId="77777777" w:rsidR="00403DB2" w:rsidRDefault="00403DB2" w:rsidP="00403DB2">
      <w:pPr>
        <w:pStyle w:val="ConcHead"/>
        <w:spacing w:after="0"/>
        <w:jc w:val="both"/>
        <w:rPr>
          <w:rFonts w:ascii="Arial" w:hAnsi="Arial" w:cs="Arial"/>
        </w:rPr>
      </w:pPr>
    </w:p>
    <w:p w14:paraId="58E9303F" w14:textId="77777777" w:rsidR="00403DB2" w:rsidRPr="00403DB2" w:rsidRDefault="00403DB2" w:rsidP="00403DB2">
      <w:pPr>
        <w:pStyle w:val="Body"/>
        <w:rPr>
          <w:rFonts w:ascii="Arial" w:hAnsi="Arial" w:cs="Arial"/>
        </w:rPr>
      </w:pPr>
      <w:r w:rsidRPr="00403DB2">
        <w:rPr>
          <w:rFonts w:ascii="Arial" w:hAnsi="Arial" w:cs="Arial"/>
        </w:rPr>
        <w:t xml:space="preserve">This study examined the perspectives and factors determining the use of loan repayment services by citizens in Kampong Cham village, Sambo district, </w:t>
      </w:r>
      <w:proofErr w:type="spellStart"/>
      <w:r w:rsidRPr="00403DB2">
        <w:rPr>
          <w:rFonts w:ascii="Arial" w:hAnsi="Arial" w:cs="Arial"/>
        </w:rPr>
        <w:t>Kratié</w:t>
      </w:r>
      <w:proofErr w:type="spellEnd"/>
      <w:r w:rsidRPr="00403DB2">
        <w:rPr>
          <w:rFonts w:ascii="Arial" w:hAnsi="Arial" w:cs="Arial"/>
        </w:rPr>
        <w:t xml:space="preserve"> province. The results showed that the majority of respondents were between 31 and 45 years old (58%), which is the most economically active group and the one with primary responsibility for managing household income. Rice farming remains the main occupation (79%), especially in villages located on islands and upland areas, highlighting the agricultural nature of the commune's economy. The level of education remains low, with approximately 73% of respondents having only completed primary school. Similarly, many families have an income below $200 per month (68%), indicating limited financial capacity and a reliance on loans to sustain their livelihoods and address urgent financial problems.</w:t>
      </w:r>
    </w:p>
    <w:p w14:paraId="04ECB88F" w14:textId="2431C146" w:rsidR="00403DB2" w:rsidRPr="00403DB2" w:rsidRDefault="00403DB2" w:rsidP="00403DB2">
      <w:pPr>
        <w:pStyle w:val="Body"/>
        <w:rPr>
          <w:rFonts w:ascii="Arial" w:hAnsi="Arial" w:cs="Arial"/>
        </w:rPr>
      </w:pPr>
      <w:r w:rsidRPr="00403DB2">
        <w:rPr>
          <w:rFonts w:ascii="Arial" w:hAnsi="Arial" w:cs="Arial"/>
        </w:rPr>
        <w:t>The results revealed that the majority of respondents had an average understanding of loan services, particularly regarding the benefits of borrowing and trust in financial institutions. However, their understanding of contract terms and repayment schedules remained limited. This finding is consistent with studies by the World Bank (2020) and Banciu et al. (2022), which reported that despite the expansion of digital financial services and credit institutions in Cambodia, the financial literacy of rural citizens remains low. According to studies by Lusardi and Mitchell (2014) and OECD/UNCDF (2020), financial literacy—especially the ability to manage income, calculate interest, and follow repayment schedules—is a crucial factor for maintaining household financial stability. The limited understanding found in this study suggests that many borrowers may enter into loan agreements without fully grasping the implications of interest rates and repayment schedules, potentially leading to financial difficulties and economic stress.</w:t>
      </w:r>
    </w:p>
    <w:p w14:paraId="0870E6FF" w14:textId="1E9BC2FF" w:rsidR="00403DB2" w:rsidRPr="00403DB2" w:rsidRDefault="00403DB2" w:rsidP="00403DB2">
      <w:pPr>
        <w:pStyle w:val="Body"/>
        <w:rPr>
          <w:rFonts w:ascii="Arial" w:hAnsi="Arial" w:cs="Arial"/>
        </w:rPr>
      </w:pPr>
      <w:r w:rsidRPr="00403DB2">
        <w:rPr>
          <w:rFonts w:ascii="Arial" w:hAnsi="Arial" w:cs="Arial"/>
        </w:rPr>
        <w:t>Regarding factors influencing borrowing decisions, the results showed that family influence, a lack of banking resources, the flexibility of loan terms, and the convenience of the borrowing process were the most significant factors. This result aligns with Chakrabarty (2012), who stated that education level, household income, and social environment strongly influence borrowing behavior. Similarly, CGAP (2018) showed that word-of-mouth and community trust networks play a crucial role in encouraging people to use formal or informal credit services. The results of this study confirm that borrowing decisions in rural Cambodia are not driven solely by financial needs but also involve social and relational factors, particularly consultations with family and friends.</w:t>
      </w:r>
    </w:p>
    <w:p w14:paraId="6E5A7C15" w14:textId="174D532A" w:rsidR="00403DB2" w:rsidRPr="00403DB2" w:rsidRDefault="00403DB2" w:rsidP="00403DB2">
      <w:pPr>
        <w:pStyle w:val="Body"/>
        <w:rPr>
          <w:rFonts w:ascii="Arial" w:hAnsi="Arial" w:cs="Arial"/>
        </w:rPr>
      </w:pPr>
      <w:r w:rsidRPr="00403DB2">
        <w:rPr>
          <w:rFonts w:ascii="Arial" w:hAnsi="Arial" w:cs="Arial"/>
        </w:rPr>
        <w:t>The rise of digital credit platforms, such as mobile loan apps and e-wallet credit services, has made accessing credit procedures increasingly easier in Cambodia (CRDF, 2021; Sophal et al., 2020). Although this technology offers convenience, there are financial risks if borrowing is done without sufficient understanding or proper oversight. Therefore, the need for consumer protection and education on responsible credit use is a critical issue.</w:t>
      </w:r>
    </w:p>
    <w:p w14:paraId="20571B5B" w14:textId="26D7B9F5" w:rsidR="00403DB2" w:rsidRPr="00403DB2" w:rsidRDefault="00403DB2" w:rsidP="00403DB2">
      <w:pPr>
        <w:pStyle w:val="Body"/>
        <w:rPr>
          <w:rFonts w:ascii="Arial" w:hAnsi="Arial" w:cs="Arial"/>
        </w:rPr>
      </w:pPr>
      <w:r w:rsidRPr="00403DB2">
        <w:rPr>
          <w:rFonts w:ascii="Arial" w:hAnsi="Arial" w:cs="Arial"/>
        </w:rPr>
        <w:t xml:space="preserve">The results also highlighted several major problems in using loan services. Many respondents reported difficulties in understanding contracts and repayment terms, a lack of </w:t>
      </w:r>
      <w:r w:rsidRPr="00403DB2">
        <w:rPr>
          <w:rFonts w:ascii="Arial" w:hAnsi="Arial" w:cs="Arial"/>
        </w:rPr>
        <w:lastRenderedPageBreak/>
        <w:t>clear information, and high interest rates. These problems are consistent with UNCDF (2020), which reported that rural populations still face challenges in accessing affordable and fair credit services. This finding also aligns with studies by Linda et al. (2021) and the Financial Consumer Affairs Department (2023), which pointed to issues such as a lack of information disclosure, the absence of complaint handling systems, and illegal debt collection practices. These findings indicate that many rural citizens are facing "unfair credit" due to an information asymmetry between lenders and borrowers.</w:t>
      </w:r>
    </w:p>
    <w:p w14:paraId="528A7ED7" w14:textId="20961703" w:rsidR="00403DB2" w:rsidRDefault="00403DB2" w:rsidP="00403DB2">
      <w:pPr>
        <w:pStyle w:val="Body"/>
        <w:spacing w:after="0"/>
        <w:rPr>
          <w:rFonts w:ascii="Arial" w:hAnsi="Arial" w:cs="Arial"/>
        </w:rPr>
      </w:pPr>
      <w:r w:rsidRPr="00403DB2">
        <w:rPr>
          <w:rFonts w:ascii="Arial" w:hAnsi="Arial" w:cs="Arial"/>
        </w:rPr>
        <w:t>In summary, the study's results show that although access to credit in Kampong Cham commune has improved, financial literacy, fairness, and institutional accountability remain significant obstacles to the effective and equitable use of credit services. Strengthening financial education, making loan documents easier to understand, and promoting the integrity of financial institutions could help reduce credit problems and enhance rural financial security. Strengthening regulations and integrating financial education into community development programs, as guided by the MEF (2022) and UNCDF (2020), will help build a more inclusive and sustainable financial system in Cambodia.</w:t>
      </w:r>
    </w:p>
    <w:p w14:paraId="163EDAEF" w14:textId="77777777" w:rsidR="00790ADA" w:rsidRPr="00FB3A86" w:rsidRDefault="00790ADA" w:rsidP="00441B6F">
      <w:pPr>
        <w:pStyle w:val="Body"/>
        <w:spacing w:after="0"/>
        <w:rPr>
          <w:rFonts w:ascii="Arial" w:hAnsi="Arial" w:cs="Arial"/>
        </w:rPr>
      </w:pPr>
    </w:p>
    <w:p w14:paraId="0461D2B4" w14:textId="24AF6505" w:rsidR="00B01FCD" w:rsidRDefault="00403DB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7DCE8A1" w14:textId="77777777" w:rsidR="00790ADA" w:rsidRPr="00FB3A86" w:rsidRDefault="00790ADA" w:rsidP="00441B6F">
      <w:pPr>
        <w:pStyle w:val="ConcHead"/>
        <w:spacing w:after="0"/>
        <w:jc w:val="both"/>
        <w:rPr>
          <w:rFonts w:ascii="Arial" w:hAnsi="Arial" w:cs="Arial"/>
        </w:rPr>
      </w:pPr>
    </w:p>
    <w:p w14:paraId="50A936B4" w14:textId="77777777" w:rsidR="00403DB2" w:rsidRPr="00403DB2" w:rsidRDefault="00403DB2" w:rsidP="00403DB2">
      <w:pPr>
        <w:pStyle w:val="Body"/>
        <w:rPr>
          <w:rFonts w:ascii="Arial" w:hAnsi="Arial" w:cs="Arial"/>
        </w:rPr>
      </w:pPr>
      <w:r w:rsidRPr="00403DB2">
        <w:rPr>
          <w:rFonts w:ascii="Arial" w:hAnsi="Arial" w:cs="Arial"/>
        </w:rPr>
        <w:t xml:space="preserve">This study investigated perceptions and determinants of credit utilization among people in Kampong Cham commune, </w:t>
      </w:r>
      <w:proofErr w:type="spellStart"/>
      <w:r w:rsidRPr="00403DB2">
        <w:rPr>
          <w:rFonts w:ascii="Arial" w:hAnsi="Arial" w:cs="Arial"/>
        </w:rPr>
        <w:t>Sambour</w:t>
      </w:r>
      <w:proofErr w:type="spellEnd"/>
      <w:r w:rsidRPr="00403DB2">
        <w:rPr>
          <w:rFonts w:ascii="Arial" w:hAnsi="Arial" w:cs="Arial"/>
        </w:rPr>
        <w:t xml:space="preserve"> district, </w:t>
      </w:r>
      <w:proofErr w:type="spellStart"/>
      <w:r w:rsidRPr="00403DB2">
        <w:rPr>
          <w:rFonts w:ascii="Arial" w:hAnsi="Arial" w:cs="Arial"/>
        </w:rPr>
        <w:t>Kratie</w:t>
      </w:r>
      <w:proofErr w:type="spellEnd"/>
      <w:r w:rsidRPr="00403DB2">
        <w:rPr>
          <w:rFonts w:ascii="Arial" w:hAnsi="Arial" w:cs="Arial"/>
        </w:rPr>
        <w:t xml:space="preserve"> province, Cambodia. Findings revealed that the majority of respondents were middle-aged, mostly engaged in agriculture, and had low levels of education and income, all of which significantly influenced their borrowing behavior. Despite increased access to credit through traditional microfinance institutions and new digital platforms, rural borrowers still had limited understanding of loan terms, repayment terms, and financial management.</w:t>
      </w:r>
    </w:p>
    <w:p w14:paraId="06A46DDD" w14:textId="77777777" w:rsidR="00403DB2" w:rsidRPr="00403DB2" w:rsidRDefault="00403DB2" w:rsidP="00403DB2">
      <w:pPr>
        <w:pStyle w:val="Body"/>
        <w:rPr>
          <w:rFonts w:ascii="Arial" w:hAnsi="Arial" w:cs="Arial"/>
        </w:rPr>
      </w:pPr>
      <w:r w:rsidRPr="00403DB2">
        <w:rPr>
          <w:rFonts w:ascii="Arial" w:hAnsi="Arial" w:cs="Arial"/>
        </w:rPr>
        <w:t>The analysis revealed that family influence, lack of capital, and ease of access were the main factors driving credit utilization, while interest rates and repayment terms played a less important role. These results suggest that borrowing decisions in rural communities are driven by social and livelihood needs rather than financial strategies. Although respondents expressed moderate levels of trust and satisfaction with credit institutions, many still encountered difficulties such as misunderstandings about loan contracts, limited access to reliable information, and exposure to high interest rates.</w:t>
      </w:r>
    </w:p>
    <w:p w14:paraId="6D175BEC" w14:textId="77777777" w:rsidR="00403DB2" w:rsidRPr="00403DB2" w:rsidRDefault="00403DB2" w:rsidP="00403DB2">
      <w:pPr>
        <w:pStyle w:val="Body"/>
        <w:rPr>
          <w:rFonts w:ascii="Arial" w:hAnsi="Arial" w:cs="Arial"/>
        </w:rPr>
      </w:pPr>
      <w:r w:rsidRPr="00403DB2">
        <w:rPr>
          <w:rFonts w:ascii="Arial" w:hAnsi="Arial" w:cs="Arial"/>
        </w:rPr>
        <w:t>Reliability analysis confirmed that the research instrument produced consistent and valid measurements of perceptions, influencing factors, and challenges. Results from one-way ANOVA tests showed that income level and village of residence had significant effects on perceptions, motivations, and experiences related to credit use. These findings highlight the importance of developing financial education programs that are tailored to local contexts and income levels.</w:t>
      </w:r>
    </w:p>
    <w:p w14:paraId="01F3AFF5" w14:textId="742AB6C0" w:rsidR="00790ADA" w:rsidRPr="00032B40" w:rsidRDefault="00403DB2" w:rsidP="00403DB2">
      <w:pPr>
        <w:pStyle w:val="Body"/>
        <w:spacing w:after="0"/>
        <w:rPr>
          <w:rFonts w:ascii="Arial" w:hAnsi="Arial" w:cs="Arial"/>
        </w:rPr>
      </w:pPr>
      <w:r w:rsidRPr="00032B40">
        <w:rPr>
          <w:rFonts w:ascii="Arial" w:hAnsi="Arial" w:cs="Arial"/>
        </w:rPr>
        <w:t xml:space="preserve">Overall, the results of this study clearly show that improving financial literacy, strengthening consumer protection, and ensuring integrity in credit transactions are essential to promoting responsible lending and sustainable rural development in Cambodia. State authorities, financial institutions, and educational organizations should work together to integrate financial education into community development programs, make loan documents easy to understand, and establish effective customer support and complaint handling systems. </w:t>
      </w:r>
    </w:p>
    <w:p w14:paraId="1358B2C3" w14:textId="77777777" w:rsidR="00403DB2" w:rsidRPr="00032B40" w:rsidRDefault="00403DB2" w:rsidP="00403DB2">
      <w:pPr>
        <w:pStyle w:val="Body"/>
        <w:spacing w:after="0"/>
        <w:rPr>
          <w:rFonts w:ascii="Arial" w:hAnsi="Arial" w:cs="Arial"/>
        </w:rPr>
      </w:pPr>
    </w:p>
    <w:p w14:paraId="3F52FE00" w14:textId="77777777" w:rsidR="008D03C1" w:rsidRPr="00FB3A86" w:rsidRDefault="008D03C1" w:rsidP="008D03C1">
      <w:pPr>
        <w:pStyle w:val="Body"/>
        <w:spacing w:after="0"/>
        <w:rPr>
          <w:rFonts w:ascii="Arial" w:hAnsi="Arial" w:cs="Arial"/>
        </w:rPr>
      </w:pPr>
    </w:p>
    <w:p w14:paraId="24C7DC32" w14:textId="77777777" w:rsidR="00403DB2" w:rsidRPr="00403DB2" w:rsidRDefault="00403DB2" w:rsidP="00403DB2">
      <w:pPr>
        <w:pStyle w:val="AcknHead"/>
        <w:spacing w:after="0"/>
        <w:jc w:val="both"/>
        <w:rPr>
          <w:rFonts w:ascii="Arial" w:hAnsi="Arial" w:cs="Arial"/>
        </w:rPr>
      </w:pPr>
      <w:r w:rsidRPr="00403DB2">
        <w:rPr>
          <w:rFonts w:ascii="Arial" w:hAnsi="Arial" w:cs="Arial"/>
        </w:rPr>
        <w:lastRenderedPageBreak/>
        <w:t>DISCLAIMER (ARTIFICIAL INTELLIGENCE)</w:t>
      </w:r>
    </w:p>
    <w:p w14:paraId="7C5D5EDF" w14:textId="225738D7" w:rsidR="00315186" w:rsidRPr="00315186" w:rsidRDefault="00403DB2" w:rsidP="00403DB2">
      <w:r w:rsidRPr="00403DB2">
        <w:rPr>
          <w:rFonts w:ascii="Arial" w:hAnsi="Arial" w:cs="Arial"/>
        </w:rPr>
        <w:t>Authors hereby declare that NO generative AI technologies such as Large Language Models (ChatGPT, COPILOT, etc.) and text-to-image generators have been used during the writing or editing of this manuscript.</w:t>
      </w:r>
    </w:p>
    <w:p w14:paraId="1CC30B45" w14:textId="6D6E548C" w:rsidR="002B685A" w:rsidRDefault="002B685A" w:rsidP="00441B6F">
      <w:pPr>
        <w:pStyle w:val="ReferHead"/>
        <w:spacing w:after="0"/>
        <w:jc w:val="both"/>
        <w:rPr>
          <w:rFonts w:ascii="Arial" w:hAnsi="Arial" w:cs="Arial"/>
          <w:b w:val="0"/>
          <w:caps w:val="0"/>
          <w:sz w:val="20"/>
        </w:rPr>
      </w:pPr>
    </w:p>
    <w:p w14:paraId="3CAE5DF2" w14:textId="77777777" w:rsidR="00AD6EF9" w:rsidRDefault="00AD6EF9" w:rsidP="00441B6F">
      <w:pPr>
        <w:pStyle w:val="ReferHead"/>
        <w:spacing w:after="0"/>
        <w:jc w:val="both"/>
        <w:rPr>
          <w:rFonts w:ascii="Arial" w:hAnsi="Arial" w:cs="Arial"/>
          <w:b w:val="0"/>
          <w:caps w:val="0"/>
          <w:sz w:val="20"/>
        </w:rPr>
      </w:pPr>
    </w:p>
    <w:p w14:paraId="4F29B6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E6D068" w14:textId="77777777" w:rsidR="00FF4F31" w:rsidRDefault="00FF4F31" w:rsidP="00FF4F31">
      <w:pPr>
        <w:ind w:left="567" w:hanging="567"/>
        <w:rPr>
          <w:rFonts w:ascii="Arial" w:hAnsi="Arial" w:cs="Arial"/>
        </w:rPr>
      </w:pPr>
      <w:r w:rsidRPr="00FF4F31">
        <w:rPr>
          <w:rFonts w:ascii="Arial" w:hAnsi="Arial" w:cs="Arial"/>
        </w:rPr>
        <w:t xml:space="preserve">Anurag, S. P., Budhiraj, S. P., Vijay, S. P. (2024). Examine the role of microfinance institutions in reducing poverty and promoting economic development.  </w:t>
      </w:r>
      <w:r w:rsidRPr="00FF4F31">
        <w:rPr>
          <w:rFonts w:ascii="Arial" w:hAnsi="Arial" w:cs="Arial"/>
          <w:i/>
          <w:iCs/>
        </w:rPr>
        <w:t xml:space="preserve">Journal of </w:t>
      </w:r>
      <w:proofErr w:type="spellStart"/>
      <w:r w:rsidRPr="00FF4F31">
        <w:rPr>
          <w:rFonts w:ascii="Arial" w:hAnsi="Arial" w:cs="Arial"/>
          <w:i/>
          <w:iCs/>
        </w:rPr>
        <w:t>Xidian</w:t>
      </w:r>
      <w:proofErr w:type="spellEnd"/>
      <w:r w:rsidRPr="00FF4F31">
        <w:rPr>
          <w:rFonts w:ascii="Arial" w:hAnsi="Arial" w:cs="Arial"/>
          <w:i/>
          <w:iCs/>
        </w:rPr>
        <w:t xml:space="preserve"> University, 1</w:t>
      </w:r>
      <w:r w:rsidRPr="00FF4F31">
        <w:rPr>
          <w:rFonts w:ascii="Arial" w:hAnsi="Arial" w:cs="Arial"/>
        </w:rPr>
        <w:t xml:space="preserve">(1), 236‒246. </w:t>
      </w:r>
      <w:hyperlink r:id="rId16" w:history="1">
        <w:r w:rsidRPr="007D5B38">
          <w:rPr>
            <w:rStyle w:val="Hyperlink"/>
            <w:rFonts w:ascii="Arial" w:hAnsi="Arial" w:cs="Arial"/>
          </w:rPr>
          <w:t>https://doi.org/10.5281/zenodo.11488827</w:t>
        </w:r>
      </w:hyperlink>
    </w:p>
    <w:p w14:paraId="63F15C59" w14:textId="77777777" w:rsidR="00FF4F31" w:rsidRDefault="00FF4F31" w:rsidP="00FF4F31">
      <w:pPr>
        <w:ind w:left="567" w:hanging="567"/>
        <w:rPr>
          <w:rFonts w:ascii="Arial" w:hAnsi="Arial" w:cs="Arial"/>
        </w:rPr>
      </w:pPr>
      <w:r w:rsidRPr="00FF4F31">
        <w:rPr>
          <w:rFonts w:ascii="Arial" w:hAnsi="Arial" w:cs="Arial"/>
        </w:rPr>
        <w:t xml:space="preserve">Banciu, D., Arulanandam, B. V., Munhenga, T. &amp; Ivascu, L. (2022). Digital financial literacy and microfinancing among underprivileged communities in Cambodia. </w:t>
      </w:r>
      <w:r w:rsidRPr="00FF4F31">
        <w:rPr>
          <w:rFonts w:ascii="Arial" w:hAnsi="Arial" w:cs="Arial"/>
          <w:i/>
          <w:iCs/>
        </w:rPr>
        <w:t>Romanian Journal of Information and Automatic Control, 32</w:t>
      </w:r>
      <w:r w:rsidRPr="00FF4F31">
        <w:rPr>
          <w:rFonts w:ascii="Arial" w:hAnsi="Arial" w:cs="Arial"/>
        </w:rPr>
        <w:t>(4), 77‒92.</w:t>
      </w:r>
    </w:p>
    <w:p w14:paraId="1C165698" w14:textId="77777777" w:rsidR="00FF4F31" w:rsidRDefault="00FF4F31" w:rsidP="00FF4F31">
      <w:pPr>
        <w:ind w:left="567" w:hanging="567"/>
        <w:rPr>
          <w:rFonts w:ascii="Arial" w:hAnsi="Arial" w:cs="Arial"/>
        </w:rPr>
      </w:pPr>
      <w:r w:rsidRPr="00FF4F31">
        <w:rPr>
          <w:rFonts w:ascii="Arial" w:hAnsi="Arial" w:cs="Arial"/>
        </w:rPr>
        <w:t xml:space="preserve">Bucks, B., &amp; Pence, K. (2008). Do borrowers know their mortgage terms? Journal of Urban Economics, 64(2), 218–233. </w:t>
      </w:r>
      <w:hyperlink r:id="rId17" w:history="1">
        <w:r w:rsidRPr="007D5B38">
          <w:rPr>
            <w:rStyle w:val="Hyperlink"/>
            <w:rFonts w:ascii="Arial" w:hAnsi="Arial" w:cs="Arial"/>
          </w:rPr>
          <w:t>https://doi.org/10.1016/j.jue.2008.07.005</w:t>
        </w:r>
      </w:hyperlink>
    </w:p>
    <w:p w14:paraId="6820AABC" w14:textId="77777777" w:rsidR="00FF4F31" w:rsidRDefault="00FF4F31" w:rsidP="00FF4F31">
      <w:pPr>
        <w:ind w:left="567" w:hanging="567"/>
        <w:rPr>
          <w:rFonts w:ascii="Arial" w:hAnsi="Arial" w:cs="Arial"/>
        </w:rPr>
      </w:pPr>
      <w:r w:rsidRPr="00FF4F31">
        <w:rPr>
          <w:rFonts w:ascii="Arial" w:hAnsi="Arial" w:cs="Arial"/>
        </w:rPr>
        <w:t xml:space="preserve">Cambodia Development Resource Institute. (2025). </w:t>
      </w:r>
      <w:r w:rsidRPr="00FF4F31">
        <w:rPr>
          <w:rFonts w:ascii="Arial" w:hAnsi="Arial" w:cs="Arial"/>
          <w:i/>
          <w:iCs/>
        </w:rPr>
        <w:t>Cambodia’s new growth strategy—an assessment of medium and long-term growth for resilient, inclusive, and sustainable development</w:t>
      </w:r>
      <w:r w:rsidRPr="00FF4F31">
        <w:rPr>
          <w:rFonts w:ascii="Arial" w:hAnsi="Arial" w:cs="Arial"/>
        </w:rPr>
        <w:t>. CDRI</w:t>
      </w:r>
      <w:r>
        <w:rPr>
          <w:rFonts w:ascii="Arial" w:hAnsi="Arial" w:cs="Arial"/>
        </w:rPr>
        <w:t>.</w:t>
      </w:r>
    </w:p>
    <w:p w14:paraId="596F3030" w14:textId="77777777" w:rsidR="00FF4F31" w:rsidRDefault="00FF4F31" w:rsidP="00FF4F31">
      <w:pPr>
        <w:ind w:left="567" w:hanging="567"/>
        <w:rPr>
          <w:rFonts w:ascii="Arial" w:hAnsi="Arial" w:cs="Arial"/>
        </w:rPr>
      </w:pPr>
      <w:r w:rsidRPr="00FF4F31">
        <w:rPr>
          <w:rFonts w:ascii="Arial" w:hAnsi="Arial" w:cs="Arial"/>
        </w:rPr>
        <w:t xml:space="preserve">Chakrabarty, K. C. (2012). </w:t>
      </w:r>
      <w:r w:rsidRPr="00FF4F31">
        <w:rPr>
          <w:rFonts w:ascii="Arial" w:hAnsi="Arial" w:cs="Arial"/>
          <w:i/>
          <w:iCs/>
        </w:rPr>
        <w:t>Financial literacy and credit usage in low-income households</w:t>
      </w:r>
      <w:r w:rsidRPr="00FF4F31">
        <w:rPr>
          <w:rFonts w:ascii="Arial" w:hAnsi="Arial" w:cs="Arial"/>
        </w:rPr>
        <w:t>. Reserve Bank of India Bulletin.</w:t>
      </w:r>
    </w:p>
    <w:p w14:paraId="6D41D661" w14:textId="5461E8E9" w:rsidR="00FF4F31" w:rsidRDefault="00FF4F31" w:rsidP="00FF4F31">
      <w:pPr>
        <w:ind w:left="567" w:hanging="567"/>
        <w:rPr>
          <w:rFonts w:ascii="Arial" w:hAnsi="Arial" w:cs="Arial"/>
        </w:rPr>
      </w:pPr>
      <w:proofErr w:type="spellStart"/>
      <w:r w:rsidRPr="00FF4F31">
        <w:rPr>
          <w:rFonts w:ascii="Arial" w:hAnsi="Arial" w:cs="Arial"/>
        </w:rPr>
        <w:t>Chantha</w:t>
      </w:r>
      <w:proofErr w:type="spellEnd"/>
      <w:r w:rsidRPr="00FF4F31">
        <w:rPr>
          <w:rFonts w:ascii="Arial" w:hAnsi="Arial" w:cs="Arial"/>
        </w:rPr>
        <w:t xml:space="preserve">, </w:t>
      </w:r>
      <w:proofErr w:type="spellStart"/>
      <w:r w:rsidRPr="00FF4F31">
        <w:rPr>
          <w:rFonts w:ascii="Arial" w:hAnsi="Arial" w:cs="Arial"/>
        </w:rPr>
        <w:t>kong</w:t>
      </w:r>
      <w:proofErr w:type="spellEnd"/>
      <w:r w:rsidRPr="00FF4F31">
        <w:rPr>
          <w:rFonts w:ascii="Arial" w:hAnsi="Arial" w:cs="Arial"/>
        </w:rPr>
        <w:t xml:space="preserve">, Seng, S., Ratha, P., &amp; </w:t>
      </w:r>
      <w:proofErr w:type="spellStart"/>
      <w:r w:rsidRPr="00FF4F31">
        <w:rPr>
          <w:rFonts w:ascii="Arial" w:hAnsi="Arial" w:cs="Arial"/>
        </w:rPr>
        <w:t>Sovanvatthana</w:t>
      </w:r>
      <w:proofErr w:type="spellEnd"/>
      <w:r w:rsidRPr="00FF4F31">
        <w:rPr>
          <w:rFonts w:ascii="Arial" w:hAnsi="Arial" w:cs="Arial"/>
        </w:rPr>
        <w:t xml:space="preserve">, K. (2024). Microfinance institutions performance and economic growth in Cambodia: An advanced econometric analysis . </w:t>
      </w:r>
      <w:r w:rsidRPr="00FF4F31">
        <w:rPr>
          <w:rFonts w:ascii="Arial" w:hAnsi="Arial" w:cs="Arial"/>
          <w:i/>
          <w:iCs/>
        </w:rPr>
        <w:t>Economics and Business Journal (ECBIS), 2</w:t>
      </w:r>
      <w:r w:rsidRPr="00FF4F31">
        <w:rPr>
          <w:rFonts w:ascii="Arial" w:hAnsi="Arial" w:cs="Arial"/>
        </w:rPr>
        <w:t xml:space="preserve">(5), 447–462. </w:t>
      </w:r>
      <w:hyperlink r:id="rId18" w:history="1">
        <w:r w:rsidRPr="007D5B38">
          <w:rPr>
            <w:rStyle w:val="Hyperlink"/>
            <w:rFonts w:ascii="Arial" w:hAnsi="Arial" w:cs="Arial"/>
          </w:rPr>
          <w:t>https://doi.org/10.47353/ecbis.v2i5.158</w:t>
        </w:r>
      </w:hyperlink>
    </w:p>
    <w:p w14:paraId="7C2CF871" w14:textId="77777777" w:rsidR="00FF4F31" w:rsidRDefault="00FF4F31" w:rsidP="00FF4F31">
      <w:pPr>
        <w:ind w:left="567" w:hanging="567"/>
        <w:rPr>
          <w:rFonts w:ascii="Arial" w:hAnsi="Arial" w:cs="Arial"/>
        </w:rPr>
      </w:pPr>
      <w:r w:rsidRPr="00FF4F31">
        <w:rPr>
          <w:rFonts w:ascii="Arial" w:hAnsi="Arial" w:cs="Arial"/>
        </w:rPr>
        <w:t xml:space="preserve">Das, S. (2024). Financial Literacy and Education in Enhancing Financial Inclusion and Poverty Alleviation. In N. Mansour, S. Baral, &amp; V. Garg (Eds.), </w:t>
      </w:r>
      <w:r w:rsidRPr="00FF4F31">
        <w:rPr>
          <w:rFonts w:ascii="Arial" w:hAnsi="Arial" w:cs="Arial"/>
          <w:i/>
          <w:iCs/>
        </w:rPr>
        <w:t>E-Financial Strategies for Advancing Sustainable Development: Fostering Financial Inclusion and Alleviating Poverty</w:t>
      </w:r>
      <w:r w:rsidRPr="00FF4F31">
        <w:rPr>
          <w:rFonts w:ascii="Arial" w:hAnsi="Arial" w:cs="Arial"/>
        </w:rPr>
        <w:t xml:space="preserve"> (pp. 127–144). Springer Nature Switzerland. </w:t>
      </w:r>
      <w:hyperlink r:id="rId19" w:history="1">
        <w:r w:rsidRPr="007D5B38">
          <w:rPr>
            <w:rStyle w:val="Hyperlink"/>
            <w:rFonts w:ascii="Arial" w:hAnsi="Arial" w:cs="Arial"/>
          </w:rPr>
          <w:t>https://doi.org/10.1007/978-3-031-67523-2_8</w:t>
        </w:r>
      </w:hyperlink>
    </w:p>
    <w:p w14:paraId="4754CFD9" w14:textId="77777777" w:rsidR="00FF4F31" w:rsidRDefault="00FF4F31" w:rsidP="00FF4F31">
      <w:pPr>
        <w:ind w:left="567" w:hanging="567"/>
        <w:rPr>
          <w:rFonts w:ascii="Arial" w:hAnsi="Arial" w:cs="Arial"/>
        </w:rPr>
      </w:pPr>
      <w:r w:rsidRPr="00FF4F31">
        <w:rPr>
          <w:rFonts w:ascii="Arial" w:hAnsi="Arial" w:cs="Arial"/>
        </w:rPr>
        <w:t xml:space="preserve">Financial Consumer Affairs Unit. (2023). </w:t>
      </w:r>
      <w:r w:rsidRPr="00FF4F31">
        <w:rPr>
          <w:rFonts w:ascii="Arial" w:hAnsi="Arial" w:cs="Arial"/>
          <w:i/>
          <w:iCs/>
        </w:rPr>
        <w:t>Consumer protection and loan fairness report</w:t>
      </w:r>
      <w:r w:rsidRPr="00FF4F31">
        <w:rPr>
          <w:rFonts w:ascii="Arial" w:hAnsi="Arial" w:cs="Arial"/>
        </w:rPr>
        <w:t>. National Bank of Cambodia.</w:t>
      </w:r>
    </w:p>
    <w:p w14:paraId="52576E62" w14:textId="4ABBF016" w:rsidR="00FF4F31" w:rsidRDefault="00FF4F31" w:rsidP="00FF4F31">
      <w:pPr>
        <w:ind w:left="567" w:hanging="567"/>
        <w:rPr>
          <w:rFonts w:ascii="Arial" w:hAnsi="Arial" w:cs="Arial"/>
        </w:rPr>
      </w:pPr>
      <w:proofErr w:type="spellStart"/>
      <w:r w:rsidRPr="00FF4F31">
        <w:rPr>
          <w:rFonts w:ascii="Arial" w:hAnsi="Arial" w:cs="Arial"/>
        </w:rPr>
        <w:t>Katnic</w:t>
      </w:r>
      <w:proofErr w:type="spellEnd"/>
      <w:r w:rsidRPr="00FF4F31">
        <w:rPr>
          <w:rFonts w:ascii="Arial" w:hAnsi="Arial" w:cs="Arial"/>
        </w:rPr>
        <w:t xml:space="preserve">, I., </w:t>
      </w:r>
      <w:proofErr w:type="spellStart"/>
      <w:r w:rsidRPr="00FF4F31">
        <w:rPr>
          <w:rFonts w:ascii="Arial" w:hAnsi="Arial" w:cs="Arial"/>
        </w:rPr>
        <w:t>Katnic</w:t>
      </w:r>
      <w:proofErr w:type="spellEnd"/>
      <w:r w:rsidRPr="00FF4F31">
        <w:rPr>
          <w:rFonts w:ascii="Arial" w:hAnsi="Arial" w:cs="Arial"/>
        </w:rPr>
        <w:t xml:space="preserve">, M., </w:t>
      </w:r>
      <w:proofErr w:type="spellStart"/>
      <w:r w:rsidRPr="00FF4F31">
        <w:rPr>
          <w:rFonts w:ascii="Arial" w:hAnsi="Arial" w:cs="Arial"/>
        </w:rPr>
        <w:t>Orlandic</w:t>
      </w:r>
      <w:proofErr w:type="spellEnd"/>
      <w:r w:rsidRPr="00FF4F31">
        <w:rPr>
          <w:rFonts w:ascii="Arial" w:hAnsi="Arial" w:cs="Arial"/>
        </w:rPr>
        <w:t xml:space="preserve">, M., Radunovic, M., &amp; </w:t>
      </w:r>
      <w:proofErr w:type="spellStart"/>
      <w:r w:rsidRPr="00FF4F31">
        <w:rPr>
          <w:rFonts w:ascii="Arial" w:hAnsi="Arial" w:cs="Arial"/>
        </w:rPr>
        <w:t>Mugosa</w:t>
      </w:r>
      <w:proofErr w:type="spellEnd"/>
      <w:r w:rsidRPr="00FF4F31">
        <w:rPr>
          <w:rFonts w:ascii="Arial" w:hAnsi="Arial" w:cs="Arial"/>
        </w:rPr>
        <w:t xml:space="preserve">, I. (2024). Understanding the Role of Financial Literacy in Enhancing Economic Stability and Resilience in Montenegro: A Data-Driven Approach. </w:t>
      </w:r>
      <w:r w:rsidRPr="00FF4F31">
        <w:rPr>
          <w:rFonts w:ascii="Arial" w:hAnsi="Arial" w:cs="Arial"/>
          <w:i/>
          <w:iCs/>
        </w:rPr>
        <w:t>Sustainability, 16</w:t>
      </w:r>
      <w:r w:rsidRPr="00FF4F31">
        <w:rPr>
          <w:rFonts w:ascii="Arial" w:hAnsi="Arial" w:cs="Arial"/>
        </w:rPr>
        <w:t xml:space="preserve">(24), 11065. </w:t>
      </w:r>
      <w:hyperlink r:id="rId20" w:history="1">
        <w:r w:rsidRPr="007D5B38">
          <w:rPr>
            <w:rStyle w:val="Hyperlink"/>
            <w:rFonts w:ascii="Arial" w:hAnsi="Arial" w:cs="Arial"/>
          </w:rPr>
          <w:t>https://doi.org/10.3390/su162411065</w:t>
        </w:r>
      </w:hyperlink>
    </w:p>
    <w:p w14:paraId="4F729E2C" w14:textId="77777777" w:rsidR="00FF4F31" w:rsidRDefault="00FF4F31" w:rsidP="00FF4F31">
      <w:pPr>
        <w:ind w:left="567" w:hanging="567"/>
        <w:rPr>
          <w:rFonts w:ascii="Arial" w:hAnsi="Arial" w:cs="Arial"/>
        </w:rPr>
      </w:pPr>
      <w:r w:rsidRPr="00FF4F31">
        <w:rPr>
          <w:rFonts w:ascii="Arial" w:hAnsi="Arial" w:cs="Arial"/>
        </w:rPr>
        <w:t xml:space="preserve">Kyeyune, G. N., &amp; </w:t>
      </w:r>
      <w:proofErr w:type="spellStart"/>
      <w:r w:rsidRPr="00FF4F31">
        <w:rPr>
          <w:rFonts w:ascii="Arial" w:hAnsi="Arial" w:cs="Arial"/>
        </w:rPr>
        <w:t>Ntayi</w:t>
      </w:r>
      <w:proofErr w:type="spellEnd"/>
      <w:r w:rsidRPr="00FF4F31">
        <w:rPr>
          <w:rFonts w:ascii="Arial" w:hAnsi="Arial" w:cs="Arial"/>
        </w:rPr>
        <w:t xml:space="preserve">, J. M. (2025). Empowering rural communities: the role of financial literacy and management in sustainable development. </w:t>
      </w:r>
      <w:r w:rsidRPr="00FF4F31">
        <w:rPr>
          <w:rFonts w:ascii="Arial" w:hAnsi="Arial" w:cs="Arial"/>
          <w:i/>
          <w:iCs/>
        </w:rPr>
        <w:t>Frontiers in Human Dynamics</w:t>
      </w:r>
      <w:r w:rsidRPr="00FF4F31">
        <w:rPr>
          <w:rFonts w:ascii="Arial" w:hAnsi="Arial" w:cs="Arial"/>
        </w:rPr>
        <w:t xml:space="preserve">, </w:t>
      </w:r>
      <w:r w:rsidRPr="00FF4F31">
        <w:rPr>
          <w:rFonts w:ascii="Arial" w:hAnsi="Arial" w:cs="Arial"/>
          <w:i/>
          <w:iCs/>
        </w:rPr>
        <w:t>6</w:t>
      </w:r>
      <w:r>
        <w:rPr>
          <w:rFonts w:ascii="Arial" w:hAnsi="Arial" w:cs="Arial"/>
        </w:rPr>
        <w:t>,</w:t>
      </w:r>
      <w:r w:rsidRPr="00FF4F31">
        <w:rPr>
          <w:rFonts w:ascii="Arial" w:hAnsi="Arial" w:cs="Arial"/>
        </w:rPr>
        <w:t xml:space="preserve"> 2024. </w:t>
      </w:r>
      <w:hyperlink r:id="rId21" w:history="1">
        <w:r w:rsidRPr="007D5B38">
          <w:rPr>
            <w:rStyle w:val="Hyperlink"/>
            <w:rFonts w:ascii="Arial" w:hAnsi="Arial" w:cs="Arial"/>
          </w:rPr>
          <w:t>https://doi.org/10.3389/fhumd.2024.1424126</w:t>
        </w:r>
      </w:hyperlink>
    </w:p>
    <w:p w14:paraId="5DAAF511" w14:textId="77777777" w:rsidR="00FF4F31" w:rsidRDefault="00FF4F31" w:rsidP="00FF4F31">
      <w:pPr>
        <w:ind w:left="567" w:hanging="567"/>
        <w:rPr>
          <w:rFonts w:ascii="Arial" w:hAnsi="Arial" w:cs="Arial"/>
        </w:rPr>
      </w:pPr>
      <w:r w:rsidRPr="00FF4F31">
        <w:rPr>
          <w:rFonts w:ascii="Arial" w:hAnsi="Arial" w:cs="Arial"/>
        </w:rPr>
        <w:t xml:space="preserve">Linda, Y. T., Jeffrey, C., Chao, Y. &amp; Linda, C. L. (2021). </w:t>
      </w:r>
      <w:r w:rsidRPr="00FF4F31">
        <w:rPr>
          <w:rFonts w:ascii="Arial" w:hAnsi="Arial" w:cs="Arial"/>
          <w:i/>
          <w:iCs/>
        </w:rPr>
        <w:t>Training pack Cambodia</w:t>
      </w:r>
      <w:r w:rsidRPr="00FF4F31">
        <w:rPr>
          <w:rFonts w:ascii="Arial" w:hAnsi="Arial" w:cs="Arial"/>
        </w:rPr>
        <w:t>. Research Centre for Sustainable Hong Kong.</w:t>
      </w:r>
    </w:p>
    <w:p w14:paraId="704BD7CE" w14:textId="506D9C23" w:rsidR="00FF4F31" w:rsidRDefault="00FF4F31" w:rsidP="00FF4F31">
      <w:pPr>
        <w:ind w:left="567" w:hanging="567"/>
        <w:rPr>
          <w:rFonts w:ascii="Arial" w:hAnsi="Arial" w:cs="Arial"/>
        </w:rPr>
      </w:pPr>
      <w:r w:rsidRPr="00FF4F31">
        <w:rPr>
          <w:rFonts w:ascii="Arial" w:hAnsi="Arial" w:cs="Arial"/>
        </w:rPr>
        <w:t xml:space="preserve">Lusardi, A., &amp; Mitchell, O. S. (2014). The economic importance of financial literacy: Theory and evidence. </w:t>
      </w:r>
      <w:r w:rsidRPr="00FF4F31">
        <w:rPr>
          <w:rFonts w:ascii="Arial" w:hAnsi="Arial" w:cs="Arial"/>
          <w:i/>
          <w:iCs/>
        </w:rPr>
        <w:t>Journal of Economic Literature, 52</w:t>
      </w:r>
      <w:r w:rsidRPr="00FF4F31">
        <w:rPr>
          <w:rFonts w:ascii="Arial" w:hAnsi="Arial" w:cs="Arial"/>
        </w:rPr>
        <w:t xml:space="preserve">(1), 5–44. </w:t>
      </w:r>
      <w:hyperlink r:id="rId22" w:history="1">
        <w:r w:rsidRPr="007D5B38">
          <w:rPr>
            <w:rStyle w:val="Hyperlink"/>
            <w:rFonts w:ascii="Arial" w:hAnsi="Arial" w:cs="Arial"/>
          </w:rPr>
          <w:t>https://doi.org/10.1257/jel.52.1.5</w:t>
        </w:r>
      </w:hyperlink>
    </w:p>
    <w:p w14:paraId="46D4FF1D" w14:textId="0148B07F" w:rsidR="00FF4F31" w:rsidRDefault="00FF4F31" w:rsidP="00FF4F31">
      <w:pPr>
        <w:ind w:left="567" w:hanging="567"/>
        <w:rPr>
          <w:rFonts w:ascii="Arial" w:hAnsi="Arial" w:cs="Arial"/>
        </w:rPr>
      </w:pPr>
      <w:r w:rsidRPr="00FF4F31">
        <w:rPr>
          <w:rFonts w:ascii="Arial" w:hAnsi="Arial" w:cs="Arial"/>
        </w:rPr>
        <w:t xml:space="preserve">OECD/UNCDF (2020). </w:t>
      </w:r>
      <w:r w:rsidRPr="00FF4F31">
        <w:rPr>
          <w:rFonts w:ascii="Arial" w:hAnsi="Arial" w:cs="Arial"/>
          <w:i/>
          <w:iCs/>
        </w:rPr>
        <w:t>Blended finance in the least developed countries 2020: Supporting a resilient COID-19 recovery</w:t>
      </w:r>
      <w:r w:rsidRPr="00FF4F31">
        <w:rPr>
          <w:rFonts w:ascii="Arial" w:hAnsi="Arial" w:cs="Arial"/>
        </w:rPr>
        <w:t xml:space="preserve">. OECD Publishing. </w:t>
      </w:r>
      <w:hyperlink r:id="rId23" w:history="1">
        <w:r w:rsidRPr="007D5B38">
          <w:rPr>
            <w:rStyle w:val="Hyperlink"/>
            <w:rFonts w:ascii="Arial" w:hAnsi="Arial" w:cs="Arial"/>
          </w:rPr>
          <w:t>https://doi.org/10.1787/57620d04-en</w:t>
        </w:r>
      </w:hyperlink>
      <w:r w:rsidRPr="00FF4F31">
        <w:rPr>
          <w:rFonts w:ascii="Arial" w:hAnsi="Arial" w:cs="Arial"/>
        </w:rPr>
        <w:t>.</w:t>
      </w:r>
    </w:p>
    <w:p w14:paraId="7DE2604F" w14:textId="77777777" w:rsidR="00FF4F31" w:rsidRDefault="00FF4F31" w:rsidP="00FF4F31">
      <w:pPr>
        <w:ind w:left="567" w:hanging="567"/>
        <w:rPr>
          <w:rFonts w:ascii="Arial" w:hAnsi="Arial" w:cs="Arial"/>
        </w:rPr>
      </w:pPr>
      <w:r w:rsidRPr="00FF4F31">
        <w:rPr>
          <w:rFonts w:ascii="Arial" w:hAnsi="Arial" w:cs="Arial"/>
        </w:rPr>
        <w:t xml:space="preserve">Sophal, C., </w:t>
      </w:r>
      <w:proofErr w:type="spellStart"/>
      <w:r w:rsidRPr="00FF4F31">
        <w:rPr>
          <w:rFonts w:ascii="Arial" w:hAnsi="Arial" w:cs="Arial"/>
        </w:rPr>
        <w:t>Chansovy</w:t>
      </w:r>
      <w:proofErr w:type="spellEnd"/>
      <w:r w:rsidRPr="00FF4F31">
        <w:rPr>
          <w:rFonts w:ascii="Arial" w:hAnsi="Arial" w:cs="Arial"/>
        </w:rPr>
        <w:t xml:space="preserve">, N. &amp; Metta, H. (2020). </w:t>
      </w:r>
      <w:r w:rsidRPr="00FF4F31">
        <w:rPr>
          <w:rFonts w:ascii="Arial" w:hAnsi="Arial" w:cs="Arial"/>
          <w:i/>
          <w:iCs/>
        </w:rPr>
        <w:t>Digital challenges and opportunities for agribusiness enterprises in Cambodia: Implications for the Cambodian economics</w:t>
      </w:r>
      <w:r w:rsidRPr="00FF4F31">
        <w:rPr>
          <w:rFonts w:ascii="Arial" w:hAnsi="Arial" w:cs="Arial"/>
        </w:rPr>
        <w:t>. Centre for Policy Studies (CPS).</w:t>
      </w:r>
    </w:p>
    <w:p w14:paraId="0194810B" w14:textId="5D064926" w:rsidR="00FF4F31" w:rsidRDefault="00FF4F31" w:rsidP="00FF4F31">
      <w:pPr>
        <w:ind w:left="567" w:hanging="567"/>
        <w:rPr>
          <w:rFonts w:ascii="Arial" w:hAnsi="Arial" w:cs="Arial"/>
        </w:rPr>
      </w:pPr>
      <w:r w:rsidRPr="00FF4F31">
        <w:rPr>
          <w:rFonts w:ascii="Arial" w:hAnsi="Arial" w:cs="Arial"/>
        </w:rPr>
        <w:t xml:space="preserve">Taiwo, J. N., Agwu, E., &amp; Benson, K. N. (2016). The role of microfinance institutions in financing small businesses. </w:t>
      </w:r>
      <w:r w:rsidRPr="00FF4F31">
        <w:rPr>
          <w:rFonts w:ascii="Arial" w:hAnsi="Arial" w:cs="Arial"/>
          <w:i/>
          <w:iCs/>
        </w:rPr>
        <w:t>Journal of Internet Banking and Commerce, 21</w:t>
      </w:r>
      <w:r w:rsidRPr="00FF4F31">
        <w:rPr>
          <w:rFonts w:ascii="Arial" w:hAnsi="Arial" w:cs="Arial"/>
        </w:rPr>
        <w:t xml:space="preserve">(1), 1‒20. </w:t>
      </w:r>
      <w:hyperlink r:id="rId24" w:history="1">
        <w:r w:rsidRPr="007D5B38">
          <w:rPr>
            <w:rStyle w:val="Hyperlink"/>
            <w:rFonts w:ascii="Arial" w:hAnsi="Arial" w:cs="Arial"/>
          </w:rPr>
          <w:t>https://ssrn.com/abstract=3122480</w:t>
        </w:r>
      </w:hyperlink>
    </w:p>
    <w:p w14:paraId="3E847BEE" w14:textId="77777777" w:rsidR="00FF4F31" w:rsidRDefault="00FF4F31" w:rsidP="00FF4F31">
      <w:pPr>
        <w:ind w:left="567" w:hanging="567"/>
        <w:rPr>
          <w:rFonts w:ascii="Arial" w:hAnsi="Arial" w:cs="Arial"/>
        </w:rPr>
      </w:pPr>
      <w:r w:rsidRPr="00FF4F31">
        <w:rPr>
          <w:rFonts w:ascii="Arial" w:hAnsi="Arial" w:cs="Arial"/>
        </w:rPr>
        <w:t xml:space="preserve">Transparency International Cambodia. (2021). </w:t>
      </w:r>
      <w:r w:rsidRPr="00FF4F31">
        <w:rPr>
          <w:rFonts w:ascii="Arial" w:hAnsi="Arial" w:cs="Arial"/>
          <w:i/>
          <w:iCs/>
        </w:rPr>
        <w:t>Access to financial services and consumer protection in Cambodia</w:t>
      </w:r>
      <w:r w:rsidRPr="00FF4F31">
        <w:rPr>
          <w:rFonts w:ascii="Arial" w:hAnsi="Arial" w:cs="Arial"/>
        </w:rPr>
        <w:t>. Transparency International Cambodia.</w:t>
      </w:r>
    </w:p>
    <w:p w14:paraId="08A549C5" w14:textId="77777777" w:rsidR="00FF4F31" w:rsidRDefault="00FF4F31" w:rsidP="00FF4F31">
      <w:pPr>
        <w:ind w:left="567" w:hanging="567"/>
        <w:rPr>
          <w:rFonts w:ascii="Arial" w:hAnsi="Arial" w:cs="Arial"/>
        </w:rPr>
      </w:pPr>
      <w:r w:rsidRPr="00FF4F31">
        <w:rPr>
          <w:rFonts w:ascii="Arial" w:hAnsi="Arial" w:cs="Arial"/>
        </w:rPr>
        <w:lastRenderedPageBreak/>
        <w:t xml:space="preserve">Uy, J. C. &amp; Flores, E. P. (2024). Financial literacy awareness and practices among village savings group in Cambodia. </w:t>
      </w:r>
      <w:r w:rsidRPr="00FF4F31">
        <w:rPr>
          <w:rFonts w:ascii="Arial" w:hAnsi="Arial" w:cs="Arial"/>
          <w:i/>
          <w:iCs/>
        </w:rPr>
        <w:t xml:space="preserve">Journal of Accounting, Finacne, Economics, and Social Sciences, </w:t>
      </w:r>
      <w:r w:rsidRPr="00FF4F31">
        <w:rPr>
          <w:rFonts w:ascii="Arial" w:hAnsi="Arial" w:cs="Arial"/>
        </w:rPr>
        <w:t xml:space="preserve">9(2), 1‒14. </w:t>
      </w:r>
      <w:hyperlink r:id="rId25" w:history="1">
        <w:r w:rsidRPr="007D5B38">
          <w:rPr>
            <w:rStyle w:val="Hyperlink"/>
            <w:rFonts w:ascii="Arial" w:hAnsi="Arial" w:cs="Arial"/>
          </w:rPr>
          <w:t>https://doi.org/10.62458/jafess921</w:t>
        </w:r>
      </w:hyperlink>
    </w:p>
    <w:p w14:paraId="7A84CF22" w14:textId="77777777" w:rsidR="00FF4F31" w:rsidRDefault="00FF4F31" w:rsidP="00FF4F31">
      <w:pPr>
        <w:ind w:left="567" w:hanging="567"/>
        <w:rPr>
          <w:rFonts w:ascii="Arial" w:hAnsi="Arial" w:cs="Arial"/>
        </w:rPr>
      </w:pPr>
      <w:r w:rsidRPr="00FF4F31">
        <w:rPr>
          <w:rFonts w:ascii="Arial" w:hAnsi="Arial" w:cs="Arial"/>
        </w:rPr>
        <w:t>Yamane, T. (1967). An introductory analysis (3rd ed.). Harper &amp; Row.</w:t>
      </w:r>
    </w:p>
    <w:p w14:paraId="207C832D" w14:textId="77777777" w:rsidR="00FF4F31" w:rsidRDefault="00FF4F31" w:rsidP="00FF4F31">
      <w:pPr>
        <w:ind w:left="567" w:hanging="567"/>
        <w:rPr>
          <w:rFonts w:ascii="Arial" w:hAnsi="Arial" w:cs="Arial"/>
        </w:rPr>
      </w:pPr>
      <w:r w:rsidRPr="00FF4F31">
        <w:rPr>
          <w:rFonts w:ascii="Arial" w:hAnsi="Arial" w:cs="Arial"/>
        </w:rPr>
        <w:t>Yamane, T. (1973). An introductory analysis (3rd ed.). Harper International.</w:t>
      </w:r>
    </w:p>
    <w:p w14:paraId="4EB01C5B" w14:textId="57A3F4AC" w:rsidR="00FF4F31" w:rsidRDefault="00FF4F31" w:rsidP="00FF4F31">
      <w:pPr>
        <w:ind w:left="567" w:hanging="567"/>
        <w:rPr>
          <w:rFonts w:ascii="Arial" w:hAnsi="Arial" w:cs="Arial"/>
        </w:rPr>
      </w:pPr>
      <w:r w:rsidRPr="00FF4F31">
        <w:rPr>
          <w:rFonts w:ascii="Arial" w:hAnsi="Arial" w:cs="Arial"/>
        </w:rPr>
        <w:t xml:space="preserve">Zeqiraj, V., Sohag, K., &amp; Hammoudeh, S. (2022). Financial inclusion in developing countries: Do quality institutions matter? </w:t>
      </w:r>
      <w:r w:rsidRPr="00FF4F31">
        <w:rPr>
          <w:rFonts w:ascii="Arial" w:hAnsi="Arial" w:cs="Arial"/>
          <w:i/>
          <w:iCs/>
        </w:rPr>
        <w:t>Journal of International Financial Markets, Institutions and Money, 81</w:t>
      </w:r>
      <w:r w:rsidRPr="00FF4F31">
        <w:rPr>
          <w:rFonts w:ascii="Arial" w:hAnsi="Arial" w:cs="Arial"/>
        </w:rPr>
        <w:t xml:space="preserve">, 101677. </w:t>
      </w:r>
      <w:hyperlink r:id="rId26" w:history="1">
        <w:r w:rsidRPr="007D5B38">
          <w:rPr>
            <w:rStyle w:val="Hyperlink"/>
            <w:rFonts w:ascii="Arial" w:hAnsi="Arial" w:cs="Arial"/>
          </w:rPr>
          <w:t>https://doi.org/10.1016/j.intfin.2022.101677</w:t>
        </w:r>
      </w:hyperlink>
    </w:p>
    <w:p w14:paraId="4AFAEBEA" w14:textId="379A10C0" w:rsidR="00B01FCD" w:rsidRPr="00FB3A86" w:rsidRDefault="00FF4F31" w:rsidP="008D03C1">
      <w:pPr>
        <w:ind w:left="567" w:hanging="567"/>
        <w:rPr>
          <w:rFonts w:ascii="Arial" w:hAnsi="Arial" w:cs="Arial"/>
          <w:b/>
        </w:rPr>
      </w:pPr>
      <w:r w:rsidRPr="00FF4F31">
        <w:rPr>
          <w:rFonts w:ascii="Arial" w:hAnsi="Arial" w:cs="Arial"/>
        </w:rPr>
        <w:t xml:space="preserve">Zhao, J., &amp; Li, T. (2021). Social capital, financial literacy, and rural household entrepreneurship: A mediating effect analysis. </w:t>
      </w:r>
      <w:r w:rsidRPr="00FF4F31">
        <w:rPr>
          <w:rFonts w:ascii="Arial" w:hAnsi="Arial" w:cs="Arial"/>
          <w:i/>
          <w:iCs/>
        </w:rPr>
        <w:t>Frontiers in Psychology, 12</w:t>
      </w:r>
      <w:r w:rsidRPr="00FF4F31">
        <w:rPr>
          <w:rFonts w:ascii="Arial" w:hAnsi="Arial" w:cs="Arial"/>
        </w:rPr>
        <w:t xml:space="preserve">, 2021. </w:t>
      </w:r>
      <w:hyperlink r:id="rId27" w:history="1">
        <w:r w:rsidRPr="007D5B38">
          <w:rPr>
            <w:rStyle w:val="Hyperlink"/>
            <w:rFonts w:ascii="Arial" w:hAnsi="Arial" w:cs="Arial"/>
          </w:rPr>
          <w:t>https://doi.org/10.3389/fpsyg.2021.724605</w:t>
        </w:r>
      </w:hyperlink>
    </w:p>
    <w:sectPr w:rsidR="00B01FCD" w:rsidRPr="00FB3A86" w:rsidSect="00AD6EF9">
      <w:headerReference w:type="even" r:id="rId28"/>
      <w:headerReference w:type="default" r:id="rId29"/>
      <w:footerReference w:type="default" r:id="rId30"/>
      <w:headerReference w:type="first" r:id="rId31"/>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94250" w14:textId="77777777" w:rsidR="00F13544" w:rsidRDefault="00F13544" w:rsidP="00C37E61">
      <w:r>
        <w:separator/>
      </w:r>
    </w:p>
  </w:endnote>
  <w:endnote w:type="continuationSeparator" w:id="0">
    <w:p w14:paraId="72BD6E76" w14:textId="77777777" w:rsidR="00F13544" w:rsidRDefault="00F135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hmer OS Content">
    <w:charset w:val="00"/>
    <w:family w:val="auto"/>
    <w:pitch w:val="variable"/>
    <w:sig w:usb0="A00000EF" w:usb1="5000204A" w:usb2="00010000" w:usb3="00000000" w:csb0="0000011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CEF71" w14:textId="77777777" w:rsidR="00AD6EF9" w:rsidRDefault="00AD6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17C5" w14:textId="77777777" w:rsidR="00AD6EF9" w:rsidRDefault="00AD6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CB02" w14:textId="2F6A836E" w:rsidR="00754C9A" w:rsidRPr="00AD6EF9" w:rsidRDefault="00754C9A" w:rsidP="00AD6EF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BE7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1C227" w14:textId="77777777" w:rsidR="00F13544" w:rsidRDefault="00F13544" w:rsidP="00C37E61">
      <w:r>
        <w:separator/>
      </w:r>
    </w:p>
  </w:footnote>
  <w:footnote w:type="continuationSeparator" w:id="0">
    <w:p w14:paraId="402B1C69" w14:textId="77777777" w:rsidR="00F13544" w:rsidRDefault="00F135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2CA3" w14:textId="46424024" w:rsidR="00AD6EF9" w:rsidRDefault="00AD6EF9">
    <w:pPr>
      <w:pStyle w:val="Header"/>
    </w:pPr>
    <w:r>
      <w:rPr>
        <w:noProof/>
      </w:rPr>
      <w:pict w14:anchorId="4B6A4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79"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F1DE" w14:textId="5A1392C1" w:rsidR="00AD6EF9" w:rsidRDefault="00AD6EF9">
    <w:pPr>
      <w:pStyle w:val="Header"/>
    </w:pPr>
    <w:r>
      <w:rPr>
        <w:noProof/>
      </w:rPr>
      <w:pict w14:anchorId="528BD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80"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F9A4" w14:textId="190DBB10" w:rsidR="00296529" w:rsidRPr="00296529" w:rsidRDefault="00AD6EF9" w:rsidP="00296529">
    <w:pPr>
      <w:ind w:left="2160"/>
      <w:jc w:val="center"/>
      <w:rPr>
        <w:rFonts w:ascii="Times New Roman" w:eastAsia="Calibri" w:hAnsi="Times New Roman"/>
        <w:i/>
        <w:sz w:val="18"/>
        <w:szCs w:val="22"/>
      </w:rPr>
    </w:pPr>
    <w:r>
      <w:rPr>
        <w:noProof/>
      </w:rPr>
      <w:pict w14:anchorId="151D1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78"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0BC63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C125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BBCB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D33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51B6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C381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6716" w14:textId="4055C2A8" w:rsidR="00AD6EF9" w:rsidRDefault="00AD6EF9">
    <w:pPr>
      <w:pStyle w:val="Header"/>
    </w:pPr>
    <w:r>
      <w:rPr>
        <w:noProof/>
      </w:rPr>
      <w:pict w14:anchorId="0AF3A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82"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B248" w14:textId="7BEF8912" w:rsidR="00AD6EF9" w:rsidRDefault="00AD6EF9">
    <w:pPr>
      <w:pStyle w:val="Header"/>
    </w:pPr>
    <w:r>
      <w:rPr>
        <w:noProof/>
      </w:rPr>
      <w:pict w14:anchorId="485EE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83"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234FB" w14:textId="4C6C450A" w:rsidR="00AD6EF9" w:rsidRDefault="00AD6EF9">
    <w:pPr>
      <w:pStyle w:val="Header"/>
    </w:pPr>
    <w:r>
      <w:rPr>
        <w:noProof/>
      </w:rPr>
      <w:pict w14:anchorId="4E6D2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42081"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563F7E"/>
    <w:multiLevelType w:val="hybridMultilevel"/>
    <w:tmpl w:val="F97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952"/>
    <w:rsid w:val="00030174"/>
    <w:rsid w:val="00032B40"/>
    <w:rsid w:val="0004579C"/>
    <w:rsid w:val="00092AE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B3C"/>
    <w:rsid w:val="002C57D2"/>
    <w:rsid w:val="002E0D56"/>
    <w:rsid w:val="00315186"/>
    <w:rsid w:val="0033343E"/>
    <w:rsid w:val="00345B96"/>
    <w:rsid w:val="003512C2"/>
    <w:rsid w:val="00371FB6"/>
    <w:rsid w:val="003763C1"/>
    <w:rsid w:val="00376BBE"/>
    <w:rsid w:val="0039224F"/>
    <w:rsid w:val="003A43A4"/>
    <w:rsid w:val="003A7E18"/>
    <w:rsid w:val="003C4C86"/>
    <w:rsid w:val="003C6258"/>
    <w:rsid w:val="003E2904"/>
    <w:rsid w:val="00401927"/>
    <w:rsid w:val="00403DB2"/>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009A"/>
    <w:rsid w:val="005C784C"/>
    <w:rsid w:val="005D17F6"/>
    <w:rsid w:val="005E5539"/>
    <w:rsid w:val="00602BF5"/>
    <w:rsid w:val="00617FDD"/>
    <w:rsid w:val="00633614"/>
    <w:rsid w:val="00633F68"/>
    <w:rsid w:val="00636EB2"/>
    <w:rsid w:val="006375B8"/>
    <w:rsid w:val="0066510A"/>
    <w:rsid w:val="00673F9F"/>
    <w:rsid w:val="00686953"/>
    <w:rsid w:val="006869A8"/>
    <w:rsid w:val="00687DEA"/>
    <w:rsid w:val="00687E67"/>
    <w:rsid w:val="006967F7"/>
    <w:rsid w:val="006A250C"/>
    <w:rsid w:val="006B21D3"/>
    <w:rsid w:val="006B57D0"/>
    <w:rsid w:val="006C565F"/>
    <w:rsid w:val="006D30FF"/>
    <w:rsid w:val="006D6940"/>
    <w:rsid w:val="006F11EC"/>
    <w:rsid w:val="0070082C"/>
    <w:rsid w:val="007369E6"/>
    <w:rsid w:val="00746E59"/>
    <w:rsid w:val="00754C9A"/>
    <w:rsid w:val="0075599A"/>
    <w:rsid w:val="00761D52"/>
    <w:rsid w:val="0077749E"/>
    <w:rsid w:val="007862B6"/>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03C1"/>
    <w:rsid w:val="008E13AE"/>
    <w:rsid w:val="008E1506"/>
    <w:rsid w:val="008E710C"/>
    <w:rsid w:val="008F69D6"/>
    <w:rsid w:val="00901F2C"/>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C3C"/>
    <w:rsid w:val="00A94063"/>
    <w:rsid w:val="00AA5507"/>
    <w:rsid w:val="00AA6219"/>
    <w:rsid w:val="00AA74E0"/>
    <w:rsid w:val="00AB703F"/>
    <w:rsid w:val="00AC6BB8"/>
    <w:rsid w:val="00AD6E46"/>
    <w:rsid w:val="00AD6EF9"/>
    <w:rsid w:val="00AE008F"/>
    <w:rsid w:val="00B01FCD"/>
    <w:rsid w:val="00B1776C"/>
    <w:rsid w:val="00B52583"/>
    <w:rsid w:val="00B52896"/>
    <w:rsid w:val="00B95236"/>
    <w:rsid w:val="00B96BD9"/>
    <w:rsid w:val="00BA1B01"/>
    <w:rsid w:val="00BA2641"/>
    <w:rsid w:val="00BB37AA"/>
    <w:rsid w:val="00BC53A0"/>
    <w:rsid w:val="00BD7534"/>
    <w:rsid w:val="00BE62AD"/>
    <w:rsid w:val="00BF121F"/>
    <w:rsid w:val="00BF1F80"/>
    <w:rsid w:val="00C149A7"/>
    <w:rsid w:val="00C166EF"/>
    <w:rsid w:val="00C17EB0"/>
    <w:rsid w:val="00C27F5F"/>
    <w:rsid w:val="00C30A0F"/>
    <w:rsid w:val="00C37E61"/>
    <w:rsid w:val="00C70F1B"/>
    <w:rsid w:val="00C71A47"/>
    <w:rsid w:val="00C7464C"/>
    <w:rsid w:val="00C75CA0"/>
    <w:rsid w:val="00C85588"/>
    <w:rsid w:val="00CB1BA3"/>
    <w:rsid w:val="00CD6755"/>
    <w:rsid w:val="00CD6856"/>
    <w:rsid w:val="00CE0089"/>
    <w:rsid w:val="00CE793C"/>
    <w:rsid w:val="00CF193C"/>
    <w:rsid w:val="00D173F1"/>
    <w:rsid w:val="00D420BC"/>
    <w:rsid w:val="00D74CB0"/>
    <w:rsid w:val="00D8295D"/>
    <w:rsid w:val="00DA32F2"/>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52E4"/>
    <w:rsid w:val="00EC6A55"/>
    <w:rsid w:val="00ED0288"/>
    <w:rsid w:val="00EE52CB"/>
    <w:rsid w:val="00EF581D"/>
    <w:rsid w:val="00EF7FD8"/>
    <w:rsid w:val="00F06F59"/>
    <w:rsid w:val="00F13544"/>
    <w:rsid w:val="00F17988"/>
    <w:rsid w:val="00F469F0"/>
    <w:rsid w:val="00F53273"/>
    <w:rsid w:val="00F755E4"/>
    <w:rsid w:val="00F77D02"/>
    <w:rsid w:val="00FB3A86"/>
    <w:rsid w:val="00FD36C8"/>
    <w:rsid w:val="00FF4F3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5"/>
        <o:r id="V:Rule2" type="connector" idref="#Straight Connector 2037693515"/>
      </o:rules>
    </o:shapelayout>
  </w:shapeDefaults>
  <w:decimalSymbol w:val="."/>
  <w:listSeparator w:val=","/>
  <w14:docId w14:val="16A26EE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7353/ecbis.v2i5.158" TargetMode="External"/><Relationship Id="rId26" Type="http://schemas.openxmlformats.org/officeDocument/2006/relationships/hyperlink" Target="https://doi.org/10.1016/j.intfin.2022.101677" TargetMode="External"/><Relationship Id="rId3" Type="http://schemas.openxmlformats.org/officeDocument/2006/relationships/styles" Target="styles.xml"/><Relationship Id="rId21" Type="http://schemas.openxmlformats.org/officeDocument/2006/relationships/hyperlink" Target="https://doi.org/10.3389/fhumd.2024.14241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ue.2008.07.005" TargetMode="External"/><Relationship Id="rId25" Type="http://schemas.openxmlformats.org/officeDocument/2006/relationships/hyperlink" Target="https://doi.org/10.62458/jafess9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281/zenodo.11488827" TargetMode="External"/><Relationship Id="rId20" Type="http://schemas.openxmlformats.org/officeDocument/2006/relationships/hyperlink" Target="https://doi.org/10.3390/su162411065"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srn.com/abstract=312248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787/57620d04-e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07/978-3-031-67523-2_8"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257/jel.52.1.5" TargetMode="External"/><Relationship Id="rId27" Type="http://schemas.openxmlformats.org/officeDocument/2006/relationships/hyperlink" Target="https://doi.org/10.3389/fpsyg.2021.724605"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56EDF-5A59-4D9F-B55F-AED53F45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14</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36163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2025-10-30T10:44:00Z</dcterms:modified>
</cp:coreProperties>
</file>