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D22" w:rsidRPr="00422170" w:rsidRDefault="00986A28" w:rsidP="008928BB">
      <w:pPr>
        <w:spacing w:line="240" w:lineRule="auto"/>
        <w:jc w:val="center"/>
        <w:rPr>
          <w:rFonts w:ascii="Times New Roman" w:hAnsi="Times New Roman" w:cs="Times New Roman"/>
          <w:sz w:val="28"/>
          <w:szCs w:val="28"/>
        </w:rPr>
      </w:pPr>
      <w:r w:rsidRPr="00422170">
        <w:rPr>
          <w:rFonts w:ascii="Times New Roman" w:hAnsi="Times New Roman" w:cs="Times New Roman"/>
          <w:sz w:val="28"/>
          <w:szCs w:val="28"/>
        </w:rPr>
        <w:t xml:space="preserve">Innovative Approaches for Strengthening Community Engagement in Rural Road Maintenance: Insights from </w:t>
      </w:r>
      <w:proofErr w:type="spellStart"/>
      <w:r w:rsidRPr="00422170">
        <w:rPr>
          <w:rFonts w:ascii="Times New Roman" w:hAnsi="Times New Roman" w:cs="Times New Roman"/>
          <w:sz w:val="28"/>
          <w:szCs w:val="28"/>
        </w:rPr>
        <w:t>Babati</w:t>
      </w:r>
      <w:proofErr w:type="spellEnd"/>
      <w:r w:rsidRPr="00422170">
        <w:rPr>
          <w:rFonts w:ascii="Times New Roman" w:hAnsi="Times New Roman" w:cs="Times New Roman"/>
          <w:sz w:val="28"/>
          <w:szCs w:val="28"/>
        </w:rPr>
        <w:t xml:space="preserve"> District Council</w:t>
      </w:r>
    </w:p>
    <w:p w:rsidR="00157FC0" w:rsidRDefault="00157FC0" w:rsidP="008928BB">
      <w:pPr>
        <w:spacing w:line="240" w:lineRule="auto"/>
        <w:jc w:val="both"/>
        <w:rPr>
          <w:rFonts w:ascii="Times New Roman" w:hAnsi="Times New Roman" w:cs="Times New Roman"/>
          <w:b/>
          <w:sz w:val="20"/>
          <w:szCs w:val="20"/>
        </w:rPr>
      </w:pPr>
    </w:p>
    <w:p w:rsidR="002E614B" w:rsidRPr="00422170" w:rsidRDefault="002E614B" w:rsidP="008928BB">
      <w:pPr>
        <w:spacing w:line="240" w:lineRule="auto"/>
        <w:jc w:val="both"/>
        <w:rPr>
          <w:rFonts w:ascii="Times New Roman" w:hAnsi="Times New Roman" w:cs="Times New Roman"/>
          <w:b/>
          <w:sz w:val="20"/>
          <w:szCs w:val="20"/>
        </w:rPr>
      </w:pPr>
      <w:r w:rsidRPr="00422170">
        <w:rPr>
          <w:rFonts w:ascii="Times New Roman" w:hAnsi="Times New Roman" w:cs="Times New Roman"/>
          <w:b/>
          <w:sz w:val="20"/>
          <w:szCs w:val="20"/>
        </w:rPr>
        <w:t>Abstract</w:t>
      </w:r>
    </w:p>
    <w:p w:rsidR="002E614B" w:rsidRPr="00422170" w:rsidRDefault="00A55BBA" w:rsidP="008928BB">
      <w:pPr>
        <w:spacing w:line="240" w:lineRule="auto"/>
        <w:jc w:val="both"/>
        <w:rPr>
          <w:rFonts w:ascii="Times New Roman" w:hAnsi="Times New Roman" w:cs="Times New Roman"/>
          <w:sz w:val="20"/>
          <w:szCs w:val="20"/>
        </w:rPr>
      </w:pPr>
      <w:r w:rsidRPr="00422170">
        <w:rPr>
          <w:rFonts w:ascii="Times New Roman" w:hAnsi="Times New Roman" w:cs="Times New Roman"/>
          <w:sz w:val="20"/>
          <w:szCs w:val="20"/>
        </w:rPr>
        <w:t xml:space="preserve">Rural road maintenance is critical for economic growth, social integration, and improved quality of life, yet many developing countries face persistent challenges, including limited funding, weak institutional capacity, and low technical expertise. In Tanzania, community participation has emerged as a potential strategy to complement formal maintenance efforts, but its effectiveness remains inconsistent. This study explores innovative approaches for strengthening community engagement in rural road maintenance within </w:t>
      </w:r>
      <w:proofErr w:type="spellStart"/>
      <w:r w:rsidRPr="00422170">
        <w:rPr>
          <w:rFonts w:ascii="Times New Roman" w:hAnsi="Times New Roman" w:cs="Times New Roman"/>
          <w:sz w:val="20"/>
          <w:szCs w:val="20"/>
        </w:rPr>
        <w:t>Babati</w:t>
      </w:r>
      <w:proofErr w:type="spellEnd"/>
      <w:r w:rsidRPr="00422170">
        <w:rPr>
          <w:rFonts w:ascii="Times New Roman" w:hAnsi="Times New Roman" w:cs="Times New Roman"/>
          <w:sz w:val="20"/>
          <w:szCs w:val="20"/>
        </w:rPr>
        <w:t xml:space="preserve"> District Council. Guided by Participatory Development Theory, a mixed-methods approach was employed, including structured questionnaires with 399 randomly selected community members and key informant interviews with local leaders and TARURA officials. Findings reveal that digital tools (mobile applications and GIS), capacity-building programs, financial and non-financial incentives, multi-stakeholder collaboration, and awareness campaigns significantly enhance community participation. The study further demonstrates that such approaches increase ownership, accountability, and sustainability of road maintenance initiatives. Digital platforms facilitated real-time reporting and decision-making, while training programs equipped residents with technical skills for effective involvement. Incentives and recognition reinforced long-term engagement, and collaborative efforts among government, private sector, and communities ensured alignment with local priorities. These results confirm that innovative, context-specific strategies operationalize participatory principles, enabling communities to actively contribute to infrastructure development. The study provides practical insights for policymakers and development practitioners seeking to enhance community-driven road maintenance, ultimately contributing to sustainable rural infrastructure development in Tanzania and similar contexts.</w:t>
      </w:r>
    </w:p>
    <w:p w:rsidR="00A55BBA" w:rsidRPr="00422170" w:rsidRDefault="00A55BBA" w:rsidP="008928BB">
      <w:pPr>
        <w:spacing w:line="240" w:lineRule="auto"/>
        <w:jc w:val="both"/>
        <w:rPr>
          <w:rFonts w:ascii="Times New Roman" w:hAnsi="Times New Roman" w:cs="Times New Roman"/>
          <w:sz w:val="20"/>
          <w:szCs w:val="20"/>
        </w:rPr>
      </w:pPr>
      <w:r w:rsidRPr="00422170">
        <w:rPr>
          <w:rFonts w:ascii="Times New Roman" w:hAnsi="Times New Roman" w:cs="Times New Roman"/>
          <w:b/>
          <w:sz w:val="20"/>
          <w:szCs w:val="20"/>
        </w:rPr>
        <w:t>Keyword</w:t>
      </w:r>
      <w:r w:rsidR="000A3B25" w:rsidRPr="00422170">
        <w:rPr>
          <w:rFonts w:ascii="Times New Roman" w:hAnsi="Times New Roman" w:cs="Times New Roman"/>
          <w:b/>
          <w:sz w:val="20"/>
          <w:szCs w:val="20"/>
        </w:rPr>
        <w:t xml:space="preserve">s: </w:t>
      </w:r>
      <w:r w:rsidRPr="00422170">
        <w:rPr>
          <w:rFonts w:ascii="Times New Roman" w:hAnsi="Times New Roman" w:cs="Times New Roman"/>
          <w:sz w:val="20"/>
          <w:szCs w:val="20"/>
        </w:rPr>
        <w:t>Community engagement, rural road maintenance, participatory development, digital tools, capacity-building</w:t>
      </w:r>
    </w:p>
    <w:p w:rsidR="002E614B" w:rsidRPr="00422170" w:rsidRDefault="002E614B" w:rsidP="008928BB">
      <w:pPr>
        <w:spacing w:line="240" w:lineRule="auto"/>
        <w:jc w:val="both"/>
        <w:rPr>
          <w:rFonts w:ascii="Times New Roman" w:hAnsi="Times New Roman" w:cs="Times New Roman"/>
          <w:sz w:val="24"/>
          <w:szCs w:val="24"/>
        </w:rPr>
      </w:pPr>
    </w:p>
    <w:p w:rsidR="002E614B" w:rsidRPr="00422170" w:rsidRDefault="002E614B"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INTRODUCTION</w:t>
      </w: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Road maintenance is a cornerstone of sustainable infrastructure, serving as a foundation for economic growth, social integration, and improved quality of life</w:t>
      </w:r>
      <w:r w:rsidR="007E6BE3" w:rsidRPr="00422170">
        <w:t xml:space="preserve"> </w:t>
      </w:r>
      <w:r w:rsidR="007E6BE3" w:rsidRPr="00422170">
        <w:fldChar w:fldCharType="begin" w:fldLock="1"/>
      </w:r>
      <w:r w:rsidR="00270319" w:rsidRPr="00422170">
        <w:instrText>ADDIN CSL_CITATION {"citationItems":[{"id":"ITEM-1","itemData":{"DOI":"10.1088/1755-1315/1101/2/022039","ISSN":"17551315","abstract":"Australia's population is predicted to grow to 31.4 million by 2034, according to Infrastructure Australia Audit 2019, resulting in additional demand for road infrastructure. Although road infrastructure projects have a significant positive impact at the regional level regarding reduced travel time, improved accessibility, and amenities, they may also have negative social impacts at the local level. However, road infrastructure projects are often seen as key drivers of economic development. Social aspects are generally less considered in the decision-making process of the project lifecycle. The existing sustainability assessment models focus on economic and environmental aspects and lack social considerations. To bridge the gap, this paper aims to examine the existing literature on social sustainability in the construction industry and identify the social aspects and relevant indicators to be considered in assessing the social sustainability performance of road infrastructure projects. Through systematic literature review, using Scopus, Web of Science, EBSCO and google search databases from an initial set of 1178 journals, conference papers, books, book chapters and other relevant industry reports, 80 articles related to social sustainability in the construction industry were selected for the study. Based on the analysis, nine social sustainability criteria such as quality of life, equity, employment, health and safety, stakeholder participation, culture and heritage, compensation strategies, governance, macro-social activities and 78 respective indicators were identified. The findings of this study may assist policymakers and industry practitioners in developing comprehensive assessment models for benchmarking social sustainability in Australian road infrastructure projects.","author":[{"dropping-particle":"","family":"Vijayakumar","given":"Ankitha","non-dropping-particle":"","parse-names":false,"suffix":""},{"dropping-particle":"","family":"Mahmood","given":"Muhammad Nateque","non-dropping-particle":"","parse-names":false,"suffix":""},{"dropping-particle":"","family":"Gurmu","given":"Argaw","non-dropping-particle":"","parse-names":false,"suffix":""},{"dropping-particle":"","family":"Kamardeen","given":"Imriyas","non-dropping-particle":"","parse-names":false,"suffix":""},{"dropping-particle":"","family":"Alam","given":"Shafiq","non-dropping-particle":"","parse-names":false,"suffix":""}],"container-title":"IOP Conference Series: Earth and Environmental Science","id":"ITEM-1","issue":"2","issued":{"date-parts":[["2022"]]},"page":"1-16","title":"Social sustainability indicators for road infrastructure projects: A systematic literature review","type":"article-journal","volume":"1101"},"uris":["http://www.mendeley.com/documents/?uuid=541a6b76-4a1a-41a2-84c2-8177c593de87"]}],"mendeley":{"formattedCitation":"(Vijayakumar et al., 2022)","plainTextFormattedCitation":"(Vijayakumar et al., 2022)","previouslyFormattedCitation":"(Vijayakumar et al., 2022)"},"properties":{"noteIndex":0},"schema":"https://github.com/citation-style-language/schema/raw/master/csl-citation.json"}</w:instrText>
      </w:r>
      <w:r w:rsidR="007E6BE3" w:rsidRPr="00422170">
        <w:fldChar w:fldCharType="separate"/>
      </w:r>
      <w:r w:rsidR="007E6BE3" w:rsidRPr="00422170">
        <w:rPr>
          <w:noProof/>
        </w:rPr>
        <w:t>(Vijayakumar et al., 2022)</w:t>
      </w:r>
      <w:r w:rsidR="007E6BE3" w:rsidRPr="00422170">
        <w:fldChar w:fldCharType="end"/>
      </w:r>
      <w:r w:rsidRPr="00422170">
        <w:rPr>
          <w:rFonts w:ascii="Times New Roman" w:hAnsi="Times New Roman" w:cs="Times New Roman"/>
          <w:sz w:val="24"/>
          <w:szCs w:val="24"/>
        </w:rPr>
        <w:t xml:space="preserve">. Well-maintained roads facilitate the movement of people and goods, enhance trade, and ensure access to essential services. Globally, evidence shows that efficient road networks can reduce vehicle operating costs by up to 30%, shorten travel times, and improve road safety </w:t>
      </w:r>
      <w:r w:rsidR="00270319" w:rsidRPr="00422170">
        <w:rPr>
          <w:rFonts w:ascii="Times New Roman" w:hAnsi="Times New Roman" w:cs="Times New Roman"/>
          <w:sz w:val="24"/>
          <w:szCs w:val="24"/>
        </w:rPr>
        <w:fldChar w:fldCharType="begin" w:fldLock="1"/>
      </w:r>
      <w:r w:rsidR="001B5EA1" w:rsidRPr="00422170">
        <w:rPr>
          <w:rFonts w:ascii="Times New Roman" w:hAnsi="Times New Roman" w:cs="Times New Roman"/>
          <w:sz w:val="24"/>
          <w:szCs w:val="24"/>
        </w:rPr>
        <w:instrText>ADDIN CSL_CITATION {"citationItems":[{"id":"ITEM-1","itemData":{"DOI":"10.1111/1468-0009.12644","ISSN":"14680009","PMID":"37096617","abstract":"Policy Points Traditional approaches to addressing motor vehicle crashes are yielding diminishing returns. A comprehensive strategy known as the Safe Systems approach shows promise in both advancing safety and equity and reducing motor vehicle crashes. In addition, a range of emerging technologies, enabled by artificial intelligence, such as automated vehicles, impairment detection and telematics hold promise to advance road safety. Ultimately, the transportation system will need to evolve to provide the safe, efficient, and equitable movement of people and goods without reliance on private vehicle ownership, towards encouraging walking, bicycling and the use of public transportation.","author":[{"dropping-particle":"","family":"Ehsani","given":"Johnathon P.","non-dropping-particle":"","parse-names":false,"suffix":""},{"dropping-particle":"","family":"Michael","given":"Jeffrey P.","non-dropping-particle":"","parse-names":false,"suffix":""},{"dropping-particle":"","family":"MacKENZIE","given":"ELLEN J.","non-dropping-particle":"","parse-names":false,"suffix":""}],"container-title":"Milbank Quarterly-A Multidisciplinary Journal of Population Health and Health Policy","id":"ITEM-1","issue":"S1","issued":{"date-parts":[["2023"]]},"page":"613-636","title":"The Future of Road Safety: Challenges and Opportunities","type":"article-journal","volume":"101"},"uris":["http://www.mendeley.com/documents/?uuid=0e889ddd-bfaf-431b-b309-ffe6e6ee6e1e"]}],"mendeley":{"formattedCitation":"(Ehsani et al., 2023)","plainTextFormattedCitation":"(Ehsani et al., 2023)","previouslyFormattedCitation":"(Ehsani et al., 2023)"},"properties":{"noteIndex":0},"schema":"https://github.com/citation-style-language/schema/raw/master/csl-citation.json"}</w:instrText>
      </w:r>
      <w:r w:rsidR="00270319" w:rsidRPr="00422170">
        <w:rPr>
          <w:rFonts w:ascii="Times New Roman" w:hAnsi="Times New Roman" w:cs="Times New Roman"/>
          <w:sz w:val="24"/>
          <w:szCs w:val="24"/>
        </w:rPr>
        <w:fldChar w:fldCharType="separate"/>
      </w:r>
      <w:r w:rsidR="00270319" w:rsidRPr="00422170">
        <w:rPr>
          <w:rFonts w:ascii="Times New Roman" w:hAnsi="Times New Roman" w:cs="Times New Roman"/>
          <w:noProof/>
          <w:sz w:val="24"/>
          <w:szCs w:val="24"/>
        </w:rPr>
        <w:t>(Ehsani et al., 2023)</w:t>
      </w:r>
      <w:r w:rsidR="0027031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The World Bank </w:t>
      </w:r>
      <w:r w:rsidR="001B5EA1" w:rsidRPr="00422170">
        <w:rPr>
          <w:rFonts w:ascii="Times New Roman" w:hAnsi="Times New Roman" w:cs="Times New Roman"/>
          <w:sz w:val="24"/>
          <w:szCs w:val="24"/>
        </w:rPr>
        <w:fldChar w:fldCharType="begin" w:fldLock="1"/>
      </w:r>
      <w:r w:rsidR="001B5EA1" w:rsidRPr="00422170">
        <w:rPr>
          <w:rFonts w:ascii="Times New Roman" w:hAnsi="Times New Roman" w:cs="Times New Roman"/>
          <w:sz w:val="24"/>
          <w:szCs w:val="24"/>
        </w:rPr>
        <w:instrText>ADDIN CSL_CITATION {"citationItems":[{"id":"ITEM-1","itemData":{"abstract":"In FY22, GRSF continued delivering in its core areas of infrastructure safety and speed management, and made progress on several long-standing road safety prior...","author":[{"dropping-particle":"","family":"World-Bank","given":"","non-dropping-particle":"","parse-names":false,"suffix":""}],"id":"ITEM-1","issued":{"date-parts":[["2023"]]},"number-of-pages":"1-50","title":"Global Road Safety Facility Annual Report","type":"report"},"suppress-author":1,"uris":["http://www.mendeley.com/documents/?uuid=1c72a131-6b8f-493a-b72f-c4f3c5c1712a"]}],"mendeley":{"formattedCitation":"(2023)","plainTextFormattedCitation":"(2023)","previouslyFormattedCitation":"(2023)"},"properties":{"noteIndex":0},"schema":"https://github.com/citation-style-language/schema/raw/master/csl-citation.json"}</w:instrText>
      </w:r>
      <w:r w:rsidR="001B5EA1" w:rsidRPr="00422170">
        <w:rPr>
          <w:rFonts w:ascii="Times New Roman" w:hAnsi="Times New Roman" w:cs="Times New Roman"/>
          <w:sz w:val="24"/>
          <w:szCs w:val="24"/>
        </w:rPr>
        <w:fldChar w:fldCharType="separate"/>
      </w:r>
      <w:r w:rsidR="001B5EA1" w:rsidRPr="00422170">
        <w:rPr>
          <w:rFonts w:ascii="Times New Roman" w:hAnsi="Times New Roman" w:cs="Times New Roman"/>
          <w:noProof/>
          <w:sz w:val="24"/>
          <w:szCs w:val="24"/>
        </w:rPr>
        <w:t>(2023)</w:t>
      </w:r>
      <w:r w:rsidR="001B5EA1" w:rsidRPr="00422170">
        <w:rPr>
          <w:rFonts w:ascii="Times New Roman" w:hAnsi="Times New Roman" w:cs="Times New Roman"/>
          <w:sz w:val="24"/>
          <w:szCs w:val="24"/>
        </w:rPr>
        <w:fldChar w:fldCharType="end"/>
      </w:r>
      <w:r w:rsidR="001B5EA1" w:rsidRPr="00422170">
        <w:rPr>
          <w:rFonts w:ascii="Times New Roman" w:hAnsi="Times New Roman" w:cs="Times New Roman"/>
          <w:sz w:val="24"/>
          <w:szCs w:val="24"/>
        </w:rPr>
        <w:t xml:space="preserve"> </w:t>
      </w:r>
      <w:r w:rsidRPr="00422170">
        <w:rPr>
          <w:rFonts w:ascii="Times New Roman" w:hAnsi="Times New Roman" w:cs="Times New Roman"/>
          <w:sz w:val="24"/>
          <w:szCs w:val="24"/>
        </w:rPr>
        <w:t>further estimates that poor road conditions cost developing countries nearly 2% of their annual GDP, highlighting the critical importance of effective road maintenance investments</w:t>
      </w:r>
      <w:r w:rsidR="001B5EA1" w:rsidRPr="00422170">
        <w:rPr>
          <w:rFonts w:ascii="Times New Roman" w:hAnsi="Times New Roman" w:cs="Times New Roman"/>
          <w:sz w:val="24"/>
          <w:szCs w:val="24"/>
        </w:rPr>
        <w:fldChar w:fldCharType="begin" w:fldLock="1"/>
      </w:r>
      <w:r w:rsidR="00C20589" w:rsidRPr="00422170">
        <w:rPr>
          <w:rFonts w:ascii="Times New Roman" w:hAnsi="Times New Roman" w:cs="Times New Roman"/>
          <w:sz w:val="24"/>
          <w:szCs w:val="24"/>
        </w:rPr>
        <w:instrText>ADDIN CSL_CITATION {"citationItems":[{"id":"ITEM-1","itemData":{"author":[{"dropping-particle":"","family":"Masi","given":"Erlinda","non-dropping-particle":"","parse-names":false,"suffix":""},{"dropping-particle":"","family":"Abidin","given":"Nur Izieadiana","non-dropping-particle":"","parse-names":false,"suffix":""}],"container-title":"ASEAN Engineering Journal","id":"ITEM-1","issue":"5","issued":{"date-parts":[["2025"]]},"page":"9-18","title":"FACTORS IDENTIFICATION FOR STRATEGIC FINANCIAL MANAGEMENT OF AN EFFECTIVE ROAD MAINTENANCE: A REVIEW","type":"article-journal","volume":"2"},"uris":["http://www.mendeley.com/documents/?uuid=a815ac7c-cd3a-401a-af8c-6e6e589853ba"]}],"mendeley":{"formattedCitation":"(Masi &amp; Abidin, 2025)","plainTextFormattedCitation":"(Masi &amp; Abidin, 2025)","previouslyFormattedCitation":"(Masi &amp; Abidin, 2025)"},"properties":{"noteIndex":0},"schema":"https://github.com/citation-style-language/schema/raw/master/csl-citation.json"}</w:instrText>
      </w:r>
      <w:r w:rsidR="001B5EA1" w:rsidRPr="00422170">
        <w:rPr>
          <w:rFonts w:ascii="Times New Roman" w:hAnsi="Times New Roman" w:cs="Times New Roman"/>
          <w:sz w:val="24"/>
          <w:szCs w:val="24"/>
        </w:rPr>
        <w:fldChar w:fldCharType="separate"/>
      </w:r>
      <w:r w:rsidR="001B5EA1" w:rsidRPr="00422170">
        <w:rPr>
          <w:rFonts w:ascii="Times New Roman" w:hAnsi="Times New Roman" w:cs="Times New Roman"/>
          <w:noProof/>
          <w:sz w:val="24"/>
          <w:szCs w:val="24"/>
        </w:rPr>
        <w:t>(Masi &amp; Abidin, 2025)</w:t>
      </w:r>
      <w:r w:rsidR="001B5EA1"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Despite its importance, many developing countries continue to face challenges in road maintenance, including insufficient funding, weak institutional capacity, and limited technical expertise, leading to deteriorating infrastructure that hampers socio-economic development </w:t>
      </w:r>
      <w:r w:rsidR="00C20589" w:rsidRPr="00422170">
        <w:rPr>
          <w:rFonts w:ascii="Times New Roman" w:hAnsi="Times New Roman" w:cs="Times New Roman"/>
          <w:sz w:val="24"/>
          <w:szCs w:val="24"/>
        </w:rPr>
        <w:fldChar w:fldCharType="begin" w:fldLock="1"/>
      </w:r>
      <w:r w:rsidR="00C20589" w:rsidRPr="00422170">
        <w:rPr>
          <w:rFonts w:ascii="Times New Roman" w:hAnsi="Times New Roman" w:cs="Times New Roman"/>
          <w:sz w:val="24"/>
          <w:szCs w:val="24"/>
        </w:rPr>
        <w:instrText>ADDIN CSL_CITATION {"citationItems":[{"id":"ITEM-1","itemData":{"author":[{"dropping-particle":"","family":"Ibanga","given":"Sunday Effiong","non-dropping-particle":"","parse-names":false,"suffix":""},{"dropping-particle":"","family":"Akpan","given":"Anietie Marcus","non-dropping-particle":"","parse-names":false,"suffix":""}],"container-title":"Admiralty Journal of Multidisciplinary Research","id":"ITEM-1","issue":"2","issued":{"date-parts":[["2024"]]},"page":"351-367","title":"Road infrastructure and socio-economic development in Akwa Ibom State, Nigeria","type":"article-journal","volume":"1"},"uris":["http://www.mendeley.com/documents/?uuid=9a90cc7f-2f31-48c6-966b-61d61fee7dec"]}],"mendeley":{"formattedCitation":"(Ibanga &amp; Akpan, 2024)","plainTextFormattedCitation":"(Ibanga &amp; Akpan, 2024)","previouslyFormattedCitation":"(Ibanga &amp; Akpan, 2024)"},"properties":{"noteIndex":0},"schema":"https://github.com/citation-style-language/schema/raw/master/csl-citation.json"}</w:instrText>
      </w:r>
      <w:r w:rsidR="00C20589" w:rsidRPr="00422170">
        <w:rPr>
          <w:rFonts w:ascii="Times New Roman" w:hAnsi="Times New Roman" w:cs="Times New Roman"/>
          <w:sz w:val="24"/>
          <w:szCs w:val="24"/>
        </w:rPr>
        <w:fldChar w:fldCharType="separate"/>
      </w:r>
      <w:r w:rsidR="00C20589" w:rsidRPr="00422170">
        <w:rPr>
          <w:rFonts w:ascii="Times New Roman" w:hAnsi="Times New Roman" w:cs="Times New Roman"/>
          <w:noProof/>
          <w:sz w:val="24"/>
          <w:szCs w:val="24"/>
        </w:rPr>
        <w:t>(Ibanga &amp; Akpan, 2024)</w:t>
      </w:r>
      <w:r w:rsidR="00C2058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In contrast, developed nations often integrate road maintenance into long-term transportation policies and allocate significant resources to ensure network sustainability, such as the United States’ $92 billion annual investment in highway maintenance and Germany’s €5 billion allocation for its Autobahn </w:t>
      </w:r>
      <w:r w:rsidR="00C20589" w:rsidRPr="00422170">
        <w:rPr>
          <w:rFonts w:ascii="Times New Roman" w:hAnsi="Times New Roman" w:cs="Times New Roman"/>
          <w:sz w:val="24"/>
          <w:szCs w:val="24"/>
        </w:rPr>
        <w:fldChar w:fldCharType="begin" w:fldLock="1"/>
      </w:r>
      <w:r w:rsidR="00C20589" w:rsidRPr="00422170">
        <w:rPr>
          <w:rFonts w:ascii="Times New Roman" w:hAnsi="Times New Roman" w:cs="Times New Roman"/>
          <w:sz w:val="24"/>
          <w:szCs w:val="24"/>
        </w:rPr>
        <w:instrText>ADDIN CSL_CITATION {"citationItems":[{"id":"ITEM-1","itemData":{"ISSN":"2519-7711","abstract":"Available Online at: https://iajournals.org/articles/iajispm_v3_i6_443_460.pdf Citation: Chepng'eno, J., Kimutai, G. (2021). Planning and resource allocation as project integrated management skills on sustainability of road projects International Academic Journal of Information Sciences and Project Management, 3(6), 443-460.","author":[{"dropping-particle":"","family":"Chepng","given":"Joan","non-dropping-particle":"","parse-names":false,"suffix":""},{"dropping-particle":"","family":"Kimutai","given":"Gladys","non-dropping-particle":"","parse-names":false,"suffix":""}],"container-title":"International Academic Journal of Information Sciences and Project Management |","id":"ITEM-1","issue":"6","issued":{"date-parts":[["2021"]]},"page":"443-460","title":"Integrated Planning and Resource Allocation As Project Management Skills on Sustainability of Road Projects","type":"article-journal","volume":"3"},"uris":["http://www.mendeley.com/documents/?uuid=bb7fda9f-abba-463b-9996-24c784638575"]}],"mendeley":{"formattedCitation":"(Chepng &amp; Kimutai, 2021)","plainTextFormattedCitation":"(Chepng &amp; Kimutai, 2021)","previouslyFormattedCitation":"(Chepng &amp; Kimutai, 2021)"},"properties":{"noteIndex":0},"schema":"https://github.com/citation-style-language/schema/raw/master/csl-citation.json"}</w:instrText>
      </w:r>
      <w:r w:rsidR="00C20589" w:rsidRPr="00422170">
        <w:rPr>
          <w:rFonts w:ascii="Times New Roman" w:hAnsi="Times New Roman" w:cs="Times New Roman"/>
          <w:sz w:val="24"/>
          <w:szCs w:val="24"/>
        </w:rPr>
        <w:fldChar w:fldCharType="separate"/>
      </w:r>
      <w:r w:rsidR="00C20589" w:rsidRPr="00422170">
        <w:rPr>
          <w:rFonts w:ascii="Times New Roman" w:hAnsi="Times New Roman" w:cs="Times New Roman"/>
          <w:noProof/>
          <w:sz w:val="24"/>
          <w:szCs w:val="24"/>
        </w:rPr>
        <w:t>(Chepng &amp; Kimutai, 2021)</w:t>
      </w:r>
      <w:r w:rsidR="00C2058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While such approaches have enhanced the durability of transport networks, they are not easily replicable in resource-constrained contexts, which necessitates alternative solutions.</w:t>
      </w: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low- and middle-income countries, community participation has emerged as a complementary approach to address maintenance challenges</w:t>
      </w:r>
      <w:r w:rsidR="00C20589" w:rsidRPr="00422170">
        <w:rPr>
          <w:rFonts w:ascii="Times New Roman" w:hAnsi="Times New Roman" w:cs="Times New Roman"/>
          <w:sz w:val="24"/>
          <w:szCs w:val="24"/>
        </w:rPr>
        <w:t xml:space="preserve"> </w:t>
      </w:r>
      <w:r w:rsidR="00C20589" w:rsidRPr="00422170">
        <w:rPr>
          <w:rFonts w:ascii="Times New Roman" w:hAnsi="Times New Roman" w:cs="Times New Roman"/>
          <w:sz w:val="24"/>
          <w:szCs w:val="24"/>
        </w:rPr>
        <w:fldChar w:fldCharType="begin" w:fldLock="1"/>
      </w:r>
      <w:r w:rsidR="00636B39" w:rsidRPr="00422170">
        <w:rPr>
          <w:rFonts w:ascii="Times New Roman" w:hAnsi="Times New Roman" w:cs="Times New Roman"/>
          <w:sz w:val="24"/>
          <w:szCs w:val="24"/>
        </w:rPr>
        <w:instrText>ADDIN CSL_CITATION {"citationItems":[{"id":"ITEM-1","itemData":{"DOI":"10.55329/sdtu9515","ISSN":"20043082","abstract":"This paper gives an overview of the work of PIARC Working Group 3.1.1 ‘Specific road safety issues for LMICs’. The working group performed its activities in the period 2019–2023. We prepared two deliverables: (a) a literature review, and (b) an overview of illustrative examples. The review started from the notion that the road safety problem requires a multi-disciplinary approach. The Safe System approach is generally considered as the central concept for this purpose and this starting point is also taken in this study. However new directions are needed to make the Safe System concept work in LMICs. The period of the first UN Decade of Action for Road Safety has brought us a series of valuable problem analysis and overview articles prepared by a variety of institutions and institutes. As a PIARC working group we did not repeat this effort, but used it as a starting point to indicate which specific issues do require a boost in LMICs for the coming period up to 2030. We concluded that the following 12 issues deserve special attention. Strategical: (i) Sustainable Development Goals integral approach, (ii) safety culture, (iii) road safety management and leadership, (iv) building road safety expertise and science; Tactical: (v) transportation system as a whole, (vi) city design, architecture, land use, rural planning, (vii) cost effectiveness, (viii) legislation and enforcement; Operational: (ix) speed, (x) sustainable safe roads, (xi) vehicles as a Safe System component, (xii) post-crash health care. As a result of our discussions and analyses we also concluded that it is worthwhile and necessary to make a distinction between the issues in terms of levels of approach. Making roads and vehicles safe may be considered as operational safety measures on a component level, whereas city design and transport system issues do represent a more tactical approach. On top of that, organisational and cultural aspects do have a more strategical nature. As in many managerial and planning tasks the distinction between strategical, tactical and operational levels of approach is needed in the road safety field. It illustrates that the Safe System concept asks for a multi-level vision, thus preventing a silo approach with a limited focus on human behaviour, safe roads or vehicle safety. A further analysis for each of the selected issues resulted in priority areas, i.e. topics that deserve special attention in the LMIC context. In a similar line of reasoning we also described…","author":[{"dropping-particle":"","family":"Godthelp","given":"Hans","non-dropping-particle":"","parse-names":false,"suffix":""},{"dropping-particle":"","family":"Ksentini","given":"Ahmed","non-dropping-particle":"","parse-names":false,"suffix":""}],"container-title":"Traffic Safety Research","id":"ITEM-1","issue":"11","issued":{"date-parts":[["2024"]]},"page":"1-23","title":"Specific road safety issues in low-and middle income countries (LMICs): an overview and some illustrative examples","type":"article-journal","volume":"8"},"uris":["http://www.mendeley.com/documents/?uuid=7d27b3c5-4a4b-434f-9402-738ff49d0a5f"]}],"mendeley":{"formattedCitation":"(Godthelp &amp; Ksentini, 2024)","plainTextFormattedCitation":"(Godthelp &amp; Ksentini, 2024)","previouslyFormattedCitation":"(Godthelp &amp; Ksentini, 2024)"},"properties":{"noteIndex":0},"schema":"https://github.com/citation-style-language/schema/raw/master/csl-citation.json"}</w:instrText>
      </w:r>
      <w:r w:rsidR="00C20589" w:rsidRPr="00422170">
        <w:rPr>
          <w:rFonts w:ascii="Times New Roman" w:hAnsi="Times New Roman" w:cs="Times New Roman"/>
          <w:sz w:val="24"/>
          <w:szCs w:val="24"/>
        </w:rPr>
        <w:fldChar w:fldCharType="separate"/>
      </w:r>
      <w:r w:rsidR="00C20589" w:rsidRPr="00422170">
        <w:rPr>
          <w:rFonts w:ascii="Times New Roman" w:hAnsi="Times New Roman" w:cs="Times New Roman"/>
          <w:noProof/>
          <w:sz w:val="24"/>
          <w:szCs w:val="24"/>
        </w:rPr>
        <w:t>(Godthelp &amp; Ksentini, 2024)</w:t>
      </w:r>
      <w:r w:rsidR="00C2058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By involving local residents in planning, execution, and monitoring, governments can increase accountability, reduce costs, and ensure that road projects align with community priorities </w:t>
      </w:r>
      <w:r w:rsidR="00636B39" w:rsidRPr="00422170">
        <w:rPr>
          <w:rFonts w:ascii="Times New Roman" w:hAnsi="Times New Roman" w:cs="Times New Roman"/>
          <w:sz w:val="24"/>
          <w:szCs w:val="24"/>
        </w:rPr>
        <w:fldChar w:fldCharType="begin" w:fldLock="1"/>
      </w:r>
      <w:r w:rsidR="0027103E" w:rsidRPr="00422170">
        <w:rPr>
          <w:rFonts w:ascii="Times New Roman" w:hAnsi="Times New Roman" w:cs="Times New Roman"/>
          <w:sz w:val="24"/>
          <w:szCs w:val="24"/>
        </w:rPr>
        <w:instrText>ADDIN CSL_CITATION {"citationItems":[{"id":"ITEM-1","itemData":{"DOI":"10.61100/adman.v1i2.27","ISSN":"2988-0394","abstract":"Public management is an effort to deliver public services, programmes, and projects that are efficient, effective, and equitable for the community. The planning and decision-making processes of public management are two key aspects in achieving this goal. Traditionally, the planning and decision-making processes of public management are mostly carried out by government officials and internal stakeholders without involving active participation from the community. However, in this increasingly complex and diverse era, community involvement is important and cannot be ignored. This research aims to explore the role of the community in public decision-making and its impact on efficiency, effectiveness and fairness in public service delivery. This research is a literature review that adopts a qualitative method approach, which means it will analyse and interpret data by relying on information and text from various sources. The study results show that community involvement in the planning and decision-making process of public management is a key principle in democratic and participation-based governance. Community participation helps to create a government that is more transparent, accountable, inclusive, and responsive to the needs and aspirations of the people.\r  ","author":[{"dropping-particle":"","family":"Rijal","given":"Syamsu","non-dropping-particle":"","parse-names":false,"suffix":""}],"container-title":"Journal of Contemporary Administration and Management (ADMAN)","id":"ITEM-1","issue":"2","issued":{"date-parts":[["2023"]]},"page":"84-92","title":"The Importance of Community Involvement in Public Management Planning and Decision-Making Processes","type":"article-journal","volume":"1"},"uris":["http://www.mendeley.com/documents/?uuid=7045ac0d-9135-458d-a5b8-acdbac3626fb"]}],"mendeley":{"formattedCitation":"(Rijal, 2023)","plainTextFormattedCitation":"(Rijal, 2023)","previouslyFormattedCitation":"(Rijal, 2023)"},"properties":{"noteIndex":0},"schema":"https://github.com/citation-style-language/schema/raw/master/csl-citation.json"}</w:instrText>
      </w:r>
      <w:r w:rsidR="00636B39" w:rsidRPr="00422170">
        <w:rPr>
          <w:rFonts w:ascii="Times New Roman" w:hAnsi="Times New Roman" w:cs="Times New Roman"/>
          <w:sz w:val="24"/>
          <w:szCs w:val="24"/>
        </w:rPr>
        <w:fldChar w:fldCharType="separate"/>
      </w:r>
      <w:r w:rsidR="00636B39" w:rsidRPr="00422170">
        <w:rPr>
          <w:rFonts w:ascii="Times New Roman" w:hAnsi="Times New Roman" w:cs="Times New Roman"/>
          <w:noProof/>
          <w:sz w:val="24"/>
          <w:szCs w:val="24"/>
        </w:rPr>
        <w:t>(Rijal, 2023)</w:t>
      </w:r>
      <w:r w:rsidR="00636B3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Successful cases such as Brazil’s participatory budgeting and Australia’s Roads to Recovery Program demonstrate how community-driven approaches can improve transparency and foster ownership of infrastructure </w:t>
      </w:r>
      <w:r w:rsidR="0027103E" w:rsidRPr="00422170">
        <w:rPr>
          <w:rFonts w:ascii="Times New Roman" w:hAnsi="Times New Roman" w:cs="Times New Roman"/>
          <w:sz w:val="24"/>
          <w:szCs w:val="24"/>
        </w:rPr>
        <w:fldChar w:fldCharType="begin" w:fldLock="1"/>
      </w:r>
      <w:r w:rsidR="00DA4845" w:rsidRPr="00422170">
        <w:rPr>
          <w:rFonts w:ascii="Times New Roman" w:hAnsi="Times New Roman" w:cs="Times New Roman"/>
          <w:sz w:val="24"/>
          <w:szCs w:val="24"/>
        </w:rPr>
        <w:instrText>ADDIN CSL_CITATION {"citationItems":[{"id":"ITEM-1","itemData":{"DOI":"10.1080/15623599.2020.1768325","ISSN":"15623599","abstract":"The prevailing collective decision in the emerging communities in Sub-Sahara Africa illustrates the paradigm shift from top-down decision making to bottom-up democratic practices in procuring community-based infrastructure, in the era of dwindling financial capacity of government. This paper analyses factors influencing the success of the community-driven project in selected communities surrounding the largest city of Ibadan. We collected survey data through copies of semi-structured questionnaire, backed with an interview. Factor analysis categorizes the major factors into seven groups, including social integration and commitment to the community development project, governance structure and leadership, democracy, selfless services, networking and accountability, openness in selecting professionals for development, and joint agreement. We subject the items of the factors into SWOT analysis to understand the values. Community-based organizations (CBOs) serve as potential means to address infrastructure deficit if CBOs take note of the main factors, use the opportunities that match the strengths, attempt to overcome the weaknesses to attain the opportunities, use the strength to reduce the vulnerability to the threats and prevent the weaknesses to avoid susceptibility to the threats.","author":[{"dropping-particle":"","family":"Gbadegesin","given":"Job Taiwo","non-dropping-particle":"","parse-names":false,"suffix":""},{"dropping-particle":"","family":"Ojekalu","given":"Samson","non-dropping-particle":"","parse-names":false,"suffix":""},{"dropping-particle":"","family":"Komolafe","given":"Markson Opeyemi","non-dropping-particle":"","parse-names":false,"suffix":""},{"dropping-particle":"","family":"Oyewole","given":"Matthew Oluwole","non-dropping-particle":"","parse-names":false,"suffix":""}],"container-title":"International Journal of Construction Management","id":"ITEM-1","issue":"11","issued":{"date-parts":[["2022"]]},"page":"2121-2133","publisher":"Taylor &amp; Francis","title":"Underlying factors for effective collective decision on community-driven infrastructure in developing countries","type":"article-journal","volume":"22"},"uris":["http://www.mendeley.com/documents/?uuid=02d12b9e-301a-4863-9c7d-dddc8416f988"]}],"mendeley":{"formattedCitation":"(Gbadegesin et al., 2022)","plainTextFormattedCitation":"(Gbadegesin et al., 2022)","previouslyFormattedCitation":"(Gbadegesin et al., 2022)"},"properties":{"noteIndex":0},"schema":"https://github.com/citation-style-language/schema/raw/master/csl-citation.json"}</w:instrText>
      </w:r>
      <w:r w:rsidR="0027103E" w:rsidRPr="00422170">
        <w:rPr>
          <w:rFonts w:ascii="Times New Roman" w:hAnsi="Times New Roman" w:cs="Times New Roman"/>
          <w:sz w:val="24"/>
          <w:szCs w:val="24"/>
        </w:rPr>
        <w:fldChar w:fldCharType="separate"/>
      </w:r>
      <w:r w:rsidR="0027103E" w:rsidRPr="00422170">
        <w:rPr>
          <w:rFonts w:ascii="Times New Roman" w:hAnsi="Times New Roman" w:cs="Times New Roman"/>
          <w:noProof/>
          <w:sz w:val="24"/>
          <w:szCs w:val="24"/>
        </w:rPr>
        <w:t>(Gbadegesin et al., 2022)</w:t>
      </w:r>
      <w:r w:rsidR="0027103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However, in </w:t>
      </w:r>
      <w:r w:rsidRPr="00422170">
        <w:rPr>
          <w:rFonts w:ascii="Times New Roman" w:hAnsi="Times New Roman" w:cs="Times New Roman"/>
          <w:sz w:val="24"/>
          <w:szCs w:val="24"/>
        </w:rPr>
        <w:lastRenderedPageBreak/>
        <w:t>developing nations, the outcomes of such initiatives remain inconsistent due to poverty, corruption, and weak governance structures</w:t>
      </w:r>
      <w:r w:rsidR="00DA4845" w:rsidRPr="00422170">
        <w:rPr>
          <w:rFonts w:ascii="Times New Roman" w:hAnsi="Times New Roman" w:cs="Times New Roman"/>
          <w:sz w:val="24"/>
          <w:szCs w:val="24"/>
        </w:rPr>
        <w:t xml:space="preserve"> </w:t>
      </w:r>
      <w:r w:rsidR="00DA4845" w:rsidRPr="00422170">
        <w:rPr>
          <w:rFonts w:ascii="Times New Roman" w:hAnsi="Times New Roman" w:cs="Times New Roman"/>
          <w:sz w:val="24"/>
          <w:szCs w:val="24"/>
        </w:rPr>
        <w:fldChar w:fldCharType="begin" w:fldLock="1"/>
      </w:r>
      <w:r w:rsidR="00DA4845" w:rsidRPr="00422170">
        <w:rPr>
          <w:rFonts w:ascii="Times New Roman" w:hAnsi="Times New Roman" w:cs="Times New Roman"/>
          <w:sz w:val="24"/>
          <w:szCs w:val="24"/>
        </w:rPr>
        <w:instrText>ADDIN CSL_CITATION {"citationItems":[{"id":"ITEM-1","itemData":{"DOI":"10.3390/foods11070924","ISSN":"23048158","abstract":"Developing countries will be home to 85% of the world’s population by 2030. Hence, it is important to ensure food security for them. This effort is not easy, as the number of undernourished people (NUP) in the world has increased. We investigated the impact of food and non-production factors on the NUP in developing countries. This study employed secondary data from 57 developing countries between 2002 and 2018. These countries come from three regions, namely Africa, Asia, and Latin America and the Caribbean. One-step and two-step generalized method of moments (sys-GMM) models were used to analyze the data. The findings showed that the food production index, cereal import dependency ratio, economic globalization index, and human capital index had different effects on the NUP in each region. The excellent news is that corruption control can help developing countries minimize their NUP. Based on the findings, we propose efforts to improve physical and economical food access and control corruption, and developing country governments and the international community must demonstrate a strong commitment to reducing the prevalence of undernourishment.","author":[{"dropping-particle":"","family":"Nugroho","given":"Agus Dwi","non-dropping-particle":"","parse-names":false,"suffix":""},{"dropping-particle":"","family":"Cubillos T.","given":"Julieth P.","non-dropping-particle":"","parse-names":false,"suffix":""},{"dropping-particle":"","family":"Bopushev","given":"Stalbek Toktosunovich","non-dropping-particle":"","parse-names":false,"suffix":""},{"dropping-particle":"","family":"Bozsik","given":"Norbert","non-dropping-particle":"","parse-names":false,"suffix":""},{"dropping-particle":"","family":"Fehér","given":"István","non-dropping-particle":"","parse-names":false,"suffix":""},{"dropping-particle":"","family":"Lakner","given":"Zoltan","non-dropping-particle":"","parse-names":false,"suffix":""}],"container-title":"Foods","id":"ITEM-1","issue":"7","issued":{"date-parts":[["2022"]]},"page":"1-24","title":"Effects of Corruption Control on the Number of Undernourished People in Developing Countries","type":"article-journal","volume":"11"},"uris":["http://www.mendeley.com/documents/?uuid=fe1f8d8f-7e48-4fbc-8463-826dd2073f9c"]}],"mendeley":{"formattedCitation":"(Nugroho et al., 2022)","plainTextFormattedCitation":"(Nugroho et al., 2022)","previouslyFormattedCitation":"(Nugroho et al., 2022)"},"properties":{"noteIndex":0},"schema":"https://github.com/citation-style-language/schema/raw/master/csl-citation.json"}</w:instrText>
      </w:r>
      <w:r w:rsidR="00DA4845" w:rsidRPr="00422170">
        <w:rPr>
          <w:rFonts w:ascii="Times New Roman" w:hAnsi="Times New Roman" w:cs="Times New Roman"/>
          <w:sz w:val="24"/>
          <w:szCs w:val="24"/>
        </w:rPr>
        <w:fldChar w:fldCharType="separate"/>
      </w:r>
      <w:r w:rsidR="00DA4845" w:rsidRPr="00422170">
        <w:rPr>
          <w:rFonts w:ascii="Times New Roman" w:hAnsi="Times New Roman" w:cs="Times New Roman"/>
          <w:noProof/>
          <w:sz w:val="24"/>
          <w:szCs w:val="24"/>
        </w:rPr>
        <w:t>(Nugroho et al., 2022)</w:t>
      </w:r>
      <w:r w:rsidR="00DA4845"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In sub-Saharan Africa, where only 34% of the rural population lives within two kilometres of an all-season road </w:t>
      </w:r>
      <w:r w:rsidR="00DA4845" w:rsidRPr="00422170">
        <w:rPr>
          <w:rFonts w:ascii="Times New Roman" w:hAnsi="Times New Roman" w:cs="Times New Roman"/>
          <w:sz w:val="24"/>
          <w:szCs w:val="24"/>
        </w:rPr>
        <w:fldChar w:fldCharType="begin" w:fldLock="1"/>
      </w:r>
      <w:r w:rsidR="00077DBE" w:rsidRPr="00422170">
        <w:rPr>
          <w:rFonts w:ascii="Times New Roman" w:hAnsi="Times New Roman" w:cs="Times New Roman"/>
          <w:sz w:val="24"/>
          <w:szCs w:val="24"/>
        </w:rPr>
        <w:instrText>ADDIN CSL_CITATION {"citationItems":[{"id":"ITEM-1","itemData":{"DOI":"10.3390/su14042149","ISSN":"20711050","abstract":"The rural transport infrastructure sector is a critical force for sustainable development that is interwoven with many other sectors. Rural transportation is an underlying driver of many of the Sustainable Development Goals (SDGs) and a crucial contributor to many socioeconomic benefits for rural people around the world. This review paper expands upon, enhances, and cross-references the perspectives outlined in previous rural infrastructure-focused review papers. Firstly, this work gives a thorough look into the progress of the rural transportation sector in recent years by focusing on the thematic relationships between infrastructure and other components of sustainable development, namely, economics and agriculture, policy and governance, health, gender, education, and climate change and the environment. Secondly, several strategies, approaches, and tools employed by governments and practitioners within the rural transport sector are analyzed and discussed for their contributions to the wellbeing of rural dwellers in low-and middle-income countries (LMICs). These include rural roads, bridges, maintenance, and non-infrastructural approaches that include concepts such as advanced technological innovations, intermediate modes of transport (IMTs), and transport services. This paper concludes that enhancement, improvement, and extension of rural transportation infrastructure brings significant benefits to rural dwellers. However, this paper also calls for additional integration of the sector and increased usage of systems approaches that view rural transport as an active part of many other sectors and a key leverage point within rural development as a whole. Further, this paper notes areas for future research and investigation, including increased investigation of the relationship between rural transportation infrastructure and education, improved data collection and management in support of improved policymaking, improved prioritization of interventions and institutionalization of maintenance, and expansion of pro-poor transportation strategies and interventions.","author":[{"dropping-particle":"","family":"Kaiser","given":"Noah","non-dropping-particle":"","parse-names":false,"suffix":""},{"dropping-particle":"","family":"Barstow","given":"Christina K.","non-dropping-particle":"","parse-names":false,"suffix":""}],"container-title":"Sustainability (Switzerland)","id":"ITEM-1","issue":"4","issued":{"date-parts":[["2022"]]},"page":"1-48","title":"Rural Transportation Infrastructure in Low-and Middle-Income Countries: A Review of Impacts, Implications, and Interventions","type":"article-journal","volume":"14"},"uris":["http://www.mendeley.com/documents/?uuid=b0529b29-d810-40cb-8feb-7e3065c79552"]}],"mendeley":{"formattedCitation":"(Kaiser &amp; Barstow, 2022)","plainTextFormattedCitation":"(Kaiser &amp; Barstow, 2022)","previouslyFormattedCitation":"(Kaiser &amp; Barstow, 2022)"},"properties":{"noteIndex":0},"schema":"https://github.com/citation-style-language/schema/raw/master/csl-citation.json"}</w:instrText>
      </w:r>
      <w:r w:rsidR="00DA4845" w:rsidRPr="00422170">
        <w:rPr>
          <w:rFonts w:ascii="Times New Roman" w:hAnsi="Times New Roman" w:cs="Times New Roman"/>
          <w:sz w:val="24"/>
          <w:szCs w:val="24"/>
        </w:rPr>
        <w:fldChar w:fldCharType="separate"/>
      </w:r>
      <w:r w:rsidR="00DA4845" w:rsidRPr="00422170">
        <w:rPr>
          <w:rFonts w:ascii="Times New Roman" w:hAnsi="Times New Roman" w:cs="Times New Roman"/>
          <w:noProof/>
          <w:sz w:val="24"/>
          <w:szCs w:val="24"/>
        </w:rPr>
        <w:t>(Kaiser &amp; Barstow, 2022)</w:t>
      </w:r>
      <w:r w:rsidR="00DA4845" w:rsidRPr="00422170">
        <w:rPr>
          <w:rFonts w:ascii="Times New Roman" w:hAnsi="Times New Roman" w:cs="Times New Roman"/>
          <w:sz w:val="24"/>
          <w:szCs w:val="24"/>
        </w:rPr>
        <w:fldChar w:fldCharType="end"/>
      </w:r>
      <w:r w:rsidRPr="00422170">
        <w:rPr>
          <w:rFonts w:ascii="Times New Roman" w:hAnsi="Times New Roman" w:cs="Times New Roman"/>
          <w:sz w:val="24"/>
          <w:szCs w:val="24"/>
        </w:rPr>
        <w:t>, community involvement in road maintenance has gained increasing attention. Programs such as the African Development Bank’s Rural Access and Mobility Program (RAMP) have attempted to embed community participation in road rehabilitation, but results have been mixed due to funding gaps, political instability, and institutional weaknesses</w:t>
      </w:r>
      <w:r w:rsidR="00077DBE" w:rsidRPr="00422170">
        <w:rPr>
          <w:rFonts w:ascii="Times New Roman" w:hAnsi="Times New Roman" w:cs="Times New Roman"/>
          <w:sz w:val="24"/>
          <w:szCs w:val="24"/>
        </w:rPr>
        <w:fldChar w:fldCharType="begin" w:fldLock="1"/>
      </w:r>
      <w:r w:rsidR="002E1210" w:rsidRPr="00422170">
        <w:rPr>
          <w:rFonts w:ascii="Times New Roman" w:hAnsi="Times New Roman" w:cs="Times New Roman"/>
          <w:sz w:val="24"/>
          <w:szCs w:val="24"/>
        </w:rPr>
        <w:instrText>ADDIN CSL_CITATION {"citationItems":[{"id":"ITEM-1","itemData":{"author":[{"dropping-particle":"","family":"Lupton","given":"Nathaniel C.","non-dropping-particle":"","parse-names":false,"suffix":""},{"dropping-particle":"","family":"Behnam","given":"Donya","non-dropping-particle":"","parse-names":false,"suffix":""},{"dropping-particle":"","family":"Jiménez","given":"Alfredo","non-dropping-particle":"","parse-names":false,"suffix":""}],"container-title":"Multinational Business Review","id":"ITEM-1","issue":"3","issued":{"date-parts":[["2021"]]},"page":"1-36","title":"Taking Advantage of Institutional Weakness? Political Stability and Foreign Subsidiary Survival in Primary Industries","type":"article-journal","volume":"2"},"uris":["http://www.mendeley.com/documents/?uuid=50406240-0ef8-4f73-b5bd-ad5176317dee"]}],"mendeley":{"formattedCitation":"(Lupton et al., 2021)","plainTextFormattedCitation":"(Lupton et al., 2021)","previouslyFormattedCitation":"(Lupton et al., 2021)"},"properties":{"noteIndex":0},"schema":"https://github.com/citation-style-language/schema/raw/master/csl-citation.json"}</w:instrText>
      </w:r>
      <w:r w:rsidR="00077DBE" w:rsidRPr="00422170">
        <w:rPr>
          <w:rFonts w:ascii="Times New Roman" w:hAnsi="Times New Roman" w:cs="Times New Roman"/>
          <w:sz w:val="24"/>
          <w:szCs w:val="24"/>
        </w:rPr>
        <w:fldChar w:fldCharType="separate"/>
      </w:r>
      <w:r w:rsidR="00077DBE" w:rsidRPr="00422170">
        <w:rPr>
          <w:rFonts w:ascii="Times New Roman" w:hAnsi="Times New Roman" w:cs="Times New Roman"/>
          <w:noProof/>
          <w:sz w:val="24"/>
          <w:szCs w:val="24"/>
        </w:rPr>
        <w:t>(Lupton et al., 2021)</w:t>
      </w:r>
      <w:r w:rsidR="00077DBE"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44323C" w:rsidRPr="00422170" w:rsidRDefault="0044323C" w:rsidP="008928BB">
      <w:pPr>
        <w:spacing w:after="0" w:line="240" w:lineRule="auto"/>
        <w:jc w:val="both"/>
        <w:rPr>
          <w:rFonts w:ascii="Times New Roman" w:hAnsi="Times New Roman" w:cs="Times New Roman"/>
          <w:sz w:val="24"/>
          <w:szCs w:val="24"/>
        </w:rPr>
      </w:pP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Similarly, in Tanzania, road infrastructure is central to national development, particularly in rural areas where roads provide access to markets, schools, and health services </w:t>
      </w:r>
      <w:r w:rsidR="002E1210" w:rsidRPr="00422170">
        <w:rPr>
          <w:rFonts w:ascii="Times New Roman" w:hAnsi="Times New Roman" w:cs="Times New Roman"/>
          <w:sz w:val="24"/>
          <w:szCs w:val="24"/>
        </w:rPr>
        <w:fldChar w:fldCharType="begin" w:fldLock="1"/>
      </w:r>
      <w:r w:rsidR="002E1210" w:rsidRPr="00422170">
        <w:rPr>
          <w:rFonts w:ascii="Times New Roman" w:hAnsi="Times New Roman" w:cs="Times New Roman"/>
          <w:sz w:val="24"/>
          <w:szCs w:val="24"/>
        </w:rPr>
        <w:instrText>ADDIN CSL_CITATION {"citationItems":[{"id":"ITEM-1","itemData":{"DOI":"10.1093/wber/lhae017","ISSN":"1564698X","abstract":"Spatial isolation is considered to be one of the main determinants of poverty. Therefore, many transport investments are undertaken with the stated objective of poverty reduction. This paper evaluates the effect of a Tanzanian program that rehabilitated 2,500 km of major roads on rural livelihoods. The analysis uses a large set of variables describing household behavior in order to provide a complete picture of the adjustments. The identification consists of combining a household fixed effects strategy with propensity score matching. Some damaging effects of the program are found on the rural population in the two years following the intervention: the price of rice decreases; households reallocate labor away from agriculture and provide more wage work, but the increase in wage income does not compensate for the loss in agricultural income. Nor do households seem to be benefiting from the fall in the price of rice at consumption level. These results are consistent with rural households facing increased competition due to reduced transportation costs.","author":[{"dropping-particle":"","family":"Dumas","given":"Christelle","non-dropping-particle":"","parse-names":false,"suffix":""},{"dropping-particle":"","family":"Játiva","given":"Ximena","non-dropping-particle":"","parse-names":false,"suffix":""}],"container-title":"World Bank Economic Review","id":"ITEM-1","issue":"1","issued":{"date-parts":[["2025"]]},"page":"104-123","title":"Better Roads, Better Off? Evidence on Upgrading Roads in Tanzania","type":"article-journal","volume":"39"},"uris":["http://www.mendeley.com/documents/?uuid=d74b54b4-d050-41ff-bb67-6d91d8524f36"]},{"id":"ITEM-2","itemData":{"author":[{"dropping-particle":"","family":"Almasi","given":"Juma","non-dropping-particle":"","parse-names":false,"suffix":""},{"dropping-particle":"","family":"Rafael","given":"Lucia","non-dropping-particle":"","parse-names":false,"suffix":""}],"container-title":"Asian Journal of Education and Social Studies","id":"ITEM-2","issue":"9","issued":{"date-parts":[["2025"]]},"page":"826-839","title":"Level of Community Participation in Rural Road Maintenance Projects : Insights from Babati District","type":"article-journal","volume":"51"},"uris":["http://www.mendeley.com/documents/?uuid=2da77850-8658-47a2-9fe7-87bc5d7b20f3"]},{"id":"ITEM-3","itemData":{"DOI":"10.56741/jscd.v2i03.1348","author":[{"dropping-particle":"","family":"Mhina","given":"Almasi","non-dropping-particle":"","parse-names":false,"suffix":""},{"dropping-particle":"","family":"Magesa","given":"Rehema","non-dropping-particle":"","parse-names":false,"suffix":""}],"id":"ITEM-3","issue":"03","issued":{"date-parts":[["2025"]]},"page":"166-180","title":"Challenges of Community Participation in Road Maintenance Projects","type":"article-journal","volume":"2"},"uris":["http://www.mendeley.com/documents/?uuid=aaae1b50-368e-412a-80b1-2d559466c4ca"]}],"mendeley":{"formattedCitation":"(Almasi &amp; Rafael, 2025; Dumas &amp; Játiva, 2025; Mhina &amp; Magesa, 2025)","plainTextFormattedCitation":"(Almasi &amp; Rafael, 2025; Dumas &amp; Játiva, 2025; Mhina &amp; Magesa, 2025)","previouslyFormattedCitation":"(Almasi &amp; Rafael, 2025; Dumas &amp; Játiva, 2025; Mhina &amp; Magesa, 2025)"},"properties":{"noteIndex":0},"schema":"https://github.com/citation-style-language/schema/raw/master/csl-citation.json"}</w:instrText>
      </w:r>
      <w:r w:rsidR="002E1210" w:rsidRPr="00422170">
        <w:rPr>
          <w:rFonts w:ascii="Times New Roman" w:hAnsi="Times New Roman" w:cs="Times New Roman"/>
          <w:sz w:val="24"/>
          <w:szCs w:val="24"/>
        </w:rPr>
        <w:fldChar w:fldCharType="separate"/>
      </w:r>
      <w:r w:rsidR="002E1210" w:rsidRPr="00422170">
        <w:rPr>
          <w:rFonts w:ascii="Times New Roman" w:hAnsi="Times New Roman" w:cs="Times New Roman"/>
          <w:noProof/>
          <w:sz w:val="24"/>
          <w:szCs w:val="24"/>
        </w:rPr>
        <w:t>(Almasi &amp; Rafael, 2025; Dumas &amp; Játiva, 2025; Mhina &amp; Magesa, 2025)</w:t>
      </w:r>
      <w:r w:rsidR="002E1210"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Yet, maintenance remains a persistent challenge, with many rural roads falling into disrepair due to inadequate funding, poor planning, and weak institutional oversight </w:t>
      </w:r>
      <w:r w:rsidR="002E1210" w:rsidRPr="00422170">
        <w:rPr>
          <w:rFonts w:ascii="Times New Roman" w:hAnsi="Times New Roman" w:cs="Times New Roman"/>
          <w:sz w:val="24"/>
          <w:szCs w:val="24"/>
        </w:rPr>
        <w:fldChar w:fldCharType="begin" w:fldLock="1"/>
      </w:r>
      <w:r w:rsidR="0079673E" w:rsidRPr="00422170">
        <w:rPr>
          <w:rFonts w:ascii="Times New Roman" w:hAnsi="Times New Roman" w:cs="Times New Roman"/>
          <w:sz w:val="24"/>
          <w:szCs w:val="24"/>
        </w:rPr>
        <w:instrText>ADDIN CSL_CITATION {"citationItems":[{"id":"ITEM-1","itemData":{"DOI":"10.1108/PM-06-2021-0042","ISSN":"02637472","abstract":"Purpose: Infrastructure development and management form the central part of the government's commitment and responsibility to deliver essential services to the communities. However, much focus has been placed on the development aspect, with very little focus on the management and maintenance aspects, causing service delivery problems. This study explores the causes of poor management of immovable municipal infrastructure in South Africa. Design/methodology/approach: A qualitative approach was adopted; thus, a sample of 15 participants consisting of senior municipal workers, local organizations and forums in Ngqushwa Municipality in Eastern Cape were identified and interviewed. The interview data were analyzed using thematic content analysis to determine the common themes and the frequencies. Findings: The study's findings indicate numerous causes of poor municipal infrastructure management, including lack of funding, lack of capacity, poor planning and oversight, lack of By-laws, grant dependency and corruption. The municipality's failure to address these issues has resulted in increased service protests, destruction of public property, interruption of services and loss of confidence in municipal administrations. Research limitations/implications: Although the study concentrated on one municipality, the findings may be applicable to other South African municipalities. Practical implications: To provide efficient services for the inhabitants to curtail aggravated service delivery protests, there is an urgent need for the municipalities to institute effective measures to manage and maintain the infrastructure that serves the communities. Originality/value: The study has identified the factors underpinning ineffective management of the municipalities' facilities and the resultant's effects. Thus, the findings will guide the government and the authorities on the infrastructural management strategies for effective service delivery.","author":[{"dropping-particle":"","family":"Mazele","given":"Odwa","non-dropping-particle":"","parse-names":false,"suffix":""},{"dropping-particle":"","family":"Amoah","given":"Christopher","non-dropping-particle":"","parse-names":false,"suffix":""}],"container-title":"Property Management","id":"ITEM-1","issue":"2","issued":{"date-parts":[["2022"]]},"page":"192-206","title":"The causes of poor infrastructure management and maintenance in South African municipalities","type":"article-journal","volume":"40"},"uris":["http://www.mendeley.com/documents/?uuid=f4184b00-0b86-4758-9125-965987b7d9cf"]},{"id":"ITEM-2","itemData":{"DOI":"10.56741/jscd.v2i03.1348","author":[{"dropping-particle":"","family":"Mhina","given":"Almasi","non-dropping-particle":"","parse-names":false,"suffix":""},{"dropping-particle":"","family":"Magesa","given":"Rehema","non-dropping-particle":"","parse-names":false,"suffix":""}],"id":"ITEM-2","issue":"03","issued":{"date-parts":[["2025"]]},"page":"166-180","title":"Challenges of Community Participation in Road Maintenance Projects","type":"article-journal","volume":"2"},"uris":["http://www.mendeley.com/documents/?uuid=aaae1b50-368e-412a-80b1-2d559466c4ca"]}],"mendeley":{"formattedCitation":"(Mazele &amp; Amoah, 2022; Mhina &amp; Magesa, 2025)","plainTextFormattedCitation":"(Mazele &amp; Amoah, 2022; Mhina &amp; Magesa, 2025)","previouslyFormattedCitation":"(Mazele &amp; Amoah, 2022; Mhina &amp; Magesa, 2025)"},"properties":{"noteIndex":0},"schema":"https://github.com/citation-style-language/schema/raw/master/csl-citation.json"}</w:instrText>
      </w:r>
      <w:r w:rsidR="002E1210" w:rsidRPr="00422170">
        <w:rPr>
          <w:rFonts w:ascii="Times New Roman" w:hAnsi="Times New Roman" w:cs="Times New Roman"/>
          <w:sz w:val="24"/>
          <w:szCs w:val="24"/>
        </w:rPr>
        <w:fldChar w:fldCharType="separate"/>
      </w:r>
      <w:r w:rsidR="002E1210" w:rsidRPr="00422170">
        <w:rPr>
          <w:rFonts w:ascii="Times New Roman" w:hAnsi="Times New Roman" w:cs="Times New Roman"/>
          <w:noProof/>
          <w:sz w:val="24"/>
          <w:szCs w:val="24"/>
        </w:rPr>
        <w:t>(Mazele &amp; Amoah, 2022; Mhina &amp; Magesa, 2025)</w:t>
      </w:r>
      <w:r w:rsidR="002E1210"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The government has attempted to address these gaps through initiatives such as the Tanzania Social Action Fund (TASAF), which integrates community participation into road works </w:t>
      </w:r>
      <w:r w:rsidR="0079673E" w:rsidRPr="00422170">
        <w:rPr>
          <w:rFonts w:ascii="Times New Roman" w:hAnsi="Times New Roman" w:cs="Times New Roman"/>
          <w:sz w:val="24"/>
          <w:szCs w:val="24"/>
        </w:rPr>
        <w:fldChar w:fldCharType="begin" w:fldLock="1"/>
      </w:r>
      <w:r w:rsidR="00294C8F" w:rsidRPr="00422170">
        <w:rPr>
          <w:rFonts w:ascii="Times New Roman" w:hAnsi="Times New Roman" w:cs="Times New Roman"/>
          <w:sz w:val="24"/>
          <w:szCs w:val="24"/>
        </w:rPr>
        <w:instrText>ADDIN CSL_CITATION {"citationItems":[{"id":"ITEM-1","itemData":{"author":[{"dropping-particle":"","family":"Maswe","given":"Godfrey Magorombe Matiku","non-dropping-particle":"","parse-names":false,"suffix":""},{"dropping-particle":"","family":"Malisa","given":"Emmanuel Timothy","non-dropping-particle":"","parse-names":false,"suffix":""},{"dropping-particle":"","family":"Kazuzuru","given":"Benedicto Bhishikana","non-dropping-particle":"","parse-names":false,"suffix":""}],"container-title":"International Journal of Development and Sustainability","id":"ITEM-1","issue":"10","issued":{"date-parts":[["2023"]]},"page":"479-503","title":"Compliance drivers in community economic development projects: Analysis from Tanzania Social Action Fund (TASAF-III) beneficiaries’ perspectives","type":"article-journal","volume":"12"},"uris":["http://www.mendeley.com/documents/?uuid=9c7ff5c5-eb38-400a-a3bf-0e107377e734"]}],"mendeley":{"formattedCitation":"(Maswe et al., 2023)","plainTextFormattedCitation":"(Maswe et al., 2023)","previouslyFormattedCitation":"(Maswe et al., 2023)"},"properties":{"noteIndex":0},"schema":"https://github.com/citation-style-language/schema/raw/master/csl-citation.json"}</w:instrText>
      </w:r>
      <w:r w:rsidR="0079673E" w:rsidRPr="00422170">
        <w:rPr>
          <w:rFonts w:ascii="Times New Roman" w:hAnsi="Times New Roman" w:cs="Times New Roman"/>
          <w:sz w:val="24"/>
          <w:szCs w:val="24"/>
        </w:rPr>
        <w:fldChar w:fldCharType="separate"/>
      </w:r>
      <w:r w:rsidR="0079673E" w:rsidRPr="00422170">
        <w:rPr>
          <w:rFonts w:ascii="Times New Roman" w:hAnsi="Times New Roman" w:cs="Times New Roman"/>
          <w:noProof/>
          <w:sz w:val="24"/>
          <w:szCs w:val="24"/>
        </w:rPr>
        <w:t>(Maswe et al., 2023)</w:t>
      </w:r>
      <w:r w:rsidR="0079673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Nevertheless, results have been uneven, with many projects suffering from low quality standards, inconsistent community participation, and limited long-term sustainability.</w:t>
      </w:r>
    </w:p>
    <w:p w:rsidR="0023637A" w:rsidRPr="00422170" w:rsidRDefault="0023637A" w:rsidP="008928BB">
      <w:pPr>
        <w:spacing w:after="0" w:line="240" w:lineRule="auto"/>
        <w:jc w:val="both"/>
        <w:rPr>
          <w:rFonts w:ascii="Times New Roman" w:hAnsi="Times New Roman" w:cs="Times New Roman"/>
          <w:sz w:val="24"/>
          <w:szCs w:val="24"/>
        </w:rPr>
      </w:pP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This situation underscores a critical problem: although community engagement is widely recognized as a means of addressing resource and capacity constraints in rural road maintenance, the approaches applied in Tanzania have yielded mixed outcomes. Existing studies emphasize the potential benefits of community participation but fall short of identifying innovative engagement strategies that are tailored to the specific socio-economic and institutional realities of rural districts. The research gap therefore lies in the limited understanding of how novel approaches to community engagement can be leveraged to overcome persistent barriers and ensure more sustainable rural road maintenance outcomes.</w:t>
      </w:r>
    </w:p>
    <w:p w:rsidR="002E614B"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Undertaking this study is important because it explores innovative approaches for strengthening community engagement in rural road maintenance within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By focusing on locally relevant strategies, the research contributes to both policy and practice, offering practical insights into how communities can play a more effective role in sustaining rural transport infrastructure. The findings are expected to support Tanzania’s development goals while also providing valuable lessons for other developing nations facing similar challenges in balancing infrastructure sustainability with limited resources.</w:t>
      </w:r>
    </w:p>
    <w:p w:rsidR="000E2E6C" w:rsidRPr="00422170" w:rsidRDefault="000E2E6C" w:rsidP="008928BB">
      <w:pPr>
        <w:spacing w:after="0" w:line="240" w:lineRule="auto"/>
        <w:jc w:val="both"/>
        <w:rPr>
          <w:rFonts w:ascii="Times New Roman" w:hAnsi="Times New Roman" w:cs="Times New Roman"/>
          <w:sz w:val="24"/>
          <w:szCs w:val="24"/>
        </w:rPr>
      </w:pPr>
    </w:p>
    <w:p w:rsidR="000E2E6C" w:rsidRPr="00422170" w:rsidRDefault="000E2E6C" w:rsidP="008928BB">
      <w:pPr>
        <w:spacing w:after="0" w:line="240" w:lineRule="auto"/>
        <w:jc w:val="both"/>
        <w:rPr>
          <w:rFonts w:ascii="Times New Roman" w:hAnsi="Times New Roman" w:cs="Times New Roman"/>
          <w:sz w:val="24"/>
          <w:szCs w:val="24"/>
        </w:rPr>
      </w:pPr>
    </w:p>
    <w:p w:rsidR="002E614B" w:rsidRPr="00422170" w:rsidRDefault="00F472A8"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LITERATURE REVIEW AND THEORETICAL FRAMEWORK</w:t>
      </w:r>
    </w:p>
    <w:p w:rsidR="002973C4" w:rsidRPr="00422170" w:rsidRDefault="002973C4"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Literature Review</w:t>
      </w:r>
    </w:p>
    <w:p w:rsidR="002973C4" w:rsidRPr="00422170" w:rsidRDefault="002973C4"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Several studies have demonstrated that community education and awareness programs can significantly enhance participation in road maintenance activities. </w:t>
      </w:r>
      <w:r w:rsidR="00294C8F" w:rsidRPr="00422170">
        <w:rPr>
          <w:rFonts w:ascii="Times New Roman" w:hAnsi="Times New Roman" w:cs="Times New Roman"/>
          <w:sz w:val="24"/>
          <w:szCs w:val="24"/>
        </w:rPr>
        <w:t xml:space="preserve">Lufeng et al. </w:t>
      </w:r>
      <w:r w:rsidR="00294C8F" w:rsidRPr="00422170">
        <w:rPr>
          <w:rFonts w:ascii="Times New Roman" w:hAnsi="Times New Roman" w:cs="Times New Roman"/>
          <w:sz w:val="24"/>
          <w:szCs w:val="24"/>
        </w:rPr>
        <w:fldChar w:fldCharType="begin" w:fldLock="1"/>
      </w:r>
      <w:r w:rsidR="00363DDB" w:rsidRPr="00422170">
        <w:rPr>
          <w:rFonts w:ascii="Times New Roman" w:hAnsi="Times New Roman" w:cs="Times New Roman"/>
          <w:sz w:val="24"/>
          <w:szCs w:val="24"/>
        </w:rPr>
        <w:instrText>ADDIN CSL_CITATION {"citationItems":[{"id":"ITEM-1","itemData":{"DOI":"10.1108/IJMPB-12-2018-0281","ISSN":"17538386","abstract":"Purpose: The purpose of this paper is to investigate how to improve the effectiveness of public participation in public infrastructure megaprojects (PIMs). Conflicts among stakeholders and uncertainty disrupt the success of PIMs when public participation is ineffective. Design/methodology/approach: Secondhand data are collected to study the effectiveness of public participation in the Beijing–Shenyang High-Speed Rail (China) and the California High-Speed Rail (USA). The employed research method is an inductive case study. Findings: Ineffective public participation can cause schedule and cost overruns and increase uncertainty in PIMs. The ambiguity of meaningful public participation, ineffective participatory approaches and overburden of public participation in environmental impact assessment are the causes of ineffective public participation in PIMs. Research limitations/implications: Public participation has become an essential part in PIMs management. This study looks at the understanding of the relationship between public participation and the success of PIMs. Practical implications: Legislative bodies should perfect the laws to guarantee meaningful public participation. Lead agencies should adopt additional effective participatory approaches to solicit public comments and identify critical voices. A dispute solution mechanism is necessary to solve public participation disputes in PIMs in practice. Originality/value: Stakeholder and uncertainty management are important to the success of PIMs. This study reveals methods to improve the effectiveness of public participation to alleviate the conflicts among stakeholders and reduce uncertainty in PIMs.","author":[{"dropping-particle":"","family":"Wu","given":"Lufeng","non-dropping-particle":"","parse-names":false,"suffix":""},{"dropping-particle":"","family":"Jia","given":"Guangshe","non-dropping-particle":"","parse-names":false,"suffix":""},{"dropping-particle":"","family":"Zhang","given":"Puwei","non-dropping-particle":"","parse-names":false,"suffix":""}],"container-title":"International Journal of Managing Projects in Business","id":"ITEM-1","issue":"7","issued":{"date-parts":[["2020"]]},"page":"1522-1536","title":"Improving the effectiveness of public participation in public infrastructure megaprojects","type":"article-journal","volume":"13"},"suppress-author":1,"uris":["http://www.mendeley.com/documents/?uuid=0bc110ec-f6b6-4203-9ec8-9450dac2f9c6"]}],"mendeley":{"formattedCitation":"(2020)","plainTextFormattedCitation":"(2020)","previouslyFormattedCitation":"(2020)"},"properties":{"noteIndex":0},"schema":"https://github.com/citation-style-language/schema/raw/master/csl-citation.json"}</w:instrText>
      </w:r>
      <w:r w:rsidR="00294C8F" w:rsidRPr="00422170">
        <w:rPr>
          <w:rFonts w:ascii="Times New Roman" w:hAnsi="Times New Roman" w:cs="Times New Roman"/>
          <w:sz w:val="24"/>
          <w:szCs w:val="24"/>
        </w:rPr>
        <w:fldChar w:fldCharType="separate"/>
      </w:r>
      <w:r w:rsidR="00294C8F" w:rsidRPr="00422170">
        <w:rPr>
          <w:rFonts w:ascii="Times New Roman" w:hAnsi="Times New Roman" w:cs="Times New Roman"/>
          <w:noProof/>
          <w:sz w:val="24"/>
          <w:szCs w:val="24"/>
        </w:rPr>
        <w:t>(2020)</w:t>
      </w:r>
      <w:r w:rsidR="00294C8F"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observed that structured awareness campaigns within public infrastructure projects led to a measurable increase in voluntary participation. Moreover, the integration of digital technologies, such as Geographic Information Systems (GIS) and mobile reporting applications, has facilitated more efficient community involvement in monitoring road conditions. </w:t>
      </w:r>
      <w:r w:rsidR="00363DDB" w:rsidRPr="00422170">
        <w:rPr>
          <w:rFonts w:ascii="Times New Roman" w:hAnsi="Times New Roman" w:cs="Times New Roman"/>
          <w:sz w:val="24"/>
          <w:szCs w:val="24"/>
        </w:rPr>
        <w:t xml:space="preserve">Johnson et al. </w:t>
      </w:r>
      <w:r w:rsidR="00363DDB" w:rsidRPr="00422170">
        <w:rPr>
          <w:rFonts w:ascii="Times New Roman" w:hAnsi="Times New Roman" w:cs="Times New Roman"/>
          <w:sz w:val="24"/>
          <w:szCs w:val="24"/>
        </w:rPr>
        <w:fldChar w:fldCharType="begin" w:fldLock="1"/>
      </w:r>
      <w:r w:rsidR="00363DDB" w:rsidRPr="00422170">
        <w:rPr>
          <w:rFonts w:ascii="Times New Roman" w:hAnsi="Times New Roman" w:cs="Times New Roman"/>
          <w:sz w:val="24"/>
          <w:szCs w:val="24"/>
        </w:rPr>
        <w:instrText>ADDIN CSL_CITATION {"citationItems":[{"id":"ITEM-1","itemData":{"author":[{"dropping-particle":"","family":"Johnson","given":"Omoniyi Babatunde","non-dropping-particle":"","parse-names":false,"suffix":""},{"dropping-particle":"","family":"Olamijuwon","given":"Jeremiah","non-dropping-particle":"","parse-names":false,"suffix":""},{"dropping-particle":"","family":"Cadet","given":"","non-dropping-particle":"","parse-names":false,"suffix":""},{"dropping-particle":"","family":"Emmanuel","given":"","non-dropping-particle":"","parse-names":false,"suffix":""},{"dropping-particle":"","family":"Osundare","given":"","non-dropping-particle":"","parse-names":false,"suffix":""},{"dropping-particle":"","family":"Soji","given":"Olajide","non-dropping-particle":"","parse-names":false,"suffix":""},{"dropping-particle":"","family":"Weldegeorgise","given":"","non-dropping-particle":"","parse-names":false,"suffix":""},{"dropping-particle":"","family":"Wondaferew","given":"Yodit","non-dropping-particle":"","parse-names":false,"suffix":""}],"container-title":"International Journal Of Engineering Research And Development","id":"ITEM-1","issue":"11","issued":{"date-parts":[["2024"]]},"page":"1296-1304","title":"Developing Real-Time Monitoring Models to Enhance Operational Support and Improve Incident Response Times","type":"article-journal","volume":"20"},"suppress-author":1,"uris":["http://www.mendeley.com/documents/?uuid=1120d80f-f856-4662-9f42-6c782d59e040"]}],"mendeley":{"formattedCitation":"(2024)","plainTextFormattedCitation":"(2024)","previouslyFormattedCitation":"(2024)"},"properties":{"noteIndex":0},"schema":"https://github.com/citation-style-language/schema/raw/master/csl-citation.json"}</w:instrText>
      </w:r>
      <w:r w:rsidR="00363DDB" w:rsidRPr="00422170">
        <w:rPr>
          <w:rFonts w:ascii="Times New Roman" w:hAnsi="Times New Roman" w:cs="Times New Roman"/>
          <w:sz w:val="24"/>
          <w:szCs w:val="24"/>
        </w:rPr>
        <w:fldChar w:fldCharType="separate"/>
      </w:r>
      <w:r w:rsidR="00363DDB" w:rsidRPr="00422170">
        <w:rPr>
          <w:rFonts w:ascii="Times New Roman" w:hAnsi="Times New Roman" w:cs="Times New Roman"/>
          <w:noProof/>
          <w:sz w:val="24"/>
          <w:szCs w:val="24"/>
        </w:rPr>
        <w:t>(2024)</w:t>
      </w:r>
      <w:r w:rsidR="00363DDB" w:rsidRPr="00422170">
        <w:rPr>
          <w:rFonts w:ascii="Times New Roman" w:hAnsi="Times New Roman" w:cs="Times New Roman"/>
          <w:sz w:val="24"/>
          <w:szCs w:val="24"/>
        </w:rPr>
        <w:fldChar w:fldCharType="end"/>
      </w:r>
      <w:r w:rsidR="00363DDB" w:rsidRPr="00422170">
        <w:rPr>
          <w:rFonts w:ascii="Times New Roman" w:hAnsi="Times New Roman" w:cs="Times New Roman"/>
          <w:sz w:val="24"/>
          <w:szCs w:val="24"/>
        </w:rPr>
        <w:t xml:space="preserve"> </w:t>
      </w:r>
      <w:proofErr w:type="spellStart"/>
      <w:r w:rsidRPr="00422170">
        <w:rPr>
          <w:rFonts w:ascii="Times New Roman" w:hAnsi="Times New Roman" w:cs="Times New Roman"/>
          <w:sz w:val="24"/>
          <w:szCs w:val="24"/>
        </w:rPr>
        <w:t>hlighted</w:t>
      </w:r>
      <w:proofErr w:type="spellEnd"/>
      <w:r w:rsidRPr="00422170">
        <w:rPr>
          <w:rFonts w:ascii="Times New Roman" w:hAnsi="Times New Roman" w:cs="Times New Roman"/>
          <w:sz w:val="24"/>
          <w:szCs w:val="24"/>
        </w:rPr>
        <w:t xml:space="preserve"> that these tools enabled real-time reporting of infrastructure defects, improving the timeliness and effectiveness of maintenance interventions. In addition, incen</w:t>
      </w:r>
      <w:r w:rsidR="00B120D6" w:rsidRPr="00422170">
        <w:rPr>
          <w:rFonts w:ascii="Times New Roman" w:hAnsi="Times New Roman" w:cs="Times New Roman"/>
          <w:sz w:val="24"/>
          <w:szCs w:val="24"/>
        </w:rPr>
        <w:t xml:space="preserve">tive-based participation models </w:t>
      </w:r>
      <w:r w:rsidRPr="00422170">
        <w:rPr>
          <w:rFonts w:ascii="Times New Roman" w:hAnsi="Times New Roman" w:cs="Times New Roman"/>
          <w:sz w:val="24"/>
          <w:szCs w:val="24"/>
        </w:rPr>
        <w:t>including both fina</w:t>
      </w:r>
      <w:r w:rsidR="00B120D6" w:rsidRPr="00422170">
        <w:rPr>
          <w:rFonts w:ascii="Times New Roman" w:hAnsi="Times New Roman" w:cs="Times New Roman"/>
          <w:sz w:val="24"/>
          <w:szCs w:val="24"/>
        </w:rPr>
        <w:t xml:space="preserve">ncial and non-financial rewards </w:t>
      </w:r>
      <w:r w:rsidRPr="00422170">
        <w:rPr>
          <w:rFonts w:ascii="Times New Roman" w:hAnsi="Times New Roman" w:cs="Times New Roman"/>
          <w:sz w:val="24"/>
          <w:szCs w:val="24"/>
        </w:rPr>
        <w:t xml:space="preserve">have proven effective in sustaining long-term engagement. </w:t>
      </w:r>
      <w:r w:rsidR="00363DDB" w:rsidRPr="00422170">
        <w:rPr>
          <w:rFonts w:ascii="Times New Roman" w:hAnsi="Times New Roman" w:cs="Times New Roman"/>
          <w:sz w:val="24"/>
          <w:szCs w:val="24"/>
        </w:rPr>
        <w:t xml:space="preserve">Marson et al. </w:t>
      </w:r>
      <w:r w:rsidR="00363DDB" w:rsidRPr="00422170">
        <w:rPr>
          <w:rFonts w:ascii="Times New Roman" w:hAnsi="Times New Roman" w:cs="Times New Roman"/>
          <w:sz w:val="24"/>
          <w:szCs w:val="24"/>
        </w:rPr>
        <w:fldChar w:fldCharType="begin" w:fldLock="1"/>
      </w:r>
      <w:r w:rsidR="00731381" w:rsidRPr="00422170">
        <w:rPr>
          <w:rFonts w:ascii="Times New Roman" w:hAnsi="Times New Roman" w:cs="Times New Roman"/>
          <w:sz w:val="24"/>
          <w:szCs w:val="24"/>
        </w:rPr>
        <w:instrText>ADDIN CSL_CITATION {"citationItems":[{"id":"ITEM-1","itemData":{"DOI":"10.35335/laweco.v17i3.44","ISSN":"1829-6688","abstract":"This research investigates the impact of social assistance programs on the economic welfare of families within urban settings. It aims to discern the relationship between the utilization of social assistance programs and economic conditions, explore disparities in impact across socioeconomic strata, delve into the lived experiences of program beneficiaries, and provide recommendations for more equitable and effective policy implementation. A mixed-methods approach is employed, combining quantitative and qualitative methods. Quantitative data is collected through surveys and government records, while qualitative data is gathered via interviews and focus groups. The analysis encompasses statistical techniques and thematic coding. The research reveals a positive correlation between social assistance programs and economic improvements in urban households. It uncovers disparities in impact across income strata, with a more pronounced effect on lower-income families. Qualitative insights validate the experiences of program beneficiaries, emphasizing the programs' importance in providing essential resources and education support. The study's findings have substantial implications for policymakers, program administrators, and urban communities. Policymakers are urged to create more targeted, nuanced, and adaptive programs, administrators should streamline administrative processes and support adequacy, and communities are empowered to engage in program design. This research underscores the potential for a more responsive, equitable, and inclusive social assistance framework","author":[{"dropping-particle":"","family":"Marson","given":"Ferrant","non-dropping-particle":"","parse-names":false,"suffix":""},{"dropping-particle":"","family":"Eagly","given":"Pesando","non-dropping-particle":"","parse-names":false,"suffix":""},{"dropping-particle":"","family":"Russell","given":"Omvedt Morini","non-dropping-particle":"","parse-names":false,"suffix":""}],"container-title":"Law and Economics","id":"ITEM-1","issue":"3","issued":{"date-parts":[["2023"]]},"page":"186-202","title":"Impact of Social Assistance Programs on Family Economic Welfare in Urban Environments: An Analysis of Equity and Community Engagement","type":"article-journal","volume":"17"},"suppress-author":1,"uris":["http://www.mendeley.com/documents/?uuid=c82a5d8c-4979-46ea-aa47-cbf67e3c7237"]}],"mendeley":{"formattedCitation":"(2023)","plainTextFormattedCitation":"(2023)","previouslyFormattedCitation":"(2023)"},"properties":{"noteIndex":0},"schema":"https://github.com/citation-style-language/schema/raw/master/csl-citation.json"}</w:instrText>
      </w:r>
      <w:r w:rsidR="00363DDB" w:rsidRPr="00422170">
        <w:rPr>
          <w:rFonts w:ascii="Times New Roman" w:hAnsi="Times New Roman" w:cs="Times New Roman"/>
          <w:sz w:val="24"/>
          <w:szCs w:val="24"/>
        </w:rPr>
        <w:fldChar w:fldCharType="separate"/>
      </w:r>
      <w:r w:rsidR="00363DDB" w:rsidRPr="00422170">
        <w:rPr>
          <w:rFonts w:ascii="Times New Roman" w:hAnsi="Times New Roman" w:cs="Times New Roman"/>
          <w:noProof/>
          <w:sz w:val="24"/>
          <w:szCs w:val="24"/>
        </w:rPr>
        <w:t>(2023)</w:t>
      </w:r>
      <w:r w:rsidR="00363DDB" w:rsidRPr="00422170">
        <w:rPr>
          <w:rFonts w:ascii="Times New Roman" w:hAnsi="Times New Roman" w:cs="Times New Roman"/>
          <w:sz w:val="24"/>
          <w:szCs w:val="24"/>
        </w:rPr>
        <w:fldChar w:fldCharType="end"/>
      </w:r>
      <w:r w:rsidR="00363DDB" w:rsidRPr="00422170">
        <w:rPr>
          <w:rFonts w:ascii="Times New Roman" w:hAnsi="Times New Roman" w:cs="Times New Roman"/>
          <w:sz w:val="24"/>
          <w:szCs w:val="24"/>
        </w:rPr>
        <w:t xml:space="preserve"> </w:t>
      </w:r>
      <w:r w:rsidRPr="00422170">
        <w:rPr>
          <w:rFonts w:ascii="Times New Roman" w:hAnsi="Times New Roman" w:cs="Times New Roman"/>
          <w:sz w:val="24"/>
          <w:szCs w:val="24"/>
        </w:rPr>
        <w:t xml:space="preserve">found that well-designed incentive programs </w:t>
      </w:r>
      <w:r w:rsidRPr="00422170">
        <w:rPr>
          <w:rFonts w:ascii="Times New Roman" w:hAnsi="Times New Roman" w:cs="Times New Roman"/>
          <w:sz w:val="24"/>
          <w:szCs w:val="24"/>
        </w:rPr>
        <w:lastRenderedPageBreak/>
        <w:t>encouraged enduring community commitment, emphasizing the importance of tailoring engagement strategies to local socio-economic contexts.</w:t>
      </w:r>
    </w:p>
    <w:p w:rsidR="00363DDB" w:rsidRPr="00422170" w:rsidRDefault="00363DDB" w:rsidP="008928BB">
      <w:pPr>
        <w:spacing w:after="0" w:line="240" w:lineRule="auto"/>
        <w:jc w:val="both"/>
        <w:rPr>
          <w:rFonts w:ascii="Times New Roman" w:hAnsi="Times New Roman" w:cs="Times New Roman"/>
          <w:sz w:val="24"/>
          <w:szCs w:val="24"/>
        </w:rPr>
      </w:pPr>
    </w:p>
    <w:p w:rsidR="002973C4" w:rsidRPr="00422170" w:rsidRDefault="002973C4"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Despite these potential benefits, several challenges hinder the effectiveness of such strategies, particularly regarding accessibility, governance, and sustainability. In some regions, limited access to digital technologies constrains the impact of mobile-based monitoring tools.</w:t>
      </w:r>
      <w:r w:rsidR="00731381" w:rsidRPr="00422170">
        <w:rPr>
          <w:rFonts w:ascii="Times New Roman" w:hAnsi="Times New Roman" w:cs="Times New Roman"/>
          <w:sz w:val="24"/>
          <w:szCs w:val="24"/>
        </w:rPr>
        <w:t xml:space="preserve"> </w:t>
      </w:r>
      <w:proofErr w:type="spellStart"/>
      <w:r w:rsidR="00731381" w:rsidRPr="00422170">
        <w:rPr>
          <w:rFonts w:ascii="Times New Roman" w:hAnsi="Times New Roman" w:cs="Times New Roman"/>
          <w:sz w:val="24"/>
          <w:szCs w:val="24"/>
        </w:rPr>
        <w:t>Sindakis</w:t>
      </w:r>
      <w:proofErr w:type="spellEnd"/>
      <w:r w:rsidR="00731381" w:rsidRPr="00422170">
        <w:rPr>
          <w:rFonts w:ascii="Times New Roman" w:hAnsi="Times New Roman" w:cs="Times New Roman"/>
          <w:sz w:val="24"/>
          <w:szCs w:val="24"/>
        </w:rPr>
        <w:t xml:space="preserve"> and </w:t>
      </w:r>
      <w:proofErr w:type="spellStart"/>
      <w:r w:rsidR="00731381" w:rsidRPr="00422170">
        <w:rPr>
          <w:rFonts w:ascii="Times New Roman" w:hAnsi="Times New Roman" w:cs="Times New Roman"/>
          <w:sz w:val="24"/>
          <w:szCs w:val="24"/>
        </w:rPr>
        <w:t>S</w:t>
      </w:r>
      <w:r w:rsidR="006E4929" w:rsidRPr="00422170">
        <w:rPr>
          <w:rFonts w:ascii="Times New Roman" w:hAnsi="Times New Roman" w:cs="Times New Roman"/>
          <w:sz w:val="24"/>
          <w:szCs w:val="24"/>
        </w:rPr>
        <w:t>howkat</w:t>
      </w:r>
      <w:proofErr w:type="spellEnd"/>
      <w:r w:rsidR="006E4929" w:rsidRPr="00422170">
        <w:rPr>
          <w:rFonts w:ascii="Times New Roman" w:hAnsi="Times New Roman" w:cs="Times New Roman"/>
          <w:sz w:val="24"/>
          <w:szCs w:val="24"/>
        </w:rPr>
        <w:t xml:space="preserve"> </w:t>
      </w:r>
      <w:r w:rsidR="00731381" w:rsidRPr="00422170">
        <w:rPr>
          <w:rFonts w:ascii="Times New Roman" w:hAnsi="Times New Roman" w:cs="Times New Roman"/>
          <w:sz w:val="24"/>
          <w:szCs w:val="24"/>
        </w:rPr>
        <w:fldChar w:fldCharType="begin" w:fldLock="1"/>
      </w:r>
      <w:r w:rsidR="00625E63" w:rsidRPr="00422170">
        <w:rPr>
          <w:rFonts w:ascii="Times New Roman" w:hAnsi="Times New Roman" w:cs="Times New Roman"/>
          <w:sz w:val="24"/>
          <w:szCs w:val="24"/>
        </w:rPr>
        <w:instrText>ADDIN CSL_CITATION {"citationItems":[{"id":"ITEM-1","itemData":{"DOI":"10.1186/s13731-024-00380-w","ISSN":"21925372","abstract":"This study investigates the factors that influence the adoption of digital technology in rural areas of India, with a focus on the Digital India Program (DIP). By analyzing the age distribution, education levels, technology adoption rates, and utilization patterns among rural populations, this research provides insights into the effectiveness of the DIP in targeting specific demographics and promoting digital inclusion. Quantitative data were collected from 400 respondents in Kalahandi District in the Odisha state of India. The data collected were analyzed using SPSS. The findings reveal a predominantly young population in rural India, indicating a workforce with significant economic potential and a higher likelihood of embracing digital technologies. Moreover, the study highlights the high levels of education among respondents, indicating a population well-equipped to understand and benefit from digital initiatives. Unexpectedly, the research shows a higher rate of digital technology adoption among female respondents, challenging the perception of gender disparities in technology access. This finding suggests that the DIP has played a vital role in bridging the gender gap and empowering women in rural areas. Additionally, the study uncovers a trend towards mobile-based services over computer-based services, signaling a shift in technology utilization patterns. This emphasizes the need to prioritize mobile technology and improve connectivity in rural areas to ensure wider access to digital platforms.","author":[{"dropping-particle":"","family":"Sindakis","given":"Stavros","non-dropping-particle":"","parse-names":false,"suffix":""},{"dropping-particle":"","family":"Showkat","given":"Gazal","non-dropping-particle":"","parse-names":false,"suffix":""}],"container-title":"Journal of Innovation and Entrepreneurship","id":"ITEM-1","issue":"1","issued":{"date-parts":[["2024"]]},"page":"1-28","publisher":"Springer Berlin Heidelberg","title":"The digital revolution in India: bridging the gap in rural technology adoption","type":"article-journal","volume":"13"},"suppress-author":1,"uris":["http://www.mendeley.com/documents/?uuid=cd6c7ca3-83f8-44c2-90c3-08c65350427e"]}],"mendeley":{"formattedCitation":"(2024)","plainTextFormattedCitation":"(2024)","previouslyFormattedCitation":"(2024)"},"properties":{"noteIndex":0},"schema":"https://github.com/citation-style-language/schema/raw/master/csl-citation.json"}</w:instrText>
      </w:r>
      <w:r w:rsidR="00731381" w:rsidRPr="00422170">
        <w:rPr>
          <w:rFonts w:ascii="Times New Roman" w:hAnsi="Times New Roman" w:cs="Times New Roman"/>
          <w:sz w:val="24"/>
          <w:szCs w:val="24"/>
        </w:rPr>
        <w:fldChar w:fldCharType="separate"/>
      </w:r>
      <w:r w:rsidR="00731381" w:rsidRPr="00422170">
        <w:rPr>
          <w:rFonts w:ascii="Times New Roman" w:hAnsi="Times New Roman" w:cs="Times New Roman"/>
          <w:noProof/>
          <w:sz w:val="24"/>
          <w:szCs w:val="24"/>
        </w:rPr>
        <w:t>(2024)</w:t>
      </w:r>
      <w:r w:rsidR="00731381"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reported that unreliable internet connectivity and low smartphone penetration rates significantly affected the adoption of digital solutions for road maintenance. Similarly, financial limitations can compromise incentive-driven participation models. </w:t>
      </w:r>
      <w:proofErr w:type="spellStart"/>
      <w:r w:rsidR="00625E63" w:rsidRPr="00422170">
        <w:rPr>
          <w:rFonts w:ascii="Times New Roman" w:hAnsi="Times New Roman" w:cs="Times New Roman"/>
          <w:sz w:val="24"/>
          <w:szCs w:val="24"/>
        </w:rPr>
        <w:t>Ayibam</w:t>
      </w:r>
      <w:proofErr w:type="spellEnd"/>
      <w:r w:rsidR="00625E63" w:rsidRPr="00422170">
        <w:rPr>
          <w:rFonts w:ascii="Times New Roman" w:hAnsi="Times New Roman" w:cs="Times New Roman"/>
          <w:sz w:val="24"/>
          <w:szCs w:val="24"/>
        </w:rPr>
        <w:t xml:space="preserve"> </w:t>
      </w:r>
      <w:r w:rsidR="00625E63" w:rsidRPr="00422170">
        <w:rPr>
          <w:rFonts w:ascii="Times New Roman" w:hAnsi="Times New Roman" w:cs="Times New Roman"/>
          <w:sz w:val="24"/>
          <w:szCs w:val="24"/>
        </w:rPr>
        <w:fldChar w:fldCharType="begin" w:fldLock="1"/>
      </w:r>
      <w:r w:rsidR="00D477C1" w:rsidRPr="00422170">
        <w:rPr>
          <w:rFonts w:ascii="Times New Roman" w:hAnsi="Times New Roman" w:cs="Times New Roman"/>
          <w:sz w:val="24"/>
          <w:szCs w:val="24"/>
        </w:rPr>
        <w:instrText>ADDIN CSL_CITATION {"citationItems":[{"id":"ITEM-1","itemData":{"author":[{"dropping-particle":"","family":"Ayibam","given":"Joanna Nyaposowo","non-dropping-particle":"","parse-names":false,"suffix":""}],"container-title":"Pinisi Journal of Art, Humanity and Social Studies","id":"ITEM-1","issue":"6","issued":{"date-parts":[["2023"]]},"page":"409-419","title":"Key Legal and Policy Initiatives to Strengthen U.S. Public Infrastructure and Economic Stability","type":"article-journal","volume":"3"},"suppress-author":1,"uris":["http://www.mendeley.com/documents/?uuid=591e0a87-45ae-4c40-bb5d-1e55c92ff9c9"]}],"mendeley":{"formattedCitation":"(2023)","plainTextFormattedCitation":"(2023)","previouslyFormattedCitation":"(2023)"},"properties":{"noteIndex":0},"schema":"https://github.com/citation-style-language/schema/raw/master/csl-citation.json"}</w:instrText>
      </w:r>
      <w:r w:rsidR="00625E63" w:rsidRPr="00422170">
        <w:rPr>
          <w:rFonts w:ascii="Times New Roman" w:hAnsi="Times New Roman" w:cs="Times New Roman"/>
          <w:sz w:val="24"/>
          <w:szCs w:val="24"/>
        </w:rPr>
        <w:fldChar w:fldCharType="separate"/>
      </w:r>
      <w:r w:rsidR="00625E63" w:rsidRPr="00422170">
        <w:rPr>
          <w:rFonts w:ascii="Times New Roman" w:hAnsi="Times New Roman" w:cs="Times New Roman"/>
          <w:noProof/>
          <w:sz w:val="24"/>
          <w:szCs w:val="24"/>
        </w:rPr>
        <w:t>(2023)</w:t>
      </w:r>
      <w:r w:rsidR="00625E63" w:rsidRPr="00422170">
        <w:rPr>
          <w:rFonts w:ascii="Times New Roman" w:hAnsi="Times New Roman" w:cs="Times New Roman"/>
          <w:sz w:val="24"/>
          <w:szCs w:val="24"/>
        </w:rPr>
        <w:fldChar w:fldCharType="end"/>
      </w:r>
      <w:r w:rsidR="00625E63" w:rsidRPr="00422170">
        <w:rPr>
          <w:rFonts w:ascii="Times New Roman" w:hAnsi="Times New Roman" w:cs="Times New Roman"/>
          <w:sz w:val="24"/>
          <w:szCs w:val="24"/>
        </w:rPr>
        <w:t xml:space="preserve"> </w:t>
      </w:r>
      <w:r w:rsidRPr="00422170">
        <w:rPr>
          <w:rFonts w:ascii="Times New Roman" w:hAnsi="Times New Roman" w:cs="Times New Roman"/>
          <w:sz w:val="24"/>
          <w:szCs w:val="24"/>
        </w:rPr>
        <w:t>found that while monetary incentives initially increased engagement, their long-term sustainability was often undermined by inconsistent funding mechanisms. Public-private partnerships (PPPs) have been explored as an alternative mechanism to strengthen engagement, particularly where government resources are l</w:t>
      </w:r>
      <w:r w:rsidR="00D477C1" w:rsidRPr="00422170">
        <w:rPr>
          <w:rFonts w:ascii="Times New Roman" w:hAnsi="Times New Roman" w:cs="Times New Roman"/>
          <w:sz w:val="24"/>
          <w:szCs w:val="24"/>
        </w:rPr>
        <w:t xml:space="preserve">imited. Uddin </w:t>
      </w:r>
      <w:r w:rsidR="00D477C1" w:rsidRPr="00422170">
        <w:rPr>
          <w:rFonts w:ascii="Times New Roman" w:hAnsi="Times New Roman" w:cs="Times New Roman"/>
          <w:sz w:val="24"/>
          <w:szCs w:val="24"/>
        </w:rPr>
        <w:fldChar w:fldCharType="begin" w:fldLock="1"/>
      </w:r>
      <w:r w:rsidR="00AE2C7C" w:rsidRPr="00422170">
        <w:rPr>
          <w:rFonts w:ascii="Times New Roman" w:hAnsi="Times New Roman" w:cs="Times New Roman"/>
          <w:sz w:val="24"/>
          <w:szCs w:val="24"/>
        </w:rPr>
        <w:instrText>ADDIN CSL_CITATION {"citationItems":[{"id":"ITEM-1","itemData":{"DOI":"10.37275/oaijss.v8i1.280","abstract":"Rapid urbanization in Bangladesh places significant pressure on City Corporations to effectively plan and implement urban development projects, often in collaboration with national agencies. However, coordination failures are prevalent, leading to significant costs and hindering urban development. This study investigates the challenges in service delivery coordination faced by City Corporations in Bangladesh, focusing on Cumilla and Dhaka as case studies to understand the complexities of coordination in varying urban contexts. A qualitative research approach was employed, involving semi-structured interviews with 110 stakeholders across both cities. This included 40 City Corporation officials, 30 government agency representatives, and 70 community representatives, ensuring a multi-faceted understanding of the issue. Data was analyzed using thematic analysis and interpretive techniques to identify recurring patterns and themes related to coordination challenges, their consequences, and potential solutions. Rigor and trustworthiness were ensured through data triangulation, member checking, and reflexivity. The study identified several key coordination challenges, including dysfunctional coordination committees, power struggles between City Corporations and national agencies, non-compliance with regulations, unclear roles and responsibilities, dual control over tasks, breaches of agreements, political interference, self-serving leadership, and inadequate corrective measures. These challenges hinder project progress and negatively impact citizens, leading to subpar work quality, project delays, funding withdrawals, poor service delivery, financial waste, and increased public distress. In conclusion, this study underscores the urgent need for improved coordination mechanisms, accountability frameworks, and capacity-building initiatives to enhance urban development and service delivery in Bangladesh.","author":[{"dropping-particle":"","family":"Md Zia Uddin","given":"","non-dropping-particle":"","parse-names":false,"suffix":""}],"container-title":"Open Access Indonesia Journal of Social Sciences","id":"ITEM-1","issue":"1","issued":{"date-parts":[["2024"]]},"page":"1922-1936","title":"The Cost of Coordination Failures: Impacts on Urban Development Projects and Citizen Services in Bangladesh","type":"article-journal","volume":"8"},"suppress-author":1,"uris":["http://www.mendeley.com/documents/?uuid=443c8d22-c0df-4a5d-b387-c51c881fc2ca"]}],"mendeley":{"formattedCitation":"(2024)","plainTextFormattedCitation":"(2024)","previouslyFormattedCitation":"(2024)"},"properties":{"noteIndex":0},"schema":"https://github.com/citation-style-language/schema/raw/master/csl-citation.json"}</w:instrText>
      </w:r>
      <w:r w:rsidR="00D477C1" w:rsidRPr="00422170">
        <w:rPr>
          <w:rFonts w:ascii="Times New Roman" w:hAnsi="Times New Roman" w:cs="Times New Roman"/>
          <w:sz w:val="24"/>
          <w:szCs w:val="24"/>
        </w:rPr>
        <w:fldChar w:fldCharType="separate"/>
      </w:r>
      <w:r w:rsidR="00D477C1" w:rsidRPr="00422170">
        <w:rPr>
          <w:rFonts w:ascii="Times New Roman" w:hAnsi="Times New Roman" w:cs="Times New Roman"/>
          <w:noProof/>
          <w:sz w:val="24"/>
          <w:szCs w:val="24"/>
        </w:rPr>
        <w:t>(2024)</w:t>
      </w:r>
      <w:r w:rsidR="00D477C1" w:rsidRPr="00422170">
        <w:rPr>
          <w:rFonts w:ascii="Times New Roman" w:hAnsi="Times New Roman" w:cs="Times New Roman"/>
          <w:sz w:val="24"/>
          <w:szCs w:val="24"/>
        </w:rPr>
        <w:fldChar w:fldCharType="end"/>
      </w:r>
      <w:r w:rsidR="00D477C1" w:rsidRPr="00422170">
        <w:rPr>
          <w:rFonts w:ascii="Times New Roman" w:hAnsi="Times New Roman" w:cs="Times New Roman"/>
          <w:sz w:val="24"/>
          <w:szCs w:val="24"/>
        </w:rPr>
        <w:t xml:space="preserve"> </w:t>
      </w:r>
      <w:r w:rsidRPr="00422170">
        <w:rPr>
          <w:rFonts w:ascii="Times New Roman" w:hAnsi="Times New Roman" w:cs="Times New Roman"/>
          <w:sz w:val="24"/>
          <w:szCs w:val="24"/>
        </w:rPr>
        <w:t>demonstrated that collaborations between public agencies and private entities enhanced the efficiency of maintenance efforts, although bureaucratic inefficiencies and misaligned priorities sometimes slowed progress.</w:t>
      </w:r>
    </w:p>
    <w:p w:rsidR="00363DDB" w:rsidRPr="00422170" w:rsidRDefault="00363DDB" w:rsidP="008928BB">
      <w:pPr>
        <w:spacing w:after="0" w:line="240" w:lineRule="auto"/>
        <w:jc w:val="both"/>
        <w:rPr>
          <w:rFonts w:ascii="Times New Roman" w:hAnsi="Times New Roman" w:cs="Times New Roman"/>
          <w:sz w:val="24"/>
          <w:szCs w:val="24"/>
        </w:rPr>
      </w:pPr>
    </w:p>
    <w:p w:rsidR="002973C4" w:rsidRPr="00422170" w:rsidRDefault="002973C4"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Empirical evidence further underscores the critical role of capacity-building initiatives in promoting community engagement. Training programs aimed at equipping community members with technical skills have been shown to improve both participation and p</w:t>
      </w:r>
      <w:r w:rsidR="00AE2C7C" w:rsidRPr="00422170">
        <w:rPr>
          <w:rFonts w:ascii="Times New Roman" w:hAnsi="Times New Roman" w:cs="Times New Roman"/>
          <w:sz w:val="24"/>
          <w:szCs w:val="24"/>
        </w:rPr>
        <w:t xml:space="preserve">roject outcomes. Brian and Olango </w:t>
      </w:r>
      <w:r w:rsidR="00AE2C7C" w:rsidRPr="00422170">
        <w:rPr>
          <w:rFonts w:ascii="Times New Roman" w:hAnsi="Times New Roman" w:cs="Times New Roman"/>
          <w:sz w:val="24"/>
          <w:szCs w:val="24"/>
        </w:rPr>
        <w:fldChar w:fldCharType="begin" w:fldLock="1"/>
      </w:r>
      <w:r w:rsidR="001302B5" w:rsidRPr="00422170">
        <w:rPr>
          <w:rFonts w:ascii="Times New Roman" w:hAnsi="Times New Roman" w:cs="Times New Roman"/>
          <w:sz w:val="24"/>
          <w:szCs w:val="24"/>
        </w:rPr>
        <w:instrText>ADDIN CSL_CITATION {"citationItems":[{"id":"ITEM-1","itemData":{"DOI":"10.53819/81018102t2424","author":[{"dropping-particle":"","family":"Brian","given":"Saya","non-dropping-particle":"","parse-names":false,"suffix":""},{"dropping-particle":"","family":"Olango","given":"Onyango Jacob","non-dropping-particle":"","parse-names":false,"suffix":""}],"container-title":"Journal of Entrepreneurship &amp; Project Management","id":"ITEM-1","issue":"6","issued":{"date-parts":[["2024"]]},"page":"88-112","title":"Project Contractors’ Capacity and Performance of Road Construction Projects in Uasin Gishu County, Kenya","type":"article-journal","volume":"8"},"suppress-author":1,"uris":["http://www.mendeley.com/documents/?uuid=77e401e2-0572-4e41-88b0-e7bc301fb268"]}],"mendeley":{"formattedCitation":"(2024)","plainTextFormattedCitation":"(2024)","previouslyFormattedCitation":"(2024)"},"properties":{"noteIndex":0},"schema":"https://github.com/citation-style-language/schema/raw/master/csl-citation.json"}</w:instrText>
      </w:r>
      <w:r w:rsidR="00AE2C7C" w:rsidRPr="00422170">
        <w:rPr>
          <w:rFonts w:ascii="Times New Roman" w:hAnsi="Times New Roman" w:cs="Times New Roman"/>
          <w:sz w:val="24"/>
          <w:szCs w:val="24"/>
        </w:rPr>
        <w:fldChar w:fldCharType="separate"/>
      </w:r>
      <w:r w:rsidR="00AE2C7C" w:rsidRPr="00422170">
        <w:rPr>
          <w:rFonts w:ascii="Times New Roman" w:hAnsi="Times New Roman" w:cs="Times New Roman"/>
          <w:noProof/>
          <w:sz w:val="24"/>
          <w:szCs w:val="24"/>
        </w:rPr>
        <w:t>(2024)</w:t>
      </w:r>
      <w:r w:rsidR="00AE2C7C" w:rsidRPr="00422170">
        <w:rPr>
          <w:rFonts w:ascii="Times New Roman" w:hAnsi="Times New Roman" w:cs="Times New Roman"/>
          <w:sz w:val="24"/>
          <w:szCs w:val="24"/>
        </w:rPr>
        <w:fldChar w:fldCharType="end"/>
      </w:r>
      <w:r w:rsidR="00AE2C7C" w:rsidRPr="00422170">
        <w:rPr>
          <w:rFonts w:ascii="Times New Roman" w:hAnsi="Times New Roman" w:cs="Times New Roman"/>
          <w:sz w:val="24"/>
          <w:szCs w:val="24"/>
        </w:rPr>
        <w:t xml:space="preserve"> </w:t>
      </w:r>
      <w:r w:rsidRPr="00422170">
        <w:rPr>
          <w:rFonts w:ascii="Times New Roman" w:hAnsi="Times New Roman" w:cs="Times New Roman"/>
          <w:sz w:val="24"/>
          <w:szCs w:val="24"/>
        </w:rPr>
        <w:t>reported that structured capacity-building efforts resulted in higher-quality maintenance work and increased community ownership of projects. However, the effectiveness of such initiatives often depends on sustained insti</w:t>
      </w:r>
      <w:r w:rsidR="001302B5" w:rsidRPr="00422170">
        <w:rPr>
          <w:rFonts w:ascii="Times New Roman" w:hAnsi="Times New Roman" w:cs="Times New Roman"/>
          <w:sz w:val="24"/>
          <w:szCs w:val="24"/>
        </w:rPr>
        <w:t xml:space="preserve">tutional support. Sharp et al. </w:t>
      </w:r>
      <w:r w:rsidR="001302B5" w:rsidRPr="00422170">
        <w:rPr>
          <w:rFonts w:ascii="Times New Roman" w:hAnsi="Times New Roman" w:cs="Times New Roman"/>
          <w:sz w:val="24"/>
          <w:szCs w:val="24"/>
        </w:rPr>
        <w:fldChar w:fldCharType="begin" w:fldLock="1"/>
      </w:r>
      <w:r w:rsidR="0031292C" w:rsidRPr="00422170">
        <w:rPr>
          <w:rFonts w:ascii="Times New Roman" w:hAnsi="Times New Roman" w:cs="Times New Roman"/>
          <w:sz w:val="24"/>
          <w:szCs w:val="24"/>
        </w:rPr>
        <w:instrText>ADDIN CSL_CITATION {"citationItems":[{"id":"ITEM-1","itemData":{"DOI":"10.1371/journal.pgph.0003293","ISBN":"1111111111","ISSN":"27673375","abstract":"Achieving the global HIV, tuberculosis, and malaria targets will require innovative strategies to deliver high quality and person-centered health services. Community-led monitoring (CLM) is a rapidly proliferating health systems strengthening intervention for improving healthcare services and documenting human rights violations, through social empowerment and political accountability. Driven in part by increasing financial support from donors, a growing number of countries are implementing CLM programs. This study aimed to identify early challenges and lessons learned from CLM implementation, with the aim of informing and improving the implementation of CLM programs and ultimately achieving greater impact on the delivery of services. Twenty-five CLM implementors representing 21 countries participated in an interview. Early generation of buy-in from diverse stakeholders was noted as critical for CLM success. Leveraging existing networks of service users and community organizations to implement CLM also helped to maximize program reach and resources. Uncertainty around CLM’s purpose and roles among CLM stakeholders resulted in challenges to community leadership and ownership of programs. Respondents also described challenges with underfunded programs, especially advocacy components, and inflexible donor funding mechanisms. Critical capacity gaps remain around advocacy and electronic data collection and use. With the rapid expansion of CLM, this study serves as an important first step in characterizing challenges and successes in the CLM landscape. Successful implementation of CLM requires prioritizing community ownership and leadership, donor commitment to sustainable and reliable funding, and strengthened support of programs across the data collection and advocacy lifecycle.","author":[{"dropping-particle":"","family":"Sharp","given":"Alana R.","non-dropping-particle":"","parse-names":false,"suffix":""},{"dropping-particle":"","family":"Mpofu","given":"Ngqabutho","non-dropping-particle":"","parse-names":false,"suffix":""},{"dropping-particle":"","family":"Lankiewicz","given":"Elise","non-dropping-particle":"","parse-names":false,"suffix":""},{"dropping-particle":"","family":"Ajonye","given":"Beatrice","non-dropping-particle":"","parse-names":false,"suffix":""},{"dropping-particle":"","family":"Rambau","given":"Ndivhuwo P.","non-dropping-particle":"","parse-names":false,"suffix":""},{"dropping-particle":"","family":"Dringus","given":"Stefanie","non-dropping-particle":"","parse-names":false,"suffix":""},{"dropping-particle":"","family":"Honermann","given":"Brian","non-dropping-particle":"","parse-names":false,"suffix":""},{"dropping-particle":"","family":"Erondu","given":"Ngozi","non-dropping-particle":"","parse-names":false,"suffix":""},{"dropping-particle":"","family":"Russell","given":"Asia","non-dropping-particle":"","parse-names":false,"suffix":""},{"dropping-particle":"","family":"Mwehonge","given":"Kenneth","non-dropping-particle":"","parse-names":false,"suffix":""},{"dropping-particle":"","family":"Aguiar","given":"Cláudia","non-dropping-particle":"","parse-names":false,"suffix":""},{"dropping-particle":"","family":"Ledan","given":"Naïké","non-dropping-particle":"","parse-names":false,"suffix":""},{"dropping-particle":"","family":"Kavanagh","given":"Matthew M.","non-dropping-particle":"","parse-names":false,"suffix":""}],"container-title":"PLOS Global Public Health","id":"ITEM-1","issue":"6","issued":{"date-parts":[["2024"]]},"page":"1-14","title":"Facilitators and barriers to community-led monitoring of health programs: Qualitative evidence from the global implementation landscape","type":"article-journal","volume":"4"},"suppress-author":1,"uris":["http://www.mendeley.com/documents/?uuid=ef4c89fc-84a6-484e-8149-34568e4b7dc4"]}],"mendeley":{"formattedCitation":"(2024)","plainTextFormattedCitation":"(2024)","previouslyFormattedCitation":"(2024)"},"properties":{"noteIndex":0},"schema":"https://github.com/citation-style-language/schema/raw/master/csl-citation.json"}</w:instrText>
      </w:r>
      <w:r w:rsidR="001302B5" w:rsidRPr="00422170">
        <w:rPr>
          <w:rFonts w:ascii="Times New Roman" w:hAnsi="Times New Roman" w:cs="Times New Roman"/>
          <w:sz w:val="24"/>
          <w:szCs w:val="24"/>
        </w:rPr>
        <w:fldChar w:fldCharType="separate"/>
      </w:r>
      <w:r w:rsidR="001302B5" w:rsidRPr="00422170">
        <w:rPr>
          <w:rFonts w:ascii="Times New Roman" w:hAnsi="Times New Roman" w:cs="Times New Roman"/>
          <w:noProof/>
          <w:sz w:val="24"/>
          <w:szCs w:val="24"/>
        </w:rPr>
        <w:t>(2024)</w:t>
      </w:r>
      <w:r w:rsidR="001302B5" w:rsidRPr="00422170">
        <w:rPr>
          <w:rFonts w:ascii="Times New Roman" w:hAnsi="Times New Roman" w:cs="Times New Roman"/>
          <w:sz w:val="24"/>
          <w:szCs w:val="24"/>
        </w:rPr>
        <w:fldChar w:fldCharType="end"/>
      </w:r>
      <w:r w:rsidRPr="00422170">
        <w:rPr>
          <w:rFonts w:ascii="Times New Roman" w:hAnsi="Times New Roman" w:cs="Times New Roman"/>
          <w:sz w:val="24"/>
          <w:szCs w:val="24"/>
        </w:rPr>
        <w:t>noted that in the absence of continuous governmental oversight, community-led efforts tend to decline over time.</w:t>
      </w:r>
    </w:p>
    <w:p w:rsidR="00363DDB" w:rsidRPr="00422170" w:rsidRDefault="00363DDB" w:rsidP="008928BB">
      <w:pPr>
        <w:spacing w:after="0" w:line="240" w:lineRule="auto"/>
        <w:jc w:val="both"/>
        <w:rPr>
          <w:rFonts w:ascii="Times New Roman" w:hAnsi="Times New Roman" w:cs="Times New Roman"/>
          <w:sz w:val="24"/>
          <w:szCs w:val="24"/>
        </w:rPr>
      </w:pPr>
    </w:p>
    <w:p w:rsidR="002973C4" w:rsidRPr="00422170" w:rsidRDefault="002973C4"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Structured awareness campaigns also have a positive influence on participation trends. </w:t>
      </w:r>
      <w:r w:rsidR="0031292C" w:rsidRPr="00422170">
        <w:rPr>
          <w:rFonts w:ascii="Times New Roman" w:hAnsi="Times New Roman" w:cs="Times New Roman"/>
          <w:sz w:val="24"/>
          <w:szCs w:val="24"/>
        </w:rPr>
        <w:t xml:space="preserve">Goel et al. </w:t>
      </w:r>
      <w:r w:rsidR="0031292C" w:rsidRPr="00422170">
        <w:rPr>
          <w:rFonts w:ascii="Times New Roman" w:hAnsi="Times New Roman" w:cs="Times New Roman"/>
          <w:sz w:val="24"/>
          <w:szCs w:val="24"/>
        </w:rPr>
        <w:fldChar w:fldCharType="begin" w:fldLock="1"/>
      </w:r>
      <w:r w:rsidR="00A60CE6" w:rsidRPr="00422170">
        <w:rPr>
          <w:rFonts w:ascii="Times New Roman" w:hAnsi="Times New Roman" w:cs="Times New Roman"/>
          <w:sz w:val="24"/>
          <w:szCs w:val="24"/>
        </w:rPr>
        <w:instrText>ADDIN CSL_CITATION {"citationItems":[{"id":"ITEM-1","itemData":{"DOI":"10.1002/cl2.1367","ISSN":"18911803","abstract":"Background: Road Traffic injuries (RTI) are among the top ten leading causes of death in the world resulting in 1.35 million deaths every year, about 93% of which occur in low- and middle-income countries (LMICs). Despite several global resolutions to reduce traffic injuries, they have continued to grow in many countries. Many high-income countries have successfully reduced RTI by using a public health approach and implementing evidence-based interventions. As many LMICs develop their highway infrastructure, adopting a similar scientific approach towards road safety is crucial. The evidence also needs to be evaluated to assess external validity because measures that have worked in high-income countries may not translate equally well to other contexts. An evidence gap map for RTI is the first step towards understanding what evidence is available, from where, and the key gaps in knowledge. Objectives: The objective of this evidence gap map (EGM) is to identify existing evidence from all effectiveness studies and systematic reviews related to road safety interventions. In addition, the EGM identifies gaps in evidence where new primary studies and systematic reviews could add value. This will help direct future research and discussions based on systematic evidence towards the approaches and interventions which are most effective in the road safety sector. This could enable the generation of evidence for informing policy at global, regional or national levels. Search Methods: The EGM includes systematic reviews and impact evaluations assessing the effect of interventions for RTI reported in academic databases, organization websites, and grey literature sources. The studies were searched up to December 2019. Selection Criteria: The interventions were divided into five broad categories: (a) human factors (e.g., enforcement or road user education), (b) road design, infrastructure and traffic control, (c) legal and institutional framework, (d) post-crash pre-hospital care, and (e) vehicle factors (except car design for occupant protection) and protective devices. Included studies reported two primary outcomes: fatal crashes and non-fatal injury crashes; and four intermediate outcomes: change in use of seat belts, change in use of helmets, change in speed, and change in alcohol/drug use. Studies were excluded if they did not report injury or fatality as one of the outcomes. Data Collection and Analysis: The EGM is presented in the form of a matrix with two primar…","author":[{"dropping-particle":"","family":"Goel","given":"Rahul","non-dropping-particle":"","parse-names":false,"suffix":""},{"dropping-particle":"","family":"Tiwari","given":"Geetam","non-dropping-particle":"","parse-names":false,"suffix":""},{"dropping-particle":"","family":"Varghese","given":"Mathew","non-dropping-particle":"","parse-names":false,"suffix":""},{"dropping-particle":"","family":"Bhalla","given":"Kavi","non-dropping-particle":"","parse-names":false,"suffix":""},{"dropping-particle":"","family":"Agrawal","given":"Girish","non-dropping-particle":"","parse-names":false,"suffix":""},{"dropping-particle":"","family":"Saini","given":"Guneet","non-dropping-particle":"","parse-names":false,"suffix":""},{"dropping-particle":"","family":"Jha","given":"Abhaya","non-dropping-particle":"","parse-names":false,"suffix":""},{"dropping-particle":"","family":"John","given":"Denny","non-dropping-particle":"","parse-names":false,"suffix":""},{"dropping-particle":"","family":"Saran","given":"Ashrita","non-dropping-particle":"","parse-names":false,"suffix":""},{"dropping-particle":"","family":"White","given":"Howard","non-dropping-particle":"","parse-names":false,"suffix":""},{"dropping-particle":"","family":"Mohan","given":"Dinesh","non-dropping-particle":"","parse-names":false,"suffix":""}],"container-title":"Campbell Systematic Reviews","id":"ITEM-1","issue":"1","issued":{"date-parts":[["2024"]]},"page":"1-261","title":"Effectiveness of road safety interventions: An evidence and gap map","type":"article-journal","volume":"20"},"suppress-author":1,"uris":["http://www.mendeley.com/documents/?uuid=9e2c1016-f33e-430b-9d33-ba085c66b506"]}],"mendeley":{"formattedCitation":"(2024)","plainTextFormattedCitation":"(2024)","previouslyFormattedCitation":"(2024)"},"properties":{"noteIndex":0},"schema":"https://github.com/citation-style-language/schema/raw/master/csl-citation.json"}</w:instrText>
      </w:r>
      <w:r w:rsidR="0031292C" w:rsidRPr="00422170">
        <w:rPr>
          <w:rFonts w:ascii="Times New Roman" w:hAnsi="Times New Roman" w:cs="Times New Roman"/>
          <w:sz w:val="24"/>
          <w:szCs w:val="24"/>
        </w:rPr>
        <w:fldChar w:fldCharType="separate"/>
      </w:r>
      <w:r w:rsidR="0031292C" w:rsidRPr="00422170">
        <w:rPr>
          <w:rFonts w:ascii="Times New Roman" w:hAnsi="Times New Roman" w:cs="Times New Roman"/>
          <w:noProof/>
          <w:sz w:val="24"/>
          <w:szCs w:val="24"/>
        </w:rPr>
        <w:t>(2024)</w:t>
      </w:r>
      <w:r w:rsidR="0031292C"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highlighted that targeted sensitization programs raised awareness of road maintenance responsibilities, resulting in improved participation rates. </w:t>
      </w:r>
      <w:r w:rsidR="00A60CE6" w:rsidRPr="00422170">
        <w:rPr>
          <w:rFonts w:ascii="Times New Roman" w:hAnsi="Times New Roman" w:cs="Times New Roman"/>
          <w:sz w:val="24"/>
          <w:szCs w:val="24"/>
        </w:rPr>
        <w:t xml:space="preserve">Similarly, </w:t>
      </w:r>
      <w:proofErr w:type="spellStart"/>
      <w:r w:rsidR="00A60CE6" w:rsidRPr="00422170">
        <w:rPr>
          <w:rFonts w:ascii="Times New Roman" w:hAnsi="Times New Roman" w:cs="Times New Roman"/>
          <w:sz w:val="24"/>
          <w:szCs w:val="24"/>
        </w:rPr>
        <w:t>Bilderback</w:t>
      </w:r>
      <w:proofErr w:type="spellEnd"/>
      <w:r w:rsidR="00A60CE6" w:rsidRPr="00422170">
        <w:rPr>
          <w:rFonts w:ascii="Times New Roman" w:hAnsi="Times New Roman" w:cs="Times New Roman"/>
          <w:sz w:val="24"/>
          <w:szCs w:val="24"/>
        </w:rPr>
        <w:t xml:space="preserve"> </w:t>
      </w:r>
      <w:r w:rsidR="00A60CE6" w:rsidRPr="00422170">
        <w:rPr>
          <w:rFonts w:ascii="Times New Roman" w:hAnsi="Times New Roman" w:cs="Times New Roman"/>
          <w:sz w:val="24"/>
          <w:szCs w:val="24"/>
        </w:rPr>
        <w:fldChar w:fldCharType="begin" w:fldLock="1"/>
      </w:r>
      <w:r w:rsidR="00A0139F" w:rsidRPr="00422170">
        <w:rPr>
          <w:rFonts w:ascii="Times New Roman" w:hAnsi="Times New Roman" w:cs="Times New Roman"/>
          <w:sz w:val="24"/>
          <w:szCs w:val="24"/>
        </w:rPr>
        <w:instrText>ADDIN CSL_CITATION {"citationItems":[{"id":"ITEM-1","itemData":{"DOI":"10.1108/EJTD-01-2023-0005","ISSN":"20469020","abstract":"Purpose: This paper aims to emphasize integrating training for organizational sustainability with the United Nation’s (UN’s) Sustainable Development Goals (SDGs). It shows how SDGs can be included in the training, development programs and incentives to promote sustainable practices. It guides organizations to set long-term sustainability objectives to stay competitive and adapt to changing conditions. Design/methodology/approach: The paper conducts a review of the literature on the topic of integrating training for organizational sustainability with the SDGs. The research includes investigating the 17 SDGs and their specific areas of improvement, the benefits and challenges of integrating training for organizational sustainability with the SDGs and the best practices of organizations that have successfully integrated training for organizational sustainability with the SDGs. Findings: The findings of this study were obtained through a systematic review of literature on the topics of human resource development, corporate social responsibility, organizational sustainability and the integration of training to promote sustainable and ethical behavior. A total of 36 articles were selected from a pool of 120 articles identified through a comprehensive search of electronic databases such as Scopus, Web of Science and Google Scholar. The selected articles were analyzed in detail, and information from the UN was also incorporated into the analysis. The review focused on examining the impact of integrating sustainability training with the SDGs on organizational sustainability. The results of this analysis suggest that integrating sustainability training with SDGs has a positive impact on organizations. This impact includes promoting sustainable practices, improving employee satisfaction and productivity, reducing environmental impact and enhancing the organization’s reputation. The study found that regular progress reviews and long-term objectives are essential for organizations to remain competitive and adapt to changes. Originality/value: This paper offers a comprehensive analysis of the 17 SDGs and how they can be integrated with training for organizational sustainability. It provides practical guidance for organizations on effectively incorporating the SDGs into their training and development programs, performance evaluations and incentives. The paper also includes case studies and best practices of organizations that have successfully integrated training for …","author":[{"dropping-particle":"","family":"Bilderback","given":"Stephanie","non-dropping-particle":"","parse-names":false,"suffix":""}],"container-title":"European Journal of Training and Development","id":"ITEM-1","issue":"7-8","issued":{"date-parts":[["2024"]]},"page":"730-748","title":"Integrating training for organizational sustainability: the application of Sustainable Development Goals globally","type":"article-journal","volume":"48"},"suppress-author":1,"uris":["http://www.mendeley.com/documents/?uuid=15c2d4c0-09da-4b13-ae1e-3428883f0efe"]}],"mendeley":{"formattedCitation":"(2024)","plainTextFormattedCitation":"(2024)","previouslyFormattedCitation":"(2024)"},"properties":{"noteIndex":0},"schema":"https://github.com/citation-style-language/schema/raw/master/csl-citation.json"}</w:instrText>
      </w:r>
      <w:r w:rsidR="00A60CE6" w:rsidRPr="00422170">
        <w:rPr>
          <w:rFonts w:ascii="Times New Roman" w:hAnsi="Times New Roman" w:cs="Times New Roman"/>
          <w:sz w:val="24"/>
          <w:szCs w:val="24"/>
        </w:rPr>
        <w:fldChar w:fldCharType="separate"/>
      </w:r>
      <w:r w:rsidR="00A60CE6" w:rsidRPr="00422170">
        <w:rPr>
          <w:rFonts w:ascii="Times New Roman" w:hAnsi="Times New Roman" w:cs="Times New Roman"/>
          <w:noProof/>
          <w:sz w:val="24"/>
          <w:szCs w:val="24"/>
        </w:rPr>
        <w:t>(2024)</w:t>
      </w:r>
      <w:r w:rsidR="00A60CE6" w:rsidRPr="00422170">
        <w:rPr>
          <w:rFonts w:ascii="Times New Roman" w:hAnsi="Times New Roman" w:cs="Times New Roman"/>
          <w:sz w:val="24"/>
          <w:szCs w:val="24"/>
        </w:rPr>
        <w:fldChar w:fldCharType="end"/>
      </w:r>
      <w:r w:rsidRPr="00422170">
        <w:rPr>
          <w:rFonts w:ascii="Times New Roman" w:hAnsi="Times New Roman" w:cs="Times New Roman"/>
          <w:sz w:val="24"/>
          <w:szCs w:val="24"/>
        </w:rPr>
        <w:t>emphasized the importance of integrating training programs with structured incentives to create a more sustainable engagement model. Collectively, these findings indicat</w:t>
      </w:r>
      <w:r w:rsidR="00B120D6" w:rsidRPr="00422170">
        <w:rPr>
          <w:rFonts w:ascii="Times New Roman" w:hAnsi="Times New Roman" w:cs="Times New Roman"/>
          <w:sz w:val="24"/>
          <w:szCs w:val="24"/>
        </w:rPr>
        <w:t xml:space="preserve">e that a multi-faceted approach </w:t>
      </w:r>
      <w:r w:rsidRPr="00422170">
        <w:rPr>
          <w:rFonts w:ascii="Times New Roman" w:hAnsi="Times New Roman" w:cs="Times New Roman"/>
          <w:sz w:val="24"/>
          <w:szCs w:val="24"/>
        </w:rPr>
        <w:t>combining education, technology, financial incentives, a</w:t>
      </w:r>
      <w:r w:rsidR="00B120D6" w:rsidRPr="00422170">
        <w:rPr>
          <w:rFonts w:ascii="Times New Roman" w:hAnsi="Times New Roman" w:cs="Times New Roman"/>
          <w:sz w:val="24"/>
          <w:szCs w:val="24"/>
        </w:rPr>
        <w:t xml:space="preserve">nd strong institutional support </w:t>
      </w:r>
      <w:r w:rsidRPr="00422170">
        <w:rPr>
          <w:rFonts w:ascii="Times New Roman" w:hAnsi="Times New Roman" w:cs="Times New Roman"/>
          <w:sz w:val="24"/>
          <w:szCs w:val="24"/>
        </w:rPr>
        <w:t>is essential to foster meaningful and sustained community participation in road maintenance projects.</w:t>
      </w:r>
    </w:p>
    <w:p w:rsidR="00A60CE6" w:rsidRPr="00422170" w:rsidRDefault="00A60CE6" w:rsidP="008928BB">
      <w:pPr>
        <w:spacing w:after="0" w:line="240" w:lineRule="auto"/>
        <w:jc w:val="both"/>
        <w:rPr>
          <w:rFonts w:ascii="Times New Roman" w:hAnsi="Times New Roman" w:cs="Times New Roman"/>
          <w:sz w:val="24"/>
          <w:szCs w:val="24"/>
        </w:rPr>
      </w:pPr>
    </w:p>
    <w:p w:rsidR="002973C4" w:rsidRPr="00422170" w:rsidRDefault="002973C4"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Theoretical Framework</w:t>
      </w:r>
    </w:p>
    <w:p w:rsidR="00B120D6" w:rsidRPr="00422170" w:rsidRDefault="00B120D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This study was guided by Participatory Development Theory (PDT), which provides critical insights into the role of community participation in rural road maintenance projects. PDT was conceptualised by Paulo Freire, a Brazilian educator and philosopher, in the 1970s </w:t>
      </w:r>
      <w:r w:rsidR="00A0139F" w:rsidRPr="00422170">
        <w:rPr>
          <w:rFonts w:ascii="Times New Roman" w:hAnsi="Times New Roman" w:cs="Times New Roman"/>
          <w:sz w:val="24"/>
          <w:szCs w:val="24"/>
        </w:rPr>
        <w:fldChar w:fldCharType="begin" w:fldLock="1"/>
      </w:r>
      <w:r w:rsidR="001F7583" w:rsidRPr="00422170">
        <w:rPr>
          <w:rFonts w:ascii="Times New Roman" w:hAnsi="Times New Roman" w:cs="Times New Roman"/>
          <w:sz w:val="24"/>
          <w:szCs w:val="24"/>
        </w:rPr>
        <w:instrText>ADDIN CSL_CITATION {"citationItems":[{"id":"ITEM-1","itemData":{"DOI":"10.3389/forgp.2025.1624518","author":[{"dropping-particle":"","family":"Shekhar","given":"Anurag","non-dropping-particle":"","parse-names":false,"suffix":""},{"dropping-particle":"","family":"Saurombe","given":"Musawenkosi Donia","non-dropping-particle":"","parse-names":false,"suffix":""},{"dropping-particle":"","family":"Joseph","given":"Renjini Mary","non-dropping-particle":"","parse-names":false,"suffix":""}],"container-title":"Frontiers in Organizational Psychology","id":"ITEM-1","issue":"8","issued":{"date-parts":[["2025"]]},"page":"1-15","title":"From theory to practice: a participatory HR-led training programme for employee wellbeing","type":"article-journal","volume":"3"},"uris":["http://www.mendeley.com/documents/?uuid=f7f1baad-5e2e-47ab-9a75-9b2652790b05"]}],"mendeley":{"formattedCitation":"(Shekhar et al., 2025)","plainTextFormattedCitation":"(Shekhar et al., 2025)","previouslyFormattedCitation":"(Shekhar et al., 2025)"},"properties":{"noteIndex":0},"schema":"https://github.com/citation-style-language/schema/raw/master/csl-citation.json"}</w:instrText>
      </w:r>
      <w:r w:rsidR="00A0139F" w:rsidRPr="00422170">
        <w:rPr>
          <w:rFonts w:ascii="Times New Roman" w:hAnsi="Times New Roman" w:cs="Times New Roman"/>
          <w:sz w:val="24"/>
          <w:szCs w:val="24"/>
        </w:rPr>
        <w:fldChar w:fldCharType="separate"/>
      </w:r>
      <w:r w:rsidR="00A0139F" w:rsidRPr="00422170">
        <w:rPr>
          <w:rFonts w:ascii="Times New Roman" w:hAnsi="Times New Roman" w:cs="Times New Roman"/>
          <w:noProof/>
          <w:sz w:val="24"/>
          <w:szCs w:val="24"/>
        </w:rPr>
        <w:t>(Shekhar et al., 2025)</w:t>
      </w:r>
      <w:r w:rsidR="00A0139F"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Freire’s seminal work, Pedagogy of the Oppressed (1970), laid the foundation for participatory approaches in development by challenging traditional top-down models that treated communities as passive recipients rather than active agents of change. Freire emphasized dialogue, collaboration, and mutual learning between development practitioners and local communities, advocating for the empowerment of communities through active engagement in all stages of development projects, including planning, implementation, monitoring, and evaluation </w:t>
      </w:r>
      <w:r w:rsidR="001F7583" w:rsidRPr="00422170">
        <w:rPr>
          <w:rFonts w:ascii="Times New Roman" w:hAnsi="Times New Roman" w:cs="Times New Roman"/>
          <w:sz w:val="24"/>
          <w:szCs w:val="24"/>
        </w:rPr>
        <w:fldChar w:fldCharType="begin" w:fldLock="1"/>
      </w:r>
      <w:r w:rsidR="001F7583" w:rsidRPr="00422170">
        <w:rPr>
          <w:rFonts w:ascii="Times New Roman" w:hAnsi="Times New Roman" w:cs="Times New Roman"/>
          <w:sz w:val="24"/>
          <w:szCs w:val="24"/>
        </w:rPr>
        <w:instrText>ADDIN CSL_CITATION {"citationItems":[{"id":"ITEM-1","itemData":{"DOI":"10.61100/adman.v1i2.27","ISSN":"2988-0394","abstract":"Public management is an effort to deliver public services, programmes, and projects that are efficient, effective, and equitable for the community. The planning and decision-making processes of public management are two key aspects in achieving this goal. Traditionally, the planning and decision-making processes of public management are mostly carried out by government officials and internal stakeholders without involving active participation from the community. However, in this increasingly complex and diverse era, community involvement is important and cannot be ignored. This research aims to explore the role of the community in public decision-making and its impact on efficiency, effectiveness and fairness in public service delivery. This research is a literature review that adopts a qualitative method approach, which means it will analyse and interpret data by relying on information and text from various sources. The study results show that community involvement in the planning and decision-making process of public management is a key principle in democratic and participation-based governance. Community participation helps to create a government that is more transparent, accountable, inclusive, and responsive to the needs and aspirations of the people.\r  ","author":[{"dropping-particle":"","family":"Rijal","given":"Syamsu","non-dropping-particle":"","parse-names":false,"suffix":""}],"container-title":"Journal of Contemporary Administration and Management (ADMAN)","id":"ITEM-1","issue":"2","issued":{"date-parts":[["2023"]]},"page":"84-92","title":"The Importance of Community Involvement in Public Management Planning and Decision-Making Processes","type":"article-journal","volume":"1"},"uris":["http://www.mendeley.com/documents/?uuid=7045ac0d-9135-458d-a5b8-acdbac3626fb"]}],"mendeley":{"formattedCitation":"(Rijal, 2023)","plainTextFormattedCitation":"(Rijal, 2023)","previouslyFormattedCitation":"(Rijal, 2023)"},"properties":{"noteIndex":0},"schema":"https://github.com/citation-style-language/schema/raw/master/csl-citation.json"}</w:instrText>
      </w:r>
      <w:r w:rsidR="001F7583" w:rsidRPr="00422170">
        <w:rPr>
          <w:rFonts w:ascii="Times New Roman" w:hAnsi="Times New Roman" w:cs="Times New Roman"/>
          <w:sz w:val="24"/>
          <w:szCs w:val="24"/>
        </w:rPr>
        <w:fldChar w:fldCharType="separate"/>
      </w:r>
      <w:r w:rsidR="001F7583" w:rsidRPr="00422170">
        <w:rPr>
          <w:rFonts w:ascii="Times New Roman" w:hAnsi="Times New Roman" w:cs="Times New Roman"/>
          <w:noProof/>
          <w:sz w:val="24"/>
          <w:szCs w:val="24"/>
        </w:rPr>
        <w:t>(Rijal, 2023)</w:t>
      </w:r>
      <w:r w:rsidR="001F7583" w:rsidRPr="00422170">
        <w:rPr>
          <w:rFonts w:ascii="Times New Roman" w:hAnsi="Times New Roman" w:cs="Times New Roman"/>
          <w:sz w:val="24"/>
          <w:szCs w:val="24"/>
        </w:rPr>
        <w:fldChar w:fldCharType="end"/>
      </w:r>
      <w:r w:rsidRPr="00422170">
        <w:rPr>
          <w:rFonts w:ascii="Times New Roman" w:hAnsi="Times New Roman" w:cs="Times New Roman"/>
          <w:sz w:val="24"/>
          <w:szCs w:val="24"/>
        </w:rPr>
        <w:t>. This participatory approach ensures that development initiatives are responsive to local needs and are more likely to be sustainable over the long term.</w:t>
      </w:r>
    </w:p>
    <w:p w:rsidR="00B120D6" w:rsidRPr="00422170" w:rsidRDefault="00B120D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The relevance of PDT to this study lies in its alignme</w:t>
      </w:r>
      <w:r w:rsidR="000E2E6C" w:rsidRPr="00422170">
        <w:rPr>
          <w:rFonts w:ascii="Times New Roman" w:hAnsi="Times New Roman" w:cs="Times New Roman"/>
          <w:sz w:val="24"/>
          <w:szCs w:val="24"/>
        </w:rPr>
        <w:t>nt with the research objective which</w:t>
      </w:r>
      <w:r w:rsidRPr="00422170">
        <w:rPr>
          <w:rFonts w:ascii="Times New Roman" w:hAnsi="Times New Roman" w:cs="Times New Roman"/>
          <w:sz w:val="24"/>
          <w:szCs w:val="24"/>
        </w:rPr>
        <w:t xml:space="preserve"> examined how innovative approaches enhance community engagement in decision-making and implementation of rural road maintenance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demonstrating how </w:t>
      </w:r>
      <w:r w:rsidRPr="00422170">
        <w:rPr>
          <w:rFonts w:ascii="Times New Roman" w:hAnsi="Times New Roman" w:cs="Times New Roman"/>
          <w:sz w:val="24"/>
          <w:szCs w:val="24"/>
        </w:rPr>
        <w:lastRenderedPageBreak/>
        <w:t>participatory involvement contributes to more effective, accountable, and sustainable infrastructure outcomes in line with Participatory Development Theory. PDT assumes that local communities possess valuable knowledge, skills, and resources that can meaningfully contribute to project success. By promoting local ownership, the theory suggests that participatory approaches enhance accountability, transparency, and social capital, while reducing the inefficiencies often associated with top-down development models (Freire, 1970).</w:t>
      </w:r>
    </w:p>
    <w:p w:rsidR="00B120D6" w:rsidRPr="00422170" w:rsidRDefault="00B120D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PDT’s primary strength is its emphasis on empowerment and inclusivity. By actively involving community members, it fosters a sense of responsibility and ownership, which are essential for the success and sustainability of development initiatives. Moreover, participatory approaches ensure that interventions are tailored to the preferences and needs of local populations, increasing their relevance and overall effectiveness </w:t>
      </w:r>
      <w:r w:rsidR="001F7583" w:rsidRPr="00422170">
        <w:rPr>
          <w:rFonts w:ascii="Times New Roman" w:hAnsi="Times New Roman" w:cs="Times New Roman"/>
          <w:sz w:val="24"/>
          <w:szCs w:val="24"/>
        </w:rPr>
        <w:fldChar w:fldCharType="begin" w:fldLock="1"/>
      </w:r>
      <w:r w:rsidR="001F7583" w:rsidRPr="00422170">
        <w:rPr>
          <w:rFonts w:ascii="Times New Roman" w:hAnsi="Times New Roman" w:cs="Times New Roman"/>
          <w:sz w:val="24"/>
          <w:szCs w:val="24"/>
        </w:rPr>
        <w:instrText>ADDIN CSL_CITATION {"citationItems":[{"id":"ITEM-1","itemData":{"DOI":"10.1136/bmj.n1679","ISSN":"17561833","PMID":"34344699","abstract":"Implementing interventions with a previous evidence base in new contexts might be more efficient than developing new interventions for each context. Although some interventions transfer well, effectiveness and implementation often depend on the context. Achieving a good fit between intervention and context then requires careful and systematic adaptation. This paper presents new evidence and consensus informed guidance for adapting and transferring interventions to new contexts.","author":[{"dropping-particle":"","family":"Moore","given":"Graham","non-dropping-particle":"","parse-names":false,"suffix":""},{"dropping-particle":"","family":"Campbell","given":"Mhairi","non-dropping-particle":"","parse-names":false,"suffix":""},{"dropping-particle":"","family":"Copeland","given":"Lauren","non-dropping-particle":"","parse-names":false,"suffix":""},{"dropping-particle":"","family":"Craig","given":"Peter","non-dropping-particle":"","parse-names":false,"suffix":""},{"dropping-particle":"","family":"Movsisyan","given":"Ani","non-dropping-particle":"","parse-names":false,"suffix":""},{"dropping-particle":"","family":"Hoddinott","given":"Pat","non-dropping-particle":"","parse-names":false,"suffix":""},{"dropping-particle":"","family":"Littlecott","given":"Hannah","non-dropping-particle":"","parse-names":false,"suffix":""},{"dropping-particle":"","family":"O'Cathain","given":"Alicia","non-dropping-particle":"","parse-names":false,"suffix":""},{"dropping-particle":"","family":"Pfadenhauer","given":"Lisa","non-dropping-particle":"","parse-names":false,"suffix":""},{"dropping-particle":"","family":"Rehfuess","given":"Eva","non-dropping-particle":"","parse-names":false,"suffix":""},{"dropping-particle":"","family":"Segrott","given":"Jeremy","non-dropping-particle":"","parse-names":false,"suffix":""},{"dropping-particle":"","family":"Hawe","given":"Penelope","non-dropping-particle":"","parse-names":false,"suffix":""},{"dropping-particle":"","family":"Kee","given":"Frank","non-dropping-particle":"","parse-names":false,"suffix":""},{"dropping-particle":"","family":"Couturiaux","given":"Danielle","non-dropping-particle":"","parse-names":false,"suffix":""},{"dropping-particle":"","family":"Hallingberg","given":"Britt","non-dropping-particle":"","parse-names":false,"suffix":""},{"dropping-particle":"","family":"Evans","given":"Rhiannon","non-dropping-particle":"","parse-names":false,"suffix":""}],"container-title":"The BMJ","id":"ITEM-1","issue":"1","issued":{"date-parts":[["2021"]]},"page":"1-10","title":"Adapting interventions to new contexts-the ADAPT guidance","type":"article-journal","volume":"374"},"uris":["http://www.mendeley.com/documents/?uuid=4d99f90f-b3f5-4063-94d0-a8b00b8dc3cc"]}],"mendeley":{"formattedCitation":"(Moore et al., 2021)","plainTextFormattedCitation":"(Moore et al., 2021)","previouslyFormattedCitation":"(Moore et al., 2021)"},"properties":{"noteIndex":0},"schema":"https://github.com/citation-style-language/schema/raw/master/csl-citation.json"}</w:instrText>
      </w:r>
      <w:r w:rsidR="001F7583" w:rsidRPr="00422170">
        <w:rPr>
          <w:rFonts w:ascii="Times New Roman" w:hAnsi="Times New Roman" w:cs="Times New Roman"/>
          <w:sz w:val="24"/>
          <w:szCs w:val="24"/>
        </w:rPr>
        <w:fldChar w:fldCharType="separate"/>
      </w:r>
      <w:r w:rsidR="001F7583" w:rsidRPr="00422170">
        <w:rPr>
          <w:rFonts w:ascii="Times New Roman" w:hAnsi="Times New Roman" w:cs="Times New Roman"/>
          <w:noProof/>
          <w:sz w:val="24"/>
          <w:szCs w:val="24"/>
        </w:rPr>
        <w:t>(Moore et al., 2021)</w:t>
      </w:r>
      <w:r w:rsidR="001F7583"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However, the theory is not without limitations. Participatory approaches can be time-consuming and resource-intensive, often requiring significant capacity-building and coordination. Their success also depends on the presence of functional local institutions and governance structures; in contexts where these are weak or absent, community engagement may be difficult to implement effectively, potentially resulting in project delays or failures </w:t>
      </w:r>
      <w:r w:rsidR="001F7583" w:rsidRPr="00422170">
        <w:rPr>
          <w:rFonts w:ascii="Times New Roman" w:hAnsi="Times New Roman" w:cs="Times New Roman"/>
          <w:sz w:val="24"/>
          <w:szCs w:val="24"/>
        </w:rPr>
        <w:fldChar w:fldCharType="begin" w:fldLock="1"/>
      </w:r>
      <w:r w:rsidR="001F7583" w:rsidRPr="00422170">
        <w:rPr>
          <w:rFonts w:ascii="Times New Roman" w:hAnsi="Times New Roman" w:cs="Times New Roman"/>
          <w:sz w:val="24"/>
          <w:szCs w:val="24"/>
        </w:rPr>
        <w:instrText>ADDIN CSL_CITATION {"citationItems":[{"id":"ITEM-1","itemData":{"DOI":"10.1136/bmj.n1679","ISSN":"17561833","PMID":"34344699","abstract":"Implementing interventions with a previous evidence base in new contexts might be more efficient than developing new interventions for each context. Although some interventions transfer well, effectiveness and implementation often depend on the context. Achieving a good fit between intervention and context then requires careful and systematic adaptation. This paper presents new evidence and consensus informed guidance for adapting and transferring interventions to new contexts.","author":[{"dropping-particle":"","family":"Moore","given":"Graham","non-dropping-particle":"","parse-names":false,"suffix":""},{"dropping-particle":"","family":"Campbell","given":"Mhairi","non-dropping-particle":"","parse-names":false,"suffix":""},{"dropping-particle":"","family":"Copeland","given":"Lauren","non-dropping-particle":"","parse-names":false,"suffix":""},{"dropping-particle":"","family":"Craig","given":"Peter","non-dropping-particle":"","parse-names":false,"suffix":""},{"dropping-particle":"","family":"Movsisyan","given":"Ani","non-dropping-particle":"","parse-names":false,"suffix":""},{"dropping-particle":"","family":"Hoddinott","given":"Pat","non-dropping-particle":"","parse-names":false,"suffix":""},{"dropping-particle":"","family":"Littlecott","given":"Hannah","non-dropping-particle":"","parse-names":false,"suffix":""},{"dropping-particle":"","family":"O'Cathain","given":"Alicia","non-dropping-particle":"","parse-names":false,"suffix":""},{"dropping-particle":"","family":"Pfadenhauer","given":"Lisa","non-dropping-particle":"","parse-names":false,"suffix":""},{"dropping-particle":"","family":"Rehfuess","given":"Eva","non-dropping-particle":"","parse-names":false,"suffix":""},{"dropping-particle":"","family":"Segrott","given":"Jeremy","non-dropping-particle":"","parse-names":false,"suffix":""},{"dropping-particle":"","family":"Hawe","given":"Penelope","non-dropping-particle":"","parse-names":false,"suffix":""},{"dropping-particle":"","family":"Kee","given":"Frank","non-dropping-particle":"","parse-names":false,"suffix":""},{"dropping-particle":"","family":"Couturiaux","given":"Danielle","non-dropping-particle":"","parse-names":false,"suffix":""},{"dropping-particle":"","family":"Hallingberg","given":"Britt","non-dropping-particle":"","parse-names":false,"suffix":""},{"dropping-particle":"","family":"Evans","given":"Rhiannon","non-dropping-particle":"","parse-names":false,"suffix":""}],"container-title":"The BMJ","id":"ITEM-1","issue":"1","issued":{"date-parts":[["2021"]]},"page":"1-10","title":"Adapting interventions to new contexts-the ADAPT guidance","type":"article-journal","volume":"374"},"uris":["http://www.mendeley.com/documents/?uuid=4d99f90f-b3f5-4063-94d0-a8b00b8dc3cc"]}],"mendeley":{"formattedCitation":"(Moore et al., 2021)","plainTextFormattedCitation":"(Moore et al., 2021)","previouslyFormattedCitation":"(Moore et al., 2021)"},"properties":{"noteIndex":0},"schema":"https://github.com/citation-style-language/schema/raw/master/csl-citation.json"}</w:instrText>
      </w:r>
      <w:r w:rsidR="001F7583" w:rsidRPr="00422170">
        <w:rPr>
          <w:rFonts w:ascii="Times New Roman" w:hAnsi="Times New Roman" w:cs="Times New Roman"/>
          <w:sz w:val="24"/>
          <w:szCs w:val="24"/>
        </w:rPr>
        <w:fldChar w:fldCharType="separate"/>
      </w:r>
      <w:r w:rsidR="001F7583" w:rsidRPr="00422170">
        <w:rPr>
          <w:rFonts w:ascii="Times New Roman" w:hAnsi="Times New Roman" w:cs="Times New Roman"/>
          <w:noProof/>
          <w:sz w:val="24"/>
          <w:szCs w:val="24"/>
        </w:rPr>
        <w:t>(Moore et al., 2021)</w:t>
      </w:r>
      <w:r w:rsidR="001F7583"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1F7583" w:rsidRPr="00422170" w:rsidRDefault="001F7583" w:rsidP="008928BB">
      <w:pPr>
        <w:spacing w:after="0" w:line="240" w:lineRule="auto"/>
        <w:jc w:val="both"/>
        <w:rPr>
          <w:rFonts w:ascii="Times New Roman" w:hAnsi="Times New Roman" w:cs="Times New Roman"/>
          <w:sz w:val="24"/>
          <w:szCs w:val="24"/>
        </w:rPr>
      </w:pPr>
    </w:p>
    <w:p w:rsidR="002973C4" w:rsidRPr="00422170" w:rsidRDefault="00B120D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Overall, PDT provides a robust framework for understanding how innovative strategies can strengthen community engagement in rural road maintenance projects, as explored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It highlights the importance of active participation in decision-making and project implementation to achieve sustainable and contextually relevant infrastructure outcomes.</w:t>
      </w:r>
    </w:p>
    <w:p w:rsidR="001B43DD" w:rsidRPr="00422170" w:rsidRDefault="001B43DD" w:rsidP="008928BB">
      <w:pPr>
        <w:spacing w:after="0" w:line="240" w:lineRule="auto"/>
        <w:jc w:val="both"/>
        <w:rPr>
          <w:rFonts w:ascii="Times New Roman" w:hAnsi="Times New Roman" w:cs="Times New Roman"/>
          <w:sz w:val="24"/>
          <w:szCs w:val="24"/>
        </w:rPr>
      </w:pPr>
    </w:p>
    <w:p w:rsidR="002E614B" w:rsidRPr="00422170" w:rsidRDefault="001B43DD"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METHODOLOGY</w:t>
      </w:r>
    </w:p>
    <w:p w:rsidR="001B43DD" w:rsidRPr="00422170" w:rsidRDefault="001B43DD" w:rsidP="008928BB">
      <w:pPr>
        <w:pStyle w:val="ListParagraph"/>
        <w:numPr>
          <w:ilvl w:val="1"/>
          <w:numId w:val="2"/>
        </w:numPr>
        <w:spacing w:line="240" w:lineRule="auto"/>
        <w:rPr>
          <w:rFonts w:ascii="Times New Roman" w:hAnsi="Times New Roman" w:cs="Times New Roman"/>
          <w:b/>
          <w:sz w:val="24"/>
          <w:szCs w:val="24"/>
        </w:rPr>
      </w:pPr>
      <w:r w:rsidRPr="00422170">
        <w:rPr>
          <w:rFonts w:ascii="Times New Roman" w:hAnsi="Times New Roman" w:cs="Times New Roman"/>
          <w:b/>
          <w:sz w:val="24"/>
          <w:szCs w:val="24"/>
        </w:rPr>
        <w:t>Description of the Study Area</w:t>
      </w:r>
    </w:p>
    <w:p w:rsidR="001B43DD" w:rsidRPr="00422170" w:rsidRDefault="001B43DD"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study was undertaken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situated in </w:t>
      </w:r>
      <w:proofErr w:type="spellStart"/>
      <w:r w:rsidRPr="00422170">
        <w:rPr>
          <w:rFonts w:ascii="Times New Roman" w:hAnsi="Times New Roman" w:cs="Times New Roman"/>
          <w:sz w:val="24"/>
          <w:szCs w:val="24"/>
        </w:rPr>
        <w:t>Manyara</w:t>
      </w:r>
      <w:proofErr w:type="spellEnd"/>
      <w:r w:rsidRPr="00422170">
        <w:rPr>
          <w:rFonts w:ascii="Times New Roman" w:hAnsi="Times New Roman" w:cs="Times New Roman"/>
          <w:sz w:val="24"/>
          <w:szCs w:val="24"/>
        </w:rPr>
        <w:t xml:space="preserve"> Region, which encompasses both rural and semi-urban settlements. The district’s road network comprises approximately 223.5 km of trunk roads, complemented by numerous feeder roads that link communities to essential services, including markets, schools, and healthcare facilities, many of which are maintained by TARURA. Despite these critical connections, a substantial portion of the roads remains in poor condition, creating significant transportation challenges and limiting opportunities for local economic development. These conditions underscore the importance of active community involvement in road maintenance, as participatory approaches can enhance accountability, ownership, and sustainability of infrastructure projects. Consequently,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provides a suitable setting to examine the </w:t>
      </w:r>
      <w:r w:rsidR="00C62143" w:rsidRPr="00422170">
        <w:rPr>
          <w:rFonts w:ascii="Times New Roman" w:hAnsi="Times New Roman" w:cs="Times New Roman"/>
          <w:sz w:val="24"/>
          <w:szCs w:val="24"/>
        </w:rPr>
        <w:t>innovative approaches for strengthening community engagement in rural road maintenance initiatives</w:t>
      </w:r>
      <w:r w:rsidRPr="00422170">
        <w:rPr>
          <w:rFonts w:ascii="Times New Roman" w:hAnsi="Times New Roman" w:cs="Times New Roman"/>
          <w:sz w:val="24"/>
          <w:szCs w:val="24"/>
        </w:rPr>
        <w:t>. A sketch map of the study area is illustrated in Figure 1.</w:t>
      </w:r>
    </w:p>
    <w:p w:rsidR="001B43DD" w:rsidRPr="00422170" w:rsidRDefault="001B43DD" w:rsidP="008928BB">
      <w:pPr>
        <w:spacing w:after="0" w:line="240" w:lineRule="auto"/>
        <w:jc w:val="both"/>
        <w:rPr>
          <w:rFonts w:ascii="Times New Roman" w:hAnsi="Times New Roman" w:cs="Times New Roman"/>
          <w:sz w:val="24"/>
          <w:szCs w:val="24"/>
        </w:rPr>
      </w:pPr>
      <w:r w:rsidRPr="00422170">
        <w:rPr>
          <w:rFonts w:ascii="Aptos" w:eastAsia="Aptos" w:hAnsi="Aptos" w:cs="Times New Roman"/>
          <w:noProof/>
          <w:sz w:val="24"/>
          <w:szCs w:val="24"/>
          <w:lang w:eastAsia="en-GB"/>
        </w:rPr>
        <w:lastRenderedPageBreak/>
        <w:drawing>
          <wp:inline distT="0" distB="0" distL="0" distR="0" wp14:anchorId="6446C2EE" wp14:editId="09B119CD">
            <wp:extent cx="4215865" cy="2362835"/>
            <wp:effectExtent l="0" t="0" r="0" b="0"/>
            <wp:docPr id="1" name="Picture 1" descr="C:\Users\Lucy\Desktop\IMG_20250621_20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Desktop\IMG_20250621_2015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035" cy="2370216"/>
                    </a:xfrm>
                    <a:prstGeom prst="rect">
                      <a:avLst/>
                    </a:prstGeom>
                    <a:ln>
                      <a:noFill/>
                    </a:ln>
                    <a:effectLst>
                      <a:softEdge rad="112500"/>
                    </a:effectLst>
                  </pic:spPr>
                </pic:pic>
              </a:graphicData>
            </a:graphic>
          </wp:inline>
        </w:drawing>
      </w:r>
    </w:p>
    <w:p w:rsidR="00011F1A"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Figure1: Sketch map showing the study area</w:t>
      </w:r>
    </w:p>
    <w:p w:rsidR="001B43DD" w:rsidRPr="00422170" w:rsidRDefault="001B43DD"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Study Population</w:t>
      </w:r>
    </w:p>
    <w:p w:rsidR="001B43DD"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study focused on community members who actively participate in rural road maintenance initiatives within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These individuals are involved in essential activities such as planning, implementation, and monitoring of road projects, offering critical perspectives on the scope and effectiveness of community engagement the central theme of this research. With a population of approximately 129,572 (2022 National Census) and a wide range of socio-economic characteristics,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provides a compelling context to investigate how innovative approaches can strengthen community participation. The setting also allows for the examination of how engagement levels and their impacts differ across various demographic and social groups, highlighting the potential for locally tailored strategies to enhance the sustainability and effectiveness of rural road maintenance projects.</w:t>
      </w:r>
    </w:p>
    <w:p w:rsidR="001B43DD" w:rsidRPr="00422170" w:rsidRDefault="00011F1A"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Sampling Procedure</w:t>
      </w:r>
    </w:p>
    <w:p w:rsidR="00011F1A"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study used a simple random sampling approach to select community members actively involved in road maintenance projects, ensuring that each individual within the target population had an equal chance of being included. This approach was particularly appropriate for the diverse population of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as it helped minimize selection bias and strengthen the credibility of the study’s findings.</w:t>
      </w:r>
    </w:p>
    <w:p w:rsidR="00011F1A"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addition, key informants were identified through purposive sampling to gather specialized knowledge and insights critical to the research. These included local leaders, the project manager, and the TARURA Regional Manager, all of whom play a direct role in road maintenance activities and policy execution. By combining simple random sampling for community members with purposive sampling for key informants, the study was able to obtain both representative data and detailed, context-specific perspectives, providing a comprehensive understanding of community participation in rural road maintenance initiatives.</w:t>
      </w:r>
    </w:p>
    <w:p w:rsidR="00011F1A" w:rsidRPr="00422170" w:rsidRDefault="00011F1A"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Sample Size</w:t>
      </w:r>
    </w:p>
    <w:p w:rsidR="00011F1A"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sample size for this study was determined using the Yamane formula, </w:t>
      </w:r>
      <w:proofErr w:type="gramStart"/>
      <w:r w:rsidRPr="00422170">
        <w:rPr>
          <w:rFonts w:ascii="Times New Roman" w:hAnsi="Times New Roman" w:cs="Times New Roman"/>
          <w:sz w:val="24"/>
          <w:szCs w:val="24"/>
        </w:rPr>
        <w:t>taking into account</w:t>
      </w:r>
      <w:proofErr w:type="gramEnd"/>
      <w:r w:rsidRPr="00422170">
        <w:rPr>
          <w:rFonts w:ascii="Times New Roman" w:hAnsi="Times New Roman" w:cs="Times New Roman"/>
          <w:sz w:val="24"/>
          <w:szCs w:val="24"/>
        </w:rPr>
        <w:t xml:space="preserve"> practical considerations related to the target population of 129,572. Yamane </w:t>
      </w:r>
      <w:r w:rsidR="001F7583" w:rsidRPr="00422170">
        <w:rPr>
          <w:rFonts w:ascii="Times New Roman" w:hAnsi="Times New Roman" w:cs="Times New Roman"/>
          <w:sz w:val="24"/>
          <w:szCs w:val="24"/>
        </w:rPr>
        <w:fldChar w:fldCharType="begin" w:fldLock="1"/>
      </w:r>
      <w:r w:rsidR="003F3D34" w:rsidRPr="00422170">
        <w:rPr>
          <w:rFonts w:ascii="Times New Roman" w:hAnsi="Times New Roman" w:cs="Times New Roman"/>
          <w:sz w:val="24"/>
          <w:szCs w:val="24"/>
        </w:rPr>
        <w:instrText>ADDIN CSL_CITATION {"citationItems":[{"id":"ITEM-1","itemData":{"DOI":"10.9734/jsrr/2020/v26i530263","abstract":"Obtaining a representative sample size remains critical to survey researchers because of its implication for cost, time and precision of the sample estimate. However, the difficulty of obtaining a good estimate of population variance coupled with insufficient skills in sampling theory impede the researchers’ ability to obtain an optimum sample in survey research. This paper proposes an adjustment to the margin of error in Yamane’s (1967) formula to make it applicable for use in determining optimum sample size for both continuous and categorical variables at all levels of confidence. A minimum sample size determination table is developed for use by researchers based on the adjusted formula developed in this paper.","author":[{"dropping-particle":"","family":"Yamane","given":"Y","non-dropping-particle":"","parse-names":false,"suffix":""}],"container-title":"Journal of Scientific Research and Reports","id":"ITEM-1","issue":"4","issued":{"date-parts":[["1967"]]},"page":"1-12","title":"Sample Size Determination Formula","type":"article-journal","volume":"3"},"suppress-author":1,"uris":["http://www.mendeley.com/documents/?uuid=6be9551c-032f-4dfe-8e1e-79d2152d649d"]}],"mendeley":{"formattedCitation":"(1967)","plainTextFormattedCitation":"(1967)","previouslyFormattedCitation":"(1967)"},"properties":{"noteIndex":0},"schema":"https://github.com/citation-style-language/schema/raw/master/csl-citation.json"}</w:instrText>
      </w:r>
      <w:r w:rsidR="001F7583" w:rsidRPr="00422170">
        <w:rPr>
          <w:rFonts w:ascii="Times New Roman" w:hAnsi="Times New Roman" w:cs="Times New Roman"/>
          <w:sz w:val="24"/>
          <w:szCs w:val="24"/>
        </w:rPr>
        <w:fldChar w:fldCharType="separate"/>
      </w:r>
      <w:r w:rsidR="001F7583" w:rsidRPr="00422170">
        <w:rPr>
          <w:rFonts w:ascii="Times New Roman" w:hAnsi="Times New Roman" w:cs="Times New Roman"/>
          <w:noProof/>
          <w:sz w:val="24"/>
          <w:szCs w:val="24"/>
        </w:rPr>
        <w:t>(1967)</w:t>
      </w:r>
      <w:r w:rsidR="001F7583"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emphasizes that a sample should be adequately representative to enable the results to be generalized to the broader community. Using a 95% confidence level and a 5% margin of error, the formula was applied to calculate an appropriate sample size. Based on this calculation, a total of 399 community members were selected from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to participate in the study.</w:t>
      </w:r>
    </w:p>
    <w:p w:rsidR="00011F1A" w:rsidRPr="00422170" w:rsidRDefault="00011F1A" w:rsidP="008928BB">
      <w:pPr>
        <w:spacing w:after="0" w:line="240" w:lineRule="auto"/>
        <w:jc w:val="both"/>
        <w:rPr>
          <w:rFonts w:ascii="Times New Roman" w:eastAsia="Aptos" w:hAnsi="Times New Roman" w:cs="Times New Roman"/>
          <w:sz w:val="24"/>
          <w:szCs w:val="24"/>
          <w:lang w:val="en-US"/>
        </w:rPr>
      </w:pPr>
    </w:p>
    <w:p w:rsidR="00011F1A" w:rsidRPr="00422170" w:rsidRDefault="00011F1A" w:rsidP="008928BB">
      <w:pPr>
        <w:spacing w:after="0" w:line="240" w:lineRule="auto"/>
        <w:jc w:val="both"/>
        <w:rPr>
          <w:rFonts w:ascii="Times New Roman" w:eastAsia="Times New Roman" w:hAnsi="Times New Roman" w:cs="Times New Roman"/>
          <w:sz w:val="24"/>
          <w:szCs w:val="24"/>
          <w:lang w:val="en-US"/>
        </w:rPr>
      </w:pPr>
      <m:oMathPara>
        <m:oMathParaPr>
          <m:jc m:val="center"/>
        </m:oMathParaPr>
        <m:oMath>
          <m:r>
            <w:rPr>
              <w:rFonts w:ascii="Cambria Math" w:eastAsia="Aptos" w:hAnsi="Cambria Math" w:cs="Times New Roman"/>
              <w:sz w:val="24"/>
              <w:szCs w:val="24"/>
              <w:lang w:val="en-US"/>
            </w:rPr>
            <m:t>n=</m:t>
          </m:r>
          <m:f>
            <m:fPr>
              <m:ctrlPr>
                <w:rPr>
                  <w:rFonts w:ascii="Cambria Math" w:eastAsia="Aptos" w:hAnsi="Cambria Math" w:cs="Times New Roman"/>
                  <w:i/>
                  <w:sz w:val="24"/>
                  <w:szCs w:val="24"/>
                  <w:lang w:val="en-US"/>
                </w:rPr>
              </m:ctrlPr>
            </m:fPr>
            <m:num>
              <m:r>
                <w:rPr>
                  <w:rFonts w:ascii="Cambria Math" w:eastAsia="Aptos" w:hAnsi="Cambria Math" w:cs="Times New Roman"/>
                  <w:sz w:val="24"/>
                  <w:szCs w:val="24"/>
                  <w:lang w:val="en-US"/>
                </w:rPr>
                <m:t>N</m:t>
              </m:r>
            </m:num>
            <m:den>
              <m:r>
                <w:rPr>
                  <w:rFonts w:ascii="Cambria Math" w:eastAsia="Aptos" w:hAnsi="Cambria Math" w:cs="Times New Roman"/>
                  <w:sz w:val="24"/>
                  <w:szCs w:val="24"/>
                  <w:lang w:val="en-US"/>
                </w:rPr>
                <m:t>1+N(</m:t>
              </m:r>
              <m:sSup>
                <m:sSupPr>
                  <m:ctrlPr>
                    <w:rPr>
                      <w:rFonts w:ascii="Cambria Math" w:eastAsia="Aptos" w:hAnsi="Cambria Math" w:cs="Times New Roman"/>
                      <w:i/>
                      <w:sz w:val="24"/>
                      <w:szCs w:val="24"/>
                      <w:lang w:val="en-US"/>
                    </w:rPr>
                  </m:ctrlPr>
                </m:sSupPr>
                <m:e>
                  <m:r>
                    <w:rPr>
                      <w:rFonts w:ascii="Cambria Math" w:eastAsia="Aptos" w:hAnsi="Cambria Math" w:cs="Times New Roman"/>
                      <w:sz w:val="24"/>
                      <w:szCs w:val="24"/>
                      <w:lang w:val="en-US"/>
                    </w:rPr>
                    <m:t>e)</m:t>
                  </m:r>
                </m:e>
                <m:sup>
                  <m:r>
                    <w:rPr>
                      <w:rFonts w:ascii="Cambria Math" w:eastAsia="Aptos" w:hAnsi="Cambria Math" w:cs="Times New Roman"/>
                      <w:sz w:val="24"/>
                      <w:szCs w:val="24"/>
                      <w:lang w:val="en-US"/>
                    </w:rPr>
                    <m:t>2</m:t>
                  </m:r>
                </m:sup>
              </m:sSup>
            </m:den>
          </m:f>
        </m:oMath>
      </m:oMathPara>
    </w:p>
    <w:p w:rsidR="00011F1A" w:rsidRPr="00422170" w:rsidRDefault="00011F1A" w:rsidP="008928BB">
      <w:pPr>
        <w:spacing w:after="0" w:line="240" w:lineRule="auto"/>
        <w:jc w:val="both"/>
        <w:rPr>
          <w:rFonts w:ascii="Times New Roman" w:eastAsia="Aptos" w:hAnsi="Times New Roman" w:cs="Times New Roman"/>
          <w:sz w:val="24"/>
          <w:szCs w:val="24"/>
          <w:lang w:val="en-US"/>
        </w:rPr>
      </w:pPr>
      <w:r w:rsidRPr="00422170">
        <w:rPr>
          <w:rFonts w:ascii="Times New Roman" w:eastAsia="Aptos" w:hAnsi="Times New Roman" w:cs="Times New Roman"/>
          <w:sz w:val="24"/>
          <w:szCs w:val="24"/>
          <w:lang w:val="en-US"/>
        </w:rPr>
        <w:t>Whereby n is the sample size, N is the population size, and e is the margin of error.</w:t>
      </w:r>
    </w:p>
    <w:p w:rsidR="00011F1A" w:rsidRPr="00422170" w:rsidRDefault="00011F1A" w:rsidP="008928BB">
      <w:pPr>
        <w:spacing w:after="0" w:line="240" w:lineRule="auto"/>
        <w:jc w:val="both"/>
        <w:rPr>
          <w:rFonts w:ascii="Times New Roman" w:eastAsia="Aptos" w:hAnsi="Times New Roman" w:cs="Times New Roman"/>
          <w:sz w:val="24"/>
          <w:szCs w:val="24"/>
          <w:lang w:val="en-US"/>
        </w:rPr>
      </w:pPr>
      <w:r w:rsidRPr="00422170">
        <w:rPr>
          <w:rFonts w:ascii="Times New Roman" w:eastAsia="Aptos" w:hAnsi="Times New Roman" w:cs="Times New Roman"/>
          <w:sz w:val="24"/>
          <w:szCs w:val="24"/>
          <w:lang w:val="en-US"/>
        </w:rPr>
        <w:t xml:space="preserve">So, </w:t>
      </w:r>
    </w:p>
    <w:p w:rsidR="00011F1A" w:rsidRPr="00422170" w:rsidRDefault="00011F1A" w:rsidP="008928BB">
      <w:pPr>
        <w:tabs>
          <w:tab w:val="left" w:pos="1176"/>
        </w:tabs>
        <w:spacing w:line="240" w:lineRule="auto"/>
        <w:jc w:val="both"/>
        <w:rPr>
          <w:rFonts w:ascii="Times New Roman" w:hAnsi="Times New Roman" w:cs="Times New Roman"/>
          <w:sz w:val="24"/>
          <w:szCs w:val="24"/>
        </w:rPr>
      </w:pPr>
      <w:r w:rsidRPr="00422170">
        <w:rPr>
          <w:rFonts w:ascii="Times New Roman" w:hAnsi="Times New Roman" w:cs="Times New Roman"/>
          <w:sz w:val="24"/>
          <w:szCs w:val="24"/>
        </w:rPr>
        <w:lastRenderedPageBreak/>
        <w:tab/>
      </w:r>
      <w:r w:rsidRPr="00422170">
        <w:rPr>
          <w:rFonts w:ascii="Times New Roman" w:eastAsia="Aptos" w:hAnsi="Times New Roman" w:cs="Times New Roman"/>
          <w:sz w:val="24"/>
          <w:szCs w:val="24"/>
          <w:lang w:val="en-US"/>
        </w:rPr>
        <w:t xml:space="preserve"> </w:t>
      </w:r>
    </w:p>
    <w:p w:rsidR="00011F1A" w:rsidRPr="00422170" w:rsidRDefault="00011F1A" w:rsidP="008928BB">
      <w:pPr>
        <w:spacing w:after="0" w:line="240" w:lineRule="auto"/>
        <w:jc w:val="both"/>
        <w:rPr>
          <w:rFonts w:ascii="Times New Roman" w:eastAsia="Aptos" w:hAnsi="Times New Roman" w:cs="Times New Roman"/>
          <w:sz w:val="24"/>
          <w:szCs w:val="24"/>
          <w:lang w:val="en-US"/>
        </w:rPr>
      </w:pPr>
      <m:oMathPara>
        <m:oMath>
          <m:r>
            <w:rPr>
              <w:rFonts w:ascii="Cambria Math" w:eastAsia="Aptos" w:hAnsi="Cambria Math" w:cs="Times New Roman"/>
              <w:sz w:val="24"/>
              <w:szCs w:val="24"/>
              <w:lang w:val="en-US"/>
            </w:rPr>
            <m:t>n=</m:t>
          </m:r>
          <m:f>
            <m:fPr>
              <m:ctrlPr>
                <w:rPr>
                  <w:rFonts w:ascii="Cambria Math" w:eastAsia="Aptos" w:hAnsi="Cambria Math" w:cs="Times New Roman"/>
                  <w:i/>
                  <w:sz w:val="24"/>
                  <w:szCs w:val="24"/>
                  <w:lang w:val="en-US"/>
                </w:rPr>
              </m:ctrlPr>
            </m:fPr>
            <m:num>
              <m:r>
                <m:rPr>
                  <m:sty m:val="p"/>
                </m:rPr>
                <w:rPr>
                  <w:rFonts w:ascii="Cambria Math" w:eastAsia="Aptos" w:hAnsi="Cambria Math" w:cs="Times New Roman"/>
                  <w:sz w:val="24"/>
                  <w:szCs w:val="24"/>
                  <w:lang w:val="en-US"/>
                </w:rPr>
                <m:t>129,572</m:t>
              </m:r>
            </m:num>
            <m:den>
              <m:r>
                <w:rPr>
                  <w:rFonts w:ascii="Cambria Math" w:eastAsia="Aptos" w:hAnsi="Cambria Math" w:cs="Times New Roman"/>
                  <w:sz w:val="24"/>
                  <w:szCs w:val="24"/>
                  <w:lang w:val="en-US"/>
                </w:rPr>
                <m:t>1+</m:t>
              </m:r>
              <m:r>
                <m:rPr>
                  <m:sty m:val="p"/>
                </m:rPr>
                <w:rPr>
                  <w:rFonts w:ascii="Cambria Math" w:eastAsia="Aptos" w:hAnsi="Cambria Math" w:cs="Times New Roman"/>
                  <w:sz w:val="24"/>
                  <w:szCs w:val="24"/>
                  <w:lang w:val="en-US"/>
                </w:rPr>
                <m:t>129,572×</m:t>
              </m:r>
              <m:sSup>
                <m:sSupPr>
                  <m:ctrlPr>
                    <w:rPr>
                      <w:rFonts w:ascii="Cambria Math" w:eastAsia="Aptos" w:hAnsi="Cambria Math" w:cs="Times New Roman"/>
                      <w:sz w:val="24"/>
                      <w:szCs w:val="24"/>
                      <w:lang w:val="en-US"/>
                    </w:rPr>
                  </m:ctrlPr>
                </m:sSupPr>
                <m:e>
                  <m:r>
                    <w:rPr>
                      <w:rFonts w:ascii="Cambria Math" w:eastAsia="Aptos" w:hAnsi="Cambria Math" w:cs="Times New Roman"/>
                      <w:sz w:val="24"/>
                      <w:szCs w:val="24"/>
                      <w:lang w:val="en-US"/>
                    </w:rPr>
                    <m:t>(0.05)</m:t>
                  </m:r>
                </m:e>
                <m:sup>
                  <m:r>
                    <w:rPr>
                      <w:rFonts w:ascii="Cambria Math" w:eastAsia="Aptos" w:hAnsi="Cambria Math" w:cs="Times New Roman"/>
                      <w:sz w:val="24"/>
                      <w:szCs w:val="24"/>
                      <w:lang w:val="en-US"/>
                    </w:rPr>
                    <m:t>2</m:t>
                  </m:r>
                </m:sup>
              </m:sSup>
            </m:den>
          </m:f>
          <m:r>
            <w:rPr>
              <w:rFonts w:ascii="Cambria Math" w:eastAsia="Aptos" w:hAnsi="Cambria Math" w:cs="Times New Roman"/>
              <w:sz w:val="24"/>
              <w:szCs w:val="24"/>
              <w:lang w:val="en-US"/>
            </w:rPr>
            <m:t>=</m:t>
          </m:r>
          <m:f>
            <m:fPr>
              <m:ctrlPr>
                <w:rPr>
                  <w:rFonts w:ascii="Cambria Math" w:eastAsia="Aptos" w:hAnsi="Cambria Math" w:cs="Times New Roman"/>
                  <w:i/>
                  <w:sz w:val="24"/>
                  <w:szCs w:val="24"/>
                  <w:lang w:val="en-US"/>
                </w:rPr>
              </m:ctrlPr>
            </m:fPr>
            <m:num>
              <m:r>
                <m:rPr>
                  <m:sty m:val="p"/>
                </m:rPr>
                <w:rPr>
                  <w:rFonts w:ascii="Cambria Math" w:eastAsia="Aptos" w:hAnsi="Cambria Math" w:cs="Times New Roman"/>
                  <w:sz w:val="24"/>
                  <w:szCs w:val="24"/>
                  <w:lang w:val="en-US"/>
                </w:rPr>
                <m:t>129,572</m:t>
              </m:r>
            </m:num>
            <m:den>
              <m:r>
                <w:rPr>
                  <w:rFonts w:ascii="Cambria Math" w:eastAsia="Aptos" w:hAnsi="Cambria Math" w:cs="Times New Roman"/>
                  <w:sz w:val="24"/>
                  <w:szCs w:val="24"/>
                  <w:lang w:val="en-US"/>
                </w:rPr>
                <m:t>324.93</m:t>
              </m:r>
            </m:den>
          </m:f>
          <m:r>
            <w:rPr>
              <w:rFonts w:ascii="Cambria Math" w:eastAsia="Aptos" w:hAnsi="Cambria Math" w:cs="Times New Roman"/>
              <w:sz w:val="24"/>
              <w:szCs w:val="24"/>
              <w:lang w:val="en-US"/>
            </w:rPr>
            <m:t>=398.77≈399</m:t>
          </m:r>
        </m:oMath>
      </m:oMathPara>
    </w:p>
    <w:p w:rsidR="00011F1A" w:rsidRPr="00422170" w:rsidRDefault="00011F1A" w:rsidP="008928BB">
      <w:pPr>
        <w:spacing w:after="0" w:line="240" w:lineRule="auto"/>
        <w:jc w:val="both"/>
        <w:rPr>
          <w:rFonts w:ascii="Times New Roman" w:hAnsi="Times New Roman" w:cs="Times New Roman"/>
          <w:sz w:val="24"/>
          <w:szCs w:val="24"/>
        </w:rPr>
      </w:pPr>
    </w:p>
    <w:p w:rsidR="008019D7" w:rsidRPr="00422170" w:rsidRDefault="008019D7"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Data Collection Methods</w:t>
      </w:r>
    </w:p>
    <w:p w:rsidR="00376F52" w:rsidRPr="00422170" w:rsidRDefault="00376F52"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This study employed a mixed-methods approach to explore innovative strategies for strengthening community engagement in rural road maintenance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Tanzania. Structured questionnaires were used to collect quantitative data from community members actively involved in road maintenance initiatives. The instrument was specifically designed to assess the extent and quality of community participation, examining involvement in planning, implementation, and monitoring of road maintenance activities. Predominantly composed of closed-ended questions, the questionnaires facilitated uniform responses and enabled systematic statistical analysis. The data provided comprehensive insights into how community members contribute to the sustainability of rural road infrastructure and the effectiveness of engagement strategies.</w:t>
      </w:r>
    </w:p>
    <w:p w:rsidR="001F7583" w:rsidRPr="00422170" w:rsidRDefault="001F7583" w:rsidP="008928BB">
      <w:pPr>
        <w:spacing w:after="0" w:line="240" w:lineRule="auto"/>
        <w:jc w:val="both"/>
        <w:rPr>
          <w:rFonts w:ascii="Times New Roman" w:hAnsi="Times New Roman" w:cs="Times New Roman"/>
          <w:sz w:val="24"/>
          <w:szCs w:val="24"/>
        </w:rPr>
      </w:pPr>
    </w:p>
    <w:p w:rsidR="00376F52" w:rsidRPr="00422170" w:rsidRDefault="00376F52"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addition, key informant interviews were conducted to gather qualitative data from individuals with specialized knowledge and direct involvement in rural road maintenance projects. The key informants included local leaders</w:t>
      </w:r>
      <w:r w:rsidR="008073DC" w:rsidRPr="00422170">
        <w:rPr>
          <w:rFonts w:ascii="Times New Roman" w:hAnsi="Times New Roman" w:cs="Times New Roman"/>
          <w:sz w:val="24"/>
          <w:szCs w:val="24"/>
        </w:rPr>
        <w:t xml:space="preserve"> (LD)</w:t>
      </w:r>
      <w:r w:rsidRPr="00422170">
        <w:rPr>
          <w:rFonts w:ascii="Times New Roman" w:hAnsi="Times New Roman" w:cs="Times New Roman"/>
          <w:sz w:val="24"/>
          <w:szCs w:val="24"/>
        </w:rPr>
        <w:t>, the project manager</w:t>
      </w:r>
      <w:r w:rsidR="008073DC" w:rsidRPr="00422170">
        <w:rPr>
          <w:rFonts w:ascii="Times New Roman" w:hAnsi="Times New Roman" w:cs="Times New Roman"/>
          <w:sz w:val="24"/>
          <w:szCs w:val="24"/>
        </w:rPr>
        <w:t xml:space="preserve"> (PM)</w:t>
      </w:r>
      <w:r w:rsidRPr="00422170">
        <w:rPr>
          <w:rFonts w:ascii="Times New Roman" w:hAnsi="Times New Roman" w:cs="Times New Roman"/>
          <w:sz w:val="24"/>
          <w:szCs w:val="24"/>
        </w:rPr>
        <w:t>, and the TARURA Regional Manager</w:t>
      </w:r>
      <w:r w:rsidR="008073DC" w:rsidRPr="00422170">
        <w:rPr>
          <w:rFonts w:ascii="Times New Roman" w:hAnsi="Times New Roman" w:cs="Times New Roman"/>
          <w:sz w:val="24"/>
          <w:szCs w:val="24"/>
        </w:rPr>
        <w:t xml:space="preserve"> (TRM)</w:t>
      </w:r>
      <w:r w:rsidR="007A216C" w:rsidRPr="00422170">
        <w:rPr>
          <w:rFonts w:ascii="Times New Roman" w:hAnsi="Times New Roman" w:cs="Times New Roman"/>
          <w:sz w:val="24"/>
          <w:szCs w:val="24"/>
        </w:rPr>
        <w:t xml:space="preserve">. These interviews explored </w:t>
      </w:r>
      <w:r w:rsidRPr="00422170">
        <w:rPr>
          <w:rFonts w:ascii="Times New Roman" w:hAnsi="Times New Roman" w:cs="Times New Roman"/>
          <w:sz w:val="24"/>
          <w:szCs w:val="24"/>
        </w:rPr>
        <w:t>innovative approaches for strengthening engagement and sustaining rural road infrastructure.</w:t>
      </w:r>
    </w:p>
    <w:p w:rsidR="00376F52" w:rsidRPr="00422170" w:rsidRDefault="00376F52"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Data Analysis</w:t>
      </w:r>
    </w:p>
    <w:p w:rsidR="00376F52" w:rsidRPr="00422170" w:rsidRDefault="00551637"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order t</w:t>
      </w:r>
      <w:r w:rsidR="00320781" w:rsidRPr="00422170">
        <w:rPr>
          <w:rFonts w:ascii="Times New Roman" w:hAnsi="Times New Roman" w:cs="Times New Roman"/>
          <w:sz w:val="24"/>
          <w:szCs w:val="24"/>
        </w:rPr>
        <w:t>o examine innovative approaches for strengthening community engagement in rural road maintenance, this study employed a mixed-methods approach, combining quantitative and qualitative data analysis techniques. Quantitative data were analysed using descriptive statistics, including frequencies, percentages, and mean scores, to assess the prevalence and perceived effectiveness of various innovative strategies, such as digital monitoring tools, structured training programs, and incentive-based participation models. Qualitative data, collected through key informant interviews, were analysed using content analysis, with participants’ responses presented in the form of direct quotes. This approach allowed the study to capture detailed insights into best practices, challenges, and practical experiences in implementing innovative approaches to enhance community participation in road maintenance initiatives.</w:t>
      </w:r>
    </w:p>
    <w:p w:rsidR="002E614B" w:rsidRPr="00422170" w:rsidRDefault="00551637"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RESULTS AND DISCUSSION</w:t>
      </w:r>
    </w:p>
    <w:p w:rsidR="00551637" w:rsidRPr="00422170" w:rsidRDefault="00551637" w:rsidP="008928BB">
      <w:pPr>
        <w:pStyle w:val="ListParagraph"/>
        <w:numPr>
          <w:ilvl w:val="1"/>
          <w:numId w:val="2"/>
        </w:numPr>
        <w:spacing w:line="240" w:lineRule="auto"/>
        <w:rPr>
          <w:rFonts w:ascii="Times New Roman" w:hAnsi="Times New Roman" w:cs="Times New Roman"/>
          <w:b/>
          <w:sz w:val="24"/>
          <w:szCs w:val="24"/>
        </w:rPr>
      </w:pPr>
      <w:r w:rsidRPr="00422170">
        <w:rPr>
          <w:rFonts w:ascii="Times New Roman" w:hAnsi="Times New Roman" w:cs="Times New Roman"/>
          <w:b/>
          <w:sz w:val="24"/>
          <w:szCs w:val="24"/>
        </w:rPr>
        <w:t>Demographic Characteristics of Respondents</w:t>
      </w: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This section presents the demographic characteristics of respondents, providing essential context for understanding community engagement in rural road maintenance projects within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Key attributes analysed include age, gender, education, employment status, income, and proximity to road projects, which collectively explain patterns of participation in planning, implementation, and monitoring activities.</w:t>
      </w:r>
    </w:p>
    <w:p w:rsidR="003F3D34" w:rsidRPr="00422170" w:rsidRDefault="003F3D34" w:rsidP="008928BB">
      <w:pPr>
        <w:spacing w:after="0" w:line="240" w:lineRule="auto"/>
        <w:jc w:val="both"/>
        <w:rPr>
          <w:rFonts w:ascii="Times New Roman" w:hAnsi="Times New Roman" w:cs="Times New Roman"/>
          <w:sz w:val="24"/>
          <w:szCs w:val="24"/>
        </w:rPr>
      </w:pPr>
    </w:p>
    <w:p w:rsidR="00551637"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As shown in Table 1, the majority of respondents were male (61.2%), indicating higher male involvement in road maintenance compared to females (38.8%). However, the substantial female participation challenges traditional gender n</w:t>
      </w:r>
      <w:r w:rsidR="003F3D34" w:rsidRPr="00422170">
        <w:rPr>
          <w:rFonts w:ascii="Times New Roman" w:hAnsi="Times New Roman" w:cs="Times New Roman"/>
          <w:sz w:val="24"/>
          <w:szCs w:val="24"/>
        </w:rPr>
        <w:t xml:space="preserve">orms and aligns with </w:t>
      </w:r>
      <w:proofErr w:type="spellStart"/>
      <w:r w:rsidR="003F3D34" w:rsidRPr="00422170">
        <w:rPr>
          <w:rFonts w:ascii="Times New Roman" w:hAnsi="Times New Roman" w:cs="Times New Roman"/>
          <w:sz w:val="24"/>
          <w:szCs w:val="24"/>
        </w:rPr>
        <w:t>Kamuzora</w:t>
      </w:r>
      <w:proofErr w:type="spellEnd"/>
      <w:r w:rsidR="003F3D34" w:rsidRPr="00422170">
        <w:rPr>
          <w:rFonts w:ascii="Times New Roman" w:hAnsi="Times New Roman" w:cs="Times New Roman"/>
          <w:sz w:val="24"/>
          <w:szCs w:val="24"/>
        </w:rPr>
        <w:t xml:space="preserve"> </w:t>
      </w:r>
      <w:r w:rsidR="003F3D34" w:rsidRPr="00422170">
        <w:rPr>
          <w:rFonts w:ascii="Times New Roman" w:hAnsi="Times New Roman" w:cs="Times New Roman"/>
          <w:sz w:val="24"/>
          <w:szCs w:val="24"/>
        </w:rPr>
        <w:fldChar w:fldCharType="begin" w:fldLock="1"/>
      </w:r>
      <w:r w:rsidR="00627C3E" w:rsidRPr="00422170">
        <w:rPr>
          <w:rFonts w:ascii="Times New Roman" w:hAnsi="Times New Roman" w:cs="Times New Roman"/>
          <w:sz w:val="24"/>
          <w:szCs w:val="24"/>
        </w:rPr>
        <w:instrText>ADDIN CSL_CITATION {"citationItems":[{"id":"ITEM-1","itemData":{"DOI":"10.46606/eajess2024v05i01.0347","abstract":"This study investigated about factors influencing women's involvement in community development projects within the framework of development initiatives targeting women. Specifically, it focused on water initiatives in the Mvomero District. The study utilized the cross-sectional design. The findings from probit regression analysis reveal significant insights, highlighting the influential role of various factors in shaping women's decisions to participate. Education level emerges as a significant determinant emphasizing the pivotal role of educational attainment in fostering women's involvement in community development endeavors. Additionally, marital status and family size demonstrate notable impacts, illustrating the complex relationship between familial responsibilities and women's engagement in such projects. Furthermore, income level and access to credit emerged as crucial determinants, underscoring the importance of financial resources in facilitating women's active participation. Moreover, media, awareness and government policies played pivotal roles in influencing women's decisions to engage in community development initiatives. The study emphasizes the necessity of targeted policy interventions aimed at women’s participation through enhancement of income-generating opportunities and awareness to foster inclusive development and growth, thereby contributing to the advancement of gender equality in community development efforts.","author":[{"dropping-particle":"","family":"Ngirwa Kamuzora","given":"Aurelia","non-dropping-particle":"","parse-names":false,"suffix":""}],"container-title":"East African Journal of Education and Social Sciences","id":"ITEM-1","issue":"1","issued":{"date-parts":[["2024"]]},"page":"33-43","title":"Factors Shaping Women's Involvement in Community Development Projects: A Case of Mvomero Water Initiatives","type":"article-journal","volume":"5"},"suppress-author":1,"uris":["http://www.mendeley.com/documents/?uuid=3ff3a811-e605-4131-9a2c-148233681834"]}],"mendeley":{"formattedCitation":"(2024)","plainTextFormattedCitation":"(2024)","previouslyFormattedCitation":"(2024)"},"properties":{"noteIndex":0},"schema":"https://github.com/citation-style-language/schema/raw/master/csl-citation.json"}</w:instrText>
      </w:r>
      <w:r w:rsidR="003F3D34" w:rsidRPr="00422170">
        <w:rPr>
          <w:rFonts w:ascii="Times New Roman" w:hAnsi="Times New Roman" w:cs="Times New Roman"/>
          <w:sz w:val="24"/>
          <w:szCs w:val="24"/>
        </w:rPr>
        <w:fldChar w:fldCharType="separate"/>
      </w:r>
      <w:r w:rsidR="003F3D34" w:rsidRPr="00422170">
        <w:rPr>
          <w:rFonts w:ascii="Times New Roman" w:hAnsi="Times New Roman" w:cs="Times New Roman"/>
          <w:noProof/>
          <w:sz w:val="24"/>
          <w:szCs w:val="24"/>
        </w:rPr>
        <w:t>(2024)</w:t>
      </w:r>
      <w:r w:rsidR="003F3D34" w:rsidRPr="00422170">
        <w:rPr>
          <w:rFonts w:ascii="Times New Roman" w:hAnsi="Times New Roman" w:cs="Times New Roman"/>
          <w:sz w:val="24"/>
          <w:szCs w:val="24"/>
        </w:rPr>
        <w:fldChar w:fldCharType="end"/>
      </w:r>
      <w:r w:rsidRPr="00422170">
        <w:rPr>
          <w:rFonts w:ascii="Times New Roman" w:hAnsi="Times New Roman" w:cs="Times New Roman"/>
          <w:sz w:val="24"/>
          <w:szCs w:val="24"/>
        </w:rPr>
        <w:t>, who highlighted the increasing role of women in community development initiatives.</w:t>
      </w:r>
    </w:p>
    <w:p w:rsidR="001F7583" w:rsidRPr="00422170" w:rsidRDefault="001F7583" w:rsidP="008928BB">
      <w:pPr>
        <w:spacing w:after="0" w:line="240" w:lineRule="auto"/>
        <w:jc w:val="both"/>
        <w:rPr>
          <w:rFonts w:ascii="Times New Roman" w:hAnsi="Times New Roman" w:cs="Times New Roman"/>
          <w:sz w:val="24"/>
          <w:szCs w:val="24"/>
        </w:rPr>
      </w:pPr>
    </w:p>
    <w:p w:rsidR="001F7583" w:rsidRPr="00422170" w:rsidRDefault="001F7583" w:rsidP="008928BB">
      <w:pPr>
        <w:spacing w:after="0" w:line="240" w:lineRule="auto"/>
        <w:jc w:val="both"/>
        <w:rPr>
          <w:rFonts w:ascii="Times New Roman" w:hAnsi="Times New Roman" w:cs="Times New Roman"/>
          <w:sz w:val="24"/>
          <w:szCs w:val="24"/>
        </w:rPr>
      </w:pPr>
    </w:p>
    <w:p w:rsidR="00551637" w:rsidRPr="00422170" w:rsidRDefault="00551637" w:rsidP="008928BB">
      <w:pPr>
        <w:keepNext/>
        <w:spacing w:after="200" w:line="240" w:lineRule="auto"/>
        <w:jc w:val="center"/>
        <w:rPr>
          <w:rFonts w:ascii="Times New Roman" w:eastAsia="Calibri" w:hAnsi="Times New Roman" w:cs="Times New Roman"/>
          <w:b/>
          <w:bCs/>
          <w:sz w:val="24"/>
          <w:szCs w:val="24"/>
        </w:rPr>
      </w:pPr>
      <w:bookmarkStart w:id="0" w:name="_Toc198199010"/>
      <w:r w:rsidRPr="00422170">
        <w:rPr>
          <w:rFonts w:ascii="Times New Roman" w:eastAsia="Calibri" w:hAnsi="Times New Roman" w:cs="Times New Roman"/>
          <w:b/>
          <w:bCs/>
          <w:sz w:val="24"/>
          <w:szCs w:val="24"/>
        </w:rPr>
        <w:lastRenderedPageBreak/>
        <w:t xml:space="preserve">Table </w:t>
      </w:r>
      <w:r w:rsidRPr="00422170">
        <w:rPr>
          <w:rFonts w:ascii="Times New Roman" w:eastAsia="Calibri" w:hAnsi="Times New Roman" w:cs="Times New Roman"/>
          <w:b/>
          <w:bCs/>
          <w:sz w:val="24"/>
          <w:szCs w:val="24"/>
        </w:rPr>
        <w:fldChar w:fldCharType="begin"/>
      </w:r>
      <w:r w:rsidRPr="00422170">
        <w:rPr>
          <w:rFonts w:ascii="Times New Roman" w:eastAsia="Calibri" w:hAnsi="Times New Roman" w:cs="Times New Roman"/>
          <w:b/>
          <w:bCs/>
          <w:sz w:val="24"/>
          <w:szCs w:val="24"/>
        </w:rPr>
        <w:instrText xml:space="preserve"> SEQ Table_4 \* ARABIC </w:instrText>
      </w:r>
      <w:r w:rsidRPr="00422170">
        <w:rPr>
          <w:rFonts w:ascii="Times New Roman" w:eastAsia="Calibri" w:hAnsi="Times New Roman" w:cs="Times New Roman"/>
          <w:b/>
          <w:bCs/>
          <w:sz w:val="24"/>
          <w:szCs w:val="24"/>
        </w:rPr>
        <w:fldChar w:fldCharType="separate"/>
      </w:r>
      <w:r w:rsidRPr="00422170">
        <w:rPr>
          <w:rFonts w:ascii="Times New Roman" w:eastAsia="Calibri" w:hAnsi="Times New Roman" w:cs="Times New Roman"/>
          <w:b/>
          <w:bCs/>
          <w:noProof/>
          <w:sz w:val="24"/>
          <w:szCs w:val="24"/>
        </w:rPr>
        <w:t>1</w:t>
      </w:r>
      <w:r w:rsidRPr="00422170">
        <w:rPr>
          <w:rFonts w:ascii="Times New Roman" w:eastAsia="Calibri" w:hAnsi="Times New Roman" w:cs="Times New Roman"/>
          <w:b/>
          <w:bCs/>
          <w:sz w:val="24"/>
          <w:szCs w:val="24"/>
        </w:rPr>
        <w:fldChar w:fldCharType="end"/>
      </w:r>
      <w:r w:rsidRPr="00422170">
        <w:rPr>
          <w:rFonts w:ascii="Times New Roman" w:eastAsia="Calibri" w:hAnsi="Times New Roman" w:cs="Times New Roman"/>
          <w:b/>
          <w:bCs/>
          <w:sz w:val="24"/>
          <w:szCs w:val="24"/>
        </w:rPr>
        <w:t>: Frequency Distribution of Respondents by Demographic Characteristics</w:t>
      </w:r>
      <w:bookmarkEnd w:id="0"/>
      <w:r w:rsidRPr="00422170">
        <w:rPr>
          <w:rFonts w:ascii="Times New Roman" w:eastAsia="Calibri" w:hAnsi="Times New Roman" w:cs="Times New Roman"/>
          <w:b/>
          <w:bCs/>
          <w:sz w:val="24"/>
          <w:szCs w:val="24"/>
        </w:rPr>
        <w:t xml:space="preserve"> (n=399)</w:t>
      </w:r>
    </w:p>
    <w:tbl>
      <w:tblPr>
        <w:tblStyle w:val="TableGrid"/>
        <w:tblW w:w="8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1629"/>
        <w:gridCol w:w="1497"/>
      </w:tblGrid>
      <w:tr w:rsidR="00671A3C" w:rsidRPr="00422170" w:rsidTr="00F93BA2">
        <w:trPr>
          <w:trHeight w:val="400"/>
        </w:trPr>
        <w:tc>
          <w:tcPr>
            <w:tcW w:w="5031" w:type="dxa"/>
            <w:tcBorders>
              <w:top w:val="single" w:sz="12" w:space="0" w:color="auto"/>
              <w:bottom w:val="single" w:sz="12" w:space="0" w:color="auto"/>
            </w:tcBorders>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Demographic Characteristics</w:t>
            </w:r>
          </w:p>
        </w:tc>
        <w:tc>
          <w:tcPr>
            <w:tcW w:w="1629" w:type="dxa"/>
            <w:tcBorders>
              <w:top w:val="single" w:sz="12" w:space="0" w:color="auto"/>
              <w:bottom w:val="single" w:sz="12" w:space="0" w:color="auto"/>
            </w:tcBorders>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Frequency</w:t>
            </w:r>
          </w:p>
        </w:tc>
        <w:tc>
          <w:tcPr>
            <w:tcW w:w="1497" w:type="dxa"/>
            <w:tcBorders>
              <w:top w:val="single" w:sz="12" w:space="0" w:color="auto"/>
              <w:bottom w:val="single" w:sz="12" w:space="0" w:color="auto"/>
            </w:tcBorders>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Percent (%)</w:t>
            </w:r>
          </w:p>
        </w:tc>
      </w:tr>
      <w:tr w:rsidR="00671A3C" w:rsidRPr="00422170" w:rsidTr="00F93BA2">
        <w:trPr>
          <w:trHeight w:val="304"/>
        </w:trPr>
        <w:tc>
          <w:tcPr>
            <w:tcW w:w="5031" w:type="dxa"/>
            <w:tcBorders>
              <w:top w:val="single" w:sz="12" w:space="0" w:color="auto"/>
            </w:tcBorders>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Gender</w:t>
            </w:r>
          </w:p>
        </w:tc>
        <w:tc>
          <w:tcPr>
            <w:tcW w:w="1629" w:type="dxa"/>
            <w:tcBorders>
              <w:top w:val="single" w:sz="12" w:space="0" w:color="auto"/>
            </w:tcBorders>
            <w:noWrap/>
          </w:tcPr>
          <w:p w:rsidR="00551637" w:rsidRPr="00422170" w:rsidRDefault="00551637" w:rsidP="008928BB">
            <w:pPr>
              <w:rPr>
                <w:rFonts w:ascii="Times New Roman" w:eastAsia="Aptos" w:hAnsi="Times New Roman" w:cs="Times New Roman"/>
                <w:sz w:val="20"/>
                <w:szCs w:val="20"/>
              </w:rPr>
            </w:pPr>
          </w:p>
        </w:tc>
        <w:tc>
          <w:tcPr>
            <w:tcW w:w="1497" w:type="dxa"/>
            <w:tcBorders>
              <w:top w:val="single" w:sz="12" w:space="0" w:color="auto"/>
            </w:tcBorders>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Male</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244</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61.2</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Female</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155</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38.8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Age Group</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Below 20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55</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13.8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20–29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97</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24.3</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30–39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111</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27.8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40–49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95</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23.8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50 and above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41</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10.3</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Level of Education</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No formal education</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24</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6.0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Primary education</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43</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10.8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Secondary education</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126</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31.6</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Tertiary education</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111</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27.8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Degree</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95</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23.8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Employment Status</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Employed</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69</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17.3</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Self Employed</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251</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62.9</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Unemployed</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79</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19.8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Household Income (TSH/Month)</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Less than 100,000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100,000–300,000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149</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37.3</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300,001–500,000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72</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18.0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500,001–1,000,000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178</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44.6</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More than 1,000,000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Proximity to the Project (in km)</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Less than 1Km</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1–3 Km</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296</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74.2</w:t>
            </w:r>
          </w:p>
        </w:tc>
      </w:tr>
      <w:tr w:rsidR="00671A3C" w:rsidRPr="00422170" w:rsidTr="00F93BA2">
        <w:trPr>
          <w:trHeight w:val="304"/>
        </w:trPr>
        <w:tc>
          <w:tcPr>
            <w:tcW w:w="5031" w:type="dxa"/>
            <w:tcBorders>
              <w:bottom w:val="single" w:sz="12" w:space="0" w:color="auto"/>
            </w:tcBorders>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More than 3Km</w:t>
            </w:r>
          </w:p>
        </w:tc>
        <w:tc>
          <w:tcPr>
            <w:tcW w:w="1629" w:type="dxa"/>
            <w:tcBorders>
              <w:bottom w:val="single" w:sz="12" w:space="0" w:color="auto"/>
            </w:tcBorders>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103</w:t>
            </w:r>
          </w:p>
        </w:tc>
        <w:tc>
          <w:tcPr>
            <w:tcW w:w="1497" w:type="dxa"/>
            <w:tcBorders>
              <w:bottom w:val="single" w:sz="12" w:space="0" w:color="auto"/>
            </w:tcBorders>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25.8</w:t>
            </w:r>
          </w:p>
        </w:tc>
      </w:tr>
    </w:tbl>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Regarding age, most respondents were aged between 20 and 49 years, with the 30–39 age group representing the largest proportion (27.9%), followed by 20–29 years (24.3%) and 40–49 years (23.8%). This suggests that youths and middle-aged adults are the most active participants in road maintenance projects, consistent </w:t>
      </w:r>
      <w:r w:rsidR="00627C3E" w:rsidRPr="00422170">
        <w:rPr>
          <w:rFonts w:ascii="Times New Roman" w:hAnsi="Times New Roman" w:cs="Times New Roman"/>
          <w:sz w:val="24"/>
          <w:szCs w:val="24"/>
        </w:rPr>
        <w:t xml:space="preserve">with Chen et al. </w:t>
      </w:r>
      <w:r w:rsidR="00627C3E" w:rsidRPr="00422170">
        <w:rPr>
          <w:rFonts w:ascii="Times New Roman" w:hAnsi="Times New Roman" w:cs="Times New Roman"/>
          <w:sz w:val="24"/>
          <w:szCs w:val="24"/>
        </w:rPr>
        <w:fldChar w:fldCharType="begin" w:fldLock="1"/>
      </w:r>
      <w:r w:rsidR="00627C3E" w:rsidRPr="00422170">
        <w:rPr>
          <w:rFonts w:ascii="Times New Roman" w:hAnsi="Times New Roman" w:cs="Times New Roman"/>
          <w:sz w:val="24"/>
          <w:szCs w:val="24"/>
        </w:rPr>
        <w:instrText>ADDIN CSL_CITATION {"citationItems":[{"id":"ITEM-1","itemData":{"DOI":"10.3389/fpubh.2023.1140965","ISSN":"22962565","PMID":"37869203","abstract":"Background: The pursuit of successful aging is currently the most important research and policy issue in an aging society. Participating in voluntary services can help middle-aged and older adults recognize the positive value and benefits of social participation, feel a sense of happiness and accomplishment, and improve their overall life satisfaction, which can also contribute to successful aging. This study wants to understand whether the participation motivation and expectation confirmation of middle-aged and older adult volunteering will affect their continuous participation behavior and successful aging because of the satisfaction of actual participation? Objective: This study explores the factors related to middle-aged and older adult volunteering participation and their impact on successful aging. Methods: Middle-aged and older adult volunteering from the East Taiwan Community Development Association and community care centers were taken as the research objects. Convenience sampling was used to select volunteers who were over 45 years old (inclusive) and have participated in voluntary services over five (inclusive) times in the last 6 months. Respondents completed the questionnaire through self-completion or face-to-face interviews with the interviewer. The measurement tools include engagement motivation, expectation validation, satisfaction, ongoing engagement, and successful aging. Results: A total of 536 questionnaires were distributed of which 498 were valid and 38 invalid. The questionnaire recovery rate was 92.91%. Statistical findings include: (1) Those who perceived that their health was good had a better successful aging status than those who perceived that their health was normal. (2) The volunteering participation motivation and expectation confirmation of middle-aged and older adults significantly affected their volunteer participation satisfaction. (3) Participation motivation and expectation confirmation predicted 50.8% of satisfaction. (4) Satisfaction predicted 47.1% of continuous participation. (5) Continuous participation and satisfaction had a predictive power of 65.1% for successful aging. Conclusion: This study confirms that the motivation and expectation of middle-aged and older adult to participate in volunteering will affect their continuous participation behavior and successful aging status through satisfaction. The research results can be used as a reference for the practical work plan of volunteering.","author":[{"dropping-particle":"","family":"Chen","given":"Chien Chih","non-dropping-particle":"","parse-names":false,"suffix":""},{"dropping-particle":"","family":"Lan","given":"Yu Li","non-dropping-particle":"","parse-names":false,"suffix":""},{"dropping-particle":"","family":"Yan","given":"Yu Hua","non-dropping-particle":"","parse-names":false,"suffix":""}],"container-title":"Frontiers in Public Health","id":"ITEM-1","issue":"10","issued":{"date-parts":[["2023"]]},"page":"1-8","title":"Empirical study on the factors influencing the successful aging of the middle-aged and older adult community volunteers","type":"article-journal","volume":"11"},"suppress-author":1,"uris":["http://www.mendeley.com/documents/?uuid=c9fc452c-a493-42ae-abe4-80c9efed4def"]}],"mendeley":{"formattedCitation":"(2023)","plainTextFormattedCitation":"(2023)","previouslyFormattedCitation":"(2023)"},"properties":{"noteIndex":0},"schema":"https://github.com/citation-style-language/schema/raw/master/csl-citation.json"}</w:instrText>
      </w:r>
      <w:r w:rsidR="00627C3E" w:rsidRPr="00422170">
        <w:rPr>
          <w:rFonts w:ascii="Times New Roman" w:hAnsi="Times New Roman" w:cs="Times New Roman"/>
          <w:sz w:val="24"/>
          <w:szCs w:val="24"/>
        </w:rPr>
        <w:fldChar w:fldCharType="separate"/>
      </w:r>
      <w:r w:rsidR="00627C3E" w:rsidRPr="00422170">
        <w:rPr>
          <w:rFonts w:ascii="Times New Roman" w:hAnsi="Times New Roman" w:cs="Times New Roman"/>
          <w:noProof/>
          <w:sz w:val="24"/>
          <w:szCs w:val="24"/>
        </w:rPr>
        <w:t>(2023)</w:t>
      </w:r>
      <w:r w:rsidR="00627C3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who noted that middle-aged individuals typically participate more in community initiatives, while lower engagement among younger and older residents reflects limited capacity or competing responsibilities.</w:t>
      </w:r>
    </w:p>
    <w:p w:rsidR="00627C3E" w:rsidRPr="00422170" w:rsidRDefault="00627C3E" w:rsidP="008928BB">
      <w:pPr>
        <w:spacing w:after="0" w:line="240" w:lineRule="auto"/>
        <w:jc w:val="both"/>
        <w:rPr>
          <w:rFonts w:ascii="Times New Roman" w:hAnsi="Times New Roman" w:cs="Times New Roman"/>
          <w:sz w:val="24"/>
          <w:szCs w:val="24"/>
        </w:rPr>
      </w:pP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terms of education, the majority of respondents had completed at least secondary school, with 31.7% holding secondary qualifications, 27.9% possessing tertiary education, and 23.8% having a degree. This indicates that the community is well-equipped to contribute both technically and administratively to road maintenance projects, contrasting with earlier studies that associated rural participation with lower literacy levels</w:t>
      </w:r>
      <w:r w:rsidR="00627C3E" w:rsidRPr="00422170">
        <w:rPr>
          <w:rFonts w:ascii="Times New Roman" w:hAnsi="Times New Roman" w:cs="Times New Roman"/>
          <w:sz w:val="24"/>
          <w:szCs w:val="24"/>
        </w:rPr>
        <w:t xml:space="preserve"> </w:t>
      </w:r>
      <w:r w:rsidR="00627C3E" w:rsidRPr="00422170">
        <w:rPr>
          <w:rFonts w:ascii="Times New Roman" w:hAnsi="Times New Roman" w:cs="Times New Roman"/>
          <w:sz w:val="24"/>
          <w:szCs w:val="24"/>
        </w:rPr>
        <w:fldChar w:fldCharType="begin" w:fldLock="1"/>
      </w:r>
      <w:r w:rsidR="00E9037B" w:rsidRPr="00422170">
        <w:rPr>
          <w:rFonts w:ascii="Times New Roman" w:hAnsi="Times New Roman" w:cs="Times New Roman"/>
          <w:sz w:val="24"/>
          <w:szCs w:val="24"/>
        </w:rPr>
        <w:instrText>ADDIN CSL_CITATION {"citationItems":[{"id":"ITEM-1","itemData":{"DOI":"10.1186/s12889-021-10600-7","ISBN":"1288902110600","ISSN":"14712458","PMID":"33731069","abstract":"Background: To examine associations of socioeconomic position (SEP), separately indicated by education, monthly family average income (FAI) and occupation, with health literacy (HL) among adults in regional China. Methods: A cross-sectional survey was conducted among urban and rural adults (aged 25–69 years) who were randomly selected, using the probability proportionate to size sampling approach, from Nanjing municipality of China during October and December of 2016. HL, the outcome variable, was assessed using the Chinese Resident Health Literacy Scale. SEP, our independent variable, was separately measured with educational attainment, monthly family average income and occupation. Logistic regression models were introduced to examine SEP-HL association with odds ratio (OR) and 95% confidence interval (CI). Results: Totally, 8698 participants completed the survey. The proportion of participants with unweighted and weighted adequate HL was 18.0% (95%CI = 17.2, 18.8%) and 19.9% (95%CI = 16.6, 23.6%), respectively, in this study. After adjustment for possible confounding factors, each SEP indicator was in significantly positive relation to both unweighted and weight HL level. Participants who obtained 13+ and 10–12 years educational attainment, respectively, had 2.41 (95%CI = 1.60, 3.64) and 1.68 (95%CI = 1.23, 2.29) times odds to record weighted adequate HL compared to their counterparts who were with 0–9 years education. Subjects within upper (OR = 1.92, 95%CI = 1.24, 2.98) and middle FAI tertile (OR = 1.59, 95%CI = 1.19, 2.13), respectively, were more likely to report weighted adequate HL relative to those who were within lower FAI tertile. White collars were more likely to have weighted adequate HL (OR = 1.33, 95%CI = 1.09, 1.61) than blue collars. Conclusions: Each of education, FAI and occupation was positively associated with health literacy among urban and rural adults in China. The findings have important implications that different SEP indicators can be used to identify vulnerable residents in population-based health literacy promotion campaigns.","author":[{"dropping-particle":"","family":"Chen","given":"Wei","non-dropping-particle":"","parse-names":false,"suffix":""},{"dropping-particle":"","family":"Ren","given":"Hongfu","non-dropping-particle":"","parse-names":false,"suffix":""},{"dropping-particle":"","family":"Wang","given":"Na","non-dropping-particle":"","parse-names":false,"suffix":""},{"dropping-particle":"","family":"Xiong","given":"Yaqing","non-dropping-particle":"","parse-names":false,"suffix":""},{"dropping-particle":"","family":"Xu","given":"Fei","non-dropping-particle":"","parse-names":false,"suffix":""}],"container-title":"BMC Public Health","id":"ITEM-1","issue":"1","issued":{"date-parts":[["2021"]]},"page":"1-10","publisher":"BMC Public Health","title":"The relationship between socioeconomic position and health literacy among urban and rural adults in regional China","type":"article-journal","volume":"21"},"uris":["http://www.mendeley.com/documents/?uuid=c5d1524c-3388-4c37-b13d-c68b6824b74c"]}],"mendeley":{"formattedCitation":"(W. Chen et al., 2021)","plainTextFormattedCitation":"(W. Chen et al., 2021)","previouslyFormattedCitation":"(W. Chen et al., 2021)"},"properties":{"noteIndex":0},"schema":"https://github.com/citation-style-language/schema/raw/master/csl-citation.json"}</w:instrText>
      </w:r>
      <w:r w:rsidR="00627C3E" w:rsidRPr="00422170">
        <w:rPr>
          <w:rFonts w:ascii="Times New Roman" w:hAnsi="Times New Roman" w:cs="Times New Roman"/>
          <w:sz w:val="24"/>
          <w:szCs w:val="24"/>
        </w:rPr>
        <w:fldChar w:fldCharType="separate"/>
      </w:r>
      <w:r w:rsidR="00627C3E" w:rsidRPr="00422170">
        <w:rPr>
          <w:rFonts w:ascii="Times New Roman" w:hAnsi="Times New Roman" w:cs="Times New Roman"/>
          <w:noProof/>
          <w:sz w:val="24"/>
          <w:szCs w:val="24"/>
        </w:rPr>
        <w:t>(W. Chen et al., 2021)</w:t>
      </w:r>
      <w:r w:rsidR="00627C3E"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627C3E" w:rsidRPr="00422170" w:rsidRDefault="00627C3E" w:rsidP="008928BB">
      <w:pPr>
        <w:spacing w:after="0" w:line="240" w:lineRule="auto"/>
        <w:jc w:val="both"/>
        <w:rPr>
          <w:rFonts w:ascii="Times New Roman" w:hAnsi="Times New Roman" w:cs="Times New Roman"/>
          <w:sz w:val="24"/>
          <w:szCs w:val="24"/>
        </w:rPr>
      </w:pP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lastRenderedPageBreak/>
        <w:t xml:space="preserve">Employment status analysis showed that most respondents were self-employed (62.8%), reflecting flexible livelihoods that facilitate engagement in communal </w:t>
      </w:r>
      <w:r w:rsidR="00E9037B" w:rsidRPr="00422170">
        <w:rPr>
          <w:rFonts w:ascii="Times New Roman" w:hAnsi="Times New Roman" w:cs="Times New Roman"/>
          <w:sz w:val="24"/>
          <w:szCs w:val="24"/>
        </w:rPr>
        <w:t xml:space="preserve">activities, consistent with </w:t>
      </w:r>
      <w:proofErr w:type="spellStart"/>
      <w:r w:rsidR="00E9037B" w:rsidRPr="00422170">
        <w:rPr>
          <w:rFonts w:ascii="Times New Roman" w:hAnsi="Times New Roman" w:cs="Times New Roman"/>
          <w:sz w:val="24"/>
          <w:szCs w:val="24"/>
        </w:rPr>
        <w:t>Mdoe</w:t>
      </w:r>
      <w:proofErr w:type="spellEnd"/>
      <w:r w:rsidR="00E9037B" w:rsidRPr="00422170">
        <w:rPr>
          <w:rFonts w:ascii="Times New Roman" w:hAnsi="Times New Roman" w:cs="Times New Roman"/>
          <w:sz w:val="24"/>
          <w:szCs w:val="24"/>
        </w:rPr>
        <w:t xml:space="preserve"> et al. </w:t>
      </w:r>
      <w:r w:rsidR="00E9037B" w:rsidRPr="00422170">
        <w:rPr>
          <w:rFonts w:ascii="Times New Roman" w:hAnsi="Times New Roman" w:cs="Times New Roman"/>
          <w:sz w:val="24"/>
          <w:szCs w:val="24"/>
        </w:rPr>
        <w:fldChar w:fldCharType="begin" w:fldLock="1"/>
      </w:r>
      <w:r w:rsidR="00671A3C" w:rsidRPr="00422170">
        <w:rPr>
          <w:rFonts w:ascii="Times New Roman" w:hAnsi="Times New Roman" w:cs="Times New Roman"/>
          <w:sz w:val="24"/>
          <w:szCs w:val="24"/>
        </w:rPr>
        <w:instrText>ADDIN CSL_CITATION {"citationItems":[{"id":"ITEM-1","itemData":{"ISBN":"0009000714009","author":[{"dropping-particle":"","family":"Mdoe","given":"Christopher N","non-dropping-particle":"","parse-names":false,"suffix":""},{"dropping-particle":"","family":"Kanire","given":"Ezekiel","non-dropping-particle":"","parse-names":false,"suffix":""},{"dropping-particle":"","family":"Erick","given":"Stephen Bishibura","non-dropping-particle":"","parse-names":false,"suffix":""}],"container-title":"African Journal of Empirical Research","id":"ITEM-1","issue":"2021","issued":{"date-parts":[["2024"]]},"page":"1632-1640","title":"Determinants of Employability in the Informal Sector Among the Youth in Tanzania","type":"article-journal","volume":"5"},"suppress-author":1,"uris":["http://www.mendeley.com/documents/?uuid=3c123f7a-77df-4e52-a237-5204b885db85"]}],"mendeley":{"formattedCitation":"(2024)","plainTextFormattedCitation":"(2024)","previouslyFormattedCitation":"(2024)"},"properties":{"noteIndex":0},"schema":"https://github.com/citation-style-language/schema/raw/master/csl-citation.json"}</w:instrText>
      </w:r>
      <w:r w:rsidR="00E9037B" w:rsidRPr="00422170">
        <w:rPr>
          <w:rFonts w:ascii="Times New Roman" w:hAnsi="Times New Roman" w:cs="Times New Roman"/>
          <w:sz w:val="24"/>
          <w:szCs w:val="24"/>
        </w:rPr>
        <w:fldChar w:fldCharType="separate"/>
      </w:r>
      <w:r w:rsidR="00E9037B" w:rsidRPr="00422170">
        <w:rPr>
          <w:rFonts w:ascii="Times New Roman" w:hAnsi="Times New Roman" w:cs="Times New Roman"/>
          <w:noProof/>
          <w:sz w:val="24"/>
          <w:szCs w:val="24"/>
        </w:rPr>
        <w:t>(2024)</w:t>
      </w:r>
      <w:r w:rsidR="00E9037B" w:rsidRPr="00422170">
        <w:rPr>
          <w:rFonts w:ascii="Times New Roman" w:hAnsi="Times New Roman" w:cs="Times New Roman"/>
          <w:sz w:val="24"/>
          <w:szCs w:val="24"/>
        </w:rPr>
        <w:fldChar w:fldCharType="end"/>
      </w:r>
      <w:r w:rsidR="00E9037B" w:rsidRPr="00422170">
        <w:rPr>
          <w:rFonts w:ascii="Times New Roman" w:hAnsi="Times New Roman" w:cs="Times New Roman"/>
          <w:sz w:val="24"/>
          <w:szCs w:val="24"/>
        </w:rPr>
        <w:t>, who</w:t>
      </w:r>
      <w:r w:rsidRPr="00422170">
        <w:rPr>
          <w:rFonts w:ascii="Times New Roman" w:hAnsi="Times New Roman" w:cs="Times New Roman"/>
          <w:sz w:val="24"/>
          <w:szCs w:val="24"/>
        </w:rPr>
        <w:t xml:space="preserve"> emphasises the prevalence of informal employment in rural Tanzania. Unemployed respondents (19.9%) were available but financially constrained, whereas formally employed individuals (17.2%) were limited by time despite potentially greater resources.</w:t>
      </w: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Analysis of income levels revealed that 44.5% of respondents earned between TZS 500,001 and 1,000,000, while 37.4% earned between TZS 100,000 and 300,000. This indicates a moderate-income population more likely to contribute labour and time rather than financial reso</w:t>
      </w:r>
      <w:r w:rsidR="00671A3C" w:rsidRPr="00422170">
        <w:rPr>
          <w:rFonts w:ascii="Times New Roman" w:hAnsi="Times New Roman" w:cs="Times New Roman"/>
          <w:sz w:val="24"/>
          <w:szCs w:val="24"/>
        </w:rPr>
        <w:t xml:space="preserve">urces, supporting Moser and Bader </w:t>
      </w:r>
      <w:r w:rsidR="00671A3C" w:rsidRPr="00422170">
        <w:rPr>
          <w:rFonts w:ascii="Times New Roman" w:hAnsi="Times New Roman" w:cs="Times New Roman"/>
          <w:sz w:val="24"/>
          <w:szCs w:val="24"/>
        </w:rPr>
        <w:fldChar w:fldCharType="begin" w:fldLock="1"/>
      </w:r>
      <w:r w:rsidR="00671A3C" w:rsidRPr="00422170">
        <w:rPr>
          <w:rFonts w:ascii="Times New Roman" w:hAnsi="Times New Roman" w:cs="Times New Roman"/>
          <w:sz w:val="24"/>
          <w:szCs w:val="24"/>
        </w:rPr>
        <w:instrText>ADDIN CSL_CITATION {"citationItems":[{"id":"ITEM-1","itemData":{"DOI":"10.3389/frsus.2022.994881","ISSN":"26734524","abstract":"Grassroots sustainability initiatives experiment with alternative ways of consumption and are promising agents for fostering pro-environmental behavior change. However, sustainability initiatives depend on high levels of volunteering and collective action. With the present research we aimed to better understand why people participate in sustainability initiatives and whether doing so is an expression of a broader set of pro-environmental behaviors. We tested the predictive importance of various motivational factors derived from grassroots innovation research, the theory of planned behavior, and theories on collective action, using data from a cross-sectional factorial survey of participants in several sustainability initiatives in Switzerland (N = 180). Our results revealed different motivational patterns depending on the level of involvement. The intention to use services and offers of sustainability initiatives (low level of involvement) was best explained by favorable attitudes toward participation and perceived behavioral control, while the intention to volunteer for such initiatives (high level of involvement) was additionally based on strong social identity and a high belief in participative efficacy. Our results also revealed that participation in sustainability initiatives concurs with those other private-sphere pro-environmental behaviors that are most similar to the initiatives' activities. We conclude from our results that the divergence in motivational factors between users and volunteers might pose a challenge to the success of sustainability initiatives and therefore deserves greater attention in future research.","author":[{"dropping-particle":"","family":"Moser","given":"Stephanie","non-dropping-particle":"","parse-names":false,"suffix":""},{"dropping-particle":"","family":"Bader","given":"Christoph","non-dropping-particle":"","parse-names":false,"suffix":""}],"container-title":"Frontiers in Sustainability","id":"ITEM-1","issue":"1","issued":{"date-parts":[["2022"]]},"page":"1-18","title":"Why do people participate in grassroots sustainability initiatives? Different motives for different levels of involvement","type":"article-journal","volume":"3"},"suppress-author":1,"uris":["http://www.mendeley.com/documents/?uuid=f406c22a-9212-4077-8364-a6f86969551c"]}],"mendeley":{"formattedCitation":"(2022)","plainTextFormattedCitation":"(2022)","previouslyFormattedCitation":"(2022)"},"properties":{"noteIndex":0},"schema":"https://github.com/citation-style-language/schema/raw/master/csl-citation.json"}</w:instrText>
      </w:r>
      <w:r w:rsidR="00671A3C" w:rsidRPr="00422170">
        <w:rPr>
          <w:rFonts w:ascii="Times New Roman" w:hAnsi="Times New Roman" w:cs="Times New Roman"/>
          <w:sz w:val="24"/>
          <w:szCs w:val="24"/>
        </w:rPr>
        <w:fldChar w:fldCharType="separate"/>
      </w:r>
      <w:r w:rsidR="00671A3C" w:rsidRPr="00422170">
        <w:rPr>
          <w:rFonts w:ascii="Times New Roman" w:hAnsi="Times New Roman" w:cs="Times New Roman"/>
          <w:noProof/>
          <w:sz w:val="24"/>
          <w:szCs w:val="24"/>
        </w:rPr>
        <w:t>(2022)</w:t>
      </w:r>
      <w:r w:rsidR="00671A3C" w:rsidRPr="00422170">
        <w:rPr>
          <w:rFonts w:ascii="Times New Roman" w:hAnsi="Times New Roman" w:cs="Times New Roman"/>
          <w:sz w:val="24"/>
          <w:szCs w:val="24"/>
        </w:rPr>
        <w:fldChar w:fldCharType="end"/>
      </w:r>
      <w:r w:rsidRPr="00422170">
        <w:rPr>
          <w:rFonts w:ascii="Times New Roman" w:hAnsi="Times New Roman" w:cs="Times New Roman"/>
          <w:sz w:val="24"/>
          <w:szCs w:val="24"/>
        </w:rPr>
        <w:t>, who observed that wealthier individuals tend to participate less in grassroots initiatives.</w:t>
      </w:r>
    </w:p>
    <w:p w:rsidR="00627C3E" w:rsidRPr="00422170" w:rsidRDefault="00627C3E" w:rsidP="008928BB">
      <w:pPr>
        <w:spacing w:after="0" w:line="240" w:lineRule="auto"/>
        <w:jc w:val="both"/>
        <w:rPr>
          <w:rFonts w:ascii="Times New Roman" w:hAnsi="Times New Roman" w:cs="Times New Roman"/>
          <w:sz w:val="24"/>
          <w:szCs w:val="24"/>
        </w:rPr>
      </w:pP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Proximity to road projects also influenced participation, with 74.3% of respondents residing within 1–3 kilometres of the maintained roads. This supports the findings of </w:t>
      </w:r>
      <w:r w:rsidR="00671A3C" w:rsidRPr="00422170">
        <w:rPr>
          <w:rFonts w:ascii="Times New Roman" w:hAnsi="Times New Roman" w:cs="Times New Roman"/>
          <w:sz w:val="24"/>
          <w:szCs w:val="24"/>
        </w:rPr>
        <w:t xml:space="preserve">Jung and Kim </w:t>
      </w:r>
      <w:r w:rsidR="00671A3C" w:rsidRPr="00422170">
        <w:rPr>
          <w:rFonts w:ascii="Times New Roman" w:hAnsi="Times New Roman" w:cs="Times New Roman"/>
          <w:sz w:val="24"/>
          <w:szCs w:val="24"/>
        </w:rPr>
        <w:fldChar w:fldCharType="begin" w:fldLock="1"/>
      </w:r>
      <w:r w:rsidR="00DD67B2" w:rsidRPr="00422170">
        <w:rPr>
          <w:rFonts w:ascii="Times New Roman" w:hAnsi="Times New Roman" w:cs="Times New Roman"/>
          <w:sz w:val="24"/>
          <w:szCs w:val="24"/>
        </w:rPr>
        <w:instrText>ADDIN CSL_CITATION {"citationItems":[{"id":"ITEM-1","itemData":{"DOI":"10.1177/0093650218801745","ISSN":"15523810","abstract":"The purpose of this study is to test hypotheses regarding the effects of commuting on commuters’ access to community-based communication resources and their level of community engagement. This study is guided by communication infrastructure theory. Online survey interviews were conducted with 1,028 Seoul residents between May 30 and June 17, 2014. We found that (1) commuters showed a higher level of community engagement than noncommuters; (2) among commuters, there was a negative relationship between commuting time and a sense of neighborhood belonging; (3) commuting time showed a positive relationship with access to community-based communication resources (i.e., integrated connectedness to community storytelling network [ICSN]) and community participation; (4) among four place-based identity groups (integrators, home-dominant group, workplace-dominant group, and disconnectors), integrators, who connected to both home and workplace, showed the highest level of ICSN and community engagement; and (5) ICSN mediated between commuting variables and community engagement variables.","author":[{"dropping-particle":"","family":"Jung","given":"Eunjean","non-dropping-particle":"","parse-names":false,"suffix":""},{"dropping-particle":"","family":"Kim","given":"Yong Chan","non-dropping-particle":"","parse-names":false,"suffix":""}],"container-title":"Communication Research","id":"ITEM-1","issue":"5","issued":{"date-parts":[["2021"]]},"page":"740-766","title":"Commuting, Communication, and Community Engagement From a Communication Infrastructure Theory Perspective","type":"article-journal","volume":"48"},"suppress-author":1,"uris":["http://www.mendeley.com/documents/?uuid=f1a826b1-78ad-402a-a599-cdd0ddb6fd58"]}],"mendeley":{"formattedCitation":"(2021)","plainTextFormattedCitation":"(2021)","previouslyFormattedCitation":"(2021)"},"properties":{"noteIndex":0},"schema":"https://github.com/citation-style-language/schema/raw/master/csl-citation.json"}</w:instrText>
      </w:r>
      <w:r w:rsidR="00671A3C" w:rsidRPr="00422170">
        <w:rPr>
          <w:rFonts w:ascii="Times New Roman" w:hAnsi="Times New Roman" w:cs="Times New Roman"/>
          <w:sz w:val="24"/>
          <w:szCs w:val="24"/>
        </w:rPr>
        <w:fldChar w:fldCharType="separate"/>
      </w:r>
      <w:r w:rsidR="00671A3C" w:rsidRPr="00422170">
        <w:rPr>
          <w:rFonts w:ascii="Times New Roman" w:hAnsi="Times New Roman" w:cs="Times New Roman"/>
          <w:noProof/>
          <w:sz w:val="24"/>
          <w:szCs w:val="24"/>
        </w:rPr>
        <w:t>(2021)</w:t>
      </w:r>
      <w:r w:rsidR="00671A3C"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who reported that closer proximity enhances engagement due to a stronger sense of ownership and direct benefits from the infrastructure.</w:t>
      </w:r>
    </w:p>
    <w:p w:rsidR="00671A3C" w:rsidRPr="00422170" w:rsidRDefault="00671A3C" w:rsidP="008928BB">
      <w:pPr>
        <w:spacing w:after="0" w:line="240" w:lineRule="auto"/>
        <w:jc w:val="both"/>
        <w:rPr>
          <w:rFonts w:ascii="Times New Roman" w:hAnsi="Times New Roman" w:cs="Times New Roman"/>
          <w:sz w:val="24"/>
          <w:szCs w:val="24"/>
        </w:rPr>
      </w:pPr>
    </w:p>
    <w:p w:rsidR="00551637"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Overall, the demographic profile of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highlights which community groups are most actively engaged in rural road maintenance and how socio-economic and spatial factors shape participation. These insights provide a foundation for designing innovative approaches to strengthen community engagement, directly reflecting the focus of this study on enhancing community participation in rural road maintenance initiatives.</w:t>
      </w:r>
    </w:p>
    <w:p w:rsidR="00E9037B" w:rsidRPr="00422170" w:rsidRDefault="00E9037B" w:rsidP="008928BB">
      <w:pPr>
        <w:spacing w:after="0" w:line="240" w:lineRule="auto"/>
        <w:jc w:val="both"/>
        <w:rPr>
          <w:rFonts w:ascii="Times New Roman" w:hAnsi="Times New Roman" w:cs="Times New Roman"/>
          <w:sz w:val="24"/>
          <w:szCs w:val="24"/>
        </w:rPr>
      </w:pPr>
    </w:p>
    <w:p w:rsidR="00551637" w:rsidRPr="00422170" w:rsidRDefault="00CD7636"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Approaches for Enhancing Community Engagement in Rural Road Projects</w:t>
      </w:r>
    </w:p>
    <w:p w:rsidR="00551637" w:rsidRPr="00422170" w:rsidRDefault="00CD763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This section presents findings that highlight innovative and context-specific approaches for enhancing community engagement in rural road maintenance within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The focus is on identifying </w:t>
      </w:r>
      <w:r w:rsidR="00E254CD" w:rsidRPr="00422170">
        <w:rPr>
          <w:rFonts w:ascii="Times New Roman" w:hAnsi="Times New Roman" w:cs="Times New Roman"/>
          <w:sz w:val="24"/>
          <w:szCs w:val="24"/>
        </w:rPr>
        <w:t>approaches</w:t>
      </w:r>
      <w:r w:rsidRPr="00422170">
        <w:rPr>
          <w:rFonts w:ascii="Times New Roman" w:hAnsi="Times New Roman" w:cs="Times New Roman"/>
          <w:sz w:val="24"/>
          <w:szCs w:val="24"/>
        </w:rPr>
        <w:t xml:space="preserve"> that promote active participation while ensuring that involvement is inclusive, sustainable, and driven by the community. Community responses on potential approaches are summarized in Table 1.</w:t>
      </w:r>
    </w:p>
    <w:p w:rsidR="00CD7636" w:rsidRPr="00422170" w:rsidRDefault="00CD7636" w:rsidP="008928BB">
      <w:pPr>
        <w:keepNext/>
        <w:spacing w:after="120" w:line="240" w:lineRule="auto"/>
        <w:jc w:val="both"/>
        <w:rPr>
          <w:rFonts w:ascii="Times New Roman" w:eastAsia="Calibri" w:hAnsi="Times New Roman" w:cs="Times New Roman"/>
          <w:b/>
          <w:bCs/>
          <w:sz w:val="24"/>
          <w:szCs w:val="24"/>
        </w:rPr>
      </w:pPr>
      <w:bookmarkStart w:id="1" w:name="_Toc195103352"/>
      <w:bookmarkStart w:id="2" w:name="_Toc195119345"/>
      <w:bookmarkStart w:id="3" w:name="_Toc195123705"/>
      <w:bookmarkStart w:id="4" w:name="_Toc198199014"/>
      <w:r w:rsidRPr="00422170">
        <w:rPr>
          <w:rFonts w:ascii="Times New Roman" w:eastAsia="Calibri" w:hAnsi="Times New Roman" w:cs="Times New Roman"/>
          <w:b/>
          <w:bCs/>
          <w:sz w:val="24"/>
          <w:szCs w:val="24"/>
        </w:rPr>
        <w:t>Table 1: Approaches for Enhancing Community Engagement in Road Projects</w:t>
      </w:r>
      <w:bookmarkEnd w:id="1"/>
      <w:bookmarkEnd w:id="2"/>
      <w:bookmarkEnd w:id="3"/>
      <w:bookmarkEnd w:id="4"/>
      <w:r w:rsidRPr="00422170">
        <w:rPr>
          <w:rFonts w:ascii="Times New Roman" w:eastAsia="Calibri" w:hAnsi="Times New Roman" w:cs="Times New Roman"/>
          <w:b/>
          <w:bCs/>
          <w:sz w:val="24"/>
          <w:szCs w:val="24"/>
        </w:rPr>
        <w:t xml:space="preserve"> (n=399)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56"/>
        <w:gridCol w:w="546"/>
        <w:gridCol w:w="601"/>
        <w:gridCol w:w="694"/>
        <w:gridCol w:w="660"/>
        <w:gridCol w:w="754"/>
        <w:gridCol w:w="763"/>
      </w:tblGrid>
      <w:tr w:rsidR="00DD67B2" w:rsidRPr="00422170" w:rsidTr="00F93BA2">
        <w:trPr>
          <w:trHeight w:val="300"/>
        </w:trPr>
        <w:tc>
          <w:tcPr>
            <w:tcW w:w="3614" w:type="dxa"/>
            <w:vMerge w:val="restart"/>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b/>
                <w:bCs/>
              </w:rPr>
            </w:pPr>
            <w:r w:rsidRPr="00422170">
              <w:rPr>
                <w:rFonts w:ascii="Times New Roman" w:eastAsia="Calibri" w:hAnsi="Times New Roman" w:cs="Times New Roman"/>
                <w:b/>
                <w:bCs/>
              </w:rPr>
              <w:t>Items</w:t>
            </w:r>
          </w:p>
        </w:tc>
        <w:tc>
          <w:tcPr>
            <w:tcW w:w="556"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SD</w:t>
            </w:r>
          </w:p>
        </w:tc>
        <w:tc>
          <w:tcPr>
            <w:tcW w:w="546"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D</w:t>
            </w:r>
          </w:p>
        </w:tc>
        <w:tc>
          <w:tcPr>
            <w:tcW w:w="601"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N</w:t>
            </w:r>
          </w:p>
        </w:tc>
        <w:tc>
          <w:tcPr>
            <w:tcW w:w="694"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A</w:t>
            </w:r>
          </w:p>
        </w:tc>
        <w:tc>
          <w:tcPr>
            <w:tcW w:w="660"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SA</w:t>
            </w:r>
          </w:p>
        </w:tc>
        <w:tc>
          <w:tcPr>
            <w:tcW w:w="754" w:type="dxa"/>
            <w:vMerge w:val="restart"/>
            <w:tcBorders>
              <w:top w:val="single" w:sz="12" w:space="0" w:color="auto"/>
              <w:bottom w:val="single" w:sz="12" w:space="0" w:color="auto"/>
            </w:tcBorders>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Mean</w:t>
            </w:r>
          </w:p>
        </w:tc>
        <w:tc>
          <w:tcPr>
            <w:tcW w:w="763" w:type="dxa"/>
            <w:vMerge w:val="restart"/>
            <w:tcBorders>
              <w:top w:val="single" w:sz="12" w:space="0" w:color="auto"/>
              <w:bottom w:val="single" w:sz="12" w:space="0" w:color="auto"/>
            </w:tcBorders>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STD</w:t>
            </w:r>
          </w:p>
        </w:tc>
      </w:tr>
      <w:tr w:rsidR="00DD67B2" w:rsidRPr="00422170" w:rsidTr="00F93BA2">
        <w:trPr>
          <w:trHeight w:val="300"/>
        </w:trPr>
        <w:tc>
          <w:tcPr>
            <w:tcW w:w="3614" w:type="dxa"/>
            <w:vMerge/>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p>
        </w:tc>
        <w:tc>
          <w:tcPr>
            <w:tcW w:w="556"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546"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601"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694"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660"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754" w:type="dxa"/>
            <w:vMerge/>
            <w:tcBorders>
              <w:top w:val="single" w:sz="12" w:space="0" w:color="auto"/>
              <w:bottom w:val="single" w:sz="12" w:space="0" w:color="auto"/>
            </w:tcBorders>
          </w:tcPr>
          <w:p w:rsidR="00CD7636" w:rsidRPr="00422170" w:rsidRDefault="00CD7636" w:rsidP="008928BB">
            <w:pPr>
              <w:rPr>
                <w:rFonts w:ascii="Times New Roman" w:eastAsia="Calibri" w:hAnsi="Times New Roman" w:cs="Times New Roman"/>
              </w:rPr>
            </w:pPr>
          </w:p>
        </w:tc>
        <w:tc>
          <w:tcPr>
            <w:tcW w:w="763" w:type="dxa"/>
            <w:vMerge/>
            <w:tcBorders>
              <w:top w:val="single" w:sz="12" w:space="0" w:color="auto"/>
              <w:bottom w:val="single" w:sz="12" w:space="0" w:color="auto"/>
            </w:tcBorders>
          </w:tcPr>
          <w:p w:rsidR="00CD7636" w:rsidRPr="00422170" w:rsidRDefault="00CD7636" w:rsidP="008928BB">
            <w:pPr>
              <w:rPr>
                <w:rFonts w:ascii="Times New Roman" w:eastAsia="Calibri" w:hAnsi="Times New Roman" w:cs="Times New Roman"/>
              </w:rPr>
            </w:pPr>
          </w:p>
        </w:tc>
      </w:tr>
      <w:tr w:rsidR="00DD67B2" w:rsidRPr="00422170" w:rsidTr="00F93BA2">
        <w:trPr>
          <w:trHeight w:val="300"/>
        </w:trPr>
        <w:tc>
          <w:tcPr>
            <w:tcW w:w="3614" w:type="dxa"/>
            <w:tcBorders>
              <w:top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The use of digital tools (e.g., mobile apps, GIS) improves community participation in road maintenance projects.</w:t>
            </w:r>
          </w:p>
        </w:tc>
        <w:tc>
          <w:tcPr>
            <w:tcW w:w="556"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546"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8.3</w:t>
            </w:r>
          </w:p>
        </w:tc>
        <w:tc>
          <w:tcPr>
            <w:tcW w:w="694"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44.2</w:t>
            </w:r>
          </w:p>
        </w:tc>
        <w:tc>
          <w:tcPr>
            <w:tcW w:w="660"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47.5</w:t>
            </w:r>
          </w:p>
        </w:tc>
        <w:tc>
          <w:tcPr>
            <w:tcW w:w="754" w:type="dxa"/>
            <w:tcBorders>
              <w:top w:val="single" w:sz="12" w:space="0" w:color="auto"/>
            </w:tcBorders>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4.39</w:t>
            </w:r>
          </w:p>
        </w:tc>
        <w:tc>
          <w:tcPr>
            <w:tcW w:w="763" w:type="dxa"/>
            <w:tcBorders>
              <w:top w:val="single" w:sz="12" w:space="0" w:color="auto"/>
            </w:tcBorders>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0.639</w:t>
            </w:r>
          </w:p>
        </w:tc>
      </w:tr>
      <w:tr w:rsidR="00DD67B2" w:rsidRPr="00422170" w:rsidTr="00F93BA2">
        <w:trPr>
          <w:trHeight w:val="300"/>
        </w:trPr>
        <w:tc>
          <w:tcPr>
            <w:tcW w:w="3614" w:type="dxa"/>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Training and capacity-building programs enhance community members' ability to contribute effectively to road maintenance.</w:t>
            </w:r>
          </w:p>
        </w:tc>
        <w:tc>
          <w:tcPr>
            <w:tcW w:w="55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54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6.7</w:t>
            </w:r>
          </w:p>
        </w:tc>
        <w:tc>
          <w:tcPr>
            <w:tcW w:w="694"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43.3</w:t>
            </w:r>
          </w:p>
        </w:tc>
        <w:tc>
          <w:tcPr>
            <w:tcW w:w="660"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50.0</w:t>
            </w:r>
          </w:p>
        </w:tc>
        <w:tc>
          <w:tcPr>
            <w:tcW w:w="754"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4.43</w:t>
            </w:r>
          </w:p>
        </w:tc>
        <w:tc>
          <w:tcPr>
            <w:tcW w:w="763"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0.618</w:t>
            </w:r>
          </w:p>
        </w:tc>
      </w:tr>
      <w:tr w:rsidR="00DD67B2" w:rsidRPr="00422170" w:rsidTr="00F93BA2">
        <w:trPr>
          <w:trHeight w:val="300"/>
        </w:trPr>
        <w:tc>
          <w:tcPr>
            <w:tcW w:w="3614" w:type="dxa"/>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Financial and non-financial incentives (e.g., stipends, public recognition) increase long-term community engagement in road maintenance activities.</w:t>
            </w:r>
          </w:p>
        </w:tc>
        <w:tc>
          <w:tcPr>
            <w:tcW w:w="55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54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9.2</w:t>
            </w:r>
          </w:p>
        </w:tc>
        <w:tc>
          <w:tcPr>
            <w:tcW w:w="694"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43.3</w:t>
            </w:r>
          </w:p>
        </w:tc>
        <w:tc>
          <w:tcPr>
            <w:tcW w:w="660"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47.5</w:t>
            </w:r>
          </w:p>
        </w:tc>
        <w:tc>
          <w:tcPr>
            <w:tcW w:w="754"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4.38</w:t>
            </w:r>
          </w:p>
        </w:tc>
        <w:tc>
          <w:tcPr>
            <w:tcW w:w="763"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0.651</w:t>
            </w:r>
          </w:p>
        </w:tc>
      </w:tr>
      <w:tr w:rsidR="00DD67B2" w:rsidRPr="00422170" w:rsidTr="00F93BA2">
        <w:trPr>
          <w:trHeight w:val="300"/>
        </w:trPr>
        <w:tc>
          <w:tcPr>
            <w:tcW w:w="3614" w:type="dxa"/>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Strong collaboration between the local government, the private sector, and community members fosters sustained participation in road maintenance.</w:t>
            </w:r>
          </w:p>
        </w:tc>
        <w:tc>
          <w:tcPr>
            <w:tcW w:w="55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54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8.3</w:t>
            </w:r>
          </w:p>
        </w:tc>
        <w:tc>
          <w:tcPr>
            <w:tcW w:w="694"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39.2</w:t>
            </w:r>
          </w:p>
        </w:tc>
        <w:tc>
          <w:tcPr>
            <w:tcW w:w="660"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52.5</w:t>
            </w:r>
          </w:p>
        </w:tc>
        <w:tc>
          <w:tcPr>
            <w:tcW w:w="754"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4.44</w:t>
            </w:r>
          </w:p>
        </w:tc>
        <w:tc>
          <w:tcPr>
            <w:tcW w:w="763"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0.646</w:t>
            </w:r>
          </w:p>
        </w:tc>
      </w:tr>
      <w:tr w:rsidR="00DD67B2" w:rsidRPr="00422170" w:rsidTr="00F93BA2">
        <w:trPr>
          <w:trHeight w:val="300"/>
        </w:trPr>
        <w:tc>
          <w:tcPr>
            <w:tcW w:w="3614" w:type="dxa"/>
            <w:tcBorders>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 xml:space="preserve">Awareness campaigns and community sensitization efforts significantly </w:t>
            </w:r>
            <w:r w:rsidRPr="00422170">
              <w:rPr>
                <w:rFonts w:ascii="Times New Roman" w:eastAsia="Calibri" w:hAnsi="Times New Roman" w:cs="Times New Roman"/>
              </w:rPr>
              <w:lastRenderedPageBreak/>
              <w:t>improve public willingness to participate in road maintenance.</w:t>
            </w:r>
          </w:p>
        </w:tc>
        <w:tc>
          <w:tcPr>
            <w:tcW w:w="556"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lastRenderedPageBreak/>
              <w:t>0.0</w:t>
            </w:r>
          </w:p>
        </w:tc>
        <w:tc>
          <w:tcPr>
            <w:tcW w:w="546"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10.0</w:t>
            </w:r>
          </w:p>
        </w:tc>
        <w:tc>
          <w:tcPr>
            <w:tcW w:w="694"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38.3</w:t>
            </w:r>
          </w:p>
        </w:tc>
        <w:tc>
          <w:tcPr>
            <w:tcW w:w="660"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51.7</w:t>
            </w:r>
          </w:p>
        </w:tc>
        <w:tc>
          <w:tcPr>
            <w:tcW w:w="754" w:type="dxa"/>
            <w:tcBorders>
              <w:bottom w:val="single" w:sz="12" w:space="0" w:color="auto"/>
            </w:tcBorders>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4.42</w:t>
            </w:r>
          </w:p>
        </w:tc>
        <w:tc>
          <w:tcPr>
            <w:tcW w:w="763" w:type="dxa"/>
            <w:tcBorders>
              <w:bottom w:val="single" w:sz="12" w:space="0" w:color="auto"/>
            </w:tcBorders>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0.668</w:t>
            </w:r>
          </w:p>
        </w:tc>
      </w:tr>
    </w:tbl>
    <w:p w:rsidR="00CD7636" w:rsidRPr="00422170" w:rsidRDefault="00CD7636" w:rsidP="008928BB">
      <w:pPr>
        <w:spacing w:after="0" w:line="240" w:lineRule="auto"/>
        <w:rPr>
          <w:rFonts w:ascii="Times New Roman" w:eastAsia="Calibri" w:hAnsi="Times New Roman" w:cs="Times New Roman"/>
          <w:i/>
          <w:iCs/>
          <w:sz w:val="20"/>
          <w:szCs w:val="20"/>
        </w:rPr>
      </w:pPr>
      <w:r w:rsidRPr="00422170">
        <w:rPr>
          <w:rFonts w:ascii="Times New Roman" w:eastAsia="Calibri" w:hAnsi="Times New Roman" w:cs="Times New Roman"/>
          <w:b/>
          <w:bCs/>
          <w:i/>
          <w:iCs/>
          <w:sz w:val="20"/>
          <w:szCs w:val="20"/>
        </w:rPr>
        <w:t>Key:</w:t>
      </w:r>
      <w:r w:rsidRPr="00422170">
        <w:rPr>
          <w:rFonts w:ascii="Times New Roman" w:eastAsia="Calibri" w:hAnsi="Times New Roman" w:cs="Times New Roman"/>
          <w:i/>
          <w:iCs/>
          <w:sz w:val="20"/>
          <w:szCs w:val="20"/>
        </w:rPr>
        <w:t xml:space="preserve"> SD = Strongly Disagree (1), D = Disagree (2), N = Neutral (3), A = Agree (4), SA = Strongly Agree (5)</w:t>
      </w:r>
    </w:p>
    <w:p w:rsidR="00CD7636" w:rsidRPr="00422170" w:rsidRDefault="00CD7636" w:rsidP="008928BB">
      <w:pPr>
        <w:pStyle w:val="NormalWeb"/>
        <w:jc w:val="both"/>
      </w:pPr>
      <w:r w:rsidRPr="00422170">
        <w:rPr>
          <w:rStyle w:val="Strong"/>
          <w:b w:val="0"/>
        </w:rPr>
        <w:t>Table</w:t>
      </w:r>
      <w:r w:rsidRPr="00422170">
        <w:rPr>
          <w:rStyle w:val="Strong"/>
        </w:rPr>
        <w:t xml:space="preserve"> </w:t>
      </w:r>
      <w:r w:rsidRPr="00422170">
        <w:rPr>
          <w:rStyle w:val="Strong"/>
          <w:b w:val="0"/>
        </w:rPr>
        <w:t>1</w:t>
      </w:r>
      <w:r w:rsidRPr="00422170">
        <w:t xml:space="preserve"> presents findings on innovative approaches to strengthening community engagement in rural road maintenance projects in </w:t>
      </w:r>
      <w:proofErr w:type="spellStart"/>
      <w:r w:rsidRPr="00422170">
        <w:t>Babati</w:t>
      </w:r>
      <w:proofErr w:type="spellEnd"/>
      <w:r w:rsidRPr="00422170">
        <w:t xml:space="preserve"> District Council. The results indicate strong community support for strategies designed to foster participation, emphasizing digital tools, capacity-building initiatives, incentives, multi-stakeholder collaboration, and awareness campaigns.</w:t>
      </w:r>
    </w:p>
    <w:p w:rsidR="00CD7636" w:rsidRPr="00422170" w:rsidRDefault="00CD7636" w:rsidP="008928BB">
      <w:pPr>
        <w:pStyle w:val="NormalWeb"/>
        <w:spacing w:before="0" w:beforeAutospacing="0" w:after="0" w:afterAutospacing="0"/>
        <w:jc w:val="both"/>
      </w:pPr>
      <w:r w:rsidRPr="00422170">
        <w:t xml:space="preserve">One of the most prominent strategies identified is the use of digital tools, such as mobile applications and Geographic Information Systems (GIS). A substantial 91.7% of respondents (47.5% strongly agree and 44.2% agree) indicated that digital tools can enhance community participation, reflected by a high mean score of 4.39 and a standard deviation of 0.639. In </w:t>
      </w:r>
      <w:proofErr w:type="spellStart"/>
      <w:r w:rsidRPr="00422170">
        <w:t>Babati</w:t>
      </w:r>
      <w:proofErr w:type="spellEnd"/>
      <w:r w:rsidRPr="00422170">
        <w:t xml:space="preserve">, where mobile phone access is relatively high even in rural areas, digital platforms could facilitate real-time reporting of road conditions, community feedback, and coordination of maintenance activities. As one </w:t>
      </w:r>
      <w:r w:rsidR="00FF6D75" w:rsidRPr="00422170">
        <w:t>key informant</w:t>
      </w:r>
      <w:r w:rsidRPr="00422170">
        <w:t xml:space="preserve"> explained,</w:t>
      </w:r>
    </w:p>
    <w:p w:rsidR="00CD7636" w:rsidRPr="00422170" w:rsidRDefault="00CD7636" w:rsidP="008928BB">
      <w:pPr>
        <w:pStyle w:val="NormalWeb"/>
        <w:spacing w:before="0" w:beforeAutospacing="0" w:after="0" w:afterAutospacing="0"/>
        <w:jc w:val="both"/>
        <w:rPr>
          <w:rStyle w:val="Emphasis"/>
        </w:rPr>
      </w:pPr>
      <w:r w:rsidRPr="00422170">
        <w:br/>
      </w:r>
      <w:r w:rsidRPr="00422170">
        <w:rPr>
          <w:rStyle w:val="Emphasis"/>
        </w:rPr>
        <w:t xml:space="preserve">“… Mobile apps have the potential to transform how we communicate road issues; it would allow us to report problems directly to the authorities and receive updates on repairs quickly.” – TRM </w:t>
      </w:r>
    </w:p>
    <w:p w:rsidR="004C1812" w:rsidRPr="00422170" w:rsidRDefault="004C1812" w:rsidP="008928BB">
      <w:pPr>
        <w:pStyle w:val="NormalWeb"/>
        <w:spacing w:before="0" w:beforeAutospacing="0" w:after="0" w:afterAutospacing="0"/>
        <w:jc w:val="both"/>
      </w:pPr>
    </w:p>
    <w:p w:rsidR="00CD7636" w:rsidRPr="00422170" w:rsidRDefault="00CD7636" w:rsidP="008928BB">
      <w:pPr>
        <w:pStyle w:val="NormalWeb"/>
        <w:spacing w:before="0" w:beforeAutospacing="0" w:after="0" w:afterAutospacing="0"/>
        <w:jc w:val="both"/>
      </w:pPr>
      <w:r w:rsidRPr="00422170">
        <w:t xml:space="preserve">This illustrates how digital innovations can create a direct communication channel between community members and local authorities, promoting transparency, faster decision-making, and efficient resource allocation. GIS can also help monitor road conditions, prioritize maintenance, and engage stakeholders in data-driven decision-making. These findings align with </w:t>
      </w:r>
      <w:proofErr w:type="spellStart"/>
      <w:r w:rsidR="00DD67B2" w:rsidRPr="00422170">
        <w:t>Sebunya</w:t>
      </w:r>
      <w:proofErr w:type="spellEnd"/>
      <w:r w:rsidR="00DD67B2" w:rsidRPr="00422170">
        <w:t xml:space="preserve"> and </w:t>
      </w:r>
      <w:proofErr w:type="spellStart"/>
      <w:r w:rsidR="00DD67B2" w:rsidRPr="00422170">
        <w:t>and</w:t>
      </w:r>
      <w:proofErr w:type="spellEnd"/>
      <w:r w:rsidR="00DD67B2" w:rsidRPr="00422170">
        <w:t xml:space="preserve"> </w:t>
      </w:r>
      <w:proofErr w:type="spellStart"/>
      <w:r w:rsidR="00DD67B2" w:rsidRPr="00422170">
        <w:t>Gichuki</w:t>
      </w:r>
      <w:proofErr w:type="spellEnd"/>
      <w:r w:rsidR="00DD67B2" w:rsidRPr="00422170">
        <w:t xml:space="preserve"> </w:t>
      </w:r>
      <w:r w:rsidRPr="00422170">
        <w:t xml:space="preserve"> </w:t>
      </w:r>
      <w:r w:rsidR="00DD67B2" w:rsidRPr="00422170">
        <w:fldChar w:fldCharType="begin" w:fldLock="1"/>
      </w:r>
      <w:r w:rsidR="00F5091E" w:rsidRPr="00422170">
        <w:instrText>ADDIN CSL_CITATION {"citationItems":[{"id":"ITEM-1","itemData":{"abstract":"Purpose: The purpose of this paper is to review global practices in the use of digital tools and platforms to enhance community participation. It specifically aims to evaluate the effectiveness of these technologies in promoting inclusive and equitable engagement, while identifying key practices, challenges, and lessons from global experiences. Methods: The study employs a qualitative research approach, systematically reviewing literature sourced from academic journals, reports, and case studies. Results: The findings indicate that digital platforms-such as social media, e-governance tools, and participatory budgeting systems-have effectively enhanced citizen engagement, especially in developed regions. However, challenges such as the digital divide, low digital literacy, and limited infrastructure continue to impede participation, particularly in marginalized and underserved communities. Conclusion: The paper concludes by recommending the expansion of digital infrastructure, the promotion of digital literacy programs, the design of inclusive platforms, and the strengthening of community-based participation. Additionally, it calls for future research on emerging digital trends and the influence of digital inequality in underserved regions.","author":[{"dropping-particle":"","family":"Sebunya","given":"Jhanet","non-dropping-particle":"","parse-names":false,"suffix":""},{"dropping-particle":"","family":"Gichuki","given":"Atenya","non-dropping-particle":"","parse-names":false,"suffix":""}],"container-title":"EdinBurg Peer Reviewed Journals and Books Publishers International Journal of Scholarly Practice","id":"ITEM-1","issue":"2","issued":{"date-parts":[["2024"]]},"page":"54-67","title":"Digital Tools and Platforms for Enhancing Community Participation: A Review of Global Practices","type":"article-journal","volume":"4"},"suppress-author":1,"uris":["http://www.mendeley.com/documents/?uuid=eff5cb6e-dfd4-46b8-a5da-8cf1955dd093"]}],"mendeley":{"formattedCitation":"(2024)","plainTextFormattedCitation":"(2024)","previouslyFormattedCitation":"(2024)"},"properties":{"noteIndex":0},"schema":"https://github.com/citation-style-language/schema/raw/master/csl-citation.json"}</w:instrText>
      </w:r>
      <w:r w:rsidR="00DD67B2" w:rsidRPr="00422170">
        <w:fldChar w:fldCharType="separate"/>
      </w:r>
      <w:r w:rsidR="00DD67B2" w:rsidRPr="00422170">
        <w:rPr>
          <w:noProof/>
        </w:rPr>
        <w:t>(2024)</w:t>
      </w:r>
      <w:r w:rsidR="00DD67B2" w:rsidRPr="00422170">
        <w:fldChar w:fldCharType="end"/>
      </w:r>
      <w:r w:rsidRPr="00422170">
        <w:t>, who demonstrated that digital tools significantly enhance community engagement and accountability in rural infrastructure programs.</w:t>
      </w:r>
    </w:p>
    <w:p w:rsidR="004C1812" w:rsidRPr="00422170" w:rsidRDefault="00CD7636" w:rsidP="008928BB">
      <w:pPr>
        <w:pStyle w:val="NormalWeb"/>
        <w:spacing w:before="0" w:beforeAutospacing="0" w:after="0" w:afterAutospacing="0"/>
        <w:jc w:val="both"/>
      </w:pPr>
      <w:r w:rsidRPr="00422170">
        <w:t xml:space="preserve">Capacity-building programs were also highly valued. With 93.3% of respondents (50.0% strongly agree and 43.3% agree) and a mean score of 4.43, there is strong consensus that training is critical for effective community contribution. </w:t>
      </w:r>
      <w:proofErr w:type="spellStart"/>
      <w:r w:rsidRPr="00422170">
        <w:t>Babati’s</w:t>
      </w:r>
      <w:proofErr w:type="spellEnd"/>
      <w:r w:rsidRPr="00422170">
        <w:t xml:space="preserve"> predominantly rural population faces challenges related to limited formal education and technical expertise. As a project manager noted,</w:t>
      </w:r>
    </w:p>
    <w:p w:rsidR="00CD7636" w:rsidRPr="00422170" w:rsidRDefault="00CD7636" w:rsidP="008928BB">
      <w:pPr>
        <w:pStyle w:val="NormalWeb"/>
        <w:spacing w:before="0" w:beforeAutospacing="0" w:after="0" w:afterAutospacing="0"/>
        <w:jc w:val="both"/>
        <w:rPr>
          <w:rStyle w:val="Emphasis"/>
        </w:rPr>
      </w:pPr>
      <w:r w:rsidRPr="00422170">
        <w:br/>
      </w:r>
      <w:r w:rsidRPr="00422170">
        <w:rPr>
          <w:rStyle w:val="Emphasis"/>
        </w:rPr>
        <w:t xml:space="preserve">“… Training and capacity building programs in </w:t>
      </w:r>
      <w:proofErr w:type="spellStart"/>
      <w:r w:rsidRPr="00422170">
        <w:rPr>
          <w:rStyle w:val="Emphasis"/>
        </w:rPr>
        <w:t>Babati</w:t>
      </w:r>
      <w:proofErr w:type="spellEnd"/>
      <w:r w:rsidRPr="00422170">
        <w:rPr>
          <w:rStyle w:val="Emphasis"/>
        </w:rPr>
        <w:t xml:space="preserve"> do not meet the requirements of the communit</w:t>
      </w:r>
      <w:r w:rsidR="004C1812" w:rsidRPr="00422170">
        <w:rPr>
          <w:rStyle w:val="Emphasis"/>
        </w:rPr>
        <w:t xml:space="preserve">y members.” – PM </w:t>
      </w:r>
    </w:p>
    <w:p w:rsidR="004C1812" w:rsidRPr="00422170" w:rsidRDefault="004C1812" w:rsidP="008928BB">
      <w:pPr>
        <w:pStyle w:val="NormalWeb"/>
        <w:spacing w:before="0" w:beforeAutospacing="0" w:after="0" w:afterAutospacing="0"/>
        <w:jc w:val="both"/>
      </w:pPr>
    </w:p>
    <w:p w:rsidR="00CD7636" w:rsidRPr="00422170" w:rsidRDefault="00CD7636" w:rsidP="008928BB">
      <w:pPr>
        <w:pStyle w:val="NormalWeb"/>
        <w:spacing w:before="0" w:beforeAutospacing="0" w:after="0" w:afterAutospacing="0"/>
        <w:jc w:val="both"/>
      </w:pPr>
      <w:r w:rsidRPr="00422170">
        <w:t>Providing training in road construction techniques, maintenance best practices, and safety standards can empower residents to actively participate in planning and executing road maintenance tasks. Such programs can be delivered in collaboration with local technical schools, NGOs, or government agencies, ensuring relevance and accessibility. This approach not only improves maintenance quality but fosters a sense of ownership a</w:t>
      </w:r>
      <w:r w:rsidR="00F5091E" w:rsidRPr="00422170">
        <w:t xml:space="preserve">nd pride, consistent with </w:t>
      </w:r>
      <w:proofErr w:type="spellStart"/>
      <w:r w:rsidR="00F5091E" w:rsidRPr="00422170">
        <w:t>Gbadegesin</w:t>
      </w:r>
      <w:proofErr w:type="spellEnd"/>
      <w:r w:rsidR="00F5091E" w:rsidRPr="00422170">
        <w:t xml:space="preserve"> </w:t>
      </w:r>
      <w:r w:rsidR="00F5091E" w:rsidRPr="00422170">
        <w:fldChar w:fldCharType="begin" w:fldLock="1"/>
      </w:r>
      <w:r w:rsidR="00F93BA2" w:rsidRPr="00422170">
        <w:instrText>ADDIN CSL_CITATION {"citationItems":[{"id":"ITEM-1","itemData":{"DOI":"10.1080/15623599.2020.1768325","ISSN":"15623599","abstract":"The prevailing collective decision in the emerging communities in Sub-Sahara Africa illustrates the paradigm shift from top-down decision making to bottom-up democratic practices in procuring community-based infrastructure, in the era of dwindling financial capacity of government. This paper analyses factors influencing the success of the community-driven project in selected communities surrounding the largest city of Ibadan. We collected survey data through copies of semi-structured questionnaire, backed with an interview. Factor analysis categorizes the major factors into seven groups, including social integration and commitment to the community development project, governance structure and leadership, democracy, selfless services, networking and accountability, openness in selecting professionals for development, and joint agreement. We subject the items of the factors into SWOT analysis to understand the values. Community-based organizations (CBOs) serve as potential means to address infrastructure deficit if CBOs take note of the main factors, use the opportunities that match the strengths, attempt to overcome the weaknesses to attain the opportunities, use the strength to reduce the vulnerability to the threats and prevent the weaknesses to avoid susceptibility to the threats.","author":[{"dropping-particle":"","family":"Gbadegesin","given":"Job Taiwo","non-dropping-particle":"","parse-names":false,"suffix":""},{"dropping-particle":"","family":"Ojekalu","given":"Samson","non-dropping-particle":"","parse-names":false,"suffix":""},{"dropping-particle":"","family":"Komolafe","given":"Markson Opeyemi","non-dropping-particle":"","parse-names":false,"suffix":""},{"dropping-particle":"","family":"Oyewole","given":"Matthew Oluwole","non-dropping-particle":"","parse-names":false,"suffix":""}],"container-title":"International Journal of Construction Management","id":"ITEM-1","issue":"11","issued":{"date-parts":[["2022"]]},"page":"2121-2133","publisher":"Taylor &amp; Francis","title":"Underlying factors for effective collective decision on community-driven infrastructure in developing countries","type":"article-journal","volume":"22"},"suppress-author":1,"uris":["http://www.mendeley.com/documents/?uuid=e15f17ec-4eda-4082-8d94-af08c47703a4"]}],"mendeley":{"formattedCitation":"(2022)","plainTextFormattedCitation":"(2022)","previouslyFormattedCitation":"(2022)"},"properties":{"noteIndex":0},"schema":"https://github.com/citation-style-language/schema/raw/master/csl-citation.json"}</w:instrText>
      </w:r>
      <w:r w:rsidR="00F5091E" w:rsidRPr="00422170">
        <w:fldChar w:fldCharType="separate"/>
      </w:r>
      <w:r w:rsidR="00F5091E" w:rsidRPr="00422170">
        <w:rPr>
          <w:noProof/>
        </w:rPr>
        <w:t>(2022)</w:t>
      </w:r>
      <w:r w:rsidR="00F5091E" w:rsidRPr="00422170">
        <w:fldChar w:fldCharType="end"/>
      </w:r>
      <w:r w:rsidRPr="00422170">
        <w:t>, who reported that community-based technical training increases confidence, reduces dependency on external actors, and enhances infrastructure outcomes.</w:t>
      </w:r>
    </w:p>
    <w:p w:rsidR="004C1812" w:rsidRPr="00422170" w:rsidRDefault="00CD7636" w:rsidP="008928BB">
      <w:pPr>
        <w:pStyle w:val="NormalWeb"/>
        <w:spacing w:before="0" w:beforeAutospacing="0" w:after="0" w:afterAutospacing="0"/>
        <w:jc w:val="both"/>
      </w:pPr>
      <w:r w:rsidRPr="00422170">
        <w:t xml:space="preserve">Incentive-based strategies also play a key role. A total of 90.8% of respondents (47.5% strongly agree and 43.3% agree) supported providing financial and non-financial incentives, reflected in a mean score of 4.38. In </w:t>
      </w:r>
      <w:proofErr w:type="spellStart"/>
      <w:r w:rsidRPr="00422170">
        <w:t>Babati</w:t>
      </w:r>
      <w:proofErr w:type="spellEnd"/>
      <w:r w:rsidRPr="00422170">
        <w:t xml:space="preserve">, where many residents face economic constraints, small stipends or material rewards can offset the opportunity costs of participation, particularly for those dependent on subsistence farming or informal work. Public recognition, such as certificates or </w:t>
      </w:r>
      <w:r w:rsidRPr="00422170">
        <w:lastRenderedPageBreak/>
        <w:t>community ceremonies, can enhance social prestige and reinforce continued engagement. As one respondent highlighted,</w:t>
      </w:r>
    </w:p>
    <w:p w:rsidR="00CD7636" w:rsidRPr="00422170" w:rsidRDefault="00CD7636" w:rsidP="008928BB">
      <w:pPr>
        <w:pStyle w:val="NormalWeb"/>
        <w:spacing w:before="0" w:beforeAutospacing="0" w:after="0" w:afterAutospacing="0"/>
        <w:jc w:val="both"/>
        <w:rPr>
          <w:rStyle w:val="Emphasis"/>
          <w:i w:val="0"/>
          <w:iCs w:val="0"/>
        </w:rPr>
      </w:pPr>
      <w:r w:rsidRPr="00422170">
        <w:rPr>
          <w:rStyle w:val="Emphasis"/>
        </w:rPr>
        <w:t xml:space="preserve">“… Many people are reluctant to participate in road maintenance because they struggle to meet their basic needs. Small financial rewards or public acknowledgment can make a big difference, especially when they see how their involvement benefits the community </w:t>
      </w:r>
      <w:r w:rsidR="004C1812" w:rsidRPr="00422170">
        <w:rPr>
          <w:rStyle w:val="Emphasis"/>
        </w:rPr>
        <w:t xml:space="preserve">and brings recognition.” – TRM </w:t>
      </w:r>
    </w:p>
    <w:p w:rsidR="004C1812" w:rsidRPr="00422170" w:rsidRDefault="004C1812" w:rsidP="008928BB">
      <w:pPr>
        <w:pStyle w:val="NormalWeb"/>
        <w:spacing w:before="0" w:beforeAutospacing="0" w:after="0" w:afterAutospacing="0"/>
        <w:jc w:val="both"/>
      </w:pPr>
    </w:p>
    <w:p w:rsidR="00CD7636" w:rsidRPr="00422170" w:rsidRDefault="00CD7636" w:rsidP="008928BB">
      <w:pPr>
        <w:pStyle w:val="NormalWeb"/>
        <w:spacing w:before="0" w:beforeAutospacing="0" w:after="0" w:afterAutospacing="0"/>
      </w:pPr>
      <w:r w:rsidRPr="00422170">
        <w:t>This underscores the critical role of combining financial incentives with social recognition to foster sustained participation, a find</w:t>
      </w:r>
      <w:r w:rsidR="00F93BA2" w:rsidRPr="00422170">
        <w:t xml:space="preserve">ing supported by </w:t>
      </w:r>
      <w:proofErr w:type="spellStart"/>
      <w:r w:rsidR="00F93BA2" w:rsidRPr="00422170">
        <w:t>Kinsbergen</w:t>
      </w:r>
      <w:proofErr w:type="spellEnd"/>
      <w:r w:rsidR="00F93BA2" w:rsidRPr="00422170">
        <w:t xml:space="preserve"> et al. </w:t>
      </w:r>
      <w:r w:rsidR="00F93BA2" w:rsidRPr="00422170">
        <w:fldChar w:fldCharType="begin" w:fldLock="1"/>
      </w:r>
      <w:r w:rsidR="00F93BA2" w:rsidRPr="00422170">
        <w:instrText>ADDIN CSL_CITATION {"citationItems":[{"id":"ITEM-1","itemData":{"DOI":"10.1057/s41287-020-00346-0","ISBN":"0123456789","ISSN":"17439728","abstract":"This article presents the results of the first ex-post sustainability study among 93 development interventions implemented between 1990 and 2008 in Kenya, India, South Africa, and Ghana. The interventions were undertaken by 42 different local organisations with support from an equal number of Dutch small-scale, voluntary development organisations. We find that a large number of interventions still achieve the intended output and outcome results. The results show no differences between interventions that took place 5, 10, or 15 years before the study. Financial dependency on the Dutch partner organisations remains large. The levels of sustainability differed significantly between the four countries, with Kenya and South Africa portraying the most positive picture. In addition, the results indicate that the majority of the interventions are focusing on the direct reduction of poverty: offering concrete support to people through the provision of basic needs. While many local organisations expect that these interventions will also contribute to more structural change, the findings of this study question this supposed transformative effect.","author":[{"dropping-particle":"","family":"Kinsbergen","given":"Sara","non-dropping-particle":"","parse-names":false,"suffix":""},{"dropping-particle":"","family":"Koch","given":"Dirk Jan","non-dropping-particle":"","parse-names":false,"suffix":""},{"dropping-particle":"","family":"Plaisier","given":"Christine","non-dropping-particle":"","parse-names":false,"suffix":""},{"dropping-particle":"","family":"Schulpen","given":"Lau","non-dropping-particle":"","parse-names":false,"suffix":""}],"container-title":"European Journal of Development Research","id":"ITEM-1","issue":"1","issued":{"date-parts":[["2022"]]},"page":"51-76","publisher":"Palgrave Macmillan UK","title":"Long-Lasting, But Not Transformative. An Ex-post Sustainability Study of Development Interventions of Private Development Initiatives","type":"article-journal","volume":"34"},"suppress-author":1,"uris":["http://www.mendeley.com/documents/?uuid=98c0681d-3594-4efe-9a9e-9186902fc1aa"]}],"mendeley":{"formattedCitation":"(2022)","plainTextFormattedCitation":"(2022)","previouslyFormattedCitation":"(2022)"},"properties":{"noteIndex":0},"schema":"https://github.com/citation-style-language/schema/raw/master/csl-citation.json"}</w:instrText>
      </w:r>
      <w:r w:rsidR="00F93BA2" w:rsidRPr="00422170">
        <w:fldChar w:fldCharType="separate"/>
      </w:r>
      <w:r w:rsidR="00F93BA2" w:rsidRPr="00422170">
        <w:rPr>
          <w:noProof/>
        </w:rPr>
        <w:t>(2022)</w:t>
      </w:r>
      <w:r w:rsidR="00F93BA2" w:rsidRPr="00422170">
        <w:fldChar w:fldCharType="end"/>
      </w:r>
      <w:r w:rsidR="00F93BA2" w:rsidRPr="00422170">
        <w:t xml:space="preserve"> </w:t>
      </w:r>
      <w:r w:rsidRPr="00422170">
        <w:t>who noted that such approaches increase long-term engagement in development initiatives.</w:t>
      </w:r>
    </w:p>
    <w:p w:rsidR="00F93BA2" w:rsidRPr="00422170" w:rsidRDefault="00F93BA2" w:rsidP="008928BB">
      <w:pPr>
        <w:pStyle w:val="NormalWeb"/>
        <w:spacing w:before="0" w:beforeAutospacing="0" w:after="0" w:afterAutospacing="0"/>
      </w:pPr>
    </w:p>
    <w:p w:rsidR="004C1812" w:rsidRPr="00422170" w:rsidRDefault="00CD7636" w:rsidP="008928BB">
      <w:pPr>
        <w:pStyle w:val="NormalWeb"/>
        <w:spacing w:before="0" w:beforeAutospacing="0" w:after="0" w:afterAutospacing="0"/>
        <w:jc w:val="both"/>
      </w:pPr>
      <w:r w:rsidRPr="00422170">
        <w:t xml:space="preserve">Collaboration among local government, private sector actors, and community members emerged as another key factor for effective participation. Respondents agreed on the importance of a multi-stakeholder approach. One </w:t>
      </w:r>
      <w:r w:rsidR="00FF6D75" w:rsidRPr="00422170">
        <w:t>key informant</w:t>
      </w:r>
      <w:r w:rsidRPr="00422170">
        <w:t xml:space="preserve"> stated,</w:t>
      </w:r>
    </w:p>
    <w:p w:rsidR="00CD7636" w:rsidRPr="00422170" w:rsidRDefault="00CD7636" w:rsidP="008928BB">
      <w:pPr>
        <w:pStyle w:val="NormalWeb"/>
        <w:spacing w:before="0" w:beforeAutospacing="0" w:after="0" w:afterAutospacing="0"/>
      </w:pPr>
      <w:r w:rsidRPr="00422170">
        <w:br/>
      </w:r>
      <w:r w:rsidRPr="00422170">
        <w:rPr>
          <w:rStyle w:val="Emphasis"/>
        </w:rPr>
        <w:t>“… The involvement of local authorities, private companies, and the community is essential for ensuring that everyone has a role to play in road maintenance. Without their cooperation, the resources and expertise needed to address the maintenance needs of our roads may not be</w:t>
      </w:r>
      <w:r w:rsidR="004C1812" w:rsidRPr="00422170">
        <w:rPr>
          <w:rStyle w:val="Emphasis"/>
        </w:rPr>
        <w:t xml:space="preserve"> effectively mobilized.” – TRM </w:t>
      </w:r>
    </w:p>
    <w:p w:rsidR="004C1812" w:rsidRPr="00422170" w:rsidRDefault="00CD7636" w:rsidP="008928BB">
      <w:pPr>
        <w:pStyle w:val="NormalWeb"/>
        <w:jc w:val="both"/>
      </w:pPr>
      <w:r w:rsidRPr="00422170">
        <w:t xml:space="preserve">This aligns with survey findings showing strong support for partnerships. In </w:t>
      </w:r>
      <w:proofErr w:type="spellStart"/>
      <w:r w:rsidRPr="00422170">
        <w:t>Babati</w:t>
      </w:r>
      <w:proofErr w:type="spellEnd"/>
      <w:r w:rsidRPr="00422170">
        <w:t xml:space="preserve">, collaboration with private companies and civil society organizations can provide technical expertise, funding, and resources to support road maintenance, while ensuring that community needs are incorporated into planning and execution. Another </w:t>
      </w:r>
      <w:r w:rsidR="00FF6D75" w:rsidRPr="00422170">
        <w:t>key informant</w:t>
      </w:r>
      <w:r w:rsidRPr="00422170">
        <w:t xml:space="preserve"> noted,</w:t>
      </w:r>
    </w:p>
    <w:p w:rsidR="00CD7636" w:rsidRPr="00422170" w:rsidRDefault="00CD7636" w:rsidP="008928BB">
      <w:pPr>
        <w:pStyle w:val="NormalWeb"/>
      </w:pPr>
      <w:r w:rsidRPr="00422170">
        <w:br/>
      </w:r>
      <w:r w:rsidRPr="00422170">
        <w:rPr>
          <w:rStyle w:val="Emphasis"/>
        </w:rPr>
        <w:t>“… When the community, government, and private sector come together, we see a more coordinated effort, leading to better results and a stron</w:t>
      </w:r>
      <w:r w:rsidR="004C1812" w:rsidRPr="00422170">
        <w:rPr>
          <w:rStyle w:val="Emphasis"/>
        </w:rPr>
        <w:t xml:space="preserve">ger sense of ownership.” – LD </w:t>
      </w:r>
    </w:p>
    <w:p w:rsidR="00CD7636" w:rsidRPr="00422170" w:rsidRDefault="00CD7636" w:rsidP="008928BB">
      <w:pPr>
        <w:pStyle w:val="NormalWeb"/>
        <w:spacing w:before="0" w:beforeAutospacing="0" w:after="0" w:afterAutospacing="0"/>
        <w:jc w:val="both"/>
      </w:pPr>
      <w:r w:rsidRPr="00422170">
        <w:t xml:space="preserve">Collaborative approaches have been shown to reduce duplication, improve resource use, and increase project ownership, consistent with </w:t>
      </w:r>
      <w:r w:rsidR="00F93BA2" w:rsidRPr="00422170">
        <w:t xml:space="preserve">Khan et al. </w:t>
      </w:r>
      <w:r w:rsidR="00F93BA2" w:rsidRPr="00422170">
        <w:fldChar w:fldCharType="begin" w:fldLock="1"/>
      </w:r>
      <w:r w:rsidR="00DB4D01" w:rsidRPr="00422170">
        <w:instrText>ADDIN CSL_CITATION {"citationItems":[{"id":"ITEM-1","itemData":{"DOI":"10.1186/s13731-022-00229-0","ISSN":"21925372","abstract":"Industry 4.0—also known as the modern industrial revolution—nurtures close collaboration between various organizations so that they can come together for innovation. While aiming for digital transformation through such innovation, these organizations form certain interdependencies due to the pool of resources and tasks they agree to share to reach both common and independent goals. To understand those interdependencies, we studied a national innovation project in Finland called “Reboot IoT Factory,” which leveraged several resources, processes, and practices to successfully combine modern technologies in manufacturing in a competitive and sustainable way. The participants included in the project were factories, research organizations, and small and medium enterprises (SMEs). An actor dependency model was used to analyze the observed interdependencies through survey and interview data. The results showed strong goal, task, and resource dependencies between the participants. A conventional understanding of advantages and opportunities, such as increased experience sharing and possible long-term synergies, is elaborated; moreover, an analysis of the disadvantages and risks caused by interdependencies, such as delays in tasks and possible inefficiency through unnecessary complexity, is also conducted.","author":[{"dropping-particle":"","family":"Khan","given":"Iqra Sadaf","non-dropping-particle":"","parse-names":false,"suffix":""},{"dropping-particle":"","family":"Kauppila","given":"Osmo","non-dropping-particle":"","parse-names":false,"suffix":""},{"dropping-particle":"","family":"Fatima","given":"Noureen","non-dropping-particle":"","parse-names":false,"suffix":""},{"dropping-particle":"","family":"Majava","given":"Jukka","non-dropping-particle":"","parse-names":false,"suffix":""}],"container-title":"Journal of Innovation and Entrepreneurship","id":"ITEM-1","issue":"1","issued":{"date-parts":[["2022"]]},"page":"1-17","publisher":"Springer Berlin Heidelberg","title":"Stakeholder interdependencies in a collaborative innovation project","type":"article-journal","volume":"11"},"suppress-author":1,"uris":["http://www.mendeley.com/documents/?uuid=fafdb9dd-9238-49d9-8966-0cd9a7902b33"]}],"mendeley":{"formattedCitation":"(2022)","plainTextFormattedCitation":"(2022)","previouslyFormattedCitation":"(2022)"},"properties":{"noteIndex":0},"schema":"https://github.com/citation-style-language/schema/raw/master/csl-citation.json"}</w:instrText>
      </w:r>
      <w:r w:rsidR="00F93BA2" w:rsidRPr="00422170">
        <w:fldChar w:fldCharType="separate"/>
      </w:r>
      <w:r w:rsidR="00F93BA2" w:rsidRPr="00422170">
        <w:rPr>
          <w:noProof/>
        </w:rPr>
        <w:t>(2022)</w:t>
      </w:r>
      <w:r w:rsidR="00F93BA2" w:rsidRPr="00422170">
        <w:fldChar w:fldCharType="end"/>
      </w:r>
      <w:r w:rsidRPr="00422170">
        <w:t>.</w:t>
      </w:r>
    </w:p>
    <w:p w:rsidR="00F93BA2" w:rsidRPr="00422170" w:rsidRDefault="00F93BA2" w:rsidP="008928BB">
      <w:pPr>
        <w:pStyle w:val="NormalWeb"/>
        <w:spacing w:before="0" w:beforeAutospacing="0" w:after="0" w:afterAutospacing="0"/>
        <w:jc w:val="both"/>
      </w:pPr>
    </w:p>
    <w:p w:rsidR="00CD7636" w:rsidRPr="00422170" w:rsidRDefault="00CD7636" w:rsidP="008928BB">
      <w:pPr>
        <w:pStyle w:val="NormalWeb"/>
        <w:spacing w:before="0" w:beforeAutospacing="0" w:after="0" w:afterAutospacing="0"/>
        <w:jc w:val="both"/>
      </w:pPr>
      <w:r w:rsidRPr="00422170">
        <w:t>Finally, awareness campaigns and community sensitization were identified as essential for improving participation. With 89.2% of respondents (51.7% strongly agree and 38.3% agree) and a mean score of 4.42, the findings suggest that well-informed communities are more likely to engage in road maintenance projects. Utilizing local radio, posters, and community forums can complement traditional communication methods, ensuring outreach to remote areas with limited digital acce</w:t>
      </w:r>
      <w:r w:rsidR="00DB4D01" w:rsidRPr="00422170">
        <w:t xml:space="preserve">ss. This approach aligns with Oladipo et al. </w:t>
      </w:r>
      <w:r w:rsidR="00DB4D01" w:rsidRPr="00422170">
        <w:fldChar w:fldCharType="begin" w:fldLock="1"/>
      </w:r>
      <w:r w:rsidR="003325FE" w:rsidRPr="00422170">
        <w:instrText>ADDIN CSL_CITATION {"citationItems":[{"id":"ITEM-1","itemData":{"DOI":"10.9734/jenrr/2025/v17i1388","abstract":"Energy infrastructure development is pivotal in driving economic growth and improving societal well-being. However, the benefits of such projects often fail to reach marginalized communities, exacerbating social and economic inequalities. This paper explores the concept of inclusive growth as a framework for equitable development in the energy sector, emphasizing the role of strategic community engagement in fostering participation, mitigating risks, and ensuring sustainable outcomes. The discussion outlines the principles and challenges of inclusivity, identifies key socio-economic and environmental considerations, and proposes actionable frameworks for policy alignment, stakeholder collaboration, and technological integration. By addressing potential risks and highlighting governance structures that facilitate equitable decision-making, the paper underscores the importance of inclusivity as a cornerstone of sustainable energy development. Practical recommendations for policymakers, developers, and community leaders are provided to create energy projects that prioritize shared progress and environmental stewardship.","author":[{"dropping-particle":"","family":"Oladipo","given":"Olusola Temidayo","non-dropping-particle":"","parse-names":false,"suffix":""},{"dropping-particle":"","family":"Dienagha","given":"Ikiomoworio Nicholas","non-dropping-particle":"","parse-names":false,"suffix":""},{"dropping-particle":"","family":"Digitemie","given":"Wags Numoipiri","non-dropping-particle":"","parse-names":false,"suffix":""}],"container-title":"Journal of Energy Research and Reviews","id":"ITEM-1","issue":"1","issued":{"date-parts":[["2025"]]},"page":"1-9","title":"Building Inclusive Growth Frameworks through Strategic Community Engagement in Energy Infrastructure Development Projects","type":"article-journal","volume":"17"},"suppress-author":1,"uris":["http://www.mendeley.com/documents/?uuid=0855f789-0ff7-4b31-baef-56e9b90f378e"]}],"mendeley":{"formattedCitation":"(2025)","plainTextFormattedCitation":"(2025)","previouslyFormattedCitation":"(2025)"},"properties":{"noteIndex":0},"schema":"https://github.com/citation-style-language/schema/raw/master/csl-citation.json"}</w:instrText>
      </w:r>
      <w:r w:rsidR="00DB4D01" w:rsidRPr="00422170">
        <w:fldChar w:fldCharType="separate"/>
      </w:r>
      <w:r w:rsidR="00DB4D01" w:rsidRPr="00422170">
        <w:rPr>
          <w:noProof/>
        </w:rPr>
        <w:t>(2025)</w:t>
      </w:r>
      <w:r w:rsidR="00DB4D01" w:rsidRPr="00422170">
        <w:fldChar w:fldCharType="end"/>
      </w:r>
      <w:r w:rsidR="00DB4D01" w:rsidRPr="00422170">
        <w:t xml:space="preserve"> </w:t>
      </w:r>
      <w:r w:rsidRPr="00422170">
        <w:t>who found that community sensitization significantly enhances civic engagement and reduces inequalities in infrastructure participation. Sensitization fosters greater understanding of the benefits of road maintenance, encourages collective responsibility, and strengthens proactive participation.</w:t>
      </w:r>
    </w:p>
    <w:p w:rsidR="00BA54C8" w:rsidRPr="00422170" w:rsidRDefault="00BA54C8" w:rsidP="008928BB">
      <w:pPr>
        <w:pStyle w:val="NormalWeb"/>
        <w:spacing w:before="0" w:beforeAutospacing="0" w:after="0" w:afterAutospacing="0"/>
        <w:jc w:val="both"/>
      </w:pPr>
    </w:p>
    <w:p w:rsidR="00BA54C8" w:rsidRPr="00422170" w:rsidRDefault="00BA54C8" w:rsidP="008928BB">
      <w:pPr>
        <w:pStyle w:val="NormalWeb"/>
        <w:spacing w:before="0" w:beforeAutospacing="0" w:after="0" w:afterAutospacing="0"/>
        <w:jc w:val="both"/>
      </w:pPr>
    </w:p>
    <w:p w:rsidR="00551637" w:rsidRPr="00422170" w:rsidRDefault="001761F4"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Relationship Between Participatory Development Theory and Study Findings</w:t>
      </w:r>
    </w:p>
    <w:p w:rsidR="00061110" w:rsidRPr="00422170" w:rsidRDefault="0006111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The findings of this study strongly support the principles of Participatory Development Theory (PDT), which emphasizes community empowerment, dialogue, and active engagement in processes</w:t>
      </w:r>
      <w:r w:rsidR="003325FE" w:rsidRPr="00422170">
        <w:rPr>
          <w:rFonts w:ascii="Times New Roman" w:hAnsi="Times New Roman" w:cs="Times New Roman"/>
          <w:sz w:val="24"/>
          <w:szCs w:val="24"/>
        </w:rPr>
        <w:t xml:space="preserve"> </w:t>
      </w:r>
      <w:r w:rsidR="003325FE" w:rsidRPr="00422170">
        <w:rPr>
          <w:rFonts w:ascii="Times New Roman" w:hAnsi="Times New Roman" w:cs="Times New Roman"/>
          <w:sz w:val="24"/>
          <w:szCs w:val="24"/>
        </w:rPr>
        <w:fldChar w:fldCharType="begin" w:fldLock="1"/>
      </w:r>
      <w:r w:rsidR="003325FE" w:rsidRPr="00422170">
        <w:rPr>
          <w:rFonts w:ascii="Times New Roman" w:hAnsi="Times New Roman" w:cs="Times New Roman"/>
          <w:sz w:val="24"/>
          <w:szCs w:val="24"/>
        </w:rPr>
        <w:instrText>ADDIN CSL_CITATION {"citationItems":[{"id":"ITEM-1","itemData":{"DOI":"10.1186/s12889-023-15860-z","ISSN":"14712458","PMID":"37380973","abstract":"Background: Trust is essential for healthy, reciprocal relationships; creating safe environments; engaging in transparent interactions; successfully negotiating power differentials; supporting equity and putting trauma informed approaches into practice. Less is known, however, about the ways that trust-building may be at the forefront of consideration during community capacity building efforts, what trust-building elements are perceived as essential for optimally engaging communities, and what practices might support these efforts. Methods: The present study examines an evolving understanding of trust-building over the course of 3 years, from qualitative data derived during interviews with nine agency leads from a large and diverse urban community, who are spearheading community-based partnerships to create more trauma-informed communities and foster resiliency. Results: Data reflected fourteen trust-building elements, captured by three themes: 1) Building relationships and engagement (e.g., behavioral practices such as meeting people “where they are at” and creating safe spaces), 2) Embodying core values of trustworthiness (e.g., traits such as being transparent and embodying benevolence), and 3) Sharing decision-making, championing autonomy, and addressing barriers to trust (e.g., collaborative practices such as creating a shared vision and goals and addressing systemic inequities). These trust-building elements are presented in the Community Circle of Trust-Building, which provides an accessible, visual format that can facilitate capacity building efforts within organizations and with the broader community; guide the selection of training opportunities that support healthy interpersonal relationships; and aid in the identification of relevant, supporting frameworks (e.g., health equity, trauma-informed practices, inclusive leadership models). Conclusions: Community engagement and trust are essential for overall health and well-being, increasing equitable access to resources, and supporting an effective and connected citizenry. These data shed light on opportunities for trust-building and thoughtful engagement among agencies working directly with community members in large urban areas.","author":[{"dropping-particle":"","family":"Lansing","given":"Amy E.","non-dropping-particle":"","parse-names":false,"suffix":""},{"dropping-particle":"","family":"Romero","given":"Natalie J.","non-dropping-particle":"","parse-names":false,"suffix":""},{"dropping-particle":"","family":"Siantz","given":"Elizabeth","non-dropping-particle":"","parse-names":false,"suffix":""},{"dropping-particle":"","family":"Silva","given":"Vivianne","non-dropping-particle":"","parse-names":false,"suffix":""},{"dropping-particle":"","family":"Center","given":"Kimberly","non-dropping-particle":"","parse-names":false,"suffix":""},{"dropping-particle":"","family":"Casteel","given":"Danielle","non-dropping-particle":"","parse-names":false,"suffix":""},{"dropping-particle":"","family":"Gilmer","given":"Todd","non-dropping-particle":"","parse-names":false,"suffix":""}],"container-title":"BMC Public Health","id":"ITEM-1","issue":"1","issued":{"date-parts":[["2023"]]},"page":"1-25","publisher":"BioMed Central","title":"Building trust: Leadership reflections on community empowerment and engagement in a large urban initiative","type":"article-journal","volume":"23"},"uris":["http://www.mendeley.com/documents/?uuid=087c3428-949f-4a75-8359-987fab745b54"]}],"mendeley":{"formattedCitation":"(Lansing et al., 2023)","plainTextFormattedCitation":"(Lansing et al., 2023)","previouslyFormattedCitation":"(Lansing et al., 2023)"},"properties":{"noteIndex":0},"schema":"https://github.com/citation-style-language/schema/raw/master/csl-citation.json"}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(Lansing et al., 2023)</w:t>
      </w:r>
      <w:r w:rsidR="003325F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The high level of support for digital tools, with 91.7% of respondents agreeing that mobile apps and GIS can enhance community participation, reflects PDT’s assertion that communities possess valuable knowledge and capacities that, when effectively mobilized, contribute to project success. Digital platforms provided channels for </w:t>
      </w:r>
      <w:r w:rsidRPr="00422170">
        <w:rPr>
          <w:rFonts w:ascii="Times New Roman" w:hAnsi="Times New Roman" w:cs="Times New Roman"/>
          <w:sz w:val="24"/>
          <w:szCs w:val="24"/>
        </w:rPr>
        <w:lastRenderedPageBreak/>
        <w:t xml:space="preserve">direct communication, transparency, and collaborative decision-making, demonstrating how innovative approaches operationalize the theory’s call for participatory engagement </w:t>
      </w:r>
      <w:r w:rsidR="003325FE" w:rsidRPr="00422170">
        <w:rPr>
          <w:rFonts w:ascii="Times New Roman" w:hAnsi="Times New Roman" w:cs="Times New Roman"/>
          <w:sz w:val="24"/>
          <w:szCs w:val="24"/>
        </w:rPr>
        <w:fldChar w:fldCharType="begin" w:fldLock="1"/>
      </w:r>
      <w:r w:rsidR="003325FE" w:rsidRPr="00422170">
        <w:rPr>
          <w:rFonts w:ascii="Times New Roman" w:hAnsi="Times New Roman" w:cs="Times New Roman"/>
          <w:sz w:val="24"/>
          <w:szCs w:val="24"/>
        </w:rPr>
        <w:instrText>ADDIN CSL_CITATION {"citationItems":[{"id":"ITEM-1","itemData":{"abstract":"Purpose: The purpose of this paper is to review global practices in the use of digital tools and platforms to enhance community participation. It specifically aims to evaluate the effectiveness of these technologies in promoting inclusive and equitable engagement, while identifying key practices, challenges, and lessons from global experiences. Methods: The study employs a qualitative research approach, systematically reviewing literature sourced from academic journals, reports, and case studies. Results: The findings indicate that digital platforms-such as social media, e-governance tools, and participatory budgeting systems-have effectively enhanced citizen engagement, especially in developed regions. However, challenges such as the digital divide, low digital literacy, and limited infrastructure continue to impede participation, particularly in marginalized and underserved communities. Conclusion: The paper concludes by recommending the expansion of digital infrastructure, the promotion of digital literacy programs, the design of inclusive platforms, and the strengthening of community-based participation. Additionally, it calls for future research on emerging digital trends and the influence of digital inequality in underserved regions.","author":[{"dropping-particle":"","family":"Sebunya","given":"Jhanet","non-dropping-particle":"","parse-names":false,"suffix":""},{"dropping-particle":"","family":"Gichuki","given":"Atenya","non-dropping-particle":"","parse-names":false,"suffix":""}],"container-title":"EdinBurg Peer Reviewed Journals and Books Publishers International Journal of Scholarly Practice","id":"ITEM-1","issue":"2","issued":{"date-parts":[["2024"]]},"page":"54-67","title":"Digital Tools and Platforms for Enhancing Community Participation: A Review of Global Practices","type":"article-journal","volume":"4"},"uris":["http://www.mendeley.com/documents/?uuid=eff5cb6e-dfd4-46b8-a5da-8cf1955dd093"]}],"mendeley":{"formattedCitation":"(Sebunya &amp; Gichuki, 2024)","plainTextFormattedCitation":"(Sebunya &amp; Gichuki, 2024)","previouslyFormattedCitation":"(Sebunya &amp; Gichuki, 2024)"},"properties":{"noteIndex":0},"schema":"https://github.com/citation-style-language/schema/raw/master/csl-citation.json"}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(Sebunya &amp; Gichuki, 2024)</w:t>
      </w:r>
      <w:r w:rsidR="003325FE"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3325FE" w:rsidRPr="00422170" w:rsidRDefault="003325FE" w:rsidP="008928BB">
      <w:pPr>
        <w:spacing w:after="0" w:line="240" w:lineRule="auto"/>
        <w:jc w:val="both"/>
        <w:rPr>
          <w:rFonts w:ascii="Times New Roman" w:hAnsi="Times New Roman" w:cs="Times New Roman"/>
          <w:sz w:val="24"/>
          <w:szCs w:val="24"/>
        </w:rPr>
      </w:pPr>
    </w:p>
    <w:p w:rsidR="00061110" w:rsidRPr="00422170" w:rsidRDefault="0006111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Similarly, the strong consensus on capacity-building programs (93.3% agreement) underscores the theory’s focus on empowerment and skill development </w:t>
      </w:r>
      <w:r w:rsidR="003325FE" w:rsidRPr="00422170">
        <w:rPr>
          <w:rFonts w:ascii="Times New Roman" w:hAnsi="Times New Roman" w:cs="Times New Roman"/>
          <w:sz w:val="24"/>
          <w:szCs w:val="24"/>
        </w:rPr>
        <w:fldChar w:fldCharType="begin" w:fldLock="1"/>
      </w:r>
      <w:r w:rsidR="003325FE" w:rsidRPr="00422170">
        <w:rPr>
          <w:rFonts w:ascii="Times New Roman" w:hAnsi="Times New Roman" w:cs="Times New Roman"/>
          <w:sz w:val="24"/>
          <w:szCs w:val="24"/>
        </w:rPr>
        <w:instrText>ADDIN CSL_CITATION {"citationItems":[{"id":"ITEM-1","itemData":{"DOI":"10.20525/ijfbs.v14i1.3977","abstract":"Projects that actively engage stakeholders experience fewer conflicts, smoother execution, and stronger alignment between project deliverables and stakeholder satisfaction. Despite the recognized significance of stakeholder engagement, there is a lack of empirical research, especially addressing the Rwandan construction sector that quantifies the influence of stakeholder participation on project performance. The general objective of the study was to examine the effect of stakeholder engagement strategies on performance of road construction projects in Musanze District, Rwanda. The study was based on Stakeholder Theory, Agency Theory, and the Theory of Change. The research design included descriptive and correlational research designs to explore how different stakeholder engagement strategies affected the performance of RUDP. A sample size of 122 respondents out of 176 stakeholders involved in the Rwanda Urban Development Project (RUDP were selected through random sampling. Data collection involved questionnaires, interviews, and documentary techniques using reports and records from RUDP. A pilot study was conducted on 13 respondents, representing 10% of the overall sample size. Reliability was assessed through Cronbach's Alpha gave 0.815 and validity was assessed using the content validity index of 0.86. Data analysis involved descriptive and inferential statistics of correlation and regression at a significance level of 0.05 using the SPSS version 25. Based on the findings, the hypothesis that: there is no significant effect of stakeholder involvement (P=0.000&lt;0.05); stakeholder collaboration (P=0.000&lt;0.05); stakeholder participation (P=0.000&lt;0.05) and; stakeholder empowerment on performance of road construction projects, were rejected, confirming that stakeholder engagement strategies have significant positive effect on performance of road construction projects. The study recommended that the management of RUDP enhance stakeholder involvement by establishing effective communication channels, fostering collaboration among government agencies, contractors, and local stakeholders. Future research could explore the impact of digital tools on stakeholder engagement in road construction projects.","author":[{"dropping-particle":"","family":"Lucien","given":"Nziyumvira","non-dropping-particle":"","parse-names":false,"suffix":""},{"dropping-particle":"","family":"Amolo","given":"Amolo","non-dropping-particle":"","parse-names":false,"suffix":""}],"container-title":"International Journal of Finance &amp; Banking Studies (2147-4486)","id":"ITEM-1","issued":{"date-parts":[["2025","2"]]},"page":"68-78","title":"Stakeholder Engagement Strategies and Road Construction Project Performance","type":"article-journal","volume":"14"},"uris":["http://www.mendeley.com/documents/?uuid=6c7b030d-0d8a-4f82-bae2-aba12e3d66a9"]}],"mendeley":{"formattedCitation":"(Lucien &amp; Amolo, 2025)","plainTextFormattedCitation":"(Lucien &amp; Amolo, 2025)","previouslyFormattedCitation":"(Lucien &amp; Amolo, 2025)"},"properties":{"noteIndex":0},"schema":"https://github.com/citation-style-language/schema/raw/master/csl-citation.json"}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(Lucien &amp; Amolo, 2025)</w:t>
      </w:r>
      <w:r w:rsidR="003325F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By equipping community members with technical knowledge and practical skills for road maintenance, training initiatives enabled residents to meaningfully participate in planning and implementation activities, fostering ownership and accountability as PDT advocates. This finding aligns with Freire’s (1970) emphasis on mutual learning and community-driven problem-solving, illustrating that empowerment is central to sustainable development outcomes.</w:t>
      </w:r>
    </w:p>
    <w:p w:rsidR="00061110" w:rsidRPr="00422170" w:rsidRDefault="0006111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Incentive-based strategies, endorsed by 90.8% of participants, further illustrate the alignment between the study’s findings and PDT. Combining financial and social recognition addressed both economic and motivational barriers, promoting sustained engagement. This mirrors the theory’s principle that participatory approaches increase commitment, social capital, and shared responsibility, ensuring that development initiatives are contextually relevant and community-driven </w:t>
      </w:r>
      <w:r w:rsidR="003325FE" w:rsidRPr="00422170">
        <w:rPr>
          <w:rFonts w:ascii="Times New Roman" w:hAnsi="Times New Roman" w:cs="Times New Roman"/>
          <w:sz w:val="24"/>
          <w:szCs w:val="24"/>
        </w:rPr>
        <w:fldChar w:fldCharType="begin" w:fldLock="1"/>
      </w:r>
      <w:r w:rsidR="003325FE" w:rsidRPr="00422170">
        <w:rPr>
          <w:rFonts w:ascii="Times New Roman" w:hAnsi="Times New Roman" w:cs="Times New Roman"/>
          <w:sz w:val="24"/>
          <w:szCs w:val="24"/>
        </w:rPr>
        <w:instrText>ADDIN CSL_CITATION {"citationItems":[{"id":"ITEM-1","itemData":{"DOI":"10.1080/15623599.2020.1768325","ISSN":"15623599","abstract":"The prevailing collective decision in the emerging communities in Sub-Sahara Africa illustrates the paradigm shift from top-down decision making to bottom-up democratic practices in procuring community-based infrastructure, in the era of dwindling financial capacity of government. This paper analyses factors influencing the success of the community-driven project in selected communities surrounding the largest city of Ibadan. We collected survey data through copies of semi-structured questionnaire, backed with an interview. Factor analysis categorizes the major factors into seven groups, including social integration and commitment to the community development project, governance structure and leadership, democracy, selfless services, networking and accountability, openness in selecting professionals for development, and joint agreement. We subject the items of the factors into SWOT analysis to understand the values. Community-based organizations (CBOs) serve as potential means to address infrastructure deficit if CBOs take note of the main factors, use the opportunities that match the strengths, attempt to overcome the weaknesses to attain the opportunities, use the strength to reduce the vulnerability to the threats and prevent the weaknesses to avoid susceptibility to the threats.","author":[{"dropping-particle":"","family":"Gbadegesin","given":"Job Taiwo","non-dropping-particle":"","parse-names":false,"suffix":""},{"dropping-particle":"","family":"Ojekalu","given":"Samson","non-dropping-particle":"","parse-names":false,"suffix":""},{"dropping-particle":"","family":"Komolafe","given":"Markson Opeyemi","non-dropping-particle":"","parse-names":false,"suffix":""},{"dropping-particle":"","family":"Oyewole","given":"Matthew Oluwole","non-dropping-particle":"","parse-names":false,"suffix":""}],"container-title":"International Journal of Construction Management","id":"ITEM-1","issue":"11","issued":{"date-parts":[["2022"]]},"page":"2121-2133","publisher":"Taylor &amp; Francis","title":"Underlying factors for effective collective decision on community-driven infrastructure in developing countries","type":"article-journal","volume":"22"},"uris":["http://www.mendeley.com/documents/?uuid=02d12b9e-301a-4863-9c7d-dddc8416f988"]}],"mendeley":{"formattedCitation":"(Gbadegesin et al., 2022)","plainTextFormattedCitation":"(Gbadegesin et al., 2022)","previouslyFormattedCitation":"(Gbadegesin et al., 2022)"},"properties":{"noteIndex":0},"schema":"https://github.com/citation-style-language/schema/raw/master/csl-citation.json"}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(Gbadegesin et al., 2022)</w:t>
      </w:r>
      <w:r w:rsidR="003325F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Likewise, multi-stakeholder collaboration and sensitization campaigns reinforced participatory ideals by facilitating dialogue among local authorities, private actors, and residents, thereby enhancing accountability, transparency, and inclusivity in decision-making processes </w:t>
      </w:r>
      <w:r w:rsidR="003325FE" w:rsidRPr="00422170">
        <w:rPr>
          <w:rFonts w:ascii="Times New Roman" w:hAnsi="Times New Roman" w:cs="Times New Roman"/>
          <w:sz w:val="24"/>
          <w:szCs w:val="24"/>
        </w:rPr>
        <w:fldChar w:fldCharType="begin" w:fldLock="1"/>
      </w:r>
      <w:r w:rsidR="00DF722F" w:rsidRPr="00422170">
        <w:rPr>
          <w:rFonts w:ascii="Times New Roman" w:hAnsi="Times New Roman" w:cs="Times New Roman"/>
          <w:sz w:val="24"/>
          <w:szCs w:val="24"/>
        </w:rPr>
        <w:instrText>ADDIN CSL_CITATION {"citationItems":[{"id":"ITEM-1","itemData":{"DOI":"10.1177/00027642221086957","ISSN":"15523381","abstract":"Participatory budgeting (PB) is designed to leverage local knowledge about community needs and translate spending preferences into tangible community development action by giving communities control over key budgetary resources. Moreover, PB participants learn about decision-making processes in development policy and can organize to pursue their communities’ interests beyond the PB process by engaging with government and civil society. PB advocates hope that infrastructure, service delivery, and, ultimately, well-being will improve for underserved communities and groups that have been historically excluded from the perspective of representative democracy. This article presents the theoretical logic connecting PB to community development and summarizes the global evidence from studies that test the theoretical propositions above. We find evidence for PB’s impact on community development performance in several important contexts. However, we also note that many hypotheses have yet to be tested in rigorous, large-N, comparative studies. There is thus considerable room to evaluate PB’s impact in the future.","author":[{"dropping-particle":"","family":"Touchton","given":"Michael","non-dropping-particle":"","parse-names":false,"suffix":""},{"dropping-particle":"","family":"McNulty","given":"Stephanie","non-dropping-particle":"","parse-names":false,"suffix":""},{"dropping-particle":"","family":"Wampler","given":"Brian","non-dropping-particle":"","parse-names":false,"suffix":""}],"container-title":"American Behavioral Scientist","id":"ITEM-1","issue":"4","issued":{"date-parts":[["2023"]]},"page":"520-536","title":"Participatory Budgeting and Community Development: A Global Perspective","type":"article-journal","volume":"67"},"uris":["http://www.mendeley.com/documents/?uuid=d6a1fda3-a597-4ae1-a049-c43ed0648a49"]}],"mendeley":{"formattedCitation":"(Touchton et al., 2023)","plainTextFormattedCitation":"(Touchton et al., 2023)","previouslyFormattedCitation":"(Touchton et al., 2023)"},"properties":{"noteIndex":0},"schema":"https://github.com/citation-style-language/schema/raw/master/csl-citation.json"}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(Touchton et al., 2023)</w:t>
      </w:r>
      <w:r w:rsidR="003325FE" w:rsidRPr="00422170">
        <w:rPr>
          <w:rFonts w:ascii="Times New Roman" w:hAnsi="Times New Roman" w:cs="Times New Roman"/>
          <w:sz w:val="24"/>
          <w:szCs w:val="24"/>
        </w:rPr>
        <w:fldChar w:fldCharType="end"/>
      </w:r>
    </w:p>
    <w:p w:rsidR="003325FE" w:rsidRPr="00422170" w:rsidRDefault="003325FE" w:rsidP="008928BB">
      <w:pPr>
        <w:spacing w:after="0" w:line="240" w:lineRule="auto"/>
        <w:jc w:val="both"/>
        <w:rPr>
          <w:rFonts w:ascii="Times New Roman" w:hAnsi="Times New Roman" w:cs="Times New Roman"/>
          <w:sz w:val="24"/>
          <w:szCs w:val="24"/>
        </w:rPr>
      </w:pPr>
    </w:p>
    <w:p w:rsidR="00061110" w:rsidRPr="00422170" w:rsidRDefault="0006111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Overall, the study demonstrates that innovative approaches to strengthening community engagement digital tools, capacity-building, incentives, collaboration, and awareness campaigns are consistent with PDT’s core assumptions and principles. These findings confirm that when communities are actively involved in rural road maintenance initiatives, as seen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the outcomes are more sustainable, contextually relevant, and reflective of local priorities, thereby validating the applicability of Participatory Development Theory to real-world infrastructure projects.</w:t>
      </w:r>
    </w:p>
    <w:p w:rsidR="00DF722F" w:rsidRPr="00422170" w:rsidRDefault="00DF722F" w:rsidP="008928BB">
      <w:pPr>
        <w:spacing w:after="0" w:line="240" w:lineRule="auto"/>
        <w:jc w:val="both"/>
        <w:rPr>
          <w:rFonts w:ascii="Times New Roman" w:hAnsi="Times New Roman" w:cs="Times New Roman"/>
          <w:sz w:val="24"/>
          <w:szCs w:val="24"/>
        </w:rPr>
      </w:pPr>
    </w:p>
    <w:p w:rsidR="00551637" w:rsidRPr="00422170" w:rsidRDefault="0060304D"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CONCLUSION</w:t>
      </w:r>
      <w:r w:rsidR="00A55BBA" w:rsidRPr="00422170">
        <w:rPr>
          <w:rFonts w:ascii="Times New Roman" w:hAnsi="Times New Roman" w:cs="Times New Roman"/>
          <w:b/>
          <w:sz w:val="24"/>
          <w:szCs w:val="24"/>
        </w:rPr>
        <w:t xml:space="preserve"> AND POLICY IMPLICATIONS</w:t>
      </w:r>
    </w:p>
    <w:p w:rsidR="00A55BBA" w:rsidRPr="00422170" w:rsidRDefault="00A55BB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This study demonstr</w:t>
      </w:r>
      <w:r w:rsidR="00BA54C8" w:rsidRPr="00422170">
        <w:rPr>
          <w:rFonts w:ascii="Times New Roman" w:hAnsi="Times New Roman" w:cs="Times New Roman"/>
          <w:sz w:val="24"/>
          <w:szCs w:val="24"/>
        </w:rPr>
        <w:t xml:space="preserve">ates that innovative approaches </w:t>
      </w:r>
      <w:r w:rsidRPr="00422170">
        <w:rPr>
          <w:rFonts w:ascii="Times New Roman" w:hAnsi="Times New Roman" w:cs="Times New Roman"/>
          <w:sz w:val="24"/>
          <w:szCs w:val="24"/>
        </w:rPr>
        <w:t>digital tools, capacity-building programs, incentive mechanisms, multi-stakeholder collabo</w:t>
      </w:r>
      <w:r w:rsidR="00BA54C8" w:rsidRPr="00422170">
        <w:rPr>
          <w:rFonts w:ascii="Times New Roman" w:hAnsi="Times New Roman" w:cs="Times New Roman"/>
          <w:sz w:val="24"/>
          <w:szCs w:val="24"/>
        </w:rPr>
        <w:t xml:space="preserve">ration, and awareness campaigns </w:t>
      </w:r>
      <w:r w:rsidRPr="00422170">
        <w:rPr>
          <w:rFonts w:ascii="Times New Roman" w:hAnsi="Times New Roman" w:cs="Times New Roman"/>
          <w:sz w:val="24"/>
          <w:szCs w:val="24"/>
        </w:rPr>
        <w:t xml:space="preserve">can significantly strengthen community engagement in rural road maintenance projects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The findings show that communities are willing and able to participate actively when provided with the appropriate tools, skills, and motivations, confirming that participatory approaches lead to more sustainable and contextually relevant infrastructure outcomes.</w:t>
      </w:r>
    </w:p>
    <w:p w:rsidR="00A55BBA" w:rsidRPr="00422170" w:rsidRDefault="00A55BB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Digital tools, such as mobile applications and GIS platforms, were particularly effective in enabling real-time reporting, improving transparency, and facilitating collaborative decision-making. Capacity-building programs enhanced residents’ technical skills and confidence, fostering a sense of ownership and responsibility for road maintenance tasks. Similarly, financial and non-financial incentives, including stipends and public recognition, addressed both economic and motivational barriers, promoting long-term engagement. Multi-stakeholder collaboration and structured awareness campaigns further strengthened participation by ensuring that local priorities were incorporated into planning and implementation processes.</w:t>
      </w:r>
    </w:p>
    <w:p w:rsidR="00A55BBA" w:rsidRPr="00422170" w:rsidRDefault="00A55BBA" w:rsidP="008928BB">
      <w:pPr>
        <w:spacing w:after="0" w:line="240" w:lineRule="auto"/>
        <w:jc w:val="both"/>
        <w:rPr>
          <w:rFonts w:ascii="Times New Roman" w:hAnsi="Times New Roman" w:cs="Times New Roman"/>
          <w:sz w:val="24"/>
          <w:szCs w:val="24"/>
        </w:rPr>
      </w:pPr>
    </w:p>
    <w:p w:rsidR="00A55BBA" w:rsidRPr="00422170" w:rsidRDefault="00A55BB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study underscores the relevance of Participatory Development Theory, which emphasizes empowerment, dialogue, and inclusive decision-making. By applying PDT principles, the research illustrates how community knowledge, skills, and social capital can be mobilized to improve infrastructure outcomes, increase accountability, and enhance sustainability. These </w:t>
      </w:r>
      <w:r w:rsidRPr="00422170">
        <w:rPr>
          <w:rFonts w:ascii="Times New Roman" w:hAnsi="Times New Roman" w:cs="Times New Roman"/>
          <w:sz w:val="24"/>
          <w:szCs w:val="24"/>
        </w:rPr>
        <w:lastRenderedPageBreak/>
        <w:t>results highlight that local engagement is not only a complementary strategy to address funding and capacity constraints but also a key determinant of project success in rural contexts.</w:t>
      </w:r>
    </w:p>
    <w:p w:rsidR="00A55BBA" w:rsidRPr="00422170" w:rsidRDefault="00A55BBA" w:rsidP="008928BB">
      <w:pPr>
        <w:spacing w:after="0" w:line="240" w:lineRule="auto"/>
        <w:jc w:val="both"/>
        <w:rPr>
          <w:rFonts w:ascii="Times New Roman" w:hAnsi="Times New Roman" w:cs="Times New Roman"/>
          <w:sz w:val="24"/>
          <w:szCs w:val="24"/>
        </w:rPr>
      </w:pPr>
    </w:p>
    <w:p w:rsidR="0059217A" w:rsidRPr="00422170" w:rsidRDefault="00A55BB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For policy and practice, the findings suggest that governments and development agencies should prioritize integrating digital monitoring systems, structured training, and incentive programs into rural road maintenance initiatives. Institutionalized collaboration among local authorities, private sector actors, and community organizations is crucial to leverage expertise, resources, and social capital. Additionally, regular awareness and sensitization campaigns can strengthen community understanding of road maintenance benefits and foster collective responsibility. Implementing these strategies will contribute to more resilient, participatory, and sustainable rural infrastructure development in Tanzania and similar contexts.</w:t>
      </w:r>
    </w:p>
    <w:p w:rsidR="0059217A" w:rsidRPr="00422170" w:rsidRDefault="0059217A" w:rsidP="008928BB">
      <w:pPr>
        <w:spacing w:after="0" w:line="240" w:lineRule="auto"/>
        <w:jc w:val="both"/>
        <w:rPr>
          <w:rFonts w:ascii="Times New Roman" w:hAnsi="Times New Roman" w:cs="Times New Roman"/>
          <w:sz w:val="24"/>
          <w:szCs w:val="24"/>
        </w:rPr>
      </w:pPr>
    </w:p>
    <w:p w:rsidR="00BA54C8" w:rsidRPr="00422170" w:rsidRDefault="00BA54C8" w:rsidP="008928BB">
      <w:pPr>
        <w:spacing w:after="0" w:line="240" w:lineRule="auto"/>
        <w:jc w:val="both"/>
        <w:rPr>
          <w:rFonts w:ascii="Times New Roman" w:hAnsi="Times New Roman" w:cs="Times New Roman"/>
          <w:sz w:val="24"/>
          <w:szCs w:val="24"/>
        </w:rPr>
      </w:pPr>
      <w:bookmarkStart w:id="5" w:name="_GoBack"/>
      <w:bookmarkEnd w:id="5"/>
    </w:p>
    <w:p w:rsidR="00BA54C8" w:rsidRPr="00422170" w:rsidRDefault="00BA54C8" w:rsidP="008928BB">
      <w:pPr>
        <w:spacing w:after="0" w:line="240" w:lineRule="auto"/>
        <w:jc w:val="both"/>
        <w:rPr>
          <w:rFonts w:ascii="Times New Roman" w:hAnsi="Times New Roman" w:cs="Times New Roman"/>
          <w:sz w:val="24"/>
          <w:szCs w:val="24"/>
        </w:rPr>
      </w:pPr>
    </w:p>
    <w:p w:rsidR="00377DBB" w:rsidRPr="00422170" w:rsidRDefault="00377DBB" w:rsidP="008928BB">
      <w:p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CONFLICT OF INTEREST</w:t>
      </w:r>
    </w:p>
    <w:p w:rsidR="0059217A" w:rsidRPr="00422170" w:rsidRDefault="00377DBB"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The authors declare no conflict of interest in relation to this work. All findings and interpretations are the responsibility of the authors alone.</w:t>
      </w:r>
    </w:p>
    <w:p w:rsidR="008E1FB4" w:rsidRPr="00422170" w:rsidRDefault="008E1FB4" w:rsidP="008928BB">
      <w:pPr>
        <w:spacing w:line="240" w:lineRule="auto"/>
        <w:rPr>
          <w:rFonts w:ascii="Times New Roman" w:hAnsi="Times New Roman" w:cs="Times New Roman"/>
          <w:sz w:val="24"/>
          <w:szCs w:val="24"/>
        </w:rPr>
      </w:pPr>
      <w:r w:rsidRPr="00422170">
        <w:rPr>
          <w:rFonts w:ascii="Times New Roman" w:hAnsi="Times New Roman" w:cs="Times New Roman"/>
          <w:sz w:val="24"/>
          <w:szCs w:val="24"/>
        </w:rPr>
        <w:br w:type="page"/>
      </w:r>
    </w:p>
    <w:p w:rsidR="002E614B" w:rsidRPr="00422170" w:rsidRDefault="00377DBB" w:rsidP="008928BB">
      <w:pPr>
        <w:pStyle w:val="ListParagraph"/>
        <w:spacing w:after="0" w:line="240" w:lineRule="auto"/>
        <w:ind w:left="360"/>
        <w:jc w:val="both"/>
        <w:rPr>
          <w:rFonts w:ascii="Times New Roman" w:hAnsi="Times New Roman" w:cs="Times New Roman"/>
          <w:b/>
          <w:sz w:val="24"/>
          <w:szCs w:val="24"/>
        </w:rPr>
      </w:pPr>
      <w:r w:rsidRPr="00422170">
        <w:rPr>
          <w:rFonts w:ascii="Times New Roman" w:hAnsi="Times New Roman" w:cs="Times New Roman"/>
          <w:b/>
          <w:sz w:val="24"/>
          <w:szCs w:val="24"/>
        </w:rPr>
        <w:lastRenderedPageBreak/>
        <w:t>REFERENCE</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b/>
          <w:sz w:val="24"/>
          <w:szCs w:val="24"/>
        </w:rPr>
        <w:fldChar w:fldCharType="begin" w:fldLock="1"/>
      </w:r>
      <w:r w:rsidRPr="00422170">
        <w:rPr>
          <w:rFonts w:ascii="Times New Roman" w:hAnsi="Times New Roman" w:cs="Times New Roman"/>
          <w:b/>
          <w:sz w:val="24"/>
          <w:szCs w:val="24"/>
        </w:rPr>
        <w:instrText xml:space="preserve">ADDIN Mendeley Bibliography CSL_BIBLIOGRAPHY </w:instrText>
      </w:r>
      <w:r w:rsidRPr="00422170">
        <w:rPr>
          <w:rFonts w:ascii="Times New Roman" w:hAnsi="Times New Roman" w:cs="Times New Roman"/>
          <w:b/>
          <w:sz w:val="24"/>
          <w:szCs w:val="24"/>
        </w:rPr>
        <w:fldChar w:fldCharType="separate"/>
      </w:r>
      <w:r w:rsidRPr="00422170">
        <w:rPr>
          <w:rFonts w:ascii="Times New Roman" w:hAnsi="Times New Roman" w:cs="Times New Roman"/>
          <w:noProof/>
          <w:sz w:val="24"/>
          <w:szCs w:val="24"/>
        </w:rPr>
        <w:t xml:space="preserve">Almasi, J., &amp; Rafael, L. (2025). Level of Community Participation in Rural Road Maintenance Projects : Insights from Babati District. </w:t>
      </w:r>
      <w:r w:rsidRPr="00422170">
        <w:rPr>
          <w:rFonts w:ascii="Times New Roman" w:hAnsi="Times New Roman" w:cs="Times New Roman"/>
          <w:i/>
          <w:iCs/>
          <w:noProof/>
          <w:sz w:val="24"/>
          <w:szCs w:val="24"/>
        </w:rPr>
        <w:t>Asian Journal of Education and Social Studies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51</w:t>
      </w:r>
      <w:r w:rsidRPr="00422170">
        <w:rPr>
          <w:rFonts w:ascii="Times New Roman" w:hAnsi="Times New Roman" w:cs="Times New Roman"/>
          <w:noProof/>
          <w:sz w:val="24"/>
          <w:szCs w:val="24"/>
        </w:rPr>
        <w:t>(9), 826–839.</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Ayibam, J. N. (2023). Key Legal and Policy Initiatives to Strengthen U.S. Public Infrastructure and Economic Stability. </w:t>
      </w:r>
      <w:r w:rsidRPr="00422170">
        <w:rPr>
          <w:rFonts w:ascii="Times New Roman" w:hAnsi="Times New Roman" w:cs="Times New Roman"/>
          <w:i/>
          <w:iCs/>
          <w:noProof/>
          <w:sz w:val="24"/>
          <w:szCs w:val="24"/>
        </w:rPr>
        <w:t>Pinisi Journal of Art, Humanity and Social Studies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3</w:t>
      </w:r>
      <w:r w:rsidRPr="00422170">
        <w:rPr>
          <w:rFonts w:ascii="Times New Roman" w:hAnsi="Times New Roman" w:cs="Times New Roman"/>
          <w:noProof/>
          <w:sz w:val="24"/>
          <w:szCs w:val="24"/>
        </w:rPr>
        <w:t>(6), 409–419.</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Bilderback, S. (2024). Integrating training for organizational sustainability: the application of Sustainable Development Goals globally. </w:t>
      </w:r>
      <w:r w:rsidRPr="00422170">
        <w:rPr>
          <w:rFonts w:ascii="Times New Roman" w:hAnsi="Times New Roman" w:cs="Times New Roman"/>
          <w:i/>
          <w:iCs/>
          <w:noProof/>
          <w:sz w:val="24"/>
          <w:szCs w:val="24"/>
        </w:rPr>
        <w:t>European Journal of Training and Development</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48</w:t>
      </w:r>
      <w:r w:rsidRPr="00422170">
        <w:rPr>
          <w:rFonts w:ascii="Times New Roman" w:hAnsi="Times New Roman" w:cs="Times New Roman"/>
          <w:noProof/>
          <w:sz w:val="24"/>
          <w:szCs w:val="24"/>
        </w:rPr>
        <w:t>(7–8), 730–748. https://doi.org/10.1108/EJTD-01-2023-0005</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Brian, S., &amp; Olango, O. J. (2024). Project Contractors’ Capacity and Performance of Road Construction Projects in Uasin Gishu County, Kenya. </w:t>
      </w:r>
      <w:r w:rsidRPr="00422170">
        <w:rPr>
          <w:rFonts w:ascii="Times New Roman" w:hAnsi="Times New Roman" w:cs="Times New Roman"/>
          <w:i/>
          <w:iCs/>
          <w:noProof/>
          <w:sz w:val="24"/>
          <w:szCs w:val="24"/>
        </w:rPr>
        <w:t>Journal of Entrepreneurship &amp; Project Management</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8</w:t>
      </w:r>
      <w:r w:rsidRPr="00422170">
        <w:rPr>
          <w:rFonts w:ascii="Times New Roman" w:hAnsi="Times New Roman" w:cs="Times New Roman"/>
          <w:noProof/>
          <w:sz w:val="24"/>
          <w:szCs w:val="24"/>
        </w:rPr>
        <w:t>(6), 88–112. https://doi.org/10.53819/81018102t2424</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Chen, C. C., Lan, Y. L., &amp; Yan, Y. H. (2023). Empirical study on the factors influencing the successful aging of the middle-aged and older adult community volunteers. </w:t>
      </w:r>
      <w:r w:rsidRPr="00422170">
        <w:rPr>
          <w:rFonts w:ascii="Times New Roman" w:hAnsi="Times New Roman" w:cs="Times New Roman"/>
          <w:i/>
          <w:iCs/>
          <w:noProof/>
          <w:sz w:val="24"/>
          <w:szCs w:val="24"/>
        </w:rPr>
        <w:t>Frontiers in Public Health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11</w:t>
      </w:r>
      <w:r w:rsidRPr="00422170">
        <w:rPr>
          <w:rFonts w:ascii="Times New Roman" w:hAnsi="Times New Roman" w:cs="Times New Roman"/>
          <w:noProof/>
          <w:sz w:val="24"/>
          <w:szCs w:val="24"/>
        </w:rPr>
        <w:t>(10), 1–8. https://doi.org/10.3389/fpubh.2023.1140965</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Chen, W., Ren, H., Wang, N., Xiong, Y., &amp; Xu, F. (2021). The relationship between socioeconomic position and health literacy among urban and rural adults in regional China. </w:t>
      </w:r>
      <w:r w:rsidRPr="00422170">
        <w:rPr>
          <w:rFonts w:ascii="Times New Roman" w:hAnsi="Times New Roman" w:cs="Times New Roman"/>
          <w:i/>
          <w:iCs/>
          <w:noProof/>
          <w:sz w:val="24"/>
          <w:szCs w:val="24"/>
        </w:rPr>
        <w:t>BMC Public Health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21</w:t>
      </w:r>
      <w:r w:rsidRPr="00422170">
        <w:rPr>
          <w:rFonts w:ascii="Times New Roman" w:hAnsi="Times New Roman" w:cs="Times New Roman"/>
          <w:noProof/>
          <w:sz w:val="24"/>
          <w:szCs w:val="24"/>
        </w:rPr>
        <w:t>(1), 1–10. https://doi.org/10.1186/s12889-021-10600-7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Chepng, J., &amp; Kimutai, G. (2021). Integrated Planning and Resource Allocation As Project Management Skills on Sustainability of Road Projects. </w:t>
      </w:r>
      <w:r w:rsidRPr="00422170">
        <w:rPr>
          <w:rFonts w:ascii="Times New Roman" w:hAnsi="Times New Roman" w:cs="Times New Roman"/>
          <w:i/>
          <w:iCs/>
          <w:noProof/>
          <w:sz w:val="24"/>
          <w:szCs w:val="24"/>
        </w:rPr>
        <w:t>International Academic Journal of Information Sciences and Project Management |</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3</w:t>
      </w:r>
      <w:r w:rsidRPr="00422170">
        <w:rPr>
          <w:rFonts w:ascii="Times New Roman" w:hAnsi="Times New Roman" w:cs="Times New Roman"/>
          <w:noProof/>
          <w:sz w:val="24"/>
          <w:szCs w:val="24"/>
        </w:rPr>
        <w:t>(6), 443–460. https://iajournals.org/articles/iajispm_v3_i6_443_460.pdf</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Dumas, C., &amp; Játiva, X. (2025). Better Roads, Better Off? Evidence on Upgrading Roads in Tanzania. </w:t>
      </w:r>
      <w:r w:rsidRPr="00422170">
        <w:rPr>
          <w:rFonts w:ascii="Times New Roman" w:hAnsi="Times New Roman" w:cs="Times New Roman"/>
          <w:i/>
          <w:iCs/>
          <w:noProof/>
          <w:sz w:val="24"/>
          <w:szCs w:val="24"/>
        </w:rPr>
        <w:t>World Bank Economic Review</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39</w:t>
      </w:r>
      <w:r w:rsidRPr="00422170">
        <w:rPr>
          <w:rFonts w:ascii="Times New Roman" w:hAnsi="Times New Roman" w:cs="Times New Roman"/>
          <w:noProof/>
          <w:sz w:val="24"/>
          <w:szCs w:val="24"/>
        </w:rPr>
        <w:t>(1), 104–123. https://doi.org/10.1093/wber/lhae017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Ehsani, J. P., Michael, J. P., &amp; MacKENZIE, E. J. (2023). The Future of Road Safety: Challenges and Opportunities. </w:t>
      </w:r>
      <w:r w:rsidRPr="00422170">
        <w:rPr>
          <w:rFonts w:ascii="Times New Roman" w:hAnsi="Times New Roman" w:cs="Times New Roman"/>
          <w:i/>
          <w:iCs/>
          <w:noProof/>
          <w:sz w:val="24"/>
          <w:szCs w:val="24"/>
        </w:rPr>
        <w:t>Milbank Quarterly-A Multidisciplinary Journal of Population Health and Health Policy</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101</w:t>
      </w:r>
      <w:r w:rsidRPr="00422170">
        <w:rPr>
          <w:rFonts w:ascii="Times New Roman" w:hAnsi="Times New Roman" w:cs="Times New Roman"/>
          <w:noProof/>
          <w:sz w:val="24"/>
          <w:szCs w:val="24"/>
        </w:rPr>
        <w:t>(S1), 613–636. https://doi.org/10.1111/1468-0009.12644</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Gbadegesin, J. T., Ojekalu, S., Komolafe, M. O., &amp; Oyewole, M. O. (2022). Underlying factors for effective collective decision on community-driven infrastructure in developing countries. </w:t>
      </w:r>
      <w:r w:rsidRPr="00422170">
        <w:rPr>
          <w:rFonts w:ascii="Times New Roman" w:hAnsi="Times New Roman" w:cs="Times New Roman"/>
          <w:i/>
          <w:iCs/>
          <w:noProof/>
          <w:sz w:val="24"/>
          <w:szCs w:val="24"/>
        </w:rPr>
        <w:t>International Journal of Construction Management</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22</w:t>
      </w:r>
      <w:r w:rsidRPr="00422170">
        <w:rPr>
          <w:rFonts w:ascii="Times New Roman" w:hAnsi="Times New Roman" w:cs="Times New Roman"/>
          <w:noProof/>
          <w:sz w:val="24"/>
          <w:szCs w:val="24"/>
        </w:rPr>
        <w:t>(11), 2121–2133. https://doi.org/10.1080/15623599.2020.1768325</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Godthelp, H., &amp; Ksentini, A. (2024). Specific road safety issues in low-and middle income countries (LMICs): an overview and some illustrative examples. </w:t>
      </w:r>
      <w:r w:rsidRPr="00422170">
        <w:rPr>
          <w:rFonts w:ascii="Times New Roman" w:hAnsi="Times New Roman" w:cs="Times New Roman"/>
          <w:i/>
          <w:iCs/>
          <w:noProof/>
          <w:sz w:val="24"/>
          <w:szCs w:val="24"/>
        </w:rPr>
        <w:t>Traffic Safety Research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8</w:t>
      </w:r>
      <w:r w:rsidRPr="00422170">
        <w:rPr>
          <w:rFonts w:ascii="Times New Roman" w:hAnsi="Times New Roman" w:cs="Times New Roman"/>
          <w:noProof/>
          <w:sz w:val="24"/>
          <w:szCs w:val="24"/>
        </w:rPr>
        <w:t>(11), 1–23. https://doi.org/10.55329/sdtu9515</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Goel, R., Tiwari, G., Varghese, M., Bhalla, K., Agrawal, G., Saini, G., Jha, A., John, D., Saran, A., White, H., &amp; Mohan, D. (2024). Effectiveness of road safety interventions: An evidence and gap map. </w:t>
      </w:r>
      <w:r w:rsidRPr="00422170">
        <w:rPr>
          <w:rFonts w:ascii="Times New Roman" w:hAnsi="Times New Roman" w:cs="Times New Roman"/>
          <w:i/>
          <w:iCs/>
          <w:noProof/>
          <w:sz w:val="24"/>
          <w:szCs w:val="24"/>
        </w:rPr>
        <w:t>Campbell Systematic Reviews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20</w:t>
      </w:r>
      <w:r w:rsidRPr="00422170">
        <w:rPr>
          <w:rFonts w:ascii="Times New Roman" w:hAnsi="Times New Roman" w:cs="Times New Roman"/>
          <w:noProof/>
          <w:sz w:val="24"/>
          <w:szCs w:val="24"/>
        </w:rPr>
        <w:t>(1), 1–261. https://doi.org/10.1002/cl2.1367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Ibanga, S. E., &amp; Akpan, A. M. (2024). Road infrastructure and socio-economic development in Akwa Ibom State, Nigeria. </w:t>
      </w:r>
      <w:r w:rsidRPr="00422170">
        <w:rPr>
          <w:rFonts w:ascii="Times New Roman" w:hAnsi="Times New Roman" w:cs="Times New Roman"/>
          <w:i/>
          <w:iCs/>
          <w:noProof/>
          <w:sz w:val="24"/>
          <w:szCs w:val="24"/>
        </w:rPr>
        <w:t>Admiralty Journal of Multidisciplinary Research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w:t>
      </w:r>
      <w:r w:rsidRPr="00422170">
        <w:rPr>
          <w:rFonts w:ascii="Times New Roman" w:hAnsi="Times New Roman" w:cs="Times New Roman"/>
          <w:noProof/>
          <w:sz w:val="24"/>
          <w:szCs w:val="24"/>
        </w:rPr>
        <w:t>(2), 351–367.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Johnson, O. B., Olamijuwon, J., Cadet, Emmanuel, Osundare, Soji, O., Weldegeorgise, &amp; Wondaferew, Y. (2024). Developing Real-Time Monitoring Models to Enhance Operational Support and Improve Incident Response Times. </w:t>
      </w:r>
      <w:r w:rsidRPr="00422170">
        <w:rPr>
          <w:rFonts w:ascii="Times New Roman" w:hAnsi="Times New Roman" w:cs="Times New Roman"/>
          <w:i/>
          <w:iCs/>
          <w:noProof/>
          <w:sz w:val="24"/>
          <w:szCs w:val="24"/>
        </w:rPr>
        <w:t>International Journal Of Engineering Research And Development</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20</w:t>
      </w:r>
      <w:r w:rsidRPr="00422170">
        <w:rPr>
          <w:rFonts w:ascii="Times New Roman" w:hAnsi="Times New Roman" w:cs="Times New Roman"/>
          <w:noProof/>
          <w:sz w:val="24"/>
          <w:szCs w:val="24"/>
        </w:rPr>
        <w:t>(11), 1296–1304.</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Jung, E., &amp; Kim, Y. C. (2021). Commuting, Communication, and Community Engagement From a Communication Infrastructure Theory Perspective. </w:t>
      </w:r>
      <w:r w:rsidRPr="00422170">
        <w:rPr>
          <w:rFonts w:ascii="Times New Roman" w:hAnsi="Times New Roman" w:cs="Times New Roman"/>
          <w:i/>
          <w:iCs/>
          <w:noProof/>
          <w:sz w:val="24"/>
          <w:szCs w:val="24"/>
        </w:rPr>
        <w:t>Communication Research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lastRenderedPageBreak/>
        <w:t>48</w:t>
      </w:r>
      <w:r w:rsidRPr="00422170">
        <w:rPr>
          <w:rFonts w:ascii="Times New Roman" w:hAnsi="Times New Roman" w:cs="Times New Roman"/>
          <w:noProof/>
          <w:sz w:val="24"/>
          <w:szCs w:val="24"/>
        </w:rPr>
        <w:t>(5), 740–766. https://doi.org/10.1177/0093650218801745</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Kaiser, N., &amp; Barstow, C. K. (2022). Rural Transportation Infrastructure in Low-and Middle-Income Countries: A Review of Impacts, Implications, and Interventions. </w:t>
      </w:r>
      <w:r w:rsidRPr="00422170">
        <w:rPr>
          <w:rFonts w:ascii="Times New Roman" w:hAnsi="Times New Roman" w:cs="Times New Roman"/>
          <w:i/>
          <w:iCs/>
          <w:noProof/>
          <w:sz w:val="24"/>
          <w:szCs w:val="24"/>
        </w:rPr>
        <w:t>Sustainability (Switzerland)</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14</w:t>
      </w:r>
      <w:r w:rsidRPr="00422170">
        <w:rPr>
          <w:rFonts w:ascii="Times New Roman" w:hAnsi="Times New Roman" w:cs="Times New Roman"/>
          <w:noProof/>
          <w:sz w:val="24"/>
          <w:szCs w:val="24"/>
        </w:rPr>
        <w:t>(4), 1–48. https://doi.org/10.3390/su14042149</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Khan, I. S., Kauppila, O., Fatima, N., &amp; Majava, J. (2022). Stakeholder interdependencies in a collaborative innovation project. </w:t>
      </w:r>
      <w:r w:rsidRPr="00422170">
        <w:rPr>
          <w:rFonts w:ascii="Times New Roman" w:hAnsi="Times New Roman" w:cs="Times New Roman"/>
          <w:i/>
          <w:iCs/>
          <w:noProof/>
          <w:sz w:val="24"/>
          <w:szCs w:val="24"/>
        </w:rPr>
        <w:t>Journal of Innovation and Entrepreneurship</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11</w:t>
      </w:r>
      <w:r w:rsidRPr="00422170">
        <w:rPr>
          <w:rFonts w:ascii="Times New Roman" w:hAnsi="Times New Roman" w:cs="Times New Roman"/>
          <w:noProof/>
          <w:sz w:val="24"/>
          <w:szCs w:val="24"/>
        </w:rPr>
        <w:t>(1), 1–17. https://doi.org/10.1186/s13731-022-00229-0</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Kinsbergen, S., Koch, D. J., Plaisier, C., &amp; Schulpen, L. (2022). Long-Lasting, But Not Transformative. An Ex-post Sustainability Study of Development Interventions of Private Development Initiatives. </w:t>
      </w:r>
      <w:r w:rsidRPr="00422170">
        <w:rPr>
          <w:rFonts w:ascii="Times New Roman" w:hAnsi="Times New Roman" w:cs="Times New Roman"/>
          <w:i/>
          <w:iCs/>
          <w:noProof/>
          <w:sz w:val="24"/>
          <w:szCs w:val="24"/>
        </w:rPr>
        <w:t>European Journal of Development Research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34</w:t>
      </w:r>
      <w:r w:rsidRPr="00422170">
        <w:rPr>
          <w:rFonts w:ascii="Times New Roman" w:hAnsi="Times New Roman" w:cs="Times New Roman"/>
          <w:noProof/>
          <w:sz w:val="24"/>
          <w:szCs w:val="24"/>
        </w:rPr>
        <w:t>(1), 51–76. https://doi.org/10.1057/s41287-020-00346-0</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Lansing, A. E., Romero, N. J., Siantz, E., Silva, V., Center, K., Casteel, D., &amp; Gilmer, T. (2023). Building trust: Leadership reflections on community empowerment and engagement in a large urban initiative. </w:t>
      </w:r>
      <w:r w:rsidRPr="00422170">
        <w:rPr>
          <w:rFonts w:ascii="Times New Roman" w:hAnsi="Times New Roman" w:cs="Times New Roman"/>
          <w:i/>
          <w:iCs/>
          <w:noProof/>
          <w:sz w:val="24"/>
          <w:szCs w:val="24"/>
        </w:rPr>
        <w:t>BMC Public Health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23</w:t>
      </w:r>
      <w:r w:rsidRPr="00422170">
        <w:rPr>
          <w:rFonts w:ascii="Times New Roman" w:hAnsi="Times New Roman" w:cs="Times New Roman"/>
          <w:noProof/>
          <w:sz w:val="24"/>
          <w:szCs w:val="24"/>
        </w:rPr>
        <w:t>(1), 1–25. https://doi.org/10.1186/s12889-023-15860-z</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Lucien, N., &amp; Amolo, A. (2025). Stakeholder Engagement Strategies and Road Construction Project Performance. </w:t>
      </w:r>
      <w:r w:rsidRPr="00422170">
        <w:rPr>
          <w:rFonts w:ascii="Times New Roman" w:hAnsi="Times New Roman" w:cs="Times New Roman"/>
          <w:i/>
          <w:iCs/>
          <w:noProof/>
          <w:sz w:val="24"/>
          <w:szCs w:val="24"/>
        </w:rPr>
        <w:t>International Journal of Finance &amp; Banking Studies (2147-4486)</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14</w:t>
      </w:r>
      <w:r w:rsidRPr="00422170">
        <w:rPr>
          <w:rFonts w:ascii="Times New Roman" w:hAnsi="Times New Roman" w:cs="Times New Roman"/>
          <w:noProof/>
          <w:sz w:val="24"/>
          <w:szCs w:val="24"/>
        </w:rPr>
        <w:t>, 68–78. https://doi.org/10.20525/ijfbs.v14i1.3977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Lupton, N. C., Behnam, D., &amp; Jiménez, A. (2021). Taking Advantage of Institutional Weakness? Political Stability and Foreign Subsidiary Survival in Primary Industries. </w:t>
      </w:r>
      <w:r w:rsidRPr="00422170">
        <w:rPr>
          <w:rFonts w:ascii="Times New Roman" w:hAnsi="Times New Roman" w:cs="Times New Roman"/>
          <w:i/>
          <w:iCs/>
          <w:noProof/>
          <w:sz w:val="24"/>
          <w:szCs w:val="24"/>
        </w:rPr>
        <w:t>Multinational Business Review</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2</w:t>
      </w:r>
      <w:r w:rsidRPr="00422170">
        <w:rPr>
          <w:rFonts w:ascii="Times New Roman" w:hAnsi="Times New Roman" w:cs="Times New Roman"/>
          <w:noProof/>
          <w:sz w:val="24"/>
          <w:szCs w:val="24"/>
        </w:rPr>
        <w:t>(3), 1–36.</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Marson, F., Eagly, P., &amp; Russell, O. M. (2023). Impact of Social Assistance Programs on Family Economic Welfare in Urban Environments: An Analysis of Equity and Community Engagement. </w:t>
      </w:r>
      <w:r w:rsidRPr="00422170">
        <w:rPr>
          <w:rFonts w:ascii="Times New Roman" w:hAnsi="Times New Roman" w:cs="Times New Roman"/>
          <w:i/>
          <w:iCs/>
          <w:noProof/>
          <w:sz w:val="24"/>
          <w:szCs w:val="24"/>
        </w:rPr>
        <w:t>Law and Economics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17</w:t>
      </w:r>
      <w:r w:rsidRPr="00422170">
        <w:rPr>
          <w:rFonts w:ascii="Times New Roman" w:hAnsi="Times New Roman" w:cs="Times New Roman"/>
          <w:noProof/>
          <w:sz w:val="24"/>
          <w:szCs w:val="24"/>
        </w:rPr>
        <w:t>(3), 186–202. https://doi.org/10.35335/laweco.v17i3.44</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Masi, E., &amp; Abidin, N. I. (2025). FACTORS IDENTIFICATION FOR STRATEGIC FINANCIAL MANAGEMENT OF AN EFFECTIVE ROAD MAINTENANCE: A REVIEW. </w:t>
      </w:r>
      <w:r w:rsidRPr="00422170">
        <w:rPr>
          <w:rFonts w:ascii="Times New Roman" w:hAnsi="Times New Roman" w:cs="Times New Roman"/>
          <w:i/>
          <w:iCs/>
          <w:noProof/>
          <w:sz w:val="24"/>
          <w:szCs w:val="24"/>
        </w:rPr>
        <w:t>ASEAN Engineering Journal</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2</w:t>
      </w:r>
      <w:r w:rsidRPr="00422170">
        <w:rPr>
          <w:rFonts w:ascii="Times New Roman" w:hAnsi="Times New Roman" w:cs="Times New Roman"/>
          <w:noProof/>
          <w:sz w:val="24"/>
          <w:szCs w:val="24"/>
        </w:rPr>
        <w:t>(5), 9–18.</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Maswe, G. M. M., Malisa, E. T., &amp; Kazuzuru, B. B. (2023). Compliance drivers in community economic development projects: Analysis from Tanzania Social Action Fund (TASAF-III) beneficiaries’ perspectives. </w:t>
      </w:r>
      <w:r w:rsidRPr="00422170">
        <w:rPr>
          <w:rFonts w:ascii="Times New Roman" w:hAnsi="Times New Roman" w:cs="Times New Roman"/>
          <w:i/>
          <w:iCs/>
          <w:noProof/>
          <w:sz w:val="24"/>
          <w:szCs w:val="24"/>
        </w:rPr>
        <w:t>International Journal of Development and Sustainability</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12</w:t>
      </w:r>
      <w:r w:rsidRPr="00422170">
        <w:rPr>
          <w:rFonts w:ascii="Times New Roman" w:hAnsi="Times New Roman" w:cs="Times New Roman"/>
          <w:noProof/>
          <w:sz w:val="24"/>
          <w:szCs w:val="24"/>
        </w:rPr>
        <w:t>(10), 479–503.</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Mazele, O., &amp; Amoah, C. (2022). The causes of poor infrastructure management and maintenance in South African municipalities. </w:t>
      </w:r>
      <w:r w:rsidRPr="00422170">
        <w:rPr>
          <w:rFonts w:ascii="Times New Roman" w:hAnsi="Times New Roman" w:cs="Times New Roman"/>
          <w:i/>
          <w:iCs/>
          <w:noProof/>
          <w:sz w:val="24"/>
          <w:szCs w:val="24"/>
        </w:rPr>
        <w:t>Property Management</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40</w:t>
      </w:r>
      <w:r w:rsidRPr="00422170">
        <w:rPr>
          <w:rFonts w:ascii="Times New Roman" w:hAnsi="Times New Roman" w:cs="Times New Roman"/>
          <w:noProof/>
          <w:sz w:val="24"/>
          <w:szCs w:val="24"/>
        </w:rPr>
        <w:t>(2), 192–206. https://doi.org/10.1108/PM-06-2021-0042</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Md Zia Uddin. (2024). The Cost of Coordination Failures: Impacts on Urban Development Projects and Citizen Services in Bangladesh. </w:t>
      </w:r>
      <w:r w:rsidRPr="00422170">
        <w:rPr>
          <w:rFonts w:ascii="Times New Roman" w:hAnsi="Times New Roman" w:cs="Times New Roman"/>
          <w:i/>
          <w:iCs/>
          <w:noProof/>
          <w:sz w:val="24"/>
          <w:szCs w:val="24"/>
        </w:rPr>
        <w:t>Open Access Indonesia Journal of Social Sciences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8</w:t>
      </w:r>
      <w:r w:rsidRPr="00422170">
        <w:rPr>
          <w:rFonts w:ascii="Times New Roman" w:hAnsi="Times New Roman" w:cs="Times New Roman"/>
          <w:noProof/>
          <w:sz w:val="24"/>
          <w:szCs w:val="24"/>
        </w:rPr>
        <w:t>(1), 1922–1936. https://doi.org/10.37275/oaijss.v8i1.280</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Mdoe, C. N., Kanire, E., &amp; Erick, S. B. (2024). Determinants of Employability in the Informal Sector Among the Youth in Tanzania. </w:t>
      </w:r>
      <w:r w:rsidRPr="00422170">
        <w:rPr>
          <w:rFonts w:ascii="Times New Roman" w:hAnsi="Times New Roman" w:cs="Times New Roman"/>
          <w:i/>
          <w:iCs/>
          <w:noProof/>
          <w:sz w:val="24"/>
          <w:szCs w:val="24"/>
        </w:rPr>
        <w:t>African Journal of Empirical Research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5</w:t>
      </w:r>
      <w:r w:rsidRPr="00422170">
        <w:rPr>
          <w:rFonts w:ascii="Times New Roman" w:hAnsi="Times New Roman" w:cs="Times New Roman"/>
          <w:noProof/>
          <w:sz w:val="24"/>
          <w:szCs w:val="24"/>
        </w:rPr>
        <w:t>(2021), 1632–1640.</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Mhina, A., &amp; Magesa, R. (2025). </w:t>
      </w:r>
      <w:r w:rsidRPr="00422170">
        <w:rPr>
          <w:rFonts w:ascii="Times New Roman" w:hAnsi="Times New Roman" w:cs="Times New Roman"/>
          <w:i/>
          <w:iCs/>
          <w:noProof/>
          <w:sz w:val="24"/>
          <w:szCs w:val="24"/>
        </w:rPr>
        <w:t>Challenges of Community Participation in Road Maintenance Projects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2</w:t>
      </w:r>
      <w:r w:rsidRPr="00422170">
        <w:rPr>
          <w:rFonts w:ascii="Times New Roman" w:hAnsi="Times New Roman" w:cs="Times New Roman"/>
          <w:noProof/>
          <w:sz w:val="24"/>
          <w:szCs w:val="24"/>
        </w:rPr>
        <w:t>(03), 166–180. https://doi.org/10.56741/jscd.v2i03.1348</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Moore, G., Campbell, M., Copeland, L., Craig, P., Movsisyan, A., Hoddinott, P., Littlecott, H., O’Cathain, A., Pfadenhauer, L., Rehfuess, E., Segrott, J., Hawe, P., Kee, F., Couturiaux, D., Hallingberg, B., &amp; Evans, R. (2021). Adapting interventions to new contexts-the ADAPT guidance. </w:t>
      </w:r>
      <w:r w:rsidRPr="00422170">
        <w:rPr>
          <w:rFonts w:ascii="Times New Roman" w:hAnsi="Times New Roman" w:cs="Times New Roman"/>
          <w:i/>
          <w:iCs/>
          <w:noProof/>
          <w:sz w:val="24"/>
          <w:szCs w:val="24"/>
        </w:rPr>
        <w:t>The BMJ</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374</w:t>
      </w:r>
      <w:r w:rsidRPr="00422170">
        <w:rPr>
          <w:rFonts w:ascii="Times New Roman" w:hAnsi="Times New Roman" w:cs="Times New Roman"/>
          <w:noProof/>
          <w:sz w:val="24"/>
          <w:szCs w:val="24"/>
        </w:rPr>
        <w:t>(1), 1–10. https://doi.org/10.1136/bmj.n1679</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Moser, S., &amp; Bader, C. (2022). Why do people participate in grassroots sustainability initiatives? Different motives for different levels of involvement. </w:t>
      </w:r>
      <w:r w:rsidRPr="00422170">
        <w:rPr>
          <w:rFonts w:ascii="Times New Roman" w:hAnsi="Times New Roman" w:cs="Times New Roman"/>
          <w:i/>
          <w:iCs/>
          <w:noProof/>
          <w:sz w:val="24"/>
          <w:szCs w:val="24"/>
        </w:rPr>
        <w:t>Frontiers in Sustainability</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3</w:t>
      </w:r>
      <w:r w:rsidRPr="00422170">
        <w:rPr>
          <w:rFonts w:ascii="Times New Roman" w:hAnsi="Times New Roman" w:cs="Times New Roman"/>
          <w:noProof/>
          <w:sz w:val="24"/>
          <w:szCs w:val="24"/>
        </w:rPr>
        <w:t>(1), 1–18. https://doi.org/10.3389/frsus.2022.994881</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lastRenderedPageBreak/>
        <w:t xml:space="preserve">Ngirwa Kamuzora, A. (2024). Factors Shaping Women’s Involvement in Community Development Projects: A Case of Mvomero Water Initiatives. </w:t>
      </w:r>
      <w:r w:rsidRPr="00422170">
        <w:rPr>
          <w:rFonts w:ascii="Times New Roman" w:hAnsi="Times New Roman" w:cs="Times New Roman"/>
          <w:i/>
          <w:iCs/>
          <w:noProof/>
          <w:sz w:val="24"/>
          <w:szCs w:val="24"/>
        </w:rPr>
        <w:t>East African Journal of Education and Social Sciences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5</w:t>
      </w:r>
      <w:r w:rsidRPr="00422170">
        <w:rPr>
          <w:rFonts w:ascii="Times New Roman" w:hAnsi="Times New Roman" w:cs="Times New Roman"/>
          <w:noProof/>
          <w:sz w:val="24"/>
          <w:szCs w:val="24"/>
        </w:rPr>
        <w:t>(1), 33–43. https://doi.org/10.46606/eajess2024v05i01.0347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Nugroho, A. D., Cubillos T., J. P., Bopushev, S. T., Bozsik, N., Fehér, I., &amp; Lakner, Z. (2022). Effects of Corruption Control on the Number of Undernourished People in Developing Countries. </w:t>
      </w:r>
      <w:r w:rsidRPr="00422170">
        <w:rPr>
          <w:rFonts w:ascii="Times New Roman" w:hAnsi="Times New Roman" w:cs="Times New Roman"/>
          <w:i/>
          <w:iCs/>
          <w:noProof/>
          <w:sz w:val="24"/>
          <w:szCs w:val="24"/>
        </w:rPr>
        <w:t>Foods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11</w:t>
      </w:r>
      <w:r w:rsidRPr="00422170">
        <w:rPr>
          <w:rFonts w:ascii="Times New Roman" w:hAnsi="Times New Roman" w:cs="Times New Roman"/>
          <w:noProof/>
          <w:sz w:val="24"/>
          <w:szCs w:val="24"/>
        </w:rPr>
        <w:t>(7), 1–24. https://doi.org/10.3390/foods11070924</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Oladipo, O. T., Dienagha, I. N., &amp; Digitemie, W. N. (2025). Building Inclusive Growth Frameworks through Strategic Community Engagement in Energy Infrastructure Development Projects. </w:t>
      </w:r>
      <w:r w:rsidRPr="00422170">
        <w:rPr>
          <w:rFonts w:ascii="Times New Roman" w:hAnsi="Times New Roman" w:cs="Times New Roman"/>
          <w:i/>
          <w:iCs/>
          <w:noProof/>
          <w:sz w:val="24"/>
          <w:szCs w:val="24"/>
        </w:rPr>
        <w:t>Journal of Energy Research and Reviews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17</w:t>
      </w:r>
      <w:r w:rsidRPr="00422170">
        <w:rPr>
          <w:rFonts w:ascii="Times New Roman" w:hAnsi="Times New Roman" w:cs="Times New Roman"/>
          <w:noProof/>
          <w:sz w:val="24"/>
          <w:szCs w:val="24"/>
        </w:rPr>
        <w:t>(1), 1–9. https://doi.org/10.9734/jenrr/2025/v17i1388</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Rijal, S. (2023). The Importance of Community Involvement in Public Management Planning and Decision-Making Processes. </w:t>
      </w:r>
      <w:r w:rsidRPr="00422170">
        <w:rPr>
          <w:rFonts w:ascii="Times New Roman" w:hAnsi="Times New Roman" w:cs="Times New Roman"/>
          <w:i/>
          <w:iCs/>
          <w:noProof/>
          <w:sz w:val="24"/>
          <w:szCs w:val="24"/>
        </w:rPr>
        <w:t>Journal of Contemporary Administration and Management (ADMAN)</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w:t>
      </w:r>
      <w:r w:rsidRPr="00422170">
        <w:rPr>
          <w:rFonts w:ascii="Times New Roman" w:hAnsi="Times New Roman" w:cs="Times New Roman"/>
          <w:noProof/>
          <w:sz w:val="24"/>
          <w:szCs w:val="24"/>
        </w:rPr>
        <w:t>(2), 84–92. https://doi.org/10.61100/adman.v1i2.27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Sebunya, J., &amp; Gichuki, A. (2024). Digital Tools and Platforms for Enhancing Community Participation: A Review of Global Practices. </w:t>
      </w:r>
      <w:r w:rsidRPr="00422170">
        <w:rPr>
          <w:rFonts w:ascii="Times New Roman" w:hAnsi="Times New Roman" w:cs="Times New Roman"/>
          <w:i/>
          <w:iCs/>
          <w:noProof/>
          <w:sz w:val="24"/>
          <w:szCs w:val="24"/>
        </w:rPr>
        <w:t>EdinBurg Peer Reviewed Journals and Books Publishers International Journal of Scholarly Practice</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4</w:t>
      </w:r>
      <w:r w:rsidRPr="00422170">
        <w:rPr>
          <w:rFonts w:ascii="Times New Roman" w:hAnsi="Times New Roman" w:cs="Times New Roman"/>
          <w:noProof/>
          <w:sz w:val="24"/>
          <w:szCs w:val="24"/>
        </w:rPr>
        <w:t>(2), 54–67.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Sharp, A. R., Mpofu, N., Lankiewicz, E., Ajonye, B., Rambau, N. P., Dringus, S., Honermann, B., Erondu, N., Russell, A., Mwehonge, K., Aguiar, C., Ledan, N., &amp; Kavanagh, M. M. (2024). Facilitators and barriers to community-led monitoring of health programs: Qualitative evidence from the global implementation landscape. </w:t>
      </w:r>
      <w:r w:rsidRPr="00422170">
        <w:rPr>
          <w:rFonts w:ascii="Times New Roman" w:hAnsi="Times New Roman" w:cs="Times New Roman"/>
          <w:i/>
          <w:iCs/>
          <w:noProof/>
          <w:sz w:val="24"/>
          <w:szCs w:val="24"/>
        </w:rPr>
        <w:t>PLOS Global Public Health</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4</w:t>
      </w:r>
      <w:r w:rsidRPr="00422170">
        <w:rPr>
          <w:rFonts w:ascii="Times New Roman" w:hAnsi="Times New Roman" w:cs="Times New Roman"/>
          <w:noProof/>
          <w:sz w:val="24"/>
          <w:szCs w:val="24"/>
        </w:rPr>
        <w:t>(6), 1–14. https://doi.org/10.1371/journal.pgph.0003293</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Shekhar, A., Saurombe, M. D., &amp; Joseph, R. M. (2025). From theory to practice: a participatory HR-led training programme for employee wellbeing. </w:t>
      </w:r>
      <w:r w:rsidRPr="00422170">
        <w:rPr>
          <w:rFonts w:ascii="Times New Roman" w:hAnsi="Times New Roman" w:cs="Times New Roman"/>
          <w:i/>
          <w:iCs/>
          <w:noProof/>
          <w:sz w:val="24"/>
          <w:szCs w:val="24"/>
        </w:rPr>
        <w:t>Frontiers in Organizational Psychology</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3</w:t>
      </w:r>
      <w:r w:rsidRPr="00422170">
        <w:rPr>
          <w:rFonts w:ascii="Times New Roman" w:hAnsi="Times New Roman" w:cs="Times New Roman"/>
          <w:noProof/>
          <w:sz w:val="24"/>
          <w:szCs w:val="24"/>
        </w:rPr>
        <w:t>(8), 1–15. https://doi.org/10.3389/forgp.2025.1624518</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Sindakis, S., &amp; Showkat, G. (2024). The digital revolution in India: bridging the gap in rural technology adoption. </w:t>
      </w:r>
      <w:r w:rsidRPr="00422170">
        <w:rPr>
          <w:rFonts w:ascii="Times New Roman" w:hAnsi="Times New Roman" w:cs="Times New Roman"/>
          <w:i/>
          <w:iCs/>
          <w:noProof/>
          <w:sz w:val="24"/>
          <w:szCs w:val="24"/>
        </w:rPr>
        <w:t>Journal of Innovation and Entrepreneurship</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13</w:t>
      </w:r>
      <w:r w:rsidRPr="00422170">
        <w:rPr>
          <w:rFonts w:ascii="Times New Roman" w:hAnsi="Times New Roman" w:cs="Times New Roman"/>
          <w:noProof/>
          <w:sz w:val="24"/>
          <w:szCs w:val="24"/>
        </w:rPr>
        <w:t>(1), 1–28. https://doi.org/10.1186/s13731-024-00380-w</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Touchton, M., McNulty, S., &amp; Wampler, B. (2023). Participatory Budgeting and Community Development: A Global Perspective. </w:t>
      </w:r>
      <w:r w:rsidRPr="00422170">
        <w:rPr>
          <w:rFonts w:ascii="Times New Roman" w:hAnsi="Times New Roman" w:cs="Times New Roman"/>
          <w:i/>
          <w:iCs/>
          <w:noProof/>
          <w:sz w:val="24"/>
          <w:szCs w:val="24"/>
        </w:rPr>
        <w:t>American Behavioral Scientist</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67</w:t>
      </w:r>
      <w:r w:rsidRPr="00422170">
        <w:rPr>
          <w:rFonts w:ascii="Times New Roman" w:hAnsi="Times New Roman" w:cs="Times New Roman"/>
          <w:noProof/>
          <w:sz w:val="24"/>
          <w:szCs w:val="24"/>
        </w:rPr>
        <w:t>(4), 520–536. https://doi.org/10.1177/00027642221086957</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Vijayakumar, A., Mahmood, M. N., Gurmu, A., Kamardeen, I., &amp; Alam, S. (2022). Social sustainability indicators for road infrastructure projects: A systematic literature review. </w:t>
      </w:r>
      <w:r w:rsidRPr="00422170">
        <w:rPr>
          <w:rFonts w:ascii="Times New Roman" w:hAnsi="Times New Roman" w:cs="Times New Roman"/>
          <w:i/>
          <w:iCs/>
          <w:noProof/>
          <w:sz w:val="24"/>
          <w:szCs w:val="24"/>
        </w:rPr>
        <w:t>IOP Conference Series: Earth and Environmental Science</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1101</w:t>
      </w:r>
      <w:r w:rsidRPr="00422170">
        <w:rPr>
          <w:rFonts w:ascii="Times New Roman" w:hAnsi="Times New Roman" w:cs="Times New Roman"/>
          <w:noProof/>
          <w:sz w:val="24"/>
          <w:szCs w:val="24"/>
        </w:rPr>
        <w:t>(2), 1–16. https://doi.org/10.1088/1755-1315/1101/2/022039</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World-Bank. (2023). </w:t>
      </w:r>
      <w:r w:rsidRPr="00422170">
        <w:rPr>
          <w:rFonts w:ascii="Times New Roman" w:hAnsi="Times New Roman" w:cs="Times New Roman"/>
          <w:i/>
          <w:iCs/>
          <w:noProof/>
          <w:sz w:val="24"/>
          <w:szCs w:val="24"/>
        </w:rPr>
        <w:t>Global Road Safety Facility Annual Report</w:t>
      </w:r>
      <w:r w:rsidRPr="00422170">
        <w:rPr>
          <w:rFonts w:ascii="Times New Roman" w:hAnsi="Times New Roman" w:cs="Times New Roman"/>
          <w:noProof/>
          <w:sz w:val="24"/>
          <w:szCs w:val="24"/>
        </w:rPr>
        <w:t>.</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22170">
        <w:rPr>
          <w:rFonts w:ascii="Times New Roman" w:hAnsi="Times New Roman" w:cs="Times New Roman"/>
          <w:noProof/>
          <w:sz w:val="24"/>
          <w:szCs w:val="24"/>
        </w:rPr>
        <w:t xml:space="preserve">Wu, L., Jia, G., &amp; Zhang, P. (2020). Improving the effectiveness of public participation in public infrastructure megaprojects. </w:t>
      </w:r>
      <w:r w:rsidRPr="00422170">
        <w:rPr>
          <w:rFonts w:ascii="Times New Roman" w:hAnsi="Times New Roman" w:cs="Times New Roman"/>
          <w:i/>
          <w:iCs/>
          <w:noProof/>
          <w:sz w:val="24"/>
          <w:szCs w:val="24"/>
        </w:rPr>
        <w:t>International Journal of Managing Projects in Business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13</w:t>
      </w:r>
      <w:r w:rsidRPr="00422170">
        <w:rPr>
          <w:rFonts w:ascii="Times New Roman" w:hAnsi="Times New Roman" w:cs="Times New Roman"/>
          <w:noProof/>
          <w:sz w:val="24"/>
          <w:szCs w:val="24"/>
        </w:rPr>
        <w:t>(7), 1522–1536. https://doi.org/10.1108/IJMPB-12-2018-0281</w:t>
      </w:r>
    </w:p>
    <w:p w:rsidR="00DF722F" w:rsidRPr="00422170" w:rsidRDefault="00DF722F" w:rsidP="00422170">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22170">
        <w:rPr>
          <w:rFonts w:ascii="Times New Roman" w:hAnsi="Times New Roman" w:cs="Times New Roman"/>
          <w:noProof/>
          <w:sz w:val="24"/>
          <w:szCs w:val="24"/>
        </w:rPr>
        <w:t xml:space="preserve">Yamane, Y. (1967). Sample Size Determination Formula. </w:t>
      </w:r>
      <w:r w:rsidRPr="00422170">
        <w:rPr>
          <w:rFonts w:ascii="Times New Roman" w:hAnsi="Times New Roman" w:cs="Times New Roman"/>
          <w:i/>
          <w:iCs/>
          <w:noProof/>
          <w:sz w:val="24"/>
          <w:szCs w:val="24"/>
        </w:rPr>
        <w:t>Journal of Scientific Research and Reports</w:t>
      </w:r>
      <w:r w:rsidRPr="00422170">
        <w:rPr>
          <w:rFonts w:ascii="Times New Roman" w:hAnsi="Times New Roman" w:cs="Times New Roman"/>
          <w:noProof/>
          <w:sz w:val="24"/>
          <w:szCs w:val="24"/>
        </w:rPr>
        <w:t xml:space="preserve">, </w:t>
      </w:r>
      <w:r w:rsidRPr="00422170">
        <w:rPr>
          <w:rFonts w:ascii="Times New Roman" w:hAnsi="Times New Roman" w:cs="Times New Roman"/>
          <w:i/>
          <w:iCs/>
          <w:noProof/>
          <w:sz w:val="24"/>
          <w:szCs w:val="24"/>
        </w:rPr>
        <w:t>3</w:t>
      </w:r>
      <w:r w:rsidRPr="00422170">
        <w:rPr>
          <w:rFonts w:ascii="Times New Roman" w:hAnsi="Times New Roman" w:cs="Times New Roman"/>
          <w:noProof/>
          <w:sz w:val="24"/>
          <w:szCs w:val="24"/>
        </w:rPr>
        <w:t>(4), 1–12. https://doi.org/10.9734/jsrr/2020/v26i530263</w:t>
      </w:r>
    </w:p>
    <w:p w:rsidR="00DF722F" w:rsidRPr="00422170" w:rsidRDefault="00DF722F" w:rsidP="00422170">
      <w:pPr>
        <w:pStyle w:val="ListParagraph"/>
        <w:spacing w:after="0" w:line="240" w:lineRule="auto"/>
        <w:ind w:left="360"/>
        <w:jc w:val="both"/>
        <w:rPr>
          <w:rFonts w:ascii="Times New Roman" w:hAnsi="Times New Roman" w:cs="Times New Roman"/>
          <w:b/>
          <w:sz w:val="24"/>
          <w:szCs w:val="24"/>
        </w:rPr>
      </w:pPr>
      <w:r w:rsidRPr="00422170">
        <w:rPr>
          <w:rFonts w:ascii="Times New Roman" w:hAnsi="Times New Roman" w:cs="Times New Roman"/>
          <w:b/>
          <w:sz w:val="24"/>
          <w:szCs w:val="24"/>
        </w:rPr>
        <w:fldChar w:fldCharType="end"/>
      </w:r>
    </w:p>
    <w:sectPr w:rsidR="00DF722F" w:rsidRPr="00422170" w:rsidSect="00494578">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22A" w:rsidRDefault="00E4722A" w:rsidP="00494578">
      <w:pPr>
        <w:spacing w:after="0" w:line="240" w:lineRule="auto"/>
      </w:pPr>
      <w:r>
        <w:separator/>
      </w:r>
    </w:p>
  </w:endnote>
  <w:endnote w:type="continuationSeparator" w:id="0">
    <w:p w:rsidR="00E4722A" w:rsidRDefault="00E4722A" w:rsidP="0049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FC0" w:rsidRDefault="00157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905225"/>
      <w:docPartObj>
        <w:docPartGallery w:val="Page Numbers (Bottom of Page)"/>
        <w:docPartUnique/>
      </w:docPartObj>
    </w:sdtPr>
    <w:sdtEndPr>
      <w:rPr>
        <w:noProof/>
      </w:rPr>
    </w:sdtEndPr>
    <w:sdtContent>
      <w:p w:rsidR="00F93BA2" w:rsidRDefault="00F93BA2">
        <w:pPr>
          <w:pStyle w:val="Footer"/>
          <w:jc w:val="center"/>
        </w:pPr>
        <w:r>
          <w:fldChar w:fldCharType="begin"/>
        </w:r>
        <w:r>
          <w:instrText xml:space="preserve"> PAGE   \* MERGEFORMAT </w:instrText>
        </w:r>
        <w:r>
          <w:fldChar w:fldCharType="separate"/>
        </w:r>
        <w:r w:rsidR="003670EE">
          <w:rPr>
            <w:noProof/>
          </w:rPr>
          <w:t>1</w:t>
        </w:r>
        <w:r>
          <w:rPr>
            <w:noProof/>
          </w:rPr>
          <w:fldChar w:fldCharType="end"/>
        </w:r>
      </w:p>
    </w:sdtContent>
  </w:sdt>
  <w:p w:rsidR="00F93BA2" w:rsidRDefault="00F93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FC0" w:rsidRDefault="00157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22A" w:rsidRDefault="00E4722A" w:rsidP="00494578">
      <w:pPr>
        <w:spacing w:after="0" w:line="240" w:lineRule="auto"/>
      </w:pPr>
      <w:r>
        <w:separator/>
      </w:r>
    </w:p>
  </w:footnote>
  <w:footnote w:type="continuationSeparator" w:id="0">
    <w:p w:rsidR="00E4722A" w:rsidRDefault="00E4722A" w:rsidP="00494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FC0" w:rsidRDefault="00157F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03922"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FC0" w:rsidRDefault="00157F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03923"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FC0" w:rsidRDefault="00157F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03921"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C08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84075D"/>
    <w:multiLevelType w:val="hybridMultilevel"/>
    <w:tmpl w:val="6568E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E6"/>
    <w:rsid w:val="00011F1A"/>
    <w:rsid w:val="000305A6"/>
    <w:rsid w:val="00061110"/>
    <w:rsid w:val="00077DBE"/>
    <w:rsid w:val="000A3B25"/>
    <w:rsid w:val="000E2E6C"/>
    <w:rsid w:val="000F620B"/>
    <w:rsid w:val="001302B5"/>
    <w:rsid w:val="00157FC0"/>
    <w:rsid w:val="001761F4"/>
    <w:rsid w:val="001B2808"/>
    <w:rsid w:val="001B43DD"/>
    <w:rsid w:val="001B5EA1"/>
    <w:rsid w:val="001E3F5B"/>
    <w:rsid w:val="001F7583"/>
    <w:rsid w:val="00220506"/>
    <w:rsid w:val="0023637A"/>
    <w:rsid w:val="00270319"/>
    <w:rsid w:val="0027103E"/>
    <w:rsid w:val="00291C9E"/>
    <w:rsid w:val="00294C8F"/>
    <w:rsid w:val="002973C4"/>
    <w:rsid w:val="002E1210"/>
    <w:rsid w:val="002E614B"/>
    <w:rsid w:val="0031292C"/>
    <w:rsid w:val="00320781"/>
    <w:rsid w:val="003325FE"/>
    <w:rsid w:val="00363DDB"/>
    <w:rsid w:val="003670EE"/>
    <w:rsid w:val="00376F52"/>
    <w:rsid w:val="00377DBB"/>
    <w:rsid w:val="003F3D34"/>
    <w:rsid w:val="00422170"/>
    <w:rsid w:val="00425D22"/>
    <w:rsid w:val="004315E0"/>
    <w:rsid w:val="0044323C"/>
    <w:rsid w:val="00494578"/>
    <w:rsid w:val="004C1812"/>
    <w:rsid w:val="004D1D09"/>
    <w:rsid w:val="00551637"/>
    <w:rsid w:val="0059217A"/>
    <w:rsid w:val="005A04A3"/>
    <w:rsid w:val="0060304D"/>
    <w:rsid w:val="00625E63"/>
    <w:rsid w:val="00627C3E"/>
    <w:rsid w:val="00636B39"/>
    <w:rsid w:val="00671A3C"/>
    <w:rsid w:val="006A74C2"/>
    <w:rsid w:val="006E4929"/>
    <w:rsid w:val="00731381"/>
    <w:rsid w:val="0079673E"/>
    <w:rsid w:val="007A216C"/>
    <w:rsid w:val="007E6BE3"/>
    <w:rsid w:val="008019D7"/>
    <w:rsid w:val="008073DC"/>
    <w:rsid w:val="008928BB"/>
    <w:rsid w:val="008E1FB4"/>
    <w:rsid w:val="00951C89"/>
    <w:rsid w:val="00986A28"/>
    <w:rsid w:val="00A0139F"/>
    <w:rsid w:val="00A55BBA"/>
    <w:rsid w:val="00A60CE6"/>
    <w:rsid w:val="00A731DF"/>
    <w:rsid w:val="00AB4EE6"/>
    <w:rsid w:val="00AE2C7C"/>
    <w:rsid w:val="00B120D6"/>
    <w:rsid w:val="00BA54C8"/>
    <w:rsid w:val="00C20589"/>
    <w:rsid w:val="00C62143"/>
    <w:rsid w:val="00C96D7F"/>
    <w:rsid w:val="00CB5BF2"/>
    <w:rsid w:val="00CC0950"/>
    <w:rsid w:val="00CD7636"/>
    <w:rsid w:val="00D477C1"/>
    <w:rsid w:val="00DA4845"/>
    <w:rsid w:val="00DB4D01"/>
    <w:rsid w:val="00DD67B2"/>
    <w:rsid w:val="00DF722F"/>
    <w:rsid w:val="00E00157"/>
    <w:rsid w:val="00E254CD"/>
    <w:rsid w:val="00E4722A"/>
    <w:rsid w:val="00E81A6B"/>
    <w:rsid w:val="00E9037B"/>
    <w:rsid w:val="00E921FC"/>
    <w:rsid w:val="00F472A8"/>
    <w:rsid w:val="00F5091E"/>
    <w:rsid w:val="00F93BA2"/>
    <w:rsid w:val="00FF6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65EB8"/>
  <w15:chartTrackingRefBased/>
  <w15:docId w15:val="{7078598D-5CDD-49D6-BFC2-0E964267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14B"/>
    <w:rPr>
      <w:color w:val="0563C1" w:themeColor="hyperlink"/>
      <w:u w:val="single"/>
    </w:rPr>
  </w:style>
  <w:style w:type="paragraph" w:styleId="ListParagraph">
    <w:name w:val="List Paragraph"/>
    <w:basedOn w:val="Normal"/>
    <w:uiPriority w:val="34"/>
    <w:qFormat/>
    <w:rsid w:val="002E614B"/>
    <w:pPr>
      <w:ind w:left="720"/>
      <w:contextualSpacing/>
    </w:pPr>
  </w:style>
  <w:style w:type="paragraph" w:styleId="NormalWeb">
    <w:name w:val="Normal (Web)"/>
    <w:basedOn w:val="Normal"/>
    <w:uiPriority w:val="99"/>
    <w:unhideWhenUsed/>
    <w:rsid w:val="002363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3637A"/>
    <w:rPr>
      <w:i/>
      <w:iCs/>
    </w:rPr>
  </w:style>
  <w:style w:type="table" w:styleId="TableGrid">
    <w:name w:val="Table Grid"/>
    <w:basedOn w:val="TableNormal"/>
    <w:uiPriority w:val="39"/>
    <w:rsid w:val="00551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7636"/>
    <w:rPr>
      <w:b/>
      <w:bCs/>
    </w:rPr>
  </w:style>
  <w:style w:type="paragraph" w:styleId="Header">
    <w:name w:val="header"/>
    <w:basedOn w:val="Normal"/>
    <w:link w:val="HeaderChar"/>
    <w:uiPriority w:val="99"/>
    <w:unhideWhenUsed/>
    <w:rsid w:val="00494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578"/>
  </w:style>
  <w:style w:type="paragraph" w:styleId="Footer">
    <w:name w:val="footer"/>
    <w:basedOn w:val="Normal"/>
    <w:link w:val="FooterChar"/>
    <w:uiPriority w:val="99"/>
    <w:unhideWhenUsed/>
    <w:rsid w:val="00494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578"/>
  </w:style>
  <w:style w:type="character" w:styleId="UnresolvedMention">
    <w:name w:val="Unresolved Mention"/>
    <w:basedOn w:val="DefaultParagraphFont"/>
    <w:uiPriority w:val="99"/>
    <w:semiHidden/>
    <w:unhideWhenUsed/>
    <w:rsid w:val="000F6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0144">
      <w:bodyDiv w:val="1"/>
      <w:marLeft w:val="0"/>
      <w:marRight w:val="0"/>
      <w:marTop w:val="0"/>
      <w:marBottom w:val="0"/>
      <w:divBdr>
        <w:top w:val="none" w:sz="0" w:space="0" w:color="auto"/>
        <w:left w:val="none" w:sz="0" w:space="0" w:color="auto"/>
        <w:bottom w:val="none" w:sz="0" w:space="0" w:color="auto"/>
        <w:right w:val="none" w:sz="0" w:space="0" w:color="auto"/>
      </w:divBdr>
    </w:div>
    <w:div w:id="314379561">
      <w:bodyDiv w:val="1"/>
      <w:marLeft w:val="0"/>
      <w:marRight w:val="0"/>
      <w:marTop w:val="0"/>
      <w:marBottom w:val="0"/>
      <w:divBdr>
        <w:top w:val="none" w:sz="0" w:space="0" w:color="auto"/>
        <w:left w:val="none" w:sz="0" w:space="0" w:color="auto"/>
        <w:bottom w:val="none" w:sz="0" w:space="0" w:color="auto"/>
        <w:right w:val="none" w:sz="0" w:space="0" w:color="auto"/>
      </w:divBdr>
    </w:div>
    <w:div w:id="4972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BE11-D989-4BB9-BB99-866788A4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23978</Words>
  <Characters>136676</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2025-10-27T13:13:00Z</dcterms:created>
  <dcterms:modified xsi:type="dcterms:W3CDTF">2025-10-29T10:16:00Z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967eb3ef-4606-322f-8169-ecdd75f61d15</vt:lpwstr>
  </property>
  <property fmtid="{D5CDD505-2E9C-101B-9397-08002B2CF9AE}" pid="24" name="Mendeley Citation Style_1">
    <vt:lpwstr>http://www.zotero.org/styles/apa</vt:lpwstr>
  </property>
</Properties>
</file>