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4D00" w14:textId="77777777" w:rsidR="00754C9A" w:rsidRPr="00082F86" w:rsidRDefault="00082F86" w:rsidP="00082F86">
      <w:pPr>
        <w:pStyle w:val="Title"/>
        <w:spacing w:after="0"/>
        <w:rPr>
          <w:rFonts w:ascii="Arial" w:hAnsi="Arial" w:cs="Arial"/>
          <w:i/>
          <w:sz w:val="44"/>
          <w:u w:val="single"/>
        </w:rPr>
      </w:pPr>
      <w:r w:rsidRPr="00082F86">
        <w:rPr>
          <w:rFonts w:ascii="Arial" w:hAnsi="Arial" w:cs="Arial"/>
          <w:i/>
          <w:sz w:val="44"/>
          <w:u w:val="single"/>
        </w:rPr>
        <w:t>Original Research Article</w:t>
      </w:r>
    </w:p>
    <w:p w14:paraId="4B22E100" w14:textId="77777777" w:rsidR="00082F86" w:rsidRDefault="00082F86" w:rsidP="006C090F">
      <w:pPr>
        <w:pStyle w:val="Title"/>
        <w:spacing w:after="0"/>
        <w:jc w:val="both"/>
        <w:rPr>
          <w:rFonts w:ascii="Arial" w:hAnsi="Arial" w:cs="Arial"/>
        </w:rPr>
      </w:pPr>
    </w:p>
    <w:p w14:paraId="141E9B56" w14:textId="77777777" w:rsidR="00B95156" w:rsidRPr="00B95156" w:rsidRDefault="00B95156" w:rsidP="006C090F">
      <w:pPr>
        <w:pStyle w:val="Author"/>
        <w:spacing w:line="240" w:lineRule="auto"/>
        <w:rPr>
          <w:rFonts w:ascii="Arial" w:hAnsi="Arial" w:cs="Arial"/>
          <w:bCs/>
          <w:iCs/>
          <w:kern w:val="28"/>
          <w:sz w:val="36"/>
        </w:rPr>
      </w:pPr>
      <w:r w:rsidRPr="00B95156">
        <w:rPr>
          <w:rFonts w:ascii="Arial" w:hAnsi="Arial" w:cs="Arial"/>
          <w:bCs/>
          <w:iCs/>
          <w:kern w:val="28"/>
          <w:sz w:val="36"/>
        </w:rPr>
        <w:t>Community-Based Mental-Health Literacy and Help-Seeking Barriers Among Low-Wage Filipino Workers in the United Arab Emirates</w:t>
      </w:r>
    </w:p>
    <w:p w14:paraId="753A0004" w14:textId="77777777" w:rsidR="00163BC4" w:rsidRPr="00163BC4" w:rsidRDefault="00163BC4" w:rsidP="00441B6F">
      <w:pPr>
        <w:pStyle w:val="Author"/>
        <w:spacing w:line="240" w:lineRule="auto"/>
        <w:rPr>
          <w:rFonts w:ascii="Arial" w:hAnsi="Arial" w:cs="Arial"/>
          <w:bCs/>
          <w:iCs/>
          <w:kern w:val="28"/>
          <w:sz w:val="36"/>
        </w:rPr>
      </w:pPr>
    </w:p>
    <w:p w14:paraId="4D1F881F" w14:textId="77777777" w:rsidR="00A258C3" w:rsidRPr="00790ADA" w:rsidRDefault="00A258C3" w:rsidP="00441B6F">
      <w:pPr>
        <w:pStyle w:val="Author"/>
        <w:spacing w:line="240" w:lineRule="auto"/>
        <w:jc w:val="both"/>
        <w:rPr>
          <w:rFonts w:ascii="Arial" w:hAnsi="Arial" w:cs="Arial"/>
          <w:sz w:val="36"/>
        </w:rPr>
      </w:pPr>
    </w:p>
    <w:p w14:paraId="69CC44F2" w14:textId="77777777" w:rsidR="00790ADA" w:rsidRDefault="00790ADA" w:rsidP="00441B6F">
      <w:pPr>
        <w:pStyle w:val="Affiliation"/>
        <w:spacing w:after="0" w:line="240" w:lineRule="auto"/>
        <w:jc w:val="both"/>
        <w:rPr>
          <w:rFonts w:ascii="Arial" w:hAnsi="Arial" w:cs="Arial"/>
        </w:rPr>
      </w:pPr>
    </w:p>
    <w:p w14:paraId="28642BF5" w14:textId="77777777" w:rsidR="00DF53A4" w:rsidRDefault="00DF53A4" w:rsidP="00441B6F">
      <w:pPr>
        <w:pStyle w:val="Affiliation"/>
        <w:spacing w:after="0" w:line="240" w:lineRule="auto"/>
        <w:jc w:val="both"/>
        <w:rPr>
          <w:rFonts w:ascii="Arial" w:hAnsi="Arial" w:cs="Arial"/>
        </w:rPr>
      </w:pPr>
    </w:p>
    <w:p w14:paraId="155DF561" w14:textId="77777777" w:rsidR="00DF53A4" w:rsidRDefault="00DF53A4" w:rsidP="00441B6F">
      <w:pPr>
        <w:pStyle w:val="Affiliation"/>
        <w:spacing w:after="0" w:line="240" w:lineRule="auto"/>
        <w:jc w:val="both"/>
        <w:rPr>
          <w:rFonts w:ascii="Arial" w:hAnsi="Arial" w:cs="Arial"/>
        </w:rPr>
      </w:pPr>
    </w:p>
    <w:p w14:paraId="6F61BE3A" w14:textId="77777777" w:rsidR="00DF53A4" w:rsidRDefault="00DF53A4" w:rsidP="00441B6F">
      <w:pPr>
        <w:pStyle w:val="Affiliation"/>
        <w:spacing w:after="0" w:line="240" w:lineRule="auto"/>
        <w:jc w:val="both"/>
        <w:rPr>
          <w:rFonts w:ascii="Arial" w:hAnsi="Arial" w:cs="Arial"/>
        </w:rPr>
      </w:pPr>
    </w:p>
    <w:p w14:paraId="5C7DE828" w14:textId="77777777" w:rsidR="002C57D2" w:rsidRPr="00FB3A86" w:rsidRDefault="002C57D2" w:rsidP="00441B6F">
      <w:pPr>
        <w:pStyle w:val="Affiliation"/>
        <w:spacing w:after="0" w:line="240" w:lineRule="auto"/>
        <w:jc w:val="both"/>
        <w:rPr>
          <w:rFonts w:ascii="Arial" w:hAnsi="Arial" w:cs="Arial"/>
        </w:rPr>
      </w:pPr>
    </w:p>
    <w:p w14:paraId="6540241D" w14:textId="77777777" w:rsidR="00B01FCD" w:rsidRPr="00FB3A86" w:rsidRDefault="00B63350" w:rsidP="00441B6F">
      <w:pPr>
        <w:pStyle w:val="Copyright"/>
        <w:spacing w:after="0" w:line="240" w:lineRule="auto"/>
        <w:jc w:val="both"/>
        <w:rPr>
          <w:rFonts w:ascii="Arial" w:hAnsi="Arial" w:cs="Arial"/>
        </w:rPr>
        <w:sectPr w:rsidR="00B01FCD" w:rsidRPr="00FB3A86" w:rsidSect="00DF53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5CDBA9" wp14:editId="03639DAB">
                <wp:extent cx="5303520" cy="635"/>
                <wp:effectExtent l="11430" t="15875" r="9525" b="1270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CF2A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68B667B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B5C8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668851" w14:textId="77777777" w:rsidTr="001E44FE">
        <w:tc>
          <w:tcPr>
            <w:tcW w:w="9576" w:type="dxa"/>
            <w:shd w:val="clear" w:color="auto" w:fill="F2F2F2"/>
          </w:tcPr>
          <w:p w14:paraId="30ECBF98" w14:textId="77777777" w:rsidR="00303A9C" w:rsidRDefault="00303A9C" w:rsidP="00303A9C">
            <w:pPr>
              <w:pStyle w:val="Body"/>
              <w:spacing w:after="0"/>
              <w:rPr>
                <w:rFonts w:ascii="Arial" w:eastAsia="Calibri" w:hAnsi="Arial" w:cs="Arial"/>
                <w:bCs/>
                <w:szCs w:val="22"/>
              </w:rPr>
            </w:pPr>
            <w:r w:rsidRPr="001F4C5B">
              <w:rPr>
                <w:rFonts w:ascii="Arial" w:eastAsia="Calibri" w:hAnsi="Arial" w:cs="Arial"/>
                <w:b/>
                <w:bCs/>
                <w:szCs w:val="22"/>
              </w:rPr>
              <w:t>Purpose</w:t>
            </w:r>
            <w:r w:rsidRPr="001F4C5B">
              <w:rPr>
                <w:rFonts w:ascii="Arial" w:eastAsia="Calibri" w:hAnsi="Arial" w:cs="Arial"/>
                <w:bCs/>
                <w:szCs w:val="22"/>
              </w:rPr>
              <w:t xml:space="preserve">: This study aimed to investigate the relationship between mental health literacy (MHL) and perceived barriers to seeking psychological help among low-wage Filipino migrant workers in the United Arab Emirates (UAE). It sought to provide a nuanced understanding of the cultural, social, and structural factors influencing their help-seeking </w:t>
            </w:r>
            <w:proofErr w:type="spellStart"/>
            <w:r w:rsidRPr="001F4C5B">
              <w:rPr>
                <w:rFonts w:ascii="Arial" w:eastAsia="Calibri" w:hAnsi="Arial" w:cs="Arial"/>
                <w:bCs/>
                <w:szCs w:val="22"/>
              </w:rPr>
              <w:t>behaviours</w:t>
            </w:r>
            <w:proofErr w:type="spellEnd"/>
            <w:r w:rsidRPr="001F4C5B">
              <w:rPr>
                <w:rFonts w:ascii="Arial" w:eastAsia="Calibri" w:hAnsi="Arial" w:cs="Arial"/>
                <w:bCs/>
                <w:szCs w:val="22"/>
              </w:rPr>
              <w:t>.</w:t>
            </w:r>
          </w:p>
          <w:p w14:paraId="057F05B6" w14:textId="77777777" w:rsidR="001F4C5B" w:rsidRPr="001F4C5B" w:rsidRDefault="001F4C5B" w:rsidP="00303A9C">
            <w:pPr>
              <w:pStyle w:val="Body"/>
              <w:spacing w:after="0"/>
              <w:rPr>
                <w:rFonts w:ascii="Arial" w:eastAsia="Calibri" w:hAnsi="Arial" w:cs="Arial"/>
                <w:bCs/>
                <w:szCs w:val="22"/>
              </w:rPr>
            </w:pPr>
          </w:p>
          <w:p w14:paraId="750AC246" w14:textId="77777777" w:rsidR="00303A9C" w:rsidRDefault="00303A9C" w:rsidP="00303A9C">
            <w:pPr>
              <w:pStyle w:val="Body"/>
              <w:spacing w:after="0"/>
              <w:rPr>
                <w:rFonts w:ascii="Arial" w:eastAsia="Calibri" w:hAnsi="Arial" w:cs="Arial"/>
                <w:bCs/>
                <w:szCs w:val="22"/>
              </w:rPr>
            </w:pPr>
            <w:r w:rsidRPr="001F4C5B">
              <w:rPr>
                <w:rFonts w:ascii="Arial" w:eastAsia="Calibri" w:hAnsi="Arial" w:cs="Arial"/>
                <w:b/>
                <w:bCs/>
                <w:szCs w:val="22"/>
              </w:rPr>
              <w:t>Methods:</w:t>
            </w:r>
            <w:r w:rsidRPr="001F4C5B">
              <w:rPr>
                <w:rFonts w:ascii="Arial" w:eastAsia="Calibri" w:hAnsi="Arial" w:cs="Arial"/>
                <w:bCs/>
                <w:szCs w:val="22"/>
              </w:rPr>
              <w:t xml:space="preserve"> A concurrent triangulated mixed-methods design was employed. Quantitative data were collected via a survey administered to 200 participants, measuring demographics, MHL, and help-seeking barriers. Simultaneously, qualitative data were gathered through four focus group discussions with 28 participants to explore lived experiences. Quantitative data were </w:t>
            </w:r>
            <w:proofErr w:type="spellStart"/>
            <w:r w:rsidRPr="001F4C5B">
              <w:rPr>
                <w:rFonts w:ascii="Arial" w:eastAsia="Calibri" w:hAnsi="Arial" w:cs="Arial"/>
                <w:bCs/>
                <w:szCs w:val="22"/>
              </w:rPr>
              <w:t>analysed</w:t>
            </w:r>
            <w:proofErr w:type="spellEnd"/>
            <w:r w:rsidRPr="001F4C5B">
              <w:rPr>
                <w:rFonts w:ascii="Arial" w:eastAsia="Calibri" w:hAnsi="Arial" w:cs="Arial"/>
                <w:bCs/>
                <w:szCs w:val="22"/>
              </w:rPr>
              <w:t xml:space="preserve"> using descriptive statistics, Pearson correlation, and multiple regression, while qualitative data were </w:t>
            </w:r>
            <w:proofErr w:type="spellStart"/>
            <w:r w:rsidRPr="001F4C5B">
              <w:rPr>
                <w:rFonts w:ascii="Arial" w:eastAsia="Calibri" w:hAnsi="Arial" w:cs="Arial"/>
                <w:bCs/>
                <w:szCs w:val="22"/>
              </w:rPr>
              <w:t>analysed</w:t>
            </w:r>
            <w:proofErr w:type="spellEnd"/>
            <w:r w:rsidRPr="001F4C5B">
              <w:rPr>
                <w:rFonts w:ascii="Arial" w:eastAsia="Calibri" w:hAnsi="Arial" w:cs="Arial"/>
                <w:bCs/>
                <w:szCs w:val="22"/>
              </w:rPr>
              <w:t xml:space="preserve"> using thematic analysis.</w:t>
            </w:r>
          </w:p>
          <w:p w14:paraId="38CBE93F" w14:textId="77777777" w:rsidR="001F4C5B" w:rsidRPr="001F4C5B" w:rsidRDefault="001F4C5B" w:rsidP="00303A9C">
            <w:pPr>
              <w:pStyle w:val="Body"/>
              <w:spacing w:after="0"/>
              <w:rPr>
                <w:rFonts w:ascii="Arial" w:eastAsia="Calibri" w:hAnsi="Arial" w:cs="Arial"/>
                <w:bCs/>
                <w:szCs w:val="22"/>
              </w:rPr>
            </w:pPr>
          </w:p>
          <w:p w14:paraId="01BFEC6F" w14:textId="77777777" w:rsidR="00303A9C" w:rsidRDefault="00303A9C" w:rsidP="00303A9C">
            <w:pPr>
              <w:pStyle w:val="Body"/>
              <w:spacing w:after="0"/>
              <w:rPr>
                <w:rFonts w:ascii="Arial" w:eastAsia="Calibri" w:hAnsi="Arial" w:cs="Arial"/>
                <w:bCs/>
                <w:szCs w:val="22"/>
              </w:rPr>
            </w:pPr>
            <w:r w:rsidRPr="001F4C5B">
              <w:rPr>
                <w:rFonts w:ascii="Arial" w:eastAsia="Calibri" w:hAnsi="Arial" w:cs="Arial"/>
                <w:b/>
                <w:bCs/>
                <w:szCs w:val="22"/>
              </w:rPr>
              <w:t>Results</w:t>
            </w:r>
            <w:r w:rsidRPr="001F4C5B">
              <w:rPr>
                <w:rFonts w:ascii="Arial" w:eastAsia="Calibri" w:hAnsi="Arial" w:cs="Arial"/>
                <w:bCs/>
                <w:szCs w:val="22"/>
              </w:rPr>
              <w:t>: Quantitative analysis revealed a significant, strong negative correlation between MHL scores and perceived help-seeking barriers (</w:t>
            </w:r>
            <w:proofErr w:type="gramStart"/>
            <w:r w:rsidRPr="001F4C5B">
              <w:rPr>
                <w:rFonts w:ascii="Arial" w:eastAsia="Calibri" w:hAnsi="Arial" w:cs="Arial"/>
                <w:bCs/>
                <w:i/>
                <w:iCs/>
                <w:szCs w:val="22"/>
              </w:rPr>
              <w:t>r</w:t>
            </w:r>
            <w:r w:rsidRPr="001F4C5B">
              <w:rPr>
                <w:rFonts w:ascii="Arial" w:eastAsia="Calibri" w:hAnsi="Arial" w:cs="Arial"/>
                <w:bCs/>
                <w:szCs w:val="22"/>
              </w:rPr>
              <w:t>(</w:t>
            </w:r>
            <w:proofErr w:type="gramEnd"/>
            <w:r w:rsidRPr="001F4C5B">
              <w:rPr>
                <w:rFonts w:ascii="Arial" w:eastAsia="Calibri" w:hAnsi="Arial" w:cs="Arial"/>
                <w:bCs/>
                <w:szCs w:val="22"/>
              </w:rPr>
              <w:t>198) = -.62, </w:t>
            </w:r>
            <w:r w:rsidRPr="001F4C5B">
              <w:rPr>
                <w:rFonts w:ascii="Arial" w:eastAsia="Calibri" w:hAnsi="Arial" w:cs="Arial"/>
                <w:bCs/>
                <w:i/>
                <w:iCs/>
                <w:szCs w:val="22"/>
              </w:rPr>
              <w:t>p</w:t>
            </w:r>
            <w:r w:rsidRPr="001F4C5B">
              <w:rPr>
                <w:rFonts w:ascii="Arial" w:eastAsia="Calibri" w:hAnsi="Arial" w:cs="Arial"/>
                <w:bCs/>
                <w:szCs w:val="22"/>
              </w:rPr>
              <w:t xml:space="preserve"> &lt; .001). Stigma and financial constraints were the most highly rated barriers. Thematic analysis of focus group data yielded three primary themes: (1) 'Bawal </w:t>
            </w:r>
            <w:proofErr w:type="spellStart"/>
            <w:r w:rsidRPr="001F4C5B">
              <w:rPr>
                <w:rFonts w:ascii="Arial" w:eastAsia="Calibri" w:hAnsi="Arial" w:cs="Arial"/>
                <w:bCs/>
                <w:szCs w:val="22"/>
              </w:rPr>
              <w:t>Magkasakit</w:t>
            </w:r>
            <w:proofErr w:type="spellEnd"/>
            <w:r w:rsidRPr="001F4C5B">
              <w:rPr>
                <w:rFonts w:ascii="Arial" w:eastAsia="Calibri" w:hAnsi="Arial" w:cs="Arial"/>
                <w:bCs/>
                <w:szCs w:val="22"/>
              </w:rPr>
              <w:t>': The Unaffordability of Being Unwell, highlighting economic precarity as a primary deterrent; (2) The Double-Edged Sword of Community, which explores the dual role of the community as both a source of support and stigma; and (3) Faith as a First and Final Resort, indicating a strong reliance on spiritual coping mechanisms over formal mental health services. A joint display of the data demonstrated strong convergence between the quantitative and qualitative findings.</w:t>
            </w:r>
          </w:p>
          <w:p w14:paraId="3ADE09EF" w14:textId="77777777" w:rsidR="001F4C5B" w:rsidRPr="001F4C5B" w:rsidRDefault="001F4C5B" w:rsidP="00303A9C">
            <w:pPr>
              <w:pStyle w:val="Body"/>
              <w:spacing w:after="0"/>
              <w:rPr>
                <w:rFonts w:ascii="Arial" w:eastAsia="Calibri" w:hAnsi="Arial" w:cs="Arial"/>
                <w:bCs/>
                <w:szCs w:val="22"/>
              </w:rPr>
            </w:pPr>
          </w:p>
          <w:p w14:paraId="732FE4B9" w14:textId="77777777" w:rsidR="00505F06" w:rsidRPr="005B0AD1" w:rsidRDefault="00303A9C" w:rsidP="00303A9C">
            <w:pPr>
              <w:pStyle w:val="Body"/>
              <w:spacing w:after="0"/>
              <w:rPr>
                <w:rFonts w:ascii="Arial" w:eastAsia="Calibri" w:hAnsi="Arial" w:cs="Arial"/>
                <w:bCs/>
                <w:szCs w:val="22"/>
              </w:rPr>
            </w:pPr>
            <w:r w:rsidRPr="001F4C5B">
              <w:rPr>
                <w:rFonts w:ascii="Arial" w:eastAsia="Calibri" w:hAnsi="Arial" w:cs="Arial"/>
                <w:b/>
                <w:bCs/>
                <w:szCs w:val="22"/>
              </w:rPr>
              <w:t>Conclusion:</w:t>
            </w:r>
            <w:r w:rsidRPr="001F4C5B">
              <w:rPr>
                <w:rFonts w:ascii="Arial" w:eastAsia="Calibri" w:hAnsi="Arial" w:cs="Arial"/>
                <w:bCs/>
                <w:szCs w:val="22"/>
              </w:rPr>
              <w:t> The findings underscore that enhancing mental health support for low-wage Filipino workers in the UAE requires a multi-level approach. Interventions must move beyond simple psychoeducation to address deep-seated cultural norms, pervasive stigma, and formidable economic barriers. Culturally-attuned, community-based models that integrate spiritual support and address financial accessibility are crucial for fostering a supportive environment where seeking help is viewed as a sign of strength, not a liability.</w:t>
            </w:r>
          </w:p>
        </w:tc>
      </w:tr>
    </w:tbl>
    <w:p w14:paraId="6B884FAF" w14:textId="77777777" w:rsidR="00636EB2" w:rsidRDefault="00636EB2" w:rsidP="00441B6F">
      <w:pPr>
        <w:pStyle w:val="Body"/>
        <w:spacing w:after="0"/>
        <w:rPr>
          <w:rFonts w:ascii="Arial" w:hAnsi="Arial" w:cs="Arial"/>
          <w:i/>
        </w:rPr>
      </w:pPr>
    </w:p>
    <w:p w14:paraId="6765D89E" w14:textId="77777777" w:rsidR="0024282C" w:rsidRPr="00B95156" w:rsidRDefault="00B95156" w:rsidP="00B95156">
      <w:pPr>
        <w:pStyle w:val="Body"/>
        <w:rPr>
          <w:rFonts w:ascii="Arial" w:hAnsi="Arial" w:cs="Arial"/>
          <w:i/>
          <w:iCs/>
        </w:rPr>
      </w:pPr>
      <w:r>
        <w:rPr>
          <w:rFonts w:ascii="Arial" w:hAnsi="Arial" w:cs="Arial"/>
          <w:i/>
        </w:rPr>
        <w:lastRenderedPageBreak/>
        <w:t>Keywords</w:t>
      </w:r>
      <w:proofErr w:type="gramStart"/>
      <w:r>
        <w:rPr>
          <w:rFonts w:ascii="Arial" w:hAnsi="Arial" w:cs="Arial"/>
          <w:i/>
        </w:rPr>
        <w:t xml:space="preserve">: </w:t>
      </w:r>
      <w:r w:rsidRPr="00B95156">
        <w:rPr>
          <w:rFonts w:ascii="Arial" w:hAnsi="Arial" w:cs="Arial"/>
          <w:b/>
          <w:bCs/>
          <w:i/>
        </w:rPr>
        <w:t>:</w:t>
      </w:r>
      <w:proofErr w:type="gramEnd"/>
      <w:r w:rsidRPr="00B95156">
        <w:rPr>
          <w:rFonts w:ascii="Arial" w:hAnsi="Arial" w:cs="Arial"/>
          <w:i/>
          <w:iCs/>
        </w:rPr>
        <w:t xml:space="preserve"> Mental health literacy, Help-seeking, Filipino migrant workers, UAE, Mixed-methods, Stigma, Community-based </w:t>
      </w:r>
      <w:r>
        <w:rPr>
          <w:rFonts w:ascii="Arial" w:hAnsi="Arial" w:cs="Arial"/>
          <w:i/>
          <w:iCs/>
        </w:rPr>
        <w:t>interventions</w:t>
      </w:r>
    </w:p>
    <w:p w14:paraId="493422E7" w14:textId="77777777" w:rsidR="00505F06" w:rsidRPr="00A24E7E" w:rsidRDefault="00505F06" w:rsidP="00441B6F">
      <w:pPr>
        <w:pStyle w:val="Body"/>
        <w:spacing w:after="0"/>
        <w:rPr>
          <w:rFonts w:ascii="Arial" w:hAnsi="Arial" w:cs="Arial"/>
          <w:i/>
        </w:rPr>
      </w:pPr>
    </w:p>
    <w:p w14:paraId="702BDB45" w14:textId="77777777" w:rsidR="007F7B32" w:rsidRPr="001F69F7"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87E0B9" w14:textId="77777777" w:rsidR="00790ADA" w:rsidRPr="001F69F7" w:rsidRDefault="00790ADA" w:rsidP="00441B6F">
      <w:pPr>
        <w:pStyle w:val="AbstHead"/>
        <w:spacing w:after="0"/>
        <w:jc w:val="both"/>
        <w:rPr>
          <w:rFonts w:ascii="Arial" w:hAnsi="Arial" w:cs="Arial"/>
        </w:rPr>
      </w:pPr>
    </w:p>
    <w:p w14:paraId="40C50062" w14:textId="77777777" w:rsidR="001F69F7" w:rsidRPr="001F69F7" w:rsidRDefault="001F69F7" w:rsidP="001F69F7">
      <w:pPr>
        <w:pStyle w:val="Body"/>
        <w:spacing w:after="0"/>
        <w:rPr>
          <w:rFonts w:ascii="Arial" w:hAnsi="Arial" w:cs="Arial"/>
        </w:rPr>
      </w:pPr>
      <w:r w:rsidRPr="001F69F7">
        <w:rPr>
          <w:rFonts w:ascii="Arial" w:hAnsi="Arial" w:cs="Arial"/>
        </w:rPr>
        <w:t xml:space="preserve">The global migration landscape is increasingly </w:t>
      </w:r>
      <w:proofErr w:type="spellStart"/>
      <w:r w:rsidRPr="001F69F7">
        <w:rPr>
          <w:rFonts w:ascii="Arial" w:hAnsi="Arial" w:cs="Arial"/>
        </w:rPr>
        <w:t>characterised</w:t>
      </w:r>
      <w:proofErr w:type="spellEnd"/>
      <w:r w:rsidRPr="001F69F7">
        <w:rPr>
          <w:rFonts w:ascii="Arial" w:hAnsi="Arial" w:cs="Arial"/>
        </w:rPr>
        <w:t xml:space="preserve"> by a vast workforce seeking economic opportunities far from home, often under precarious conditions. Migrant workers represent one of the most vulnerable populations worldwide, facing a confluence of stressors that elevate their risk for psychological distress ( </w:t>
      </w:r>
      <w:hyperlink r:id="rId14" w:tgtFrame="_blank" w:history="1">
        <w:r w:rsidRPr="001F69F7">
          <w:rPr>
            <w:rStyle w:val="Hyperlink"/>
            <w:rFonts w:ascii="Arial" w:hAnsi="Arial" w:cs="Arial"/>
            <w:color w:val="auto"/>
            <w:u w:val="none"/>
          </w:rPr>
          <w:t>Martinez et al., 2020</w:t>
        </w:r>
      </w:hyperlink>
      <w:r w:rsidRPr="001F69F7">
        <w:rPr>
          <w:rFonts w:ascii="Arial" w:hAnsi="Arial" w:cs="Arial"/>
        </w:rPr>
        <w:t xml:space="preserve">) . Factors such as prolonged separation from family, social isolation, acculturative stress, and exploitative </w:t>
      </w:r>
      <w:proofErr w:type="spellStart"/>
      <w:r w:rsidRPr="001F69F7">
        <w:rPr>
          <w:rFonts w:ascii="Arial" w:hAnsi="Arial" w:cs="Arial"/>
        </w:rPr>
        <w:t>labour</w:t>
      </w:r>
      <w:proofErr w:type="spellEnd"/>
      <w:r w:rsidRPr="001F69F7">
        <w:rPr>
          <w:rFonts w:ascii="Arial" w:hAnsi="Arial" w:cs="Arial"/>
        </w:rPr>
        <w:t xml:space="preserve"> conditions contribute to higher rates of anxiety, depression, and trauma within these communities ( </w:t>
      </w:r>
      <w:hyperlink r:id="rId15" w:tgtFrame="_blank" w:history="1">
        <w:r w:rsidRPr="001F69F7">
          <w:rPr>
            <w:rStyle w:val="Hyperlink"/>
            <w:rFonts w:ascii="Arial" w:hAnsi="Arial" w:cs="Arial"/>
            <w:color w:val="auto"/>
            <w:u w:val="none"/>
          </w:rPr>
          <w:t>Al-Amer et al., 2021</w:t>
        </w:r>
      </w:hyperlink>
      <w:r w:rsidRPr="001F69F7">
        <w:rPr>
          <w:rFonts w:ascii="Arial" w:hAnsi="Arial" w:cs="Arial"/>
        </w:rPr>
        <w:t xml:space="preserve">) . Despite this heightened vulnerability, migrant populations consistently </w:t>
      </w:r>
      <w:proofErr w:type="spellStart"/>
      <w:r w:rsidRPr="001F69F7">
        <w:rPr>
          <w:rFonts w:ascii="Arial" w:hAnsi="Arial" w:cs="Arial"/>
        </w:rPr>
        <w:t>underutilise</w:t>
      </w:r>
      <w:proofErr w:type="spellEnd"/>
      <w:r w:rsidRPr="001F69F7">
        <w:rPr>
          <w:rFonts w:ascii="Arial" w:hAnsi="Arial" w:cs="Arial"/>
        </w:rPr>
        <w:t xml:space="preserve"> formal mental health services, creating a significant treatment gap that demands urgent scholarly and policy attention ( </w:t>
      </w:r>
      <w:hyperlink r:id="rId16" w:tgtFrame="_blank" w:history="1">
        <w:r w:rsidRPr="001F69F7">
          <w:rPr>
            <w:rStyle w:val="Hyperlink"/>
            <w:rFonts w:ascii="Arial" w:hAnsi="Arial" w:cs="Arial"/>
            <w:color w:val="auto"/>
            <w:u w:val="none"/>
          </w:rPr>
          <w:t>Mygind et al., 2020</w:t>
        </w:r>
      </w:hyperlink>
      <w:r w:rsidRPr="001F69F7">
        <w:rPr>
          <w:rFonts w:ascii="Arial" w:hAnsi="Arial" w:cs="Arial"/>
        </w:rPr>
        <w:t>; </w:t>
      </w:r>
      <w:hyperlink r:id="rId17" w:tgtFrame="_blank" w:history="1">
        <w:r w:rsidRPr="001F69F7">
          <w:rPr>
            <w:rStyle w:val="Hyperlink"/>
            <w:rFonts w:ascii="Arial" w:hAnsi="Arial" w:cs="Arial"/>
            <w:color w:val="auto"/>
            <w:u w:val="none"/>
          </w:rPr>
          <w:t>Al-Nuaimi et al., 2023</w:t>
        </w:r>
      </w:hyperlink>
      <w:r w:rsidRPr="001F69F7">
        <w:rPr>
          <w:rFonts w:ascii="Arial" w:hAnsi="Arial" w:cs="Arial"/>
        </w:rPr>
        <w:t>) .</w:t>
      </w:r>
    </w:p>
    <w:p w14:paraId="60AC8E02" w14:textId="77777777" w:rsidR="001F69F7" w:rsidRPr="001F69F7" w:rsidRDefault="001F69F7" w:rsidP="001F69F7">
      <w:pPr>
        <w:pStyle w:val="Body"/>
        <w:rPr>
          <w:rFonts w:ascii="Arial" w:hAnsi="Arial" w:cs="Arial"/>
        </w:rPr>
      </w:pPr>
    </w:p>
    <w:p w14:paraId="56D0DDD5" w14:textId="77777777" w:rsidR="001F69F7" w:rsidRDefault="001F69F7" w:rsidP="001F69F7">
      <w:pPr>
        <w:pStyle w:val="Body"/>
        <w:spacing w:after="0"/>
        <w:rPr>
          <w:rFonts w:ascii="Arial" w:hAnsi="Arial" w:cs="Arial"/>
        </w:rPr>
      </w:pPr>
      <w:r w:rsidRPr="001F69F7">
        <w:rPr>
          <w:rFonts w:ascii="Arial" w:hAnsi="Arial" w:cs="Arial"/>
        </w:rPr>
        <w:t xml:space="preserve">The United Arab Emirates (UAE), as a major economic hub in the Gulf Cooperation Council (GCC) region, hosts one of the largest expatriate populations globally, with Filipino nationals constituting a significant portion. Many are employed in low-wage sectors such as construction, domestic work, and retail services, where employment is often </w:t>
      </w:r>
      <w:proofErr w:type="spellStart"/>
      <w:r w:rsidRPr="001F69F7">
        <w:rPr>
          <w:rFonts w:ascii="Arial" w:hAnsi="Arial" w:cs="Arial"/>
        </w:rPr>
        <w:t>characterised</w:t>
      </w:r>
      <w:proofErr w:type="spellEnd"/>
      <w:r w:rsidRPr="001F69F7">
        <w:rPr>
          <w:rFonts w:ascii="Arial" w:hAnsi="Arial" w:cs="Arial"/>
        </w:rPr>
        <w:t xml:space="preserve"> by long hours, low pay, and limited social protections ( </w:t>
      </w:r>
      <w:hyperlink r:id="rId18" w:tgtFrame="_blank" w:history="1">
        <w:proofErr w:type="spellStart"/>
        <w:r w:rsidRPr="001F69F7">
          <w:rPr>
            <w:rStyle w:val="Hyperlink"/>
            <w:rFonts w:ascii="Arial" w:hAnsi="Arial" w:cs="Arial"/>
            <w:color w:val="auto"/>
            <w:u w:val="none"/>
          </w:rPr>
          <w:t>Nockerts</w:t>
        </w:r>
        <w:proofErr w:type="spellEnd"/>
        <w:r w:rsidRPr="001F69F7">
          <w:rPr>
            <w:rStyle w:val="Hyperlink"/>
            <w:rFonts w:ascii="Arial" w:hAnsi="Arial" w:cs="Arial"/>
            <w:color w:val="auto"/>
            <w:u w:val="none"/>
          </w:rPr>
          <w:t>, 2015</w:t>
        </w:r>
      </w:hyperlink>
      <w:r w:rsidRPr="001F69F7">
        <w:rPr>
          <w:rFonts w:ascii="Arial" w:hAnsi="Arial" w:cs="Arial"/>
        </w:rPr>
        <w:t xml:space="preserve">)  . The mental health landscape within the GCC countries presents unique challenges, with services often being underdeveloped or inaccessible, particularly for non-nationals ( </w:t>
      </w:r>
      <w:hyperlink r:id="rId19" w:tgtFrame="_blank" w:history="1">
        <w:r w:rsidRPr="001F69F7">
          <w:rPr>
            <w:rStyle w:val="Hyperlink"/>
            <w:rFonts w:ascii="Arial" w:hAnsi="Arial" w:cs="Arial"/>
            <w:color w:val="auto"/>
            <w:u w:val="none"/>
          </w:rPr>
          <w:t>Zahid et al., 2016</w:t>
        </w:r>
      </w:hyperlink>
      <w:r w:rsidRPr="001F69F7">
        <w:rPr>
          <w:rFonts w:ascii="Arial" w:hAnsi="Arial" w:cs="Arial"/>
        </w:rPr>
        <w:t xml:space="preserve">) . This systemic issue is compounded by the socio-economic precarity faced by low-wage workers, making mental healthcare a distant priority ( </w:t>
      </w:r>
      <w:hyperlink r:id="rId20" w:tgtFrame="_blank" w:history="1">
        <w:r w:rsidRPr="001F69F7">
          <w:rPr>
            <w:rStyle w:val="Hyperlink"/>
            <w:rFonts w:ascii="Arial" w:hAnsi="Arial" w:cs="Arial"/>
            <w:color w:val="auto"/>
            <w:u w:val="none"/>
          </w:rPr>
          <w:t>Zahid, 2018</w:t>
        </w:r>
      </w:hyperlink>
      <w:r w:rsidRPr="001F69F7">
        <w:rPr>
          <w:rFonts w:ascii="Arial" w:hAnsi="Arial" w:cs="Arial"/>
        </w:rPr>
        <w:t>) .</w:t>
      </w:r>
    </w:p>
    <w:p w14:paraId="25DB1EEE" w14:textId="77777777" w:rsidR="001F69F7" w:rsidRPr="001F69F7" w:rsidRDefault="001F69F7" w:rsidP="001F69F7">
      <w:pPr>
        <w:pStyle w:val="Body"/>
        <w:spacing w:after="0"/>
        <w:rPr>
          <w:rFonts w:ascii="Arial" w:hAnsi="Arial" w:cs="Arial"/>
        </w:rPr>
      </w:pPr>
    </w:p>
    <w:p w14:paraId="623E4F2D" w14:textId="77777777" w:rsidR="001F69F7" w:rsidRDefault="001F69F7" w:rsidP="001F69F7">
      <w:pPr>
        <w:pStyle w:val="Body"/>
        <w:spacing w:after="0"/>
        <w:rPr>
          <w:rFonts w:ascii="Arial" w:hAnsi="Arial" w:cs="Arial"/>
        </w:rPr>
      </w:pPr>
      <w:r w:rsidRPr="001F69F7">
        <w:rPr>
          <w:rFonts w:ascii="Arial" w:hAnsi="Arial" w:cs="Arial"/>
        </w:rPr>
        <w:t xml:space="preserve">While a growing body of literature has examined help-seeking </w:t>
      </w:r>
      <w:proofErr w:type="spellStart"/>
      <w:r w:rsidRPr="001F69F7">
        <w:rPr>
          <w:rFonts w:ascii="Arial" w:hAnsi="Arial" w:cs="Arial"/>
        </w:rPr>
        <w:t>behaviours</w:t>
      </w:r>
      <w:proofErr w:type="spellEnd"/>
      <w:r w:rsidRPr="001F69F7">
        <w:rPr>
          <w:rFonts w:ascii="Arial" w:hAnsi="Arial" w:cs="Arial"/>
        </w:rPr>
        <w:t xml:space="preserve"> among Filipinos on a global scale, revealing a general reluctance to engage with formal mental health services </w:t>
      </w:r>
      <w:proofErr w:type="gramStart"/>
      <w:r w:rsidRPr="001F69F7">
        <w:rPr>
          <w:rFonts w:ascii="Arial" w:hAnsi="Arial" w:cs="Arial"/>
        </w:rPr>
        <w:t>( Banta</w:t>
      </w:r>
      <w:proofErr w:type="gramEnd"/>
      <w:r w:rsidRPr="001F69F7">
        <w:rPr>
          <w:rFonts w:ascii="Arial" w:hAnsi="Arial" w:cs="Arial"/>
        </w:rPr>
        <w:t>, 2024</w:t>
      </w:r>
      <w:proofErr w:type="gramStart"/>
      <w:r w:rsidRPr="001F69F7">
        <w:rPr>
          <w:rFonts w:ascii="Arial" w:hAnsi="Arial" w:cs="Arial"/>
        </w:rPr>
        <w:t>) ,</w:t>
      </w:r>
      <w:proofErr w:type="gramEnd"/>
      <w:r w:rsidRPr="001F69F7">
        <w:rPr>
          <w:rFonts w:ascii="Arial" w:hAnsi="Arial" w:cs="Arial"/>
        </w:rPr>
        <w:t xml:space="preserve"> there remains a critical gap in the research. Specifically, the interplay between community-based mental health literacy (MHL) and the specific barriers faced by low-wage Filipino workers within the unique socio-cultural context of the UAE is underexplored. MHL encompasses not only the knowledge of mental disorders but also the ability to </w:t>
      </w:r>
      <w:proofErr w:type="spellStart"/>
      <w:r w:rsidRPr="001F69F7">
        <w:rPr>
          <w:rFonts w:ascii="Arial" w:hAnsi="Arial" w:cs="Arial"/>
        </w:rPr>
        <w:t>recognise</w:t>
      </w:r>
      <w:proofErr w:type="spellEnd"/>
      <w:r w:rsidRPr="001F69F7">
        <w:rPr>
          <w:rFonts w:ascii="Arial" w:hAnsi="Arial" w:cs="Arial"/>
        </w:rPr>
        <w:t xml:space="preserve"> symptoms, understand help-seeking options, and possess skills to manage mental wellbeing ( </w:t>
      </w:r>
      <w:hyperlink r:id="rId21" w:tgtFrame="_blank" w:history="1">
        <w:proofErr w:type="spellStart"/>
        <w:r w:rsidRPr="001F69F7">
          <w:rPr>
            <w:rStyle w:val="Hyperlink"/>
            <w:rFonts w:ascii="Arial" w:hAnsi="Arial" w:cs="Arial"/>
            <w:color w:val="auto"/>
            <w:u w:val="none"/>
          </w:rPr>
          <w:t>Jorm</w:t>
        </w:r>
        <w:proofErr w:type="spellEnd"/>
        <w:r w:rsidRPr="001F69F7">
          <w:rPr>
            <w:rStyle w:val="Hyperlink"/>
            <w:rFonts w:ascii="Arial" w:hAnsi="Arial" w:cs="Arial"/>
            <w:color w:val="auto"/>
            <w:u w:val="none"/>
          </w:rPr>
          <w:t>, 2012</w:t>
        </w:r>
      </w:hyperlink>
      <w:r w:rsidRPr="001F69F7">
        <w:rPr>
          <w:rFonts w:ascii="Arial" w:hAnsi="Arial" w:cs="Arial"/>
        </w:rPr>
        <w:t xml:space="preserve">) . Understanding how MHL operates within a close-knit, yet potentially </w:t>
      </w:r>
      <w:proofErr w:type="spellStart"/>
      <w:r w:rsidRPr="001F69F7">
        <w:rPr>
          <w:rFonts w:ascii="Arial" w:hAnsi="Arial" w:cs="Arial"/>
        </w:rPr>
        <w:t>stigmatising</w:t>
      </w:r>
      <w:proofErr w:type="spellEnd"/>
      <w:r w:rsidRPr="001F69F7">
        <w:rPr>
          <w:rFonts w:ascii="Arial" w:hAnsi="Arial" w:cs="Arial"/>
        </w:rPr>
        <w:t xml:space="preserve">, migrant community is essential for designing effective </w:t>
      </w:r>
      <w:proofErr w:type="gramStart"/>
      <w:r w:rsidRPr="001F69F7">
        <w:rPr>
          <w:rFonts w:ascii="Arial" w:hAnsi="Arial" w:cs="Arial"/>
        </w:rPr>
        <w:t>interventions .</w:t>
      </w:r>
      <w:proofErr w:type="gramEnd"/>
    </w:p>
    <w:p w14:paraId="0B704C77" w14:textId="77777777" w:rsidR="001F69F7" w:rsidRPr="001F69F7" w:rsidRDefault="001F69F7" w:rsidP="001F69F7">
      <w:pPr>
        <w:pStyle w:val="Body"/>
        <w:spacing w:after="0"/>
        <w:rPr>
          <w:rFonts w:ascii="Arial" w:hAnsi="Arial" w:cs="Arial"/>
        </w:rPr>
      </w:pPr>
    </w:p>
    <w:p w14:paraId="6E321FE9" w14:textId="77777777" w:rsidR="001F69F7" w:rsidRDefault="001F69F7" w:rsidP="001F69F7">
      <w:pPr>
        <w:pStyle w:val="Body"/>
        <w:spacing w:after="0"/>
        <w:rPr>
          <w:rFonts w:ascii="Arial" w:hAnsi="Arial" w:cs="Arial"/>
        </w:rPr>
      </w:pPr>
      <w:r w:rsidRPr="001F69F7">
        <w:rPr>
          <w:rFonts w:ascii="Arial" w:hAnsi="Arial" w:cs="Arial"/>
        </w:rPr>
        <w:t xml:space="preserve">This study, therefore, addresses this gap through a mixed-methods approach. The primary objectives are twofold: first, to quantitatively assess the level of MHL and identify the prevalence of specific help-seeking barriers among low-wage Filipino workers in the UAE; and second, to qualitatively explore the lived experiences, cultural nuances, and community dynamics that shape these attitudes and </w:t>
      </w:r>
      <w:proofErr w:type="spellStart"/>
      <w:r w:rsidRPr="001F69F7">
        <w:rPr>
          <w:rFonts w:ascii="Arial" w:hAnsi="Arial" w:cs="Arial"/>
        </w:rPr>
        <w:t>behaviours</w:t>
      </w:r>
      <w:proofErr w:type="spellEnd"/>
      <w:r w:rsidRPr="001F69F7">
        <w:rPr>
          <w:rFonts w:ascii="Arial" w:hAnsi="Arial" w:cs="Arial"/>
        </w:rPr>
        <w:t>. By triangulating quantitative data on 'what' the barriers are with qualitative insights into 'why' and 'how' they manifest, this research aims to provide a holistic and actionable evidence base. The significance of this study lies in its potential to inform the development of culturally competent, accessible, and community-centric mental health support systems and policies, ultimately empowering a vulnerable yet resilient population to achieve better mental wellbeing (</w:t>
      </w:r>
      <w:hyperlink r:id="rId22" w:tgtFrame="_blank" w:history="1">
        <w:r w:rsidRPr="001F69F7">
          <w:rPr>
            <w:rStyle w:val="Hyperlink"/>
            <w:rFonts w:ascii="Arial" w:hAnsi="Arial" w:cs="Arial"/>
            <w:color w:val="auto"/>
            <w:u w:val="none"/>
          </w:rPr>
          <w:t>Wells et al., 2019</w:t>
        </w:r>
      </w:hyperlink>
      <w:r w:rsidRPr="001F69F7">
        <w:rPr>
          <w:rFonts w:ascii="Arial" w:hAnsi="Arial" w:cs="Arial"/>
        </w:rPr>
        <w:t>)  .</w:t>
      </w:r>
    </w:p>
    <w:p w14:paraId="13FF0DB5" w14:textId="77777777" w:rsidR="001F69F7" w:rsidRPr="001F69F7" w:rsidRDefault="001F69F7" w:rsidP="001F69F7">
      <w:pPr>
        <w:pStyle w:val="Body"/>
        <w:spacing w:after="0"/>
        <w:rPr>
          <w:rFonts w:ascii="Arial" w:hAnsi="Arial" w:cs="Arial"/>
        </w:rPr>
      </w:pPr>
    </w:p>
    <w:p w14:paraId="3ABD8723" w14:textId="77777777" w:rsidR="001F69F7" w:rsidRDefault="001F69F7" w:rsidP="001F69F7">
      <w:pPr>
        <w:pStyle w:val="Body"/>
        <w:spacing w:after="0"/>
        <w:rPr>
          <w:rFonts w:ascii="Arial" w:hAnsi="Arial" w:cs="Arial"/>
          <w:b/>
          <w:bCs/>
        </w:rPr>
      </w:pPr>
      <w:r w:rsidRPr="001F69F7">
        <w:rPr>
          <w:rFonts w:ascii="Arial" w:hAnsi="Arial" w:cs="Arial"/>
          <w:b/>
          <w:bCs/>
        </w:rPr>
        <w:t>2. Theoretical Background and Hypothesis Development</w:t>
      </w:r>
    </w:p>
    <w:p w14:paraId="13F60DE7" w14:textId="77777777" w:rsidR="001F69F7" w:rsidRPr="001F69F7" w:rsidRDefault="001F69F7" w:rsidP="001F69F7">
      <w:pPr>
        <w:pStyle w:val="Body"/>
        <w:spacing w:after="0"/>
        <w:rPr>
          <w:rFonts w:ascii="Arial" w:hAnsi="Arial" w:cs="Arial"/>
          <w:b/>
          <w:bCs/>
        </w:rPr>
      </w:pPr>
    </w:p>
    <w:p w14:paraId="618015A2" w14:textId="77777777" w:rsidR="001F69F7" w:rsidRPr="001F69F7" w:rsidRDefault="001F69F7" w:rsidP="001F69F7">
      <w:pPr>
        <w:pStyle w:val="Body"/>
        <w:spacing w:after="0"/>
        <w:rPr>
          <w:rFonts w:ascii="Arial" w:hAnsi="Arial" w:cs="Arial"/>
          <w:b/>
          <w:bCs/>
        </w:rPr>
      </w:pPr>
      <w:r w:rsidRPr="001F69F7">
        <w:rPr>
          <w:rFonts w:ascii="Arial" w:hAnsi="Arial" w:cs="Arial"/>
          <w:b/>
          <w:bCs/>
        </w:rPr>
        <w:t>2.1. Grounding the Study in Theory</w:t>
      </w:r>
    </w:p>
    <w:p w14:paraId="09CAC2F8" w14:textId="77777777" w:rsidR="001F69F7" w:rsidRPr="001F69F7" w:rsidRDefault="001F69F7" w:rsidP="001F69F7">
      <w:pPr>
        <w:pStyle w:val="Body"/>
        <w:spacing w:after="0"/>
        <w:rPr>
          <w:rFonts w:ascii="Arial" w:hAnsi="Arial" w:cs="Arial"/>
        </w:rPr>
      </w:pPr>
      <w:r w:rsidRPr="001F69F7">
        <w:rPr>
          <w:rFonts w:ascii="Arial" w:hAnsi="Arial" w:cs="Arial"/>
        </w:rPr>
        <w:lastRenderedPageBreak/>
        <w:t xml:space="preserve">To comprehensively understand the complex interplay of factors influencing the mental health and help-seeking </w:t>
      </w:r>
      <w:proofErr w:type="spellStart"/>
      <w:r w:rsidRPr="001F69F7">
        <w:rPr>
          <w:rFonts w:ascii="Arial" w:hAnsi="Arial" w:cs="Arial"/>
        </w:rPr>
        <w:t>behaviours</w:t>
      </w:r>
      <w:proofErr w:type="spellEnd"/>
      <w:r w:rsidRPr="001F69F7">
        <w:rPr>
          <w:rFonts w:ascii="Arial" w:hAnsi="Arial" w:cs="Arial"/>
        </w:rPr>
        <w:t xml:space="preserve"> of Filipino migrant workers, this study is grounded in two complementary theoretical frameworks: the Socio-Ecological Model and Empowerment Theory.</w:t>
      </w:r>
    </w:p>
    <w:p w14:paraId="42A652C6" w14:textId="77777777" w:rsidR="001F69F7" w:rsidRDefault="001F69F7" w:rsidP="001F69F7">
      <w:pPr>
        <w:pStyle w:val="Body"/>
        <w:spacing w:after="0"/>
        <w:rPr>
          <w:rFonts w:ascii="Arial" w:hAnsi="Arial" w:cs="Arial"/>
          <w:b/>
          <w:bCs/>
        </w:rPr>
      </w:pPr>
      <w:r w:rsidRPr="001F69F7">
        <w:rPr>
          <w:rFonts w:ascii="Arial" w:hAnsi="Arial" w:cs="Arial"/>
          <w:b/>
          <w:bCs/>
        </w:rPr>
        <w:t>2.1.1. The Socio-Ecological Model</w:t>
      </w:r>
    </w:p>
    <w:p w14:paraId="01C255FE" w14:textId="77777777" w:rsidR="001F69F7" w:rsidRPr="001F69F7" w:rsidRDefault="001F69F7" w:rsidP="001F69F7">
      <w:pPr>
        <w:pStyle w:val="Body"/>
        <w:spacing w:after="0"/>
        <w:rPr>
          <w:rFonts w:ascii="Arial" w:hAnsi="Arial" w:cs="Arial"/>
          <w:b/>
          <w:bCs/>
        </w:rPr>
      </w:pPr>
    </w:p>
    <w:p w14:paraId="17699F82" w14:textId="77777777" w:rsidR="001F69F7" w:rsidRDefault="001F69F7" w:rsidP="001F69F7">
      <w:pPr>
        <w:pStyle w:val="Body"/>
        <w:spacing w:after="0"/>
        <w:rPr>
          <w:rFonts w:ascii="Arial" w:hAnsi="Arial" w:cs="Arial"/>
        </w:rPr>
      </w:pPr>
      <w:r w:rsidRPr="001F69F7">
        <w:rPr>
          <w:rFonts w:ascii="Arial" w:hAnsi="Arial" w:cs="Arial"/>
        </w:rPr>
        <w:t xml:space="preserve">The Socio-Ecological Model posits that an individual's health and </w:t>
      </w:r>
      <w:proofErr w:type="spellStart"/>
      <w:r w:rsidRPr="001F69F7">
        <w:rPr>
          <w:rFonts w:ascii="Arial" w:hAnsi="Arial" w:cs="Arial"/>
        </w:rPr>
        <w:t>behaviour</w:t>
      </w:r>
      <w:proofErr w:type="spellEnd"/>
      <w:r w:rsidRPr="001F69F7">
        <w:rPr>
          <w:rFonts w:ascii="Arial" w:hAnsi="Arial" w:cs="Arial"/>
        </w:rPr>
        <w:t xml:space="preserve"> are shaped by a dynamic interplay of factors across multiple, nested levels of influence (  </w:t>
      </w:r>
      <w:hyperlink r:id="rId23" w:tgtFrame="_blank" w:history="1">
        <w:r w:rsidRPr="001F69F7">
          <w:rPr>
            <w:rStyle w:val="Hyperlink"/>
            <w:rFonts w:ascii="Arial" w:hAnsi="Arial" w:cs="Arial"/>
            <w:color w:val="auto"/>
            <w:u w:val="none"/>
          </w:rPr>
          <w:t>Bronfenbrenner, 1979</w:t>
        </w:r>
      </w:hyperlink>
      <w:r w:rsidRPr="001F69F7">
        <w:rPr>
          <w:rFonts w:ascii="Arial" w:hAnsi="Arial" w:cs="Arial"/>
        </w:rPr>
        <w:t>; </w:t>
      </w:r>
      <w:hyperlink r:id="rId24" w:tgtFrame="_blank" w:history="1">
        <w:r w:rsidRPr="001F69F7">
          <w:rPr>
            <w:rStyle w:val="Hyperlink"/>
            <w:rFonts w:ascii="Arial" w:hAnsi="Arial" w:cs="Arial"/>
            <w:color w:val="auto"/>
            <w:u w:val="none"/>
          </w:rPr>
          <w:t>Stokols, 1996</w:t>
        </w:r>
      </w:hyperlink>
      <w:r w:rsidRPr="001F69F7">
        <w:rPr>
          <w:rFonts w:ascii="Arial" w:hAnsi="Arial" w:cs="Arial"/>
        </w:rPr>
        <w:t>)  . This framework is particularly adept at capturing the multifaceted nature of migrant mental health, moving beyond a purely individualistic perspective(  </w:t>
      </w:r>
      <w:hyperlink r:id="rId25" w:tgtFrame="_blank" w:history="1">
        <w:r w:rsidRPr="001F69F7">
          <w:rPr>
            <w:rStyle w:val="Hyperlink"/>
            <w:rFonts w:ascii="Arial" w:hAnsi="Arial" w:cs="Arial"/>
            <w:color w:val="auto"/>
            <w:u w:val="none"/>
          </w:rPr>
          <w:t>Eriksson et al., 2018</w:t>
        </w:r>
      </w:hyperlink>
      <w:r w:rsidRPr="001F69F7">
        <w:rPr>
          <w:rFonts w:ascii="Arial" w:hAnsi="Arial" w:cs="Arial"/>
        </w:rPr>
        <w:t>)  . For this study, the model is applied as follows:</w:t>
      </w:r>
    </w:p>
    <w:p w14:paraId="4A18F47A" w14:textId="77777777" w:rsidR="001F69F7" w:rsidRPr="001F69F7" w:rsidRDefault="001F69F7" w:rsidP="001F69F7">
      <w:pPr>
        <w:pStyle w:val="Body"/>
        <w:spacing w:after="0"/>
        <w:rPr>
          <w:rFonts w:ascii="Arial" w:hAnsi="Arial" w:cs="Arial"/>
        </w:rPr>
      </w:pPr>
    </w:p>
    <w:p w14:paraId="3A67CA48" w14:textId="77777777" w:rsidR="001F69F7" w:rsidRPr="001F69F7" w:rsidRDefault="001F69F7" w:rsidP="001F69F7">
      <w:pPr>
        <w:pStyle w:val="Body"/>
        <w:numPr>
          <w:ilvl w:val="0"/>
          <w:numId w:val="31"/>
        </w:numPr>
        <w:spacing w:after="0"/>
        <w:rPr>
          <w:rFonts w:ascii="Arial" w:hAnsi="Arial" w:cs="Arial"/>
        </w:rPr>
      </w:pPr>
      <w:r w:rsidRPr="001F69F7">
        <w:rPr>
          <w:rFonts w:ascii="Arial" w:hAnsi="Arial" w:cs="Arial"/>
          <w:b/>
          <w:bCs/>
        </w:rPr>
        <w:t>Individual Level:</w:t>
      </w:r>
      <w:r w:rsidRPr="001F69F7">
        <w:rPr>
          <w:rFonts w:ascii="Arial" w:hAnsi="Arial" w:cs="Arial"/>
        </w:rPr>
        <w:t xml:space="preserve"> This level includes personal attributes such as knowledge, attitudes, beliefs, and personality traits. Here, we focus on an individual's Mental Health Literacy (MHL)—their understanding of mental health issues, their ability to </w:t>
      </w:r>
      <w:proofErr w:type="spellStart"/>
      <w:r w:rsidRPr="001F69F7">
        <w:rPr>
          <w:rFonts w:ascii="Arial" w:hAnsi="Arial" w:cs="Arial"/>
        </w:rPr>
        <w:t>recognise</w:t>
      </w:r>
      <w:proofErr w:type="spellEnd"/>
      <w:r w:rsidRPr="001F69F7">
        <w:rPr>
          <w:rFonts w:ascii="Arial" w:hAnsi="Arial" w:cs="Arial"/>
        </w:rPr>
        <w:t xml:space="preserve"> symptoms, and their beliefs about treatment efficacy.</w:t>
      </w:r>
    </w:p>
    <w:p w14:paraId="3AC7FD74" w14:textId="77777777" w:rsidR="001F69F7" w:rsidRPr="001F69F7" w:rsidRDefault="001F69F7" w:rsidP="001F69F7">
      <w:pPr>
        <w:pStyle w:val="Body"/>
        <w:numPr>
          <w:ilvl w:val="0"/>
          <w:numId w:val="31"/>
        </w:numPr>
        <w:spacing w:after="0"/>
        <w:rPr>
          <w:rFonts w:ascii="Arial" w:hAnsi="Arial" w:cs="Arial"/>
        </w:rPr>
      </w:pPr>
      <w:r w:rsidRPr="001F69F7">
        <w:rPr>
          <w:rFonts w:ascii="Arial" w:hAnsi="Arial" w:cs="Arial"/>
          <w:b/>
          <w:bCs/>
        </w:rPr>
        <w:t>Interpersonal Level:</w:t>
      </w:r>
      <w:r w:rsidRPr="001F69F7">
        <w:rPr>
          <w:rFonts w:ascii="Arial" w:hAnsi="Arial" w:cs="Arial"/>
        </w:rPr>
        <w:t> This encompasses formal and informal social networks, including family, friends, and peers. For Filipino migrants, this level is critical, as decisions about health are often deeply influenced by family expectations and the support (or stigma) received from within their close-knit community.</w:t>
      </w:r>
    </w:p>
    <w:p w14:paraId="2553280E" w14:textId="77777777" w:rsidR="001F69F7" w:rsidRPr="001F69F7" w:rsidRDefault="001F69F7" w:rsidP="001F69F7">
      <w:pPr>
        <w:pStyle w:val="Body"/>
        <w:numPr>
          <w:ilvl w:val="0"/>
          <w:numId w:val="31"/>
        </w:numPr>
        <w:spacing w:after="0"/>
        <w:rPr>
          <w:rFonts w:ascii="Arial" w:hAnsi="Arial" w:cs="Arial"/>
        </w:rPr>
      </w:pPr>
      <w:proofErr w:type="spellStart"/>
      <w:r w:rsidRPr="001F69F7">
        <w:rPr>
          <w:rFonts w:ascii="Arial" w:hAnsi="Arial" w:cs="Arial"/>
          <w:b/>
          <w:bCs/>
        </w:rPr>
        <w:t>Organisational</w:t>
      </w:r>
      <w:proofErr w:type="spellEnd"/>
      <w:r w:rsidRPr="001F69F7">
        <w:rPr>
          <w:rFonts w:ascii="Arial" w:hAnsi="Arial" w:cs="Arial"/>
          <w:b/>
          <w:bCs/>
        </w:rPr>
        <w:t xml:space="preserve"> Level:</w:t>
      </w:r>
      <w:r w:rsidRPr="001F69F7">
        <w:rPr>
          <w:rFonts w:ascii="Arial" w:hAnsi="Arial" w:cs="Arial"/>
        </w:rPr>
        <w:t xml:space="preserve"> This refers to the influence of institutions and </w:t>
      </w:r>
      <w:proofErr w:type="spellStart"/>
      <w:r w:rsidRPr="001F69F7">
        <w:rPr>
          <w:rFonts w:ascii="Arial" w:hAnsi="Arial" w:cs="Arial"/>
        </w:rPr>
        <w:t>organisations</w:t>
      </w:r>
      <w:proofErr w:type="spellEnd"/>
      <w:r w:rsidRPr="001F69F7">
        <w:rPr>
          <w:rFonts w:ascii="Arial" w:hAnsi="Arial" w:cs="Arial"/>
        </w:rPr>
        <w:t>, such as workplaces. For low-wage workers, employer policies regarding health insurance, sick leave, and workplace culture can act as significant structural barriers or facilitators to seeking care.</w:t>
      </w:r>
    </w:p>
    <w:p w14:paraId="02345D8F" w14:textId="77777777" w:rsidR="001F69F7" w:rsidRPr="001F69F7" w:rsidRDefault="001F69F7" w:rsidP="001F69F7">
      <w:pPr>
        <w:pStyle w:val="Body"/>
        <w:numPr>
          <w:ilvl w:val="0"/>
          <w:numId w:val="31"/>
        </w:numPr>
        <w:spacing w:after="0"/>
        <w:rPr>
          <w:rFonts w:ascii="Arial" w:hAnsi="Arial" w:cs="Arial"/>
        </w:rPr>
      </w:pPr>
      <w:r w:rsidRPr="001F69F7">
        <w:rPr>
          <w:rFonts w:ascii="Arial" w:hAnsi="Arial" w:cs="Arial"/>
          <w:b/>
          <w:bCs/>
        </w:rPr>
        <w:t>Community Level:</w:t>
      </w:r>
      <w:r w:rsidRPr="001F69F7">
        <w:rPr>
          <w:rFonts w:ascii="Arial" w:hAnsi="Arial" w:cs="Arial"/>
        </w:rPr>
        <w:t xml:space="preserve"> This level examines the relationships between </w:t>
      </w:r>
      <w:proofErr w:type="spellStart"/>
      <w:r w:rsidRPr="001F69F7">
        <w:rPr>
          <w:rFonts w:ascii="Arial" w:hAnsi="Arial" w:cs="Arial"/>
        </w:rPr>
        <w:t>organisations</w:t>
      </w:r>
      <w:proofErr w:type="spellEnd"/>
      <w:r w:rsidRPr="001F69F7">
        <w:rPr>
          <w:rFonts w:ascii="Arial" w:hAnsi="Arial" w:cs="Arial"/>
        </w:rPr>
        <w:t xml:space="preserve"> and the broader community context, including cultural norms, values, and community-level stigma. The concept of *'</w:t>
      </w:r>
      <w:proofErr w:type="spellStart"/>
      <w:r w:rsidRPr="001F69F7">
        <w:rPr>
          <w:rFonts w:ascii="Arial" w:hAnsi="Arial" w:cs="Arial"/>
        </w:rPr>
        <w:t>pakikisama</w:t>
      </w:r>
      <w:proofErr w:type="spellEnd"/>
      <w:r w:rsidRPr="001F69F7">
        <w:rPr>
          <w:rFonts w:ascii="Arial" w:hAnsi="Arial" w:cs="Arial"/>
        </w:rPr>
        <w:t>'* (social harmony) and the fear of *'</w:t>
      </w:r>
      <w:proofErr w:type="spellStart"/>
      <w:r w:rsidRPr="001F69F7">
        <w:rPr>
          <w:rFonts w:ascii="Arial" w:hAnsi="Arial" w:cs="Arial"/>
        </w:rPr>
        <w:t>tsismis</w:t>
      </w:r>
      <w:proofErr w:type="spellEnd"/>
      <w:r w:rsidRPr="001F69F7">
        <w:rPr>
          <w:rFonts w:ascii="Arial" w:hAnsi="Arial" w:cs="Arial"/>
        </w:rPr>
        <w:t xml:space="preserve">'* (gossip) operate powerfully at this level, shaping whether an individual feels safe to disclose their </w:t>
      </w:r>
      <w:proofErr w:type="gramStart"/>
      <w:r w:rsidRPr="001F69F7">
        <w:rPr>
          <w:rFonts w:ascii="Arial" w:hAnsi="Arial" w:cs="Arial"/>
        </w:rPr>
        <w:t>struggles .</w:t>
      </w:r>
      <w:proofErr w:type="gramEnd"/>
    </w:p>
    <w:p w14:paraId="2DF5DA77" w14:textId="77777777" w:rsidR="001F69F7" w:rsidRDefault="001F69F7" w:rsidP="001F69F7">
      <w:pPr>
        <w:pStyle w:val="Body"/>
        <w:numPr>
          <w:ilvl w:val="0"/>
          <w:numId w:val="31"/>
        </w:numPr>
        <w:spacing w:after="0"/>
        <w:rPr>
          <w:rFonts w:ascii="Arial" w:hAnsi="Arial" w:cs="Arial"/>
        </w:rPr>
      </w:pPr>
      <w:r w:rsidRPr="001F69F7">
        <w:rPr>
          <w:rFonts w:ascii="Arial" w:hAnsi="Arial" w:cs="Arial"/>
          <w:b/>
          <w:bCs/>
        </w:rPr>
        <w:t>Societal Level:</w:t>
      </w:r>
      <w:r w:rsidRPr="001F69F7">
        <w:rPr>
          <w:rFonts w:ascii="Arial" w:hAnsi="Arial" w:cs="Arial"/>
        </w:rPr>
        <w:t> This outermost level includes broad societal factors such as public policy, healthcare systems, and immigration laws. In the UAE context, this includes the cost and accessibility of mental health services for non-nationals and the legal framework governing migrant workers' rights and residency status.</w:t>
      </w:r>
    </w:p>
    <w:p w14:paraId="4BCAE4D1" w14:textId="77777777" w:rsidR="001F69F7" w:rsidRPr="001F69F7" w:rsidRDefault="001F69F7" w:rsidP="001F69F7">
      <w:pPr>
        <w:pStyle w:val="Body"/>
        <w:spacing w:after="0"/>
        <w:ind w:left="720"/>
        <w:rPr>
          <w:rFonts w:ascii="Arial" w:hAnsi="Arial" w:cs="Arial"/>
        </w:rPr>
      </w:pPr>
    </w:p>
    <w:p w14:paraId="41B911BF" w14:textId="77777777" w:rsidR="001F69F7" w:rsidRDefault="001F69F7" w:rsidP="001F69F7">
      <w:pPr>
        <w:pStyle w:val="Body"/>
        <w:spacing w:after="0"/>
        <w:rPr>
          <w:rFonts w:ascii="Arial" w:hAnsi="Arial" w:cs="Arial"/>
        </w:rPr>
      </w:pPr>
      <w:r w:rsidRPr="001F69F7">
        <w:rPr>
          <w:rFonts w:ascii="Arial" w:hAnsi="Arial" w:cs="Arial"/>
        </w:rPr>
        <w:t xml:space="preserve">By using this model, the study can systematically </w:t>
      </w:r>
      <w:proofErr w:type="spellStart"/>
      <w:r w:rsidRPr="001F69F7">
        <w:rPr>
          <w:rFonts w:ascii="Arial" w:hAnsi="Arial" w:cs="Arial"/>
        </w:rPr>
        <w:t>analyse</w:t>
      </w:r>
      <w:proofErr w:type="spellEnd"/>
      <w:r w:rsidRPr="001F69F7">
        <w:rPr>
          <w:rFonts w:ascii="Arial" w:hAnsi="Arial" w:cs="Arial"/>
        </w:rPr>
        <w:t xml:space="preserve"> how barriers and facilitators operate and interact across these different layers, providing a more holistic explanation for the observed help-seeking patterns.</w:t>
      </w:r>
    </w:p>
    <w:p w14:paraId="73EAB4D5" w14:textId="77777777" w:rsidR="001F69F7" w:rsidRPr="001F69F7" w:rsidRDefault="001F69F7" w:rsidP="001F69F7">
      <w:pPr>
        <w:pStyle w:val="Body"/>
        <w:spacing w:after="0"/>
        <w:rPr>
          <w:rFonts w:ascii="Arial" w:hAnsi="Arial" w:cs="Arial"/>
        </w:rPr>
      </w:pPr>
    </w:p>
    <w:p w14:paraId="0E285787" w14:textId="77777777" w:rsidR="001F69F7" w:rsidRPr="001F69F7" w:rsidRDefault="001F69F7" w:rsidP="001F69F7">
      <w:pPr>
        <w:pStyle w:val="Body"/>
        <w:spacing w:after="0"/>
        <w:rPr>
          <w:rFonts w:ascii="Arial" w:hAnsi="Arial" w:cs="Arial"/>
          <w:b/>
          <w:bCs/>
        </w:rPr>
      </w:pPr>
      <w:r w:rsidRPr="001F69F7">
        <w:rPr>
          <w:rFonts w:ascii="Arial" w:hAnsi="Arial" w:cs="Arial"/>
          <w:b/>
          <w:bCs/>
        </w:rPr>
        <w:t>2.1.2. Empowerment Theory</w:t>
      </w:r>
    </w:p>
    <w:p w14:paraId="3CB28B2B" w14:textId="77777777" w:rsidR="001F69F7" w:rsidRDefault="001F69F7" w:rsidP="001F69F7">
      <w:pPr>
        <w:pStyle w:val="Body"/>
        <w:spacing w:after="0"/>
        <w:rPr>
          <w:rFonts w:ascii="Arial" w:hAnsi="Arial" w:cs="Arial"/>
        </w:rPr>
      </w:pPr>
      <w:r w:rsidRPr="001F69F7">
        <w:rPr>
          <w:rFonts w:ascii="Arial" w:hAnsi="Arial" w:cs="Arial"/>
        </w:rPr>
        <w:t xml:space="preserve">Empowerment theory provides a critical lens for research involving </w:t>
      </w:r>
      <w:proofErr w:type="spellStart"/>
      <w:r w:rsidRPr="001F69F7">
        <w:rPr>
          <w:rFonts w:ascii="Arial" w:hAnsi="Arial" w:cs="Arial"/>
        </w:rPr>
        <w:t>marginalised</w:t>
      </w:r>
      <w:proofErr w:type="spellEnd"/>
      <w:r w:rsidRPr="001F69F7">
        <w:rPr>
          <w:rFonts w:ascii="Arial" w:hAnsi="Arial" w:cs="Arial"/>
        </w:rPr>
        <w:t xml:space="preserve"> populations. It focuses on the processes by which individuals and communities gain mastery over their lives and the democratic participation in the life of their community ( </w:t>
      </w:r>
      <w:hyperlink r:id="rId26" w:tgtFrame="_blank" w:history="1">
        <w:r w:rsidRPr="001F69F7">
          <w:rPr>
            <w:rStyle w:val="Hyperlink"/>
            <w:rFonts w:ascii="Arial" w:hAnsi="Arial" w:cs="Arial"/>
            <w:color w:val="auto"/>
            <w:u w:val="none"/>
          </w:rPr>
          <w:t>Rappaport, 1987</w:t>
        </w:r>
      </w:hyperlink>
      <w:r w:rsidRPr="001F69F7">
        <w:rPr>
          <w:rFonts w:ascii="Arial" w:hAnsi="Arial" w:cs="Arial"/>
        </w:rPr>
        <w:t xml:space="preserve">)  . The theory distinguishes between 'power over' (control, domination) and 'power to' (the ability to achieve goals). For social work and community psychology, it involves helping people address oppressive forces that inhibit their wellbeing ( </w:t>
      </w:r>
      <w:hyperlink r:id="rId27" w:tgtFrame="_blank" w:history="1">
        <w:r w:rsidRPr="001F69F7">
          <w:rPr>
            <w:rStyle w:val="Hyperlink"/>
            <w:rFonts w:ascii="Arial" w:hAnsi="Arial" w:cs="Arial"/>
            <w:color w:val="auto"/>
            <w:u w:val="none"/>
          </w:rPr>
          <w:t>Zimmerman, 2000</w:t>
        </w:r>
      </w:hyperlink>
      <w:r w:rsidRPr="001F69F7">
        <w:rPr>
          <w:rFonts w:ascii="Arial" w:hAnsi="Arial" w:cs="Arial"/>
        </w:rPr>
        <w:t>) . This study applies empowerment theory by:</w:t>
      </w:r>
    </w:p>
    <w:p w14:paraId="2891C225" w14:textId="77777777" w:rsidR="001F69F7" w:rsidRPr="001F69F7" w:rsidRDefault="001F69F7" w:rsidP="001F69F7">
      <w:pPr>
        <w:pStyle w:val="Body"/>
        <w:spacing w:after="0"/>
        <w:rPr>
          <w:rFonts w:ascii="Arial" w:hAnsi="Arial" w:cs="Arial"/>
        </w:rPr>
      </w:pPr>
    </w:p>
    <w:p w14:paraId="7AD1D0E4" w14:textId="77777777" w:rsidR="001F69F7" w:rsidRPr="001F69F7" w:rsidRDefault="001F69F7" w:rsidP="001F69F7">
      <w:pPr>
        <w:pStyle w:val="Body"/>
        <w:numPr>
          <w:ilvl w:val="0"/>
          <w:numId w:val="32"/>
        </w:numPr>
        <w:spacing w:after="0"/>
        <w:rPr>
          <w:rFonts w:ascii="Arial" w:hAnsi="Arial" w:cs="Arial"/>
        </w:rPr>
      </w:pPr>
      <w:r w:rsidRPr="001F69F7">
        <w:rPr>
          <w:rFonts w:ascii="Arial" w:hAnsi="Arial" w:cs="Arial"/>
          <w:b/>
          <w:bCs/>
        </w:rPr>
        <w:t>Identifying Power Blocks:</w:t>
      </w:r>
      <w:r w:rsidRPr="001F69F7">
        <w:rPr>
          <w:rFonts w:ascii="Arial" w:hAnsi="Arial" w:cs="Arial"/>
        </w:rPr>
        <w:t xml:space="preserve"> The research aims to identify both 'direct power blocks' (e.g., prohibitive costs of healthcare, restrictive visa policies) and 'indirect power blocks' (e.g., </w:t>
      </w:r>
      <w:proofErr w:type="spellStart"/>
      <w:r w:rsidRPr="001F69F7">
        <w:rPr>
          <w:rFonts w:ascii="Arial" w:hAnsi="Arial" w:cs="Arial"/>
        </w:rPr>
        <w:t>internalised</w:t>
      </w:r>
      <w:proofErr w:type="spellEnd"/>
      <w:r w:rsidRPr="001F69F7">
        <w:rPr>
          <w:rFonts w:ascii="Arial" w:hAnsi="Arial" w:cs="Arial"/>
        </w:rPr>
        <w:t xml:space="preserve"> stigma, feelings of hopelessness) that disempower Filipino workers from seeking </w:t>
      </w:r>
      <w:proofErr w:type="gramStart"/>
      <w:r w:rsidRPr="001F69F7">
        <w:rPr>
          <w:rFonts w:ascii="Arial" w:hAnsi="Arial" w:cs="Arial"/>
        </w:rPr>
        <w:t>help .</w:t>
      </w:r>
      <w:proofErr w:type="gramEnd"/>
    </w:p>
    <w:p w14:paraId="5E47B7A8" w14:textId="77777777" w:rsidR="001F69F7" w:rsidRPr="001F69F7" w:rsidRDefault="001F69F7" w:rsidP="001F69F7">
      <w:pPr>
        <w:pStyle w:val="Body"/>
        <w:numPr>
          <w:ilvl w:val="0"/>
          <w:numId w:val="32"/>
        </w:numPr>
        <w:spacing w:after="0"/>
        <w:rPr>
          <w:rFonts w:ascii="Arial" w:hAnsi="Arial" w:cs="Arial"/>
        </w:rPr>
      </w:pPr>
      <w:r w:rsidRPr="001F69F7">
        <w:rPr>
          <w:rFonts w:ascii="Arial" w:hAnsi="Arial" w:cs="Arial"/>
          <w:b/>
          <w:bCs/>
        </w:rPr>
        <w:t>Building Capacity:</w:t>
      </w:r>
      <w:r w:rsidRPr="001F69F7">
        <w:rPr>
          <w:rFonts w:ascii="Arial" w:hAnsi="Arial" w:cs="Arial"/>
        </w:rPr>
        <w:t xml:space="preserve"> The findings are intended not merely to describe a problem but to inform interventions that build community capacity. By understanding existing </w:t>
      </w:r>
      <w:r w:rsidRPr="001F69F7">
        <w:rPr>
          <w:rFonts w:ascii="Arial" w:hAnsi="Arial" w:cs="Arial"/>
        </w:rPr>
        <w:lastRenderedPageBreak/>
        <w:t xml:space="preserve">knowledge gaps (MHL) and community strengths (e.g., informal support networks), the research can guide the development of empowerment-based </w:t>
      </w:r>
      <w:proofErr w:type="spellStart"/>
      <w:r w:rsidRPr="001F69F7">
        <w:rPr>
          <w:rFonts w:ascii="Arial" w:hAnsi="Arial" w:cs="Arial"/>
        </w:rPr>
        <w:t>programmes</w:t>
      </w:r>
      <w:proofErr w:type="spellEnd"/>
      <w:r w:rsidRPr="001F69F7">
        <w:rPr>
          <w:rFonts w:ascii="Arial" w:hAnsi="Arial" w:cs="Arial"/>
        </w:rPr>
        <w:t xml:space="preserve"> that enhance self-efficacy, critical consciousness, and collective action ( </w:t>
      </w:r>
      <w:hyperlink r:id="rId28" w:tgtFrame="_blank" w:history="1">
        <w:r w:rsidRPr="001F69F7">
          <w:rPr>
            <w:rStyle w:val="Hyperlink"/>
            <w:rFonts w:ascii="Arial" w:hAnsi="Arial" w:cs="Arial"/>
            <w:color w:val="auto"/>
            <w:u w:val="none"/>
          </w:rPr>
          <w:t>Goodman et al., 1998</w:t>
        </w:r>
      </w:hyperlink>
      <w:r w:rsidRPr="001F69F7">
        <w:rPr>
          <w:rFonts w:ascii="Arial" w:hAnsi="Arial" w:cs="Arial"/>
        </w:rPr>
        <w:t>; </w:t>
      </w:r>
      <w:hyperlink r:id="rId29" w:tgtFrame="_blank" w:history="1">
        <w:r w:rsidRPr="001F69F7">
          <w:rPr>
            <w:rStyle w:val="Hyperlink"/>
            <w:rFonts w:ascii="Arial" w:hAnsi="Arial" w:cs="Arial"/>
            <w:color w:val="auto"/>
            <w:u w:val="none"/>
          </w:rPr>
          <w:t>Allen et al., 2024</w:t>
        </w:r>
      </w:hyperlink>
      <w:r w:rsidRPr="001F69F7">
        <w:rPr>
          <w:rFonts w:ascii="Arial" w:hAnsi="Arial" w:cs="Arial"/>
        </w:rPr>
        <w:t>)  .</w:t>
      </w:r>
    </w:p>
    <w:p w14:paraId="005D998D" w14:textId="77777777" w:rsidR="001F69F7" w:rsidRDefault="001F69F7" w:rsidP="001F69F7">
      <w:pPr>
        <w:pStyle w:val="Body"/>
        <w:spacing w:after="0"/>
        <w:rPr>
          <w:rFonts w:ascii="Arial" w:hAnsi="Arial" w:cs="Arial"/>
        </w:rPr>
      </w:pPr>
      <w:r w:rsidRPr="001F69F7">
        <w:rPr>
          <w:rFonts w:ascii="Arial" w:hAnsi="Arial" w:cs="Arial"/>
        </w:rPr>
        <w:t>Together, the Socio-Ecological Model provides the analytical map to locate the problems, while Empowerment Theory offers the philosophical compass to guide the study's ultimate purpose: to generate knowledge that can be used to dismantle barriers and empower the community.</w:t>
      </w:r>
    </w:p>
    <w:p w14:paraId="21D870D2" w14:textId="77777777" w:rsidR="001F69F7" w:rsidRPr="001F69F7" w:rsidRDefault="001F69F7" w:rsidP="001F69F7">
      <w:pPr>
        <w:pStyle w:val="Body"/>
        <w:spacing w:after="0"/>
        <w:rPr>
          <w:rFonts w:ascii="Arial" w:hAnsi="Arial" w:cs="Arial"/>
        </w:rPr>
      </w:pPr>
    </w:p>
    <w:p w14:paraId="076CDD6B" w14:textId="77777777" w:rsidR="001F69F7" w:rsidRDefault="001F69F7" w:rsidP="001F69F7">
      <w:pPr>
        <w:pStyle w:val="Body"/>
        <w:spacing w:after="0"/>
        <w:rPr>
          <w:rFonts w:ascii="Arial" w:hAnsi="Arial" w:cs="Arial"/>
          <w:b/>
          <w:bCs/>
        </w:rPr>
      </w:pPr>
      <w:r w:rsidRPr="001F69F7">
        <w:rPr>
          <w:rFonts w:ascii="Arial" w:hAnsi="Arial" w:cs="Arial"/>
          <w:b/>
          <w:bCs/>
        </w:rPr>
        <w:t>2.2. Defining Key Concepts</w:t>
      </w:r>
    </w:p>
    <w:p w14:paraId="76770B6A" w14:textId="77777777" w:rsidR="001F69F7" w:rsidRPr="001F69F7" w:rsidRDefault="001F69F7" w:rsidP="001F69F7">
      <w:pPr>
        <w:pStyle w:val="Body"/>
        <w:spacing w:after="0"/>
        <w:rPr>
          <w:rFonts w:ascii="Arial" w:hAnsi="Arial" w:cs="Arial"/>
          <w:b/>
          <w:bCs/>
        </w:rPr>
      </w:pPr>
    </w:p>
    <w:p w14:paraId="4FFDCE87" w14:textId="77777777" w:rsidR="001F69F7" w:rsidRDefault="001F69F7" w:rsidP="001F69F7">
      <w:pPr>
        <w:pStyle w:val="Body"/>
        <w:spacing w:after="0"/>
        <w:rPr>
          <w:rFonts w:ascii="Arial" w:hAnsi="Arial" w:cs="Arial"/>
          <w:b/>
          <w:bCs/>
        </w:rPr>
      </w:pPr>
      <w:r w:rsidRPr="001F69F7">
        <w:rPr>
          <w:rFonts w:ascii="Arial" w:hAnsi="Arial" w:cs="Arial"/>
          <w:b/>
          <w:bCs/>
        </w:rPr>
        <w:t>2.2.1. Mental Health Literacy (MHL)</w:t>
      </w:r>
    </w:p>
    <w:p w14:paraId="56E8F5F8" w14:textId="77777777" w:rsidR="001F69F7" w:rsidRPr="001F69F7" w:rsidRDefault="001F69F7" w:rsidP="001F69F7">
      <w:pPr>
        <w:pStyle w:val="Body"/>
        <w:spacing w:after="0"/>
        <w:rPr>
          <w:rFonts w:ascii="Arial" w:hAnsi="Arial" w:cs="Arial"/>
          <w:b/>
          <w:bCs/>
        </w:rPr>
      </w:pPr>
    </w:p>
    <w:p w14:paraId="42311EA2" w14:textId="77777777" w:rsidR="001F69F7" w:rsidRDefault="001F69F7" w:rsidP="001F69F7">
      <w:pPr>
        <w:pStyle w:val="Body"/>
        <w:spacing w:after="0"/>
        <w:rPr>
          <w:rFonts w:ascii="Arial" w:hAnsi="Arial" w:cs="Arial"/>
        </w:rPr>
      </w:pPr>
      <w:r w:rsidRPr="001F69F7">
        <w:rPr>
          <w:rFonts w:ascii="Arial" w:hAnsi="Arial" w:cs="Arial"/>
        </w:rPr>
        <w:t xml:space="preserve">Mental Health Literacy is a multifaceted concept that extends beyond the mere recognition of mental disorders. As defined by </w:t>
      </w:r>
      <w:proofErr w:type="spellStart"/>
      <w:r w:rsidRPr="001F69F7">
        <w:rPr>
          <w:rFonts w:ascii="Arial" w:hAnsi="Arial" w:cs="Arial"/>
        </w:rPr>
        <w:t>Jorm</w:t>
      </w:r>
      <w:proofErr w:type="spellEnd"/>
      <w:r w:rsidRPr="001F69F7">
        <w:rPr>
          <w:rFonts w:ascii="Arial" w:hAnsi="Arial" w:cs="Arial"/>
        </w:rPr>
        <w:t xml:space="preserve"> (2012), it comprises several key components: (a) the ability to </w:t>
      </w:r>
      <w:proofErr w:type="spellStart"/>
      <w:r w:rsidRPr="001F69F7">
        <w:rPr>
          <w:rFonts w:ascii="Arial" w:hAnsi="Arial" w:cs="Arial"/>
        </w:rPr>
        <w:t>recognise</w:t>
      </w:r>
      <w:proofErr w:type="spellEnd"/>
      <w:r w:rsidRPr="001F69F7">
        <w:rPr>
          <w:rFonts w:ascii="Arial" w:hAnsi="Arial" w:cs="Arial"/>
        </w:rPr>
        <w:t xml:space="preserve"> specific disorders or types of psychological distress; (b) knowledge and beliefs about risk factors and causes; (c) knowledge and beliefs about self-help interventions; (d) knowledge and beliefs about professional help available; (e) attitudes that facilitate recognition and appropriate help-seeking; and (f) knowledge of how to seek mental health information . For this study, MHL is </w:t>
      </w:r>
      <w:proofErr w:type="spellStart"/>
      <w:r w:rsidRPr="001F69F7">
        <w:rPr>
          <w:rFonts w:ascii="Arial" w:hAnsi="Arial" w:cs="Arial"/>
        </w:rPr>
        <w:t>operationalised</w:t>
      </w:r>
      <w:proofErr w:type="spellEnd"/>
      <w:r w:rsidRPr="001F69F7">
        <w:rPr>
          <w:rFonts w:ascii="Arial" w:hAnsi="Arial" w:cs="Arial"/>
        </w:rPr>
        <w:t xml:space="preserve"> using a validated instrument, such as the Mental Health Literacy Scale (MHLS), which assesses these </w:t>
      </w:r>
      <w:proofErr w:type="gramStart"/>
      <w:r w:rsidRPr="001F69F7">
        <w:rPr>
          <w:rFonts w:ascii="Arial" w:hAnsi="Arial" w:cs="Arial"/>
        </w:rPr>
        <w:t>dimensions .</w:t>
      </w:r>
      <w:proofErr w:type="gramEnd"/>
      <w:r w:rsidRPr="001F69F7">
        <w:rPr>
          <w:rFonts w:ascii="Arial" w:hAnsi="Arial" w:cs="Arial"/>
        </w:rPr>
        <w:t xml:space="preserve"> A culturally sensitive approach is vital, as literacy is not universal but is shaped by cultural interpretations of distress and </w:t>
      </w:r>
      <w:proofErr w:type="gramStart"/>
      <w:r w:rsidRPr="001F69F7">
        <w:rPr>
          <w:rFonts w:ascii="Arial" w:hAnsi="Arial" w:cs="Arial"/>
        </w:rPr>
        <w:t>wellbeing .</w:t>
      </w:r>
      <w:proofErr w:type="gramEnd"/>
    </w:p>
    <w:p w14:paraId="71710A22" w14:textId="77777777" w:rsidR="001F69F7" w:rsidRPr="001F69F7" w:rsidRDefault="001F69F7" w:rsidP="001F69F7">
      <w:pPr>
        <w:pStyle w:val="Body"/>
        <w:spacing w:after="0"/>
        <w:rPr>
          <w:rFonts w:ascii="Arial" w:hAnsi="Arial" w:cs="Arial"/>
        </w:rPr>
      </w:pPr>
    </w:p>
    <w:p w14:paraId="189EC007" w14:textId="77777777" w:rsidR="001F69F7" w:rsidRPr="001F69F7" w:rsidRDefault="001F69F7" w:rsidP="001F69F7">
      <w:pPr>
        <w:pStyle w:val="Body"/>
        <w:spacing w:after="0"/>
        <w:rPr>
          <w:rFonts w:ascii="Arial" w:hAnsi="Arial" w:cs="Arial"/>
          <w:b/>
          <w:bCs/>
        </w:rPr>
      </w:pPr>
      <w:r w:rsidRPr="001F69F7">
        <w:rPr>
          <w:rFonts w:ascii="Arial" w:hAnsi="Arial" w:cs="Arial"/>
          <w:b/>
          <w:bCs/>
        </w:rPr>
        <w:t>2.2.2. Help-Seeking Barriers</w:t>
      </w:r>
    </w:p>
    <w:p w14:paraId="1D3981D2" w14:textId="77777777" w:rsidR="001F69F7" w:rsidRDefault="001F69F7" w:rsidP="001F69F7">
      <w:pPr>
        <w:pStyle w:val="Body"/>
        <w:spacing w:after="0"/>
        <w:rPr>
          <w:rFonts w:ascii="Arial" w:hAnsi="Arial" w:cs="Arial"/>
        </w:rPr>
      </w:pPr>
      <w:r w:rsidRPr="001F69F7">
        <w:rPr>
          <w:rFonts w:ascii="Arial" w:hAnsi="Arial" w:cs="Arial"/>
        </w:rPr>
        <w:t xml:space="preserve">Help-seeking barriers are factors that impede an individual's willingness or ability to access formal psychological support. Drawing from extensive literature on Filipino and migrant populations, these barriers can be broadly </w:t>
      </w:r>
      <w:proofErr w:type="spellStart"/>
      <w:r w:rsidRPr="001F69F7">
        <w:rPr>
          <w:rFonts w:ascii="Arial" w:hAnsi="Arial" w:cs="Arial"/>
        </w:rPr>
        <w:t>categorised</w:t>
      </w:r>
      <w:proofErr w:type="spellEnd"/>
      <w:r w:rsidRPr="001F69F7">
        <w:rPr>
          <w:rFonts w:ascii="Arial" w:hAnsi="Arial" w:cs="Arial"/>
        </w:rPr>
        <w:t xml:space="preserve"> into two </w:t>
      </w:r>
      <w:proofErr w:type="gramStart"/>
      <w:r w:rsidRPr="001F69F7">
        <w:rPr>
          <w:rFonts w:ascii="Arial" w:hAnsi="Arial" w:cs="Arial"/>
        </w:rPr>
        <w:t>domains :</w:t>
      </w:r>
      <w:proofErr w:type="gramEnd"/>
    </w:p>
    <w:p w14:paraId="42360E62" w14:textId="77777777" w:rsidR="001F69F7" w:rsidRPr="001F69F7" w:rsidRDefault="001F69F7" w:rsidP="001F69F7">
      <w:pPr>
        <w:pStyle w:val="Body"/>
        <w:spacing w:after="0"/>
        <w:rPr>
          <w:rFonts w:ascii="Arial" w:hAnsi="Arial" w:cs="Arial"/>
        </w:rPr>
      </w:pPr>
    </w:p>
    <w:p w14:paraId="2ED2AF2D" w14:textId="77777777" w:rsidR="001F69F7" w:rsidRPr="001F69F7" w:rsidRDefault="001F69F7" w:rsidP="001F69F7">
      <w:pPr>
        <w:pStyle w:val="Body"/>
        <w:numPr>
          <w:ilvl w:val="0"/>
          <w:numId w:val="33"/>
        </w:numPr>
        <w:spacing w:after="0"/>
        <w:rPr>
          <w:rFonts w:ascii="Arial" w:hAnsi="Arial" w:cs="Arial"/>
        </w:rPr>
      </w:pPr>
      <w:r w:rsidRPr="001F69F7">
        <w:rPr>
          <w:rFonts w:ascii="Arial" w:hAnsi="Arial" w:cs="Arial"/>
          <w:b/>
          <w:bCs/>
        </w:rPr>
        <w:t>Structural Barriers:</w:t>
      </w:r>
      <w:r w:rsidRPr="001F69F7">
        <w:rPr>
          <w:rFonts w:ascii="Arial" w:hAnsi="Arial" w:cs="Arial"/>
        </w:rPr>
        <w:t xml:space="preserve"> These are systemic and practical obstacles external to the individual. They include financial constraints (high cost of services, lack of comprehensive health insurance), logistical issues (lack of time due to demanding work schedules, transportation difficulties), lack of awareness of available services, and language difficulties. For migrant workers, restrictive immigration status and fear of job loss if mental health issues are disclosed to </w:t>
      </w:r>
      <w:proofErr w:type="gramStart"/>
      <w:r w:rsidRPr="001F69F7">
        <w:rPr>
          <w:rFonts w:ascii="Arial" w:hAnsi="Arial" w:cs="Arial"/>
        </w:rPr>
        <w:t>employers</w:t>
      </w:r>
      <w:proofErr w:type="gramEnd"/>
      <w:r w:rsidRPr="001F69F7">
        <w:rPr>
          <w:rFonts w:ascii="Arial" w:hAnsi="Arial" w:cs="Arial"/>
        </w:rPr>
        <w:t xml:space="preserve"> are particularly potent structural </w:t>
      </w:r>
      <w:proofErr w:type="gramStart"/>
      <w:r w:rsidRPr="001F69F7">
        <w:rPr>
          <w:rFonts w:ascii="Arial" w:hAnsi="Arial" w:cs="Arial"/>
        </w:rPr>
        <w:t>barriers .</w:t>
      </w:r>
      <w:proofErr w:type="gramEnd"/>
    </w:p>
    <w:p w14:paraId="63972890" w14:textId="77777777" w:rsidR="001F69F7" w:rsidRDefault="001F69F7" w:rsidP="001F69F7">
      <w:pPr>
        <w:pStyle w:val="Body"/>
        <w:numPr>
          <w:ilvl w:val="0"/>
          <w:numId w:val="33"/>
        </w:numPr>
        <w:spacing w:after="0"/>
        <w:rPr>
          <w:rFonts w:ascii="Arial" w:hAnsi="Arial" w:cs="Arial"/>
        </w:rPr>
      </w:pPr>
      <w:r w:rsidRPr="001F69F7">
        <w:rPr>
          <w:rFonts w:ascii="Arial" w:hAnsi="Arial" w:cs="Arial"/>
          <w:b/>
          <w:bCs/>
        </w:rPr>
        <w:t>Attitudinal and Cultural Barriers:</w:t>
      </w:r>
      <w:r w:rsidRPr="001F69F7">
        <w:rPr>
          <w:rFonts w:ascii="Arial" w:hAnsi="Arial" w:cs="Arial"/>
        </w:rPr>
        <w:t xml:space="preserve"> These are </w:t>
      </w:r>
      <w:proofErr w:type="spellStart"/>
      <w:r w:rsidRPr="001F69F7">
        <w:rPr>
          <w:rFonts w:ascii="Arial" w:hAnsi="Arial" w:cs="Arial"/>
        </w:rPr>
        <w:t>internalised</w:t>
      </w:r>
      <w:proofErr w:type="spellEnd"/>
      <w:r w:rsidRPr="001F69F7">
        <w:rPr>
          <w:rFonts w:ascii="Arial" w:hAnsi="Arial" w:cs="Arial"/>
        </w:rPr>
        <w:t xml:space="preserve"> beliefs and cultural norms that discourage help-seeking. Key among these is stigma, which manifests as both self-stigma (</w:t>
      </w:r>
      <w:proofErr w:type="spellStart"/>
      <w:r w:rsidRPr="001F69F7">
        <w:rPr>
          <w:rFonts w:ascii="Arial" w:hAnsi="Arial" w:cs="Arial"/>
        </w:rPr>
        <w:t>internalised</w:t>
      </w:r>
      <w:proofErr w:type="spellEnd"/>
      <w:r w:rsidRPr="001F69F7">
        <w:rPr>
          <w:rFonts w:ascii="Arial" w:hAnsi="Arial" w:cs="Arial"/>
        </w:rPr>
        <w:t xml:space="preserve"> shame, fear of being labelled as 'crazy' or weak) and social stigma (fear of negative judgment from the community). Within the Filipino context, specific cultural values play a significant role. These include *'hiya'* (shame or loss of face), which makes personal problems difficult to disclose, and *'</w:t>
      </w:r>
      <w:proofErr w:type="spellStart"/>
      <w:r w:rsidRPr="001F69F7">
        <w:rPr>
          <w:rFonts w:ascii="Arial" w:hAnsi="Arial" w:cs="Arial"/>
        </w:rPr>
        <w:t>pakikisama</w:t>
      </w:r>
      <w:proofErr w:type="spellEnd"/>
      <w:r w:rsidRPr="001F69F7">
        <w:rPr>
          <w:rFonts w:ascii="Arial" w:hAnsi="Arial" w:cs="Arial"/>
        </w:rPr>
        <w:t xml:space="preserve">'* (maintaining group harmony), which can discourage actions that might cause worry or embarrassment to the family or </w:t>
      </w:r>
      <w:proofErr w:type="gramStart"/>
      <w:r w:rsidRPr="001F69F7">
        <w:rPr>
          <w:rFonts w:ascii="Arial" w:hAnsi="Arial" w:cs="Arial"/>
        </w:rPr>
        <w:t>community .</w:t>
      </w:r>
      <w:proofErr w:type="gramEnd"/>
      <w:r w:rsidRPr="001F69F7">
        <w:rPr>
          <w:rFonts w:ascii="Arial" w:hAnsi="Arial" w:cs="Arial"/>
        </w:rPr>
        <w:t xml:space="preserve"> Furthermore, a strong sense of self-reliance (*'</w:t>
      </w:r>
      <w:proofErr w:type="spellStart"/>
      <w:r w:rsidRPr="001F69F7">
        <w:rPr>
          <w:rFonts w:ascii="Arial" w:hAnsi="Arial" w:cs="Arial"/>
        </w:rPr>
        <w:t>sariling</w:t>
      </w:r>
      <w:proofErr w:type="spellEnd"/>
      <w:r w:rsidRPr="001F69F7">
        <w:rPr>
          <w:rFonts w:ascii="Arial" w:hAnsi="Arial" w:cs="Arial"/>
        </w:rPr>
        <w:t xml:space="preserve"> </w:t>
      </w:r>
      <w:proofErr w:type="spellStart"/>
      <w:r w:rsidRPr="001F69F7">
        <w:rPr>
          <w:rFonts w:ascii="Arial" w:hAnsi="Arial" w:cs="Arial"/>
        </w:rPr>
        <w:t>sikap</w:t>
      </w:r>
      <w:proofErr w:type="spellEnd"/>
      <w:r w:rsidRPr="001F69F7">
        <w:rPr>
          <w:rFonts w:ascii="Arial" w:hAnsi="Arial" w:cs="Arial"/>
        </w:rPr>
        <w:t xml:space="preserve">'*) and a tendency to turn to faith and prayer as primary coping mechanisms can delay or prevent engagement with formal mental health </w:t>
      </w:r>
      <w:proofErr w:type="gramStart"/>
      <w:r w:rsidRPr="001F69F7">
        <w:rPr>
          <w:rFonts w:ascii="Arial" w:hAnsi="Arial" w:cs="Arial"/>
        </w:rPr>
        <w:t>professionals .</w:t>
      </w:r>
      <w:proofErr w:type="gramEnd"/>
    </w:p>
    <w:p w14:paraId="38FC06A3" w14:textId="77777777" w:rsidR="001F69F7" w:rsidRPr="001F69F7" w:rsidRDefault="001F69F7" w:rsidP="001F69F7">
      <w:pPr>
        <w:pStyle w:val="Body"/>
        <w:spacing w:after="0"/>
        <w:ind w:left="720"/>
        <w:rPr>
          <w:rFonts w:ascii="Arial" w:hAnsi="Arial" w:cs="Arial"/>
        </w:rPr>
      </w:pPr>
    </w:p>
    <w:p w14:paraId="37976B64" w14:textId="77777777" w:rsidR="001F69F7" w:rsidRDefault="001F69F7" w:rsidP="001F69F7">
      <w:pPr>
        <w:pStyle w:val="Body"/>
        <w:spacing w:after="0"/>
        <w:rPr>
          <w:rFonts w:ascii="Arial" w:hAnsi="Arial" w:cs="Arial"/>
          <w:b/>
          <w:bCs/>
        </w:rPr>
      </w:pPr>
      <w:r w:rsidRPr="001F69F7">
        <w:rPr>
          <w:rFonts w:ascii="Arial" w:hAnsi="Arial" w:cs="Arial"/>
          <w:b/>
          <w:bCs/>
        </w:rPr>
        <w:t>2.3. Hypothesis Development</w:t>
      </w:r>
    </w:p>
    <w:p w14:paraId="46FF9C71" w14:textId="77777777" w:rsidR="001F69F7" w:rsidRPr="001F69F7" w:rsidRDefault="001F69F7" w:rsidP="001F69F7">
      <w:pPr>
        <w:pStyle w:val="Body"/>
        <w:spacing w:after="0"/>
        <w:rPr>
          <w:rFonts w:ascii="Arial" w:hAnsi="Arial" w:cs="Arial"/>
          <w:b/>
          <w:bCs/>
        </w:rPr>
      </w:pPr>
    </w:p>
    <w:p w14:paraId="57216EF8" w14:textId="77777777" w:rsidR="001F69F7" w:rsidRDefault="001F69F7" w:rsidP="001F69F7">
      <w:pPr>
        <w:pStyle w:val="Body"/>
        <w:spacing w:after="0"/>
        <w:rPr>
          <w:rFonts w:ascii="Arial" w:hAnsi="Arial" w:cs="Arial"/>
        </w:rPr>
      </w:pPr>
      <w:r w:rsidRPr="001F69F7">
        <w:rPr>
          <w:rFonts w:ascii="Arial" w:hAnsi="Arial" w:cs="Arial"/>
        </w:rPr>
        <w:t>Based on the theoretical frameworks and the existing literature, the following hypotheses were formulated to guide the quantitative component of this study:</w:t>
      </w:r>
    </w:p>
    <w:p w14:paraId="38AB0AB8" w14:textId="77777777" w:rsidR="001F69F7" w:rsidRPr="001F69F7" w:rsidRDefault="001F69F7" w:rsidP="001F69F7">
      <w:pPr>
        <w:pStyle w:val="Body"/>
        <w:spacing w:after="0"/>
        <w:rPr>
          <w:rFonts w:ascii="Arial" w:hAnsi="Arial" w:cs="Arial"/>
        </w:rPr>
      </w:pPr>
    </w:p>
    <w:p w14:paraId="14C6FA88" w14:textId="77777777" w:rsidR="001F69F7" w:rsidRPr="001F69F7" w:rsidRDefault="001F69F7" w:rsidP="001F69F7">
      <w:pPr>
        <w:pStyle w:val="Body"/>
        <w:spacing w:after="0"/>
        <w:rPr>
          <w:rFonts w:ascii="Arial" w:hAnsi="Arial" w:cs="Arial"/>
        </w:rPr>
      </w:pPr>
      <w:r w:rsidRPr="001F69F7">
        <w:rPr>
          <w:rFonts w:ascii="Arial" w:hAnsi="Arial" w:cs="Arial"/>
          <w:b/>
          <w:bCs/>
        </w:rPr>
        <w:lastRenderedPageBreak/>
        <w:t>Hypothesis 1 (H1):</w:t>
      </w:r>
      <w:r w:rsidRPr="001F69F7">
        <w:rPr>
          <w:rFonts w:ascii="Arial" w:hAnsi="Arial" w:cs="Arial"/>
        </w:rPr>
        <w:t> There is a significant negative relationship between mental health literacy scores and perceived help-seeking barriers among low-wage Filipino workers in the UAE.</w:t>
      </w:r>
    </w:p>
    <w:p w14:paraId="3085E409" w14:textId="77777777" w:rsidR="001F69F7" w:rsidRDefault="001F69F7" w:rsidP="001F69F7">
      <w:pPr>
        <w:pStyle w:val="Body"/>
        <w:spacing w:after="0"/>
        <w:rPr>
          <w:rFonts w:ascii="Arial" w:hAnsi="Arial" w:cs="Arial"/>
          <w:i/>
          <w:iCs/>
        </w:rPr>
      </w:pPr>
      <w:r w:rsidRPr="001F69F7">
        <w:rPr>
          <w:rFonts w:ascii="Arial" w:hAnsi="Arial" w:cs="Arial"/>
          <w:i/>
          <w:iCs/>
        </w:rPr>
        <w:t>Rationale: Individuals with higher MHL are expected to have a better understanding of mental health as a health issue rather than a moral failing, which should reduce self-</w:t>
      </w:r>
      <w:proofErr w:type="gramStart"/>
      <w:r w:rsidRPr="001F69F7">
        <w:rPr>
          <w:rFonts w:ascii="Arial" w:hAnsi="Arial" w:cs="Arial"/>
          <w:i/>
          <w:iCs/>
        </w:rPr>
        <w:t>stigma .</w:t>
      </w:r>
      <w:proofErr w:type="gramEnd"/>
      <w:r w:rsidRPr="001F69F7">
        <w:rPr>
          <w:rFonts w:ascii="Arial" w:hAnsi="Arial" w:cs="Arial"/>
          <w:i/>
          <w:iCs/>
        </w:rPr>
        <w:t xml:space="preserve"> They are also more likely to be aware of available resources and the benefits of professional help, thereby perceiving fewer barriers to access</w:t>
      </w:r>
      <w:r>
        <w:rPr>
          <w:rFonts w:ascii="Arial" w:hAnsi="Arial" w:cs="Arial"/>
          <w:i/>
          <w:iCs/>
        </w:rPr>
        <w:t xml:space="preserve">( </w:t>
      </w:r>
      <w:r w:rsidRPr="001F69F7">
        <w:rPr>
          <w:rFonts w:ascii="Arial" w:hAnsi="Arial" w:cs="Arial"/>
          <w:i/>
          <w:iCs/>
        </w:rPr>
        <w:t> </w:t>
      </w:r>
      <w:hyperlink r:id="rId30" w:tgtFrame="_blank" w:history="1">
        <w:r w:rsidRPr="001F69F7">
          <w:rPr>
            <w:rStyle w:val="Hyperlink"/>
            <w:rFonts w:ascii="Arial" w:hAnsi="Arial" w:cs="Arial"/>
            <w:i/>
            <w:iCs/>
            <w:color w:val="auto"/>
            <w:u w:val="none"/>
          </w:rPr>
          <w:t>Martinez et al., 2022</w:t>
        </w:r>
      </w:hyperlink>
      <w:r>
        <w:rPr>
          <w:rFonts w:ascii="Arial" w:hAnsi="Arial" w:cs="Arial"/>
        </w:rPr>
        <w:t xml:space="preserve"> )</w:t>
      </w:r>
      <w:r w:rsidRPr="001F69F7">
        <w:rPr>
          <w:rFonts w:ascii="Arial" w:hAnsi="Arial" w:cs="Arial"/>
          <w:i/>
          <w:iCs/>
        </w:rPr>
        <w:t>; .</w:t>
      </w:r>
    </w:p>
    <w:p w14:paraId="1B8A02B1" w14:textId="77777777" w:rsidR="001F69F7" w:rsidRPr="001F69F7" w:rsidRDefault="001F69F7" w:rsidP="001F69F7">
      <w:pPr>
        <w:pStyle w:val="Body"/>
        <w:spacing w:after="0"/>
        <w:rPr>
          <w:rFonts w:ascii="Arial" w:hAnsi="Arial" w:cs="Arial"/>
          <w:i/>
          <w:iCs/>
        </w:rPr>
      </w:pPr>
    </w:p>
    <w:p w14:paraId="1895F67A" w14:textId="77777777" w:rsidR="001F69F7" w:rsidRDefault="001F69F7" w:rsidP="001F69F7">
      <w:pPr>
        <w:pStyle w:val="Body"/>
        <w:spacing w:after="0"/>
        <w:rPr>
          <w:rFonts w:ascii="Arial" w:hAnsi="Arial" w:cs="Arial"/>
        </w:rPr>
      </w:pPr>
      <w:r w:rsidRPr="001F69F7">
        <w:rPr>
          <w:rFonts w:ascii="Arial" w:hAnsi="Arial" w:cs="Arial"/>
          <w:b/>
          <w:bCs/>
        </w:rPr>
        <w:t>Hypothesis 2 (H2):</w:t>
      </w:r>
      <w:r w:rsidRPr="001F69F7">
        <w:rPr>
          <w:rFonts w:ascii="Arial" w:hAnsi="Arial" w:cs="Arial"/>
        </w:rPr>
        <w:t> Socio-demographic variables, specifically length of stay in the UAE and occupation type, will be significant predictors of both mental health literacy and perceived barriers.</w:t>
      </w:r>
    </w:p>
    <w:p w14:paraId="4C1D664F" w14:textId="77777777" w:rsidR="001F69F7" w:rsidRPr="001F69F7" w:rsidRDefault="001F69F7" w:rsidP="001F69F7">
      <w:pPr>
        <w:pStyle w:val="Body"/>
        <w:spacing w:after="0"/>
        <w:rPr>
          <w:rFonts w:ascii="Arial" w:hAnsi="Arial" w:cs="Arial"/>
        </w:rPr>
      </w:pPr>
    </w:p>
    <w:p w14:paraId="1EEAC330" w14:textId="77777777" w:rsidR="001F69F7" w:rsidRDefault="001F69F7" w:rsidP="001F69F7">
      <w:pPr>
        <w:pStyle w:val="Body"/>
        <w:spacing w:after="0"/>
        <w:rPr>
          <w:rFonts w:ascii="Arial" w:hAnsi="Arial" w:cs="Arial"/>
          <w:i/>
          <w:iCs/>
        </w:rPr>
      </w:pPr>
      <w:r w:rsidRPr="001F69F7">
        <w:rPr>
          <w:rFonts w:ascii="Arial" w:hAnsi="Arial" w:cs="Arial"/>
          <w:i/>
          <w:iCs/>
        </w:rPr>
        <w:t xml:space="preserve">Rationale: Length of stay can be a proxy for acculturation; longer stays may lead to greater familiarity with the host country's health system and potentially higher </w:t>
      </w:r>
      <w:proofErr w:type="gramStart"/>
      <w:r w:rsidRPr="001F69F7">
        <w:rPr>
          <w:rFonts w:ascii="Arial" w:hAnsi="Arial" w:cs="Arial"/>
          <w:i/>
          <w:iCs/>
        </w:rPr>
        <w:t>MHL .</w:t>
      </w:r>
      <w:proofErr w:type="gramEnd"/>
      <w:r w:rsidRPr="001F69F7">
        <w:rPr>
          <w:rFonts w:ascii="Arial" w:hAnsi="Arial" w:cs="Arial"/>
          <w:i/>
          <w:iCs/>
        </w:rPr>
        <w:t xml:space="preserve"> Occupation type is linked to income and job precarity; workers in more vulnerable positions (e.g., domestic work) may perceive higher structural barriers (cost, lack of time) and face greater fear of job loss, independent of their MHL </w:t>
      </w:r>
      <w:proofErr w:type="gramStart"/>
      <w:r w:rsidRPr="001F69F7">
        <w:rPr>
          <w:rFonts w:ascii="Arial" w:hAnsi="Arial" w:cs="Arial"/>
          <w:i/>
          <w:iCs/>
        </w:rPr>
        <w:t>level .</w:t>
      </w:r>
      <w:proofErr w:type="gramEnd"/>
    </w:p>
    <w:p w14:paraId="2F4EBDCA" w14:textId="77777777" w:rsidR="001F69F7" w:rsidRPr="001F69F7" w:rsidRDefault="001F69F7" w:rsidP="001F69F7">
      <w:pPr>
        <w:pStyle w:val="Body"/>
        <w:spacing w:after="0"/>
        <w:rPr>
          <w:rFonts w:ascii="Arial" w:hAnsi="Arial" w:cs="Arial"/>
          <w:i/>
          <w:iCs/>
        </w:rPr>
      </w:pPr>
    </w:p>
    <w:p w14:paraId="7AD3AE71" w14:textId="77777777" w:rsidR="001F69F7" w:rsidRDefault="001F69F7" w:rsidP="001F69F7">
      <w:pPr>
        <w:pStyle w:val="Body"/>
        <w:spacing w:after="0"/>
        <w:rPr>
          <w:rFonts w:ascii="Arial" w:hAnsi="Arial" w:cs="Arial"/>
        </w:rPr>
      </w:pPr>
      <w:r w:rsidRPr="001F69F7">
        <w:rPr>
          <w:rFonts w:ascii="Arial" w:hAnsi="Arial" w:cs="Arial"/>
          <w:b/>
          <w:bCs/>
        </w:rPr>
        <w:t>Hypothesis 3 (H3):</w:t>
      </w:r>
      <w:r w:rsidRPr="001F69F7">
        <w:rPr>
          <w:rFonts w:ascii="Arial" w:hAnsi="Arial" w:cs="Arial"/>
        </w:rPr>
        <w:t> There will be a significant difference in the types of barriers reported between participants who primarily rely on informal support (family/friends/faith) and those who have previously considered or sought formal help.</w:t>
      </w:r>
    </w:p>
    <w:p w14:paraId="25D830DE" w14:textId="77777777" w:rsidR="001F69F7" w:rsidRPr="001F69F7" w:rsidRDefault="001F69F7" w:rsidP="001F69F7">
      <w:pPr>
        <w:pStyle w:val="Body"/>
        <w:spacing w:after="0"/>
        <w:rPr>
          <w:rFonts w:ascii="Arial" w:hAnsi="Arial" w:cs="Arial"/>
        </w:rPr>
      </w:pPr>
    </w:p>
    <w:p w14:paraId="71D78C63" w14:textId="77777777" w:rsidR="001F69F7" w:rsidRPr="001F69F7" w:rsidRDefault="001F69F7" w:rsidP="001F69F7">
      <w:pPr>
        <w:pStyle w:val="Body"/>
        <w:spacing w:after="0"/>
        <w:rPr>
          <w:rFonts w:ascii="Arial" w:hAnsi="Arial" w:cs="Arial"/>
          <w:i/>
          <w:iCs/>
        </w:rPr>
      </w:pPr>
      <w:r w:rsidRPr="001F69F7">
        <w:rPr>
          <w:rFonts w:ascii="Arial" w:hAnsi="Arial" w:cs="Arial"/>
          <w:i/>
          <w:iCs/>
        </w:rPr>
        <w:t xml:space="preserve">Rationale: It is posited that individuals who have not considered formal help may rate cultural and stigma-related barriers more highly, as these may be the primary </w:t>
      </w:r>
      <w:proofErr w:type="gramStart"/>
      <w:r w:rsidRPr="001F69F7">
        <w:rPr>
          <w:rFonts w:ascii="Arial" w:hAnsi="Arial" w:cs="Arial"/>
          <w:i/>
          <w:iCs/>
        </w:rPr>
        <w:t>deterrents .</w:t>
      </w:r>
      <w:proofErr w:type="gramEnd"/>
      <w:r w:rsidRPr="001F69F7">
        <w:rPr>
          <w:rFonts w:ascii="Arial" w:hAnsi="Arial" w:cs="Arial"/>
          <w:i/>
          <w:iCs/>
        </w:rPr>
        <w:t xml:space="preserve"> Conversely, those who have attempted to seek help may rate structural barriers (e.g., cost, availability) more highly, as they have encountered these practical obstacles firsthand. This aligns with the idea that barriers become more salient at different stages of the help-seeking </w:t>
      </w:r>
      <w:proofErr w:type="gramStart"/>
      <w:r w:rsidRPr="001F69F7">
        <w:rPr>
          <w:rFonts w:ascii="Arial" w:hAnsi="Arial" w:cs="Arial"/>
          <w:i/>
          <w:iCs/>
        </w:rPr>
        <w:t>process .</w:t>
      </w:r>
      <w:proofErr w:type="gramEnd"/>
    </w:p>
    <w:p w14:paraId="7531A6B3" w14:textId="77777777" w:rsidR="00B01FCD" w:rsidRDefault="00B01FCD" w:rsidP="00B95156">
      <w:pPr>
        <w:pStyle w:val="Body"/>
        <w:spacing w:after="0"/>
        <w:rPr>
          <w:rFonts w:ascii="Arial" w:hAnsi="Arial" w:cs="Arial"/>
        </w:rPr>
      </w:pPr>
    </w:p>
    <w:p w14:paraId="0CD5213C" w14:textId="77777777" w:rsidR="00790ADA" w:rsidRPr="00FB3A86" w:rsidRDefault="00790ADA" w:rsidP="00441B6F">
      <w:pPr>
        <w:pStyle w:val="Body"/>
        <w:spacing w:after="0"/>
        <w:rPr>
          <w:rFonts w:ascii="Arial" w:hAnsi="Arial" w:cs="Arial"/>
        </w:rPr>
      </w:pPr>
    </w:p>
    <w:p w14:paraId="6768A62E" w14:textId="77777777" w:rsidR="007F7B32" w:rsidRPr="009D7A19" w:rsidRDefault="009D7A19" w:rsidP="00441B6F">
      <w:pPr>
        <w:pStyle w:val="AbstHead"/>
        <w:spacing w:after="0"/>
        <w:jc w:val="both"/>
        <w:rPr>
          <w:rFonts w:ascii="Arial" w:hAnsi="Arial" w:cs="Arial"/>
        </w:rPr>
      </w:pPr>
      <w:r w:rsidRPr="009D7A19">
        <w:rPr>
          <w:rFonts w:ascii="Arial" w:hAnsi="Arial" w:cs="Arial"/>
        </w:rPr>
        <w:t>3</w:t>
      </w:r>
      <w:r w:rsidR="00902823" w:rsidRPr="009D7A19">
        <w:rPr>
          <w:rFonts w:ascii="Arial" w:hAnsi="Arial" w:cs="Arial"/>
        </w:rPr>
        <w:t>. material and method</w:t>
      </w:r>
      <w:r w:rsidRPr="009D7A19">
        <w:rPr>
          <w:rFonts w:ascii="Arial" w:hAnsi="Arial" w:cs="Arial"/>
        </w:rPr>
        <w:t>s</w:t>
      </w:r>
    </w:p>
    <w:p w14:paraId="34BC1312" w14:textId="77777777" w:rsidR="00790ADA" w:rsidRPr="009D7A19" w:rsidRDefault="00790ADA" w:rsidP="00441B6F">
      <w:pPr>
        <w:pStyle w:val="AbstHead"/>
        <w:spacing w:after="0"/>
        <w:jc w:val="both"/>
        <w:rPr>
          <w:rFonts w:ascii="Arial" w:hAnsi="Arial" w:cs="Arial"/>
        </w:rPr>
      </w:pPr>
    </w:p>
    <w:p w14:paraId="2E3463A5"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3.1. Research Design</w:t>
      </w:r>
    </w:p>
    <w:p w14:paraId="2ADF7D12" w14:textId="77777777" w:rsidR="009D7A19" w:rsidRPr="009D7A19" w:rsidRDefault="009D7A19" w:rsidP="009D7A19">
      <w:pPr>
        <w:pStyle w:val="Body"/>
        <w:spacing w:after="0"/>
        <w:rPr>
          <w:rFonts w:ascii="Arial" w:eastAsia="Calibri" w:hAnsi="Arial" w:cs="Arial"/>
          <w:b/>
          <w:bCs/>
          <w:szCs w:val="22"/>
        </w:rPr>
      </w:pPr>
    </w:p>
    <w:p w14:paraId="5ACDE3FE"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This study employed a **concurrent triangulated mixed-methods design*</w:t>
      </w:r>
      <w:proofErr w:type="gramStart"/>
      <w:r w:rsidRPr="009D7A19">
        <w:rPr>
          <w:rFonts w:ascii="Arial" w:eastAsia="Calibri" w:hAnsi="Arial" w:cs="Arial"/>
          <w:szCs w:val="22"/>
        </w:rPr>
        <w:t>* .</w:t>
      </w:r>
      <w:proofErr w:type="gramEnd"/>
      <w:r w:rsidRPr="009D7A19">
        <w:rPr>
          <w:rFonts w:ascii="Arial" w:eastAsia="Calibri" w:hAnsi="Arial" w:cs="Arial"/>
          <w:szCs w:val="22"/>
        </w:rPr>
        <w:t xml:space="preserve"> This approach involves the simultaneous collection of quantitative (survey) and qualitative (focus group) data, with both data types given equal priority during the analysis and interpretation </w:t>
      </w:r>
      <w:proofErr w:type="gramStart"/>
      <w:r w:rsidRPr="009D7A19">
        <w:rPr>
          <w:rFonts w:ascii="Arial" w:eastAsia="Calibri" w:hAnsi="Arial" w:cs="Arial"/>
          <w:szCs w:val="22"/>
        </w:rPr>
        <w:t>phases .</w:t>
      </w:r>
      <w:proofErr w:type="gramEnd"/>
      <w:r w:rsidRPr="009D7A19">
        <w:rPr>
          <w:rFonts w:ascii="Arial" w:eastAsia="Calibri" w:hAnsi="Arial" w:cs="Arial"/>
          <w:szCs w:val="22"/>
        </w:rPr>
        <w:t xml:space="preserve"> The primary rationale for this design is **triangulation**—the process of using different methods to examine the same phenomenon to enhance the credibility and validity of the findings. By integrating the quantitative results (the 'what') with the rich, contextual qualitative insights (the 'why' and 'how'), the study aimed to achieve a more comprehensive, nuanced, and holistic understanding of MHL and help-seeking barriers than either method could provide alone ( </w:t>
      </w:r>
      <w:hyperlink r:id="rId31" w:tgtFrame="_blank" w:history="1">
        <w:r w:rsidRPr="009D7A19">
          <w:rPr>
            <w:rStyle w:val="Hyperlink"/>
            <w:rFonts w:ascii="Arial" w:eastAsia="Calibri" w:hAnsi="Arial" w:cs="Arial"/>
            <w:color w:val="auto"/>
            <w:szCs w:val="22"/>
            <w:u w:val="none"/>
          </w:rPr>
          <w:t>Fetters et al., 2013</w:t>
        </w:r>
      </w:hyperlink>
      <w:r w:rsidRPr="009D7A19">
        <w:rPr>
          <w:rFonts w:ascii="Arial" w:eastAsia="Calibri" w:hAnsi="Arial" w:cs="Arial"/>
          <w:szCs w:val="22"/>
        </w:rPr>
        <w:t>; </w:t>
      </w:r>
      <w:hyperlink r:id="rId32" w:tgtFrame="_blank" w:history="1">
        <w:r w:rsidRPr="009D7A19">
          <w:rPr>
            <w:rStyle w:val="Hyperlink"/>
            <w:rFonts w:ascii="Arial" w:eastAsia="Calibri" w:hAnsi="Arial" w:cs="Arial"/>
            <w:color w:val="auto"/>
            <w:szCs w:val="22"/>
            <w:u w:val="none"/>
          </w:rPr>
          <w:t>Guetterman et al., 2015</w:t>
        </w:r>
      </w:hyperlink>
      <w:r w:rsidRPr="009D7A19">
        <w:rPr>
          <w:rFonts w:ascii="Arial" w:eastAsia="Calibri" w:hAnsi="Arial" w:cs="Arial"/>
          <w:szCs w:val="22"/>
        </w:rPr>
        <w:t>)  </w:t>
      </w:r>
    </w:p>
    <w:p w14:paraId="27B079EA"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w:t>
      </w:r>
    </w:p>
    <w:p w14:paraId="3841DC67"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3.2. Participants and Locale</w:t>
      </w:r>
    </w:p>
    <w:p w14:paraId="51B11F74" w14:textId="77777777" w:rsidR="009D7A19" w:rsidRDefault="009D7A19" w:rsidP="009D7A19">
      <w:pPr>
        <w:pStyle w:val="Body"/>
        <w:spacing w:after="0"/>
        <w:rPr>
          <w:rFonts w:ascii="Arial" w:eastAsia="Calibri" w:hAnsi="Arial" w:cs="Arial"/>
          <w:szCs w:val="22"/>
        </w:rPr>
      </w:pPr>
      <w:r w:rsidRPr="009D7A19">
        <w:rPr>
          <w:rFonts w:ascii="Arial" w:eastAsia="Calibri" w:hAnsi="Arial" w:cs="Arial"/>
          <w:szCs w:val="22"/>
        </w:rPr>
        <w:t>The research was conducted in the United Arab Emirates, a country with a large population of Filipino migrant workers. The target population was defined as low-wage Filipino workers currently residing and employed in the UAE. "Low-wage" was operationally defined as individuals employed in sectors such as domestic work, construction, retail, hospitality, and other service industries, typically earning below a certain monthly income threshold reflective of these roles.</w:t>
      </w:r>
    </w:p>
    <w:p w14:paraId="13107C49" w14:textId="77777777" w:rsidR="009D7A19" w:rsidRPr="009D7A19" w:rsidRDefault="009D7A19" w:rsidP="009D7A19">
      <w:pPr>
        <w:pStyle w:val="Body"/>
        <w:spacing w:after="0"/>
        <w:rPr>
          <w:rFonts w:ascii="Arial" w:eastAsia="Calibri" w:hAnsi="Arial" w:cs="Arial"/>
          <w:szCs w:val="22"/>
        </w:rPr>
      </w:pPr>
    </w:p>
    <w:p w14:paraId="7A7CB982" w14:textId="77777777" w:rsid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A non-probability sampling strategy, combining **purposive and snowball sampling**, was </w:t>
      </w:r>
      <w:proofErr w:type="spellStart"/>
      <w:r w:rsidRPr="009D7A19">
        <w:rPr>
          <w:rFonts w:ascii="Arial" w:eastAsia="Calibri" w:hAnsi="Arial" w:cs="Arial"/>
          <w:szCs w:val="22"/>
        </w:rPr>
        <w:t>utilised</w:t>
      </w:r>
      <w:proofErr w:type="spellEnd"/>
      <w:r w:rsidRPr="009D7A19">
        <w:rPr>
          <w:rFonts w:ascii="Arial" w:eastAsia="Calibri" w:hAnsi="Arial" w:cs="Arial"/>
          <w:szCs w:val="22"/>
        </w:rPr>
        <w:t xml:space="preserve">. This method was deemed most appropriate for reaching this specific, and often hard-to-access, </w:t>
      </w:r>
      <w:proofErr w:type="gramStart"/>
      <w:r w:rsidRPr="009D7A19">
        <w:rPr>
          <w:rFonts w:ascii="Arial" w:eastAsia="Calibri" w:hAnsi="Arial" w:cs="Arial"/>
          <w:szCs w:val="22"/>
        </w:rPr>
        <w:t>population .</w:t>
      </w:r>
      <w:proofErr w:type="gramEnd"/>
      <w:r w:rsidRPr="009D7A19">
        <w:rPr>
          <w:rFonts w:ascii="Arial" w:eastAsia="Calibri" w:hAnsi="Arial" w:cs="Arial"/>
          <w:szCs w:val="22"/>
        </w:rPr>
        <w:t xml:space="preserve"> Initial participants were recruited through Filipino community </w:t>
      </w:r>
      <w:proofErr w:type="spellStart"/>
      <w:r w:rsidRPr="009D7A19">
        <w:rPr>
          <w:rFonts w:ascii="Arial" w:eastAsia="Calibri" w:hAnsi="Arial" w:cs="Arial"/>
          <w:szCs w:val="22"/>
        </w:rPr>
        <w:lastRenderedPageBreak/>
        <w:t>organisations</w:t>
      </w:r>
      <w:proofErr w:type="spellEnd"/>
      <w:r w:rsidRPr="009D7A19">
        <w:rPr>
          <w:rFonts w:ascii="Arial" w:eastAsia="Calibri" w:hAnsi="Arial" w:cs="Arial"/>
          <w:szCs w:val="22"/>
        </w:rPr>
        <w:t>, social clubs, and faith-based groups. These participants were then asked to refer other eligible individuals from their networks.</w:t>
      </w:r>
    </w:p>
    <w:p w14:paraId="1DE5AAE3" w14:textId="77777777" w:rsidR="009D7A19" w:rsidRPr="009D7A19" w:rsidRDefault="009D7A19" w:rsidP="009D7A19">
      <w:pPr>
        <w:pStyle w:val="Body"/>
        <w:spacing w:after="0"/>
        <w:rPr>
          <w:rFonts w:ascii="Arial" w:eastAsia="Calibri" w:hAnsi="Arial" w:cs="Arial"/>
          <w:szCs w:val="22"/>
        </w:rPr>
      </w:pPr>
    </w:p>
    <w:p w14:paraId="0ED98748" w14:textId="77777777" w:rsid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The final sample consisted of **200 participants for the quantitative survey** and **28 participants for the qualitative focus groups**. The focus groups were </w:t>
      </w:r>
      <w:proofErr w:type="spellStart"/>
      <w:r w:rsidRPr="009D7A19">
        <w:rPr>
          <w:rFonts w:ascii="Arial" w:eastAsia="Calibri" w:hAnsi="Arial" w:cs="Arial"/>
          <w:szCs w:val="22"/>
        </w:rPr>
        <w:t>organised</w:t>
      </w:r>
      <w:proofErr w:type="spellEnd"/>
      <w:r w:rsidRPr="009D7A19">
        <w:rPr>
          <w:rFonts w:ascii="Arial" w:eastAsia="Calibri" w:hAnsi="Arial" w:cs="Arial"/>
          <w:szCs w:val="22"/>
        </w:rPr>
        <w:t xml:space="preserve"> into four separate sessions, with 6 to 8 participants in each, a size conducive to rich discussion and ensuring all voices could be heard. This sample size for the focus groups was determined by the principle of data saturation, where no new significant themes were emerging from the discussions.</w:t>
      </w:r>
    </w:p>
    <w:p w14:paraId="4A278D34" w14:textId="77777777" w:rsidR="009D7A19" w:rsidRPr="009D7A19" w:rsidRDefault="009D7A19" w:rsidP="009D7A19">
      <w:pPr>
        <w:pStyle w:val="Body"/>
        <w:spacing w:after="0"/>
        <w:rPr>
          <w:rFonts w:ascii="Arial" w:eastAsia="Calibri" w:hAnsi="Arial" w:cs="Arial"/>
          <w:szCs w:val="22"/>
        </w:rPr>
      </w:pPr>
    </w:p>
    <w:p w14:paraId="6A60D8A2" w14:textId="77777777" w:rsidR="009D7A19" w:rsidRDefault="009D7A19" w:rsidP="009D7A19">
      <w:pPr>
        <w:pStyle w:val="Body"/>
        <w:spacing w:after="0"/>
        <w:rPr>
          <w:rFonts w:ascii="Arial" w:eastAsia="Calibri" w:hAnsi="Arial" w:cs="Arial"/>
          <w:szCs w:val="22"/>
        </w:rPr>
      </w:pPr>
      <w:r w:rsidRPr="009D7A19">
        <w:rPr>
          <w:rFonts w:ascii="Arial" w:eastAsia="Calibri" w:hAnsi="Arial" w:cs="Arial"/>
          <w:szCs w:val="22"/>
        </w:rPr>
        <w:t>Inclusion criteria for participation were: (1) holding Filipino citizenship; (2) being currently employed in a low-wage sector in the UAE; (3) being 18 years of age or older; and (4) having resided in the UAE for a minimum of one year to ensure some experience of the local context.</w:t>
      </w:r>
    </w:p>
    <w:p w14:paraId="2063A967" w14:textId="77777777" w:rsidR="009D7A19" w:rsidRPr="009D7A19" w:rsidRDefault="009D7A19" w:rsidP="009D7A19">
      <w:pPr>
        <w:pStyle w:val="Body"/>
        <w:spacing w:after="0"/>
        <w:rPr>
          <w:rFonts w:ascii="Arial" w:eastAsia="Calibri" w:hAnsi="Arial" w:cs="Arial"/>
          <w:szCs w:val="22"/>
        </w:rPr>
      </w:pPr>
    </w:p>
    <w:p w14:paraId="2A669322" w14:textId="77777777" w:rsid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3.3. Data Collection Instruments</w:t>
      </w:r>
    </w:p>
    <w:p w14:paraId="3C275A77" w14:textId="77777777" w:rsidR="009D7A19" w:rsidRPr="009D7A19" w:rsidRDefault="009D7A19" w:rsidP="009D7A19">
      <w:pPr>
        <w:pStyle w:val="Body"/>
        <w:spacing w:after="0"/>
        <w:rPr>
          <w:rFonts w:ascii="Arial" w:eastAsia="Calibri" w:hAnsi="Arial" w:cs="Arial"/>
          <w:b/>
          <w:bCs/>
          <w:szCs w:val="22"/>
        </w:rPr>
      </w:pPr>
    </w:p>
    <w:p w14:paraId="4CC65C46" w14:textId="77777777" w:rsid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3.3.1. Survey Questionnaire</w:t>
      </w:r>
    </w:p>
    <w:p w14:paraId="70CEC97C" w14:textId="77777777" w:rsidR="009D7A19" w:rsidRPr="009D7A19" w:rsidRDefault="009D7A19" w:rsidP="009D7A19">
      <w:pPr>
        <w:pStyle w:val="Body"/>
        <w:spacing w:after="0"/>
        <w:rPr>
          <w:rFonts w:ascii="Arial" w:eastAsia="Calibri" w:hAnsi="Arial" w:cs="Arial"/>
          <w:b/>
          <w:bCs/>
          <w:szCs w:val="22"/>
        </w:rPr>
      </w:pPr>
    </w:p>
    <w:p w14:paraId="48149501"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A structured, self-administered questionnaire was developed in both English and Filipino (Tagalog) to ensure clarity and accessibility. The questionnaire comprised three sections:</w:t>
      </w:r>
    </w:p>
    <w:p w14:paraId="58A5240C" w14:textId="77777777" w:rsidR="009D7A19" w:rsidRPr="009D7A19" w:rsidRDefault="009D7A19" w:rsidP="009D7A19">
      <w:pPr>
        <w:pStyle w:val="Body"/>
        <w:numPr>
          <w:ilvl w:val="0"/>
          <w:numId w:val="34"/>
        </w:numPr>
        <w:spacing w:after="0"/>
        <w:rPr>
          <w:rFonts w:ascii="Arial" w:eastAsia="Calibri" w:hAnsi="Arial" w:cs="Arial"/>
          <w:szCs w:val="22"/>
        </w:rPr>
      </w:pPr>
      <w:r w:rsidRPr="009D7A19">
        <w:rPr>
          <w:rFonts w:ascii="Arial" w:eastAsia="Calibri" w:hAnsi="Arial" w:cs="Arial"/>
          <w:b/>
          <w:bCs/>
          <w:szCs w:val="22"/>
        </w:rPr>
        <w:t>Part A: Socio-Demographic Information:</w:t>
      </w:r>
      <w:r w:rsidRPr="009D7A19">
        <w:rPr>
          <w:rFonts w:ascii="Arial" w:eastAsia="Calibri" w:hAnsi="Arial" w:cs="Arial"/>
          <w:szCs w:val="22"/>
        </w:rPr>
        <w:t> This section collected data on participants' age, gender, civil status, highest educational attainment, occupation, monthly income bracket, and length of stay in the UAE.</w:t>
      </w:r>
    </w:p>
    <w:p w14:paraId="5264D4A6" w14:textId="77777777" w:rsidR="009D7A19" w:rsidRPr="009D7A19" w:rsidRDefault="009D7A19" w:rsidP="009D7A19">
      <w:pPr>
        <w:pStyle w:val="Body"/>
        <w:numPr>
          <w:ilvl w:val="0"/>
          <w:numId w:val="34"/>
        </w:numPr>
        <w:spacing w:after="0"/>
        <w:rPr>
          <w:rFonts w:ascii="Arial" w:eastAsia="Calibri" w:hAnsi="Arial" w:cs="Arial"/>
          <w:szCs w:val="22"/>
        </w:rPr>
      </w:pPr>
      <w:r w:rsidRPr="009D7A19">
        <w:rPr>
          <w:rFonts w:ascii="Arial" w:eastAsia="Calibri" w:hAnsi="Arial" w:cs="Arial"/>
          <w:b/>
          <w:bCs/>
          <w:szCs w:val="22"/>
        </w:rPr>
        <w:t>Part B: Mental Health Literacy Scale (MHLS):</w:t>
      </w:r>
      <w:r w:rsidRPr="009D7A19">
        <w:rPr>
          <w:rFonts w:ascii="Arial" w:eastAsia="Calibri" w:hAnsi="Arial" w:cs="Arial"/>
          <w:szCs w:val="22"/>
        </w:rPr>
        <w:t xml:space="preserve"> The 35-item MHLS developed by O'Connor et al. (2015) was used to assess participants' ability to </w:t>
      </w:r>
      <w:proofErr w:type="spellStart"/>
      <w:r w:rsidRPr="009D7A19">
        <w:rPr>
          <w:rFonts w:ascii="Arial" w:eastAsia="Calibri" w:hAnsi="Arial" w:cs="Arial"/>
          <w:szCs w:val="22"/>
        </w:rPr>
        <w:t>recognise</w:t>
      </w:r>
      <w:proofErr w:type="spellEnd"/>
      <w:r w:rsidRPr="009D7A19">
        <w:rPr>
          <w:rFonts w:ascii="Arial" w:eastAsia="Calibri" w:hAnsi="Arial" w:cs="Arial"/>
          <w:szCs w:val="22"/>
        </w:rPr>
        <w:t xml:space="preserve"> mental health problems, their knowledge of risk factors and professional help, and their attitudes towards mental </w:t>
      </w:r>
      <w:proofErr w:type="gramStart"/>
      <w:r w:rsidRPr="009D7A19">
        <w:rPr>
          <w:rFonts w:ascii="Arial" w:eastAsia="Calibri" w:hAnsi="Arial" w:cs="Arial"/>
          <w:szCs w:val="22"/>
        </w:rPr>
        <w:t>illness .</w:t>
      </w:r>
      <w:proofErr w:type="gramEnd"/>
      <w:r w:rsidRPr="009D7A19">
        <w:rPr>
          <w:rFonts w:ascii="Arial" w:eastAsia="Calibri" w:hAnsi="Arial" w:cs="Arial"/>
          <w:szCs w:val="22"/>
        </w:rPr>
        <w:t xml:space="preserve"> The scale has demonstrated good psychometric properties in previous studies. For this study, the scale yielded high internal consistency, with a Cronbach’s alpha coefficient of **α = .87**.</w:t>
      </w:r>
    </w:p>
    <w:p w14:paraId="013EBA8D" w14:textId="77777777" w:rsidR="009D7A19" w:rsidRPr="009D7A19" w:rsidRDefault="009D7A19" w:rsidP="009D7A19">
      <w:pPr>
        <w:pStyle w:val="Body"/>
        <w:numPr>
          <w:ilvl w:val="0"/>
          <w:numId w:val="34"/>
        </w:numPr>
        <w:spacing w:after="0"/>
        <w:rPr>
          <w:rFonts w:ascii="Arial" w:eastAsia="Calibri" w:hAnsi="Arial" w:cs="Arial"/>
          <w:szCs w:val="22"/>
        </w:rPr>
      </w:pPr>
      <w:r w:rsidRPr="009D7A19">
        <w:rPr>
          <w:rFonts w:ascii="Arial" w:eastAsia="Calibri" w:hAnsi="Arial" w:cs="Arial"/>
          <w:b/>
          <w:bCs/>
          <w:szCs w:val="22"/>
        </w:rPr>
        <w:t>Part C: Barriers to Seeking Help Scale:</w:t>
      </w:r>
      <w:r w:rsidRPr="009D7A19">
        <w:rPr>
          <w:rFonts w:ascii="Arial" w:eastAsia="Calibri" w:hAnsi="Arial" w:cs="Arial"/>
          <w:szCs w:val="22"/>
        </w:rPr>
        <w:t> A 20-item scale was adapted from the Barriers to Seeking Help Questionnaire (BSHQ) and previous literature on Filipino help-</w:t>
      </w:r>
      <w:proofErr w:type="gramStart"/>
      <w:r w:rsidRPr="009D7A19">
        <w:rPr>
          <w:rFonts w:ascii="Arial" w:eastAsia="Calibri" w:hAnsi="Arial" w:cs="Arial"/>
          <w:szCs w:val="22"/>
        </w:rPr>
        <w:t>seeking .</w:t>
      </w:r>
      <w:proofErr w:type="gramEnd"/>
      <w:r w:rsidRPr="009D7A19">
        <w:rPr>
          <w:rFonts w:ascii="Arial" w:eastAsia="Calibri" w:hAnsi="Arial" w:cs="Arial"/>
          <w:szCs w:val="22"/>
        </w:rPr>
        <w:t xml:space="preserve"> The scale measured perceived barriers across several domains, including stigma, financial constraints, and lack of knowledge. Participants rated each item on a 5-point Likert scale from 'Strongly Disagree' to 'Strongly Agree'. The scale demonstrated excellent internal consistency in this study, with a Cronbach’s alpha of **α = .91**.</w:t>
      </w:r>
    </w:p>
    <w:p w14:paraId="5E876952"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3.3.2. Focus Group Discussion (FGD) Protocol</w:t>
      </w:r>
    </w:p>
    <w:p w14:paraId="0BE04E2D"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A semi-structured interview guide was developed to facilitate the focus group discussions. The guide was designed to elicit in-depth narratives and explore themes emerging from the research questions and theoretical </w:t>
      </w:r>
      <w:proofErr w:type="gramStart"/>
      <w:r w:rsidRPr="009D7A19">
        <w:rPr>
          <w:rFonts w:ascii="Arial" w:eastAsia="Calibri" w:hAnsi="Arial" w:cs="Arial"/>
          <w:szCs w:val="22"/>
        </w:rPr>
        <w:t>framework .</w:t>
      </w:r>
      <w:proofErr w:type="gramEnd"/>
      <w:r w:rsidRPr="009D7A19">
        <w:rPr>
          <w:rFonts w:ascii="Arial" w:eastAsia="Calibri" w:hAnsi="Arial" w:cs="Arial"/>
          <w:szCs w:val="22"/>
        </w:rPr>
        <w:t xml:space="preserve"> The questions were open-ended to encourage spontaneous and detailed responses. Sample probes included:</w:t>
      </w:r>
    </w:p>
    <w:p w14:paraId="3723DC0E" w14:textId="77777777" w:rsidR="009D7A19" w:rsidRPr="009D7A19" w:rsidRDefault="009D7A19" w:rsidP="009D7A19">
      <w:pPr>
        <w:pStyle w:val="Body"/>
        <w:numPr>
          <w:ilvl w:val="0"/>
          <w:numId w:val="35"/>
        </w:numPr>
        <w:spacing w:after="0"/>
        <w:rPr>
          <w:rFonts w:ascii="Arial" w:eastAsia="Calibri" w:hAnsi="Arial" w:cs="Arial"/>
          <w:szCs w:val="22"/>
        </w:rPr>
      </w:pPr>
      <w:r w:rsidRPr="009D7A19">
        <w:rPr>
          <w:rFonts w:ascii="Arial" w:eastAsia="Calibri" w:hAnsi="Arial" w:cs="Arial"/>
          <w:i/>
          <w:iCs/>
          <w:szCs w:val="22"/>
        </w:rPr>
        <w:t>"Could you share your thoughts on what 'mental health' or 'wellbeing' means to you and your community here in the UAE?"</w:t>
      </w:r>
    </w:p>
    <w:p w14:paraId="75BDD867" w14:textId="77777777" w:rsidR="009D7A19" w:rsidRPr="009D7A19" w:rsidRDefault="009D7A19" w:rsidP="009D7A19">
      <w:pPr>
        <w:pStyle w:val="Body"/>
        <w:numPr>
          <w:ilvl w:val="0"/>
          <w:numId w:val="35"/>
        </w:numPr>
        <w:spacing w:after="0"/>
        <w:rPr>
          <w:rFonts w:ascii="Arial" w:eastAsia="Calibri" w:hAnsi="Arial" w:cs="Arial"/>
          <w:szCs w:val="22"/>
        </w:rPr>
      </w:pPr>
      <w:r w:rsidRPr="009D7A19">
        <w:rPr>
          <w:rFonts w:ascii="Arial" w:eastAsia="Calibri" w:hAnsi="Arial" w:cs="Arial"/>
          <w:i/>
          <w:iCs/>
          <w:szCs w:val="22"/>
        </w:rPr>
        <w:t>"What are some of the common stressors or '</w:t>
      </w:r>
      <w:proofErr w:type="spellStart"/>
      <w:r w:rsidRPr="009D7A19">
        <w:rPr>
          <w:rFonts w:ascii="Arial" w:eastAsia="Calibri" w:hAnsi="Arial" w:cs="Arial"/>
          <w:i/>
          <w:iCs/>
          <w:szCs w:val="22"/>
        </w:rPr>
        <w:t>mabigat</w:t>
      </w:r>
      <w:proofErr w:type="spellEnd"/>
      <w:r w:rsidRPr="009D7A19">
        <w:rPr>
          <w:rFonts w:ascii="Arial" w:eastAsia="Calibri" w:hAnsi="Arial" w:cs="Arial"/>
          <w:i/>
          <w:iCs/>
          <w:szCs w:val="22"/>
        </w:rPr>
        <w:t xml:space="preserve"> </w:t>
      </w:r>
      <w:proofErr w:type="spellStart"/>
      <w:r w:rsidRPr="009D7A19">
        <w:rPr>
          <w:rFonts w:ascii="Arial" w:eastAsia="Calibri" w:hAnsi="Arial" w:cs="Arial"/>
          <w:i/>
          <w:iCs/>
          <w:szCs w:val="22"/>
        </w:rPr>
        <w:t>na</w:t>
      </w:r>
      <w:proofErr w:type="spellEnd"/>
      <w:r w:rsidRPr="009D7A19">
        <w:rPr>
          <w:rFonts w:ascii="Arial" w:eastAsia="Calibri" w:hAnsi="Arial" w:cs="Arial"/>
          <w:i/>
          <w:iCs/>
          <w:szCs w:val="22"/>
        </w:rPr>
        <w:t xml:space="preserve"> </w:t>
      </w:r>
      <w:proofErr w:type="spellStart"/>
      <w:r w:rsidRPr="009D7A19">
        <w:rPr>
          <w:rFonts w:ascii="Arial" w:eastAsia="Calibri" w:hAnsi="Arial" w:cs="Arial"/>
          <w:i/>
          <w:iCs/>
          <w:szCs w:val="22"/>
        </w:rPr>
        <w:t>problema</w:t>
      </w:r>
      <w:proofErr w:type="spellEnd"/>
      <w:r w:rsidRPr="009D7A19">
        <w:rPr>
          <w:rFonts w:ascii="Arial" w:eastAsia="Calibri" w:hAnsi="Arial" w:cs="Arial"/>
          <w:i/>
          <w:iCs/>
          <w:szCs w:val="22"/>
        </w:rPr>
        <w:t>' (heavy problems) that Filipinos face here?"</w:t>
      </w:r>
    </w:p>
    <w:p w14:paraId="0F23E706" w14:textId="77777777" w:rsidR="009D7A19" w:rsidRPr="009D7A19" w:rsidRDefault="009D7A19" w:rsidP="009D7A19">
      <w:pPr>
        <w:pStyle w:val="Body"/>
        <w:numPr>
          <w:ilvl w:val="0"/>
          <w:numId w:val="35"/>
        </w:numPr>
        <w:spacing w:after="0"/>
        <w:rPr>
          <w:rFonts w:ascii="Arial" w:eastAsia="Calibri" w:hAnsi="Arial" w:cs="Arial"/>
          <w:szCs w:val="22"/>
        </w:rPr>
      </w:pPr>
      <w:r w:rsidRPr="009D7A19">
        <w:rPr>
          <w:rFonts w:ascii="Arial" w:eastAsia="Calibri" w:hAnsi="Arial" w:cs="Arial"/>
          <w:i/>
          <w:iCs/>
          <w:szCs w:val="22"/>
        </w:rPr>
        <w:t>"If someone you knew was feeling very down or anxious for a long time, where would they most likely turn for help? Why?"</w:t>
      </w:r>
    </w:p>
    <w:p w14:paraId="6F62918A" w14:textId="77777777" w:rsidR="009D7A19" w:rsidRPr="009D7A19" w:rsidRDefault="009D7A19" w:rsidP="009D7A19">
      <w:pPr>
        <w:pStyle w:val="Body"/>
        <w:numPr>
          <w:ilvl w:val="0"/>
          <w:numId w:val="35"/>
        </w:numPr>
        <w:spacing w:after="0"/>
        <w:rPr>
          <w:rFonts w:ascii="Arial" w:eastAsia="Calibri" w:hAnsi="Arial" w:cs="Arial"/>
          <w:szCs w:val="22"/>
        </w:rPr>
      </w:pPr>
      <w:r w:rsidRPr="009D7A19">
        <w:rPr>
          <w:rFonts w:ascii="Arial" w:eastAsia="Calibri" w:hAnsi="Arial" w:cs="Arial"/>
          <w:i/>
          <w:iCs/>
          <w:szCs w:val="22"/>
        </w:rPr>
        <w:t>"What makes it difficult for people to consider talking to a professional, like a counsellor or psychologist?"</w:t>
      </w:r>
    </w:p>
    <w:p w14:paraId="33765C76"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The protocol was designed to be flexible, allowing the facilitator to probe deeper into emergent topics and follow the natural flow of the conversation, consistent with best practices for qualitative </w:t>
      </w:r>
      <w:proofErr w:type="gramStart"/>
      <w:r w:rsidRPr="009D7A19">
        <w:rPr>
          <w:rFonts w:ascii="Arial" w:eastAsia="Calibri" w:hAnsi="Arial" w:cs="Arial"/>
          <w:szCs w:val="22"/>
        </w:rPr>
        <w:t>inquiry .</w:t>
      </w:r>
      <w:proofErr w:type="gramEnd"/>
    </w:p>
    <w:p w14:paraId="5EC5E21F"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3.4. Procedure</w:t>
      </w:r>
    </w:p>
    <w:p w14:paraId="6880B57F"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lastRenderedPageBreak/>
        <w:t>Ethical approval for the study was obtained from the relevant institutional review board. All participants were provided with a detailed information sheet explaining the study's purpose, procedures, potential risks and benefits, and their rights as participants. Written informed consent was obtained from every participant before data collection commenced. Anonymity and confidentiality were strictly maintained; all identifying information was removed from transcripts and datasets, and pseudonyms were used for qualitative data reporting.</w:t>
      </w:r>
    </w:p>
    <w:p w14:paraId="2CBFBB1B"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Surveys were administered both online (via a secure platform) and in-person (paper-based) during community gatherings to </w:t>
      </w:r>
      <w:proofErr w:type="spellStart"/>
      <w:r w:rsidRPr="009D7A19">
        <w:rPr>
          <w:rFonts w:ascii="Arial" w:eastAsia="Calibri" w:hAnsi="Arial" w:cs="Arial"/>
          <w:szCs w:val="22"/>
        </w:rPr>
        <w:t>maximise</w:t>
      </w:r>
      <w:proofErr w:type="spellEnd"/>
      <w:r w:rsidRPr="009D7A19">
        <w:rPr>
          <w:rFonts w:ascii="Arial" w:eastAsia="Calibri" w:hAnsi="Arial" w:cs="Arial"/>
          <w:szCs w:val="22"/>
        </w:rPr>
        <w:t xml:space="preserve"> reach and accommodate varying levels of digital literacy. The focus group discussions were conducted in a private, comfortable setting. The discussions were facilitated by a researcher fluent in both English and Filipino (Tagalog) to ensure participants could express themselves in the language they were most comfortable with. Each FGD lasted approximately 90-120 minutes and was audio-recorded with the participants' permission.</w:t>
      </w:r>
    </w:p>
    <w:p w14:paraId="5279B8D9"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3.5. Data Analysis</w:t>
      </w:r>
    </w:p>
    <w:p w14:paraId="22B545F5"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A comprehensive data analysis plan was established prior to data collection to ensure systematic and rigorous analysis aligned with the study's </w:t>
      </w:r>
      <w:proofErr w:type="gramStart"/>
      <w:r w:rsidRPr="009D7A19">
        <w:rPr>
          <w:rFonts w:ascii="Arial" w:eastAsia="Calibri" w:hAnsi="Arial" w:cs="Arial"/>
          <w:szCs w:val="22"/>
        </w:rPr>
        <w:t>objectives .</w:t>
      </w:r>
      <w:proofErr w:type="gramEnd"/>
    </w:p>
    <w:p w14:paraId="1F499BC7"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3.5.1. Quantitative Analysis</w:t>
      </w:r>
    </w:p>
    <w:p w14:paraId="65E9D79D"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Quantitative data from the 200 surveys were </w:t>
      </w:r>
      <w:proofErr w:type="spellStart"/>
      <w:r w:rsidRPr="009D7A19">
        <w:rPr>
          <w:rFonts w:ascii="Arial" w:eastAsia="Calibri" w:hAnsi="Arial" w:cs="Arial"/>
          <w:szCs w:val="22"/>
        </w:rPr>
        <w:t>analysed</w:t>
      </w:r>
      <w:proofErr w:type="spellEnd"/>
      <w:r w:rsidRPr="009D7A19">
        <w:rPr>
          <w:rFonts w:ascii="Arial" w:eastAsia="Calibri" w:hAnsi="Arial" w:cs="Arial"/>
          <w:szCs w:val="22"/>
        </w:rPr>
        <w:t xml:space="preserve"> using IBM SPSS Statistics, Version 28. The analysis proceeded in three stages:</w:t>
      </w:r>
    </w:p>
    <w:p w14:paraId="57019653" w14:textId="77777777" w:rsidR="009D7A19" w:rsidRPr="009D7A19" w:rsidRDefault="009D7A19" w:rsidP="009D7A19">
      <w:pPr>
        <w:pStyle w:val="Body"/>
        <w:numPr>
          <w:ilvl w:val="0"/>
          <w:numId w:val="36"/>
        </w:numPr>
        <w:spacing w:after="0"/>
        <w:rPr>
          <w:rFonts w:ascii="Arial" w:eastAsia="Calibri" w:hAnsi="Arial" w:cs="Arial"/>
          <w:szCs w:val="22"/>
        </w:rPr>
      </w:pPr>
      <w:r w:rsidRPr="009D7A19">
        <w:rPr>
          <w:rFonts w:ascii="Arial" w:eastAsia="Calibri" w:hAnsi="Arial" w:cs="Arial"/>
          <w:b/>
          <w:bCs/>
          <w:szCs w:val="22"/>
        </w:rPr>
        <w:t>Descriptive Statistics:</w:t>
      </w:r>
      <w:r w:rsidRPr="009D7A19">
        <w:rPr>
          <w:rFonts w:ascii="Arial" w:eastAsia="Calibri" w:hAnsi="Arial" w:cs="Arial"/>
          <w:szCs w:val="22"/>
        </w:rPr>
        <w:t xml:space="preserve"> Frequencies, percentages, means, and standard deviations (SD) were calculated to </w:t>
      </w:r>
      <w:proofErr w:type="spellStart"/>
      <w:r w:rsidRPr="009D7A19">
        <w:rPr>
          <w:rFonts w:ascii="Arial" w:eastAsia="Calibri" w:hAnsi="Arial" w:cs="Arial"/>
          <w:szCs w:val="22"/>
        </w:rPr>
        <w:t>summarise</w:t>
      </w:r>
      <w:proofErr w:type="spellEnd"/>
      <w:r w:rsidRPr="009D7A19">
        <w:rPr>
          <w:rFonts w:ascii="Arial" w:eastAsia="Calibri" w:hAnsi="Arial" w:cs="Arial"/>
          <w:szCs w:val="22"/>
        </w:rPr>
        <w:t xml:space="preserve"> the socio-demographic characteristics of the sample and the overall scores on the MHL and Barriers to Seeking Help scales.</w:t>
      </w:r>
    </w:p>
    <w:p w14:paraId="72F0C464" w14:textId="77777777" w:rsidR="009D7A19" w:rsidRPr="009D7A19" w:rsidRDefault="009D7A19" w:rsidP="009D7A19">
      <w:pPr>
        <w:pStyle w:val="Body"/>
        <w:numPr>
          <w:ilvl w:val="0"/>
          <w:numId w:val="36"/>
        </w:numPr>
        <w:spacing w:after="0"/>
        <w:rPr>
          <w:rFonts w:ascii="Arial" w:eastAsia="Calibri" w:hAnsi="Arial" w:cs="Arial"/>
          <w:szCs w:val="22"/>
        </w:rPr>
      </w:pPr>
      <w:r w:rsidRPr="009D7A19">
        <w:rPr>
          <w:rFonts w:ascii="Arial" w:eastAsia="Calibri" w:hAnsi="Arial" w:cs="Arial"/>
          <w:b/>
          <w:bCs/>
          <w:szCs w:val="22"/>
        </w:rPr>
        <w:t>Correlation Analysis:</w:t>
      </w:r>
      <w:r w:rsidRPr="009D7A19">
        <w:rPr>
          <w:rFonts w:ascii="Arial" w:eastAsia="Calibri" w:hAnsi="Arial" w:cs="Arial"/>
          <w:szCs w:val="22"/>
        </w:rPr>
        <w:t> A Pearson product-moment correlation coefficient (</w:t>
      </w:r>
      <w:r w:rsidRPr="009D7A19">
        <w:rPr>
          <w:rFonts w:ascii="Arial" w:eastAsia="Calibri" w:hAnsi="Arial" w:cs="Arial"/>
          <w:i/>
          <w:iCs/>
          <w:szCs w:val="22"/>
        </w:rPr>
        <w:t>r</w:t>
      </w:r>
      <w:r w:rsidRPr="009D7A19">
        <w:rPr>
          <w:rFonts w:ascii="Arial" w:eastAsia="Calibri" w:hAnsi="Arial" w:cs="Arial"/>
          <w:szCs w:val="22"/>
        </w:rPr>
        <w:t>) was calculated to test H1, examining the relationship between total MHL scores and total barrier scores.</w:t>
      </w:r>
    </w:p>
    <w:p w14:paraId="19AB3328" w14:textId="77777777" w:rsidR="009D7A19" w:rsidRPr="009D7A19" w:rsidRDefault="009D7A19" w:rsidP="009D7A19">
      <w:pPr>
        <w:pStyle w:val="Body"/>
        <w:numPr>
          <w:ilvl w:val="0"/>
          <w:numId w:val="36"/>
        </w:numPr>
        <w:spacing w:after="0"/>
        <w:rPr>
          <w:rFonts w:ascii="Arial" w:eastAsia="Calibri" w:hAnsi="Arial" w:cs="Arial"/>
          <w:szCs w:val="22"/>
        </w:rPr>
      </w:pPr>
      <w:r w:rsidRPr="009D7A19">
        <w:rPr>
          <w:rFonts w:ascii="Arial" w:eastAsia="Calibri" w:hAnsi="Arial" w:cs="Arial"/>
          <w:b/>
          <w:bCs/>
          <w:szCs w:val="22"/>
        </w:rPr>
        <w:t>Inferential Statistics:</w:t>
      </w:r>
      <w:r w:rsidRPr="009D7A19">
        <w:rPr>
          <w:rFonts w:ascii="Arial" w:eastAsia="Calibri" w:hAnsi="Arial" w:cs="Arial"/>
          <w:szCs w:val="22"/>
        </w:rPr>
        <w:t> To test H2, a multiple linear regression was conducted to determine if socio-demographic variables (length of stay, occupation type) could significantly predict MHL and barrier scores. To test H3, an independent-samples t-test was planned to compare the mean scores for different types of barriers between groups based on their primary source of support.</w:t>
      </w:r>
    </w:p>
    <w:p w14:paraId="57D63EB3"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3.5.2. Qualitative Analysis</w:t>
      </w:r>
    </w:p>
    <w:p w14:paraId="51304992"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The audio recordings from the four focus groups were transcribed verbatim and, where necessary, translated from Filipino to English. The qualitative data were </w:t>
      </w:r>
      <w:proofErr w:type="spellStart"/>
      <w:r w:rsidRPr="009D7A19">
        <w:rPr>
          <w:rFonts w:ascii="Arial" w:eastAsia="Calibri" w:hAnsi="Arial" w:cs="Arial"/>
          <w:szCs w:val="22"/>
        </w:rPr>
        <w:t>analysed</w:t>
      </w:r>
      <w:proofErr w:type="spellEnd"/>
      <w:r w:rsidRPr="009D7A19">
        <w:rPr>
          <w:rFonts w:ascii="Arial" w:eastAsia="Calibri" w:hAnsi="Arial" w:cs="Arial"/>
          <w:szCs w:val="22"/>
        </w:rPr>
        <w:t xml:space="preserve"> using a **thematic analysis** approach, following the six-phase process outlined by Braun and Clarke (2006</w:t>
      </w:r>
      <w:proofErr w:type="gramStart"/>
      <w:r w:rsidRPr="009D7A19">
        <w:rPr>
          <w:rFonts w:ascii="Arial" w:eastAsia="Calibri" w:hAnsi="Arial" w:cs="Arial"/>
          <w:szCs w:val="22"/>
        </w:rPr>
        <w:t>) .</w:t>
      </w:r>
      <w:proofErr w:type="gramEnd"/>
      <w:r w:rsidRPr="009D7A19">
        <w:rPr>
          <w:rFonts w:ascii="Arial" w:eastAsia="Calibri" w:hAnsi="Arial" w:cs="Arial"/>
          <w:szCs w:val="22"/>
        </w:rPr>
        <w:t xml:space="preserve"> The phases were as follows:</w:t>
      </w:r>
    </w:p>
    <w:p w14:paraId="44833922" w14:textId="77777777" w:rsidR="009D7A19" w:rsidRPr="009D7A19" w:rsidRDefault="009D7A19" w:rsidP="009D7A19">
      <w:pPr>
        <w:pStyle w:val="Body"/>
        <w:numPr>
          <w:ilvl w:val="0"/>
          <w:numId w:val="37"/>
        </w:numPr>
        <w:spacing w:after="0"/>
        <w:rPr>
          <w:rFonts w:ascii="Arial" w:eastAsia="Calibri" w:hAnsi="Arial" w:cs="Arial"/>
          <w:szCs w:val="22"/>
        </w:rPr>
      </w:pPr>
      <w:proofErr w:type="spellStart"/>
      <w:r w:rsidRPr="009D7A19">
        <w:rPr>
          <w:rFonts w:ascii="Arial" w:eastAsia="Calibri" w:hAnsi="Arial" w:cs="Arial"/>
          <w:b/>
          <w:bCs/>
          <w:szCs w:val="22"/>
        </w:rPr>
        <w:t>Familiarisation</w:t>
      </w:r>
      <w:proofErr w:type="spellEnd"/>
      <w:r w:rsidRPr="009D7A19">
        <w:rPr>
          <w:rFonts w:ascii="Arial" w:eastAsia="Calibri" w:hAnsi="Arial" w:cs="Arial"/>
          <w:b/>
          <w:bCs/>
          <w:szCs w:val="22"/>
        </w:rPr>
        <w:t xml:space="preserve"> with the data:</w:t>
      </w:r>
      <w:r w:rsidRPr="009D7A19">
        <w:rPr>
          <w:rFonts w:ascii="Arial" w:eastAsia="Calibri" w:hAnsi="Arial" w:cs="Arial"/>
          <w:szCs w:val="22"/>
        </w:rPr>
        <w:t> Transcripts were read and re-read to gain an intimate understanding of the content.</w:t>
      </w:r>
    </w:p>
    <w:p w14:paraId="7933B80C"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Generating initial codes:</w:t>
      </w:r>
      <w:r w:rsidRPr="009D7A19">
        <w:rPr>
          <w:rFonts w:ascii="Arial" w:eastAsia="Calibri" w:hAnsi="Arial" w:cs="Arial"/>
          <w:szCs w:val="22"/>
        </w:rPr>
        <w:t> Interesting features of the data were systematically coded across the entire dataset.</w:t>
      </w:r>
    </w:p>
    <w:p w14:paraId="50289760"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Searching for themes:</w:t>
      </w:r>
      <w:r w:rsidRPr="009D7A19">
        <w:rPr>
          <w:rFonts w:ascii="Arial" w:eastAsia="Calibri" w:hAnsi="Arial" w:cs="Arial"/>
          <w:szCs w:val="22"/>
        </w:rPr>
        <w:t> Codes were collated into potential themes.</w:t>
      </w:r>
    </w:p>
    <w:p w14:paraId="404410D2"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Reviewing themes:</w:t>
      </w:r>
      <w:r w:rsidRPr="009D7A19">
        <w:rPr>
          <w:rFonts w:ascii="Arial" w:eastAsia="Calibri" w:hAnsi="Arial" w:cs="Arial"/>
          <w:szCs w:val="22"/>
        </w:rPr>
        <w:t> The potential themes were reviewed and refined in relation to the coded extracts and the entire dataset.</w:t>
      </w:r>
    </w:p>
    <w:p w14:paraId="0E46250E"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Defining and naming themes:</w:t>
      </w:r>
      <w:r w:rsidRPr="009D7A19">
        <w:rPr>
          <w:rFonts w:ascii="Arial" w:eastAsia="Calibri" w:hAnsi="Arial" w:cs="Arial"/>
          <w:szCs w:val="22"/>
        </w:rPr>
        <w:t> The specifics of each theme were refined, and clear, concise names were generated.</w:t>
      </w:r>
    </w:p>
    <w:p w14:paraId="3408389E"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Producing the report:</w:t>
      </w:r>
      <w:r w:rsidRPr="009D7A19">
        <w:rPr>
          <w:rFonts w:ascii="Arial" w:eastAsia="Calibri" w:hAnsi="Arial" w:cs="Arial"/>
          <w:szCs w:val="22"/>
        </w:rPr>
        <w:t> The final analysis was written up, weaving together the thematic narrative with compelling, illustrative quotes.</w:t>
      </w:r>
    </w:p>
    <w:p w14:paraId="3A70D785"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To enhance </w:t>
      </w:r>
      <w:proofErr w:type="spellStart"/>
      <w:r w:rsidRPr="009D7A19">
        <w:rPr>
          <w:rFonts w:ascii="Arial" w:eastAsia="Calibri" w:hAnsi="Arial" w:cs="Arial"/>
          <w:szCs w:val="22"/>
        </w:rPr>
        <w:t>rigour</w:t>
      </w:r>
      <w:proofErr w:type="spellEnd"/>
      <w:r w:rsidRPr="009D7A19">
        <w:rPr>
          <w:rFonts w:ascii="Arial" w:eastAsia="Calibri" w:hAnsi="Arial" w:cs="Arial"/>
          <w:szCs w:val="22"/>
        </w:rPr>
        <w:t xml:space="preserve">, two researchers independently coded a subset of the transcripts and then met to discuss and resolve discrepancies, establishing a consistent coding framework. NVivo software was used to facilitate data management and </w:t>
      </w:r>
      <w:proofErr w:type="spellStart"/>
      <w:r w:rsidRPr="009D7A19">
        <w:rPr>
          <w:rFonts w:ascii="Arial" w:eastAsia="Calibri" w:hAnsi="Arial" w:cs="Arial"/>
          <w:szCs w:val="22"/>
        </w:rPr>
        <w:t>organisation</w:t>
      </w:r>
      <w:proofErr w:type="spellEnd"/>
      <w:r w:rsidRPr="009D7A19">
        <w:rPr>
          <w:rFonts w:ascii="Arial" w:eastAsia="Calibri" w:hAnsi="Arial" w:cs="Arial"/>
          <w:szCs w:val="22"/>
        </w:rPr>
        <w:t xml:space="preserve"> during the analysis </w:t>
      </w:r>
      <w:proofErr w:type="gramStart"/>
      <w:r w:rsidRPr="009D7A19">
        <w:rPr>
          <w:rFonts w:ascii="Arial" w:eastAsia="Calibri" w:hAnsi="Arial" w:cs="Arial"/>
          <w:szCs w:val="22"/>
        </w:rPr>
        <w:t>process .</w:t>
      </w:r>
      <w:proofErr w:type="gramEnd"/>
    </w:p>
    <w:p w14:paraId="1608E628" w14:textId="77777777" w:rsidR="00AA74E0" w:rsidRPr="009D7A19" w:rsidRDefault="00AA74E0" w:rsidP="001F69F7">
      <w:pPr>
        <w:pStyle w:val="Body"/>
        <w:spacing w:after="0"/>
        <w:rPr>
          <w:rFonts w:ascii="Arial" w:hAnsi="Arial" w:cs="Arial"/>
        </w:rPr>
      </w:pPr>
    </w:p>
    <w:p w14:paraId="6E724207" w14:textId="77777777" w:rsidR="00790ADA" w:rsidRPr="00FB3A86" w:rsidRDefault="00790ADA" w:rsidP="00441B6F">
      <w:pPr>
        <w:pStyle w:val="Body"/>
        <w:spacing w:after="0"/>
        <w:rPr>
          <w:rFonts w:ascii="Arial" w:hAnsi="Arial" w:cs="Arial"/>
        </w:rPr>
      </w:pPr>
    </w:p>
    <w:p w14:paraId="305BFAE8" w14:textId="77777777" w:rsidR="00902823" w:rsidRDefault="009D7A19" w:rsidP="00441B6F">
      <w:pPr>
        <w:pStyle w:val="Head1"/>
        <w:spacing w:after="0"/>
        <w:jc w:val="both"/>
        <w:rPr>
          <w:rFonts w:ascii="Arial" w:hAnsi="Arial" w:cs="Arial"/>
        </w:rPr>
      </w:pPr>
      <w:r>
        <w:rPr>
          <w:rFonts w:ascii="Arial" w:hAnsi="Arial" w:cs="Arial"/>
        </w:rPr>
        <w:lastRenderedPageBreak/>
        <w:t>4</w:t>
      </w:r>
      <w:r w:rsidR="00902823">
        <w:rPr>
          <w:rFonts w:ascii="Arial" w:hAnsi="Arial" w:cs="Arial"/>
        </w:rPr>
        <w:t xml:space="preserve">. </w:t>
      </w:r>
      <w:r w:rsidR="00000F8F">
        <w:rPr>
          <w:rFonts w:ascii="Arial" w:hAnsi="Arial" w:cs="Arial"/>
        </w:rPr>
        <w:t xml:space="preserve">results </w:t>
      </w:r>
    </w:p>
    <w:p w14:paraId="53B57391" w14:textId="77777777" w:rsidR="00790ADA" w:rsidRPr="00FB3A86" w:rsidRDefault="00790ADA" w:rsidP="00441B6F">
      <w:pPr>
        <w:pStyle w:val="Head1"/>
        <w:spacing w:after="0"/>
        <w:jc w:val="both"/>
        <w:rPr>
          <w:rFonts w:ascii="Arial" w:hAnsi="Arial" w:cs="Arial"/>
        </w:rPr>
      </w:pPr>
    </w:p>
    <w:p w14:paraId="731F60FB" w14:textId="77777777" w:rsidR="009D7A19" w:rsidRPr="009D7A19" w:rsidRDefault="009D7A19" w:rsidP="009D7A19">
      <w:pPr>
        <w:pStyle w:val="Body"/>
        <w:spacing w:after="0"/>
        <w:rPr>
          <w:rFonts w:ascii="Arial" w:hAnsi="Arial" w:cs="Arial"/>
        </w:rPr>
      </w:pPr>
      <w:r w:rsidRPr="009D7A19">
        <w:rPr>
          <w:rFonts w:ascii="Arial" w:hAnsi="Arial" w:cs="Arial"/>
        </w:rPr>
        <w:t xml:space="preserve">This section presents the findings from both the quantitative survey and the qualitative focus groups, following APA guidelines for reporting </w:t>
      </w:r>
      <w:proofErr w:type="gramStart"/>
      <w:r w:rsidRPr="009D7A19">
        <w:rPr>
          <w:rFonts w:ascii="Arial" w:hAnsi="Arial" w:cs="Arial"/>
        </w:rPr>
        <w:t>results .</w:t>
      </w:r>
      <w:proofErr w:type="gramEnd"/>
      <w:r w:rsidRPr="009D7A19">
        <w:rPr>
          <w:rFonts w:ascii="Arial" w:hAnsi="Arial" w:cs="Arial"/>
        </w:rPr>
        <w:t xml:space="preserve"> The results are </w:t>
      </w:r>
      <w:proofErr w:type="spellStart"/>
      <w:r w:rsidRPr="009D7A19">
        <w:rPr>
          <w:rFonts w:ascii="Arial" w:hAnsi="Arial" w:cs="Arial"/>
        </w:rPr>
        <w:t>organised</w:t>
      </w:r>
      <w:proofErr w:type="spellEnd"/>
      <w:r w:rsidRPr="009D7A19">
        <w:rPr>
          <w:rFonts w:ascii="Arial" w:hAnsi="Arial" w:cs="Arial"/>
        </w:rPr>
        <w:t xml:space="preserve"> to first describe the participant sample and descriptive statistics, followed by inferential statistics related to the hypotheses, the qualitative themes, and finally, an integrated summary of the data.</w:t>
      </w:r>
    </w:p>
    <w:p w14:paraId="15D87F30" w14:textId="77777777" w:rsidR="009D7A19" w:rsidRPr="009D7A19" w:rsidRDefault="009D7A19" w:rsidP="009D7A19">
      <w:pPr>
        <w:pStyle w:val="Body"/>
        <w:spacing w:after="0"/>
        <w:rPr>
          <w:rFonts w:ascii="Arial" w:hAnsi="Arial" w:cs="Arial"/>
          <w:b/>
          <w:bCs/>
        </w:rPr>
      </w:pPr>
      <w:r w:rsidRPr="009D7A19">
        <w:rPr>
          <w:rFonts w:ascii="Arial" w:hAnsi="Arial" w:cs="Arial"/>
          <w:b/>
          <w:bCs/>
        </w:rPr>
        <w:t>4.1. Participant Demographics</w:t>
      </w:r>
    </w:p>
    <w:p w14:paraId="2D940D9C" w14:textId="77777777" w:rsidR="009D7A19" w:rsidRDefault="009D7A19" w:rsidP="009D7A19">
      <w:pPr>
        <w:pStyle w:val="Body"/>
        <w:rPr>
          <w:rFonts w:ascii="Arial" w:hAnsi="Arial" w:cs="Arial"/>
        </w:rPr>
      </w:pPr>
      <w:r w:rsidRPr="009D7A19">
        <w:rPr>
          <w:rFonts w:ascii="Arial" w:hAnsi="Arial" w:cs="Arial"/>
        </w:rPr>
        <w:t>The quantitative survey was completed by 200 participants. The sample was predominantly female (68.5%, n=137), reflecting the gender distribution in many service and domestic work sectors. The mean age of participants was 34.7 years (SD = 8.2). The majority of respondents were employed in the service/hospitality sector (45.0%, n=90), followed by domestic work (28.0%, n=56), retail (15.5%, n=31), and construction (11.5%, n=23). A significant portion of the sample (72.0%, n=144) reported a monthly income below the equivalent of £800. The average length of stay in the UAE</w:t>
      </w:r>
      <w:r>
        <w:rPr>
          <w:rFonts w:ascii="Arial" w:hAnsi="Arial" w:cs="Arial"/>
        </w:rPr>
        <w:t>.</w:t>
      </w:r>
      <w:r w:rsidRPr="009D7A19">
        <w:rPr>
          <w:rFonts w:ascii="Georgia" w:hAnsi="Georgia"/>
          <w:color w:val="000000" w:themeColor="text1"/>
          <w:sz w:val="24"/>
          <w:szCs w:val="24"/>
        </w:rPr>
        <w:t xml:space="preserve"> </w:t>
      </w:r>
      <w:r w:rsidRPr="009D7A19">
        <w:rPr>
          <w:rFonts w:ascii="Arial" w:hAnsi="Arial" w:cs="Arial"/>
        </w:rPr>
        <w:t>Detailed demographic characteristics are presented in Table 1.</w:t>
      </w:r>
    </w:p>
    <w:p w14:paraId="23DAE3DA" w14:textId="77777777" w:rsidR="009D7A19" w:rsidRDefault="009D7A19" w:rsidP="009D7A19">
      <w:pPr>
        <w:pStyle w:val="Body"/>
        <w:rPr>
          <w:rFonts w:ascii="Arial" w:hAnsi="Arial" w:cs="Arial"/>
        </w:rPr>
      </w:pPr>
    </w:p>
    <w:p w14:paraId="1F63F54B" w14:textId="77777777" w:rsidR="009D7A19" w:rsidRPr="009D7A19" w:rsidRDefault="009D7A19" w:rsidP="009D7A19">
      <w:pPr>
        <w:pStyle w:val="Body"/>
        <w:rPr>
          <w:rFonts w:ascii="Arial" w:hAnsi="Arial" w:cs="Arial"/>
        </w:rPr>
      </w:pPr>
      <w:r w:rsidRPr="009D7A19">
        <w:rPr>
          <w:rFonts w:ascii="Arial" w:hAnsi="Arial" w:cs="Arial"/>
        </w:rPr>
        <w:t>Table 1. Socio-Demographic Characteristics of Survey Participants (N=200)</w:t>
      </w:r>
    </w:p>
    <w:p w14:paraId="58C60294" w14:textId="77777777" w:rsidR="00C30A0F" w:rsidRDefault="009D7A19" w:rsidP="009D7A19">
      <w:pPr>
        <w:pStyle w:val="Body"/>
        <w:spacing w:after="0"/>
        <w:rPr>
          <w:rFonts w:ascii="Arial" w:hAnsi="Arial" w:cs="Arial"/>
        </w:rPr>
      </w:pPr>
      <w:r w:rsidRPr="009D7A19">
        <w:rPr>
          <w:rFonts w:ascii="Arial" w:hAnsi="Arial" w:cs="Arial"/>
          <w:noProof/>
        </w:rPr>
        <w:drawing>
          <wp:inline distT="0" distB="0" distL="0" distR="0" wp14:anchorId="1FA4503C" wp14:editId="7DA6E097">
            <wp:extent cx="3821430" cy="4133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841195" cy="4155211"/>
                    </a:xfrm>
                    <a:prstGeom prst="rect">
                      <a:avLst/>
                    </a:prstGeom>
                  </pic:spPr>
                </pic:pic>
              </a:graphicData>
            </a:graphic>
          </wp:inline>
        </w:drawing>
      </w:r>
    </w:p>
    <w:p w14:paraId="3F5DDAC8" w14:textId="77777777" w:rsidR="009D7A19" w:rsidRDefault="009D7A19" w:rsidP="009D7A19">
      <w:pPr>
        <w:pStyle w:val="Body"/>
        <w:spacing w:after="0"/>
        <w:rPr>
          <w:rFonts w:ascii="Arial" w:hAnsi="Arial" w:cs="Arial"/>
        </w:rPr>
      </w:pPr>
    </w:p>
    <w:p w14:paraId="0E9EFD88" w14:textId="77777777" w:rsidR="009D7A19" w:rsidRPr="009D7A19" w:rsidRDefault="009D7A19" w:rsidP="009D7A19">
      <w:pPr>
        <w:pStyle w:val="Body"/>
        <w:spacing w:after="0"/>
        <w:rPr>
          <w:rFonts w:ascii="Arial" w:hAnsi="Arial" w:cs="Arial"/>
        </w:rPr>
      </w:pPr>
    </w:p>
    <w:p w14:paraId="0470F9D7" w14:textId="77777777" w:rsidR="00E053D0" w:rsidRDefault="00E053D0" w:rsidP="00441B6F">
      <w:pPr>
        <w:pStyle w:val="Body"/>
        <w:spacing w:after="0"/>
        <w:rPr>
          <w:rFonts w:ascii="Arial" w:hAnsi="Arial" w:cs="Arial"/>
        </w:rPr>
      </w:pPr>
    </w:p>
    <w:p w14:paraId="7D2D5FC1" w14:textId="77777777" w:rsidR="009D7A19" w:rsidRPr="009D7A19" w:rsidRDefault="009D7A19" w:rsidP="009D7A19">
      <w:pPr>
        <w:pStyle w:val="Body"/>
        <w:spacing w:after="0"/>
        <w:rPr>
          <w:rFonts w:ascii="Arial" w:hAnsi="Arial" w:cs="Arial"/>
          <w:b/>
          <w:bCs/>
        </w:rPr>
      </w:pPr>
      <w:r w:rsidRPr="009D7A19">
        <w:rPr>
          <w:rFonts w:ascii="Arial" w:hAnsi="Arial" w:cs="Arial"/>
          <w:b/>
          <w:bCs/>
        </w:rPr>
        <w:t>4.2. Quantitative Findings</w:t>
      </w:r>
    </w:p>
    <w:p w14:paraId="50BF6739" w14:textId="77777777" w:rsidR="009D7A19" w:rsidRPr="009D7A19" w:rsidRDefault="009D7A19" w:rsidP="009D7A19">
      <w:pPr>
        <w:pStyle w:val="Body"/>
        <w:spacing w:after="0"/>
        <w:rPr>
          <w:rFonts w:ascii="Arial" w:hAnsi="Arial" w:cs="Arial"/>
          <w:b/>
          <w:bCs/>
        </w:rPr>
      </w:pPr>
      <w:r w:rsidRPr="009D7A19">
        <w:rPr>
          <w:rFonts w:ascii="Arial" w:hAnsi="Arial" w:cs="Arial"/>
          <w:b/>
          <w:bCs/>
        </w:rPr>
        <w:lastRenderedPageBreak/>
        <w:t>4.2.1. Descriptive Statistics for Key Variables</w:t>
      </w:r>
    </w:p>
    <w:p w14:paraId="59E7D623" w14:textId="77777777" w:rsidR="009D7A19" w:rsidRPr="009D7A19" w:rsidRDefault="009D7A19" w:rsidP="009D7A19">
      <w:pPr>
        <w:pStyle w:val="Body"/>
        <w:spacing w:after="0"/>
        <w:rPr>
          <w:rFonts w:ascii="Arial" w:hAnsi="Arial" w:cs="Arial"/>
        </w:rPr>
      </w:pPr>
      <w:r w:rsidRPr="009D7A19">
        <w:rPr>
          <w:rFonts w:ascii="Arial" w:hAnsi="Arial" w:cs="Arial"/>
        </w:rPr>
        <w:t>The overall mean score for the Mental Health Literacy Scale (MHLS) was relatively moderate (M = 95.4 out of a possible 175, SD = 15.2), suggesting some foundational knowledge but also significant gaps, particularly in areas related to knowledge of professional services and evidence-based treatments. The mean score for the Barriers to Seeking Help Scale was high (M = 78.6 out of a possible 100, SD = 12.8), indicating that participants perceived numerous and significant obstacles to accessing care. Analysis of the barrier subscales revealed that **Stigma-related barriers** had the highest mean score (M = 4.21 on a 5-point scale, SD = 0.88), closely followed by **Financial barriers** (M = 4.15, SD = 0.95).</w:t>
      </w:r>
    </w:p>
    <w:p w14:paraId="2E0EF427" w14:textId="77777777" w:rsidR="009D7A19" w:rsidRPr="009D7A19" w:rsidRDefault="009D7A19" w:rsidP="009D7A19">
      <w:pPr>
        <w:pStyle w:val="Body"/>
        <w:spacing w:after="0"/>
        <w:rPr>
          <w:rFonts w:ascii="Arial" w:hAnsi="Arial" w:cs="Arial"/>
          <w:b/>
          <w:bCs/>
        </w:rPr>
      </w:pPr>
      <w:r w:rsidRPr="009D7A19">
        <w:rPr>
          <w:rFonts w:ascii="Arial" w:hAnsi="Arial" w:cs="Arial"/>
          <w:b/>
          <w:bCs/>
        </w:rPr>
        <w:t>4.2.2. Hypothesis Testing</w:t>
      </w:r>
    </w:p>
    <w:p w14:paraId="0EB9442D" w14:textId="77777777" w:rsidR="009D7A19" w:rsidRPr="009D7A19" w:rsidRDefault="009D7A19" w:rsidP="009D7A19">
      <w:pPr>
        <w:pStyle w:val="Body"/>
        <w:spacing w:after="0"/>
        <w:rPr>
          <w:rFonts w:ascii="Arial" w:hAnsi="Arial" w:cs="Arial"/>
        </w:rPr>
      </w:pPr>
      <w:r w:rsidRPr="009D7A19">
        <w:rPr>
          <w:rFonts w:ascii="Arial" w:hAnsi="Arial" w:cs="Arial"/>
        </w:rPr>
        <w:t xml:space="preserve">In reporting statistical results, descriptive statistics (e.g., means, standard deviations) are presented alongside inferential statistics (e.g., t-test, p-value) to provide a complete picture, following APA style </w:t>
      </w:r>
      <w:proofErr w:type="gramStart"/>
      <w:r w:rsidRPr="009D7A19">
        <w:rPr>
          <w:rFonts w:ascii="Arial" w:hAnsi="Arial" w:cs="Arial"/>
        </w:rPr>
        <w:t>guidelines .</w:t>
      </w:r>
      <w:proofErr w:type="gramEnd"/>
    </w:p>
    <w:p w14:paraId="74793B2D" w14:textId="77777777" w:rsidR="009D7A19" w:rsidRDefault="009D7A19" w:rsidP="009D7A19">
      <w:pPr>
        <w:pStyle w:val="Body"/>
        <w:spacing w:after="0"/>
        <w:rPr>
          <w:rFonts w:ascii="Arial" w:hAnsi="Arial" w:cs="Arial"/>
        </w:rPr>
      </w:pPr>
      <w:r w:rsidRPr="009D7A19">
        <w:rPr>
          <w:rFonts w:ascii="Arial" w:hAnsi="Arial" w:cs="Arial"/>
          <w:b/>
          <w:bCs/>
        </w:rPr>
        <w:t>Hypothesis 1:</w:t>
      </w:r>
      <w:r w:rsidRPr="009D7A19">
        <w:rPr>
          <w:rFonts w:ascii="Arial" w:hAnsi="Arial" w:cs="Arial"/>
        </w:rPr>
        <w:t> To test the relationship between MHL and perceived barriers, a Pearson correlation was conducted. The analysis revealed a statistically significant, strong negative correlation between the total MHL score and the total barriers score, **</w:t>
      </w:r>
      <w:proofErr w:type="gramStart"/>
      <w:r w:rsidRPr="009D7A19">
        <w:rPr>
          <w:rFonts w:ascii="Arial" w:hAnsi="Arial" w:cs="Arial"/>
          <w:i/>
          <w:iCs/>
        </w:rPr>
        <w:t>r</w:t>
      </w:r>
      <w:r w:rsidRPr="009D7A19">
        <w:rPr>
          <w:rFonts w:ascii="Arial" w:hAnsi="Arial" w:cs="Arial"/>
        </w:rPr>
        <w:t>(</w:t>
      </w:r>
      <w:proofErr w:type="gramEnd"/>
      <w:r w:rsidRPr="009D7A19">
        <w:rPr>
          <w:rFonts w:ascii="Arial" w:hAnsi="Arial" w:cs="Arial"/>
        </w:rPr>
        <w:t>198) = -.62, </w:t>
      </w:r>
      <w:r w:rsidRPr="009D7A19">
        <w:rPr>
          <w:rFonts w:ascii="Arial" w:hAnsi="Arial" w:cs="Arial"/>
          <w:i/>
          <w:iCs/>
        </w:rPr>
        <w:t>p</w:t>
      </w:r>
      <w:r w:rsidRPr="009D7A19">
        <w:rPr>
          <w:rFonts w:ascii="Arial" w:hAnsi="Arial" w:cs="Arial"/>
        </w:rPr>
        <w:t xml:space="preserve"> &lt; .001**. This indicates that as participants' mental health literacy increased, their perception of barriers to seeking help significantly decreased. This finding provides strong support for H1. The relationship is </w:t>
      </w:r>
      <w:proofErr w:type="spellStart"/>
      <w:r w:rsidRPr="009D7A19">
        <w:rPr>
          <w:rFonts w:ascii="Arial" w:hAnsi="Arial" w:cs="Arial"/>
        </w:rPr>
        <w:t>visualised</w:t>
      </w:r>
      <w:proofErr w:type="spellEnd"/>
      <w:r w:rsidRPr="009D7A19">
        <w:rPr>
          <w:rFonts w:ascii="Arial" w:hAnsi="Arial" w:cs="Arial"/>
        </w:rPr>
        <w:t xml:space="preserve"> in Figure 1, which plots individual MHL scores against their corresponding barrier scores.</w:t>
      </w:r>
    </w:p>
    <w:p w14:paraId="69E01C77" w14:textId="77777777" w:rsidR="00730DFC" w:rsidRDefault="00730DFC" w:rsidP="009D7A19">
      <w:pPr>
        <w:pStyle w:val="Body"/>
        <w:spacing w:after="0"/>
        <w:rPr>
          <w:rFonts w:ascii="Arial" w:hAnsi="Arial" w:cs="Arial"/>
        </w:rPr>
      </w:pPr>
    </w:p>
    <w:p w14:paraId="55B0E974" w14:textId="77777777" w:rsidR="00730DFC" w:rsidRDefault="00730DFC" w:rsidP="009D7A19">
      <w:pPr>
        <w:pStyle w:val="Body"/>
        <w:spacing w:after="0"/>
        <w:rPr>
          <w:rFonts w:ascii="Arial" w:hAnsi="Arial" w:cs="Arial"/>
        </w:rPr>
      </w:pPr>
      <w:r w:rsidRPr="00730DFC">
        <w:rPr>
          <w:rFonts w:ascii="Arial" w:hAnsi="Arial" w:cs="Arial"/>
          <w:noProof/>
        </w:rPr>
        <w:drawing>
          <wp:inline distT="0" distB="0" distL="0" distR="0" wp14:anchorId="0602F60C" wp14:editId="3AA5E122">
            <wp:extent cx="5210902" cy="4296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210902" cy="4296375"/>
                    </a:xfrm>
                    <a:prstGeom prst="rect">
                      <a:avLst/>
                    </a:prstGeom>
                  </pic:spPr>
                </pic:pic>
              </a:graphicData>
            </a:graphic>
          </wp:inline>
        </w:drawing>
      </w:r>
    </w:p>
    <w:p w14:paraId="7EF8FA60" w14:textId="77777777" w:rsidR="00730DFC" w:rsidRDefault="00730DFC" w:rsidP="009D7A19">
      <w:pPr>
        <w:pStyle w:val="Body"/>
        <w:spacing w:after="0"/>
        <w:rPr>
          <w:rFonts w:ascii="Arial" w:hAnsi="Arial" w:cs="Arial"/>
        </w:rPr>
      </w:pPr>
      <w:r w:rsidRPr="00730DFC">
        <w:rPr>
          <w:rFonts w:ascii="Arial" w:hAnsi="Arial" w:cs="Arial"/>
        </w:rPr>
        <w:t>Figure 1. Correlation between Mental Health Literacy and Perceived Help-Seeking Barriers.</w:t>
      </w:r>
    </w:p>
    <w:p w14:paraId="30AA4304" w14:textId="77777777" w:rsidR="00730DFC" w:rsidRPr="009D7A19" w:rsidRDefault="00730DFC" w:rsidP="009D7A19">
      <w:pPr>
        <w:pStyle w:val="Body"/>
        <w:spacing w:after="0"/>
        <w:rPr>
          <w:rFonts w:ascii="Arial" w:hAnsi="Arial" w:cs="Arial"/>
        </w:rPr>
      </w:pPr>
    </w:p>
    <w:p w14:paraId="0ED9B9F6" w14:textId="77777777" w:rsidR="009D7A19" w:rsidRPr="009D7A19" w:rsidRDefault="009D7A19" w:rsidP="009D7A19">
      <w:pPr>
        <w:pStyle w:val="Body"/>
        <w:spacing w:after="0"/>
        <w:rPr>
          <w:rFonts w:ascii="Arial" w:hAnsi="Arial" w:cs="Arial"/>
        </w:rPr>
      </w:pPr>
      <w:r w:rsidRPr="009D7A19">
        <w:rPr>
          <w:rFonts w:ascii="Arial" w:hAnsi="Arial" w:cs="Arial"/>
          <w:b/>
          <w:bCs/>
        </w:rPr>
        <w:lastRenderedPageBreak/>
        <w:t>Hypothesis 2:</w:t>
      </w:r>
      <w:r w:rsidRPr="009D7A19">
        <w:rPr>
          <w:rFonts w:ascii="Arial" w:hAnsi="Arial" w:cs="Arial"/>
        </w:rPr>
        <w:t> A multiple regression analysis was performed to test if length of stay and occupation type could predict perceived barriers. The overall model was significant, **</w:t>
      </w:r>
      <w:proofErr w:type="gramStart"/>
      <w:r w:rsidRPr="009D7A19">
        <w:rPr>
          <w:rFonts w:ascii="Arial" w:hAnsi="Arial" w:cs="Arial"/>
          <w:i/>
          <w:iCs/>
        </w:rPr>
        <w:t>F</w:t>
      </w:r>
      <w:r w:rsidRPr="009D7A19">
        <w:rPr>
          <w:rFonts w:ascii="Arial" w:hAnsi="Arial" w:cs="Arial"/>
        </w:rPr>
        <w:t>(</w:t>
      </w:r>
      <w:proofErr w:type="gramEnd"/>
      <w:r w:rsidRPr="009D7A19">
        <w:rPr>
          <w:rFonts w:ascii="Arial" w:hAnsi="Arial" w:cs="Arial"/>
        </w:rPr>
        <w:t>4, 195) = 8.45, </w:t>
      </w:r>
      <w:r w:rsidRPr="009D7A19">
        <w:rPr>
          <w:rFonts w:ascii="Arial" w:hAnsi="Arial" w:cs="Arial"/>
          <w:i/>
          <w:iCs/>
        </w:rPr>
        <w:t>p</w:t>
      </w:r>
      <w:r w:rsidRPr="009D7A19">
        <w:rPr>
          <w:rFonts w:ascii="Arial" w:hAnsi="Arial" w:cs="Arial"/>
        </w:rPr>
        <w:t> &lt; .001, R² = .15**. Occupation type emerged as a significant predictor, with individuals in domestic work (β = .28, p = .002) and construction (β = .21, p = .015) reporting significantly higher barriers compared to those in the service/hospitality sector. Length of stay in the UAE was not a significant predictor of perceived barriers (β = -.09, p = .210). This partially supports H2, highlighting that the precarity of one's job is a more potent factor than time spent in the country.</w:t>
      </w:r>
    </w:p>
    <w:p w14:paraId="51BFCD1C" w14:textId="77777777" w:rsidR="009D7A19" w:rsidRPr="009D7A19" w:rsidRDefault="009D7A19" w:rsidP="009D7A19">
      <w:pPr>
        <w:pStyle w:val="Body"/>
        <w:spacing w:after="0"/>
        <w:rPr>
          <w:rFonts w:ascii="Arial" w:hAnsi="Arial" w:cs="Arial"/>
        </w:rPr>
      </w:pPr>
      <w:r w:rsidRPr="009D7A19">
        <w:rPr>
          <w:rFonts w:ascii="Arial" w:hAnsi="Arial" w:cs="Arial"/>
          <w:b/>
          <w:bCs/>
        </w:rPr>
        <w:t>Hypothesis 3:</w:t>
      </w:r>
      <w:r w:rsidRPr="009D7A19">
        <w:rPr>
          <w:rFonts w:ascii="Arial" w:hAnsi="Arial" w:cs="Arial"/>
        </w:rPr>
        <w:t> An independent-samples t-test was conducted to compare the mean scores for stigma-related barriers between participants who reported relying solely on informal support (n=152) and those who had previously considered or sought formal help (n=48). There was a significant difference in the scores for the informal support group (M = 4.35, SD = 0.81) and the formal help group (M = 3.78, SD = 0.92); **</w:t>
      </w:r>
      <w:proofErr w:type="gramStart"/>
      <w:r w:rsidRPr="009D7A19">
        <w:rPr>
          <w:rFonts w:ascii="Arial" w:hAnsi="Arial" w:cs="Arial"/>
          <w:i/>
          <w:iCs/>
        </w:rPr>
        <w:t>t</w:t>
      </w:r>
      <w:r w:rsidRPr="009D7A19">
        <w:rPr>
          <w:rFonts w:ascii="Arial" w:hAnsi="Arial" w:cs="Arial"/>
        </w:rPr>
        <w:t>(</w:t>
      </w:r>
      <w:proofErr w:type="gramEnd"/>
      <w:r w:rsidRPr="009D7A19">
        <w:rPr>
          <w:rFonts w:ascii="Arial" w:hAnsi="Arial" w:cs="Arial"/>
        </w:rPr>
        <w:t>198) = 4.12, </w:t>
      </w:r>
      <w:r w:rsidRPr="009D7A19">
        <w:rPr>
          <w:rFonts w:ascii="Arial" w:hAnsi="Arial" w:cs="Arial"/>
          <w:i/>
          <w:iCs/>
        </w:rPr>
        <w:t>p</w:t>
      </w:r>
      <w:r w:rsidRPr="009D7A19">
        <w:rPr>
          <w:rFonts w:ascii="Arial" w:hAnsi="Arial" w:cs="Arial"/>
        </w:rPr>
        <w:t> &lt; .001**. This supports H3, suggesting that stigma is a more powerful deterrent for those who have never engaged with the formal system.</w:t>
      </w:r>
    </w:p>
    <w:p w14:paraId="462C9499" w14:textId="77777777" w:rsidR="009D7A19" w:rsidRPr="009D7A19" w:rsidRDefault="009D7A19" w:rsidP="009D7A19">
      <w:pPr>
        <w:pStyle w:val="Body"/>
        <w:spacing w:after="0"/>
        <w:rPr>
          <w:rFonts w:ascii="Arial" w:hAnsi="Arial" w:cs="Arial"/>
          <w:b/>
          <w:bCs/>
        </w:rPr>
      </w:pPr>
      <w:r w:rsidRPr="009D7A19">
        <w:rPr>
          <w:rFonts w:ascii="Arial" w:hAnsi="Arial" w:cs="Arial"/>
          <w:b/>
          <w:bCs/>
        </w:rPr>
        <w:t>4.3. Qualitative Findings</w:t>
      </w:r>
    </w:p>
    <w:p w14:paraId="374D7ADD" w14:textId="77777777" w:rsidR="009D7A19" w:rsidRDefault="009D7A19" w:rsidP="009D7A19">
      <w:pPr>
        <w:pStyle w:val="Body"/>
        <w:spacing w:after="0"/>
        <w:rPr>
          <w:rFonts w:ascii="Arial" w:hAnsi="Arial" w:cs="Arial"/>
        </w:rPr>
      </w:pPr>
      <w:r w:rsidRPr="009D7A19">
        <w:rPr>
          <w:rFonts w:ascii="Arial" w:hAnsi="Arial" w:cs="Arial"/>
        </w:rPr>
        <w:t xml:space="preserve">Thematic analysis of the four focus group discussions yielded three overarching themes that provide a deep, narrative context to the quantitative results. These themes illuminate the complex reality behind the statistics, revealing the cultural, economic, and social forces at play. A summary of these themes is presented in Table 2, followed by a detailed exploration of each, weaving in illustrative excerpts from the raw data to support the </w:t>
      </w:r>
      <w:proofErr w:type="gramStart"/>
      <w:r w:rsidRPr="009D7A19">
        <w:rPr>
          <w:rFonts w:ascii="Arial" w:hAnsi="Arial" w:cs="Arial"/>
        </w:rPr>
        <w:t>analysis .</w:t>
      </w:r>
      <w:proofErr w:type="gramEnd"/>
    </w:p>
    <w:p w14:paraId="326F3C7D" w14:textId="77777777" w:rsidR="00730DFC" w:rsidRDefault="00730DFC" w:rsidP="009D7A19">
      <w:pPr>
        <w:pStyle w:val="Body"/>
        <w:spacing w:after="0"/>
        <w:rPr>
          <w:rFonts w:ascii="Arial" w:hAnsi="Arial" w:cs="Arial"/>
        </w:rPr>
      </w:pPr>
    </w:p>
    <w:p w14:paraId="707056D5" w14:textId="77777777" w:rsidR="00730DFC" w:rsidRDefault="00730DFC" w:rsidP="009D7A19">
      <w:pPr>
        <w:pStyle w:val="Body"/>
        <w:spacing w:after="0"/>
        <w:rPr>
          <w:rFonts w:ascii="Arial" w:hAnsi="Arial" w:cs="Arial"/>
        </w:rPr>
      </w:pPr>
    </w:p>
    <w:p w14:paraId="20C017E6" w14:textId="77777777" w:rsidR="00730DFC" w:rsidRPr="009D7A19" w:rsidRDefault="00730DFC" w:rsidP="009D7A19">
      <w:pPr>
        <w:pStyle w:val="Body"/>
        <w:spacing w:after="0"/>
        <w:rPr>
          <w:rFonts w:ascii="Arial" w:hAnsi="Arial" w:cs="Arial"/>
        </w:rPr>
      </w:pPr>
      <w:r w:rsidRPr="00730DFC">
        <w:rPr>
          <w:rFonts w:ascii="Arial" w:hAnsi="Arial" w:cs="Arial"/>
        </w:rPr>
        <w:t>Table 2. Summary of Qualitative Themes from Focus Group Discussions</w:t>
      </w:r>
    </w:p>
    <w:p w14:paraId="0461A967" w14:textId="77777777" w:rsidR="00790ADA" w:rsidRDefault="00730DFC" w:rsidP="00441B6F">
      <w:pPr>
        <w:pStyle w:val="Body"/>
        <w:spacing w:after="0"/>
        <w:rPr>
          <w:rFonts w:ascii="Arial" w:hAnsi="Arial" w:cs="Arial"/>
        </w:rPr>
      </w:pPr>
      <w:r w:rsidRPr="00730DFC">
        <w:rPr>
          <w:rFonts w:ascii="Arial" w:hAnsi="Arial" w:cs="Arial"/>
          <w:noProof/>
        </w:rPr>
        <w:lastRenderedPageBreak/>
        <w:drawing>
          <wp:inline distT="0" distB="0" distL="0" distR="0" wp14:anchorId="08BAA6BA" wp14:editId="7B9AEB15">
            <wp:extent cx="4810125" cy="615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810804" cy="6154019"/>
                    </a:xfrm>
                    <a:prstGeom prst="rect">
                      <a:avLst/>
                    </a:prstGeom>
                  </pic:spPr>
                </pic:pic>
              </a:graphicData>
            </a:graphic>
          </wp:inline>
        </w:drawing>
      </w:r>
    </w:p>
    <w:p w14:paraId="31AC758A" w14:textId="77777777" w:rsidR="00730DFC" w:rsidRDefault="00730DFC" w:rsidP="00441B6F">
      <w:pPr>
        <w:pStyle w:val="Body"/>
        <w:spacing w:after="0"/>
        <w:rPr>
          <w:rFonts w:ascii="Arial" w:hAnsi="Arial" w:cs="Arial"/>
        </w:rPr>
      </w:pPr>
    </w:p>
    <w:p w14:paraId="4025ED8C" w14:textId="77777777" w:rsidR="00730DFC" w:rsidRDefault="00730DFC" w:rsidP="00441B6F">
      <w:pPr>
        <w:pStyle w:val="Body"/>
        <w:spacing w:after="0"/>
        <w:rPr>
          <w:rFonts w:ascii="Arial" w:hAnsi="Arial" w:cs="Arial"/>
        </w:rPr>
      </w:pPr>
    </w:p>
    <w:p w14:paraId="0A16F977" w14:textId="77777777" w:rsidR="00730DFC" w:rsidRPr="00730DFC" w:rsidRDefault="00730DFC" w:rsidP="00730DFC">
      <w:pPr>
        <w:pStyle w:val="Body"/>
        <w:spacing w:after="0"/>
        <w:rPr>
          <w:rFonts w:ascii="Arial" w:hAnsi="Arial" w:cs="Arial"/>
          <w:b/>
          <w:bCs/>
        </w:rPr>
      </w:pPr>
      <w:r w:rsidRPr="00730DFC">
        <w:rPr>
          <w:rFonts w:ascii="Arial" w:hAnsi="Arial" w:cs="Arial"/>
          <w:b/>
          <w:bCs/>
        </w:rPr>
        <w:t xml:space="preserve">Theme 1: 'Bawal </w:t>
      </w:r>
      <w:proofErr w:type="spellStart"/>
      <w:r w:rsidRPr="00730DFC">
        <w:rPr>
          <w:rFonts w:ascii="Arial" w:hAnsi="Arial" w:cs="Arial"/>
          <w:b/>
          <w:bCs/>
        </w:rPr>
        <w:t>Magkasakit</w:t>
      </w:r>
      <w:proofErr w:type="spellEnd"/>
      <w:r w:rsidRPr="00730DFC">
        <w:rPr>
          <w:rFonts w:ascii="Arial" w:hAnsi="Arial" w:cs="Arial"/>
          <w:b/>
          <w:bCs/>
        </w:rPr>
        <w:t>': The Unaffordability of Being Unwell</w:t>
      </w:r>
    </w:p>
    <w:p w14:paraId="2E6D0965" w14:textId="77777777" w:rsidR="00730DFC" w:rsidRPr="00730DFC" w:rsidRDefault="00730DFC" w:rsidP="00730DFC">
      <w:pPr>
        <w:pStyle w:val="Body"/>
        <w:spacing w:after="0"/>
        <w:rPr>
          <w:rFonts w:ascii="Arial" w:hAnsi="Arial" w:cs="Arial"/>
        </w:rPr>
      </w:pPr>
      <w:r w:rsidRPr="00730DFC">
        <w:rPr>
          <w:rFonts w:ascii="Arial" w:hAnsi="Arial" w:cs="Arial"/>
        </w:rPr>
        <w:t xml:space="preserve">This theme was the most dominant and visceral in all focus groups. Participants articulated a clear hierarchy of needs where financial obligations to their families in the Philippines took absolute precedence. The phrase *'Bawal </w:t>
      </w:r>
      <w:proofErr w:type="spellStart"/>
      <w:r w:rsidRPr="00730DFC">
        <w:rPr>
          <w:rFonts w:ascii="Arial" w:hAnsi="Arial" w:cs="Arial"/>
        </w:rPr>
        <w:t>magkasakit</w:t>
      </w:r>
      <w:proofErr w:type="spellEnd"/>
      <w:r w:rsidRPr="00730DFC">
        <w:rPr>
          <w:rFonts w:ascii="Arial" w:hAnsi="Arial" w:cs="Arial"/>
        </w:rPr>
        <w:t>'* (It's forbidden to get sick) was used repeatedly, applying to both physical and mental health. Mental distress was framed not as a health issue but as an unaffordable indulgence. The fear of job loss was a powerful sub-theme; participants believed that showing any sign of mental "weakness" could lead to their contract being terminated, which would be catastrophic for their families.</w:t>
      </w:r>
    </w:p>
    <w:p w14:paraId="280E4641" w14:textId="77777777" w:rsidR="00730DFC" w:rsidRPr="00730DFC" w:rsidRDefault="00730DFC" w:rsidP="00730DFC">
      <w:pPr>
        <w:pStyle w:val="Body"/>
        <w:spacing w:after="0"/>
        <w:rPr>
          <w:rFonts w:ascii="Arial" w:hAnsi="Arial" w:cs="Arial"/>
          <w:i/>
          <w:iCs/>
        </w:rPr>
      </w:pPr>
      <w:r w:rsidRPr="00730DFC">
        <w:rPr>
          <w:rFonts w:ascii="Arial" w:hAnsi="Arial" w:cs="Arial"/>
          <w:i/>
          <w:iCs/>
        </w:rPr>
        <w:lastRenderedPageBreak/>
        <w:t>"Here, you are a machine. You work, you send money. If the machine breaks, they will just replace you. So you cannot break. You cannot be sad. You just work." (P1, FG3)</w:t>
      </w:r>
    </w:p>
    <w:p w14:paraId="46A9E7EE" w14:textId="77777777" w:rsidR="00730DFC" w:rsidRPr="00730DFC" w:rsidRDefault="00730DFC" w:rsidP="00730DFC">
      <w:pPr>
        <w:pStyle w:val="Body"/>
        <w:spacing w:after="0"/>
        <w:rPr>
          <w:rFonts w:ascii="Arial" w:hAnsi="Arial" w:cs="Arial"/>
        </w:rPr>
      </w:pPr>
      <w:r w:rsidRPr="00730DFC">
        <w:rPr>
          <w:rFonts w:ascii="Arial" w:hAnsi="Arial" w:cs="Arial"/>
        </w:rPr>
        <w:t>This economic calculus directly impacts help-seeking. Even when aware that services might exist, the perceived cost was an insurmountable barrier. Participants spoke of their salaries being meticulously budgeted for remittances, with no room for "extra" expenses like therapy. The lack of comprehensive health insurance covering mental health for their visa categories was a frequently cited systemic failure.</w:t>
      </w:r>
    </w:p>
    <w:p w14:paraId="7F3377C3" w14:textId="77777777" w:rsidR="00730DFC" w:rsidRPr="00730DFC" w:rsidRDefault="00730DFC" w:rsidP="00730DFC">
      <w:pPr>
        <w:pStyle w:val="Body"/>
        <w:rPr>
          <w:rFonts w:ascii="Arial" w:hAnsi="Arial" w:cs="Arial"/>
        </w:rPr>
      </w:pPr>
    </w:p>
    <w:p w14:paraId="74868007" w14:textId="77777777" w:rsidR="00730DFC" w:rsidRPr="00730DFC" w:rsidRDefault="00730DFC" w:rsidP="00730DFC">
      <w:pPr>
        <w:pStyle w:val="Body"/>
        <w:spacing w:after="0"/>
        <w:rPr>
          <w:rFonts w:ascii="Arial" w:hAnsi="Arial" w:cs="Arial"/>
          <w:b/>
          <w:bCs/>
        </w:rPr>
      </w:pPr>
      <w:r w:rsidRPr="00730DFC">
        <w:rPr>
          <w:rFonts w:ascii="Arial" w:hAnsi="Arial" w:cs="Arial"/>
          <w:b/>
          <w:bCs/>
        </w:rPr>
        <w:t>Theme 2: The Double-Edged Sword of Community</w:t>
      </w:r>
    </w:p>
    <w:p w14:paraId="66EA870C" w14:textId="77777777" w:rsidR="00730DFC" w:rsidRPr="00730DFC" w:rsidRDefault="00730DFC" w:rsidP="00730DFC">
      <w:pPr>
        <w:pStyle w:val="Body"/>
        <w:spacing w:after="0"/>
        <w:rPr>
          <w:rFonts w:ascii="Arial" w:hAnsi="Arial" w:cs="Arial"/>
        </w:rPr>
      </w:pPr>
      <w:r w:rsidRPr="00730DFC">
        <w:rPr>
          <w:rFonts w:ascii="Arial" w:hAnsi="Arial" w:cs="Arial"/>
        </w:rPr>
        <w:t>Participants described their community with a profound sense of ambivalence. On one hand, the *'</w:t>
      </w:r>
      <w:proofErr w:type="spellStart"/>
      <w:r w:rsidRPr="00730DFC">
        <w:rPr>
          <w:rFonts w:ascii="Arial" w:hAnsi="Arial" w:cs="Arial"/>
        </w:rPr>
        <w:t>kabayan</w:t>
      </w:r>
      <w:proofErr w:type="spellEnd"/>
      <w:r w:rsidRPr="00730DFC">
        <w:rPr>
          <w:rFonts w:ascii="Arial" w:hAnsi="Arial" w:cs="Arial"/>
        </w:rPr>
        <w:t xml:space="preserve">'* (compatriot) network was a lifeline, providing a sense of belonging, practical support, and a shared cultural space in a foreign land. This was their primary </w:t>
      </w:r>
      <w:proofErr w:type="spellStart"/>
      <w:r w:rsidRPr="00730DFC">
        <w:rPr>
          <w:rFonts w:ascii="Arial" w:hAnsi="Arial" w:cs="Arial"/>
        </w:rPr>
        <w:t>defence</w:t>
      </w:r>
      <w:proofErr w:type="spellEnd"/>
      <w:r w:rsidRPr="00730DFC">
        <w:rPr>
          <w:rFonts w:ascii="Arial" w:hAnsi="Arial" w:cs="Arial"/>
        </w:rPr>
        <w:t xml:space="preserve"> against loneliness and isolation. However, this same closeness created a panoptic environment where privacy was scarce and social judgment was swift. The fear of *'</w:t>
      </w:r>
      <w:proofErr w:type="spellStart"/>
      <w:r w:rsidRPr="00730DFC">
        <w:rPr>
          <w:rFonts w:ascii="Arial" w:hAnsi="Arial" w:cs="Arial"/>
        </w:rPr>
        <w:t>tsismis</w:t>
      </w:r>
      <w:proofErr w:type="spellEnd"/>
      <w:r w:rsidRPr="00730DFC">
        <w:rPr>
          <w:rFonts w:ascii="Arial" w:hAnsi="Arial" w:cs="Arial"/>
        </w:rPr>
        <w:t>'* (gossip) was a powerful social control mechanism.</w:t>
      </w:r>
    </w:p>
    <w:p w14:paraId="4E4BD6F6" w14:textId="77777777" w:rsidR="00730DFC" w:rsidRPr="00730DFC" w:rsidRDefault="00730DFC" w:rsidP="00730DFC">
      <w:pPr>
        <w:pStyle w:val="Body"/>
        <w:spacing w:after="0"/>
        <w:rPr>
          <w:rFonts w:ascii="Arial" w:hAnsi="Arial" w:cs="Arial"/>
        </w:rPr>
      </w:pPr>
      <w:r w:rsidRPr="00730DFC">
        <w:rPr>
          <w:rFonts w:ascii="Arial" w:hAnsi="Arial" w:cs="Arial"/>
        </w:rPr>
        <w:t>Seeking professional help was seen as a public admission of failure that would quickly become community knowledge. This connects directly to the cultural value of *'hiya'* (shame or loss of face). Participants were concerned not only for their own reputation but for the shame it could bring upon their family back home. They felt immense pressure to project an image of success and resilience, as their migration story was a source of family pride. Admitting to mental struggles would tarnish that narrative.</w:t>
      </w:r>
    </w:p>
    <w:p w14:paraId="4E828205" w14:textId="77777777" w:rsidR="00730DFC" w:rsidRPr="00730DFC" w:rsidRDefault="00730DFC" w:rsidP="00730DFC">
      <w:pPr>
        <w:pStyle w:val="Body"/>
        <w:spacing w:after="0"/>
        <w:rPr>
          <w:rFonts w:ascii="Arial" w:hAnsi="Arial" w:cs="Arial"/>
          <w:i/>
          <w:iCs/>
        </w:rPr>
      </w:pPr>
      <w:r w:rsidRPr="00730DFC">
        <w:rPr>
          <w:rFonts w:ascii="Arial" w:hAnsi="Arial" w:cs="Arial"/>
          <w:i/>
          <w:iCs/>
        </w:rPr>
        <w:t>"Your face here is not just your face. It is the face of your family. If people say you are '</w:t>
      </w:r>
      <w:proofErr w:type="spellStart"/>
      <w:r w:rsidRPr="00730DFC">
        <w:rPr>
          <w:rFonts w:ascii="Arial" w:hAnsi="Arial" w:cs="Arial"/>
          <w:i/>
          <w:iCs/>
        </w:rPr>
        <w:t>sira</w:t>
      </w:r>
      <w:proofErr w:type="spellEnd"/>
      <w:r w:rsidRPr="00730DFC">
        <w:rPr>
          <w:rFonts w:ascii="Arial" w:hAnsi="Arial" w:cs="Arial"/>
          <w:i/>
          <w:iCs/>
        </w:rPr>
        <w:t xml:space="preserve"> ulo' (broken-headed), it is like saying your family is also broken. It is a heavy burden." (P4, FG2)</w:t>
      </w:r>
    </w:p>
    <w:p w14:paraId="7FC2CDCF" w14:textId="77777777" w:rsidR="00730DFC" w:rsidRPr="00730DFC" w:rsidRDefault="00730DFC" w:rsidP="00730DFC">
      <w:pPr>
        <w:pStyle w:val="Body"/>
        <w:spacing w:after="0"/>
        <w:rPr>
          <w:rFonts w:ascii="Arial" w:hAnsi="Arial" w:cs="Arial"/>
          <w:b/>
          <w:bCs/>
        </w:rPr>
      </w:pPr>
      <w:r w:rsidRPr="00730DFC">
        <w:rPr>
          <w:rFonts w:ascii="Arial" w:hAnsi="Arial" w:cs="Arial"/>
          <w:b/>
          <w:bCs/>
        </w:rPr>
        <w:t>Theme 3: Faith as a First and Final Resort</w:t>
      </w:r>
    </w:p>
    <w:p w14:paraId="6F5E6FCA" w14:textId="77777777" w:rsidR="00730DFC" w:rsidRPr="00730DFC" w:rsidRDefault="00730DFC" w:rsidP="00730DFC">
      <w:pPr>
        <w:pStyle w:val="Body"/>
        <w:spacing w:after="0"/>
        <w:rPr>
          <w:rFonts w:ascii="Arial" w:hAnsi="Arial" w:cs="Arial"/>
        </w:rPr>
      </w:pPr>
      <w:r w:rsidRPr="00730DFC">
        <w:rPr>
          <w:rFonts w:ascii="Arial" w:hAnsi="Arial" w:cs="Arial"/>
        </w:rPr>
        <w:t>Across all groups, spirituality and faith emerged as the primary coping mechanism. When faced with distress, the immediate and most natural response was to pray, attend church or prayer meetings, and *'</w:t>
      </w:r>
      <w:proofErr w:type="spellStart"/>
      <w:r w:rsidRPr="00730DFC">
        <w:rPr>
          <w:rFonts w:ascii="Arial" w:hAnsi="Arial" w:cs="Arial"/>
        </w:rPr>
        <w:t>ipagpasa-Diyos</w:t>
      </w:r>
      <w:proofErr w:type="spellEnd"/>
      <w:r w:rsidRPr="00730DFC">
        <w:rPr>
          <w:rFonts w:ascii="Arial" w:hAnsi="Arial" w:cs="Arial"/>
        </w:rPr>
        <w:t>'* (surrender it to God). This reliance on faith provided immense comfort, hope, and a framework for making sense of their suffering—often viewing it as a test of faith.</w:t>
      </w:r>
    </w:p>
    <w:p w14:paraId="14F38050" w14:textId="77777777" w:rsidR="00730DFC" w:rsidRPr="00730DFC" w:rsidRDefault="00730DFC" w:rsidP="00730DFC">
      <w:pPr>
        <w:pStyle w:val="Body"/>
        <w:spacing w:after="0"/>
        <w:rPr>
          <w:rFonts w:ascii="Arial" w:hAnsi="Arial" w:cs="Arial"/>
        </w:rPr>
      </w:pPr>
      <w:r w:rsidRPr="00730DFC">
        <w:rPr>
          <w:rFonts w:ascii="Arial" w:hAnsi="Arial" w:cs="Arial"/>
        </w:rPr>
        <w:t>However, this strong spiritual orientation also acted as a barrier to formal help-seeking. Many participants expressed the belief that psychological problems were spiritual in nature and thus required a spiritual solution. Seeking professional help was sometimes viewed as a lack of faith or an unnecessary step when divine help was available. Mental health professionals were seen as catering to "extreme" cases, such as severe psychosis (*'</w:t>
      </w:r>
      <w:proofErr w:type="spellStart"/>
      <w:r w:rsidRPr="00730DFC">
        <w:rPr>
          <w:rFonts w:ascii="Arial" w:hAnsi="Arial" w:cs="Arial"/>
        </w:rPr>
        <w:t>baliw</w:t>
      </w:r>
      <w:proofErr w:type="spellEnd"/>
      <w:r w:rsidRPr="00730DFC">
        <w:rPr>
          <w:rFonts w:ascii="Arial" w:hAnsi="Arial" w:cs="Arial"/>
        </w:rPr>
        <w:t>'*), not for common problems like sadness (*'</w:t>
      </w:r>
      <w:proofErr w:type="spellStart"/>
      <w:r w:rsidRPr="00730DFC">
        <w:rPr>
          <w:rFonts w:ascii="Arial" w:hAnsi="Arial" w:cs="Arial"/>
        </w:rPr>
        <w:t>lungkot</w:t>
      </w:r>
      <w:proofErr w:type="spellEnd"/>
      <w:r w:rsidRPr="00730DFC">
        <w:rPr>
          <w:rFonts w:ascii="Arial" w:hAnsi="Arial" w:cs="Arial"/>
        </w:rPr>
        <w:t>'*) or anxiety (*'</w:t>
      </w:r>
      <w:proofErr w:type="spellStart"/>
      <w:r w:rsidRPr="00730DFC">
        <w:rPr>
          <w:rFonts w:ascii="Arial" w:hAnsi="Arial" w:cs="Arial"/>
        </w:rPr>
        <w:t>kaba</w:t>
      </w:r>
      <w:proofErr w:type="spellEnd"/>
      <w:r w:rsidRPr="00730DFC">
        <w:rPr>
          <w:rFonts w:ascii="Arial" w:hAnsi="Arial" w:cs="Arial"/>
        </w:rPr>
        <w:t>'*). This created a high threshold for what was considered a "legitimate" reason to see a professional.</w:t>
      </w:r>
    </w:p>
    <w:p w14:paraId="5C8E2E24" w14:textId="77777777" w:rsidR="00730DFC" w:rsidRDefault="00730DFC" w:rsidP="00730DFC">
      <w:pPr>
        <w:pStyle w:val="Body"/>
        <w:spacing w:after="0"/>
        <w:rPr>
          <w:rFonts w:ascii="Arial" w:hAnsi="Arial" w:cs="Arial"/>
          <w:i/>
          <w:iCs/>
        </w:rPr>
      </w:pPr>
      <w:r w:rsidRPr="00730DFC">
        <w:rPr>
          <w:rFonts w:ascii="Arial" w:hAnsi="Arial" w:cs="Arial"/>
          <w:i/>
          <w:iCs/>
        </w:rPr>
        <w:t>"For us, the best counsellor is God. He listens for free, 24/7. Why would I tell my problems to a stranger when I can tell them to Him?" (P2, FG4)</w:t>
      </w:r>
    </w:p>
    <w:p w14:paraId="558CF3F1" w14:textId="77777777" w:rsidR="00730DFC" w:rsidRPr="00730DFC" w:rsidRDefault="00730DFC" w:rsidP="00730DFC">
      <w:pPr>
        <w:pStyle w:val="Body"/>
        <w:spacing w:after="0"/>
        <w:rPr>
          <w:rFonts w:ascii="Arial" w:hAnsi="Arial" w:cs="Arial"/>
          <w:i/>
          <w:iCs/>
        </w:rPr>
      </w:pPr>
    </w:p>
    <w:p w14:paraId="1B774EBA" w14:textId="77777777" w:rsidR="00730DFC" w:rsidRPr="00730DFC" w:rsidRDefault="00730DFC" w:rsidP="00730DFC">
      <w:pPr>
        <w:pStyle w:val="Body"/>
        <w:spacing w:after="0"/>
        <w:rPr>
          <w:rFonts w:ascii="Arial" w:hAnsi="Arial" w:cs="Arial"/>
          <w:b/>
          <w:bCs/>
        </w:rPr>
      </w:pPr>
      <w:r w:rsidRPr="00730DFC">
        <w:rPr>
          <w:rFonts w:ascii="Arial" w:hAnsi="Arial" w:cs="Arial"/>
          <w:b/>
          <w:bCs/>
        </w:rPr>
        <w:t>4.4. Integration of Findings</w:t>
      </w:r>
    </w:p>
    <w:p w14:paraId="4B13F7CE" w14:textId="77777777" w:rsidR="00730DFC" w:rsidRPr="00730DFC" w:rsidRDefault="00730DFC" w:rsidP="00730DFC">
      <w:pPr>
        <w:pStyle w:val="Body"/>
        <w:spacing w:after="0"/>
        <w:rPr>
          <w:rFonts w:ascii="Arial" w:hAnsi="Arial" w:cs="Arial"/>
        </w:rPr>
      </w:pPr>
      <w:r w:rsidRPr="00730DFC">
        <w:rPr>
          <w:rFonts w:ascii="Arial" w:hAnsi="Arial" w:cs="Arial"/>
        </w:rPr>
        <w:t>The integration of quantitative and qualitative data through a joint display (Table 3) reveals a powerful synergy, where each dataset deepens the understanding of the other. This process of triangulation confirms and elaborates on the core findings of the study(  </w:t>
      </w:r>
      <w:hyperlink r:id="rId36" w:tgtFrame="_blank" w:history="1">
        <w:r w:rsidRPr="00730DFC">
          <w:rPr>
            <w:rStyle w:val="Hyperlink"/>
            <w:rFonts w:ascii="Arial" w:hAnsi="Arial" w:cs="Arial"/>
            <w:color w:val="auto"/>
            <w:u w:val="none"/>
          </w:rPr>
          <w:t>Fetters &amp; Freshwater, 2021</w:t>
        </w:r>
      </w:hyperlink>
      <w:r w:rsidRPr="00730DFC">
        <w:rPr>
          <w:rFonts w:ascii="Arial" w:hAnsi="Arial" w:cs="Arial"/>
        </w:rPr>
        <w:t>)  .</w:t>
      </w:r>
    </w:p>
    <w:p w14:paraId="5816898E" w14:textId="77777777" w:rsidR="00730DFC" w:rsidRDefault="00730DFC" w:rsidP="00441B6F">
      <w:pPr>
        <w:pStyle w:val="Body"/>
        <w:spacing w:after="0"/>
        <w:rPr>
          <w:rFonts w:ascii="Arial" w:hAnsi="Arial" w:cs="Arial"/>
        </w:rPr>
      </w:pP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2151"/>
        <w:gridCol w:w="3891"/>
        <w:gridCol w:w="3558"/>
      </w:tblGrid>
      <w:tr w:rsidR="00730DFC" w:rsidRPr="00730DFC" w14:paraId="0A3FE0C8" w14:textId="77777777" w:rsidTr="00730DFC">
        <w:trPr>
          <w:tblHeader/>
          <w:tblCellSpacing w:w="15" w:type="dxa"/>
        </w:trPr>
        <w:tc>
          <w:tcPr>
            <w:tcW w:w="0" w:type="auto"/>
            <w:gridSpan w:val="3"/>
            <w:tcBorders>
              <w:top w:val="nil"/>
              <w:left w:val="nil"/>
              <w:bottom w:val="nil"/>
              <w:right w:val="nil"/>
            </w:tcBorders>
            <w:shd w:val="clear" w:color="auto" w:fill="F2F2F2"/>
            <w:tcMar>
              <w:top w:w="180" w:type="dxa"/>
              <w:left w:w="180" w:type="dxa"/>
              <w:bottom w:w="180" w:type="dxa"/>
              <w:right w:w="180" w:type="dxa"/>
            </w:tcMar>
            <w:vAlign w:val="center"/>
            <w:hideMark/>
          </w:tcPr>
          <w:p w14:paraId="73A7DFC1" w14:textId="77777777" w:rsidR="00730DFC" w:rsidRPr="00730DFC" w:rsidRDefault="00730DFC" w:rsidP="00730DFC">
            <w:pPr>
              <w:pStyle w:val="Body"/>
              <w:spacing w:after="0"/>
              <w:rPr>
                <w:rFonts w:ascii="Arial" w:hAnsi="Arial" w:cs="Arial"/>
              </w:rPr>
            </w:pPr>
            <w:r w:rsidRPr="00730DFC">
              <w:rPr>
                <w:rFonts w:ascii="Arial" w:hAnsi="Arial" w:cs="Arial"/>
              </w:rPr>
              <w:lastRenderedPageBreak/>
              <w:t>Table 3. Joint Display: Integrating Quantitative and Qualitative Data for Triangulation</w:t>
            </w:r>
          </w:p>
        </w:tc>
      </w:tr>
      <w:tr w:rsidR="00730DFC" w:rsidRPr="00730DFC" w14:paraId="5FD96171" w14:textId="77777777" w:rsidTr="00730DFC">
        <w:trPr>
          <w:tblHeade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vAlign w:val="center"/>
            <w:hideMark/>
          </w:tcPr>
          <w:p w14:paraId="4F9F2143" w14:textId="77777777" w:rsidR="00730DFC" w:rsidRPr="00730DFC" w:rsidRDefault="00730DFC" w:rsidP="00730DFC">
            <w:pPr>
              <w:pStyle w:val="Body"/>
              <w:spacing w:after="0"/>
              <w:rPr>
                <w:rFonts w:ascii="Arial" w:hAnsi="Arial" w:cs="Arial"/>
                <w:b/>
                <w:bCs/>
              </w:rPr>
            </w:pPr>
            <w:r w:rsidRPr="00730DFC">
              <w:rPr>
                <w:rFonts w:ascii="Arial" w:hAnsi="Arial" w:cs="Arial"/>
                <w:b/>
                <w:bCs/>
              </w:rPr>
              <w:t>Quantitative Finding (Survey Data)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vAlign w:val="center"/>
            <w:hideMark/>
          </w:tcPr>
          <w:p w14:paraId="26CBE18E" w14:textId="77777777" w:rsidR="00730DFC" w:rsidRPr="00730DFC" w:rsidRDefault="00730DFC" w:rsidP="00730DFC">
            <w:pPr>
              <w:pStyle w:val="Body"/>
              <w:spacing w:after="0"/>
              <w:rPr>
                <w:rFonts w:ascii="Arial" w:hAnsi="Arial" w:cs="Arial"/>
                <w:b/>
                <w:bCs/>
              </w:rPr>
            </w:pPr>
            <w:r w:rsidRPr="00730DFC">
              <w:rPr>
                <w:rFonts w:ascii="Arial" w:hAnsi="Arial" w:cs="Arial"/>
                <w:b/>
                <w:bCs/>
              </w:rPr>
              <w:t>Related Qualitative Theme &amp; Elaboration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vAlign w:val="center"/>
            <w:hideMark/>
          </w:tcPr>
          <w:p w14:paraId="7698D2BC" w14:textId="77777777" w:rsidR="00730DFC" w:rsidRPr="00730DFC" w:rsidRDefault="00730DFC" w:rsidP="00730DFC">
            <w:pPr>
              <w:pStyle w:val="Body"/>
              <w:spacing w:after="0"/>
              <w:rPr>
                <w:rFonts w:ascii="Arial" w:hAnsi="Arial" w:cs="Arial"/>
                <w:b/>
                <w:bCs/>
              </w:rPr>
            </w:pPr>
            <w:r w:rsidRPr="00730DFC">
              <w:rPr>
                <w:rFonts w:ascii="Arial" w:hAnsi="Arial" w:cs="Arial"/>
                <w:b/>
                <w:bCs/>
              </w:rPr>
              <w:t>Illustrative Quote</w:t>
            </w:r>
          </w:p>
        </w:tc>
      </w:tr>
      <w:tr w:rsidR="00730DFC" w:rsidRPr="00730DFC" w14:paraId="2F97C6EB" w14:textId="77777777" w:rsidTr="00730DFC">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317C22AA" w14:textId="77777777" w:rsidR="00730DFC" w:rsidRPr="00730DFC" w:rsidRDefault="00730DFC" w:rsidP="00730DFC">
            <w:pPr>
              <w:pStyle w:val="Body"/>
              <w:spacing w:after="0"/>
              <w:rPr>
                <w:rFonts w:ascii="Arial" w:hAnsi="Arial" w:cs="Arial"/>
              </w:rPr>
            </w:pPr>
            <w:r w:rsidRPr="00730DFC">
              <w:rPr>
                <w:rFonts w:ascii="Arial" w:hAnsi="Arial" w:cs="Arial"/>
                <w:b/>
                <w:bCs/>
              </w:rPr>
              <w:t>Strong negative correlation between MHL and barriers (r = -.62).</w:t>
            </w:r>
          </w:p>
        </w:tc>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024A9BD8" w14:textId="77777777" w:rsidR="00730DFC" w:rsidRPr="00730DFC" w:rsidRDefault="00730DFC" w:rsidP="00730DFC">
            <w:pPr>
              <w:pStyle w:val="Body"/>
              <w:spacing w:after="0"/>
              <w:rPr>
                <w:rFonts w:ascii="Arial" w:hAnsi="Arial" w:cs="Arial"/>
              </w:rPr>
            </w:pPr>
            <w:r w:rsidRPr="00730DFC">
              <w:rPr>
                <w:rFonts w:ascii="Arial" w:hAnsi="Arial" w:cs="Arial"/>
                <w:b/>
                <w:bCs/>
              </w:rPr>
              <w:t>Theme 1 &amp; 2:</w:t>
            </w:r>
            <w:r w:rsidRPr="00730DFC">
              <w:rPr>
                <w:rFonts w:ascii="Arial" w:hAnsi="Arial" w:cs="Arial"/>
              </w:rPr>
              <w:t> The qualitative data complicates this relationship. While higher MHL may reduce some attitudinal barriers, it does not erase the formidable structural (cost) and cultural (stigma) ones. A person can be 'literate' but still unable or unwilling to act due to overwhelming external pressures.</w:t>
            </w:r>
          </w:p>
        </w:tc>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034956E8" w14:textId="77777777" w:rsidR="00730DFC" w:rsidRPr="00730DFC" w:rsidRDefault="00730DFC" w:rsidP="00730DFC">
            <w:pPr>
              <w:pStyle w:val="Body"/>
              <w:spacing w:after="0"/>
              <w:rPr>
                <w:rFonts w:ascii="Arial" w:hAnsi="Arial" w:cs="Arial"/>
              </w:rPr>
            </w:pPr>
            <w:r w:rsidRPr="00730DFC">
              <w:rPr>
                <w:rFonts w:ascii="Arial" w:hAnsi="Arial" w:cs="Arial"/>
                <w:i/>
                <w:iCs/>
              </w:rPr>
              <w:t>"I know I should probably talk to someone... I read about it online. But knowing and doing are two different things when you have bills to pay and people who might talk."</w:t>
            </w:r>
            <w:r w:rsidRPr="00730DFC">
              <w:rPr>
                <w:rFonts w:ascii="Arial" w:hAnsi="Arial" w:cs="Arial"/>
              </w:rPr>
              <w:t> (P6, FG3)</w:t>
            </w:r>
          </w:p>
        </w:tc>
      </w:tr>
      <w:tr w:rsidR="00730DFC" w:rsidRPr="00730DFC" w14:paraId="34167CD6" w14:textId="77777777" w:rsidTr="00730DFC">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6CB6FE87" w14:textId="77777777" w:rsidR="00730DFC" w:rsidRPr="00730DFC" w:rsidRDefault="00730DFC" w:rsidP="00730DFC">
            <w:pPr>
              <w:pStyle w:val="Body"/>
              <w:spacing w:after="0"/>
              <w:rPr>
                <w:rFonts w:ascii="Arial" w:hAnsi="Arial" w:cs="Arial"/>
              </w:rPr>
            </w:pPr>
            <w:r w:rsidRPr="00730DFC">
              <w:rPr>
                <w:rFonts w:ascii="Arial" w:hAnsi="Arial" w:cs="Arial"/>
                <w:b/>
                <w:bCs/>
              </w:rPr>
              <w:t>Stigma is the highest-rated barrier (M = 4.21).</w:t>
            </w:r>
            <w:r w:rsidRPr="00730DFC">
              <w:rPr>
                <w:rFonts w:ascii="Arial" w:hAnsi="Arial" w:cs="Arial"/>
              </w:rPr>
              <w:t> 78% agree "fear of judgment" is a major barrier.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434F7F72" w14:textId="77777777" w:rsidR="00730DFC" w:rsidRPr="00730DFC" w:rsidRDefault="00730DFC" w:rsidP="00730DFC">
            <w:pPr>
              <w:pStyle w:val="Body"/>
              <w:spacing w:after="0"/>
              <w:rPr>
                <w:rFonts w:ascii="Arial" w:hAnsi="Arial" w:cs="Arial"/>
              </w:rPr>
            </w:pPr>
            <w:r w:rsidRPr="00730DFC">
              <w:rPr>
                <w:rFonts w:ascii="Arial" w:hAnsi="Arial" w:cs="Arial"/>
                <w:b/>
                <w:bCs/>
              </w:rPr>
              <w:t>Theme 2: The Double-Edged Sword of Community.</w:t>
            </w:r>
            <w:r w:rsidRPr="00730DFC">
              <w:rPr>
                <w:rFonts w:ascii="Arial" w:hAnsi="Arial" w:cs="Arial"/>
              </w:rPr>
              <w:t> This theme provides the 'why' behind the high stigma score. It is not an abstract fear but a concrete social reality rooted in the dynamics of a close-knit migrant community and the cultural importance of 'face'.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5BD922BC" w14:textId="77777777" w:rsidR="00730DFC" w:rsidRPr="00730DFC" w:rsidRDefault="00730DFC" w:rsidP="00730DFC">
            <w:pPr>
              <w:pStyle w:val="Body"/>
              <w:spacing w:after="0"/>
              <w:rPr>
                <w:rFonts w:ascii="Arial" w:hAnsi="Arial" w:cs="Arial"/>
              </w:rPr>
            </w:pPr>
            <w:r w:rsidRPr="00730DFC">
              <w:rPr>
                <w:rFonts w:ascii="Arial" w:hAnsi="Arial" w:cs="Arial"/>
                <w:i/>
                <w:iCs/>
              </w:rPr>
              <w:t>"Sa community natin, lahat nag-</w:t>
            </w:r>
            <w:proofErr w:type="spellStart"/>
            <w:r w:rsidRPr="00730DFC">
              <w:rPr>
                <w:rFonts w:ascii="Arial" w:hAnsi="Arial" w:cs="Arial"/>
                <w:i/>
                <w:iCs/>
              </w:rPr>
              <w:t>uusap</w:t>
            </w:r>
            <w:proofErr w:type="spellEnd"/>
            <w:r w:rsidRPr="00730DFC">
              <w:rPr>
                <w:rFonts w:ascii="Arial" w:hAnsi="Arial" w:cs="Arial"/>
                <w:i/>
                <w:iCs/>
              </w:rPr>
              <w:t xml:space="preserve">. Pag </w:t>
            </w:r>
            <w:proofErr w:type="spellStart"/>
            <w:r w:rsidRPr="00730DFC">
              <w:rPr>
                <w:rFonts w:ascii="Arial" w:hAnsi="Arial" w:cs="Arial"/>
                <w:i/>
                <w:iCs/>
              </w:rPr>
              <w:t>nalaman</w:t>
            </w:r>
            <w:proofErr w:type="spellEnd"/>
            <w:r w:rsidRPr="00730DFC">
              <w:rPr>
                <w:rFonts w:ascii="Arial" w:hAnsi="Arial" w:cs="Arial"/>
                <w:i/>
                <w:iCs/>
              </w:rPr>
              <w:t xml:space="preserve"> </w:t>
            </w:r>
            <w:proofErr w:type="spellStart"/>
            <w:r w:rsidRPr="00730DFC">
              <w:rPr>
                <w:rFonts w:ascii="Arial" w:hAnsi="Arial" w:cs="Arial"/>
                <w:i/>
                <w:iCs/>
              </w:rPr>
              <w:t>nilang</w:t>
            </w:r>
            <w:proofErr w:type="spellEnd"/>
            <w:r w:rsidRPr="00730DFC">
              <w:rPr>
                <w:rFonts w:ascii="Arial" w:hAnsi="Arial" w:cs="Arial"/>
                <w:i/>
                <w:iCs/>
              </w:rPr>
              <w:t xml:space="preserve"> </w:t>
            </w:r>
            <w:proofErr w:type="spellStart"/>
            <w:r w:rsidRPr="00730DFC">
              <w:rPr>
                <w:rFonts w:ascii="Arial" w:hAnsi="Arial" w:cs="Arial"/>
                <w:i/>
                <w:iCs/>
              </w:rPr>
              <w:t>pumunta</w:t>
            </w:r>
            <w:proofErr w:type="spellEnd"/>
            <w:r w:rsidRPr="00730DFC">
              <w:rPr>
                <w:rFonts w:ascii="Arial" w:hAnsi="Arial" w:cs="Arial"/>
                <w:i/>
                <w:iCs/>
              </w:rPr>
              <w:t xml:space="preserve"> ka </w:t>
            </w:r>
            <w:proofErr w:type="spellStart"/>
            <w:r w:rsidRPr="00730DFC">
              <w:rPr>
                <w:rFonts w:ascii="Arial" w:hAnsi="Arial" w:cs="Arial"/>
                <w:i/>
                <w:iCs/>
              </w:rPr>
              <w:t>sa</w:t>
            </w:r>
            <w:proofErr w:type="spellEnd"/>
            <w:r w:rsidRPr="00730DFC">
              <w:rPr>
                <w:rFonts w:ascii="Arial" w:hAnsi="Arial" w:cs="Arial"/>
                <w:i/>
                <w:iCs/>
              </w:rPr>
              <w:t xml:space="preserve"> '</w:t>
            </w:r>
            <w:proofErr w:type="spellStart"/>
            <w:r w:rsidRPr="00730DFC">
              <w:rPr>
                <w:rFonts w:ascii="Arial" w:hAnsi="Arial" w:cs="Arial"/>
                <w:i/>
                <w:iCs/>
              </w:rPr>
              <w:t>doktor</w:t>
            </w:r>
            <w:proofErr w:type="spellEnd"/>
            <w:r w:rsidRPr="00730DFC">
              <w:rPr>
                <w:rFonts w:ascii="Arial" w:hAnsi="Arial" w:cs="Arial"/>
                <w:i/>
                <w:iCs/>
              </w:rPr>
              <w:t xml:space="preserve"> ng </w:t>
            </w:r>
            <w:proofErr w:type="spellStart"/>
            <w:r w:rsidRPr="00730DFC">
              <w:rPr>
                <w:rFonts w:ascii="Arial" w:hAnsi="Arial" w:cs="Arial"/>
                <w:i/>
                <w:iCs/>
              </w:rPr>
              <w:t>isip</w:t>
            </w:r>
            <w:proofErr w:type="spellEnd"/>
            <w:r w:rsidRPr="00730DFC">
              <w:rPr>
                <w:rFonts w:ascii="Arial" w:hAnsi="Arial" w:cs="Arial"/>
                <w:i/>
                <w:iCs/>
              </w:rPr>
              <w:t xml:space="preserve">', </w:t>
            </w:r>
            <w:proofErr w:type="spellStart"/>
            <w:r w:rsidRPr="00730DFC">
              <w:rPr>
                <w:rFonts w:ascii="Arial" w:hAnsi="Arial" w:cs="Arial"/>
                <w:i/>
                <w:iCs/>
              </w:rPr>
              <w:t>iisipin</w:t>
            </w:r>
            <w:proofErr w:type="spellEnd"/>
            <w:r w:rsidRPr="00730DFC">
              <w:rPr>
                <w:rFonts w:ascii="Arial" w:hAnsi="Arial" w:cs="Arial"/>
                <w:i/>
                <w:iCs/>
              </w:rPr>
              <w:t xml:space="preserve"> </w:t>
            </w:r>
            <w:proofErr w:type="spellStart"/>
            <w:r w:rsidRPr="00730DFC">
              <w:rPr>
                <w:rFonts w:ascii="Arial" w:hAnsi="Arial" w:cs="Arial"/>
                <w:i/>
                <w:iCs/>
              </w:rPr>
              <w:t>nila</w:t>
            </w:r>
            <w:proofErr w:type="spellEnd"/>
            <w:r w:rsidRPr="00730DFC">
              <w:rPr>
                <w:rFonts w:ascii="Arial" w:hAnsi="Arial" w:cs="Arial"/>
                <w:i/>
                <w:iCs/>
              </w:rPr>
              <w:t xml:space="preserve"> </w:t>
            </w:r>
            <w:proofErr w:type="spellStart"/>
            <w:r w:rsidRPr="00730DFC">
              <w:rPr>
                <w:rFonts w:ascii="Arial" w:hAnsi="Arial" w:cs="Arial"/>
                <w:i/>
                <w:iCs/>
              </w:rPr>
              <w:t>baliw</w:t>
            </w:r>
            <w:proofErr w:type="spellEnd"/>
            <w:r w:rsidRPr="00730DFC">
              <w:rPr>
                <w:rFonts w:ascii="Arial" w:hAnsi="Arial" w:cs="Arial"/>
                <w:i/>
                <w:iCs/>
              </w:rPr>
              <w:t xml:space="preserve"> ka </w:t>
            </w:r>
            <w:proofErr w:type="spellStart"/>
            <w:r w:rsidRPr="00730DFC">
              <w:rPr>
                <w:rFonts w:ascii="Arial" w:hAnsi="Arial" w:cs="Arial"/>
                <w:i/>
                <w:iCs/>
              </w:rPr>
              <w:t>na.</w:t>
            </w:r>
            <w:proofErr w:type="spellEnd"/>
            <w:r w:rsidRPr="00730DFC">
              <w:rPr>
                <w:rFonts w:ascii="Arial" w:hAnsi="Arial" w:cs="Arial"/>
                <w:i/>
                <w:iCs/>
              </w:rPr>
              <w:t xml:space="preserve"> </w:t>
            </w:r>
            <w:proofErr w:type="spellStart"/>
            <w:r w:rsidRPr="00730DFC">
              <w:rPr>
                <w:rFonts w:ascii="Arial" w:hAnsi="Arial" w:cs="Arial"/>
                <w:i/>
                <w:iCs/>
              </w:rPr>
              <w:t>Masisira</w:t>
            </w:r>
            <w:proofErr w:type="spellEnd"/>
            <w:r w:rsidRPr="00730DFC">
              <w:rPr>
                <w:rFonts w:ascii="Arial" w:hAnsi="Arial" w:cs="Arial"/>
                <w:i/>
                <w:iCs/>
              </w:rPr>
              <w:t xml:space="preserve"> ang </w:t>
            </w:r>
            <w:proofErr w:type="spellStart"/>
            <w:r w:rsidRPr="00730DFC">
              <w:rPr>
                <w:rFonts w:ascii="Arial" w:hAnsi="Arial" w:cs="Arial"/>
                <w:i/>
                <w:iCs/>
              </w:rPr>
              <w:t>pangalan</w:t>
            </w:r>
            <w:proofErr w:type="spellEnd"/>
            <w:r w:rsidRPr="00730DFC">
              <w:rPr>
                <w:rFonts w:ascii="Arial" w:hAnsi="Arial" w:cs="Arial"/>
                <w:i/>
                <w:iCs/>
              </w:rPr>
              <w:t xml:space="preserve"> mo."</w:t>
            </w:r>
            <w:r w:rsidRPr="00730DFC">
              <w:rPr>
                <w:rFonts w:ascii="Arial" w:hAnsi="Arial" w:cs="Arial"/>
              </w:rPr>
              <w:t> (In our community, everyone talks. If they find out you went to a 'doctor of the mind', they'll think you're crazy. Your reputation will be ruined.) (P5, FG2)</w:t>
            </w:r>
          </w:p>
        </w:tc>
      </w:tr>
      <w:tr w:rsidR="00730DFC" w:rsidRPr="00730DFC" w14:paraId="6FC91698" w14:textId="77777777" w:rsidTr="00730DFC">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5DBFDEDA" w14:textId="77777777" w:rsidR="00730DFC" w:rsidRPr="00730DFC" w:rsidRDefault="00730DFC" w:rsidP="00730DFC">
            <w:pPr>
              <w:pStyle w:val="Body"/>
              <w:spacing w:after="0"/>
              <w:rPr>
                <w:rFonts w:ascii="Arial" w:hAnsi="Arial" w:cs="Arial"/>
              </w:rPr>
            </w:pPr>
            <w:r w:rsidRPr="00730DFC">
              <w:rPr>
                <w:rFonts w:ascii="Arial" w:hAnsi="Arial" w:cs="Arial"/>
                <w:b/>
                <w:bCs/>
              </w:rPr>
              <w:t>Financial constraints are the second-highest barrier (M = 4.15).</w:t>
            </w:r>
          </w:p>
        </w:tc>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24D54B7B" w14:textId="77777777" w:rsidR="00730DFC" w:rsidRPr="00730DFC" w:rsidRDefault="00730DFC" w:rsidP="00730DFC">
            <w:pPr>
              <w:pStyle w:val="Body"/>
              <w:spacing w:after="0"/>
              <w:rPr>
                <w:rFonts w:ascii="Arial" w:hAnsi="Arial" w:cs="Arial"/>
              </w:rPr>
            </w:pPr>
            <w:r w:rsidRPr="00730DFC">
              <w:rPr>
                <w:rFonts w:ascii="Arial" w:hAnsi="Arial" w:cs="Arial"/>
                <w:b/>
                <w:bCs/>
              </w:rPr>
              <w:t xml:space="preserve">Theme 1: 'Bawal </w:t>
            </w:r>
            <w:proofErr w:type="spellStart"/>
            <w:r w:rsidRPr="00730DFC">
              <w:rPr>
                <w:rFonts w:ascii="Arial" w:hAnsi="Arial" w:cs="Arial"/>
                <w:b/>
                <w:bCs/>
              </w:rPr>
              <w:t>Magkasakit</w:t>
            </w:r>
            <w:proofErr w:type="spellEnd"/>
            <w:r w:rsidRPr="00730DFC">
              <w:rPr>
                <w:rFonts w:ascii="Arial" w:hAnsi="Arial" w:cs="Arial"/>
                <w:b/>
                <w:bCs/>
              </w:rPr>
              <w:t>'.</w:t>
            </w:r>
            <w:r w:rsidRPr="00730DFC">
              <w:rPr>
                <w:rFonts w:ascii="Arial" w:hAnsi="Arial" w:cs="Arial"/>
              </w:rPr>
              <w:t> This theme gives a powerful name and narrative to the financial barrier. It is not just about cost; it is a moral and existential calculation where one's own wellbeing is sacrificed for the family's survival.</w:t>
            </w:r>
          </w:p>
        </w:tc>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25BD71F2" w14:textId="77777777" w:rsidR="00730DFC" w:rsidRPr="00730DFC" w:rsidRDefault="00730DFC" w:rsidP="00730DFC">
            <w:pPr>
              <w:pStyle w:val="Body"/>
              <w:spacing w:after="0"/>
              <w:rPr>
                <w:rFonts w:ascii="Arial" w:hAnsi="Arial" w:cs="Arial"/>
              </w:rPr>
            </w:pPr>
            <w:r w:rsidRPr="00730DFC">
              <w:rPr>
                <w:rFonts w:ascii="Arial" w:hAnsi="Arial" w:cs="Arial"/>
                <w:i/>
                <w:iCs/>
              </w:rPr>
              <w:t xml:space="preserve">"Hindi </w:t>
            </w:r>
            <w:proofErr w:type="spellStart"/>
            <w:r w:rsidRPr="00730DFC">
              <w:rPr>
                <w:rFonts w:ascii="Arial" w:hAnsi="Arial" w:cs="Arial"/>
                <w:i/>
                <w:iCs/>
              </w:rPr>
              <w:t>namin</w:t>
            </w:r>
            <w:proofErr w:type="spellEnd"/>
            <w:r w:rsidRPr="00730DFC">
              <w:rPr>
                <w:rFonts w:ascii="Arial" w:hAnsi="Arial" w:cs="Arial"/>
                <w:i/>
                <w:iCs/>
              </w:rPr>
              <w:t xml:space="preserve"> </w:t>
            </w:r>
            <w:proofErr w:type="spellStart"/>
            <w:r w:rsidRPr="00730DFC">
              <w:rPr>
                <w:rFonts w:ascii="Arial" w:hAnsi="Arial" w:cs="Arial"/>
                <w:i/>
                <w:iCs/>
              </w:rPr>
              <w:t>alam</w:t>
            </w:r>
            <w:proofErr w:type="spellEnd"/>
            <w:r w:rsidRPr="00730DFC">
              <w:rPr>
                <w:rFonts w:ascii="Arial" w:hAnsi="Arial" w:cs="Arial"/>
                <w:i/>
                <w:iCs/>
              </w:rPr>
              <w:t xml:space="preserve"> kung </w:t>
            </w:r>
            <w:proofErr w:type="spellStart"/>
            <w:r w:rsidRPr="00730DFC">
              <w:rPr>
                <w:rFonts w:ascii="Arial" w:hAnsi="Arial" w:cs="Arial"/>
                <w:i/>
                <w:iCs/>
              </w:rPr>
              <w:t>saan</w:t>
            </w:r>
            <w:proofErr w:type="spellEnd"/>
            <w:r w:rsidRPr="00730DFC">
              <w:rPr>
                <w:rFonts w:ascii="Arial" w:hAnsi="Arial" w:cs="Arial"/>
                <w:i/>
                <w:iCs/>
              </w:rPr>
              <w:t xml:space="preserve"> </w:t>
            </w:r>
            <w:proofErr w:type="spellStart"/>
            <w:r w:rsidRPr="00730DFC">
              <w:rPr>
                <w:rFonts w:ascii="Arial" w:hAnsi="Arial" w:cs="Arial"/>
                <w:i/>
                <w:iCs/>
              </w:rPr>
              <w:t>pupunta</w:t>
            </w:r>
            <w:proofErr w:type="spellEnd"/>
            <w:r w:rsidRPr="00730DFC">
              <w:rPr>
                <w:rFonts w:ascii="Arial" w:hAnsi="Arial" w:cs="Arial"/>
                <w:i/>
                <w:iCs/>
              </w:rPr>
              <w:t xml:space="preserve">. At </w:t>
            </w:r>
            <w:proofErr w:type="spellStart"/>
            <w:r w:rsidRPr="00730DFC">
              <w:rPr>
                <w:rFonts w:ascii="Arial" w:hAnsi="Arial" w:cs="Arial"/>
                <w:i/>
                <w:iCs/>
              </w:rPr>
              <w:t>kahit</w:t>
            </w:r>
            <w:proofErr w:type="spellEnd"/>
            <w:r w:rsidRPr="00730DFC">
              <w:rPr>
                <w:rFonts w:ascii="Arial" w:hAnsi="Arial" w:cs="Arial"/>
                <w:i/>
                <w:iCs/>
              </w:rPr>
              <w:t xml:space="preserve"> </w:t>
            </w:r>
            <w:proofErr w:type="spellStart"/>
            <w:r w:rsidRPr="00730DFC">
              <w:rPr>
                <w:rFonts w:ascii="Arial" w:hAnsi="Arial" w:cs="Arial"/>
                <w:i/>
                <w:iCs/>
              </w:rPr>
              <w:t>alam</w:t>
            </w:r>
            <w:proofErr w:type="spellEnd"/>
            <w:r w:rsidRPr="00730DFC">
              <w:rPr>
                <w:rFonts w:ascii="Arial" w:hAnsi="Arial" w:cs="Arial"/>
                <w:i/>
                <w:iCs/>
              </w:rPr>
              <w:t xml:space="preserve"> </w:t>
            </w:r>
            <w:proofErr w:type="spellStart"/>
            <w:r w:rsidRPr="00730DFC">
              <w:rPr>
                <w:rFonts w:ascii="Arial" w:hAnsi="Arial" w:cs="Arial"/>
                <w:i/>
                <w:iCs/>
              </w:rPr>
              <w:t>namin</w:t>
            </w:r>
            <w:proofErr w:type="spellEnd"/>
            <w:r w:rsidRPr="00730DFC">
              <w:rPr>
                <w:rFonts w:ascii="Arial" w:hAnsi="Arial" w:cs="Arial"/>
                <w:i/>
                <w:iCs/>
              </w:rPr>
              <w:t xml:space="preserve">, mahal. Ang </w:t>
            </w:r>
            <w:proofErr w:type="spellStart"/>
            <w:r w:rsidRPr="00730DFC">
              <w:rPr>
                <w:rFonts w:ascii="Arial" w:hAnsi="Arial" w:cs="Arial"/>
                <w:i/>
                <w:iCs/>
              </w:rPr>
              <w:t>sahod</w:t>
            </w:r>
            <w:proofErr w:type="spellEnd"/>
            <w:r w:rsidRPr="00730DFC">
              <w:rPr>
                <w:rFonts w:ascii="Arial" w:hAnsi="Arial" w:cs="Arial"/>
                <w:i/>
                <w:iCs/>
              </w:rPr>
              <w:t xml:space="preserve"> </w:t>
            </w:r>
            <w:proofErr w:type="spellStart"/>
            <w:r w:rsidRPr="00730DFC">
              <w:rPr>
                <w:rFonts w:ascii="Arial" w:hAnsi="Arial" w:cs="Arial"/>
                <w:i/>
                <w:iCs/>
              </w:rPr>
              <w:t>namin</w:t>
            </w:r>
            <w:proofErr w:type="spellEnd"/>
            <w:r w:rsidRPr="00730DFC">
              <w:rPr>
                <w:rFonts w:ascii="Arial" w:hAnsi="Arial" w:cs="Arial"/>
                <w:i/>
                <w:iCs/>
              </w:rPr>
              <w:t xml:space="preserve">, para lang </w:t>
            </w:r>
            <w:proofErr w:type="spellStart"/>
            <w:r w:rsidRPr="00730DFC">
              <w:rPr>
                <w:rFonts w:ascii="Arial" w:hAnsi="Arial" w:cs="Arial"/>
                <w:i/>
                <w:iCs/>
              </w:rPr>
              <w:t>sa</w:t>
            </w:r>
            <w:proofErr w:type="spellEnd"/>
            <w:r w:rsidRPr="00730DFC">
              <w:rPr>
                <w:rFonts w:ascii="Arial" w:hAnsi="Arial" w:cs="Arial"/>
                <w:i/>
                <w:iCs/>
              </w:rPr>
              <w:t xml:space="preserve"> </w:t>
            </w:r>
            <w:proofErr w:type="spellStart"/>
            <w:r w:rsidRPr="00730DFC">
              <w:rPr>
                <w:rFonts w:ascii="Arial" w:hAnsi="Arial" w:cs="Arial"/>
                <w:i/>
                <w:iCs/>
              </w:rPr>
              <w:t>pamilya</w:t>
            </w:r>
            <w:proofErr w:type="spellEnd"/>
            <w:r w:rsidRPr="00730DFC">
              <w:rPr>
                <w:rFonts w:ascii="Arial" w:hAnsi="Arial" w:cs="Arial"/>
                <w:i/>
                <w:iCs/>
              </w:rPr>
              <w:t xml:space="preserve"> </w:t>
            </w:r>
            <w:proofErr w:type="spellStart"/>
            <w:r w:rsidRPr="00730DFC">
              <w:rPr>
                <w:rFonts w:ascii="Arial" w:hAnsi="Arial" w:cs="Arial"/>
                <w:i/>
                <w:iCs/>
              </w:rPr>
              <w:t>sa</w:t>
            </w:r>
            <w:proofErr w:type="spellEnd"/>
            <w:r w:rsidRPr="00730DFC">
              <w:rPr>
                <w:rFonts w:ascii="Arial" w:hAnsi="Arial" w:cs="Arial"/>
                <w:i/>
                <w:iCs/>
              </w:rPr>
              <w:t xml:space="preserve"> Pinas."</w:t>
            </w:r>
            <w:r w:rsidRPr="00730DFC">
              <w:rPr>
                <w:rFonts w:ascii="Arial" w:hAnsi="Arial" w:cs="Arial"/>
              </w:rPr>
              <w:t> (We don't know where to go. And even if we did, it's expensive. Our salary is just for our family in the Philippines.) (P2, FG1)</w:t>
            </w:r>
          </w:p>
        </w:tc>
      </w:tr>
      <w:tr w:rsidR="00730DFC" w:rsidRPr="00730DFC" w14:paraId="1BA7F8E6" w14:textId="77777777" w:rsidTr="00730DFC">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1074C294" w14:textId="77777777" w:rsidR="00730DFC" w:rsidRPr="00730DFC" w:rsidRDefault="00730DFC" w:rsidP="00730DFC">
            <w:pPr>
              <w:pStyle w:val="Body"/>
              <w:spacing w:after="0"/>
              <w:rPr>
                <w:rFonts w:ascii="Arial" w:hAnsi="Arial" w:cs="Arial"/>
              </w:rPr>
            </w:pPr>
            <w:r w:rsidRPr="00730DFC">
              <w:rPr>
                <w:rFonts w:ascii="Arial" w:hAnsi="Arial" w:cs="Arial"/>
                <w:b/>
                <w:bCs/>
              </w:rPr>
              <w:t>MHL subscale for "knowledge of services" has a low mean score.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6A5956E5" w14:textId="77777777" w:rsidR="00730DFC" w:rsidRPr="00730DFC" w:rsidRDefault="00730DFC" w:rsidP="00730DFC">
            <w:pPr>
              <w:pStyle w:val="Body"/>
              <w:spacing w:after="0"/>
              <w:rPr>
                <w:rFonts w:ascii="Arial" w:hAnsi="Arial" w:cs="Arial"/>
              </w:rPr>
            </w:pPr>
            <w:r w:rsidRPr="00730DFC">
              <w:rPr>
                <w:rFonts w:ascii="Arial" w:hAnsi="Arial" w:cs="Arial"/>
                <w:b/>
                <w:bCs/>
              </w:rPr>
              <w:t>Theme 3: Faith as a First and Final Resort.</w:t>
            </w:r>
            <w:r w:rsidRPr="00730DFC">
              <w:rPr>
                <w:rFonts w:ascii="Arial" w:hAnsi="Arial" w:cs="Arial"/>
              </w:rPr>
              <w:t> The low knowledge of formal services is partly explained by the fact that the default help-seeking pathway is spiritual, not clinical. The community's information-sharing ecosystem is geared towards faith-based solutions, not psychological ones.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006772B3" w14:textId="77777777" w:rsidR="00730DFC" w:rsidRPr="00730DFC" w:rsidRDefault="00730DFC" w:rsidP="00730DFC">
            <w:pPr>
              <w:pStyle w:val="Body"/>
              <w:spacing w:after="0"/>
              <w:rPr>
                <w:rFonts w:ascii="Arial" w:hAnsi="Arial" w:cs="Arial"/>
              </w:rPr>
            </w:pPr>
            <w:r w:rsidRPr="00730DFC">
              <w:rPr>
                <w:rFonts w:ascii="Arial" w:hAnsi="Arial" w:cs="Arial"/>
                <w:i/>
                <w:iCs/>
              </w:rPr>
              <w:t>"We don't talk about clinics or therapists. We talk about which church has a strong prayer group. That is our 'service'."</w:t>
            </w:r>
            <w:r w:rsidRPr="00730DFC">
              <w:rPr>
                <w:rFonts w:ascii="Arial" w:hAnsi="Arial" w:cs="Arial"/>
              </w:rPr>
              <w:t> (P8, FG4)</w:t>
            </w:r>
          </w:p>
        </w:tc>
      </w:tr>
    </w:tbl>
    <w:p w14:paraId="1604480E" w14:textId="77777777" w:rsidR="00730DFC" w:rsidRPr="00730DFC" w:rsidRDefault="00730DFC" w:rsidP="00441B6F">
      <w:pPr>
        <w:pStyle w:val="Body"/>
        <w:spacing w:after="0"/>
        <w:rPr>
          <w:rFonts w:ascii="Arial" w:hAnsi="Arial" w:cs="Arial"/>
        </w:rPr>
      </w:pPr>
    </w:p>
    <w:p w14:paraId="3D4D014D" w14:textId="77777777" w:rsidR="00730DFC" w:rsidRPr="00FB3A86" w:rsidRDefault="00730DFC" w:rsidP="00441B6F">
      <w:pPr>
        <w:pStyle w:val="Body"/>
        <w:spacing w:after="0"/>
        <w:rPr>
          <w:rFonts w:ascii="Arial" w:hAnsi="Arial" w:cs="Arial"/>
        </w:rPr>
      </w:pPr>
    </w:p>
    <w:p w14:paraId="4E37B400" w14:textId="77777777" w:rsidR="00B01FCD" w:rsidRDefault="00B63350"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Pr>
          <w:rFonts w:ascii="Arial" w:hAnsi="Arial" w:cs="Arial"/>
        </w:rPr>
        <w:t>DISCUSSION</w:t>
      </w:r>
    </w:p>
    <w:p w14:paraId="4A013359" w14:textId="77777777" w:rsidR="00790ADA" w:rsidRPr="00FB3A86" w:rsidRDefault="00790ADA" w:rsidP="00441B6F">
      <w:pPr>
        <w:pStyle w:val="ConcHead"/>
        <w:spacing w:after="0"/>
        <w:jc w:val="both"/>
        <w:rPr>
          <w:rFonts w:ascii="Arial" w:hAnsi="Arial" w:cs="Arial"/>
        </w:rPr>
      </w:pPr>
    </w:p>
    <w:p w14:paraId="2B1BC4E2" w14:textId="77777777" w:rsidR="00B63350" w:rsidRPr="00B63350" w:rsidRDefault="00502516" w:rsidP="00B63350">
      <w:pPr>
        <w:pStyle w:val="Body"/>
        <w:spacing w:after="0"/>
        <w:rPr>
          <w:rFonts w:ascii="Arial" w:hAnsi="Arial" w:cs="Arial"/>
        </w:rPr>
      </w:pPr>
      <w:r w:rsidRPr="00B63350">
        <w:rPr>
          <w:rFonts w:ascii="Arial" w:hAnsi="Arial" w:cs="Arial"/>
        </w:rPr>
        <w:t xml:space="preserve">This </w:t>
      </w:r>
      <w:r w:rsidR="00B63350" w:rsidRPr="00B63350">
        <w:rPr>
          <w:rFonts w:ascii="Arial" w:hAnsi="Arial" w:cs="Arial"/>
        </w:rPr>
        <w:t xml:space="preserve">This mixed-methods study sought to unravel the complex relationship between mental health literacy, help-seeking barriers, and the lived experiences of low-wage Filipino migrant workers in skewers in the UAE. The findings provide a granular and deeply </w:t>
      </w:r>
      <w:proofErr w:type="spellStart"/>
      <w:r w:rsidR="00B63350" w:rsidRPr="00B63350">
        <w:rPr>
          <w:rFonts w:ascii="Arial" w:hAnsi="Arial" w:cs="Arial"/>
        </w:rPr>
        <w:t>contextualised</w:t>
      </w:r>
      <w:proofErr w:type="spellEnd"/>
      <w:r w:rsidR="00B63350" w:rsidRPr="00B63350">
        <w:rPr>
          <w:rFonts w:ascii="Arial" w:hAnsi="Arial" w:cs="Arial"/>
        </w:rPr>
        <w:t xml:space="preserve"> understanding that moves beyond simplistic explanations, highlighting the powerful confluence of economic, cultural, and social forces that shape mental health </w:t>
      </w:r>
      <w:proofErr w:type="spellStart"/>
      <w:r w:rsidR="00B63350" w:rsidRPr="00B63350">
        <w:rPr>
          <w:rFonts w:ascii="Arial" w:hAnsi="Arial" w:cs="Arial"/>
        </w:rPr>
        <w:t>behaviours</w:t>
      </w:r>
      <w:proofErr w:type="spellEnd"/>
      <w:r w:rsidR="00B63350" w:rsidRPr="00B63350">
        <w:rPr>
          <w:rFonts w:ascii="Arial" w:hAnsi="Arial" w:cs="Arial"/>
        </w:rPr>
        <w:t xml:space="preserve"> in this community.</w:t>
      </w:r>
    </w:p>
    <w:p w14:paraId="635CECFD" w14:textId="77777777" w:rsidR="00B63350" w:rsidRPr="00B63350" w:rsidRDefault="00B63350" w:rsidP="00B63350">
      <w:pPr>
        <w:pStyle w:val="Body"/>
        <w:spacing w:after="0"/>
        <w:rPr>
          <w:rFonts w:ascii="Arial" w:hAnsi="Arial" w:cs="Arial"/>
          <w:b/>
          <w:bCs/>
        </w:rPr>
      </w:pPr>
      <w:r w:rsidRPr="00B63350">
        <w:rPr>
          <w:rFonts w:ascii="Arial" w:hAnsi="Arial" w:cs="Arial"/>
          <w:b/>
          <w:bCs/>
        </w:rPr>
        <w:t>5.1. Summary and Interpretation of Key Findings</w:t>
      </w:r>
    </w:p>
    <w:p w14:paraId="7EFC8C69" w14:textId="77777777" w:rsidR="00B63350" w:rsidRPr="00B63350" w:rsidRDefault="00B63350" w:rsidP="00B63350">
      <w:pPr>
        <w:pStyle w:val="Body"/>
        <w:spacing w:after="0"/>
        <w:rPr>
          <w:rFonts w:ascii="Arial" w:hAnsi="Arial" w:cs="Arial"/>
        </w:rPr>
      </w:pPr>
      <w:r w:rsidRPr="00B63350">
        <w:rPr>
          <w:rFonts w:ascii="Arial" w:hAnsi="Arial" w:cs="Arial"/>
        </w:rPr>
        <w:t xml:space="preserve">The study's primary quantitative finding—a strong negative correlation between MHL and perceived barriers (H1)—is consistent with a large body of literature suggesting that knowledge can empower individuals and reduce </w:t>
      </w:r>
      <w:proofErr w:type="gramStart"/>
      <w:r w:rsidRPr="00B63350">
        <w:rPr>
          <w:rFonts w:ascii="Arial" w:hAnsi="Arial" w:cs="Arial"/>
        </w:rPr>
        <w:t>stigma .</w:t>
      </w:r>
      <w:proofErr w:type="gramEnd"/>
      <w:r w:rsidRPr="00B63350">
        <w:rPr>
          <w:rFonts w:ascii="Arial" w:hAnsi="Arial" w:cs="Arial"/>
        </w:rPr>
        <w:t xml:space="preserve"> However, the true value of this study lies in how the qualitative findings complicate and enrich this correlation. The data suggest a 'literacy-action gap', where knowledge alone is insufficient to overcome the monumental barriers of economic precarity and deep-seated cultural stigma. As one participant poignantly stated, "knowing and doing are two different things." This gap is the central tension revealed by the research </w:t>
      </w:r>
      <w:proofErr w:type="gramStart"/>
      <w:r w:rsidRPr="00B63350">
        <w:rPr>
          <w:rFonts w:ascii="Arial" w:hAnsi="Arial" w:cs="Arial"/>
        </w:rPr>
        <w:t>( Stokols</w:t>
      </w:r>
      <w:proofErr w:type="gramEnd"/>
      <w:r w:rsidRPr="00B63350">
        <w:rPr>
          <w:rFonts w:ascii="Arial" w:hAnsi="Arial" w:cs="Arial"/>
        </w:rPr>
        <w:t xml:space="preserve">, </w:t>
      </w:r>
      <w:proofErr w:type="gramStart"/>
      <w:r w:rsidRPr="00B63350">
        <w:rPr>
          <w:rFonts w:ascii="Arial" w:hAnsi="Arial" w:cs="Arial"/>
        </w:rPr>
        <w:t>1996 )</w:t>
      </w:r>
      <w:proofErr w:type="gramEnd"/>
      <w:r w:rsidRPr="00B63350">
        <w:rPr>
          <w:rFonts w:ascii="Arial" w:hAnsi="Arial" w:cs="Arial"/>
        </w:rPr>
        <w:t xml:space="preserve">. </w:t>
      </w:r>
    </w:p>
    <w:p w14:paraId="39A38491" w14:textId="77777777" w:rsidR="00B63350" w:rsidRPr="00B63350" w:rsidRDefault="00B63350" w:rsidP="00B63350">
      <w:pPr>
        <w:pStyle w:val="Body"/>
        <w:spacing w:after="0"/>
        <w:rPr>
          <w:rFonts w:ascii="Arial" w:hAnsi="Arial" w:cs="Arial"/>
        </w:rPr>
      </w:pPr>
      <w:r w:rsidRPr="00B63350">
        <w:rPr>
          <w:rFonts w:ascii="Arial" w:hAnsi="Arial" w:cs="Arial"/>
        </w:rPr>
        <w:t xml:space="preserve">The qualitative themes provide a powerful narrative for this tension. The concept of **'Bawal </w:t>
      </w:r>
      <w:proofErr w:type="spellStart"/>
      <w:r w:rsidRPr="00B63350">
        <w:rPr>
          <w:rFonts w:ascii="Arial" w:hAnsi="Arial" w:cs="Arial"/>
        </w:rPr>
        <w:t>Magkasakit</w:t>
      </w:r>
      <w:proofErr w:type="spellEnd"/>
      <w:r w:rsidRPr="00B63350">
        <w:rPr>
          <w:rFonts w:ascii="Arial" w:hAnsi="Arial" w:cs="Arial"/>
        </w:rPr>
        <w:t xml:space="preserve">' (The Unaffordability of Being </w:t>
      </w:r>
      <w:proofErr w:type="gramStart"/>
      <w:r w:rsidRPr="00B63350">
        <w:rPr>
          <w:rFonts w:ascii="Arial" w:hAnsi="Arial" w:cs="Arial"/>
        </w:rPr>
        <w:t>Unwell)*</w:t>
      </w:r>
      <w:proofErr w:type="gramEnd"/>
      <w:r w:rsidRPr="00B63350">
        <w:rPr>
          <w:rFonts w:ascii="Arial" w:hAnsi="Arial" w:cs="Arial"/>
        </w:rPr>
        <w:t xml:space="preserve">* reframes the financial barrier from a simple line item of 'cost' into a profound moral and existential dilemma. For these workers, mental health is not a right but a luxury that competes directly with their primary purpose for migration: family survival. This finding, supported by the regression analysis showing occupation type (a proxy for economic vulnerability) as a significant predictor of barriers (H2), firmly anchors the problem in the material reality of migrant </w:t>
      </w:r>
      <w:proofErr w:type="spellStart"/>
      <w:r w:rsidRPr="00B63350">
        <w:rPr>
          <w:rFonts w:ascii="Arial" w:hAnsi="Arial" w:cs="Arial"/>
        </w:rPr>
        <w:t>labour</w:t>
      </w:r>
      <w:proofErr w:type="spellEnd"/>
      <w:r w:rsidRPr="00B63350">
        <w:rPr>
          <w:rFonts w:ascii="Arial" w:hAnsi="Arial" w:cs="Arial"/>
        </w:rPr>
        <w:t>.</w:t>
      </w:r>
    </w:p>
    <w:p w14:paraId="51218238" w14:textId="77777777" w:rsidR="00B63350" w:rsidRPr="00B63350" w:rsidRDefault="00B63350" w:rsidP="00B63350">
      <w:pPr>
        <w:pStyle w:val="Body"/>
        <w:spacing w:after="0"/>
        <w:rPr>
          <w:rFonts w:ascii="Arial" w:hAnsi="Arial" w:cs="Arial"/>
        </w:rPr>
      </w:pPr>
      <w:r w:rsidRPr="00B63350">
        <w:rPr>
          <w:rFonts w:ascii="Arial" w:hAnsi="Arial" w:cs="Arial"/>
        </w:rPr>
        <w:t>Simultaneously, **The Double-Edged Sword of Community** explains why stigma remains the highest-rated barrier. The Filipino community, while a crucial buffer against the loneliness of life abroad, also functions as a powerful surveillance mechanism. The fear of *'</w:t>
      </w:r>
      <w:proofErr w:type="spellStart"/>
      <w:r w:rsidRPr="00B63350">
        <w:rPr>
          <w:rFonts w:ascii="Arial" w:hAnsi="Arial" w:cs="Arial"/>
        </w:rPr>
        <w:t>tsismis</w:t>
      </w:r>
      <w:proofErr w:type="spellEnd"/>
      <w:r w:rsidRPr="00B63350">
        <w:rPr>
          <w:rFonts w:ascii="Arial" w:hAnsi="Arial" w:cs="Arial"/>
        </w:rPr>
        <w:t>'* (gossip) and the cultural imperative to protect one's 'face' (*'hiya'*) transform help-seeking from a private health decision into a high-stakes public performance. This finding aligns with the t-test result (H3) showing that stigma is a significantly greater barrier for those who have never engaged with the formal system, as they are likely the most constrained by these social pressures.</w:t>
      </w:r>
    </w:p>
    <w:p w14:paraId="0D8D8C7E" w14:textId="77777777" w:rsidR="00B63350" w:rsidRPr="00B63350" w:rsidRDefault="00B63350" w:rsidP="00B63350">
      <w:pPr>
        <w:pStyle w:val="Body"/>
        <w:spacing w:after="0"/>
        <w:rPr>
          <w:rFonts w:ascii="Arial" w:hAnsi="Arial" w:cs="Arial"/>
        </w:rPr>
      </w:pPr>
      <w:r w:rsidRPr="00B63350">
        <w:rPr>
          <w:rFonts w:ascii="Arial" w:hAnsi="Arial" w:cs="Arial"/>
        </w:rPr>
        <w:t xml:space="preserve">Finally, **Faith as a First and Final Resort** reveals the dominant alternative help-seeking pathway. This is not simply a lack of knowledge about formal services; it is an active preference for a spiritual framework that provides meaning, comfort, and community without the associated cost and stigma of clinical care. This interpretation helps explain the low scores on the MHL subscale for knowledge of services—such information is not </w:t>
      </w:r>
      <w:proofErr w:type="spellStart"/>
      <w:r w:rsidRPr="00B63350">
        <w:rPr>
          <w:rFonts w:ascii="Arial" w:hAnsi="Arial" w:cs="Arial"/>
        </w:rPr>
        <w:t>prioritised</w:t>
      </w:r>
      <w:proofErr w:type="spellEnd"/>
      <w:r w:rsidRPr="00B63350">
        <w:rPr>
          <w:rFonts w:ascii="Arial" w:hAnsi="Arial" w:cs="Arial"/>
        </w:rPr>
        <w:t xml:space="preserve"> or circulated within a community whose primary coping ecosystem is faith-based.</w:t>
      </w:r>
    </w:p>
    <w:p w14:paraId="0A5371B4" w14:textId="77777777" w:rsidR="00B63350" w:rsidRPr="00B63350" w:rsidRDefault="00B63350" w:rsidP="00B63350">
      <w:pPr>
        <w:pStyle w:val="Body"/>
        <w:spacing w:after="0"/>
        <w:rPr>
          <w:rFonts w:ascii="Arial" w:hAnsi="Arial" w:cs="Arial"/>
        </w:rPr>
      </w:pPr>
      <w:r w:rsidRPr="00B63350">
        <w:rPr>
          <w:rFonts w:ascii="Arial" w:hAnsi="Arial" w:cs="Arial"/>
        </w:rPr>
        <w:t xml:space="preserve">Interpreted through the **Socio-Ecological Model**, these findings demonstrate that the barriers are not isolated but are mutually reinforcing across levels. At the societal level, the high cost and limited availability of culturally appropriate care create a hostile </w:t>
      </w:r>
      <w:proofErr w:type="gramStart"/>
      <w:r w:rsidRPr="00B63350">
        <w:rPr>
          <w:rFonts w:ascii="Arial" w:hAnsi="Arial" w:cs="Arial"/>
        </w:rPr>
        <w:t>environment .</w:t>
      </w:r>
      <w:proofErr w:type="gramEnd"/>
      <w:r w:rsidRPr="00B63350">
        <w:rPr>
          <w:rFonts w:ascii="Arial" w:hAnsi="Arial" w:cs="Arial"/>
        </w:rPr>
        <w:t xml:space="preserve"> This trickles down to the community level, where stigma and gossip flourish in the absence of </w:t>
      </w:r>
      <w:proofErr w:type="spellStart"/>
      <w:r w:rsidRPr="00B63350">
        <w:rPr>
          <w:rFonts w:ascii="Arial" w:hAnsi="Arial" w:cs="Arial"/>
        </w:rPr>
        <w:t>normalised</w:t>
      </w:r>
      <w:proofErr w:type="spellEnd"/>
      <w:r w:rsidRPr="00B63350">
        <w:rPr>
          <w:rFonts w:ascii="Arial" w:hAnsi="Arial" w:cs="Arial"/>
        </w:rPr>
        <w:t xml:space="preserve"> mental health conversations. At the interpersonal level, families pressure migrants to remit money, reinforcing the economic calculus of 'Bawal </w:t>
      </w:r>
      <w:proofErr w:type="spellStart"/>
      <w:r w:rsidRPr="00B63350">
        <w:rPr>
          <w:rFonts w:ascii="Arial" w:hAnsi="Arial" w:cs="Arial"/>
        </w:rPr>
        <w:t>Magkasakit</w:t>
      </w:r>
      <w:proofErr w:type="spellEnd"/>
      <w:r w:rsidRPr="00B63350">
        <w:rPr>
          <w:rFonts w:ascii="Arial" w:hAnsi="Arial" w:cs="Arial"/>
        </w:rPr>
        <w:t xml:space="preserve">'. Finally, at the individual level, the worker </w:t>
      </w:r>
      <w:proofErr w:type="spellStart"/>
      <w:r w:rsidRPr="00B63350">
        <w:rPr>
          <w:rFonts w:ascii="Arial" w:hAnsi="Arial" w:cs="Arial"/>
        </w:rPr>
        <w:t>internalises</w:t>
      </w:r>
      <w:proofErr w:type="spellEnd"/>
      <w:r w:rsidRPr="00B63350">
        <w:rPr>
          <w:rFonts w:ascii="Arial" w:hAnsi="Arial" w:cs="Arial"/>
        </w:rPr>
        <w:t xml:space="preserve"> these pressures, leading to self-stigma and a reliance on coping mechanisms (like faith) that keep them away from formal </w:t>
      </w:r>
      <w:proofErr w:type="gramStart"/>
      <w:r w:rsidRPr="00B63350">
        <w:rPr>
          <w:rFonts w:ascii="Arial" w:hAnsi="Arial" w:cs="Arial"/>
        </w:rPr>
        <w:t>help .</w:t>
      </w:r>
      <w:proofErr w:type="gramEnd"/>
    </w:p>
    <w:p w14:paraId="3E3DB525" w14:textId="77777777" w:rsidR="00B63350" w:rsidRPr="00B63350" w:rsidRDefault="00B63350" w:rsidP="00B63350">
      <w:pPr>
        <w:pStyle w:val="Body"/>
        <w:spacing w:after="0"/>
        <w:rPr>
          <w:rFonts w:ascii="Arial" w:hAnsi="Arial" w:cs="Arial"/>
          <w:b/>
          <w:bCs/>
        </w:rPr>
      </w:pPr>
      <w:r w:rsidRPr="00B63350">
        <w:rPr>
          <w:rFonts w:ascii="Arial" w:hAnsi="Arial" w:cs="Arial"/>
          <w:b/>
          <w:bCs/>
        </w:rPr>
        <w:t>5.2. Comparison with Existing Literature</w:t>
      </w:r>
    </w:p>
    <w:p w14:paraId="605B3377" w14:textId="77777777" w:rsidR="00B63350" w:rsidRPr="00B63350" w:rsidRDefault="00B63350" w:rsidP="00B63350">
      <w:pPr>
        <w:pStyle w:val="Body"/>
        <w:spacing w:after="0"/>
        <w:rPr>
          <w:rFonts w:ascii="Arial" w:hAnsi="Arial" w:cs="Arial"/>
        </w:rPr>
      </w:pPr>
      <w:r w:rsidRPr="00B63350">
        <w:rPr>
          <w:rFonts w:ascii="Arial" w:hAnsi="Arial" w:cs="Arial"/>
        </w:rPr>
        <w:t xml:space="preserve">The findings of this study both confirm and extend the existing body of research on Filipino mental health. The general reluctance to seek formal help and the preference for informal support from family and friends are well-documented </w:t>
      </w:r>
      <w:proofErr w:type="gramStart"/>
      <w:r w:rsidRPr="00B63350">
        <w:rPr>
          <w:rFonts w:ascii="Arial" w:hAnsi="Arial" w:cs="Arial"/>
        </w:rPr>
        <w:t>patterns .</w:t>
      </w:r>
      <w:proofErr w:type="gramEnd"/>
      <w:r w:rsidRPr="00B63350">
        <w:rPr>
          <w:rFonts w:ascii="Arial" w:hAnsi="Arial" w:cs="Arial"/>
        </w:rPr>
        <w:t xml:space="preserve"> The identification of *'hiya'* and concern for loss of face as significant cultural barriers also aligns with previous work on Filipino psychology </w:t>
      </w:r>
      <w:proofErr w:type="gramStart"/>
      <w:r w:rsidRPr="00B63350">
        <w:rPr>
          <w:rFonts w:ascii="Arial" w:hAnsi="Arial" w:cs="Arial"/>
        </w:rPr>
        <w:t>( De</w:t>
      </w:r>
      <w:proofErr w:type="gramEnd"/>
      <w:r w:rsidRPr="00B63350">
        <w:rPr>
          <w:rFonts w:ascii="Arial" w:hAnsi="Arial" w:cs="Arial"/>
        </w:rPr>
        <w:t xml:space="preserve"> Guzman, 2024). </w:t>
      </w:r>
    </w:p>
    <w:p w14:paraId="25D25312" w14:textId="77777777" w:rsidR="00B63350" w:rsidRPr="00B63350" w:rsidRDefault="00B63350" w:rsidP="00B63350">
      <w:pPr>
        <w:pStyle w:val="Body"/>
        <w:spacing w:after="0"/>
        <w:rPr>
          <w:rFonts w:ascii="Arial" w:hAnsi="Arial" w:cs="Arial"/>
        </w:rPr>
      </w:pPr>
      <w:r w:rsidRPr="00B63350">
        <w:rPr>
          <w:rFonts w:ascii="Arial" w:hAnsi="Arial" w:cs="Arial"/>
        </w:rPr>
        <w:lastRenderedPageBreak/>
        <w:t xml:space="preserve">However, this study makes several unique contributions. First, by focusing on low-wage workers in the UAE, it highlights the primacy of economic precarity in a way that studies on Filipino-Americans or Filipinos in the Philippines have not. While financial barriers are often mentioned, our qualitative data elevates this from a simple barrier to a core </w:t>
      </w:r>
      <w:proofErr w:type="spellStart"/>
      <w:r w:rsidRPr="00B63350">
        <w:rPr>
          <w:rFonts w:ascii="Arial" w:hAnsi="Arial" w:cs="Arial"/>
        </w:rPr>
        <w:t>organising</w:t>
      </w:r>
      <w:proofErr w:type="spellEnd"/>
      <w:r w:rsidRPr="00B63350">
        <w:rPr>
          <w:rFonts w:ascii="Arial" w:hAnsi="Arial" w:cs="Arial"/>
        </w:rPr>
        <w:t xml:space="preserve"> principle of their existence abroad. The phrase 'Bawal </w:t>
      </w:r>
      <w:proofErr w:type="spellStart"/>
      <w:r w:rsidRPr="00B63350">
        <w:rPr>
          <w:rFonts w:ascii="Arial" w:hAnsi="Arial" w:cs="Arial"/>
        </w:rPr>
        <w:t>Magkasakit</w:t>
      </w:r>
      <w:proofErr w:type="spellEnd"/>
      <w:r w:rsidRPr="00B63350">
        <w:rPr>
          <w:rFonts w:ascii="Arial" w:hAnsi="Arial" w:cs="Arial"/>
        </w:rPr>
        <w:t xml:space="preserve">' encapsulates a specific migrant reality where health is subordinate to </w:t>
      </w:r>
      <w:proofErr w:type="spellStart"/>
      <w:r w:rsidRPr="00B63350">
        <w:rPr>
          <w:rFonts w:ascii="Arial" w:hAnsi="Arial" w:cs="Arial"/>
        </w:rPr>
        <w:t>labour</w:t>
      </w:r>
      <w:proofErr w:type="spellEnd"/>
      <w:r w:rsidRPr="00B63350">
        <w:rPr>
          <w:rFonts w:ascii="Arial" w:hAnsi="Arial" w:cs="Arial"/>
        </w:rPr>
        <w:t>.</w:t>
      </w:r>
    </w:p>
    <w:p w14:paraId="10C9902A" w14:textId="77777777" w:rsidR="00B63350" w:rsidRPr="00B63350" w:rsidRDefault="00B63350" w:rsidP="00B63350">
      <w:pPr>
        <w:pStyle w:val="Body"/>
        <w:spacing w:after="0"/>
        <w:rPr>
          <w:rFonts w:ascii="Arial" w:hAnsi="Arial" w:cs="Arial"/>
        </w:rPr>
      </w:pPr>
      <w:r w:rsidRPr="00B63350">
        <w:rPr>
          <w:rFonts w:ascii="Arial" w:hAnsi="Arial" w:cs="Arial"/>
        </w:rPr>
        <w:t xml:space="preserve">Second, the "double-edged sword" </w:t>
      </w:r>
      <w:proofErr w:type="spellStart"/>
      <w:r w:rsidRPr="00B63350">
        <w:rPr>
          <w:rFonts w:ascii="Arial" w:hAnsi="Arial" w:cs="Arial"/>
        </w:rPr>
        <w:t>conceptualisation</w:t>
      </w:r>
      <w:proofErr w:type="spellEnd"/>
      <w:r w:rsidRPr="00B63350">
        <w:rPr>
          <w:rFonts w:ascii="Arial" w:hAnsi="Arial" w:cs="Arial"/>
        </w:rPr>
        <w:t xml:space="preserve"> of the community provides a more nuanced view than previous studies. Much of the literature focuses on the community either as a source of support or a source of stigma. Our findings show it is simultaneously both, and that this duality is a source of significant tension for the individual. This complexity is crucial for designing interventions, which must leverage the supportive aspects of the community while mitigating its </w:t>
      </w:r>
      <w:proofErr w:type="spellStart"/>
      <w:r w:rsidRPr="00B63350">
        <w:rPr>
          <w:rFonts w:ascii="Arial" w:hAnsi="Arial" w:cs="Arial"/>
        </w:rPr>
        <w:t>stigmatising</w:t>
      </w:r>
      <w:proofErr w:type="spellEnd"/>
      <w:r w:rsidRPr="00B63350">
        <w:rPr>
          <w:rFonts w:ascii="Arial" w:hAnsi="Arial" w:cs="Arial"/>
        </w:rPr>
        <w:t xml:space="preserve"> tendencies.</w:t>
      </w:r>
    </w:p>
    <w:p w14:paraId="1FAC5EB2" w14:textId="77777777" w:rsidR="00B63350" w:rsidRPr="00B63350" w:rsidRDefault="00B63350" w:rsidP="00B63350">
      <w:pPr>
        <w:pStyle w:val="Body"/>
        <w:spacing w:after="0"/>
        <w:rPr>
          <w:rFonts w:ascii="Arial" w:hAnsi="Arial" w:cs="Arial"/>
        </w:rPr>
      </w:pPr>
      <w:r w:rsidRPr="00B63350">
        <w:rPr>
          <w:rFonts w:ascii="Arial" w:hAnsi="Arial" w:cs="Arial"/>
        </w:rPr>
        <w:t>Finally, by employing a mixed-methods design and a joint display, this study provides a methodologically robust model for investigating such complex phenomena. It moves beyond simply listing barriers to showing how they are interconnected and how quantitative trends are animated by rich, qualitative narratives </w:t>
      </w:r>
      <w:hyperlink r:id="rId37" w:tgtFrame="_blank" w:history="1">
        <w:r w:rsidRPr="00B63350">
          <w:rPr>
            <w:rStyle w:val="Hyperlink"/>
            <w:rFonts w:ascii="Arial" w:hAnsi="Arial" w:cs="Arial"/>
            <w:color w:val="auto"/>
            <w:u w:val="none"/>
          </w:rPr>
          <w:t>Almalki, 2016</w:t>
        </w:r>
      </w:hyperlink>
      <w:proofErr w:type="gramStart"/>
      <w:r w:rsidRPr="00B63350">
        <w:rPr>
          <w:rFonts w:ascii="Arial" w:hAnsi="Arial" w:cs="Arial"/>
        </w:rPr>
        <w:t>; .</w:t>
      </w:r>
      <w:proofErr w:type="gramEnd"/>
    </w:p>
    <w:p w14:paraId="32B9986C" w14:textId="77777777" w:rsidR="00B63350" w:rsidRPr="00B63350" w:rsidRDefault="00B63350" w:rsidP="00B63350">
      <w:pPr>
        <w:pStyle w:val="Body"/>
        <w:spacing w:after="0"/>
        <w:rPr>
          <w:rFonts w:ascii="Arial" w:hAnsi="Arial" w:cs="Arial"/>
          <w:b/>
          <w:bCs/>
        </w:rPr>
      </w:pPr>
      <w:r w:rsidRPr="00B63350">
        <w:rPr>
          <w:rFonts w:ascii="Arial" w:hAnsi="Arial" w:cs="Arial"/>
          <w:b/>
          <w:bCs/>
        </w:rPr>
        <w:t>5.3. Implications for Practice and Policy</w:t>
      </w:r>
    </w:p>
    <w:p w14:paraId="15194533" w14:textId="77777777" w:rsidR="00B63350" w:rsidRPr="00B63350" w:rsidRDefault="00B63350" w:rsidP="00B63350">
      <w:pPr>
        <w:pStyle w:val="Body"/>
        <w:spacing w:after="0"/>
        <w:rPr>
          <w:rFonts w:ascii="Arial" w:hAnsi="Arial" w:cs="Arial"/>
        </w:rPr>
      </w:pPr>
      <w:r w:rsidRPr="00B63350">
        <w:rPr>
          <w:rFonts w:ascii="Arial" w:hAnsi="Arial" w:cs="Arial"/>
        </w:rPr>
        <w:t xml:space="preserve">The findings of this study have significant implications for mental health practitioners, policymakers, and community leaders. A one-size-fits-all approach to mental health promotion is destined to fail with this population. Instead, a multi-pronged strategy informed by the principles of **Empowerment Theory** and **Cultural Humility** is </w:t>
      </w:r>
      <w:proofErr w:type="gramStart"/>
      <w:r w:rsidRPr="00B63350">
        <w:rPr>
          <w:rFonts w:ascii="Arial" w:hAnsi="Arial" w:cs="Arial"/>
        </w:rPr>
        <w:t>required .</w:t>
      </w:r>
      <w:proofErr w:type="gramEnd"/>
    </w:p>
    <w:p w14:paraId="05806077" w14:textId="77777777" w:rsidR="00B63350" w:rsidRPr="00B63350" w:rsidRDefault="00B63350" w:rsidP="00B63350">
      <w:pPr>
        <w:pStyle w:val="Body"/>
        <w:spacing w:after="0"/>
        <w:rPr>
          <w:rFonts w:ascii="Arial" w:hAnsi="Arial" w:cs="Arial"/>
          <w:b/>
          <w:bCs/>
        </w:rPr>
      </w:pPr>
      <w:r w:rsidRPr="00B63350">
        <w:rPr>
          <w:rFonts w:ascii="Arial" w:hAnsi="Arial" w:cs="Arial"/>
          <w:b/>
          <w:bCs/>
        </w:rPr>
        <w:t>For Practice:</w:t>
      </w:r>
    </w:p>
    <w:p w14:paraId="29016BC8" w14:textId="77777777" w:rsidR="00B63350" w:rsidRPr="00B63350" w:rsidRDefault="00B63350" w:rsidP="00B63350">
      <w:pPr>
        <w:pStyle w:val="Body"/>
        <w:numPr>
          <w:ilvl w:val="0"/>
          <w:numId w:val="38"/>
        </w:numPr>
        <w:spacing w:after="0"/>
        <w:rPr>
          <w:rFonts w:ascii="Arial" w:hAnsi="Arial" w:cs="Arial"/>
        </w:rPr>
      </w:pPr>
      <w:r w:rsidRPr="00B63350">
        <w:rPr>
          <w:rFonts w:ascii="Arial" w:hAnsi="Arial" w:cs="Arial"/>
          <w:b/>
          <w:bCs/>
        </w:rPr>
        <w:t>Shift from Psychoeducation to Community Capacity Building:</w:t>
      </w:r>
      <w:r w:rsidRPr="00B63350">
        <w:rPr>
          <w:rFonts w:ascii="Arial" w:hAnsi="Arial" w:cs="Arial"/>
        </w:rPr>
        <w:t xml:space="preserve"> Instead of top-down MHL campaigns, interventions should focus on building capacity from within the community. This involves training trusted community members—informal leaders, faith group </w:t>
      </w:r>
      <w:proofErr w:type="spellStart"/>
      <w:r w:rsidRPr="00B63350">
        <w:rPr>
          <w:rFonts w:ascii="Arial" w:hAnsi="Arial" w:cs="Arial"/>
        </w:rPr>
        <w:t>organisers</w:t>
      </w:r>
      <w:proofErr w:type="spellEnd"/>
      <w:r w:rsidRPr="00B63350">
        <w:rPr>
          <w:rFonts w:ascii="Arial" w:hAnsi="Arial" w:cs="Arial"/>
        </w:rPr>
        <w:t xml:space="preserve">, and peer volunteers—in basic mental health first aid and supportive communication. This approach leverages existing social structures and empowers the community to become agents of its own wellbeing ( </w:t>
      </w:r>
      <w:hyperlink r:id="rId38" w:tgtFrame="_blank" w:history="1">
        <w:r w:rsidRPr="00B63350">
          <w:rPr>
            <w:rStyle w:val="Hyperlink"/>
            <w:rFonts w:ascii="Arial" w:hAnsi="Arial" w:cs="Arial"/>
            <w:color w:val="auto"/>
            <w:u w:val="none"/>
          </w:rPr>
          <w:t>Breuer et al., 2023</w:t>
        </w:r>
      </w:hyperlink>
      <w:r w:rsidRPr="00B63350">
        <w:rPr>
          <w:rFonts w:ascii="Arial" w:hAnsi="Arial" w:cs="Arial"/>
        </w:rPr>
        <w:t xml:space="preserve"> ) .</w:t>
      </w:r>
    </w:p>
    <w:p w14:paraId="36909420" w14:textId="77777777" w:rsidR="00B63350" w:rsidRPr="00B63350" w:rsidRDefault="00B63350" w:rsidP="00B63350">
      <w:pPr>
        <w:pStyle w:val="Body"/>
        <w:numPr>
          <w:ilvl w:val="0"/>
          <w:numId w:val="38"/>
        </w:numPr>
        <w:spacing w:after="0"/>
        <w:rPr>
          <w:rFonts w:ascii="Arial" w:hAnsi="Arial" w:cs="Arial"/>
        </w:rPr>
      </w:pPr>
      <w:r w:rsidRPr="00B63350">
        <w:rPr>
          <w:rFonts w:ascii="Arial" w:hAnsi="Arial" w:cs="Arial"/>
          <w:b/>
          <w:bCs/>
        </w:rPr>
        <w:t>Adopt a Culturally Humble Stance:</w:t>
      </w:r>
      <w:r w:rsidRPr="00B63350">
        <w:rPr>
          <w:rFonts w:ascii="Arial" w:hAnsi="Arial" w:cs="Arial"/>
        </w:rPr>
        <w:t xml:space="preserve"> Practitioners must move beyond mere 'cultural competence' to 'cultural humility'—a lifelong commitment to self-reflection and redressing power imbalances in the patient-provider </w:t>
      </w:r>
      <w:proofErr w:type="gramStart"/>
      <w:r w:rsidRPr="00B63350">
        <w:rPr>
          <w:rFonts w:ascii="Arial" w:hAnsi="Arial" w:cs="Arial"/>
        </w:rPr>
        <w:t>dynamic .</w:t>
      </w:r>
      <w:proofErr w:type="gramEnd"/>
      <w:r w:rsidRPr="00B63350">
        <w:rPr>
          <w:rFonts w:ascii="Arial" w:hAnsi="Arial" w:cs="Arial"/>
        </w:rPr>
        <w:t xml:space="preserve"> This means acknowledging the validity of faith-based coping, using non-</w:t>
      </w:r>
      <w:proofErr w:type="spellStart"/>
      <w:r w:rsidRPr="00B63350">
        <w:rPr>
          <w:rFonts w:ascii="Arial" w:hAnsi="Arial" w:cs="Arial"/>
        </w:rPr>
        <w:t>stigmatising</w:t>
      </w:r>
      <w:proofErr w:type="spellEnd"/>
      <w:r w:rsidRPr="00B63350">
        <w:rPr>
          <w:rFonts w:ascii="Arial" w:hAnsi="Arial" w:cs="Arial"/>
        </w:rPr>
        <w:t xml:space="preserve"> language (e.g., 'stress' or 'heavy feelings' instead of clinical diagnoses), and co-designing interventions with community members to ensure they are relevant and acceptable(  </w:t>
      </w:r>
      <w:hyperlink r:id="rId39" w:tgtFrame="_blank" w:history="1">
        <w:r w:rsidRPr="00B63350">
          <w:rPr>
            <w:rStyle w:val="Hyperlink"/>
            <w:rFonts w:ascii="Arial" w:hAnsi="Arial" w:cs="Arial"/>
            <w:color w:val="auto"/>
            <w:u w:val="none"/>
          </w:rPr>
          <w:t>Majid et al., 2024</w:t>
        </w:r>
      </w:hyperlink>
      <w:r w:rsidRPr="00B63350">
        <w:rPr>
          <w:rFonts w:ascii="Arial" w:hAnsi="Arial" w:cs="Arial"/>
        </w:rPr>
        <w:t xml:space="preserve"> ) .</w:t>
      </w:r>
    </w:p>
    <w:p w14:paraId="638F5981" w14:textId="77777777" w:rsidR="00B63350" w:rsidRPr="00B63350" w:rsidRDefault="00B63350" w:rsidP="00B63350">
      <w:pPr>
        <w:pStyle w:val="Body"/>
        <w:numPr>
          <w:ilvl w:val="0"/>
          <w:numId w:val="38"/>
        </w:numPr>
        <w:spacing w:after="0"/>
        <w:rPr>
          <w:rFonts w:ascii="Arial" w:hAnsi="Arial" w:cs="Arial"/>
        </w:rPr>
      </w:pPr>
      <w:r w:rsidRPr="00B63350">
        <w:rPr>
          <w:rFonts w:ascii="Arial" w:hAnsi="Arial" w:cs="Arial"/>
          <w:b/>
          <w:bCs/>
        </w:rPr>
        <w:t>Integrate, Don't Compete, with Faith:</w:t>
      </w:r>
      <w:r w:rsidRPr="00B63350">
        <w:rPr>
          <w:rFonts w:ascii="Arial" w:hAnsi="Arial" w:cs="Arial"/>
        </w:rPr>
        <w:t xml:space="preserve"> Given the centrality of faith, mental health support should be integrated into faith-based settings where possible. Collaborating with churches and prayer groups to provide workshops on mental wellbeing, stress management, and identifying when professional help is needed can bridge the gap between spiritual and psychological </w:t>
      </w:r>
      <w:proofErr w:type="gramStart"/>
      <w:r w:rsidRPr="00B63350">
        <w:rPr>
          <w:rFonts w:ascii="Arial" w:hAnsi="Arial" w:cs="Arial"/>
        </w:rPr>
        <w:t>support .</w:t>
      </w:r>
      <w:proofErr w:type="gramEnd"/>
    </w:p>
    <w:p w14:paraId="0D698774" w14:textId="77777777" w:rsidR="00B63350" w:rsidRPr="00B63350" w:rsidRDefault="00B63350" w:rsidP="00B63350">
      <w:pPr>
        <w:pStyle w:val="Body"/>
        <w:spacing w:after="0"/>
        <w:rPr>
          <w:rFonts w:ascii="Arial" w:hAnsi="Arial" w:cs="Arial"/>
          <w:b/>
          <w:bCs/>
        </w:rPr>
      </w:pPr>
      <w:r w:rsidRPr="00B63350">
        <w:rPr>
          <w:rFonts w:ascii="Arial" w:hAnsi="Arial" w:cs="Arial"/>
          <w:b/>
          <w:bCs/>
        </w:rPr>
        <w:t>For Policy:</w:t>
      </w:r>
    </w:p>
    <w:p w14:paraId="247E1B99" w14:textId="77777777" w:rsidR="00B63350" w:rsidRPr="00B63350" w:rsidRDefault="00B63350" w:rsidP="00B63350">
      <w:pPr>
        <w:pStyle w:val="Body"/>
        <w:numPr>
          <w:ilvl w:val="0"/>
          <w:numId w:val="39"/>
        </w:numPr>
        <w:spacing w:after="0"/>
        <w:rPr>
          <w:rFonts w:ascii="Arial" w:hAnsi="Arial" w:cs="Arial"/>
        </w:rPr>
      </w:pPr>
      <w:r w:rsidRPr="00B63350">
        <w:rPr>
          <w:rFonts w:ascii="Arial" w:hAnsi="Arial" w:cs="Arial"/>
          <w:b/>
          <w:bCs/>
        </w:rPr>
        <w:t>Address the Structural Barriers:</w:t>
      </w:r>
      <w:r w:rsidRPr="00B63350">
        <w:rPr>
          <w:rFonts w:ascii="Arial" w:hAnsi="Arial" w:cs="Arial"/>
        </w:rPr>
        <w:t xml:space="preserve"> Policy changes are essential to address the 'Bawal </w:t>
      </w:r>
      <w:proofErr w:type="spellStart"/>
      <w:r w:rsidRPr="00B63350">
        <w:rPr>
          <w:rFonts w:ascii="Arial" w:hAnsi="Arial" w:cs="Arial"/>
        </w:rPr>
        <w:t>Magkasakit</w:t>
      </w:r>
      <w:proofErr w:type="spellEnd"/>
      <w:r w:rsidRPr="00B63350">
        <w:rPr>
          <w:rFonts w:ascii="Arial" w:hAnsi="Arial" w:cs="Arial"/>
        </w:rPr>
        <w:t xml:space="preserve">' reality. This includes advocating for mandatory health insurance for all visa categories that includes comprehensive mental health coverage. Employers should be </w:t>
      </w:r>
      <w:proofErr w:type="spellStart"/>
      <w:r w:rsidRPr="00B63350">
        <w:rPr>
          <w:rFonts w:ascii="Arial" w:hAnsi="Arial" w:cs="Arial"/>
        </w:rPr>
        <w:t>incentivised</w:t>
      </w:r>
      <w:proofErr w:type="spellEnd"/>
      <w:r w:rsidRPr="00B63350">
        <w:rPr>
          <w:rFonts w:ascii="Arial" w:hAnsi="Arial" w:cs="Arial"/>
        </w:rPr>
        <w:t xml:space="preserve"> or mandated to provide access to low-cost employee assistance </w:t>
      </w:r>
      <w:proofErr w:type="spellStart"/>
      <w:r w:rsidRPr="00B63350">
        <w:rPr>
          <w:rFonts w:ascii="Arial" w:hAnsi="Arial" w:cs="Arial"/>
        </w:rPr>
        <w:t>programmes</w:t>
      </w:r>
      <w:proofErr w:type="spellEnd"/>
      <w:r w:rsidRPr="00B63350">
        <w:rPr>
          <w:rFonts w:ascii="Arial" w:hAnsi="Arial" w:cs="Arial"/>
        </w:rPr>
        <w:t xml:space="preserve"> (EAPs</w:t>
      </w:r>
      <w:proofErr w:type="gramStart"/>
      <w:r w:rsidRPr="00B63350">
        <w:rPr>
          <w:rFonts w:ascii="Arial" w:hAnsi="Arial" w:cs="Arial"/>
        </w:rPr>
        <w:t>) .</w:t>
      </w:r>
      <w:proofErr w:type="gramEnd"/>
    </w:p>
    <w:p w14:paraId="14F587BD" w14:textId="77777777" w:rsidR="00B63350" w:rsidRPr="00B63350" w:rsidRDefault="00B63350" w:rsidP="00B63350">
      <w:pPr>
        <w:pStyle w:val="Body"/>
        <w:numPr>
          <w:ilvl w:val="0"/>
          <w:numId w:val="39"/>
        </w:numPr>
        <w:spacing w:after="0"/>
        <w:rPr>
          <w:rFonts w:ascii="Arial" w:hAnsi="Arial" w:cs="Arial"/>
        </w:rPr>
      </w:pPr>
      <w:r w:rsidRPr="00B63350">
        <w:rPr>
          <w:rFonts w:ascii="Arial" w:hAnsi="Arial" w:cs="Arial"/>
          <w:b/>
          <w:bCs/>
        </w:rPr>
        <w:t>Fund Community-Based Models:</w:t>
      </w:r>
      <w:r w:rsidRPr="00B63350">
        <w:rPr>
          <w:rFonts w:ascii="Arial" w:hAnsi="Arial" w:cs="Arial"/>
        </w:rPr>
        <w:t xml:space="preserve"> Governments and philanthropic </w:t>
      </w:r>
      <w:proofErr w:type="spellStart"/>
      <w:r w:rsidRPr="00B63350">
        <w:rPr>
          <w:rFonts w:ascii="Arial" w:hAnsi="Arial" w:cs="Arial"/>
        </w:rPr>
        <w:t>organisations</w:t>
      </w:r>
      <w:proofErr w:type="spellEnd"/>
      <w:r w:rsidRPr="00B63350">
        <w:rPr>
          <w:rFonts w:ascii="Arial" w:hAnsi="Arial" w:cs="Arial"/>
        </w:rPr>
        <w:t xml:space="preserve"> should fund scalable, low-intensity, community-based models of care rather than relying solely on high-cost specialist services. This aligns with WHO recommendations for task-sharing in mental health </w:t>
      </w:r>
      <w:hyperlink r:id="rId40" w:tgtFrame="_blank" w:history="1">
        <w:r w:rsidRPr="00B63350">
          <w:rPr>
            <w:rStyle w:val="Hyperlink"/>
            <w:rFonts w:ascii="Arial" w:hAnsi="Arial" w:cs="Arial"/>
            <w:color w:val="auto"/>
            <w:u w:val="none"/>
          </w:rPr>
          <w:t>Harvey et al., 2023</w:t>
        </w:r>
      </w:hyperlink>
      <w:r w:rsidRPr="00B63350">
        <w:rPr>
          <w:rFonts w:ascii="Arial" w:hAnsi="Arial" w:cs="Arial"/>
        </w:rPr>
        <w:t>; .</w:t>
      </w:r>
    </w:p>
    <w:p w14:paraId="2A651841" w14:textId="77777777" w:rsidR="00B63350" w:rsidRPr="00B63350" w:rsidRDefault="00B63350" w:rsidP="00B63350">
      <w:pPr>
        <w:pStyle w:val="Body"/>
        <w:numPr>
          <w:ilvl w:val="0"/>
          <w:numId w:val="39"/>
        </w:numPr>
        <w:spacing w:after="0"/>
        <w:rPr>
          <w:rFonts w:ascii="Arial" w:hAnsi="Arial" w:cs="Arial"/>
        </w:rPr>
      </w:pPr>
      <w:r w:rsidRPr="00B63350">
        <w:rPr>
          <w:rFonts w:ascii="Arial" w:hAnsi="Arial" w:cs="Arial"/>
          <w:b/>
          <w:bCs/>
        </w:rPr>
        <w:t>Launch Targeted Anti-Stigma Campaigns:</w:t>
      </w:r>
      <w:r w:rsidRPr="00B63350">
        <w:rPr>
          <w:rFonts w:ascii="Arial" w:hAnsi="Arial" w:cs="Arial"/>
        </w:rPr>
        <w:t xml:space="preserve"> Public health campaigns should be co-developed with the Filipino community, using trusted channels and influential figures </w:t>
      </w:r>
      <w:r w:rsidRPr="00B63350">
        <w:rPr>
          <w:rFonts w:ascii="Arial" w:hAnsi="Arial" w:cs="Arial"/>
        </w:rPr>
        <w:lastRenderedPageBreak/>
        <w:t xml:space="preserve">to </w:t>
      </w:r>
      <w:proofErr w:type="spellStart"/>
      <w:r w:rsidRPr="00B63350">
        <w:rPr>
          <w:rFonts w:ascii="Arial" w:hAnsi="Arial" w:cs="Arial"/>
        </w:rPr>
        <w:t>normalise</w:t>
      </w:r>
      <w:proofErr w:type="spellEnd"/>
      <w:r w:rsidRPr="00B63350">
        <w:rPr>
          <w:rFonts w:ascii="Arial" w:hAnsi="Arial" w:cs="Arial"/>
        </w:rPr>
        <w:t xml:space="preserve"> conversations about mental health and frame help-seeking as a sign of strength and </w:t>
      </w:r>
      <w:proofErr w:type="gramStart"/>
      <w:r w:rsidRPr="00B63350">
        <w:rPr>
          <w:rFonts w:ascii="Arial" w:hAnsi="Arial" w:cs="Arial"/>
        </w:rPr>
        <w:t>resilience .</w:t>
      </w:r>
      <w:proofErr w:type="gramEnd"/>
    </w:p>
    <w:p w14:paraId="0360511B" w14:textId="77777777" w:rsidR="00B63350" w:rsidRPr="00B63350" w:rsidRDefault="00B63350" w:rsidP="00B63350">
      <w:pPr>
        <w:pStyle w:val="Body"/>
        <w:spacing w:after="0"/>
        <w:rPr>
          <w:rFonts w:ascii="Arial" w:hAnsi="Arial" w:cs="Arial"/>
          <w:b/>
          <w:bCs/>
        </w:rPr>
      </w:pPr>
      <w:r w:rsidRPr="00B63350">
        <w:rPr>
          <w:rFonts w:ascii="Arial" w:hAnsi="Arial" w:cs="Arial"/>
          <w:b/>
          <w:bCs/>
        </w:rPr>
        <w:t>5.4. Strengths, Limitations, and Future Research</w:t>
      </w:r>
    </w:p>
    <w:p w14:paraId="211423F8" w14:textId="77777777" w:rsidR="00B63350" w:rsidRPr="00B63350" w:rsidRDefault="00B63350" w:rsidP="00B63350">
      <w:pPr>
        <w:pStyle w:val="Body"/>
        <w:spacing w:after="0"/>
        <w:rPr>
          <w:rFonts w:ascii="Arial" w:hAnsi="Arial" w:cs="Arial"/>
        </w:rPr>
      </w:pPr>
      <w:r w:rsidRPr="00B63350">
        <w:rPr>
          <w:rFonts w:ascii="Arial" w:hAnsi="Arial" w:cs="Arial"/>
        </w:rPr>
        <w:t xml:space="preserve">The primary strength of this study is its robust **mixed-methods design**. The triangulation of quantitative and qualitative data provided a depth and credibility of findings that neither method could have achieved </w:t>
      </w:r>
      <w:proofErr w:type="gramStart"/>
      <w:r w:rsidRPr="00B63350">
        <w:rPr>
          <w:rFonts w:ascii="Arial" w:hAnsi="Arial" w:cs="Arial"/>
        </w:rPr>
        <w:t>alone .</w:t>
      </w:r>
      <w:proofErr w:type="gramEnd"/>
      <w:r w:rsidRPr="00B63350">
        <w:rPr>
          <w:rFonts w:ascii="Arial" w:hAnsi="Arial" w:cs="Arial"/>
        </w:rPr>
        <w:t xml:space="preserve"> The use of a joint display offers a clear and transparent model for data integration. Furthermore, the focus on a specific, under-researched, and vulnerable population within the UAE context is a significant contribution.</w:t>
      </w:r>
    </w:p>
    <w:p w14:paraId="1CB4AC8D" w14:textId="77777777" w:rsidR="00B63350" w:rsidRPr="00B63350" w:rsidRDefault="00B63350" w:rsidP="00B63350">
      <w:pPr>
        <w:pStyle w:val="Body"/>
        <w:spacing w:after="0"/>
        <w:rPr>
          <w:rFonts w:ascii="Arial" w:hAnsi="Arial" w:cs="Arial"/>
        </w:rPr>
      </w:pPr>
      <w:r w:rsidRPr="00B63350">
        <w:rPr>
          <w:rFonts w:ascii="Arial" w:hAnsi="Arial" w:cs="Arial"/>
        </w:rPr>
        <w:t xml:space="preserve">However, the study has several limitations. First, the use of **non-probability sampling** (purposive and snowball) means that the findings cannot be </w:t>
      </w:r>
      <w:proofErr w:type="spellStart"/>
      <w:r w:rsidRPr="00B63350">
        <w:rPr>
          <w:rFonts w:ascii="Arial" w:hAnsi="Arial" w:cs="Arial"/>
        </w:rPr>
        <w:t>generalised</w:t>
      </w:r>
      <w:proofErr w:type="spellEnd"/>
      <w:r w:rsidRPr="00B63350">
        <w:rPr>
          <w:rFonts w:ascii="Arial" w:hAnsi="Arial" w:cs="Arial"/>
        </w:rPr>
        <w:t xml:space="preserve"> to the entire population of Filipino workers in the UAE. The sample may reflect the views of those who are more connected to community </w:t>
      </w:r>
      <w:proofErr w:type="spellStart"/>
      <w:r w:rsidRPr="00B63350">
        <w:rPr>
          <w:rFonts w:ascii="Arial" w:hAnsi="Arial" w:cs="Arial"/>
        </w:rPr>
        <w:t>organisations</w:t>
      </w:r>
      <w:proofErr w:type="spellEnd"/>
      <w:r w:rsidRPr="00B63350">
        <w:rPr>
          <w:rFonts w:ascii="Arial" w:hAnsi="Arial" w:cs="Arial"/>
        </w:rPr>
        <w:t>. Second, the **cross-sectional design** allows for the identification of relationships but does not permit causal inferences. For example, while MHL and barriers are correlated, we cannot determine if low MHL leads to higher barriers or if experiencing high barriers suppresses one's interest in MHL. Third, the data relies on self-report, which may be subject to social desirability bias, although the anonymity provided and the rapport built in focus groups aimed to mitigate this.</w:t>
      </w:r>
    </w:p>
    <w:p w14:paraId="5A4C4D53" w14:textId="77777777" w:rsidR="00B63350" w:rsidRPr="00B63350" w:rsidRDefault="00B63350" w:rsidP="00B63350">
      <w:pPr>
        <w:pStyle w:val="Body"/>
        <w:spacing w:after="0"/>
        <w:rPr>
          <w:rFonts w:ascii="Arial" w:hAnsi="Arial" w:cs="Arial"/>
        </w:rPr>
      </w:pPr>
      <w:r w:rsidRPr="00B63350">
        <w:rPr>
          <w:rFonts w:ascii="Arial" w:hAnsi="Arial" w:cs="Arial"/>
        </w:rPr>
        <w:t xml:space="preserve">Future research should build on these findings in several key directions. **Longitudinal studies** are needed to track changes in MHL and help-seeking attitudes over time, particularly in response to policy changes or interventions. **Intervention research** is the critical next step; a study could design and test the effectiveness of a culturally-adapted, community-based MHL </w:t>
      </w:r>
      <w:proofErr w:type="spellStart"/>
      <w:r w:rsidRPr="00B63350">
        <w:rPr>
          <w:rFonts w:ascii="Arial" w:hAnsi="Arial" w:cs="Arial"/>
        </w:rPr>
        <w:t>programme</w:t>
      </w:r>
      <w:proofErr w:type="spellEnd"/>
      <w:r w:rsidRPr="00B63350">
        <w:rPr>
          <w:rFonts w:ascii="Arial" w:hAnsi="Arial" w:cs="Arial"/>
        </w:rPr>
        <w:t xml:space="preserve"> based on the recommendations from this </w:t>
      </w:r>
      <w:proofErr w:type="gramStart"/>
      <w:r w:rsidRPr="00B63350">
        <w:rPr>
          <w:rFonts w:ascii="Arial" w:hAnsi="Arial" w:cs="Arial"/>
        </w:rPr>
        <w:t>research .</w:t>
      </w:r>
      <w:proofErr w:type="gramEnd"/>
      <w:r w:rsidRPr="00B63350">
        <w:rPr>
          <w:rFonts w:ascii="Arial" w:hAnsi="Arial" w:cs="Arial"/>
        </w:rPr>
        <w:t xml:space="preserve"> Finally, comparative studies examining the experiences of other low-wage migrant nationalities in the UAE could provide a broader understanding of the intersection of culture, class, and mental health in the </w:t>
      </w:r>
      <w:proofErr w:type="gramStart"/>
      <w:r w:rsidRPr="00B63350">
        <w:rPr>
          <w:rFonts w:ascii="Arial" w:hAnsi="Arial" w:cs="Arial"/>
        </w:rPr>
        <w:t>region .</w:t>
      </w:r>
      <w:proofErr w:type="gramEnd"/>
    </w:p>
    <w:p w14:paraId="3C3F5A85" w14:textId="77777777" w:rsidR="00790ADA" w:rsidRPr="00FB3A86" w:rsidRDefault="00790ADA" w:rsidP="00441B6F">
      <w:pPr>
        <w:pStyle w:val="Body"/>
        <w:spacing w:after="0"/>
        <w:rPr>
          <w:rFonts w:ascii="Arial" w:hAnsi="Arial" w:cs="Arial"/>
        </w:rPr>
      </w:pPr>
    </w:p>
    <w:p w14:paraId="65807356" w14:textId="77777777" w:rsidR="00B01FCD" w:rsidRDefault="00B63350" w:rsidP="00441B6F">
      <w:pPr>
        <w:pStyle w:val="AcknHead"/>
        <w:spacing w:after="0"/>
        <w:jc w:val="both"/>
        <w:rPr>
          <w:rFonts w:ascii="Arial" w:hAnsi="Arial" w:cs="Arial"/>
        </w:rPr>
      </w:pPr>
      <w:r>
        <w:rPr>
          <w:rFonts w:ascii="Arial" w:hAnsi="Arial" w:cs="Arial"/>
        </w:rPr>
        <w:t xml:space="preserve">6.CONCLUSION </w:t>
      </w:r>
    </w:p>
    <w:p w14:paraId="0BD58DFA" w14:textId="77777777" w:rsidR="00790ADA" w:rsidRPr="00FB3A86" w:rsidRDefault="00790ADA" w:rsidP="00441B6F">
      <w:pPr>
        <w:pStyle w:val="AcknHead"/>
        <w:spacing w:after="0"/>
        <w:jc w:val="both"/>
        <w:rPr>
          <w:rFonts w:ascii="Arial" w:hAnsi="Arial" w:cs="Arial"/>
        </w:rPr>
      </w:pPr>
    </w:p>
    <w:p w14:paraId="1AB45A3B" w14:textId="77777777" w:rsidR="00B63350" w:rsidRPr="00B63350" w:rsidRDefault="00B63350" w:rsidP="00B63350">
      <w:pPr>
        <w:pStyle w:val="Body"/>
        <w:spacing w:after="0"/>
        <w:rPr>
          <w:rFonts w:ascii="Arial" w:hAnsi="Arial" w:cs="Arial"/>
        </w:rPr>
      </w:pPr>
      <w:r w:rsidRPr="00B63350">
        <w:rPr>
          <w:rFonts w:ascii="Arial" w:hAnsi="Arial" w:cs="Arial"/>
        </w:rPr>
        <w:t>This study illuminates the stark reality of mental health for low-wage Filipino workers in the UAE, a reality governed by the pragmatic calculus of economic survival and the powerful currents of cultural and community norms. The findings demonstrate that while mental health literacy is a significant factor, it is largely overshadowed by the formidable barriers of financial precarity and social stigma. The 'literacy-action gap' identified in this research serves as a crucial reminder that knowledge alone does not translate to access or action when an individual's environment is prohibitive.</w:t>
      </w:r>
    </w:p>
    <w:p w14:paraId="13F65BEF" w14:textId="77777777" w:rsidR="00B63350" w:rsidRPr="00B63350" w:rsidRDefault="00B63350" w:rsidP="00B63350">
      <w:pPr>
        <w:pStyle w:val="Body"/>
        <w:spacing w:after="0"/>
        <w:rPr>
          <w:rFonts w:ascii="Arial" w:hAnsi="Arial" w:cs="Arial"/>
        </w:rPr>
      </w:pPr>
      <w:r w:rsidRPr="00B63350">
        <w:rPr>
          <w:rFonts w:ascii="Arial" w:hAnsi="Arial" w:cs="Arial"/>
        </w:rPr>
        <w:t>Improving mental health outcomes for this resilient yet vulnerable population demands a paradigm shift away from individual-focused psychoeducation towards a multi-level, empowerment-based approach. Interventions must be culturally embedded, community-led, and structurally supported. They must acknowledge and integrate with existing coping mechanisms like faith, while simultaneously working to dismantle the systemic barriers that make being unwell an unaffordable proposition. Ultimately, fostering mental wellbeing among migrant workers is not only a matter of public health but a question of social justice, requiring a collective commitment from policymakers, employers, and the community itself to create an environment where every individual has the right not just to work, but to be well.</w:t>
      </w:r>
    </w:p>
    <w:p w14:paraId="6D3192C6" w14:textId="77777777" w:rsidR="00315186" w:rsidRPr="00315186" w:rsidRDefault="00315186" w:rsidP="00441B6F"/>
    <w:p w14:paraId="21D8A38D" w14:textId="77777777" w:rsidR="00315186" w:rsidRPr="00315186" w:rsidRDefault="00315186" w:rsidP="00441B6F"/>
    <w:p w14:paraId="0F07282D" w14:textId="77777777" w:rsidR="00315186" w:rsidRPr="00315186" w:rsidRDefault="00315186" w:rsidP="00441B6F"/>
    <w:p w14:paraId="209CF28F" w14:textId="77777777" w:rsidR="00860000" w:rsidRPr="00B63350" w:rsidRDefault="00B63350" w:rsidP="00441B6F">
      <w:pPr>
        <w:pStyle w:val="ReferHead"/>
        <w:spacing w:after="0"/>
        <w:jc w:val="both"/>
        <w:rPr>
          <w:rFonts w:ascii="Arial" w:hAnsi="Arial" w:cs="Arial"/>
          <w:bCs/>
          <w:sz w:val="20"/>
        </w:rPr>
      </w:pPr>
      <w:r w:rsidRPr="00B63350">
        <w:rPr>
          <w:rFonts w:ascii="Arial" w:hAnsi="Arial" w:cs="Arial"/>
          <w:bCs/>
          <w:sz w:val="20"/>
        </w:rPr>
        <w:t xml:space="preserve">DECLARATION </w:t>
      </w:r>
    </w:p>
    <w:p w14:paraId="401211DE" w14:textId="77777777" w:rsidR="00860000" w:rsidRPr="00B63350" w:rsidRDefault="00860000" w:rsidP="00441B6F">
      <w:pPr>
        <w:pStyle w:val="ReferHead"/>
        <w:spacing w:after="0"/>
        <w:jc w:val="both"/>
        <w:rPr>
          <w:rFonts w:ascii="Arial" w:hAnsi="Arial" w:cs="Arial"/>
          <w:sz w:val="20"/>
        </w:rPr>
      </w:pPr>
    </w:p>
    <w:p w14:paraId="10445B27" w14:textId="77777777" w:rsidR="00B63350" w:rsidRPr="00B63350" w:rsidRDefault="00B63350" w:rsidP="00B63350">
      <w:pPr>
        <w:jc w:val="both"/>
        <w:rPr>
          <w:rFonts w:ascii="Arial" w:eastAsia="Calibri" w:hAnsi="Arial" w:cs="Arial"/>
          <w:b/>
          <w:bCs/>
        </w:rPr>
      </w:pPr>
      <w:r w:rsidRPr="00B63350">
        <w:rPr>
          <w:rFonts w:ascii="Arial" w:eastAsia="Calibri" w:hAnsi="Arial" w:cs="Arial"/>
          <w:b/>
          <w:bCs/>
        </w:rPr>
        <w:t>Ethics Approval and Consent to Participate</w:t>
      </w:r>
    </w:p>
    <w:p w14:paraId="2969910E" w14:textId="77777777" w:rsidR="00B63350" w:rsidRPr="00B63350" w:rsidRDefault="00B63350" w:rsidP="00B63350">
      <w:pPr>
        <w:spacing w:after="160" w:line="259" w:lineRule="auto"/>
        <w:jc w:val="both"/>
        <w:rPr>
          <w:rFonts w:ascii="Arial" w:eastAsia="Calibri" w:hAnsi="Arial" w:cs="Arial"/>
        </w:rPr>
      </w:pPr>
      <w:r w:rsidRPr="00B63350">
        <w:rPr>
          <w:rFonts w:ascii="Arial" w:eastAsia="Calibri" w:hAnsi="Arial" w:cs="Arial"/>
        </w:rPr>
        <w:t xml:space="preserve">The study protocol (Reference: BSURAK -PSY-2025-09-28) was reviewed and approved by the Bath Spa University AC </w:t>
      </w:r>
      <w:proofErr w:type="gramStart"/>
      <w:r w:rsidRPr="00B63350">
        <w:rPr>
          <w:rFonts w:ascii="Arial" w:eastAsia="Calibri" w:hAnsi="Arial" w:cs="Arial"/>
        </w:rPr>
        <w:t>RAK ,</w:t>
      </w:r>
      <w:proofErr w:type="gramEnd"/>
      <w:r w:rsidRPr="00B63350">
        <w:rPr>
          <w:rFonts w:ascii="Arial" w:eastAsia="Calibri" w:hAnsi="Arial" w:cs="Arial"/>
        </w:rPr>
        <w:t xml:space="preserve"> </w:t>
      </w:r>
      <w:proofErr w:type="gramStart"/>
      <w:r w:rsidRPr="00B63350">
        <w:rPr>
          <w:rFonts w:ascii="Arial" w:eastAsia="Calibri" w:hAnsi="Arial" w:cs="Arial"/>
        </w:rPr>
        <w:t>UAE  Institutional</w:t>
      </w:r>
      <w:proofErr w:type="gramEnd"/>
      <w:r w:rsidRPr="00B63350">
        <w:rPr>
          <w:rFonts w:ascii="Arial" w:eastAsia="Calibri" w:hAnsi="Arial" w:cs="Arial"/>
        </w:rPr>
        <w:t xml:space="preserve"> Review Board. All participants provided written informed consent prior to their inclusion in the study.</w:t>
      </w:r>
    </w:p>
    <w:p w14:paraId="51EE8E2B" w14:textId="77777777" w:rsidR="00B63350" w:rsidRPr="00B63350" w:rsidRDefault="00B63350" w:rsidP="00B63350">
      <w:pPr>
        <w:spacing w:after="160" w:line="259" w:lineRule="auto"/>
        <w:jc w:val="both"/>
        <w:rPr>
          <w:rFonts w:ascii="Arial" w:eastAsia="Calibri" w:hAnsi="Arial" w:cs="Arial"/>
          <w:b/>
          <w:bCs/>
        </w:rPr>
      </w:pPr>
      <w:r w:rsidRPr="00B63350">
        <w:rPr>
          <w:rFonts w:ascii="Arial" w:eastAsia="Calibri" w:hAnsi="Arial" w:cs="Arial"/>
          <w:b/>
          <w:bCs/>
        </w:rPr>
        <w:lastRenderedPageBreak/>
        <w:t>Consent for Publication</w:t>
      </w:r>
    </w:p>
    <w:p w14:paraId="47D0D76B" w14:textId="77777777" w:rsidR="00B63350" w:rsidRPr="00B63350" w:rsidRDefault="00B63350" w:rsidP="00B63350">
      <w:pPr>
        <w:spacing w:after="160" w:line="259" w:lineRule="auto"/>
        <w:jc w:val="both"/>
        <w:rPr>
          <w:rFonts w:ascii="Arial" w:eastAsia="Calibri" w:hAnsi="Arial" w:cs="Arial"/>
        </w:rPr>
      </w:pPr>
      <w:r w:rsidRPr="00B63350">
        <w:rPr>
          <w:rFonts w:ascii="Arial" w:eastAsia="Calibri" w:hAnsi="Arial" w:cs="Arial"/>
        </w:rPr>
        <w:t>All participants provided consent for their anonymized data to be used in publications.</w:t>
      </w:r>
    </w:p>
    <w:p w14:paraId="06D30652" w14:textId="77777777" w:rsidR="00DF53A4" w:rsidRDefault="00DF53A4" w:rsidP="00B63350">
      <w:pPr>
        <w:shd w:val="clear" w:color="auto" w:fill="FFFFFF"/>
        <w:spacing w:after="288"/>
        <w:rPr>
          <w:rFonts w:ascii="Arial" w:eastAsia="Calibri" w:hAnsi="Arial" w:cs="Arial"/>
          <w:b/>
          <w:bCs/>
        </w:rPr>
      </w:pPr>
    </w:p>
    <w:p w14:paraId="0DFC51CA" w14:textId="13CBA704" w:rsidR="00B63350" w:rsidRPr="00B63350" w:rsidRDefault="00B63350" w:rsidP="00B63350">
      <w:pPr>
        <w:shd w:val="clear" w:color="auto" w:fill="FFFFFF"/>
        <w:spacing w:after="288"/>
        <w:rPr>
          <w:rFonts w:ascii="Arial" w:hAnsi="Arial" w:cs="Arial"/>
          <w:color w:val="000000"/>
        </w:rPr>
      </w:pPr>
      <w:r w:rsidRPr="00B63350">
        <w:rPr>
          <w:rFonts w:ascii="Arial" w:hAnsi="Arial" w:cs="Arial"/>
          <w:color w:val="000000"/>
        </w:rPr>
        <w:t>.</w:t>
      </w:r>
    </w:p>
    <w:p w14:paraId="23DA5813" w14:textId="77777777" w:rsidR="0041027F" w:rsidRPr="00F469F0" w:rsidRDefault="0041027F" w:rsidP="00B63350">
      <w:pPr>
        <w:pStyle w:val="ReferHead"/>
        <w:spacing w:after="0"/>
        <w:jc w:val="both"/>
        <w:rPr>
          <w:rFonts w:ascii="Arial" w:hAnsi="Arial" w:cs="Arial"/>
          <w:b w:val="0"/>
          <w:caps w:val="0"/>
          <w:sz w:val="20"/>
          <w:u w:val="single"/>
        </w:rPr>
      </w:pPr>
    </w:p>
    <w:p w14:paraId="0A719265" w14:textId="77777777" w:rsidR="00860000" w:rsidRDefault="00860000" w:rsidP="00441B6F">
      <w:pPr>
        <w:pStyle w:val="ReferHead"/>
        <w:spacing w:after="0"/>
        <w:jc w:val="both"/>
        <w:rPr>
          <w:rFonts w:ascii="Arial" w:hAnsi="Arial" w:cs="Arial"/>
        </w:rPr>
      </w:pPr>
    </w:p>
    <w:p w14:paraId="4209D6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E7F7397" w14:textId="77777777" w:rsidR="00790ADA" w:rsidRDefault="00790ADA" w:rsidP="00441B6F">
      <w:pPr>
        <w:pStyle w:val="ReferHead"/>
        <w:spacing w:after="0"/>
        <w:jc w:val="both"/>
        <w:rPr>
          <w:rFonts w:ascii="Arial" w:hAnsi="Arial" w:cs="Arial"/>
        </w:rPr>
      </w:pPr>
    </w:p>
    <w:p w14:paraId="4A822F69" w14:textId="77777777" w:rsidR="00B63350" w:rsidRDefault="00B63350" w:rsidP="00441B6F">
      <w:pPr>
        <w:pStyle w:val="ReferHead"/>
        <w:spacing w:after="0"/>
        <w:jc w:val="both"/>
        <w:rPr>
          <w:rFonts w:ascii="Arial" w:hAnsi="Arial" w:cs="Arial"/>
        </w:rPr>
      </w:pPr>
    </w:p>
    <w:p w14:paraId="7F61BAE3"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Abebe, D. S., Lien, L., &amp; Hjelde, K. H.</w:t>
      </w:r>
      <w:r w:rsidRPr="00B63350">
        <w:rPr>
          <w:rFonts w:ascii="Arial" w:eastAsia="Calibri" w:hAnsi="Arial" w:cs="Arial"/>
          <w:color w:val="000000"/>
        </w:rPr>
        <w:t xml:space="preserve"> (2023). Interventions to improve the mental health or mental well-being of migrants and ethnic minorities in the WHO European Region: a systematic review of the literature. </w:t>
      </w:r>
      <w:r w:rsidRPr="00B63350">
        <w:rPr>
          <w:rFonts w:ascii="Arial" w:eastAsia="Calibri" w:hAnsi="Arial" w:cs="Arial"/>
          <w:i/>
          <w:iCs/>
          <w:color w:val="000000"/>
        </w:rPr>
        <w:t>European Journal of Public Health, 33</w:t>
      </w:r>
      <w:r w:rsidRPr="00B63350">
        <w:rPr>
          <w:rFonts w:ascii="Arial" w:eastAsia="Calibri" w:hAnsi="Arial" w:cs="Arial"/>
          <w:color w:val="000000"/>
        </w:rPr>
        <w:t>(4), 657–665.</w:t>
      </w:r>
    </w:p>
    <w:p w14:paraId="634B9E4F"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Al-Amer, R., Ramjan, L., Glew, P., &amp; </w:t>
      </w:r>
      <w:proofErr w:type="spellStart"/>
      <w:r w:rsidRPr="00B63350">
        <w:rPr>
          <w:rFonts w:ascii="Arial" w:eastAsia="Calibri" w:hAnsi="Arial" w:cs="Arial"/>
          <w:b/>
          <w:bCs/>
          <w:color w:val="000000"/>
        </w:rPr>
        <w:t>Salamonson</w:t>
      </w:r>
      <w:proofErr w:type="spellEnd"/>
      <w:r w:rsidRPr="00B63350">
        <w:rPr>
          <w:rFonts w:ascii="Arial" w:eastAsia="Calibri" w:hAnsi="Arial" w:cs="Arial"/>
          <w:b/>
          <w:bCs/>
          <w:color w:val="000000"/>
        </w:rPr>
        <w:t>, Y.</w:t>
      </w:r>
      <w:r w:rsidRPr="00B63350">
        <w:rPr>
          <w:rFonts w:ascii="Arial" w:eastAsia="Calibri" w:hAnsi="Arial" w:cs="Arial"/>
          <w:color w:val="000000"/>
        </w:rPr>
        <w:t xml:space="preserve"> (2021). Life Challenges of Overseas Filipino Workers: A Scoping Review. </w:t>
      </w:r>
      <w:r w:rsidRPr="00B63350">
        <w:rPr>
          <w:rFonts w:ascii="Arial" w:eastAsia="Calibri" w:hAnsi="Arial" w:cs="Arial"/>
          <w:i/>
          <w:iCs/>
          <w:color w:val="000000"/>
        </w:rPr>
        <w:t>Journal of Global Health, 11</w:t>
      </w:r>
      <w:r w:rsidRPr="00B63350">
        <w:rPr>
          <w:rFonts w:ascii="Arial" w:eastAsia="Calibri" w:hAnsi="Arial" w:cs="Arial"/>
          <w:color w:val="000000"/>
        </w:rPr>
        <w:t>, 03001.</w:t>
      </w:r>
    </w:p>
    <w:p w14:paraId="670522AD"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Al-Kandari, Y. Y., &amp; O'Brien, E. M.</w:t>
      </w:r>
      <w:r w:rsidRPr="00B63350">
        <w:rPr>
          <w:rFonts w:ascii="Arial" w:eastAsia="Calibri" w:hAnsi="Arial" w:cs="Arial"/>
          <w:color w:val="000000"/>
        </w:rPr>
        <w:t xml:space="preserve"> (2020). Mental Health Literacy of Healthcare Providers in Arab Gulf Countries: A Systematic Review. </w:t>
      </w:r>
      <w:r w:rsidRPr="00B63350">
        <w:rPr>
          <w:rFonts w:ascii="Arial" w:eastAsia="Calibri" w:hAnsi="Arial" w:cs="Arial"/>
          <w:i/>
          <w:iCs/>
          <w:color w:val="000000"/>
        </w:rPr>
        <w:t>Sultan Qaboos University Medical Journal, 20</w:t>
      </w:r>
      <w:r w:rsidRPr="00B63350">
        <w:rPr>
          <w:rFonts w:ascii="Arial" w:eastAsia="Calibri" w:hAnsi="Arial" w:cs="Arial"/>
          <w:color w:val="000000"/>
        </w:rPr>
        <w:t>(4), e328–e335.</w:t>
      </w:r>
    </w:p>
    <w:p w14:paraId="4B1028DA"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Al-Nuaimi, S., Al-Khafaji, M., &amp; Al-Farsi, Y.</w:t>
      </w:r>
      <w:r w:rsidRPr="00B63350">
        <w:rPr>
          <w:rFonts w:ascii="Arial" w:eastAsia="Calibri" w:hAnsi="Arial" w:cs="Arial"/>
          <w:color w:val="000000"/>
        </w:rPr>
        <w:t xml:space="preserve"> (2023). Understanding experiences of mental health help-seeking in Arab communities: A systematic review. </w:t>
      </w:r>
      <w:r w:rsidRPr="00B63350">
        <w:rPr>
          <w:rFonts w:ascii="Arial" w:eastAsia="Calibri" w:hAnsi="Arial" w:cs="Arial"/>
          <w:i/>
          <w:iCs/>
          <w:color w:val="000000"/>
        </w:rPr>
        <w:t>BMC Psychiatry, 23</w:t>
      </w:r>
      <w:r w:rsidRPr="00B63350">
        <w:rPr>
          <w:rFonts w:ascii="Arial" w:eastAsia="Calibri" w:hAnsi="Arial" w:cs="Arial"/>
          <w:color w:val="000000"/>
        </w:rPr>
        <w:t>(1), 327.</w:t>
      </w:r>
    </w:p>
    <w:p w14:paraId="45FC2383"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Allen, J. O., Scott, V. C., Williams, J. S., Call, K. T., &amp; Borowsky, I. W.</w:t>
      </w:r>
      <w:r w:rsidRPr="00B63350">
        <w:rPr>
          <w:rFonts w:ascii="Arial" w:eastAsia="Calibri" w:hAnsi="Arial" w:cs="Arial"/>
          <w:color w:val="000000"/>
        </w:rPr>
        <w:t xml:space="preserve"> (2024). Designing Capacity-Building Supports to Promote Evidence-Based Practice Use in Community-Based Organizations. </w:t>
      </w:r>
      <w:r w:rsidRPr="00B63350">
        <w:rPr>
          <w:rFonts w:ascii="Arial" w:eastAsia="Calibri" w:hAnsi="Arial" w:cs="Arial"/>
          <w:i/>
          <w:iCs/>
          <w:color w:val="000000"/>
        </w:rPr>
        <w:t>Health Promotion Practice, 25</w:t>
      </w:r>
      <w:r w:rsidRPr="00B63350">
        <w:rPr>
          <w:rFonts w:ascii="Arial" w:eastAsia="Calibri" w:hAnsi="Arial" w:cs="Arial"/>
          <w:color w:val="000000"/>
        </w:rPr>
        <w:t>(1), 134–143.</w:t>
      </w:r>
    </w:p>
    <w:p w14:paraId="74EB3D24"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Banta, V. L.</w:t>
      </w:r>
      <w:r w:rsidRPr="00B63350">
        <w:rPr>
          <w:rFonts w:ascii="Arial" w:eastAsia="Calibri" w:hAnsi="Arial" w:cs="Arial"/>
          <w:color w:val="000000"/>
        </w:rPr>
        <w:t xml:space="preserve"> (2024). Caring for Indebted Migrant Workers: Financial Literacy Training, Debt, and Filipino Migrant Workers in Dubai. </w:t>
      </w:r>
      <w:r w:rsidRPr="00B63350">
        <w:rPr>
          <w:rFonts w:ascii="Arial" w:eastAsia="Calibri" w:hAnsi="Arial" w:cs="Arial"/>
          <w:i/>
          <w:iCs/>
          <w:color w:val="000000"/>
        </w:rPr>
        <w:t>The Professional Geographer</w:t>
      </w:r>
      <w:r w:rsidRPr="00B63350">
        <w:rPr>
          <w:rFonts w:ascii="Arial" w:eastAsia="Calibri" w:hAnsi="Arial" w:cs="Arial"/>
          <w:color w:val="000000"/>
        </w:rPr>
        <w:t xml:space="preserve">, 1–9. </w:t>
      </w:r>
      <w:hyperlink r:id="rId41" w:tgtFrame="_new" w:history="1">
        <w:r w:rsidRPr="00B63350">
          <w:rPr>
            <w:rFonts w:ascii="Arial" w:eastAsia="Calibri" w:hAnsi="Arial" w:cs="Arial"/>
            <w:color w:val="0000FF"/>
            <w:u w:val="single"/>
          </w:rPr>
          <w:t>https://doi.org/10.1080/00330124.2024.2410764</w:t>
        </w:r>
      </w:hyperlink>
    </w:p>
    <w:p w14:paraId="7F958523"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Braun, V., &amp; Clarke, V.</w:t>
      </w:r>
      <w:r w:rsidRPr="00B63350">
        <w:rPr>
          <w:rFonts w:ascii="Arial" w:eastAsia="Calibri" w:hAnsi="Arial" w:cs="Arial"/>
          <w:color w:val="000000"/>
        </w:rPr>
        <w:t xml:space="preserve"> (2006). Using thematic analysis in psychology. </w:t>
      </w:r>
      <w:r w:rsidRPr="00B63350">
        <w:rPr>
          <w:rFonts w:ascii="Arial" w:eastAsia="Calibri" w:hAnsi="Arial" w:cs="Arial"/>
          <w:i/>
          <w:iCs/>
          <w:color w:val="000000"/>
        </w:rPr>
        <w:t>Qualitative Research in Psychology, 3</w:t>
      </w:r>
      <w:r w:rsidRPr="00B63350">
        <w:rPr>
          <w:rFonts w:ascii="Arial" w:eastAsia="Calibri" w:hAnsi="Arial" w:cs="Arial"/>
          <w:color w:val="000000"/>
        </w:rPr>
        <w:t xml:space="preserve">(2), 77–101. </w:t>
      </w:r>
      <w:hyperlink r:id="rId42" w:tgtFrame="_new" w:history="1">
        <w:r w:rsidRPr="00B63350">
          <w:rPr>
            <w:rFonts w:ascii="Arial" w:eastAsia="Calibri" w:hAnsi="Arial" w:cs="Arial"/>
            <w:color w:val="0000FF"/>
            <w:u w:val="single"/>
          </w:rPr>
          <w:t>https://doi.org/10.1191/1478088706qp063oa</w:t>
        </w:r>
      </w:hyperlink>
    </w:p>
    <w:p w14:paraId="262181AF"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Breuer, E., Morris, A., &amp; Jones, N.</w:t>
      </w:r>
      <w:r w:rsidRPr="00B63350">
        <w:rPr>
          <w:rFonts w:ascii="Arial" w:eastAsia="Calibri" w:hAnsi="Arial" w:cs="Arial"/>
          <w:color w:val="000000"/>
        </w:rPr>
        <w:t xml:space="preserve"> (2023). A theory of change for community-initiated mental health care in the United States. </w:t>
      </w:r>
      <w:r w:rsidRPr="00B63350">
        <w:rPr>
          <w:rFonts w:ascii="Arial" w:eastAsia="Calibri" w:hAnsi="Arial" w:cs="Arial"/>
          <w:i/>
          <w:iCs/>
          <w:color w:val="000000"/>
        </w:rPr>
        <w:t>Global Mental Health, 10</w:t>
      </w:r>
      <w:r w:rsidRPr="00B63350">
        <w:rPr>
          <w:rFonts w:ascii="Arial" w:eastAsia="Calibri" w:hAnsi="Arial" w:cs="Arial"/>
          <w:color w:val="000000"/>
        </w:rPr>
        <w:t xml:space="preserve">, e56. </w:t>
      </w:r>
      <w:hyperlink r:id="rId43" w:tgtFrame="_new" w:history="1">
        <w:r w:rsidRPr="00B63350">
          <w:rPr>
            <w:rFonts w:ascii="Arial" w:eastAsia="Calibri" w:hAnsi="Arial" w:cs="Arial"/>
            <w:color w:val="0000FF"/>
            <w:u w:val="single"/>
          </w:rPr>
          <w:t>https://doi.org/10.1017/gmh.2023.49</w:t>
        </w:r>
      </w:hyperlink>
    </w:p>
    <w:p w14:paraId="6E78D4B0"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Bronfenbrenner, U.</w:t>
      </w:r>
      <w:r w:rsidRPr="00B63350">
        <w:rPr>
          <w:rFonts w:ascii="Arial" w:eastAsia="Calibri" w:hAnsi="Arial" w:cs="Arial"/>
          <w:color w:val="000000"/>
        </w:rPr>
        <w:t xml:space="preserve"> (1979). </w:t>
      </w:r>
      <w:r w:rsidRPr="00B63350">
        <w:rPr>
          <w:rFonts w:ascii="Arial" w:eastAsia="Calibri" w:hAnsi="Arial" w:cs="Arial"/>
          <w:i/>
          <w:iCs/>
          <w:color w:val="000000"/>
        </w:rPr>
        <w:t>The Ecology of Human Development: Experiments by Nature and Design.</w:t>
      </w:r>
      <w:r w:rsidRPr="00B63350">
        <w:rPr>
          <w:rFonts w:ascii="Arial" w:eastAsia="Calibri" w:hAnsi="Arial" w:cs="Arial"/>
          <w:color w:val="000000"/>
        </w:rPr>
        <w:t xml:space="preserve"> Harvard University Press.</w:t>
      </w:r>
    </w:p>
    <w:p w14:paraId="2C845408"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Campos, L., de Almeida, H., &amp; de Sousa, L.</w:t>
      </w:r>
      <w:r w:rsidRPr="00B63350">
        <w:rPr>
          <w:rFonts w:ascii="Arial" w:eastAsia="Calibri" w:hAnsi="Arial" w:cs="Arial"/>
          <w:color w:val="000000"/>
        </w:rPr>
        <w:t xml:space="preserve"> (2024). A Mixed Methods Approach to Understanding Mental Health Literacy and Help-Seeking Behaviors in University Students. </w:t>
      </w:r>
      <w:r w:rsidRPr="00B63350">
        <w:rPr>
          <w:rFonts w:ascii="Arial" w:eastAsia="Calibri" w:hAnsi="Arial" w:cs="Arial"/>
          <w:i/>
          <w:iCs/>
          <w:color w:val="000000"/>
        </w:rPr>
        <w:t>International Journal of Environmental Research and Public Health, 21</w:t>
      </w:r>
      <w:r w:rsidRPr="00B63350">
        <w:rPr>
          <w:rFonts w:ascii="Arial" w:eastAsia="Calibri" w:hAnsi="Arial" w:cs="Arial"/>
          <w:color w:val="000000"/>
        </w:rPr>
        <w:t>(2), 194.</w:t>
      </w:r>
    </w:p>
    <w:p w14:paraId="6B98868D"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Creswell, J. W., &amp; Plano Clark, V. L.</w:t>
      </w:r>
      <w:r w:rsidRPr="00B63350">
        <w:rPr>
          <w:rFonts w:ascii="Arial" w:eastAsia="Calibri" w:hAnsi="Arial" w:cs="Arial"/>
          <w:color w:val="000000"/>
        </w:rPr>
        <w:t xml:space="preserve"> (2011). </w:t>
      </w:r>
      <w:r w:rsidRPr="00B63350">
        <w:rPr>
          <w:rFonts w:ascii="Arial" w:eastAsia="Calibri" w:hAnsi="Arial" w:cs="Arial"/>
          <w:i/>
          <w:iCs/>
          <w:color w:val="000000"/>
        </w:rPr>
        <w:t>Designing and conducting mixed methods research</w:t>
      </w:r>
      <w:r w:rsidRPr="00B63350">
        <w:rPr>
          <w:rFonts w:ascii="Arial" w:eastAsia="Calibri" w:hAnsi="Arial" w:cs="Arial"/>
          <w:color w:val="000000"/>
        </w:rPr>
        <w:t xml:space="preserve"> (2nd ed.). Sage Publications.</w:t>
      </w:r>
    </w:p>
    <w:p w14:paraId="556ED2A5"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lastRenderedPageBreak/>
        <w:t>De Guzman, R.</w:t>
      </w:r>
      <w:r w:rsidRPr="00B63350">
        <w:rPr>
          <w:rFonts w:ascii="Arial" w:eastAsia="Calibri" w:hAnsi="Arial" w:cs="Arial"/>
          <w:color w:val="000000"/>
        </w:rPr>
        <w:t xml:space="preserve"> (2024). Caring for Indebted Migrant Workers: Financial Literacy and the Politics of Care for Overseas Filipino Workers in Dubai. </w:t>
      </w:r>
      <w:r w:rsidRPr="00B63350">
        <w:rPr>
          <w:rFonts w:ascii="Arial" w:eastAsia="Calibri" w:hAnsi="Arial" w:cs="Arial"/>
          <w:i/>
          <w:iCs/>
          <w:color w:val="000000"/>
        </w:rPr>
        <w:t>Psychiatry, 87</w:t>
      </w:r>
      <w:r w:rsidRPr="00B63350">
        <w:rPr>
          <w:rFonts w:ascii="Arial" w:eastAsia="Calibri" w:hAnsi="Arial" w:cs="Arial"/>
          <w:color w:val="000000"/>
        </w:rPr>
        <w:t>(1), 1–16.</w:t>
      </w:r>
    </w:p>
    <w:p w14:paraId="1793F4DC"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Devkota, B., Adhikary, P., &amp; van </w:t>
      </w:r>
      <w:proofErr w:type="spellStart"/>
      <w:r w:rsidRPr="00B63350">
        <w:rPr>
          <w:rFonts w:ascii="Arial" w:eastAsia="Calibri" w:hAnsi="Arial" w:cs="Arial"/>
          <w:b/>
          <w:bCs/>
          <w:color w:val="000000"/>
        </w:rPr>
        <w:t>Teijlingen</w:t>
      </w:r>
      <w:proofErr w:type="spellEnd"/>
      <w:r w:rsidRPr="00B63350">
        <w:rPr>
          <w:rFonts w:ascii="Arial" w:eastAsia="Calibri" w:hAnsi="Arial" w:cs="Arial"/>
          <w:b/>
          <w:bCs/>
          <w:color w:val="000000"/>
        </w:rPr>
        <w:t>, E.</w:t>
      </w:r>
      <w:r w:rsidRPr="00B63350">
        <w:rPr>
          <w:rFonts w:ascii="Arial" w:eastAsia="Calibri" w:hAnsi="Arial" w:cs="Arial"/>
          <w:color w:val="000000"/>
        </w:rPr>
        <w:t xml:space="preserve"> (2023). Health and wellbeing of Nepalese migrant workers in Gulf Cooperation Council countries and Malaysia: a qualitative study. </w:t>
      </w:r>
      <w:r w:rsidRPr="00B63350">
        <w:rPr>
          <w:rFonts w:ascii="Arial" w:eastAsia="Calibri" w:hAnsi="Arial" w:cs="Arial"/>
          <w:i/>
          <w:iCs/>
          <w:color w:val="000000"/>
        </w:rPr>
        <w:t>The Lancet Global Health, 11</w:t>
      </w:r>
      <w:r w:rsidRPr="00B63350">
        <w:rPr>
          <w:rFonts w:ascii="Arial" w:eastAsia="Calibri" w:hAnsi="Arial" w:cs="Arial"/>
          <w:color w:val="000000"/>
        </w:rPr>
        <w:t>, S25.</w:t>
      </w:r>
    </w:p>
    <w:p w14:paraId="22256B7F"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Edge, D., &amp; Newbold, K. B.</w:t>
      </w:r>
      <w:r w:rsidRPr="00B63350">
        <w:rPr>
          <w:rFonts w:ascii="Arial" w:eastAsia="Calibri" w:hAnsi="Arial" w:cs="Arial"/>
          <w:color w:val="000000"/>
        </w:rPr>
        <w:t xml:space="preserve"> (2013). A qualitative study of Filipina immigrants' perceptions of help seeking for mental health problems. </w:t>
      </w:r>
      <w:r w:rsidRPr="00B63350">
        <w:rPr>
          <w:rFonts w:ascii="Arial" w:eastAsia="Calibri" w:hAnsi="Arial" w:cs="Arial"/>
          <w:i/>
          <w:iCs/>
          <w:color w:val="000000"/>
        </w:rPr>
        <w:t>BMC Women's Health, 13</w:t>
      </w:r>
      <w:r w:rsidRPr="00B63350">
        <w:rPr>
          <w:rFonts w:ascii="Arial" w:eastAsia="Calibri" w:hAnsi="Arial" w:cs="Arial"/>
          <w:color w:val="000000"/>
        </w:rPr>
        <w:t>, 26.</w:t>
      </w:r>
    </w:p>
    <w:p w14:paraId="1099BD3C"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Eriksson, M., </w:t>
      </w:r>
      <w:proofErr w:type="spellStart"/>
      <w:r w:rsidRPr="00B63350">
        <w:rPr>
          <w:rFonts w:ascii="Arial" w:eastAsia="Calibri" w:hAnsi="Arial" w:cs="Arial"/>
          <w:b/>
          <w:bCs/>
          <w:color w:val="000000"/>
        </w:rPr>
        <w:t>Ghazinour</w:t>
      </w:r>
      <w:proofErr w:type="spellEnd"/>
      <w:r w:rsidRPr="00B63350">
        <w:rPr>
          <w:rFonts w:ascii="Arial" w:eastAsia="Calibri" w:hAnsi="Arial" w:cs="Arial"/>
          <w:b/>
          <w:bCs/>
          <w:color w:val="000000"/>
        </w:rPr>
        <w:t xml:space="preserve">, M., &amp; </w:t>
      </w:r>
      <w:proofErr w:type="spellStart"/>
      <w:r w:rsidRPr="00B63350">
        <w:rPr>
          <w:rFonts w:ascii="Arial" w:eastAsia="Calibri" w:hAnsi="Arial" w:cs="Arial"/>
          <w:b/>
          <w:bCs/>
          <w:color w:val="000000"/>
        </w:rPr>
        <w:t>Hammarström</w:t>
      </w:r>
      <w:proofErr w:type="spellEnd"/>
      <w:r w:rsidRPr="00B63350">
        <w:rPr>
          <w:rFonts w:ascii="Arial" w:eastAsia="Calibri" w:hAnsi="Arial" w:cs="Arial"/>
          <w:b/>
          <w:bCs/>
          <w:color w:val="000000"/>
        </w:rPr>
        <w:t>, A.</w:t>
      </w:r>
      <w:r w:rsidRPr="00B63350">
        <w:rPr>
          <w:rFonts w:ascii="Arial" w:eastAsia="Calibri" w:hAnsi="Arial" w:cs="Arial"/>
          <w:color w:val="000000"/>
        </w:rPr>
        <w:t xml:space="preserve"> (2018). Different uses of Bronfenbrenner’s ecological theory in public mental health research: a systematic review. </w:t>
      </w:r>
      <w:r w:rsidRPr="00B63350">
        <w:rPr>
          <w:rFonts w:ascii="Arial" w:eastAsia="Calibri" w:hAnsi="Arial" w:cs="Arial"/>
          <w:i/>
          <w:iCs/>
          <w:color w:val="000000"/>
        </w:rPr>
        <w:t>BMC Public Health, 18</w:t>
      </w:r>
      <w:r w:rsidRPr="00B63350">
        <w:rPr>
          <w:rFonts w:ascii="Arial" w:eastAsia="Calibri" w:hAnsi="Arial" w:cs="Arial"/>
          <w:color w:val="000000"/>
        </w:rPr>
        <w:t>(1), 375.</w:t>
      </w:r>
    </w:p>
    <w:p w14:paraId="74FD4EF5"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Fetters, M. D., &amp; Freshwater, D.</w:t>
      </w:r>
      <w:r w:rsidRPr="00B63350">
        <w:rPr>
          <w:rFonts w:ascii="Arial" w:eastAsia="Calibri" w:hAnsi="Arial" w:cs="Arial"/>
          <w:color w:val="000000"/>
        </w:rPr>
        <w:t xml:space="preserve"> (2021). Joint displays for mixed methods research in psychology. </w:t>
      </w:r>
      <w:r w:rsidRPr="00B63350">
        <w:rPr>
          <w:rFonts w:ascii="Arial" w:eastAsia="Calibri" w:hAnsi="Arial" w:cs="Arial"/>
          <w:i/>
          <w:iCs/>
          <w:color w:val="000000"/>
        </w:rPr>
        <w:t>Methods in Psychology, 5</w:t>
      </w:r>
      <w:r w:rsidRPr="00B63350">
        <w:rPr>
          <w:rFonts w:ascii="Arial" w:eastAsia="Calibri" w:hAnsi="Arial" w:cs="Arial"/>
          <w:color w:val="000000"/>
        </w:rPr>
        <w:t>, 100062.</w:t>
      </w:r>
    </w:p>
    <w:p w14:paraId="34CAF4A1"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Fetters, M. D., Curry, L. A., &amp; Creswell, J. W.</w:t>
      </w:r>
      <w:r w:rsidRPr="00B63350">
        <w:rPr>
          <w:rFonts w:ascii="Arial" w:eastAsia="Calibri" w:hAnsi="Arial" w:cs="Arial"/>
          <w:color w:val="000000"/>
        </w:rPr>
        <w:t xml:space="preserve"> (2013). Achieving integration in mixed methods designs—principles and practices. </w:t>
      </w:r>
      <w:r w:rsidRPr="00B63350">
        <w:rPr>
          <w:rFonts w:ascii="Arial" w:eastAsia="Calibri" w:hAnsi="Arial" w:cs="Arial"/>
          <w:i/>
          <w:iCs/>
          <w:color w:val="000000"/>
        </w:rPr>
        <w:t>Health Services Research, 48</w:t>
      </w:r>
      <w:r w:rsidRPr="00B63350">
        <w:rPr>
          <w:rFonts w:ascii="Arial" w:eastAsia="Calibri" w:hAnsi="Arial" w:cs="Arial"/>
          <w:color w:val="000000"/>
        </w:rPr>
        <w:t xml:space="preserve">(6pt2), 2134–2156. </w:t>
      </w:r>
      <w:hyperlink r:id="rId44" w:tgtFrame="_new" w:history="1">
        <w:r w:rsidRPr="00B63350">
          <w:rPr>
            <w:rFonts w:ascii="Arial" w:eastAsia="Calibri" w:hAnsi="Arial" w:cs="Arial"/>
            <w:color w:val="0000FF"/>
            <w:u w:val="single"/>
          </w:rPr>
          <w:t>https://doi.org/10.1111/1475-6773.12117</w:t>
        </w:r>
      </w:hyperlink>
    </w:p>
    <w:p w14:paraId="6917A66B"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Foronda, C.</w:t>
      </w:r>
      <w:r w:rsidRPr="00B63350">
        <w:rPr>
          <w:rFonts w:ascii="Arial" w:eastAsia="Calibri" w:hAnsi="Arial" w:cs="Arial"/>
          <w:color w:val="000000"/>
        </w:rPr>
        <w:t xml:space="preserve"> (2020). A Theory of Cultural Humility. </w:t>
      </w:r>
      <w:r w:rsidRPr="00B63350">
        <w:rPr>
          <w:rFonts w:ascii="Arial" w:eastAsia="Calibri" w:hAnsi="Arial" w:cs="Arial"/>
          <w:i/>
          <w:iCs/>
          <w:color w:val="000000"/>
        </w:rPr>
        <w:t>Journal of Transcultural Nursing, 31</w:t>
      </w:r>
      <w:r w:rsidRPr="00B63350">
        <w:rPr>
          <w:rFonts w:ascii="Arial" w:eastAsia="Calibri" w:hAnsi="Arial" w:cs="Arial"/>
          <w:color w:val="000000"/>
        </w:rPr>
        <w:t>(1), 7–12.</w:t>
      </w:r>
    </w:p>
    <w:p w14:paraId="4B584038"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Goodman, R. M., Speers, M. A., McLeroy, K., Fawcett, S., Kegler, M., &amp; Parker, E.</w:t>
      </w:r>
      <w:r w:rsidRPr="00B63350">
        <w:rPr>
          <w:rFonts w:ascii="Arial" w:eastAsia="Calibri" w:hAnsi="Arial" w:cs="Arial"/>
          <w:color w:val="000000"/>
        </w:rPr>
        <w:t xml:space="preserve"> (1998). Identifying and defining the dimensions of community capacity to provide a basis for measurement. </w:t>
      </w:r>
      <w:r w:rsidRPr="00B63350">
        <w:rPr>
          <w:rFonts w:ascii="Arial" w:eastAsia="Calibri" w:hAnsi="Arial" w:cs="Arial"/>
          <w:i/>
          <w:iCs/>
          <w:color w:val="000000"/>
        </w:rPr>
        <w:t>Health Education &amp; Behavior, 25</w:t>
      </w:r>
      <w:r w:rsidRPr="00B63350">
        <w:rPr>
          <w:rFonts w:ascii="Arial" w:eastAsia="Calibri" w:hAnsi="Arial" w:cs="Arial"/>
          <w:color w:val="000000"/>
        </w:rPr>
        <w:t xml:space="preserve">(3), 258–278. </w:t>
      </w:r>
      <w:hyperlink r:id="rId45" w:tgtFrame="_new" w:history="1">
        <w:r w:rsidRPr="00B63350">
          <w:rPr>
            <w:rFonts w:ascii="Arial" w:eastAsia="Calibri" w:hAnsi="Arial" w:cs="Arial"/>
            <w:color w:val="0000FF"/>
            <w:u w:val="single"/>
          </w:rPr>
          <w:t>https://doi.org/10.1177/109019819802500303</w:t>
        </w:r>
      </w:hyperlink>
    </w:p>
    <w:p w14:paraId="13A48D06"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Guetterman, T. C., Fetters, M. D., &amp; Creswell, J. W.</w:t>
      </w:r>
      <w:r w:rsidRPr="00B63350">
        <w:rPr>
          <w:rFonts w:ascii="Arial" w:eastAsia="Calibri" w:hAnsi="Arial" w:cs="Arial"/>
          <w:color w:val="000000"/>
        </w:rPr>
        <w:t xml:space="preserve"> (2015). Integrating quantitative and qualitative results in health science mixed methods research through joint displays. </w:t>
      </w:r>
      <w:r w:rsidRPr="00B63350">
        <w:rPr>
          <w:rFonts w:ascii="Arial" w:eastAsia="Calibri" w:hAnsi="Arial" w:cs="Arial"/>
          <w:i/>
          <w:iCs/>
          <w:color w:val="000000"/>
        </w:rPr>
        <w:t>Annals of Family Medicine, 13</w:t>
      </w:r>
      <w:r w:rsidRPr="00B63350">
        <w:rPr>
          <w:rFonts w:ascii="Arial" w:eastAsia="Calibri" w:hAnsi="Arial" w:cs="Arial"/>
          <w:color w:val="000000"/>
        </w:rPr>
        <w:t xml:space="preserve">(6), 554–561. </w:t>
      </w:r>
      <w:hyperlink r:id="rId46" w:tgtFrame="_new" w:history="1">
        <w:r w:rsidRPr="00B63350">
          <w:rPr>
            <w:rFonts w:ascii="Arial" w:eastAsia="Calibri" w:hAnsi="Arial" w:cs="Arial"/>
            <w:color w:val="0000FF"/>
            <w:u w:val="single"/>
          </w:rPr>
          <w:t>https://doi.org/10.1370/afm.1865</w:t>
        </w:r>
      </w:hyperlink>
    </w:p>
    <w:p w14:paraId="2AC2C924"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Guetterman, T. C., Van Scoy, L. J., &amp; Creswell, J. W.</w:t>
      </w:r>
      <w:r w:rsidRPr="00B63350">
        <w:rPr>
          <w:rFonts w:ascii="Arial" w:eastAsia="Calibri" w:hAnsi="Arial" w:cs="Arial"/>
          <w:color w:val="000000"/>
        </w:rPr>
        <w:t xml:space="preserve"> (2023). Joint Display of Integrated Data Collection for Mixed Methods Research. </w:t>
      </w:r>
      <w:r w:rsidRPr="00B63350">
        <w:rPr>
          <w:rFonts w:ascii="Arial" w:eastAsia="Calibri" w:hAnsi="Arial" w:cs="Arial"/>
          <w:i/>
          <w:iCs/>
          <w:color w:val="000000"/>
        </w:rPr>
        <w:t>The Qualitative Report, 28</w:t>
      </w:r>
      <w:r w:rsidRPr="00B63350">
        <w:rPr>
          <w:rFonts w:ascii="Arial" w:eastAsia="Calibri" w:hAnsi="Arial" w:cs="Arial"/>
          <w:color w:val="000000"/>
        </w:rPr>
        <w:t>(7), 2059–2077.</w:t>
      </w:r>
    </w:p>
    <w:p w14:paraId="0DAB3922"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Harvey, C., </w:t>
      </w:r>
      <w:proofErr w:type="spellStart"/>
      <w:r w:rsidRPr="00B63350">
        <w:rPr>
          <w:rFonts w:ascii="Arial" w:eastAsia="Calibri" w:hAnsi="Arial" w:cs="Arial"/>
          <w:b/>
          <w:bCs/>
          <w:color w:val="000000"/>
        </w:rPr>
        <w:t>Zirnsak</w:t>
      </w:r>
      <w:proofErr w:type="spellEnd"/>
      <w:r w:rsidRPr="00B63350">
        <w:rPr>
          <w:rFonts w:ascii="Arial" w:eastAsia="Calibri" w:hAnsi="Arial" w:cs="Arial"/>
          <w:b/>
          <w:bCs/>
          <w:color w:val="000000"/>
        </w:rPr>
        <w:t>, T. M., &amp; Brophy, L.</w:t>
      </w:r>
      <w:r w:rsidRPr="00B63350">
        <w:rPr>
          <w:rFonts w:ascii="Arial" w:eastAsia="Calibri" w:hAnsi="Arial" w:cs="Arial"/>
          <w:color w:val="000000"/>
        </w:rPr>
        <w:t xml:space="preserve"> (2023). Community-based models of care facilitating the recovery of people living with persistent and complex mental health needs: a systematic review and narrative synthesis. </w:t>
      </w:r>
      <w:r w:rsidRPr="00B63350">
        <w:rPr>
          <w:rFonts w:ascii="Arial" w:eastAsia="Calibri" w:hAnsi="Arial" w:cs="Arial"/>
          <w:i/>
          <w:iCs/>
          <w:color w:val="000000"/>
        </w:rPr>
        <w:t>Frontiers in Psychiatry, 14</w:t>
      </w:r>
      <w:r w:rsidRPr="00B63350">
        <w:rPr>
          <w:rFonts w:ascii="Arial" w:eastAsia="Calibri" w:hAnsi="Arial" w:cs="Arial"/>
          <w:color w:val="000000"/>
        </w:rPr>
        <w:t xml:space="preserve">, 1259944. </w:t>
      </w:r>
      <w:hyperlink r:id="rId47" w:tgtFrame="_new" w:history="1">
        <w:r w:rsidRPr="00B63350">
          <w:rPr>
            <w:rFonts w:ascii="Arial" w:eastAsia="Calibri" w:hAnsi="Arial" w:cs="Arial"/>
            <w:color w:val="0000FF"/>
            <w:u w:val="single"/>
          </w:rPr>
          <w:t>https://doi.org/10.3389/fpsyt.2023.1259944</w:t>
        </w:r>
      </w:hyperlink>
    </w:p>
    <w:p w14:paraId="7CBB72AA" w14:textId="77777777" w:rsidR="00B63350" w:rsidRPr="00B63350" w:rsidRDefault="00B63350" w:rsidP="00B63350">
      <w:pPr>
        <w:numPr>
          <w:ilvl w:val="0"/>
          <w:numId w:val="40"/>
        </w:numPr>
        <w:spacing w:after="160" w:line="259" w:lineRule="auto"/>
        <w:rPr>
          <w:rFonts w:ascii="Arial" w:eastAsia="Calibri" w:hAnsi="Arial" w:cs="Arial"/>
          <w:color w:val="000000"/>
        </w:rPr>
      </w:pPr>
      <w:proofErr w:type="spellStart"/>
      <w:r w:rsidRPr="00B63350">
        <w:rPr>
          <w:rFonts w:ascii="Arial" w:eastAsia="Calibri" w:hAnsi="Arial" w:cs="Arial"/>
          <w:b/>
          <w:bCs/>
          <w:color w:val="000000"/>
        </w:rPr>
        <w:t>Jorm</w:t>
      </w:r>
      <w:proofErr w:type="spellEnd"/>
      <w:r w:rsidRPr="00B63350">
        <w:rPr>
          <w:rFonts w:ascii="Arial" w:eastAsia="Calibri" w:hAnsi="Arial" w:cs="Arial"/>
          <w:b/>
          <w:bCs/>
          <w:color w:val="000000"/>
        </w:rPr>
        <w:t>, A. F.</w:t>
      </w:r>
      <w:r w:rsidRPr="00B63350">
        <w:rPr>
          <w:rFonts w:ascii="Arial" w:eastAsia="Calibri" w:hAnsi="Arial" w:cs="Arial"/>
          <w:color w:val="000000"/>
        </w:rPr>
        <w:t xml:space="preserve"> (2012). Mental health literacy: empowering the community to take action for better mental health. </w:t>
      </w:r>
      <w:r w:rsidRPr="00B63350">
        <w:rPr>
          <w:rFonts w:ascii="Arial" w:eastAsia="Calibri" w:hAnsi="Arial" w:cs="Arial"/>
          <w:i/>
          <w:iCs/>
          <w:color w:val="000000"/>
        </w:rPr>
        <w:t>American Psychologist, 67</w:t>
      </w:r>
      <w:r w:rsidRPr="00B63350">
        <w:rPr>
          <w:rFonts w:ascii="Arial" w:eastAsia="Calibri" w:hAnsi="Arial" w:cs="Arial"/>
          <w:color w:val="000000"/>
        </w:rPr>
        <w:t xml:space="preserve">(3), 231–243. </w:t>
      </w:r>
      <w:hyperlink r:id="rId48" w:tgtFrame="_new" w:history="1">
        <w:r w:rsidRPr="00B63350">
          <w:rPr>
            <w:rFonts w:ascii="Arial" w:eastAsia="Calibri" w:hAnsi="Arial" w:cs="Arial"/>
            <w:color w:val="0000FF"/>
            <w:u w:val="single"/>
          </w:rPr>
          <w:t>https://doi.org/10.1037/a0025957</w:t>
        </w:r>
      </w:hyperlink>
    </w:p>
    <w:p w14:paraId="3E2ACF21"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Majid, U., Naeem, F., &amp; Ayub, M.</w:t>
      </w:r>
      <w:r w:rsidRPr="00B63350">
        <w:rPr>
          <w:rFonts w:ascii="Arial" w:eastAsia="Calibri" w:hAnsi="Arial" w:cs="Arial"/>
          <w:color w:val="000000"/>
        </w:rPr>
        <w:t xml:space="preserve"> (2024). Cultural Humility Training in Mental Health Service Provision: A Scoping Review. </w:t>
      </w:r>
      <w:r w:rsidRPr="00B63350">
        <w:rPr>
          <w:rFonts w:ascii="Arial" w:eastAsia="Calibri" w:hAnsi="Arial" w:cs="Arial"/>
          <w:i/>
          <w:iCs/>
          <w:color w:val="000000"/>
        </w:rPr>
        <w:t>International Journal of Social Psychiatry, 70</w:t>
      </w:r>
      <w:r w:rsidRPr="00B63350">
        <w:rPr>
          <w:rFonts w:ascii="Arial" w:eastAsia="Calibri" w:hAnsi="Arial" w:cs="Arial"/>
          <w:color w:val="000000"/>
        </w:rPr>
        <w:t>(1), 3–13.</w:t>
      </w:r>
    </w:p>
    <w:p w14:paraId="0B590A12"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Martinez, A., Co, M., Lau, J., &amp; Brown, J.</w:t>
      </w:r>
      <w:r w:rsidRPr="00B63350">
        <w:rPr>
          <w:rFonts w:ascii="Arial" w:eastAsia="Calibri" w:hAnsi="Arial" w:cs="Arial"/>
          <w:color w:val="000000"/>
        </w:rPr>
        <w:t xml:space="preserve"> (2020). Filipino help-seeking for mental health problems and associated barriers and facilitators: A systematic review. </w:t>
      </w:r>
      <w:r w:rsidRPr="00B63350">
        <w:rPr>
          <w:rFonts w:ascii="Arial" w:eastAsia="Calibri" w:hAnsi="Arial" w:cs="Arial"/>
          <w:i/>
          <w:iCs/>
          <w:color w:val="000000"/>
        </w:rPr>
        <w:t xml:space="preserve">Social </w:t>
      </w:r>
      <w:r w:rsidRPr="00B63350">
        <w:rPr>
          <w:rFonts w:ascii="Arial" w:eastAsia="Calibri" w:hAnsi="Arial" w:cs="Arial"/>
          <w:i/>
          <w:iCs/>
          <w:color w:val="000000"/>
        </w:rPr>
        <w:lastRenderedPageBreak/>
        <w:t>Psychiatry and Psychiatric Epidemiology, 55</w:t>
      </w:r>
      <w:r w:rsidRPr="00B63350">
        <w:rPr>
          <w:rFonts w:ascii="Arial" w:eastAsia="Calibri" w:hAnsi="Arial" w:cs="Arial"/>
          <w:color w:val="000000"/>
        </w:rPr>
        <w:t xml:space="preserve">(11), 1397–1413. </w:t>
      </w:r>
      <w:hyperlink r:id="rId49" w:tgtFrame="_new" w:history="1">
        <w:r w:rsidRPr="00B63350">
          <w:rPr>
            <w:rFonts w:ascii="Arial" w:eastAsia="Calibri" w:hAnsi="Arial" w:cs="Arial"/>
            <w:color w:val="0000FF"/>
            <w:u w:val="single"/>
          </w:rPr>
          <w:t>https://doi.org/10.1007/s00127-020-01937-2</w:t>
        </w:r>
      </w:hyperlink>
    </w:p>
    <w:p w14:paraId="71E40949"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Mendoza, J. A. S., &amp; Litam, S. D. A.</w:t>
      </w:r>
      <w:r w:rsidRPr="00B63350">
        <w:rPr>
          <w:rFonts w:ascii="Arial" w:eastAsia="Calibri" w:hAnsi="Arial" w:cs="Arial"/>
          <w:color w:val="000000"/>
        </w:rPr>
        <w:t xml:space="preserve"> (2023). A Qualitative Inquiry on the Active Mental Health Help-Seeking Behavior of Filipino Young Adults. </w:t>
      </w:r>
      <w:r w:rsidRPr="00B63350">
        <w:rPr>
          <w:rFonts w:ascii="Arial" w:eastAsia="Calibri" w:hAnsi="Arial" w:cs="Arial"/>
          <w:i/>
          <w:iCs/>
          <w:color w:val="000000"/>
        </w:rPr>
        <w:t>International Journal of Social Science and Human Research, 6</w:t>
      </w:r>
      <w:r w:rsidRPr="00B63350">
        <w:rPr>
          <w:rFonts w:ascii="Arial" w:eastAsia="Calibri" w:hAnsi="Arial" w:cs="Arial"/>
          <w:color w:val="000000"/>
        </w:rPr>
        <w:t>(5), 2604–2616.</w:t>
      </w:r>
    </w:p>
    <w:p w14:paraId="544530ED"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Mygind, A., Bentsen, P., &amp; Nielsen, G.</w:t>
      </w:r>
      <w:r w:rsidRPr="00B63350">
        <w:rPr>
          <w:rFonts w:ascii="Arial" w:eastAsia="Calibri" w:hAnsi="Arial" w:cs="Arial"/>
          <w:color w:val="000000"/>
        </w:rPr>
        <w:t xml:space="preserve"> (2020). Community-Based Healthcare for Migrants and Refugees. </w:t>
      </w:r>
      <w:r w:rsidRPr="00B63350">
        <w:rPr>
          <w:rFonts w:ascii="Arial" w:eastAsia="Calibri" w:hAnsi="Arial" w:cs="Arial"/>
          <w:i/>
          <w:iCs/>
          <w:color w:val="000000"/>
        </w:rPr>
        <w:t>International Journal of Environmental Research and Public Health, 17</w:t>
      </w:r>
      <w:r w:rsidRPr="00B63350">
        <w:rPr>
          <w:rFonts w:ascii="Arial" w:eastAsia="Calibri" w:hAnsi="Arial" w:cs="Arial"/>
          <w:color w:val="000000"/>
        </w:rPr>
        <w:t>(14), 5094.</w:t>
      </w:r>
    </w:p>
    <w:p w14:paraId="7D72D43A" w14:textId="77777777" w:rsidR="00B63350" w:rsidRPr="00B63350" w:rsidRDefault="00B63350" w:rsidP="00B63350">
      <w:pPr>
        <w:numPr>
          <w:ilvl w:val="0"/>
          <w:numId w:val="40"/>
        </w:numPr>
        <w:spacing w:after="160" w:line="259" w:lineRule="auto"/>
        <w:rPr>
          <w:rFonts w:ascii="Arial" w:eastAsia="Calibri" w:hAnsi="Arial" w:cs="Arial"/>
          <w:color w:val="000000"/>
        </w:rPr>
      </w:pPr>
      <w:proofErr w:type="spellStart"/>
      <w:r w:rsidRPr="00B63350">
        <w:rPr>
          <w:rFonts w:ascii="Arial" w:eastAsia="Calibri" w:hAnsi="Arial" w:cs="Arial"/>
          <w:b/>
          <w:bCs/>
          <w:color w:val="000000"/>
        </w:rPr>
        <w:t>Nockerts</w:t>
      </w:r>
      <w:proofErr w:type="spellEnd"/>
      <w:r w:rsidRPr="00B63350">
        <w:rPr>
          <w:rFonts w:ascii="Arial" w:eastAsia="Calibri" w:hAnsi="Arial" w:cs="Arial"/>
          <w:b/>
          <w:bCs/>
          <w:color w:val="000000"/>
        </w:rPr>
        <w:t>, R. A.</w:t>
      </w:r>
      <w:r w:rsidRPr="00B63350">
        <w:rPr>
          <w:rFonts w:ascii="Arial" w:eastAsia="Calibri" w:hAnsi="Arial" w:cs="Arial"/>
          <w:color w:val="000000"/>
        </w:rPr>
        <w:t xml:space="preserve"> (2015). </w:t>
      </w:r>
      <w:r w:rsidRPr="00B63350">
        <w:rPr>
          <w:rFonts w:ascii="Arial" w:eastAsia="Calibri" w:hAnsi="Arial" w:cs="Arial"/>
          <w:i/>
          <w:iCs/>
          <w:color w:val="000000"/>
        </w:rPr>
        <w:t>Toward a Global Human Rights Regime for Temporary Migrant Workers: Lessons from the Case of Filipino Workers in the United Arab Emirates</w:t>
      </w:r>
      <w:r w:rsidRPr="00B63350">
        <w:rPr>
          <w:rFonts w:ascii="Arial" w:eastAsia="Calibri" w:hAnsi="Arial" w:cs="Arial"/>
          <w:color w:val="000000"/>
        </w:rPr>
        <w:t xml:space="preserve"> [Doctoral dissertation, University of Denver]. </w:t>
      </w:r>
      <w:r w:rsidRPr="00B63350">
        <w:rPr>
          <w:rFonts w:ascii="Arial" w:eastAsia="Calibri" w:hAnsi="Arial" w:cs="Arial"/>
          <w:i/>
          <w:iCs/>
          <w:color w:val="000000"/>
        </w:rPr>
        <w:t>Digital Commons @ DU.</w:t>
      </w:r>
      <w:r w:rsidRPr="00B63350">
        <w:rPr>
          <w:rFonts w:ascii="Arial" w:eastAsia="Calibri" w:hAnsi="Arial" w:cs="Arial"/>
          <w:color w:val="000000"/>
        </w:rPr>
        <w:t xml:space="preserve"> </w:t>
      </w:r>
      <w:hyperlink r:id="rId50" w:tgtFrame="_new" w:history="1">
        <w:r w:rsidRPr="00B63350">
          <w:rPr>
            <w:rFonts w:ascii="Arial" w:eastAsia="Calibri" w:hAnsi="Arial" w:cs="Arial"/>
            <w:color w:val="0000FF"/>
            <w:u w:val="single"/>
          </w:rPr>
          <w:t>https://digitalcommons.du.edu/etd/478</w:t>
        </w:r>
      </w:hyperlink>
    </w:p>
    <w:p w14:paraId="3944B6FF"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O'Connor, M., Casey, L., &amp; Clough, B.</w:t>
      </w:r>
      <w:r w:rsidRPr="00B63350">
        <w:rPr>
          <w:rFonts w:ascii="Arial" w:eastAsia="Calibri" w:hAnsi="Arial" w:cs="Arial"/>
          <w:color w:val="000000"/>
        </w:rPr>
        <w:t xml:space="preserve"> (2015). The Mental Health Literacy Scale (MHLS): A new scale-based measure of mental health literacy. </w:t>
      </w:r>
      <w:r w:rsidRPr="00B63350">
        <w:rPr>
          <w:rFonts w:ascii="Arial" w:eastAsia="Calibri" w:hAnsi="Arial" w:cs="Arial"/>
          <w:i/>
          <w:iCs/>
          <w:color w:val="000000"/>
        </w:rPr>
        <w:t>Psychiatry Research, 229</w:t>
      </w:r>
      <w:r w:rsidRPr="00B63350">
        <w:rPr>
          <w:rFonts w:ascii="Arial" w:eastAsia="Calibri" w:hAnsi="Arial" w:cs="Arial"/>
          <w:color w:val="000000"/>
        </w:rPr>
        <w:t xml:space="preserve">(1–2), 511–516. </w:t>
      </w:r>
      <w:hyperlink r:id="rId51" w:tgtFrame="_new" w:history="1">
        <w:r w:rsidRPr="00B63350">
          <w:rPr>
            <w:rFonts w:ascii="Arial" w:eastAsia="Calibri" w:hAnsi="Arial" w:cs="Arial"/>
            <w:color w:val="0000FF"/>
            <w:u w:val="single"/>
          </w:rPr>
          <w:t>https://doi.org/10.1016/j.psychres.2015.05.064</w:t>
        </w:r>
      </w:hyperlink>
    </w:p>
    <w:p w14:paraId="1C2D2D48" w14:textId="77777777" w:rsidR="00B63350" w:rsidRPr="00B63350" w:rsidRDefault="00B63350" w:rsidP="00B63350">
      <w:pPr>
        <w:numPr>
          <w:ilvl w:val="0"/>
          <w:numId w:val="40"/>
        </w:numPr>
        <w:spacing w:after="160" w:line="259" w:lineRule="auto"/>
        <w:rPr>
          <w:rFonts w:ascii="Arial" w:eastAsia="Calibri" w:hAnsi="Arial" w:cs="Arial"/>
          <w:color w:val="000000"/>
        </w:rPr>
      </w:pPr>
      <w:proofErr w:type="spellStart"/>
      <w:r w:rsidRPr="00B63350">
        <w:rPr>
          <w:rFonts w:ascii="Arial" w:eastAsia="Calibri" w:hAnsi="Arial" w:cs="Arial"/>
          <w:b/>
          <w:bCs/>
          <w:color w:val="000000"/>
        </w:rPr>
        <w:t>Pple</w:t>
      </w:r>
      <w:proofErr w:type="spellEnd"/>
      <w:r w:rsidRPr="00B63350">
        <w:rPr>
          <w:rFonts w:ascii="Arial" w:eastAsia="Calibri" w:hAnsi="Arial" w:cs="Arial"/>
          <w:b/>
          <w:bCs/>
          <w:color w:val="000000"/>
        </w:rPr>
        <w:t>, A., Kennedy, M., &amp; MacDougall, A.</w:t>
      </w:r>
      <w:r w:rsidRPr="00B63350">
        <w:rPr>
          <w:rFonts w:ascii="Arial" w:eastAsia="Calibri" w:hAnsi="Arial" w:cs="Arial"/>
          <w:color w:val="000000"/>
        </w:rPr>
        <w:t xml:space="preserve"> (2024). A mixed-methods implementation evaluation of a mental health literacy resource for youth. </w:t>
      </w:r>
      <w:r w:rsidRPr="00B63350">
        <w:rPr>
          <w:rFonts w:ascii="Arial" w:eastAsia="Calibri" w:hAnsi="Arial" w:cs="Arial"/>
          <w:i/>
          <w:iCs/>
          <w:color w:val="000000"/>
        </w:rPr>
        <w:t>Journal of Mental Health, 33</w:t>
      </w:r>
      <w:r w:rsidRPr="00B63350">
        <w:rPr>
          <w:rFonts w:ascii="Arial" w:eastAsia="Calibri" w:hAnsi="Arial" w:cs="Arial"/>
          <w:color w:val="000000"/>
        </w:rPr>
        <w:t>(1), 158–166.</w:t>
      </w:r>
    </w:p>
    <w:p w14:paraId="0C2ED211"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Rappaport, J.</w:t>
      </w:r>
      <w:r w:rsidRPr="00B63350">
        <w:rPr>
          <w:rFonts w:ascii="Arial" w:eastAsia="Calibri" w:hAnsi="Arial" w:cs="Arial"/>
          <w:color w:val="000000"/>
        </w:rPr>
        <w:t xml:space="preserve"> (1987). Terms of empowerment/exemplars of prevention: Toward a theory for community psychology. </w:t>
      </w:r>
      <w:r w:rsidRPr="00B63350">
        <w:rPr>
          <w:rFonts w:ascii="Arial" w:eastAsia="Calibri" w:hAnsi="Arial" w:cs="Arial"/>
          <w:i/>
          <w:iCs/>
          <w:color w:val="000000"/>
        </w:rPr>
        <w:t>American Journal of Community Psychology, 15</w:t>
      </w:r>
      <w:r w:rsidRPr="00B63350">
        <w:rPr>
          <w:rFonts w:ascii="Arial" w:eastAsia="Calibri" w:hAnsi="Arial" w:cs="Arial"/>
          <w:color w:val="000000"/>
        </w:rPr>
        <w:t xml:space="preserve">(2), 121–148. </w:t>
      </w:r>
      <w:hyperlink r:id="rId52" w:tgtFrame="_new" w:history="1">
        <w:r w:rsidRPr="00B63350">
          <w:rPr>
            <w:rFonts w:ascii="Arial" w:eastAsia="Calibri" w:hAnsi="Arial" w:cs="Arial"/>
            <w:color w:val="0000FF"/>
            <w:u w:val="single"/>
          </w:rPr>
          <w:t>https://doi.org/10.1007/BF00919275</w:t>
        </w:r>
      </w:hyperlink>
    </w:p>
    <w:p w14:paraId="7B3D7E69"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Stokols, D.</w:t>
      </w:r>
      <w:r w:rsidRPr="00B63350">
        <w:rPr>
          <w:rFonts w:ascii="Arial" w:eastAsia="Calibri" w:hAnsi="Arial" w:cs="Arial"/>
          <w:color w:val="000000"/>
        </w:rPr>
        <w:t xml:space="preserve"> (1996). Translating social ecological theory into guidelines for community health promotion. </w:t>
      </w:r>
      <w:r w:rsidRPr="00B63350">
        <w:rPr>
          <w:rFonts w:ascii="Arial" w:eastAsia="Calibri" w:hAnsi="Arial" w:cs="Arial"/>
          <w:i/>
          <w:iCs/>
          <w:color w:val="000000"/>
        </w:rPr>
        <w:t>American Journal of Health Promotion, 10</w:t>
      </w:r>
      <w:r w:rsidRPr="00B63350">
        <w:rPr>
          <w:rFonts w:ascii="Arial" w:eastAsia="Calibri" w:hAnsi="Arial" w:cs="Arial"/>
          <w:color w:val="000000"/>
        </w:rPr>
        <w:t xml:space="preserve">(4), 282–298. </w:t>
      </w:r>
      <w:hyperlink r:id="rId53" w:tgtFrame="_new" w:history="1">
        <w:r w:rsidRPr="00B63350">
          <w:rPr>
            <w:rFonts w:ascii="Arial" w:eastAsia="Calibri" w:hAnsi="Arial" w:cs="Arial"/>
            <w:color w:val="0000FF"/>
            <w:u w:val="single"/>
          </w:rPr>
          <w:t>https://doi.org/10.4278/0890-1171-10.4.282</w:t>
        </w:r>
      </w:hyperlink>
    </w:p>
    <w:p w14:paraId="012770BE"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Tuliao, A. P.</w:t>
      </w:r>
      <w:r w:rsidRPr="00B63350">
        <w:rPr>
          <w:rFonts w:ascii="Arial" w:eastAsia="Calibri" w:hAnsi="Arial" w:cs="Arial"/>
          <w:color w:val="000000"/>
        </w:rPr>
        <w:t xml:space="preserve"> (2014). Mental health help seeking among Filipinos: A review of the literature. </w:t>
      </w:r>
      <w:r w:rsidRPr="00B63350">
        <w:rPr>
          <w:rFonts w:ascii="Arial" w:eastAsia="Calibri" w:hAnsi="Arial" w:cs="Arial"/>
          <w:i/>
          <w:iCs/>
          <w:color w:val="000000"/>
        </w:rPr>
        <w:t>Asia Pacific Journal of Counselling and Psychotherapy, 5</w:t>
      </w:r>
      <w:r w:rsidRPr="00B63350">
        <w:rPr>
          <w:rFonts w:ascii="Arial" w:eastAsia="Calibri" w:hAnsi="Arial" w:cs="Arial"/>
          <w:color w:val="000000"/>
        </w:rPr>
        <w:t>(2), 124–136.</w:t>
      </w:r>
    </w:p>
    <w:p w14:paraId="611CE065"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Wells, K. B., Jones, L., &amp; Chung, B.</w:t>
      </w:r>
      <w:r w:rsidRPr="00B63350">
        <w:rPr>
          <w:rFonts w:ascii="Arial" w:eastAsia="Calibri" w:hAnsi="Arial" w:cs="Arial"/>
          <w:color w:val="000000"/>
        </w:rPr>
        <w:t xml:space="preserve"> (2019). Community Interventions to Promote Mental Health and Social Equity. </w:t>
      </w:r>
      <w:r w:rsidRPr="00B63350">
        <w:rPr>
          <w:rFonts w:ascii="Arial" w:eastAsia="Calibri" w:hAnsi="Arial" w:cs="Arial"/>
          <w:i/>
          <w:iCs/>
          <w:color w:val="000000"/>
        </w:rPr>
        <w:t>Current Psychiatry Reports, 21</w:t>
      </w:r>
      <w:r w:rsidRPr="00B63350">
        <w:rPr>
          <w:rFonts w:ascii="Arial" w:eastAsia="Calibri" w:hAnsi="Arial" w:cs="Arial"/>
          <w:color w:val="000000"/>
        </w:rPr>
        <w:t>(5), 37.</w:t>
      </w:r>
    </w:p>
    <w:p w14:paraId="2BD96573"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Zahid, M. A., Fido, A. A., </w:t>
      </w:r>
      <w:proofErr w:type="spellStart"/>
      <w:r w:rsidRPr="00B63350">
        <w:rPr>
          <w:rFonts w:ascii="Arial" w:eastAsia="Calibri" w:hAnsi="Arial" w:cs="Arial"/>
          <w:b/>
          <w:bCs/>
          <w:color w:val="000000"/>
        </w:rPr>
        <w:t>Alowaish</w:t>
      </w:r>
      <w:proofErr w:type="spellEnd"/>
      <w:r w:rsidRPr="00B63350">
        <w:rPr>
          <w:rFonts w:ascii="Arial" w:eastAsia="Calibri" w:hAnsi="Arial" w:cs="Arial"/>
          <w:b/>
          <w:bCs/>
          <w:color w:val="000000"/>
        </w:rPr>
        <w:t>, R., &amp; Mohsen, M. A.</w:t>
      </w:r>
      <w:r w:rsidRPr="00B63350">
        <w:rPr>
          <w:rFonts w:ascii="Arial" w:eastAsia="Calibri" w:hAnsi="Arial" w:cs="Arial"/>
          <w:color w:val="000000"/>
        </w:rPr>
        <w:t xml:space="preserve"> (2016). The mental health needs of immigrant workers in Gulf countries. </w:t>
      </w:r>
      <w:proofErr w:type="spellStart"/>
      <w:r w:rsidRPr="00B63350">
        <w:rPr>
          <w:rFonts w:ascii="Arial" w:eastAsia="Calibri" w:hAnsi="Arial" w:cs="Arial"/>
          <w:i/>
          <w:iCs/>
          <w:color w:val="000000"/>
        </w:rPr>
        <w:t>BJPsych</w:t>
      </w:r>
      <w:proofErr w:type="spellEnd"/>
      <w:r w:rsidRPr="00B63350">
        <w:rPr>
          <w:rFonts w:ascii="Arial" w:eastAsia="Calibri" w:hAnsi="Arial" w:cs="Arial"/>
          <w:i/>
          <w:iCs/>
          <w:color w:val="000000"/>
        </w:rPr>
        <w:t xml:space="preserve"> International, 13</w:t>
      </w:r>
      <w:r w:rsidRPr="00B63350">
        <w:rPr>
          <w:rFonts w:ascii="Arial" w:eastAsia="Calibri" w:hAnsi="Arial" w:cs="Arial"/>
          <w:color w:val="000000"/>
        </w:rPr>
        <w:t>(4), 80–82.</w:t>
      </w:r>
    </w:p>
    <w:p w14:paraId="4E15BB27"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Zimmerman, M. A.</w:t>
      </w:r>
      <w:r w:rsidRPr="00B63350">
        <w:rPr>
          <w:rFonts w:ascii="Arial" w:eastAsia="Calibri" w:hAnsi="Arial" w:cs="Arial"/>
          <w:color w:val="000000"/>
        </w:rPr>
        <w:t xml:space="preserve"> (2000). Empowerment Theory: Psychological, Organizational, and Community Levels of Analysis. In J. Rappaport &amp; E. Seidman (Eds.), </w:t>
      </w:r>
      <w:r w:rsidRPr="00B63350">
        <w:rPr>
          <w:rFonts w:ascii="Arial" w:eastAsia="Calibri" w:hAnsi="Arial" w:cs="Arial"/>
          <w:i/>
          <w:iCs/>
          <w:color w:val="000000"/>
        </w:rPr>
        <w:t>Handbook of Community Psychology</w:t>
      </w:r>
      <w:r w:rsidRPr="00B63350">
        <w:rPr>
          <w:rFonts w:ascii="Arial" w:eastAsia="Calibri" w:hAnsi="Arial" w:cs="Arial"/>
          <w:color w:val="000000"/>
        </w:rPr>
        <w:t xml:space="preserve"> (pp. 43–63). Springer US. </w:t>
      </w:r>
      <w:hyperlink r:id="rId54" w:tgtFrame="_new" w:history="1">
        <w:r w:rsidRPr="00B63350">
          <w:rPr>
            <w:rFonts w:ascii="Arial" w:eastAsia="Calibri" w:hAnsi="Arial" w:cs="Arial"/>
            <w:color w:val="0000FF"/>
            <w:u w:val="single"/>
          </w:rPr>
          <w:t>https://doi.org/10.1007/978-1-4615-4193-6_2</w:t>
        </w:r>
      </w:hyperlink>
    </w:p>
    <w:p w14:paraId="32B9A0DC" w14:textId="77777777" w:rsidR="00B63350" w:rsidRPr="00FB3A86" w:rsidRDefault="00B63350" w:rsidP="00441B6F">
      <w:pPr>
        <w:pStyle w:val="ReferHead"/>
        <w:spacing w:after="0"/>
        <w:jc w:val="both"/>
        <w:rPr>
          <w:rFonts w:ascii="Arial" w:hAnsi="Arial" w:cs="Arial"/>
        </w:rPr>
      </w:pPr>
    </w:p>
    <w:sectPr w:rsidR="00B63350" w:rsidRPr="00FB3A86" w:rsidSect="00DF53A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2C88" w14:textId="77777777" w:rsidR="005F67EF" w:rsidRDefault="005F67EF" w:rsidP="00C37E61">
      <w:r>
        <w:separator/>
      </w:r>
    </w:p>
  </w:endnote>
  <w:endnote w:type="continuationSeparator" w:id="0">
    <w:p w14:paraId="451FF60F" w14:textId="77777777" w:rsidR="005F67EF" w:rsidRDefault="005F67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5803" w14:textId="77777777" w:rsidR="00550D0C" w:rsidRDefault="0055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96AB" w14:textId="77777777" w:rsidR="00550D0C" w:rsidRDefault="0055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EA1A" w14:textId="77777777" w:rsidR="009E048A" w:rsidRDefault="009E048A">
    <w:pPr>
      <w:pStyle w:val="Footer"/>
      <w:rPr>
        <w:rFonts w:ascii="Arial" w:hAnsi="Arial" w:cs="Arial"/>
        <w:sz w:val="16"/>
      </w:rPr>
    </w:pPr>
  </w:p>
  <w:p w14:paraId="5472BCC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C166F3" w14:textId="77777777" w:rsidR="009E048A" w:rsidRDefault="009E048A">
    <w:pPr>
      <w:pStyle w:val="Footer"/>
      <w:rPr>
        <w:rFonts w:ascii="Arial" w:hAnsi="Arial" w:cs="Arial"/>
        <w:sz w:val="16"/>
      </w:rPr>
    </w:pPr>
  </w:p>
  <w:p w14:paraId="269762C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6C26" w14:textId="77777777" w:rsidR="005F67EF" w:rsidRDefault="005F67EF" w:rsidP="00C37E61">
      <w:r>
        <w:separator/>
      </w:r>
    </w:p>
  </w:footnote>
  <w:footnote w:type="continuationSeparator" w:id="0">
    <w:p w14:paraId="0F3E7C53" w14:textId="77777777" w:rsidR="005F67EF" w:rsidRDefault="005F67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5B3D" w14:textId="2DFBB74B" w:rsidR="00550D0C" w:rsidRDefault="00550D0C">
    <w:pPr>
      <w:pStyle w:val="Header"/>
    </w:pPr>
    <w:r>
      <w:rPr>
        <w:noProof/>
      </w:rPr>
      <w:pict w14:anchorId="645BB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0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B509" w14:textId="18AE2DC8" w:rsidR="00550D0C" w:rsidRDefault="00550D0C">
    <w:pPr>
      <w:pStyle w:val="Header"/>
    </w:pPr>
    <w:r>
      <w:rPr>
        <w:noProof/>
      </w:rPr>
      <w:pict w14:anchorId="63FDB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0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4398" w14:textId="37816739" w:rsidR="00296529" w:rsidRPr="00296529" w:rsidRDefault="00550D0C" w:rsidP="00296529">
    <w:pPr>
      <w:ind w:left="2160"/>
      <w:jc w:val="center"/>
      <w:rPr>
        <w:rFonts w:ascii="Times New Roman" w:eastAsia="Calibri" w:hAnsi="Times New Roman"/>
        <w:i/>
        <w:sz w:val="18"/>
        <w:szCs w:val="22"/>
      </w:rPr>
    </w:pPr>
    <w:r>
      <w:rPr>
        <w:noProof/>
      </w:rPr>
      <w:pict w14:anchorId="1D935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0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AA01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0299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B7AE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9EA5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2E2D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C074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27164"/>
    <w:multiLevelType w:val="multilevel"/>
    <w:tmpl w:val="D5B6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23069"/>
    <w:multiLevelType w:val="multilevel"/>
    <w:tmpl w:val="B646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CA5AA2"/>
    <w:multiLevelType w:val="multilevel"/>
    <w:tmpl w:val="8162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870BD"/>
    <w:multiLevelType w:val="multilevel"/>
    <w:tmpl w:val="BE3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6D416E"/>
    <w:multiLevelType w:val="multilevel"/>
    <w:tmpl w:val="C2AC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35F57"/>
    <w:multiLevelType w:val="multilevel"/>
    <w:tmpl w:val="AC42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219167D"/>
    <w:multiLevelType w:val="multilevel"/>
    <w:tmpl w:val="C334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D615A"/>
    <w:multiLevelType w:val="multilevel"/>
    <w:tmpl w:val="10E6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0955E8C"/>
    <w:multiLevelType w:val="multilevel"/>
    <w:tmpl w:val="F5E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8A52C7"/>
    <w:multiLevelType w:val="multilevel"/>
    <w:tmpl w:val="D87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687310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5490072">
    <w:abstractNumId w:val="20"/>
  </w:num>
  <w:num w:numId="3" w16cid:durableId="1953244269">
    <w:abstractNumId w:val="33"/>
  </w:num>
  <w:num w:numId="4" w16cid:durableId="4420404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30374653">
    <w:abstractNumId w:val="11"/>
  </w:num>
  <w:num w:numId="6" w16cid:durableId="986863330">
    <w:abstractNumId w:val="10"/>
  </w:num>
  <w:num w:numId="7" w16cid:durableId="1940945663">
    <w:abstractNumId w:val="2"/>
  </w:num>
  <w:num w:numId="8" w16cid:durableId="1277639977">
    <w:abstractNumId w:val="16"/>
  </w:num>
  <w:num w:numId="9" w16cid:durableId="25523703">
    <w:abstractNumId w:val="35"/>
  </w:num>
  <w:num w:numId="10" w16cid:durableId="1124883399">
    <w:abstractNumId w:val="3"/>
  </w:num>
  <w:num w:numId="11" w16cid:durableId="1471827358">
    <w:abstractNumId w:val="26"/>
  </w:num>
  <w:num w:numId="12" w16cid:durableId="366373586">
    <w:abstractNumId w:val="4"/>
  </w:num>
  <w:num w:numId="13" w16cid:durableId="1624506999">
    <w:abstractNumId w:val="23"/>
  </w:num>
  <w:num w:numId="14" w16cid:durableId="2136681118">
    <w:abstractNumId w:val="12"/>
  </w:num>
  <w:num w:numId="15" w16cid:durableId="360593053">
    <w:abstractNumId w:val="31"/>
  </w:num>
  <w:num w:numId="16" w16cid:durableId="2052338954">
    <w:abstractNumId w:val="6"/>
  </w:num>
  <w:num w:numId="17" w16cid:durableId="1610895428">
    <w:abstractNumId w:val="32"/>
  </w:num>
  <w:num w:numId="18" w16cid:durableId="893396114">
    <w:abstractNumId w:val="18"/>
  </w:num>
  <w:num w:numId="19" w16cid:durableId="260572815">
    <w:abstractNumId w:val="38"/>
  </w:num>
  <w:num w:numId="20" w16cid:durableId="1797408754">
    <w:abstractNumId w:val="15"/>
  </w:num>
  <w:num w:numId="21" w16cid:durableId="2040927798">
    <w:abstractNumId w:val="13"/>
  </w:num>
  <w:num w:numId="22" w16cid:durableId="2024699203">
    <w:abstractNumId w:val="17"/>
  </w:num>
  <w:num w:numId="23" w16cid:durableId="1122304064">
    <w:abstractNumId w:val="28"/>
  </w:num>
  <w:num w:numId="24" w16cid:durableId="411590896">
    <w:abstractNumId w:val="36"/>
  </w:num>
  <w:num w:numId="25" w16cid:durableId="1653830967">
    <w:abstractNumId w:val="5"/>
  </w:num>
  <w:num w:numId="26" w16cid:durableId="491027170">
    <w:abstractNumId w:val="21"/>
  </w:num>
  <w:num w:numId="27" w16cid:durableId="1048379751">
    <w:abstractNumId w:val="29"/>
  </w:num>
  <w:num w:numId="28" w16cid:durableId="1234386379">
    <w:abstractNumId w:val="37"/>
  </w:num>
  <w:num w:numId="29" w16cid:durableId="72242381">
    <w:abstractNumId w:val="34"/>
  </w:num>
  <w:num w:numId="30" w16cid:durableId="881600088">
    <w:abstractNumId w:val="14"/>
  </w:num>
  <w:num w:numId="31" w16cid:durableId="1891381550">
    <w:abstractNumId w:val="22"/>
  </w:num>
  <w:num w:numId="32" w16cid:durableId="1065251715">
    <w:abstractNumId w:val="24"/>
  </w:num>
  <w:num w:numId="33" w16cid:durableId="1912740350">
    <w:abstractNumId w:val="8"/>
  </w:num>
  <w:num w:numId="34" w16cid:durableId="1803763779">
    <w:abstractNumId w:val="30"/>
  </w:num>
  <w:num w:numId="35" w16cid:durableId="632177643">
    <w:abstractNumId w:val="27"/>
  </w:num>
  <w:num w:numId="36" w16cid:durableId="1006862142">
    <w:abstractNumId w:val="19"/>
  </w:num>
  <w:num w:numId="37" w16cid:durableId="587617571">
    <w:abstractNumId w:val="1"/>
  </w:num>
  <w:num w:numId="38" w16cid:durableId="727340688">
    <w:abstractNumId w:val="25"/>
  </w:num>
  <w:num w:numId="39" w16cid:durableId="2018922454">
    <w:abstractNumId w:val="9"/>
  </w:num>
  <w:num w:numId="40" w16cid:durableId="1768694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E71"/>
    <w:rsid w:val="0004579C"/>
    <w:rsid w:val="00082F86"/>
    <w:rsid w:val="000A47FA"/>
    <w:rsid w:val="000A65D3"/>
    <w:rsid w:val="000A6E94"/>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4C5B"/>
    <w:rsid w:val="001F69F7"/>
    <w:rsid w:val="00200595"/>
    <w:rsid w:val="00204835"/>
    <w:rsid w:val="00207E73"/>
    <w:rsid w:val="002136DC"/>
    <w:rsid w:val="00231920"/>
    <w:rsid w:val="0023195C"/>
    <w:rsid w:val="0024282C"/>
    <w:rsid w:val="002460DC"/>
    <w:rsid w:val="00250985"/>
    <w:rsid w:val="002556F6"/>
    <w:rsid w:val="00283105"/>
    <w:rsid w:val="00284C4C"/>
    <w:rsid w:val="00287E68"/>
    <w:rsid w:val="00296529"/>
    <w:rsid w:val="002A49EF"/>
    <w:rsid w:val="002B27FB"/>
    <w:rsid w:val="002B4ACA"/>
    <w:rsid w:val="002B685A"/>
    <w:rsid w:val="002C57D2"/>
    <w:rsid w:val="002E0D56"/>
    <w:rsid w:val="00303A9C"/>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13A"/>
    <w:rsid w:val="00423789"/>
    <w:rsid w:val="00440F43"/>
    <w:rsid w:val="00441B6F"/>
    <w:rsid w:val="00446221"/>
    <w:rsid w:val="00450E62"/>
    <w:rsid w:val="004539DB"/>
    <w:rsid w:val="00471A80"/>
    <w:rsid w:val="004D305E"/>
    <w:rsid w:val="004D4277"/>
    <w:rsid w:val="00502516"/>
    <w:rsid w:val="00505F06"/>
    <w:rsid w:val="00506828"/>
    <w:rsid w:val="0053056E"/>
    <w:rsid w:val="00550D0C"/>
    <w:rsid w:val="00554FDA"/>
    <w:rsid w:val="005B0AD1"/>
    <w:rsid w:val="005C784C"/>
    <w:rsid w:val="005D17F6"/>
    <w:rsid w:val="005E5539"/>
    <w:rsid w:val="005F67E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90F"/>
    <w:rsid w:val="006D30FF"/>
    <w:rsid w:val="006D6940"/>
    <w:rsid w:val="006F11EC"/>
    <w:rsid w:val="0070082C"/>
    <w:rsid w:val="00730DF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A19"/>
    <w:rsid w:val="009D7EB7"/>
    <w:rsid w:val="009E048A"/>
    <w:rsid w:val="009E08E9"/>
    <w:rsid w:val="009E3DB9"/>
    <w:rsid w:val="009E6E35"/>
    <w:rsid w:val="009F0EDA"/>
    <w:rsid w:val="00A03B96"/>
    <w:rsid w:val="00A05B19"/>
    <w:rsid w:val="00A06776"/>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1F4A"/>
    <w:rsid w:val="00B52583"/>
    <w:rsid w:val="00B52896"/>
    <w:rsid w:val="00B63350"/>
    <w:rsid w:val="00B9515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53A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32F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413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77458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igitalcommons.du.edu/cgi/viewcontent.cgi?article=1477&amp;context=etd" TargetMode="External"/><Relationship Id="rId26" Type="http://schemas.openxmlformats.org/officeDocument/2006/relationships/hyperlink" Target="https://doi.org/10.1007/BF00919275" TargetMode="External"/><Relationship Id="rId39" Type="http://schemas.openxmlformats.org/officeDocument/2006/relationships/hyperlink" Target="https://doi.org/10.1177/00207640231190547" TargetMode="External"/><Relationship Id="rId21" Type="http://schemas.openxmlformats.org/officeDocument/2006/relationships/hyperlink" Target="https://doi.org/10.1037/a0025957" TargetMode="External"/><Relationship Id="rId34" Type="http://schemas.openxmlformats.org/officeDocument/2006/relationships/image" Target="media/image2.png"/><Relationship Id="rId42" Type="http://schemas.openxmlformats.org/officeDocument/2006/relationships/hyperlink" Target="https://doi.org/10.1191/1478088706qp063oa" TargetMode="External"/><Relationship Id="rId47" Type="http://schemas.openxmlformats.org/officeDocument/2006/relationships/hyperlink" Target="https://doi.org/10.3389/fpsyt.2023.1259944" TargetMode="External"/><Relationship Id="rId50" Type="http://schemas.openxmlformats.org/officeDocument/2006/relationships/hyperlink" Target="https://digitalcommons.du.edu/etd/47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mc.ncbi.nlm.nih.gov/articles/PMC7349376/" TargetMode="External"/><Relationship Id="rId29" Type="http://schemas.openxmlformats.org/officeDocument/2006/relationships/hyperlink" Target="https://doi.org/10.1177/15248399221125951" TargetMode="External"/><Relationship Id="rId11" Type="http://schemas.openxmlformats.org/officeDocument/2006/relationships/footer" Target="footer2.xml"/><Relationship Id="rId24" Type="http://schemas.openxmlformats.org/officeDocument/2006/relationships/hyperlink" Target="https://doi.org/10.4278/0890-1171-10.4.282" TargetMode="External"/><Relationship Id="rId32" Type="http://schemas.openxmlformats.org/officeDocument/2006/relationships/hyperlink" Target="https://pmc.ncbi.nlm.nih.gov/articles/PMC4639381/" TargetMode="External"/><Relationship Id="rId37" Type="http://schemas.openxmlformats.org/officeDocument/2006/relationships/hyperlink" Target="https://doi.org/10.5539/jel.v5n3p288" TargetMode="External"/><Relationship Id="rId40" Type="http://schemas.openxmlformats.org/officeDocument/2006/relationships/hyperlink" Target="https://pmc.ncbi.nlm.nih.gov/articles/PMC10539575/" TargetMode="External"/><Relationship Id="rId45" Type="http://schemas.openxmlformats.org/officeDocument/2006/relationships/hyperlink" Target="https://doi.org/10.1177/109019819802500303" TargetMode="External"/><Relationship Id="rId53" Type="http://schemas.openxmlformats.org/officeDocument/2006/relationships/hyperlink" Target="https://doi.org/10.4278/0890-1171-10.4.282"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pmc.ncbi.nlm.nih.gov/articles/PMC6735135/" TargetMode="External"/><Relationship Id="rId31" Type="http://schemas.openxmlformats.org/officeDocument/2006/relationships/hyperlink" Target="https://pmc.ncbi.nlm.nih.gov/articles/PMC4097839/" TargetMode="External"/><Relationship Id="rId44" Type="http://schemas.openxmlformats.org/officeDocument/2006/relationships/hyperlink" Target="https://doi.org/10.1111/1475-6773.12117" TargetMode="External"/><Relationship Id="rId52" Type="http://schemas.openxmlformats.org/officeDocument/2006/relationships/hyperlink" Target="https://doi.org/10.1007/BF009192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7578164/" TargetMode="External"/><Relationship Id="rId22" Type="http://schemas.openxmlformats.org/officeDocument/2006/relationships/hyperlink" Target="https://pmc.ncbi.nlm.nih.gov/articles/PMC6440941/" TargetMode="External"/><Relationship Id="rId27" Type="http://schemas.openxmlformats.org/officeDocument/2006/relationships/hyperlink" Target="https://onlinesocialwork.vcu.edu/blog/empowerment-theory-in-social-work/" TargetMode="External"/><Relationship Id="rId30" Type="http://schemas.openxmlformats.org/officeDocument/2006/relationships/hyperlink" Target="https://pmc.ncbi.nlm.nih.gov/articles/PMC9794465/" TargetMode="External"/><Relationship Id="rId35" Type="http://schemas.openxmlformats.org/officeDocument/2006/relationships/image" Target="media/image3.png"/><Relationship Id="rId43" Type="http://schemas.openxmlformats.org/officeDocument/2006/relationships/hyperlink" Target="https://doi.org/10.1017/gmh.2023.49" TargetMode="External"/><Relationship Id="rId48" Type="http://schemas.openxmlformats.org/officeDocument/2006/relationships/hyperlink" Target="https://doi.org/10.1037/a002595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016/j.psychres.2015.05.06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mcpsychiatry.biomedcentral.com/articles/10.1186/s12888-023-04827-4" TargetMode="External"/><Relationship Id="rId25" Type="http://schemas.openxmlformats.org/officeDocument/2006/relationships/hyperlink" Target="https://doi.org/10.1186/s12889-018-5244-9" TargetMode="External"/><Relationship Id="rId33" Type="http://schemas.openxmlformats.org/officeDocument/2006/relationships/image" Target="media/image1.png"/><Relationship Id="rId38" Type="http://schemas.openxmlformats.org/officeDocument/2006/relationships/hyperlink" Target="https://pmc.ncbi.nlm.nih.gov/articles/PMC10579655/" TargetMode="External"/><Relationship Id="rId46" Type="http://schemas.openxmlformats.org/officeDocument/2006/relationships/hyperlink" Target="https://doi.org/10.1370/afm.1865" TargetMode="External"/><Relationship Id="rId20" Type="http://schemas.openxmlformats.org/officeDocument/2006/relationships/hyperlink" Target="https://www.researchgate.net/publication/322377267_The_mental_health_needs_of_immigrant_workers_in_Gulf_countries" TargetMode="External"/><Relationship Id="rId41" Type="http://schemas.openxmlformats.org/officeDocument/2006/relationships/hyperlink" Target="https://doi.org/10.1080/00330124.2024.2410764" TargetMode="External"/><Relationship Id="rId54" Type="http://schemas.openxmlformats.org/officeDocument/2006/relationships/hyperlink" Target="https://doi.org/10.1007/978-1-4615-4193-6_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rp.org/journal/paperinformation?paperid=103483" TargetMode="External"/><Relationship Id="rId23" Type="http://schemas.openxmlformats.org/officeDocument/2006/relationships/hyperlink" Target="https://mch.umn.edu/resources/mhecomodel/" TargetMode="External"/><Relationship Id="rId28" Type="http://schemas.openxmlformats.org/officeDocument/2006/relationships/hyperlink" Target="https://pmc.ncbi.nlm.nih.gov/articles/PMC10464111/" TargetMode="External"/><Relationship Id="rId36" Type="http://schemas.openxmlformats.org/officeDocument/2006/relationships/hyperlink" Target="https://www.sciencedirect.com/science/article/pii/S2590260121000242" TargetMode="External"/><Relationship Id="rId49" Type="http://schemas.openxmlformats.org/officeDocument/2006/relationships/hyperlink" Target="https://doi.org/10.1007/s00127-020-0193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7B5A-160C-4E5D-9B34-FE06BFFA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19</Pages>
  <Words>8421</Words>
  <Characters>48001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11</cp:revision>
  <cp:lastPrinted>1999-07-06T11:00:00Z</cp:lastPrinted>
  <dcterms:created xsi:type="dcterms:W3CDTF">2025-10-20T07:40:00Z</dcterms:created>
  <dcterms:modified xsi:type="dcterms:W3CDTF">2025-10-21T10:39:00Z</dcterms:modified>
</cp:coreProperties>
</file>