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5C9A5A" w14:textId="1E7199E3" w:rsidR="00035371" w:rsidRPr="00035371" w:rsidRDefault="00035371" w:rsidP="00035371">
      <w:pPr>
        <w:pStyle w:val="Title"/>
        <w:ind w:left="0"/>
        <w:jc w:val="right"/>
        <w:rPr>
          <w:rFonts w:ascii="Arial" w:hAnsi="Arial" w:cs="Arial"/>
          <w:b/>
          <w:bCs/>
          <w:sz w:val="36"/>
          <w:szCs w:val="36"/>
        </w:rPr>
      </w:pPr>
      <w:r w:rsidRPr="00035371">
        <w:rPr>
          <w:rFonts w:ascii="Arial" w:hAnsi="Arial" w:cs="Arial"/>
          <w:b/>
          <w:bCs/>
          <w:sz w:val="36"/>
          <w:szCs w:val="36"/>
        </w:rPr>
        <w:t>Traditional Indian Sports in Education: Promoting Physical Health and Well-Being</w:t>
      </w:r>
    </w:p>
    <w:p w14:paraId="68FDE952" w14:textId="77777777" w:rsidR="00035371" w:rsidRPr="00035371" w:rsidRDefault="00035371" w:rsidP="00035371">
      <w:pPr>
        <w:pStyle w:val="Title"/>
        <w:ind w:left="0"/>
        <w:jc w:val="right"/>
        <w:rPr>
          <w:rFonts w:ascii="Arial" w:hAnsi="Arial" w:cs="Arial"/>
          <w:b/>
          <w:bCs/>
          <w:sz w:val="24"/>
          <w:szCs w:val="24"/>
        </w:rPr>
      </w:pPr>
    </w:p>
    <w:p w14:paraId="09F52604" w14:textId="579165B8" w:rsidR="00CA59CD" w:rsidRDefault="00CA59CD" w:rsidP="00035371">
      <w:pPr>
        <w:pStyle w:val="Title"/>
        <w:ind w:left="0"/>
        <w:rPr>
          <w:rFonts w:ascii="Arial" w:hAnsi="Arial" w:cs="Arial"/>
          <w:b/>
          <w:bCs/>
          <w:sz w:val="24"/>
          <w:szCs w:val="24"/>
        </w:rPr>
      </w:pPr>
    </w:p>
    <w:p w14:paraId="7FF838F4" w14:textId="77777777" w:rsidR="009D54AC" w:rsidRDefault="009D54AC" w:rsidP="00035371">
      <w:pPr>
        <w:pStyle w:val="Title"/>
        <w:ind w:left="0"/>
        <w:rPr>
          <w:rFonts w:ascii="Arial" w:hAnsi="Arial" w:cs="Arial"/>
          <w:b/>
          <w:bCs/>
          <w:sz w:val="24"/>
          <w:szCs w:val="24"/>
        </w:rPr>
      </w:pPr>
      <w:bookmarkStart w:id="0" w:name="_GoBack"/>
      <w:bookmarkEnd w:id="0"/>
    </w:p>
    <w:p w14:paraId="115A2830" w14:textId="77777777" w:rsidR="00CA59CD" w:rsidRDefault="00CA59CD" w:rsidP="00035371">
      <w:pPr>
        <w:pStyle w:val="Title"/>
        <w:ind w:left="0"/>
        <w:rPr>
          <w:rFonts w:ascii="Arial" w:hAnsi="Arial" w:cs="Arial"/>
          <w:b/>
          <w:bCs/>
          <w:sz w:val="24"/>
          <w:szCs w:val="24"/>
        </w:rPr>
      </w:pPr>
    </w:p>
    <w:p w14:paraId="03C2E89F" w14:textId="1CC01E61" w:rsidR="006F50C0" w:rsidRPr="00035371" w:rsidRDefault="009F50F9" w:rsidP="00035371">
      <w:pPr>
        <w:pStyle w:val="Title"/>
        <w:ind w:left="0"/>
        <w:rPr>
          <w:rFonts w:ascii="Arial" w:hAnsi="Arial" w:cs="Arial"/>
          <w:b/>
          <w:bCs/>
          <w:sz w:val="24"/>
          <w:szCs w:val="24"/>
        </w:rPr>
      </w:pPr>
      <w:r w:rsidRPr="00035371">
        <w:rPr>
          <w:rFonts w:ascii="Arial" w:hAnsi="Arial" w:cs="Arial"/>
          <w:b/>
          <w:bCs/>
          <w:sz w:val="24"/>
          <w:szCs w:val="24"/>
        </w:rPr>
        <w:t>ABSTRACT</w:t>
      </w:r>
    </w:p>
    <w:p w14:paraId="7D9EA26F" w14:textId="77777777" w:rsidR="00316695" w:rsidRPr="00035371" w:rsidRDefault="00316695" w:rsidP="00035371">
      <w:pPr>
        <w:pStyle w:val="Title"/>
        <w:ind w:left="0"/>
        <w:jc w:val="both"/>
        <w:rPr>
          <w:rFonts w:ascii="Arial" w:hAnsi="Arial" w:cs="Arial"/>
          <w:sz w:val="24"/>
          <w:szCs w:val="24"/>
        </w:rPr>
      </w:pPr>
      <w:r w:rsidRPr="00035371">
        <w:rPr>
          <w:rFonts w:ascii="Arial" w:hAnsi="Arial" w:cs="Arial"/>
          <w:sz w:val="24"/>
          <w:szCs w:val="24"/>
        </w:rPr>
        <w:t>This review paper critically examines the role of diverse sports in promoting self-reliance and enhancing health and well-being in India, rooted in rich Indian traditional health practices. Drawing from ancient wisdom and cultural heritage, these traditional health practices offer holistic approaches to physical activity, seamlessly integrating body, mind, and spirit. By incorporating such practices into health promotion initiatives, individuals and communities can reclaim ownership of their well-being, fostering self-reliance and sustainability while preserving cultural identity. Recognizing the intrinsic connection between physical activity and mental health, promoting diverse sports rooted in Indian traditional health practices serves as a holistic approach to improving overall health outcomes. Through partnerships and community-driven initiatives, India can leverage its rich cultural heritage to create supportive environments that prioritize physical activity. Embracing sports rooted in Indian traditional health practices not only promotes physical health but also strengthens cultural identity and fosters a deeper connection to ancestral wisdom, emphasizing the importance of heritage in fostering self-reliance and well-being. This review paper provides valuable insights for policymakers, health professionals, and community leaders to develop inclusive and effective strategies for promoting physical activity and improving health outcomes in India.</w:t>
      </w:r>
    </w:p>
    <w:p w14:paraId="3CF36531" w14:textId="1EEBEB8F" w:rsidR="00A82E51" w:rsidRPr="00035371" w:rsidRDefault="00A82E51" w:rsidP="00035371">
      <w:pPr>
        <w:pStyle w:val="Title"/>
        <w:ind w:left="0"/>
        <w:jc w:val="both"/>
        <w:rPr>
          <w:rFonts w:ascii="Arial" w:hAnsi="Arial" w:cs="Arial"/>
          <w:sz w:val="24"/>
          <w:szCs w:val="24"/>
        </w:rPr>
      </w:pPr>
      <w:r w:rsidRPr="00035371">
        <w:rPr>
          <w:rFonts w:ascii="Arial" w:hAnsi="Arial" w:cs="Arial"/>
          <w:b/>
          <w:bCs/>
          <w:sz w:val="24"/>
          <w:szCs w:val="24"/>
        </w:rPr>
        <w:t>Keywords:</w:t>
      </w:r>
      <w:r w:rsidRPr="00035371">
        <w:rPr>
          <w:rFonts w:ascii="Arial" w:hAnsi="Arial" w:cs="Arial"/>
          <w:sz w:val="24"/>
          <w:szCs w:val="24"/>
        </w:rPr>
        <w:t xml:space="preserve"> Physical activity, Self-reliance, Health promotion, Well-being, </w:t>
      </w:r>
      <w:r w:rsidR="00796DCC">
        <w:rPr>
          <w:rFonts w:ascii="Arial" w:hAnsi="Arial" w:cs="Arial"/>
          <w:sz w:val="24"/>
          <w:szCs w:val="24"/>
        </w:rPr>
        <w:t>Traditional</w:t>
      </w:r>
      <w:r w:rsidRPr="00035371">
        <w:rPr>
          <w:rFonts w:ascii="Arial" w:hAnsi="Arial" w:cs="Arial"/>
          <w:sz w:val="24"/>
          <w:szCs w:val="24"/>
        </w:rPr>
        <w:t>.</w:t>
      </w:r>
    </w:p>
    <w:p w14:paraId="6BF9CE8D" w14:textId="77777777" w:rsidR="00035371" w:rsidRPr="00035371" w:rsidRDefault="00035371" w:rsidP="00035371">
      <w:pPr>
        <w:pStyle w:val="Title"/>
        <w:ind w:left="0"/>
        <w:jc w:val="both"/>
        <w:rPr>
          <w:rFonts w:ascii="Arial" w:hAnsi="Arial" w:cs="Arial"/>
          <w:sz w:val="24"/>
          <w:szCs w:val="24"/>
        </w:rPr>
      </w:pPr>
    </w:p>
    <w:p w14:paraId="17FF82E4" w14:textId="77777777" w:rsidR="00F72D7F" w:rsidRPr="00035371" w:rsidRDefault="00F72D7F" w:rsidP="00035371">
      <w:pPr>
        <w:pStyle w:val="Title"/>
        <w:ind w:left="0"/>
        <w:jc w:val="both"/>
        <w:rPr>
          <w:rFonts w:ascii="Arial" w:hAnsi="Arial" w:cs="Arial"/>
          <w:sz w:val="24"/>
          <w:szCs w:val="24"/>
        </w:rPr>
      </w:pPr>
    </w:p>
    <w:p w14:paraId="20559975" w14:textId="0EECADC5" w:rsidR="00D86B05" w:rsidRPr="00035371" w:rsidRDefault="009F50F9" w:rsidP="00035371">
      <w:pPr>
        <w:pStyle w:val="Title"/>
        <w:ind w:left="0"/>
        <w:jc w:val="both"/>
        <w:rPr>
          <w:rFonts w:ascii="Arial" w:hAnsi="Arial" w:cs="Arial"/>
          <w:b/>
          <w:bCs/>
          <w:sz w:val="24"/>
          <w:szCs w:val="24"/>
        </w:rPr>
      </w:pPr>
      <w:r w:rsidRPr="00035371">
        <w:rPr>
          <w:rFonts w:ascii="Arial" w:hAnsi="Arial" w:cs="Arial"/>
          <w:b/>
          <w:bCs/>
          <w:sz w:val="24"/>
          <w:szCs w:val="24"/>
        </w:rPr>
        <w:t>INTRODUCTION</w:t>
      </w:r>
    </w:p>
    <w:p w14:paraId="2706E3BF" w14:textId="77777777" w:rsidR="00D86B05" w:rsidRPr="00035371" w:rsidRDefault="00D86B05" w:rsidP="00035371">
      <w:pPr>
        <w:pStyle w:val="Title"/>
        <w:ind w:left="0"/>
        <w:jc w:val="both"/>
        <w:rPr>
          <w:rFonts w:ascii="Arial" w:hAnsi="Arial" w:cs="Arial"/>
          <w:sz w:val="24"/>
          <w:szCs w:val="24"/>
        </w:rPr>
      </w:pPr>
      <w:r w:rsidRPr="00035371">
        <w:rPr>
          <w:rFonts w:ascii="Arial" w:hAnsi="Arial" w:cs="Arial"/>
          <w:sz w:val="24"/>
          <w:szCs w:val="24"/>
        </w:rPr>
        <w:t xml:space="preserve">The promotion of traditional sports activities in India encompasses a multifaceted approach aimed at fostering self-reliance and enhancing overall health and well-being. This initiative involves encouraging individuals and communities to actively participate in indigenous sports and games deeply rooted in the country's cultural heritage. The concept of promoting traditional sports activities revolves around recognizing the intrinsic value of these age-old practices and their significance in promoting physical, mental, and social wellness. These activities not only provide avenues for physical exercise but also serve as mediums for cultural expression, community bonding, and personal development. </w:t>
      </w:r>
    </w:p>
    <w:p w14:paraId="3B7A4FFB" w14:textId="06F95A39" w:rsidR="00D86B05" w:rsidRPr="00035371" w:rsidRDefault="00D86B05" w:rsidP="00035371">
      <w:pPr>
        <w:pStyle w:val="Title"/>
        <w:ind w:left="0"/>
        <w:jc w:val="both"/>
        <w:rPr>
          <w:rFonts w:ascii="Arial" w:hAnsi="Arial" w:cs="Arial"/>
          <w:sz w:val="24"/>
          <w:szCs w:val="24"/>
        </w:rPr>
      </w:pPr>
      <w:r w:rsidRPr="00035371">
        <w:rPr>
          <w:rFonts w:ascii="Arial" w:hAnsi="Arial" w:cs="Arial"/>
          <w:sz w:val="24"/>
          <w:szCs w:val="24"/>
        </w:rPr>
        <w:t xml:space="preserve">The scope of promoting traditional sports activities in India is broad and diverse, encompassing a wide range of indigenous sports, games, and physical activities prevalent across different regions of the country. From traditional martial arts like </w:t>
      </w:r>
      <w:proofErr w:type="spellStart"/>
      <w:r w:rsidRPr="00035371">
        <w:rPr>
          <w:rFonts w:ascii="Arial" w:hAnsi="Arial" w:cs="Arial"/>
          <w:sz w:val="24"/>
          <w:szCs w:val="24"/>
        </w:rPr>
        <w:t>Kalaripayattu</w:t>
      </w:r>
      <w:proofErr w:type="spellEnd"/>
      <w:r w:rsidRPr="00035371">
        <w:rPr>
          <w:rFonts w:ascii="Arial" w:hAnsi="Arial" w:cs="Arial"/>
          <w:sz w:val="24"/>
          <w:szCs w:val="24"/>
        </w:rPr>
        <w:t xml:space="preserve"> and Gatka to folk games like Kabaddi and Gilli-Danda, there is a rich tapestry of traditional sports that reflect India's cultural diversity and heritage. At its core, promoting traditional sports activities is about empowering individuals and communities to take ownership of their health and well-being. By engaging in these activities, individuals develop physical fitness, mental resilience, and a sense of cultural pride and identity. Moreover, participation in traditional sports fosters a spirit of self-reliance by encouraging individuals to rely on their own abilities and resources to maintain their health and fitness levels. </w:t>
      </w:r>
    </w:p>
    <w:p w14:paraId="11BCDECF" w14:textId="1354E8F9" w:rsidR="00D86B05" w:rsidRPr="00035371" w:rsidRDefault="00D86B05" w:rsidP="00035371">
      <w:pPr>
        <w:pStyle w:val="Title"/>
        <w:ind w:left="0"/>
        <w:jc w:val="both"/>
        <w:rPr>
          <w:rFonts w:ascii="Arial" w:hAnsi="Arial" w:cs="Arial"/>
          <w:sz w:val="24"/>
          <w:szCs w:val="24"/>
        </w:rPr>
      </w:pPr>
      <w:r w:rsidRPr="00035371">
        <w:rPr>
          <w:rFonts w:ascii="Arial" w:hAnsi="Arial" w:cs="Arial"/>
          <w:sz w:val="24"/>
          <w:szCs w:val="24"/>
        </w:rPr>
        <w:lastRenderedPageBreak/>
        <w:t>Traditional sports, deeply embedded in India's cultural fabric, offer avenues for physical activity that are rooted in indigenous practices and beliefs. As individuals engage in these activities, they not only uphold cultural heritage but also experience the physical, mental, and social benefits associated with them. Research underscores the significance of traditional sports in promoting health and well-being. Studies have shown that participation in traditional sports contributes to improved cardiovascular health, enhanced physical fitness, and reduced risk factors for chronic diseases (Anand et al., 2017; Kumar et al., 2019). Moreover, engagement in such activities fosters a sense of community, social cohesion, and mental well-being, aligning with the holistic approach to health advocated by traditional Indian systems like Ayurveda (Thorsen &amp; Pouliot, 2016).</w:t>
      </w:r>
    </w:p>
    <w:p w14:paraId="68DBF0B4" w14:textId="17D3E191" w:rsidR="00115F6A" w:rsidRPr="00035371" w:rsidRDefault="00D86B05" w:rsidP="00035371">
      <w:pPr>
        <w:pStyle w:val="Title"/>
        <w:ind w:left="0"/>
        <w:jc w:val="both"/>
        <w:rPr>
          <w:rFonts w:ascii="Arial" w:hAnsi="Arial" w:cs="Arial"/>
          <w:sz w:val="24"/>
          <w:szCs w:val="24"/>
        </w:rPr>
      </w:pPr>
      <w:r w:rsidRPr="00035371">
        <w:rPr>
          <w:rFonts w:ascii="Arial" w:hAnsi="Arial" w:cs="Arial"/>
          <w:sz w:val="24"/>
          <w:szCs w:val="24"/>
        </w:rPr>
        <w:t xml:space="preserve">Promoting traditional sports activities not only enhances individual health outcomes but also cultivates self-reliance within communities. By reviving and sustaining traditional sports, communities can harness their own resources and cultural practices to promote active living and well-being. This approach aligns with the broader goal of promoting self-reliance in health management, empowering individuals and communities to take charge of their own health (Tripathi, 2019; Giles-Corti et al., 2019). </w:t>
      </w:r>
      <w:r w:rsidR="00115F6A" w:rsidRPr="00035371">
        <w:rPr>
          <w:rFonts w:ascii="Arial" w:hAnsi="Arial" w:cs="Arial"/>
          <w:sz w:val="24"/>
          <w:szCs w:val="24"/>
        </w:rPr>
        <w:t>Embedded within the educational philosophy of fostering self-reliance in India lies a rich tapestry of Indian philosophical ideas, including those found in the Bhagavad Gita, Upanishads, and Vedas. These ancient texts provide profound insights into the interconnectedness of physical, mental, and spiritual dimensions of human existence, emphasizing the pursuit of holistic well-being. Drawing from the Bhagavad Gita's teachings on karma yoga and self-discipline, individuals are encouraged to engage in physical activity as a means of fulfilling their duties while maintaining inner balance (Bhagavad Gita, Chapter 2). Similarly, the Upanishads and Vedas expound upon the concept of "</w:t>
      </w:r>
      <w:proofErr w:type="spellStart"/>
      <w:r w:rsidR="00115F6A" w:rsidRPr="00035371">
        <w:rPr>
          <w:rFonts w:ascii="Arial" w:hAnsi="Arial" w:cs="Arial"/>
          <w:sz w:val="24"/>
          <w:szCs w:val="24"/>
        </w:rPr>
        <w:t>Sarvam</w:t>
      </w:r>
      <w:proofErr w:type="spellEnd"/>
      <w:r w:rsidR="00115F6A" w:rsidRPr="00035371">
        <w:rPr>
          <w:rFonts w:ascii="Arial" w:hAnsi="Arial" w:cs="Arial"/>
          <w:sz w:val="24"/>
          <w:szCs w:val="24"/>
        </w:rPr>
        <w:t xml:space="preserve"> </w:t>
      </w:r>
      <w:proofErr w:type="spellStart"/>
      <w:r w:rsidR="00115F6A" w:rsidRPr="00035371">
        <w:rPr>
          <w:rFonts w:ascii="Arial" w:hAnsi="Arial" w:cs="Arial"/>
          <w:sz w:val="24"/>
          <w:szCs w:val="24"/>
        </w:rPr>
        <w:t>Khalvidam</w:t>
      </w:r>
      <w:proofErr w:type="spellEnd"/>
      <w:r w:rsidR="00115F6A" w:rsidRPr="00035371">
        <w:rPr>
          <w:rFonts w:ascii="Arial" w:hAnsi="Arial" w:cs="Arial"/>
          <w:sz w:val="24"/>
          <w:szCs w:val="24"/>
        </w:rPr>
        <w:t xml:space="preserve"> Brahma," highlighting the divine presence within all aspects of creation, including the human body (</w:t>
      </w:r>
      <w:proofErr w:type="spellStart"/>
      <w:r w:rsidR="00115F6A" w:rsidRPr="00035371">
        <w:rPr>
          <w:rFonts w:ascii="Arial" w:hAnsi="Arial" w:cs="Arial"/>
          <w:sz w:val="24"/>
          <w:szCs w:val="24"/>
        </w:rPr>
        <w:t>Chandogya</w:t>
      </w:r>
      <w:proofErr w:type="spellEnd"/>
      <w:r w:rsidR="00115F6A" w:rsidRPr="00035371">
        <w:rPr>
          <w:rFonts w:ascii="Arial" w:hAnsi="Arial" w:cs="Arial"/>
          <w:sz w:val="24"/>
          <w:szCs w:val="24"/>
        </w:rPr>
        <w:t xml:space="preserve"> Upanishad). By integrating these philosophical ideas into educational frameworks, India seeks to imbue its youth with a profound understanding of self-reliance rooted in ancient wisdom, fostering a culture of holistic development and well-being.</w:t>
      </w:r>
      <w:r w:rsidR="00AA4C4B" w:rsidRPr="00035371">
        <w:rPr>
          <w:rFonts w:ascii="Arial" w:hAnsi="Arial" w:cs="Arial"/>
          <w:sz w:val="24"/>
          <w:szCs w:val="24"/>
        </w:rPr>
        <w:tab/>
      </w:r>
    </w:p>
    <w:p w14:paraId="58AE1D14" w14:textId="5FC1C200" w:rsidR="00AA4C4B" w:rsidRPr="00035371" w:rsidRDefault="008320A2" w:rsidP="00035371">
      <w:pPr>
        <w:pStyle w:val="Title"/>
        <w:ind w:left="0"/>
        <w:jc w:val="both"/>
        <w:rPr>
          <w:rFonts w:ascii="Arial" w:hAnsi="Arial" w:cs="Arial"/>
          <w:sz w:val="24"/>
          <w:szCs w:val="24"/>
        </w:rPr>
      </w:pPr>
      <w:r w:rsidRPr="00035371">
        <w:rPr>
          <w:rFonts w:ascii="Arial" w:hAnsi="Arial" w:cs="Arial"/>
          <w:sz w:val="24"/>
          <w:szCs w:val="24"/>
        </w:rPr>
        <w:tab/>
      </w:r>
      <w:r w:rsidR="00AA4C4B" w:rsidRPr="00035371">
        <w:rPr>
          <w:rFonts w:ascii="Arial" w:hAnsi="Arial" w:cs="Arial"/>
          <w:sz w:val="24"/>
          <w:szCs w:val="24"/>
        </w:rPr>
        <w:t>In the landscape of Indian education, Physical Education (PE) emerges as a vital pillar in the pursuit of self-reliance and holistic well-being. By engaging in a diverse array of physical activities, PE endeavors to not only enhance physical fitness and motor skills but also promote overall health and wellness</w:t>
      </w:r>
      <w:r w:rsidR="009B3FA5" w:rsidRPr="00035371">
        <w:rPr>
          <w:rFonts w:ascii="Arial" w:hAnsi="Arial" w:cs="Arial"/>
          <w:sz w:val="24"/>
          <w:szCs w:val="24"/>
        </w:rPr>
        <w:t xml:space="preserve"> (Tripathi, 2019)</w:t>
      </w:r>
      <w:r w:rsidR="00AA4C4B" w:rsidRPr="00035371">
        <w:rPr>
          <w:rFonts w:ascii="Arial" w:hAnsi="Arial" w:cs="Arial"/>
          <w:sz w:val="24"/>
          <w:szCs w:val="24"/>
        </w:rPr>
        <w:t xml:space="preserve">. This integration of PE into school curricula, spanning from primary to higher education levels, underscores its pivotal role in instilling enduring habits of physical health and self-sufficiency among students. Extensive research reviews affirm the indispensable role of PE participation in achieving positive outcomes across various domains, aligning seamlessly with the overarching goal of self-reliance. Through their investigations, </w:t>
      </w:r>
      <w:r w:rsidR="009B3FA5" w:rsidRPr="00035371">
        <w:rPr>
          <w:rFonts w:ascii="Arial" w:hAnsi="Arial" w:cs="Arial"/>
          <w:sz w:val="24"/>
          <w:szCs w:val="24"/>
        </w:rPr>
        <w:t>(</w:t>
      </w:r>
      <w:r w:rsidR="00AA4C4B" w:rsidRPr="00035371">
        <w:rPr>
          <w:rFonts w:ascii="Arial" w:hAnsi="Arial" w:cs="Arial"/>
          <w:sz w:val="24"/>
          <w:szCs w:val="24"/>
        </w:rPr>
        <w:t>Dobbins et al. 2019) shed light on the impact of school-based physical activity interventions on academic outcomes, highlighting the potential of PE programs to enhance student performance. Similarly, Warburton et al. (2019) emphasized the significant health benefits arising from physical activity, including those stemming from active participation in PE, thus substantiating its role in mitigating chronic diseases and promoting overall well-being.</w:t>
      </w:r>
    </w:p>
    <w:p w14:paraId="2A9E737D" w14:textId="6948F6A0" w:rsidR="00C508C0" w:rsidRPr="00035371" w:rsidRDefault="00C508C0" w:rsidP="00035371">
      <w:pPr>
        <w:pStyle w:val="Title"/>
        <w:ind w:left="0"/>
        <w:jc w:val="both"/>
        <w:rPr>
          <w:rFonts w:ascii="Arial" w:hAnsi="Arial" w:cs="Arial"/>
          <w:sz w:val="24"/>
          <w:szCs w:val="24"/>
        </w:rPr>
      </w:pPr>
      <w:r w:rsidRPr="00035371">
        <w:rPr>
          <w:rFonts w:ascii="Arial" w:hAnsi="Arial" w:cs="Arial"/>
          <w:sz w:val="24"/>
          <w:szCs w:val="24"/>
        </w:rPr>
        <w:tab/>
      </w:r>
      <w:r w:rsidR="00B71338" w:rsidRPr="00035371">
        <w:rPr>
          <w:rFonts w:ascii="Arial" w:hAnsi="Arial" w:cs="Arial"/>
          <w:sz w:val="24"/>
          <w:szCs w:val="24"/>
        </w:rPr>
        <w:t xml:space="preserve">Bailey et al. (2018) emphasized the broader impacts of physical activity, particularly through school-based PE programs, revealing positive effects on self-esteem, social bonds, and emotional resilience among children and adolescents. These findings underscore the holistic benefits of PE, extending beyond physical health to encompass mental well-being, social skills, and academic achievements. In </w:t>
      </w:r>
      <w:r w:rsidR="00B71338" w:rsidRPr="00035371">
        <w:rPr>
          <w:rFonts w:ascii="Arial" w:hAnsi="Arial" w:cs="Arial"/>
          <w:sz w:val="24"/>
          <w:szCs w:val="24"/>
        </w:rPr>
        <w:lastRenderedPageBreak/>
        <w:t>the context of promoting physical activity for self-reliance in India, PE plays a pivotal role in fostering holistic development and well-being</w:t>
      </w:r>
      <w:r w:rsidR="009B3FA5" w:rsidRPr="00035371">
        <w:rPr>
          <w:rFonts w:ascii="Arial" w:hAnsi="Arial" w:cs="Arial"/>
          <w:sz w:val="24"/>
          <w:szCs w:val="24"/>
        </w:rPr>
        <w:t xml:space="preserve"> (Tripathi, 2022)</w:t>
      </w:r>
      <w:r w:rsidR="00B71338" w:rsidRPr="00035371">
        <w:rPr>
          <w:rFonts w:ascii="Arial" w:hAnsi="Arial" w:cs="Arial"/>
          <w:sz w:val="24"/>
          <w:szCs w:val="24"/>
        </w:rPr>
        <w:t>. By integrating scientific insights with engaging methodologies, PE contributes to a healthier, more self-sufficient nation, enriching the educational experience and shaping future generations.</w:t>
      </w:r>
    </w:p>
    <w:p w14:paraId="1BC1597B" w14:textId="451759C7" w:rsidR="005B6AE5" w:rsidRPr="00035371" w:rsidRDefault="009F50F9" w:rsidP="00035371">
      <w:pPr>
        <w:pStyle w:val="Title"/>
        <w:ind w:left="0"/>
        <w:jc w:val="both"/>
        <w:rPr>
          <w:rFonts w:ascii="Arial" w:hAnsi="Arial" w:cs="Arial"/>
          <w:b/>
          <w:bCs/>
          <w:sz w:val="24"/>
          <w:szCs w:val="24"/>
        </w:rPr>
      </w:pPr>
      <w:r w:rsidRPr="00035371">
        <w:rPr>
          <w:rFonts w:ascii="Arial" w:hAnsi="Arial" w:cs="Arial"/>
          <w:b/>
          <w:bCs/>
          <w:sz w:val="24"/>
          <w:szCs w:val="24"/>
        </w:rPr>
        <w:t>PHYSICAL ACTIVITY FOR MENTAL AND PHYSICAL WELL-BEING</w:t>
      </w:r>
    </w:p>
    <w:p w14:paraId="639279B4" w14:textId="10C5CA31" w:rsidR="005B6AE5" w:rsidRPr="00035371" w:rsidRDefault="00C239BC" w:rsidP="00035371">
      <w:pPr>
        <w:pStyle w:val="Title"/>
        <w:ind w:left="0"/>
        <w:jc w:val="both"/>
        <w:rPr>
          <w:rFonts w:ascii="Arial" w:hAnsi="Arial" w:cs="Arial"/>
          <w:sz w:val="24"/>
          <w:szCs w:val="24"/>
        </w:rPr>
      </w:pPr>
      <w:r w:rsidRPr="00035371">
        <w:rPr>
          <w:rFonts w:ascii="Arial" w:hAnsi="Arial" w:cs="Arial"/>
          <w:sz w:val="24"/>
          <w:szCs w:val="24"/>
        </w:rPr>
        <w:tab/>
      </w:r>
      <w:r w:rsidR="006B31E3" w:rsidRPr="00035371">
        <w:rPr>
          <w:rFonts w:ascii="Arial" w:hAnsi="Arial" w:cs="Arial"/>
          <w:sz w:val="24"/>
          <w:szCs w:val="24"/>
        </w:rPr>
        <w:t xml:space="preserve">Physical activity has long been acknowledged as a pivotal factor in maintaining overall well-being, with mounting evidence suggesting its profound impact on both physical and mental health. Research spanning various disciplines has consistently demonstrated a robust association between regular physical activity and enhanced mental well-being (Peluso &amp; de Andrade, 2005; Salmon, 2001; Craft &amp; Perna, 2004; Stathopoulou et al., 2006). This association underscores the importance of physical activity as a modifiable lifestyle factor that can positively influence mental health outcomes. The literature extensively explores the diverse forms of physical activity and their specific effects on mental health. Aerobic exercises, such as walking, running, and cycling, have been linked to improvements in mood, reduced symptoms of depression, and enhanced stress resilience (Ross &amp; Thomas, 2010; Salmon, 2001). Similarly, resistance training, including weightlifting and bodyweight exercises, has shown promise in reducing anxiety levels and promoting a sense of well-being (Gordon et al., 2017; Strickland &amp; Smith, 2014). Moreover, mind-body practices like yoga and mindfulness-based interventions have gained recognition for their significant positive impact on mental health, with studies indicating reductions in anxiety and depression symptoms (Cramer et al., 2013; Hofmann et al., 2010; Khoury et al., 2013). </w:t>
      </w:r>
    </w:p>
    <w:p w14:paraId="0553ED2C" w14:textId="40BF8222" w:rsidR="006B31E3" w:rsidRPr="00035371" w:rsidRDefault="006B31E3" w:rsidP="00035371">
      <w:pPr>
        <w:pStyle w:val="Title"/>
        <w:ind w:left="0"/>
        <w:jc w:val="both"/>
        <w:rPr>
          <w:rFonts w:ascii="Arial" w:hAnsi="Arial" w:cs="Arial"/>
          <w:sz w:val="24"/>
          <w:szCs w:val="24"/>
        </w:rPr>
      </w:pPr>
      <w:r w:rsidRPr="00035371">
        <w:rPr>
          <w:rFonts w:ascii="Arial" w:hAnsi="Arial" w:cs="Arial"/>
          <w:sz w:val="24"/>
          <w:szCs w:val="24"/>
        </w:rPr>
        <w:t xml:space="preserve">Understanding the mechanisms underlying the relationship between </w:t>
      </w:r>
      <w:r w:rsidR="009B3FA5" w:rsidRPr="00035371">
        <w:rPr>
          <w:rFonts w:ascii="Arial" w:hAnsi="Arial" w:cs="Arial"/>
          <w:sz w:val="24"/>
          <w:szCs w:val="24"/>
        </w:rPr>
        <w:t xml:space="preserve">physical activities, yogic practices </w:t>
      </w:r>
      <w:r w:rsidRPr="00035371">
        <w:rPr>
          <w:rFonts w:ascii="Arial" w:hAnsi="Arial" w:cs="Arial"/>
          <w:sz w:val="24"/>
          <w:szCs w:val="24"/>
        </w:rPr>
        <w:t>and mental health is crucial for developing effective interventions</w:t>
      </w:r>
      <w:r w:rsidR="009B3FA5" w:rsidRPr="00035371">
        <w:rPr>
          <w:rFonts w:ascii="Arial" w:hAnsi="Arial" w:cs="Arial"/>
          <w:sz w:val="24"/>
          <w:szCs w:val="24"/>
        </w:rPr>
        <w:t xml:space="preserve"> (Tripathi, 2022)</w:t>
      </w:r>
      <w:r w:rsidRPr="00035371">
        <w:rPr>
          <w:rFonts w:ascii="Arial" w:hAnsi="Arial" w:cs="Arial"/>
          <w:sz w:val="24"/>
          <w:szCs w:val="24"/>
        </w:rPr>
        <w:t>. Physical activity is believed to exert its beneficial effects through various pathways, including the release of endorphins, neurotransmitter modulation, and neurogenesis, which collectively contribute to improved mood and cognitive function (Salmon, 2001; Stathopoulou et al., 2006). Additionally, engaging in physical activity often fosters social connections and a sense of achievement, further bolstering psychological well-being.</w:t>
      </w:r>
    </w:p>
    <w:p w14:paraId="7FBE7158" w14:textId="198A38D5" w:rsidR="00165576" w:rsidRPr="00035371" w:rsidRDefault="009F50F9" w:rsidP="00035371">
      <w:pPr>
        <w:pStyle w:val="Title"/>
        <w:ind w:left="0"/>
        <w:jc w:val="both"/>
        <w:rPr>
          <w:rFonts w:ascii="Arial" w:hAnsi="Arial" w:cs="Arial"/>
          <w:b/>
          <w:bCs/>
          <w:sz w:val="24"/>
          <w:szCs w:val="24"/>
        </w:rPr>
      </w:pPr>
      <w:r w:rsidRPr="00035371">
        <w:rPr>
          <w:rFonts w:ascii="Arial" w:hAnsi="Arial" w:cs="Arial"/>
          <w:b/>
          <w:bCs/>
          <w:sz w:val="24"/>
          <w:szCs w:val="24"/>
        </w:rPr>
        <w:t>BENEFITS OF REGULAR EXERCISE FOR HEALTH</w:t>
      </w:r>
    </w:p>
    <w:p w14:paraId="0B30A094" w14:textId="1296DD96" w:rsidR="001154DA" w:rsidRPr="00035371" w:rsidRDefault="00035371" w:rsidP="00035371">
      <w:pPr>
        <w:jc w:val="both"/>
        <w:rPr>
          <w:rFonts w:ascii="Arial" w:hAnsi="Arial" w:cs="Arial"/>
          <w:sz w:val="24"/>
          <w:szCs w:val="24"/>
        </w:rPr>
      </w:pPr>
      <w:r>
        <w:rPr>
          <w:rFonts w:ascii="Arial" w:hAnsi="Arial" w:cs="Arial"/>
          <w:sz w:val="24"/>
          <w:szCs w:val="24"/>
        </w:rPr>
        <w:tab/>
      </w:r>
      <w:r w:rsidR="005811A1" w:rsidRPr="00035371">
        <w:rPr>
          <w:rFonts w:ascii="Arial" w:hAnsi="Arial" w:cs="Arial"/>
          <w:sz w:val="24"/>
          <w:szCs w:val="24"/>
        </w:rPr>
        <w:t xml:space="preserve">Youth engaging in regular physical activities not only experience higher life satisfaction but also exhibit fewer psychological problems, highlighting the dual benefits of physical activity for mental well-being (Tripathi, Singh, Vyas &amp; Faridi, 2022). Scientific evidence robustly supports the benefits of regular exercise across various dimensions of health. The American Heart Association (2020) underscores the enhancement of quality of life through physical activity, while Warburton et al. (2006) emphasize its positive impact on cardiovascular health. </w:t>
      </w:r>
      <w:proofErr w:type="spellStart"/>
      <w:r w:rsidR="005811A1" w:rsidRPr="00035371">
        <w:rPr>
          <w:rFonts w:ascii="Arial" w:hAnsi="Arial" w:cs="Arial"/>
          <w:sz w:val="24"/>
          <w:szCs w:val="24"/>
        </w:rPr>
        <w:t>Jakicic</w:t>
      </w:r>
      <w:proofErr w:type="spellEnd"/>
      <w:r w:rsidR="005811A1" w:rsidRPr="00035371">
        <w:rPr>
          <w:rFonts w:ascii="Arial" w:hAnsi="Arial" w:cs="Arial"/>
          <w:sz w:val="24"/>
          <w:szCs w:val="24"/>
        </w:rPr>
        <w:t xml:space="preserve"> et al. (2009) demonstrate the effects of exercise on glycemic control in individuals with type 2 diabetes, and the American College of Sports Medicine (2020) provides guidelines for exercise testing and prescription, emphasizing its role in enhancing muscle strength and flexibility. Additionally, the National Osteoporosis Foundation (2020) stresses exercise's importance in maintaining bone health. </w:t>
      </w:r>
      <w:r w:rsidR="000A5481" w:rsidRPr="00035371">
        <w:rPr>
          <w:rFonts w:ascii="Arial" w:hAnsi="Arial" w:cs="Arial"/>
          <w:sz w:val="24"/>
          <w:szCs w:val="24"/>
        </w:rPr>
        <w:t>(</w:t>
      </w:r>
      <w:r w:rsidR="005811A1" w:rsidRPr="00035371">
        <w:rPr>
          <w:rFonts w:ascii="Arial" w:hAnsi="Arial" w:cs="Arial"/>
          <w:sz w:val="24"/>
          <w:szCs w:val="24"/>
        </w:rPr>
        <w:t>Tripathi</w:t>
      </w:r>
      <w:r w:rsidR="000A5481" w:rsidRPr="00035371">
        <w:rPr>
          <w:rFonts w:ascii="Arial" w:hAnsi="Arial" w:cs="Arial"/>
          <w:sz w:val="24"/>
          <w:szCs w:val="24"/>
        </w:rPr>
        <w:t xml:space="preserve">, </w:t>
      </w:r>
      <w:r w:rsidR="005811A1" w:rsidRPr="00035371">
        <w:rPr>
          <w:rFonts w:ascii="Arial" w:hAnsi="Arial" w:cs="Arial"/>
          <w:sz w:val="24"/>
          <w:szCs w:val="24"/>
        </w:rPr>
        <w:t>2023</w:t>
      </w:r>
      <w:r w:rsidR="000A5481" w:rsidRPr="00035371">
        <w:rPr>
          <w:rFonts w:ascii="Arial" w:hAnsi="Arial" w:cs="Arial"/>
          <w:sz w:val="24"/>
          <w:szCs w:val="24"/>
        </w:rPr>
        <w:t xml:space="preserve"> &amp; </w:t>
      </w:r>
      <w:r w:rsidR="005811A1" w:rsidRPr="00035371">
        <w:rPr>
          <w:rFonts w:ascii="Arial" w:hAnsi="Arial" w:cs="Arial"/>
          <w:sz w:val="24"/>
          <w:szCs w:val="24"/>
        </w:rPr>
        <w:t>Craft and Perna</w:t>
      </w:r>
      <w:r w:rsidR="000A5481" w:rsidRPr="00035371">
        <w:rPr>
          <w:rFonts w:ascii="Arial" w:hAnsi="Arial" w:cs="Arial"/>
          <w:sz w:val="24"/>
          <w:szCs w:val="24"/>
        </w:rPr>
        <w:t>,</w:t>
      </w:r>
      <w:r w:rsidR="005811A1" w:rsidRPr="00035371">
        <w:rPr>
          <w:rFonts w:ascii="Arial" w:hAnsi="Arial" w:cs="Arial"/>
          <w:sz w:val="24"/>
          <w:szCs w:val="24"/>
        </w:rPr>
        <w:t xml:space="preserve"> 2004) discuss its benefits for clinically depressed individuals, while Harvard Health Publishing (2018) elucidates its effects on brain function and mental health. The National Sleep Foundation (2020) highlights the link between exercise and improved sleep quality, while Tripathi (2021) and Campbell and Turner (2018) underscore its positive impact on immune function. Puetz et al. (2006) demonstrate the effects of chronic exercise on feelings of energy and fatigue, while Kramer et al. (1999) and </w:t>
      </w:r>
      <w:r w:rsidR="005811A1" w:rsidRPr="00035371">
        <w:rPr>
          <w:rFonts w:ascii="Arial" w:hAnsi="Arial" w:cs="Arial"/>
          <w:sz w:val="24"/>
          <w:szCs w:val="24"/>
        </w:rPr>
        <w:lastRenderedPageBreak/>
        <w:t>Erickson et al. (2011) discuss its relationship with cognitive function. Cruwys et al. (2013) highlight the importance of social group memberships in protecting against depression, and Moore et al. (2012) underscore the association between leisure</w:t>
      </w:r>
      <w:r w:rsidR="00485926" w:rsidRPr="00035371">
        <w:rPr>
          <w:rFonts w:ascii="Arial" w:hAnsi="Arial" w:cs="Arial"/>
          <w:sz w:val="24"/>
          <w:szCs w:val="24"/>
        </w:rPr>
        <w:t>-</w:t>
      </w:r>
      <w:r w:rsidR="005811A1" w:rsidRPr="00035371">
        <w:rPr>
          <w:rFonts w:ascii="Arial" w:hAnsi="Arial" w:cs="Arial"/>
          <w:sz w:val="24"/>
          <w:szCs w:val="24"/>
        </w:rPr>
        <w:t xml:space="preserve">time physical activity and longevity. </w:t>
      </w:r>
    </w:p>
    <w:p w14:paraId="34666709" w14:textId="282C2A70" w:rsidR="001154DA" w:rsidRPr="00035371" w:rsidRDefault="009F50F9" w:rsidP="00035371">
      <w:pPr>
        <w:jc w:val="both"/>
        <w:rPr>
          <w:rFonts w:ascii="Arial" w:hAnsi="Arial" w:cs="Arial"/>
          <w:sz w:val="24"/>
          <w:szCs w:val="24"/>
        </w:rPr>
      </w:pPr>
      <w:r>
        <w:rPr>
          <w:rFonts w:ascii="Arial" w:hAnsi="Arial" w:cs="Arial"/>
          <w:sz w:val="24"/>
          <w:szCs w:val="24"/>
        </w:rPr>
        <w:tab/>
      </w:r>
      <w:r w:rsidR="005811A1" w:rsidRPr="00035371">
        <w:rPr>
          <w:rFonts w:ascii="Arial" w:hAnsi="Arial" w:cs="Arial"/>
          <w:sz w:val="24"/>
          <w:szCs w:val="24"/>
        </w:rPr>
        <w:t>Finally, Sonstroem and Morgan (1989) emphasize the role of exercise in improving self-esteem and body image. These references collectively provide robust support for the multifaceted benefits of regular exercise on both physical and mental health.</w:t>
      </w:r>
      <w:r w:rsidR="001154DA" w:rsidRPr="00035371">
        <w:rPr>
          <w:rFonts w:ascii="Arial" w:hAnsi="Arial" w:cs="Arial"/>
          <w:sz w:val="24"/>
          <w:szCs w:val="24"/>
        </w:rPr>
        <w:t xml:space="preserve"> </w:t>
      </w:r>
      <w:r w:rsidR="005811A1" w:rsidRPr="00035371">
        <w:rPr>
          <w:rFonts w:ascii="Arial" w:hAnsi="Arial" w:cs="Arial"/>
          <w:sz w:val="24"/>
          <w:szCs w:val="24"/>
        </w:rPr>
        <w:t>In India, the existing literature on physical activity promotion underscores its significant impact on health outcomes, encompassing cardiovascular health, mental well-being, and mortality rates (Tripathi, 2019; Anand et al., 2017; Warburton et al., 2019). Regular physical activity consistently links to improved health and a reduced risk of chronic diseases. Furthermore, research examines physical activity promotion's role in fostering self-reliance among individuals and communities in India. Self-reliance, defined as meeting one's needs independently, is vital for sustainable health behaviors (</w:t>
      </w:r>
      <w:proofErr w:type="spellStart"/>
      <w:r w:rsidR="005811A1" w:rsidRPr="00035371">
        <w:rPr>
          <w:rFonts w:ascii="Arial" w:hAnsi="Arial" w:cs="Arial"/>
          <w:sz w:val="24"/>
          <w:szCs w:val="24"/>
        </w:rPr>
        <w:t>Dreze</w:t>
      </w:r>
      <w:proofErr w:type="spellEnd"/>
      <w:r w:rsidR="005811A1" w:rsidRPr="00035371">
        <w:rPr>
          <w:rFonts w:ascii="Arial" w:hAnsi="Arial" w:cs="Arial"/>
          <w:sz w:val="24"/>
          <w:szCs w:val="24"/>
        </w:rPr>
        <w:t xml:space="preserve"> &amp; Sen, 1995). Studies explore strategies like community-based interventions, cultural adaptations, and policy initiatives to promote self-reliance in physical activity (</w:t>
      </w:r>
      <w:proofErr w:type="spellStart"/>
      <w:r w:rsidR="005811A1" w:rsidRPr="00035371">
        <w:rPr>
          <w:rFonts w:ascii="Arial" w:hAnsi="Arial" w:cs="Arial"/>
          <w:sz w:val="24"/>
          <w:szCs w:val="24"/>
        </w:rPr>
        <w:t>Labonté</w:t>
      </w:r>
      <w:proofErr w:type="spellEnd"/>
      <w:r w:rsidR="005811A1" w:rsidRPr="00035371">
        <w:rPr>
          <w:rFonts w:ascii="Arial" w:hAnsi="Arial" w:cs="Arial"/>
          <w:sz w:val="24"/>
          <w:szCs w:val="24"/>
        </w:rPr>
        <w:t xml:space="preserve"> et al., 1991). </w:t>
      </w:r>
    </w:p>
    <w:p w14:paraId="4F65BFCB" w14:textId="4164CBE0" w:rsidR="005811A1" w:rsidRPr="00035371" w:rsidRDefault="001154DA" w:rsidP="00035371">
      <w:pPr>
        <w:jc w:val="both"/>
        <w:rPr>
          <w:rFonts w:ascii="Arial" w:hAnsi="Arial" w:cs="Arial"/>
          <w:sz w:val="24"/>
          <w:szCs w:val="24"/>
        </w:rPr>
      </w:pPr>
      <w:r w:rsidRPr="00035371">
        <w:rPr>
          <w:rFonts w:ascii="Arial" w:hAnsi="Arial" w:cs="Arial"/>
          <w:sz w:val="24"/>
          <w:szCs w:val="24"/>
        </w:rPr>
        <w:tab/>
      </w:r>
      <w:r w:rsidR="005811A1" w:rsidRPr="00035371">
        <w:rPr>
          <w:rFonts w:ascii="Arial" w:hAnsi="Arial" w:cs="Arial"/>
          <w:sz w:val="24"/>
          <w:szCs w:val="24"/>
        </w:rPr>
        <w:t>Additionally, research has examined the impact of physical activity promotion on health outcomes among specific population groups in India, including women, children, and marginalized communities (Singh et al., 2017; World Health Organization, 2018). These studies highlight the importance of addressing social determinants of health and promoting equity in physical activity promotion efforts to ensure all individuals have access to opportunities for active living. The concept of self-reliance in promoting physical activity in India encompasses several dimensions, each contributing to a comprehensive approach towards fostering a culture of active living. Through concerted efforts addressing both individual and systemic factors, India can harness the transformative potential of physical activity promotion to enhance the health and well-being of its population. Collectively, these insights underscore the multifaceted benefits of physical activity and the need for comprehensive strategies to promote active living across diverse populations.</w:t>
      </w:r>
    </w:p>
    <w:p w14:paraId="2EED106F" w14:textId="7C9F1B2D" w:rsidR="009963B5" w:rsidRPr="00035371" w:rsidRDefault="009F50F9" w:rsidP="00035371">
      <w:pPr>
        <w:jc w:val="both"/>
        <w:rPr>
          <w:rFonts w:ascii="Arial" w:hAnsi="Arial" w:cs="Arial"/>
          <w:b/>
          <w:bCs/>
          <w:sz w:val="24"/>
          <w:szCs w:val="24"/>
        </w:rPr>
      </w:pPr>
      <w:r w:rsidRPr="00035371">
        <w:rPr>
          <w:rFonts w:ascii="Arial" w:hAnsi="Arial" w:cs="Arial"/>
          <w:b/>
          <w:bCs/>
          <w:sz w:val="24"/>
          <w:szCs w:val="24"/>
        </w:rPr>
        <w:t>INDIGENOUS PERSPECTIVES ON PHYSICAL ACTIVITY IN INDIA</w:t>
      </w:r>
    </w:p>
    <w:p w14:paraId="69DBFA6C" w14:textId="37799190" w:rsidR="001154DA" w:rsidRPr="00035371" w:rsidRDefault="002D3837" w:rsidP="00035371">
      <w:pPr>
        <w:pStyle w:val="Title"/>
        <w:ind w:left="0"/>
        <w:jc w:val="both"/>
        <w:rPr>
          <w:rFonts w:ascii="Arial" w:hAnsi="Arial" w:cs="Arial"/>
          <w:sz w:val="24"/>
          <w:szCs w:val="24"/>
        </w:rPr>
      </w:pPr>
      <w:r w:rsidRPr="00035371">
        <w:rPr>
          <w:rFonts w:ascii="Arial" w:hAnsi="Arial" w:cs="Arial"/>
          <w:sz w:val="24"/>
          <w:szCs w:val="24"/>
        </w:rPr>
        <w:tab/>
      </w:r>
      <w:r w:rsidR="005811A1" w:rsidRPr="00035371">
        <w:rPr>
          <w:rFonts w:ascii="Arial" w:hAnsi="Arial" w:cs="Arial"/>
          <w:sz w:val="24"/>
          <w:szCs w:val="24"/>
        </w:rPr>
        <w:t>Exploring indigenous perspectives and cultural practices related to physical activity within Indian communities offers valuable insights into traditional approaches to health and well-being (Tripathi,</w:t>
      </w:r>
      <w:r w:rsidR="003D23B1">
        <w:rPr>
          <w:rFonts w:ascii="Arial" w:hAnsi="Arial" w:cs="Arial"/>
          <w:sz w:val="24"/>
          <w:szCs w:val="24"/>
        </w:rPr>
        <w:t xml:space="preserve"> 2024 &amp;</w:t>
      </w:r>
      <w:r w:rsidR="005811A1" w:rsidRPr="00035371">
        <w:rPr>
          <w:rFonts w:ascii="Arial" w:hAnsi="Arial" w:cs="Arial"/>
          <w:sz w:val="24"/>
          <w:szCs w:val="24"/>
        </w:rPr>
        <w:t xml:space="preserve"> 2022). These perspectives are deeply rooted in cultural heritage and have been passed down through generations, shaping the ways in which physical activity is understood and practiced in diverse Indian societies (Tripathi &amp; Bano, 2014; Singh &amp; Sharma, 2019). By delving into these indigenous perspectives, we can uncover centuries-old wisdom regarding holistic health practices, often intertwined with spiritual and communal values. Encouraging individuals and communities to take ownership of their health by promoting physical activity as a means of self-care and well-being empowers them not only physically but also fosters a sense of agency and autonomy in managing their overall health. This empowerment aligns with the World Health Organization's (2020) vision of health promotion as a fundamental human right, emphasizing the importance of individuals being active participants in their own well-being journey. Moreover, leveraging existing resources and cultural practices to facilitate physical activity promotion promotes self-reliance and sustainability through efficient resource utilization, thereby strengthening community resilience and fostering long-term health outcomes (Tripathi,</w:t>
      </w:r>
      <w:r w:rsidR="003D23B1">
        <w:rPr>
          <w:rFonts w:ascii="Arial" w:hAnsi="Arial" w:cs="Arial"/>
          <w:sz w:val="24"/>
          <w:szCs w:val="24"/>
        </w:rPr>
        <w:t xml:space="preserve"> 2024 &amp;</w:t>
      </w:r>
      <w:r w:rsidR="005811A1" w:rsidRPr="00035371">
        <w:rPr>
          <w:rFonts w:ascii="Arial" w:hAnsi="Arial" w:cs="Arial"/>
          <w:sz w:val="24"/>
          <w:szCs w:val="24"/>
        </w:rPr>
        <w:t xml:space="preserve"> 2019; Giles-Corti et al., 2019). </w:t>
      </w:r>
    </w:p>
    <w:p w14:paraId="6830EF05" w14:textId="3722E27E" w:rsidR="005811A1" w:rsidRPr="00035371" w:rsidRDefault="001154DA" w:rsidP="00035371">
      <w:pPr>
        <w:pStyle w:val="Title"/>
        <w:ind w:left="0"/>
        <w:jc w:val="both"/>
        <w:rPr>
          <w:rFonts w:ascii="Arial" w:hAnsi="Arial" w:cs="Arial"/>
          <w:sz w:val="24"/>
          <w:szCs w:val="24"/>
        </w:rPr>
      </w:pPr>
      <w:r w:rsidRPr="00035371">
        <w:rPr>
          <w:rFonts w:ascii="Arial" w:hAnsi="Arial" w:cs="Arial"/>
          <w:sz w:val="24"/>
          <w:szCs w:val="24"/>
        </w:rPr>
        <w:tab/>
      </w:r>
      <w:r w:rsidR="005811A1" w:rsidRPr="00035371">
        <w:rPr>
          <w:rFonts w:ascii="Arial" w:hAnsi="Arial" w:cs="Arial"/>
          <w:sz w:val="24"/>
          <w:szCs w:val="24"/>
        </w:rPr>
        <w:t xml:space="preserve">By nurturing community-driven initiatives and partnerships to create supportive </w:t>
      </w:r>
      <w:r w:rsidR="005811A1" w:rsidRPr="00035371">
        <w:rPr>
          <w:rFonts w:ascii="Arial" w:hAnsi="Arial" w:cs="Arial"/>
          <w:sz w:val="24"/>
          <w:szCs w:val="24"/>
        </w:rPr>
        <w:lastRenderedPageBreak/>
        <w:t xml:space="preserve">environments for physical activity, we emphasize collective responsibility and self-reliance, laying the groundwork for inclusive and equitable health promotion efforts (Tripathi, 2021; Sallis et al., 2016). Additionally, recognizing and integrating indigenous perspectives and cultural practices related to physical activity not only promote self-reliance but also serve as a means of preserving cultural heritage through cultural relevance. This integration honors the rich tapestry of traditions and wisdom passed down through generations, reinforcing the interconnectedness of cultural identity and health practices (Tripathi, </w:t>
      </w:r>
      <w:proofErr w:type="spellStart"/>
      <w:r w:rsidR="005811A1" w:rsidRPr="00035371">
        <w:rPr>
          <w:rFonts w:ascii="Arial" w:hAnsi="Arial" w:cs="Arial"/>
          <w:sz w:val="24"/>
          <w:szCs w:val="24"/>
        </w:rPr>
        <w:t>Naushi</w:t>
      </w:r>
      <w:proofErr w:type="spellEnd"/>
      <w:r w:rsidR="005811A1" w:rsidRPr="00035371">
        <w:rPr>
          <w:rFonts w:ascii="Arial" w:hAnsi="Arial" w:cs="Arial"/>
          <w:sz w:val="24"/>
          <w:szCs w:val="24"/>
        </w:rPr>
        <w:t xml:space="preserve"> &amp; </w:t>
      </w:r>
      <w:proofErr w:type="spellStart"/>
      <w:r w:rsidR="005811A1" w:rsidRPr="00035371">
        <w:rPr>
          <w:rFonts w:ascii="Arial" w:hAnsi="Arial" w:cs="Arial"/>
          <w:sz w:val="24"/>
          <w:szCs w:val="24"/>
        </w:rPr>
        <w:t>Bano</w:t>
      </w:r>
      <w:proofErr w:type="spellEnd"/>
      <w:r w:rsidR="005811A1" w:rsidRPr="00035371">
        <w:rPr>
          <w:rFonts w:ascii="Arial" w:hAnsi="Arial" w:cs="Arial"/>
          <w:sz w:val="24"/>
          <w:szCs w:val="24"/>
        </w:rPr>
        <w:t>, 2023; Schuch et al., 2021). As we continue to navigate modern health challenges, incorporating indigenous knowledge systems and cultural practices into physical activity promotion efforts can lead to more holistic and sustainable approaches that resonate deeply with diverse communities across India.</w:t>
      </w:r>
    </w:p>
    <w:p w14:paraId="6F800925" w14:textId="3BF1E946" w:rsidR="000A5481" w:rsidRPr="00035371" w:rsidRDefault="009F50F9" w:rsidP="00035371">
      <w:pPr>
        <w:pStyle w:val="Title"/>
        <w:ind w:left="0"/>
        <w:jc w:val="both"/>
        <w:rPr>
          <w:rFonts w:ascii="Arial" w:hAnsi="Arial" w:cs="Arial"/>
          <w:sz w:val="24"/>
          <w:szCs w:val="24"/>
        </w:rPr>
      </w:pPr>
      <w:r w:rsidRPr="00035371">
        <w:rPr>
          <w:rFonts w:ascii="Arial" w:hAnsi="Arial" w:cs="Arial"/>
          <w:b/>
          <w:bCs/>
          <w:sz w:val="24"/>
          <w:szCs w:val="24"/>
        </w:rPr>
        <w:t>YOGA:</w:t>
      </w:r>
      <w:r w:rsidRPr="00035371">
        <w:rPr>
          <w:rFonts w:ascii="Arial" w:hAnsi="Arial" w:cs="Arial"/>
          <w:sz w:val="24"/>
          <w:szCs w:val="24"/>
        </w:rPr>
        <w:t xml:space="preserve"> </w:t>
      </w:r>
      <w:r w:rsidR="000A5481" w:rsidRPr="00035371">
        <w:rPr>
          <w:rFonts w:ascii="Arial" w:hAnsi="Arial" w:cs="Arial"/>
          <w:sz w:val="24"/>
          <w:szCs w:val="24"/>
        </w:rPr>
        <w:t>Patanjali, revered as the "father of yoga," is attributed to the compilation and systematization of yoga principles and practices. His seminal work, the Yoga Sutras, stands as a cornerstone of classical yoga philosophy, offering a comprehensive guide to spiritual development and self-realization. Comprised of 196 aphorisms, the Yoga Sutras provide profound insights into various aspects of yoga, including ethical conduct, meditation, concentration, and the attainment of liberation (samadhi). Through Patanjali's teachings, individuals embark on a transformative journey towards inner peace, spiritual growth, and liberation from suffering, as elucidated in the timeless wisdom of the Yoga Sutras (Telles &amp; Dash, 2004).</w:t>
      </w:r>
    </w:p>
    <w:p w14:paraId="7AB3B3C0" w14:textId="6F264E70" w:rsidR="009963B5" w:rsidRPr="00035371" w:rsidRDefault="009F50F9" w:rsidP="00035371">
      <w:pPr>
        <w:pStyle w:val="Title"/>
        <w:ind w:left="0"/>
        <w:jc w:val="both"/>
        <w:rPr>
          <w:rFonts w:ascii="Arial" w:hAnsi="Arial" w:cs="Arial"/>
          <w:sz w:val="24"/>
          <w:szCs w:val="24"/>
        </w:rPr>
      </w:pPr>
      <w:r w:rsidRPr="00035371">
        <w:rPr>
          <w:rFonts w:ascii="Arial" w:hAnsi="Arial" w:cs="Arial"/>
          <w:b/>
          <w:bCs/>
          <w:sz w:val="24"/>
          <w:szCs w:val="24"/>
        </w:rPr>
        <w:t>TRADITIONAL DANCE FORMS:</w:t>
      </w:r>
      <w:r w:rsidRPr="00035371">
        <w:rPr>
          <w:rFonts w:ascii="Arial" w:hAnsi="Arial" w:cs="Arial"/>
          <w:sz w:val="24"/>
          <w:szCs w:val="24"/>
        </w:rPr>
        <w:t xml:space="preserve"> </w:t>
      </w:r>
      <w:r w:rsidR="000A5481" w:rsidRPr="00035371">
        <w:rPr>
          <w:rFonts w:ascii="Arial" w:hAnsi="Arial" w:cs="Arial"/>
          <w:sz w:val="24"/>
          <w:szCs w:val="24"/>
        </w:rPr>
        <w:t>India's traditional dance forms, such as Bharatanatyam, Kathak, Odissi, and Kuchipudi, are not just artistic expressions but also promote physical fitness. Through their intricate movements and rhythmic footwork, these dances enhance flexibility, coordination, and cardiovascular health. Practitioners engage in a full-body workout, improving strength, endurance, and spatial awareness. Beyond their cultural significance, these dance forms serve as holistic exercises, highlighting the fusion of artistry, physical well-being, and cultural heritage (Shukla, 2016).</w:t>
      </w:r>
    </w:p>
    <w:p w14:paraId="5BA2FA6C" w14:textId="52148668" w:rsidR="000A5481" w:rsidRPr="00035371" w:rsidRDefault="009F50F9" w:rsidP="00035371">
      <w:pPr>
        <w:pStyle w:val="Title"/>
        <w:ind w:left="0"/>
        <w:jc w:val="both"/>
        <w:rPr>
          <w:rFonts w:ascii="Arial" w:hAnsi="Arial" w:cs="Arial"/>
          <w:sz w:val="24"/>
          <w:szCs w:val="24"/>
        </w:rPr>
      </w:pPr>
      <w:r w:rsidRPr="00035371">
        <w:rPr>
          <w:rFonts w:ascii="Arial" w:hAnsi="Arial" w:cs="Arial"/>
          <w:b/>
          <w:bCs/>
          <w:sz w:val="24"/>
          <w:szCs w:val="24"/>
        </w:rPr>
        <w:t>MARTIAL ARTS:</w:t>
      </w:r>
      <w:r w:rsidRPr="00035371">
        <w:rPr>
          <w:rFonts w:ascii="Arial" w:hAnsi="Arial" w:cs="Arial"/>
          <w:sz w:val="24"/>
          <w:szCs w:val="24"/>
        </w:rPr>
        <w:t xml:space="preserve"> </w:t>
      </w:r>
      <w:r>
        <w:rPr>
          <w:rFonts w:ascii="Arial" w:hAnsi="Arial" w:cs="Arial"/>
          <w:sz w:val="24"/>
          <w:szCs w:val="24"/>
        </w:rPr>
        <w:t>I</w:t>
      </w:r>
      <w:r w:rsidR="000A5481" w:rsidRPr="00035371">
        <w:rPr>
          <w:rFonts w:ascii="Arial" w:hAnsi="Arial" w:cs="Arial"/>
          <w:sz w:val="24"/>
          <w:szCs w:val="24"/>
        </w:rPr>
        <w:t xml:space="preserve">ndigenous martial arts such as </w:t>
      </w:r>
      <w:proofErr w:type="spellStart"/>
      <w:r w:rsidR="000A5481" w:rsidRPr="00035371">
        <w:rPr>
          <w:rFonts w:ascii="Arial" w:hAnsi="Arial" w:cs="Arial"/>
          <w:sz w:val="24"/>
          <w:szCs w:val="24"/>
        </w:rPr>
        <w:t>Kalaripayattu</w:t>
      </w:r>
      <w:proofErr w:type="spellEnd"/>
      <w:r w:rsidR="000A5481" w:rsidRPr="00035371">
        <w:rPr>
          <w:rFonts w:ascii="Arial" w:hAnsi="Arial" w:cs="Arial"/>
          <w:sz w:val="24"/>
          <w:szCs w:val="24"/>
        </w:rPr>
        <w:t>, Gatka, and Thang-Ta have a rich heritage spanning centuries in India, offering not just self-defense skills but also holistic development encompassing physical, mental, and spiritual dimensions. These traditions are deeply ingrained within Indian communities, reflecting diverse philosophies and cultural practices (Sethi, 2012).</w:t>
      </w:r>
    </w:p>
    <w:p w14:paraId="3350E810" w14:textId="30215A60" w:rsidR="00316695" w:rsidRPr="00035371" w:rsidRDefault="009F50F9" w:rsidP="00035371">
      <w:pPr>
        <w:pStyle w:val="Title"/>
        <w:ind w:left="0"/>
        <w:jc w:val="both"/>
        <w:rPr>
          <w:rFonts w:ascii="Arial" w:hAnsi="Arial" w:cs="Arial"/>
          <w:sz w:val="24"/>
          <w:szCs w:val="24"/>
        </w:rPr>
      </w:pPr>
      <w:bookmarkStart w:id="1" w:name="_Hlk161516484"/>
      <w:r w:rsidRPr="00035371">
        <w:rPr>
          <w:rFonts w:ascii="Arial" w:hAnsi="Arial" w:cs="Arial"/>
          <w:b/>
          <w:bCs/>
          <w:sz w:val="24"/>
          <w:szCs w:val="24"/>
        </w:rPr>
        <w:t>TRADITIONAL GAMES AND SPORTS:</w:t>
      </w:r>
      <w:r w:rsidRPr="00035371">
        <w:rPr>
          <w:rFonts w:ascii="Arial" w:hAnsi="Arial" w:cs="Arial"/>
          <w:sz w:val="24"/>
          <w:szCs w:val="24"/>
        </w:rPr>
        <w:t xml:space="preserve">  </w:t>
      </w:r>
      <w:r w:rsidR="000A5481" w:rsidRPr="00035371">
        <w:rPr>
          <w:rFonts w:ascii="Arial" w:hAnsi="Arial" w:cs="Arial"/>
          <w:sz w:val="24"/>
          <w:szCs w:val="24"/>
        </w:rPr>
        <w:t xml:space="preserve">India boasts a rich tapestry of traditional martial arts, sports, and games deeply rooted in its diverse cultural heritage. From the ancient martial art of </w:t>
      </w:r>
      <w:proofErr w:type="spellStart"/>
      <w:r w:rsidR="000A5481" w:rsidRPr="00035371">
        <w:rPr>
          <w:rFonts w:ascii="Arial" w:hAnsi="Arial" w:cs="Arial"/>
          <w:sz w:val="24"/>
          <w:szCs w:val="24"/>
        </w:rPr>
        <w:t>Kalaripayattu</w:t>
      </w:r>
      <w:proofErr w:type="spellEnd"/>
      <w:r w:rsidR="000A5481" w:rsidRPr="00035371">
        <w:rPr>
          <w:rFonts w:ascii="Arial" w:hAnsi="Arial" w:cs="Arial"/>
          <w:sz w:val="24"/>
          <w:szCs w:val="24"/>
        </w:rPr>
        <w:t xml:space="preserve"> in Kerala to the staff fencing art of Silambam in Tamil Nadu, and the tribal </w:t>
      </w:r>
      <w:proofErr w:type="spellStart"/>
      <w:r w:rsidR="000A5481" w:rsidRPr="00035371">
        <w:rPr>
          <w:rFonts w:ascii="Arial" w:hAnsi="Arial" w:cs="Arial"/>
          <w:sz w:val="24"/>
          <w:szCs w:val="24"/>
        </w:rPr>
        <w:t>Thoda</w:t>
      </w:r>
      <w:proofErr w:type="spellEnd"/>
      <w:r w:rsidR="000A5481" w:rsidRPr="00035371">
        <w:rPr>
          <w:rFonts w:ascii="Arial" w:hAnsi="Arial" w:cs="Arial"/>
          <w:sz w:val="24"/>
          <w:szCs w:val="24"/>
        </w:rPr>
        <w:t xml:space="preserve"> practiced in Chhattisgarh and Odisha, each form embodies unique techniques and cultural significance. The Sikh martial art of Gatka in Punjab and Manipur's Thang-Ta and Sarit Sarak combine armed and unarmed combat, while Tamil Nadu's </w:t>
      </w:r>
      <w:proofErr w:type="spellStart"/>
      <w:r w:rsidR="000A5481" w:rsidRPr="00035371">
        <w:rPr>
          <w:rFonts w:ascii="Arial" w:hAnsi="Arial" w:cs="Arial"/>
          <w:sz w:val="24"/>
          <w:szCs w:val="24"/>
        </w:rPr>
        <w:t>Kuttu</w:t>
      </w:r>
      <w:proofErr w:type="spellEnd"/>
      <w:r w:rsidR="000A5481" w:rsidRPr="00035371">
        <w:rPr>
          <w:rFonts w:ascii="Arial" w:hAnsi="Arial" w:cs="Arial"/>
          <w:sz w:val="24"/>
          <w:szCs w:val="24"/>
        </w:rPr>
        <w:t xml:space="preserve"> </w:t>
      </w:r>
      <w:proofErr w:type="spellStart"/>
      <w:r w:rsidR="000A5481" w:rsidRPr="00035371">
        <w:rPr>
          <w:rFonts w:ascii="Arial" w:hAnsi="Arial" w:cs="Arial"/>
          <w:sz w:val="24"/>
          <w:szCs w:val="24"/>
        </w:rPr>
        <w:t>Varisai</w:t>
      </w:r>
      <w:proofErr w:type="spellEnd"/>
      <w:r w:rsidR="000A5481" w:rsidRPr="00035371">
        <w:rPr>
          <w:rFonts w:ascii="Arial" w:hAnsi="Arial" w:cs="Arial"/>
          <w:sz w:val="24"/>
          <w:szCs w:val="24"/>
        </w:rPr>
        <w:t xml:space="preserve"> emphasizes animal-inspired movements. Varma Kalai focuses on pressure points and vital spots for combat and healing, while Lezim from Maharashtra blends physical exercise with cultural celebration. Traditional games like Kabaddi, Spinning Top, and Kancha promote physical fitness and strategic thinking, while Hide and Seek, Chase, and Kho-Kho encourage social interaction and agility. </w:t>
      </w:r>
      <w:proofErr w:type="spellStart"/>
      <w:r w:rsidR="000A5481" w:rsidRPr="00035371">
        <w:rPr>
          <w:rFonts w:ascii="Arial" w:hAnsi="Arial" w:cs="Arial"/>
          <w:sz w:val="24"/>
          <w:szCs w:val="24"/>
        </w:rPr>
        <w:t>Mallakhamb</w:t>
      </w:r>
      <w:proofErr w:type="spellEnd"/>
      <w:r w:rsidR="000A5481" w:rsidRPr="00035371">
        <w:rPr>
          <w:rFonts w:ascii="Arial" w:hAnsi="Arial" w:cs="Arial"/>
          <w:sz w:val="24"/>
          <w:szCs w:val="24"/>
        </w:rPr>
        <w:t xml:space="preserve"> showcases traditional gymnastics, while </w:t>
      </w:r>
      <w:proofErr w:type="spellStart"/>
      <w:r w:rsidR="000A5481" w:rsidRPr="00035371">
        <w:rPr>
          <w:rFonts w:ascii="Arial" w:hAnsi="Arial" w:cs="Arial"/>
          <w:sz w:val="24"/>
          <w:szCs w:val="24"/>
        </w:rPr>
        <w:t>Kushti</w:t>
      </w:r>
      <w:proofErr w:type="spellEnd"/>
      <w:r w:rsidR="000A5481" w:rsidRPr="00035371">
        <w:rPr>
          <w:rFonts w:ascii="Arial" w:hAnsi="Arial" w:cs="Arial"/>
          <w:sz w:val="24"/>
          <w:szCs w:val="24"/>
        </w:rPr>
        <w:t xml:space="preserve"> embodies the discipline of Indian wrestling. Hopscotch, </w:t>
      </w:r>
      <w:proofErr w:type="spellStart"/>
      <w:r w:rsidR="000A5481" w:rsidRPr="00035371">
        <w:rPr>
          <w:rFonts w:ascii="Arial" w:hAnsi="Arial" w:cs="Arial"/>
          <w:sz w:val="24"/>
          <w:szCs w:val="24"/>
        </w:rPr>
        <w:t>Gilli</w:t>
      </w:r>
      <w:proofErr w:type="spellEnd"/>
      <w:r w:rsidR="000A5481" w:rsidRPr="00035371">
        <w:rPr>
          <w:rFonts w:ascii="Arial" w:hAnsi="Arial" w:cs="Arial"/>
          <w:sz w:val="24"/>
          <w:szCs w:val="24"/>
        </w:rPr>
        <w:t xml:space="preserve"> </w:t>
      </w:r>
      <w:proofErr w:type="spellStart"/>
      <w:r w:rsidR="000A5481" w:rsidRPr="00035371">
        <w:rPr>
          <w:rFonts w:ascii="Arial" w:hAnsi="Arial" w:cs="Arial"/>
          <w:sz w:val="24"/>
          <w:szCs w:val="24"/>
        </w:rPr>
        <w:t>Danda</w:t>
      </w:r>
      <w:proofErr w:type="spellEnd"/>
      <w:r w:rsidR="000A5481" w:rsidRPr="00035371">
        <w:rPr>
          <w:rFonts w:ascii="Arial" w:hAnsi="Arial" w:cs="Arial"/>
          <w:sz w:val="24"/>
          <w:szCs w:val="24"/>
        </w:rPr>
        <w:t xml:space="preserve">, and </w:t>
      </w:r>
      <w:proofErr w:type="spellStart"/>
      <w:r w:rsidR="000A5481" w:rsidRPr="00035371">
        <w:rPr>
          <w:rFonts w:ascii="Arial" w:hAnsi="Arial" w:cs="Arial"/>
          <w:sz w:val="24"/>
          <w:szCs w:val="24"/>
        </w:rPr>
        <w:t>Vallamkali</w:t>
      </w:r>
      <w:proofErr w:type="spellEnd"/>
      <w:r w:rsidR="000A5481" w:rsidRPr="00035371">
        <w:rPr>
          <w:rFonts w:ascii="Arial" w:hAnsi="Arial" w:cs="Arial"/>
          <w:sz w:val="24"/>
          <w:szCs w:val="24"/>
        </w:rPr>
        <w:t xml:space="preserve"> add elements of balance, coordination, and teamwork, while </w:t>
      </w:r>
      <w:proofErr w:type="spellStart"/>
      <w:r w:rsidR="000A5481" w:rsidRPr="00035371">
        <w:rPr>
          <w:rFonts w:ascii="Arial" w:hAnsi="Arial" w:cs="Arial"/>
          <w:sz w:val="24"/>
          <w:szCs w:val="24"/>
        </w:rPr>
        <w:t>Jallikattu</w:t>
      </w:r>
      <w:proofErr w:type="spellEnd"/>
      <w:r w:rsidR="000A5481" w:rsidRPr="00035371">
        <w:rPr>
          <w:rFonts w:ascii="Arial" w:hAnsi="Arial" w:cs="Arial"/>
          <w:sz w:val="24"/>
          <w:szCs w:val="24"/>
        </w:rPr>
        <w:t xml:space="preserve"> highlights cultural heritage and bravery. These traditional activities not only promote physical well-being but also serve as repositories of cultural identity and pride, fostering a sense of community and </w:t>
      </w:r>
      <w:r w:rsidR="000A5481" w:rsidRPr="00035371">
        <w:rPr>
          <w:rFonts w:ascii="Arial" w:hAnsi="Arial" w:cs="Arial"/>
          <w:sz w:val="24"/>
          <w:szCs w:val="24"/>
        </w:rPr>
        <w:lastRenderedPageBreak/>
        <w:t xml:space="preserve">preserving India's rich cultural heritage for future generations to cherish and enjoy. </w:t>
      </w:r>
      <w:r w:rsidR="008F2352" w:rsidRPr="00035371">
        <w:rPr>
          <w:rFonts w:ascii="Arial" w:hAnsi="Arial" w:cs="Arial"/>
          <w:sz w:val="24"/>
          <w:szCs w:val="24"/>
        </w:rPr>
        <w:t>These indigenous physical activities showcase India's cultural diversity and heritage while promoting holistic well-being and community engagement.</w:t>
      </w:r>
    </w:p>
    <w:bookmarkEnd w:id="1"/>
    <w:p w14:paraId="14CAD073" w14:textId="0D3DC3AD" w:rsidR="002607DD" w:rsidRPr="00035371" w:rsidRDefault="009F50F9" w:rsidP="00035371">
      <w:pPr>
        <w:pStyle w:val="Title"/>
        <w:ind w:left="0"/>
        <w:jc w:val="both"/>
        <w:rPr>
          <w:rFonts w:ascii="Arial" w:hAnsi="Arial" w:cs="Arial"/>
          <w:b/>
          <w:bCs/>
          <w:sz w:val="24"/>
          <w:szCs w:val="24"/>
        </w:rPr>
      </w:pPr>
      <w:r w:rsidRPr="00035371">
        <w:rPr>
          <w:rFonts w:ascii="Arial" w:hAnsi="Arial" w:cs="Arial"/>
          <w:b/>
          <w:bCs/>
          <w:sz w:val="24"/>
          <w:szCs w:val="24"/>
        </w:rPr>
        <w:t>AYURVEDA AND INDIGENOUS HEALING PRACTICES</w:t>
      </w:r>
    </w:p>
    <w:p w14:paraId="58DB9917" w14:textId="77777777" w:rsidR="00685AD8" w:rsidRPr="00035371" w:rsidRDefault="00685AD8" w:rsidP="00035371">
      <w:pPr>
        <w:pStyle w:val="Title"/>
        <w:ind w:left="0"/>
        <w:jc w:val="both"/>
        <w:rPr>
          <w:rFonts w:ascii="Arial" w:hAnsi="Arial" w:cs="Arial"/>
          <w:sz w:val="24"/>
          <w:szCs w:val="24"/>
        </w:rPr>
      </w:pPr>
      <w:r w:rsidRPr="00035371">
        <w:rPr>
          <w:rFonts w:ascii="Arial" w:hAnsi="Arial" w:cs="Arial"/>
          <w:sz w:val="24"/>
          <w:szCs w:val="24"/>
        </w:rPr>
        <w:tab/>
        <w:t>Indigenous healing practices in India, notably Ayurveda, epitomize a holistic approach that integrates physical, mental, and spiritual dimensions of health. Ayurveda, deeply entrenched in Indian culture, is a cornerstone of traditional medicine (</w:t>
      </w:r>
      <w:proofErr w:type="spellStart"/>
      <w:r w:rsidRPr="00035371">
        <w:rPr>
          <w:rFonts w:ascii="Arial" w:hAnsi="Arial" w:cs="Arial"/>
          <w:sz w:val="24"/>
          <w:szCs w:val="24"/>
        </w:rPr>
        <w:t>Firenzuoli</w:t>
      </w:r>
      <w:proofErr w:type="spellEnd"/>
      <w:r w:rsidRPr="00035371">
        <w:rPr>
          <w:rFonts w:ascii="Arial" w:hAnsi="Arial" w:cs="Arial"/>
          <w:sz w:val="24"/>
          <w:szCs w:val="24"/>
        </w:rPr>
        <w:t xml:space="preserve"> &amp; Gori, 2007). This system encompasses a diverse range of indigenous healthcare practices rooted in cultural beliefs and experiences, shaping the healthcare landscape in India (Thorsen &amp; Pouliot, 2016). Despite some concerns raised by experts regarding its fundamental concepts and training methods (Singh et al., 2018), Ayurveda remains widely accepted and integrated into state-sponsored healthcare programs, regulated by governmental bodies. There's a discernible trend towards traditional healthcare systems, particularly in developing countries, reflecting a growing preference for personalized care and perceived safety of herbal therapies (Goyal, 2020; Joseph, Divya, &amp; Pillai, 2021). </w:t>
      </w:r>
    </w:p>
    <w:p w14:paraId="62513526" w14:textId="13B21590" w:rsidR="009963B5" w:rsidRPr="00035371" w:rsidRDefault="00685AD8" w:rsidP="00035371">
      <w:pPr>
        <w:pStyle w:val="Title"/>
        <w:ind w:left="0"/>
        <w:jc w:val="both"/>
        <w:rPr>
          <w:rFonts w:ascii="Arial" w:hAnsi="Arial" w:cs="Arial"/>
          <w:sz w:val="24"/>
          <w:szCs w:val="24"/>
        </w:rPr>
      </w:pPr>
      <w:r w:rsidRPr="00035371">
        <w:rPr>
          <w:rFonts w:ascii="Arial" w:hAnsi="Arial" w:cs="Arial"/>
          <w:sz w:val="24"/>
          <w:szCs w:val="24"/>
        </w:rPr>
        <w:tab/>
        <w:t>Ayurveda's enduring popularity is evidenced by the sustained patient turnover in rural dispensaries, private clinics, and medical colleges, indicating continued reliance on its principles and treatments (Singh et al., 2018). The involvement of Ayurvedic physicians in initiatives such as COVID-19 management underscores its relevance in addressing contemporary health challenges (Goyal, 2020; Joseph et al., 2021). Despite modern medical advancements, Ayurveda's holistic approach resonates with individuals seeking comprehensive healthcare solutions. Ayurveda's holistic paradigm, deeply rooted in tradition and cultural heritage, continues to play a significant role in healthcare delivery in India and beyond. Its integration into mainstream healthcare systems and active participation in addressing modern health crises underscore its enduring relevance and efficacy in promoting holistic well-being.</w:t>
      </w:r>
    </w:p>
    <w:p w14:paraId="0C6D09A8" w14:textId="33FBE08B" w:rsidR="008F2352" w:rsidRPr="00035371" w:rsidRDefault="009F50F9" w:rsidP="00035371">
      <w:pPr>
        <w:pStyle w:val="Title"/>
        <w:ind w:left="0"/>
        <w:jc w:val="both"/>
        <w:rPr>
          <w:rFonts w:ascii="Arial" w:hAnsi="Arial" w:cs="Arial"/>
          <w:sz w:val="24"/>
          <w:szCs w:val="24"/>
        </w:rPr>
      </w:pPr>
      <w:r w:rsidRPr="00035371">
        <w:rPr>
          <w:rFonts w:ascii="Arial" w:hAnsi="Arial" w:cs="Arial"/>
          <w:b/>
          <w:bCs/>
          <w:sz w:val="24"/>
          <w:szCs w:val="24"/>
        </w:rPr>
        <w:t>INITIATIVES UNDERTAKEN BY THE INDIAN GOVERNMENT</w:t>
      </w:r>
      <w:r w:rsidRPr="00035371">
        <w:rPr>
          <w:rFonts w:ascii="Arial" w:hAnsi="Arial" w:cs="Arial"/>
          <w:sz w:val="24"/>
          <w:szCs w:val="24"/>
        </w:rPr>
        <w:t xml:space="preserve"> </w:t>
      </w:r>
    </w:p>
    <w:p w14:paraId="7806AC7A" w14:textId="45786E51" w:rsidR="008F2352" w:rsidRPr="00035371" w:rsidRDefault="008F2352" w:rsidP="00035371">
      <w:pPr>
        <w:pStyle w:val="Title"/>
        <w:ind w:left="0"/>
        <w:jc w:val="both"/>
        <w:rPr>
          <w:rFonts w:ascii="Arial" w:hAnsi="Arial" w:cs="Arial"/>
          <w:sz w:val="24"/>
          <w:szCs w:val="24"/>
        </w:rPr>
      </w:pPr>
      <w:r w:rsidRPr="00035371">
        <w:rPr>
          <w:rFonts w:ascii="Arial" w:hAnsi="Arial" w:cs="Arial"/>
          <w:sz w:val="24"/>
          <w:szCs w:val="24"/>
        </w:rPr>
        <w:tab/>
        <w:t xml:space="preserve">Several initiatives and policies have been implemented in India to promote sports, physical fitness, and community service. The National Service Scheme (NSS), established in 1969, focuses on instilling social responsibility and community development among students, incorporating sports and physical fitness activities. The National Sports Policy, introduced in 1984, aims to enhance sports infrastructure, provide training facilities, and support talented athletes nationwide. The Sports Authority of India (SAI), founded in 1982, serves as the apex body for sports development, offering training, coaching, and infrastructure for athletes. The </w:t>
      </w:r>
      <w:proofErr w:type="spellStart"/>
      <w:r w:rsidRPr="00035371">
        <w:rPr>
          <w:rFonts w:ascii="Arial" w:hAnsi="Arial" w:cs="Arial"/>
          <w:sz w:val="24"/>
          <w:szCs w:val="24"/>
        </w:rPr>
        <w:t>Rashtriya</w:t>
      </w:r>
      <w:proofErr w:type="spellEnd"/>
      <w:r w:rsidRPr="00035371">
        <w:rPr>
          <w:rFonts w:ascii="Arial" w:hAnsi="Arial" w:cs="Arial"/>
          <w:sz w:val="24"/>
          <w:szCs w:val="24"/>
        </w:rPr>
        <w:t xml:space="preserve"> Khel </w:t>
      </w:r>
      <w:proofErr w:type="spellStart"/>
      <w:r w:rsidRPr="00035371">
        <w:rPr>
          <w:rFonts w:ascii="Arial" w:hAnsi="Arial" w:cs="Arial"/>
          <w:sz w:val="24"/>
          <w:szCs w:val="24"/>
        </w:rPr>
        <w:t>Protsahan</w:t>
      </w:r>
      <w:proofErr w:type="spellEnd"/>
      <w:r w:rsidRPr="00035371">
        <w:rPr>
          <w:rFonts w:ascii="Arial" w:hAnsi="Arial" w:cs="Arial"/>
          <w:sz w:val="24"/>
          <w:szCs w:val="24"/>
        </w:rPr>
        <w:t xml:space="preserve"> </w:t>
      </w:r>
      <w:proofErr w:type="spellStart"/>
      <w:r w:rsidRPr="00035371">
        <w:rPr>
          <w:rFonts w:ascii="Arial" w:hAnsi="Arial" w:cs="Arial"/>
          <w:sz w:val="24"/>
          <w:szCs w:val="24"/>
        </w:rPr>
        <w:t>Puruskar</w:t>
      </w:r>
      <w:proofErr w:type="spellEnd"/>
      <w:r w:rsidRPr="00035371">
        <w:rPr>
          <w:rFonts w:ascii="Arial" w:hAnsi="Arial" w:cs="Arial"/>
          <w:sz w:val="24"/>
          <w:szCs w:val="24"/>
        </w:rPr>
        <w:t xml:space="preserve">, initiated by the Government of India, recognizes excellence in sports through various awards. The </w:t>
      </w:r>
      <w:proofErr w:type="spellStart"/>
      <w:r w:rsidRPr="00035371">
        <w:rPr>
          <w:rFonts w:ascii="Arial" w:hAnsi="Arial" w:cs="Arial"/>
          <w:sz w:val="24"/>
          <w:szCs w:val="24"/>
        </w:rPr>
        <w:t>Khelo</w:t>
      </w:r>
      <w:proofErr w:type="spellEnd"/>
      <w:r w:rsidRPr="00035371">
        <w:rPr>
          <w:rFonts w:ascii="Arial" w:hAnsi="Arial" w:cs="Arial"/>
          <w:sz w:val="24"/>
          <w:szCs w:val="24"/>
        </w:rPr>
        <w:t xml:space="preserve"> India </w:t>
      </w:r>
      <w:proofErr w:type="spellStart"/>
      <w:r w:rsidRPr="00035371">
        <w:rPr>
          <w:rFonts w:ascii="Arial" w:hAnsi="Arial" w:cs="Arial"/>
          <w:sz w:val="24"/>
          <w:szCs w:val="24"/>
        </w:rPr>
        <w:t>Programme</w:t>
      </w:r>
      <w:proofErr w:type="spellEnd"/>
      <w:r w:rsidRPr="00035371">
        <w:rPr>
          <w:rFonts w:ascii="Arial" w:hAnsi="Arial" w:cs="Arial"/>
          <w:sz w:val="24"/>
          <w:szCs w:val="24"/>
        </w:rPr>
        <w:t xml:space="preserve">, launched in 2018, promotes sports among youth through events like the </w:t>
      </w:r>
      <w:proofErr w:type="spellStart"/>
      <w:r w:rsidRPr="00035371">
        <w:rPr>
          <w:rFonts w:ascii="Arial" w:hAnsi="Arial" w:cs="Arial"/>
          <w:sz w:val="24"/>
          <w:szCs w:val="24"/>
        </w:rPr>
        <w:t>Khelo</w:t>
      </w:r>
      <w:proofErr w:type="spellEnd"/>
      <w:r w:rsidRPr="00035371">
        <w:rPr>
          <w:rFonts w:ascii="Arial" w:hAnsi="Arial" w:cs="Arial"/>
          <w:sz w:val="24"/>
          <w:szCs w:val="24"/>
        </w:rPr>
        <w:t xml:space="preserve"> India Youth Games and School Games. The National Physical Fitness </w:t>
      </w:r>
      <w:proofErr w:type="spellStart"/>
      <w:r w:rsidRPr="00035371">
        <w:rPr>
          <w:rFonts w:ascii="Arial" w:hAnsi="Arial" w:cs="Arial"/>
          <w:sz w:val="24"/>
          <w:szCs w:val="24"/>
        </w:rPr>
        <w:t>Programme</w:t>
      </w:r>
      <w:proofErr w:type="spellEnd"/>
      <w:r w:rsidRPr="00035371">
        <w:rPr>
          <w:rFonts w:ascii="Arial" w:hAnsi="Arial" w:cs="Arial"/>
          <w:sz w:val="24"/>
          <w:szCs w:val="24"/>
        </w:rPr>
        <w:t>, also introduced in 2018, emphasizes physical well-being through fitness assessment camps and yoga events. Additionally, the Fit India Movement, initiated in 2019 by Prime Minister Narendra Modi, encourages individuals of all ages to lead active lifestyles and participate in sports and fitness activities regularly, collectively reflecting the government's commitment to fostering a culture of sports and physical fitness across the nation.</w:t>
      </w:r>
    </w:p>
    <w:p w14:paraId="3E5D80BE" w14:textId="60C640E9" w:rsidR="00CB55C7" w:rsidRPr="00035371" w:rsidRDefault="009F50F9" w:rsidP="00035371">
      <w:pPr>
        <w:pStyle w:val="Title"/>
        <w:ind w:left="0"/>
        <w:jc w:val="both"/>
        <w:rPr>
          <w:rFonts w:ascii="Arial" w:hAnsi="Arial" w:cs="Arial"/>
          <w:b/>
          <w:bCs/>
          <w:sz w:val="24"/>
          <w:szCs w:val="24"/>
        </w:rPr>
      </w:pPr>
      <w:r w:rsidRPr="00035371">
        <w:rPr>
          <w:rFonts w:ascii="Arial" w:hAnsi="Arial" w:cs="Arial"/>
          <w:b/>
          <w:bCs/>
          <w:sz w:val="24"/>
          <w:szCs w:val="24"/>
        </w:rPr>
        <w:t>CHALLENGES IN PHYSICAL EDUCATION PROGRAMS IN INDIA</w:t>
      </w:r>
    </w:p>
    <w:p w14:paraId="2420CC1F" w14:textId="77777777" w:rsidR="00CB55C7" w:rsidRPr="00035371" w:rsidRDefault="00CB55C7" w:rsidP="00035371">
      <w:pPr>
        <w:pStyle w:val="Title"/>
        <w:ind w:left="0"/>
        <w:jc w:val="both"/>
        <w:rPr>
          <w:rFonts w:ascii="Arial" w:hAnsi="Arial" w:cs="Arial"/>
          <w:sz w:val="24"/>
          <w:szCs w:val="24"/>
        </w:rPr>
      </w:pPr>
      <w:r w:rsidRPr="00035371">
        <w:rPr>
          <w:rFonts w:ascii="Arial" w:hAnsi="Arial" w:cs="Arial"/>
          <w:sz w:val="24"/>
          <w:szCs w:val="24"/>
        </w:rPr>
        <w:tab/>
        <w:t>While efforts have been made to promote physical education in India, several challenges persist in implementing effective programs. These challenges arise from a combination of social, economic, and infrastructural factors. Some of the key challenges include,</w:t>
      </w:r>
    </w:p>
    <w:p w14:paraId="2ECBE415" w14:textId="2EEB0586" w:rsidR="001154DA" w:rsidRPr="00035371" w:rsidRDefault="008F2352" w:rsidP="00035371">
      <w:pPr>
        <w:pStyle w:val="Title"/>
        <w:ind w:left="0"/>
        <w:jc w:val="both"/>
        <w:rPr>
          <w:rFonts w:ascii="Arial" w:hAnsi="Arial" w:cs="Arial"/>
          <w:sz w:val="24"/>
          <w:szCs w:val="24"/>
        </w:rPr>
      </w:pPr>
      <w:r w:rsidRPr="00035371">
        <w:rPr>
          <w:rFonts w:ascii="Arial" w:hAnsi="Arial" w:cs="Arial"/>
          <w:b/>
          <w:bCs/>
          <w:i/>
          <w:iCs/>
          <w:sz w:val="24"/>
          <w:szCs w:val="24"/>
        </w:rPr>
        <w:lastRenderedPageBreak/>
        <w:t>Inadequate Infrastructure</w:t>
      </w:r>
      <w:r w:rsidR="001154DA" w:rsidRPr="00035371">
        <w:rPr>
          <w:rFonts w:ascii="Arial" w:hAnsi="Arial" w:cs="Arial"/>
          <w:b/>
          <w:bCs/>
          <w:i/>
          <w:iCs/>
          <w:sz w:val="24"/>
          <w:szCs w:val="24"/>
        </w:rPr>
        <w:t>:</w:t>
      </w:r>
      <w:r w:rsidR="001154DA" w:rsidRPr="00035371">
        <w:rPr>
          <w:rFonts w:ascii="Arial" w:hAnsi="Arial" w:cs="Arial"/>
          <w:i/>
          <w:iCs/>
          <w:sz w:val="24"/>
          <w:szCs w:val="24"/>
        </w:rPr>
        <w:t xml:space="preserve"> </w:t>
      </w:r>
      <w:r w:rsidR="001154DA" w:rsidRPr="00035371">
        <w:rPr>
          <w:rFonts w:ascii="Arial" w:hAnsi="Arial" w:cs="Arial"/>
          <w:sz w:val="24"/>
          <w:szCs w:val="24"/>
        </w:rPr>
        <w:t>The absence of adequate facilities, including playgrounds, sports equipment, and sufficient space, poses a significant obstacle to implementing effective physical education programs in many schools. Without these resources, students are deprived of opportunities to engage in physical activity, hindering their overall health and well-being.</w:t>
      </w:r>
    </w:p>
    <w:p w14:paraId="56D6D06C" w14:textId="77777777" w:rsidR="001154DA" w:rsidRPr="00035371" w:rsidRDefault="008F2352" w:rsidP="00035371">
      <w:pPr>
        <w:pStyle w:val="Title"/>
        <w:ind w:left="0"/>
        <w:jc w:val="both"/>
        <w:rPr>
          <w:rFonts w:ascii="Arial" w:hAnsi="Arial" w:cs="Arial"/>
          <w:sz w:val="24"/>
          <w:szCs w:val="24"/>
        </w:rPr>
      </w:pPr>
      <w:r w:rsidRPr="00035371">
        <w:rPr>
          <w:rFonts w:ascii="Arial" w:hAnsi="Arial" w:cs="Arial"/>
          <w:b/>
          <w:bCs/>
          <w:i/>
          <w:iCs/>
          <w:sz w:val="24"/>
          <w:szCs w:val="24"/>
        </w:rPr>
        <w:t>Shortage of Qualified Instructors:</w:t>
      </w:r>
      <w:r w:rsidRPr="00035371">
        <w:rPr>
          <w:rFonts w:ascii="Arial" w:hAnsi="Arial" w:cs="Arial"/>
          <w:i/>
          <w:iCs/>
          <w:sz w:val="24"/>
          <w:szCs w:val="24"/>
        </w:rPr>
        <w:t xml:space="preserve"> </w:t>
      </w:r>
      <w:r w:rsidR="001154DA" w:rsidRPr="00035371">
        <w:rPr>
          <w:rFonts w:ascii="Arial" w:hAnsi="Arial" w:cs="Arial"/>
          <w:sz w:val="24"/>
          <w:szCs w:val="24"/>
        </w:rPr>
        <w:t xml:space="preserve">The shortage of trained physical education instructors adversely impacts the quality of program delivery and the ability to tailor programs to meet students' needs effectively. Without sufficient expertise, instructors may struggle to design and implement engaging and beneficial physical education activities that cater to diverse student abilities and interests. This scarcity hampers efforts to promote physical fitness, skill development, and overall well-being among students. </w:t>
      </w:r>
    </w:p>
    <w:p w14:paraId="4ABD5C81" w14:textId="77777777" w:rsidR="001154DA" w:rsidRPr="00035371" w:rsidRDefault="008F2352" w:rsidP="00035371">
      <w:pPr>
        <w:pStyle w:val="Title"/>
        <w:ind w:left="0"/>
        <w:jc w:val="both"/>
        <w:rPr>
          <w:rFonts w:ascii="Arial" w:hAnsi="Arial" w:cs="Arial"/>
          <w:sz w:val="24"/>
          <w:szCs w:val="24"/>
        </w:rPr>
      </w:pPr>
      <w:r w:rsidRPr="00035371">
        <w:rPr>
          <w:rFonts w:ascii="Arial" w:hAnsi="Arial" w:cs="Arial"/>
          <w:b/>
          <w:bCs/>
          <w:i/>
          <w:iCs/>
          <w:sz w:val="24"/>
          <w:szCs w:val="24"/>
        </w:rPr>
        <w:t>Emphasis on Academic Curriculum:</w:t>
      </w:r>
      <w:r w:rsidRPr="00035371">
        <w:rPr>
          <w:rFonts w:ascii="Arial" w:hAnsi="Arial" w:cs="Arial"/>
          <w:i/>
          <w:iCs/>
          <w:sz w:val="24"/>
          <w:szCs w:val="24"/>
        </w:rPr>
        <w:t xml:space="preserve"> </w:t>
      </w:r>
      <w:r w:rsidR="001154DA" w:rsidRPr="00035371">
        <w:rPr>
          <w:rFonts w:ascii="Arial" w:hAnsi="Arial" w:cs="Arial"/>
          <w:sz w:val="24"/>
          <w:szCs w:val="24"/>
        </w:rPr>
        <w:t>The predominant emphasis on academic achievement often relegates physical education to a secondary role, leading to insufficient time and resources dedicated to sports and fitness activities. As schools prioritize academic subjects, physical education may receive less attention in the curriculum, reducing opportunities for students to engage in regular physical activity and develop essential motor skills, fitness, and overall health. This imbalance underscores the need to advocate for the integration of physical education as a core component of education, ensuring that students receive adequate time and support for both academic and physical development.</w:t>
      </w:r>
    </w:p>
    <w:p w14:paraId="306DF0E0" w14:textId="77777777" w:rsidR="001154DA" w:rsidRPr="00035371" w:rsidRDefault="008F2352" w:rsidP="00035371">
      <w:pPr>
        <w:pStyle w:val="Title"/>
        <w:ind w:left="0"/>
        <w:jc w:val="both"/>
        <w:rPr>
          <w:rFonts w:ascii="Arial" w:hAnsi="Arial" w:cs="Arial"/>
          <w:sz w:val="24"/>
          <w:szCs w:val="24"/>
        </w:rPr>
      </w:pPr>
      <w:r w:rsidRPr="00035371">
        <w:rPr>
          <w:rFonts w:ascii="Arial" w:hAnsi="Arial" w:cs="Arial"/>
          <w:b/>
          <w:bCs/>
          <w:i/>
          <w:iCs/>
          <w:sz w:val="24"/>
          <w:szCs w:val="24"/>
        </w:rPr>
        <w:t>Cultural Perceptions:</w:t>
      </w:r>
      <w:r w:rsidRPr="00035371">
        <w:rPr>
          <w:rFonts w:ascii="Arial" w:hAnsi="Arial" w:cs="Arial"/>
          <w:i/>
          <w:iCs/>
          <w:sz w:val="24"/>
          <w:szCs w:val="24"/>
        </w:rPr>
        <w:t xml:space="preserve"> </w:t>
      </w:r>
      <w:r w:rsidR="001154DA" w:rsidRPr="00035371">
        <w:rPr>
          <w:rFonts w:ascii="Arial" w:hAnsi="Arial" w:cs="Arial"/>
          <w:sz w:val="24"/>
          <w:szCs w:val="24"/>
        </w:rPr>
        <w:t>Traditional attitudes towards physical activity may undervalue its importance, with academic achievements often prioritized over physical well-being. In many cultures, there is a historical emphasis on intellectual pursuits and academic success, leading to a perception that physical activity is secondary or less essential. Consequently, physical education programs and opportunities for exercise may receive less attention and resources compared to academic subjects. However, recognizing the holistic benefits of physical activity is crucial for promoting overall well-being and ensuring a balanced approach to education and personal development.</w:t>
      </w:r>
    </w:p>
    <w:p w14:paraId="152CD490" w14:textId="77777777" w:rsidR="001154DA" w:rsidRPr="00035371" w:rsidRDefault="008F2352" w:rsidP="00035371">
      <w:pPr>
        <w:pStyle w:val="Title"/>
        <w:ind w:left="0"/>
        <w:jc w:val="both"/>
        <w:rPr>
          <w:rFonts w:ascii="Arial" w:hAnsi="Arial" w:cs="Arial"/>
          <w:sz w:val="24"/>
          <w:szCs w:val="24"/>
        </w:rPr>
      </w:pPr>
      <w:r w:rsidRPr="00035371">
        <w:rPr>
          <w:rFonts w:ascii="Arial" w:hAnsi="Arial" w:cs="Arial"/>
          <w:b/>
          <w:bCs/>
          <w:i/>
          <w:iCs/>
          <w:sz w:val="24"/>
          <w:szCs w:val="24"/>
        </w:rPr>
        <w:t>Socioeconomic Disparities:</w:t>
      </w:r>
      <w:r w:rsidRPr="00035371">
        <w:rPr>
          <w:rFonts w:ascii="Arial" w:hAnsi="Arial" w:cs="Arial"/>
          <w:i/>
          <w:iCs/>
          <w:sz w:val="24"/>
          <w:szCs w:val="24"/>
        </w:rPr>
        <w:t xml:space="preserve"> </w:t>
      </w:r>
      <w:r w:rsidR="001154DA" w:rsidRPr="00035371">
        <w:rPr>
          <w:rFonts w:ascii="Arial" w:hAnsi="Arial" w:cs="Arial"/>
          <w:sz w:val="24"/>
          <w:szCs w:val="24"/>
        </w:rPr>
        <w:t>Unequal access to sports facilities due to socioeconomic disparities hinders participation, particularly for rural and economically disadvantaged students. Limited funding and transportation options, along with fewer recreational facilities, exacerbate these disparities. Marginalized communities face challenges in accessing sports programs, impacting their physical well-being. Addressing these inequalities necessitates investment in infrastructure, community partnerships, and targeted interventions to ensure equitable access to sports and physical education opportunities for all students.</w:t>
      </w:r>
    </w:p>
    <w:p w14:paraId="41E98920" w14:textId="417FAF6E" w:rsidR="008F2352" w:rsidRPr="00035371" w:rsidRDefault="008F2352" w:rsidP="00035371">
      <w:pPr>
        <w:pStyle w:val="Title"/>
        <w:ind w:left="0"/>
        <w:jc w:val="both"/>
        <w:rPr>
          <w:rFonts w:ascii="Arial" w:hAnsi="Arial" w:cs="Arial"/>
          <w:sz w:val="24"/>
          <w:szCs w:val="24"/>
        </w:rPr>
      </w:pPr>
      <w:r w:rsidRPr="00035371">
        <w:rPr>
          <w:rFonts w:ascii="Arial" w:hAnsi="Arial" w:cs="Arial"/>
          <w:b/>
          <w:bCs/>
          <w:i/>
          <w:iCs/>
          <w:sz w:val="24"/>
          <w:szCs w:val="24"/>
        </w:rPr>
        <w:t>Gender Disparities</w:t>
      </w:r>
      <w:r w:rsidRPr="00035371">
        <w:rPr>
          <w:rFonts w:ascii="Arial" w:hAnsi="Arial" w:cs="Arial"/>
          <w:b/>
          <w:bCs/>
          <w:sz w:val="24"/>
          <w:szCs w:val="24"/>
        </w:rPr>
        <w:t>:</w:t>
      </w:r>
      <w:r w:rsidRPr="00035371">
        <w:rPr>
          <w:rFonts w:ascii="Arial" w:hAnsi="Arial" w:cs="Arial"/>
          <w:sz w:val="24"/>
          <w:szCs w:val="24"/>
        </w:rPr>
        <w:t xml:space="preserve"> </w:t>
      </w:r>
      <w:r w:rsidR="001154DA" w:rsidRPr="00035371">
        <w:rPr>
          <w:rFonts w:ascii="Arial" w:hAnsi="Arial" w:cs="Arial"/>
          <w:sz w:val="24"/>
          <w:szCs w:val="24"/>
        </w:rPr>
        <w:t>Gender disparities persist in physical education due to societal norms and cultural beliefs that often discourage or limit girls' participation in sports and physical activities. Deep-rooted stereotypes surrounding femininity and athleticism contribute to the marginalization of girls in physical education programs, leading to unequal opportunities and resources compared to their male counterparts. Addressing these disparities requires challenging gender norms, providing supportive environments, and promoting inclusive policies to ensure equitable access and participation for all students regardless of gender.</w:t>
      </w:r>
    </w:p>
    <w:p w14:paraId="708A08C5" w14:textId="49713306" w:rsidR="008F2352" w:rsidRPr="00035371" w:rsidRDefault="008F2352" w:rsidP="00035371">
      <w:pPr>
        <w:pStyle w:val="Title"/>
        <w:ind w:left="0"/>
        <w:jc w:val="both"/>
        <w:rPr>
          <w:rFonts w:ascii="Arial" w:hAnsi="Arial" w:cs="Arial"/>
          <w:sz w:val="24"/>
          <w:szCs w:val="24"/>
        </w:rPr>
      </w:pPr>
      <w:r w:rsidRPr="00035371">
        <w:rPr>
          <w:rFonts w:ascii="Arial" w:hAnsi="Arial" w:cs="Arial"/>
          <w:b/>
          <w:bCs/>
          <w:i/>
          <w:iCs/>
          <w:sz w:val="24"/>
          <w:szCs w:val="24"/>
        </w:rPr>
        <w:t>Policy Implementation:</w:t>
      </w:r>
      <w:r w:rsidRPr="00035371">
        <w:rPr>
          <w:rFonts w:ascii="Arial" w:hAnsi="Arial" w:cs="Arial"/>
          <w:i/>
          <w:iCs/>
          <w:sz w:val="24"/>
          <w:szCs w:val="24"/>
        </w:rPr>
        <w:t xml:space="preserve"> </w:t>
      </w:r>
      <w:r w:rsidR="001154DA" w:rsidRPr="00035371">
        <w:rPr>
          <w:rFonts w:ascii="Arial" w:hAnsi="Arial" w:cs="Arial"/>
          <w:sz w:val="24"/>
          <w:szCs w:val="24"/>
        </w:rPr>
        <w:t xml:space="preserve">Policy implementation poses a significant challenge in ensuring the effective delivery of physical education programs across India. While national policies advocate for physical education, inconsistencies in implementation at the state and local levels hinder program quality and accessibility. Discrepancies arise due to resource allocation, administrative capacity, and differing priorities, resulting in </w:t>
      </w:r>
      <w:r w:rsidR="001154DA" w:rsidRPr="00035371">
        <w:rPr>
          <w:rFonts w:ascii="Arial" w:hAnsi="Arial" w:cs="Arial"/>
          <w:sz w:val="24"/>
          <w:szCs w:val="24"/>
        </w:rPr>
        <w:lastRenderedPageBreak/>
        <w:t>variations in the availability and quality of physical education initiatives. Addressing these challenges requires coordinated efforts to streamline policy implementation, allocate adequate resources, and enhance monitoring and evaluation mechanisms to ensure equitable access to quality physical education for all students.</w:t>
      </w:r>
    </w:p>
    <w:p w14:paraId="64E2D940" w14:textId="1C241333" w:rsidR="001154DA" w:rsidRPr="00035371" w:rsidRDefault="008F2352" w:rsidP="00035371">
      <w:pPr>
        <w:pStyle w:val="Title"/>
        <w:ind w:left="0"/>
        <w:jc w:val="both"/>
        <w:rPr>
          <w:rFonts w:ascii="Arial" w:hAnsi="Arial" w:cs="Arial"/>
          <w:i/>
          <w:iCs/>
          <w:sz w:val="24"/>
          <w:szCs w:val="24"/>
        </w:rPr>
      </w:pPr>
      <w:r w:rsidRPr="00035371">
        <w:rPr>
          <w:rFonts w:ascii="Arial" w:hAnsi="Arial" w:cs="Arial"/>
          <w:b/>
          <w:bCs/>
          <w:i/>
          <w:iCs/>
          <w:sz w:val="24"/>
          <w:szCs w:val="24"/>
        </w:rPr>
        <w:t>Lack of Monitoring and Evaluation:</w:t>
      </w:r>
      <w:r w:rsidRPr="00035371">
        <w:rPr>
          <w:rFonts w:ascii="Arial" w:hAnsi="Arial" w:cs="Arial"/>
          <w:i/>
          <w:iCs/>
          <w:sz w:val="24"/>
          <w:szCs w:val="24"/>
        </w:rPr>
        <w:t xml:space="preserve"> </w:t>
      </w:r>
      <w:r w:rsidR="001154DA" w:rsidRPr="00035371">
        <w:rPr>
          <w:rFonts w:ascii="Arial" w:hAnsi="Arial" w:cs="Arial"/>
          <w:sz w:val="24"/>
          <w:szCs w:val="24"/>
        </w:rPr>
        <w:t>The absence of robust monitoring and evaluation mechanisms poses a significant obstacle to the advancement of physical education programs in India. Without effective tools to assess program effectiveness, it becomes challenging to identify areas of success and areas needing improvement. This deficiency hampers the ability to make informed decisions and implement necessary enhancements to ensure the quality and impact of physical education initiatives. To address this challenge, there is a critical need to develop comprehensive monitoring and evaluation frameworks that enable systematic assessment of program outcomes, facilitate data-driven decision-making, and foster continuous improvement in physical education delivery across the country.</w:t>
      </w:r>
    </w:p>
    <w:p w14:paraId="673402B9" w14:textId="75CD6D31" w:rsidR="00046F31" w:rsidRDefault="00046F31" w:rsidP="00035371">
      <w:pPr>
        <w:pStyle w:val="Title"/>
        <w:ind w:left="0"/>
        <w:jc w:val="both"/>
        <w:rPr>
          <w:rFonts w:ascii="Arial" w:hAnsi="Arial" w:cs="Arial"/>
          <w:sz w:val="24"/>
          <w:szCs w:val="24"/>
        </w:rPr>
      </w:pPr>
      <w:r w:rsidRPr="00035371">
        <w:rPr>
          <w:rFonts w:ascii="Arial" w:hAnsi="Arial" w:cs="Arial"/>
          <w:sz w:val="24"/>
          <w:szCs w:val="24"/>
        </w:rPr>
        <w:t>Addressing challenges in physical education requires comprehensive action, including policy reforms, infrastructure investment, awareness campaigns, and cultural perception shifts. This necessitates collaborative efforts involving government, communities, and stakeholders. By implementing policy changes, investing in infrastructure, raising awareness, and shifting cultural perceptions, India can create an environment conducive to physical activity, promoting health and well-being across diverse population groups.</w:t>
      </w:r>
    </w:p>
    <w:p w14:paraId="1A5A3EBF" w14:textId="77777777" w:rsidR="00DE30A5" w:rsidRPr="00035371" w:rsidRDefault="00DE30A5" w:rsidP="00035371">
      <w:pPr>
        <w:pStyle w:val="Title"/>
        <w:ind w:left="0"/>
        <w:jc w:val="both"/>
        <w:rPr>
          <w:rFonts w:ascii="Arial" w:hAnsi="Arial" w:cs="Arial"/>
          <w:sz w:val="24"/>
          <w:szCs w:val="24"/>
        </w:rPr>
      </w:pPr>
    </w:p>
    <w:p w14:paraId="096020C0" w14:textId="701CBD60" w:rsidR="00046F31" w:rsidRPr="00035371" w:rsidRDefault="009F50F9" w:rsidP="00035371">
      <w:pPr>
        <w:pStyle w:val="Title"/>
        <w:ind w:left="0"/>
        <w:jc w:val="both"/>
        <w:rPr>
          <w:rFonts w:ascii="Arial" w:hAnsi="Arial" w:cs="Arial"/>
          <w:b/>
          <w:bCs/>
          <w:sz w:val="24"/>
          <w:szCs w:val="24"/>
        </w:rPr>
      </w:pPr>
      <w:r w:rsidRPr="00035371">
        <w:rPr>
          <w:rFonts w:ascii="Arial" w:hAnsi="Arial" w:cs="Arial"/>
          <w:b/>
          <w:bCs/>
          <w:sz w:val="24"/>
          <w:szCs w:val="24"/>
        </w:rPr>
        <w:t xml:space="preserve">CONCLUSION AND RECOMMENDATION </w:t>
      </w:r>
    </w:p>
    <w:p w14:paraId="0BA53887" w14:textId="77777777" w:rsidR="00046F31" w:rsidRPr="00035371" w:rsidRDefault="00046F31" w:rsidP="00035371">
      <w:pPr>
        <w:pStyle w:val="Title"/>
        <w:ind w:left="0"/>
        <w:jc w:val="both"/>
        <w:rPr>
          <w:rFonts w:ascii="Arial" w:hAnsi="Arial" w:cs="Arial"/>
          <w:b/>
          <w:bCs/>
          <w:sz w:val="24"/>
          <w:szCs w:val="24"/>
        </w:rPr>
      </w:pPr>
      <w:r w:rsidRPr="00035371">
        <w:rPr>
          <w:rFonts w:ascii="Arial" w:hAnsi="Arial" w:cs="Arial"/>
          <w:sz w:val="24"/>
          <w:szCs w:val="24"/>
        </w:rPr>
        <w:tab/>
        <w:t>Promoting physical activity in India is not just a matter of individual health but a public health imperative with far-reaching implications. The documented benefits of physical activity, including improvements in cardiovascular health, mental well-being, and overall quality of life, underscore the importance of prioritizing initiatives that encourage active living across the population. One key aspect that cannot be overlooked is the role of indigenous perspectives, particularly yoga, in shaping attitudes towards physical activity. Yoga, deeply ingrained in Indian culture, offers a holistic approach to health and well-being, emphasizing the mind-body connection and promoting self-reliance through culturally resonant activities. Integrating indigenous knowledge systems into physical activity promotion efforts can enhance their acceptability and sustainability, ensuring that interventions are culturally appropriate and rooted in local traditions.</w:t>
      </w:r>
    </w:p>
    <w:p w14:paraId="425F1F4B" w14:textId="5C763FEC" w:rsidR="00046F31" w:rsidRPr="00035371" w:rsidRDefault="00046F31" w:rsidP="00035371">
      <w:pPr>
        <w:pStyle w:val="Title"/>
        <w:ind w:left="0"/>
        <w:jc w:val="both"/>
        <w:rPr>
          <w:rFonts w:ascii="Arial" w:hAnsi="Arial" w:cs="Arial"/>
          <w:b/>
          <w:bCs/>
          <w:sz w:val="24"/>
          <w:szCs w:val="24"/>
        </w:rPr>
      </w:pPr>
      <w:r w:rsidRPr="00035371">
        <w:rPr>
          <w:rFonts w:ascii="Arial" w:hAnsi="Arial" w:cs="Arial"/>
          <w:b/>
          <w:bCs/>
          <w:sz w:val="24"/>
          <w:szCs w:val="24"/>
        </w:rPr>
        <w:tab/>
      </w:r>
      <w:r w:rsidRPr="00035371">
        <w:rPr>
          <w:rFonts w:ascii="Arial" w:hAnsi="Arial" w:cs="Arial"/>
          <w:sz w:val="24"/>
          <w:szCs w:val="24"/>
        </w:rPr>
        <w:t xml:space="preserve">However, to truly promote physical activity and achieve health equity, it is essential to address access barriers that disproportionately affect marginalized populations. Socioeconomic disparities, gender inequalities, and inadequate infrastructure can hinder individuals' ability to engage in physical activity, perpetuating health inequities. Culturally sensitive approaches that consider the unique needs and contexts of diverse communities are crucial for overcoming these </w:t>
      </w:r>
      <w:proofErr w:type="spellStart"/>
      <w:proofErr w:type="gramStart"/>
      <w:r w:rsidRPr="00035371">
        <w:rPr>
          <w:rFonts w:ascii="Arial" w:hAnsi="Arial" w:cs="Arial"/>
          <w:sz w:val="24"/>
          <w:szCs w:val="24"/>
        </w:rPr>
        <w:t>barriers.In</w:t>
      </w:r>
      <w:proofErr w:type="spellEnd"/>
      <w:proofErr w:type="gramEnd"/>
      <w:r w:rsidRPr="00035371">
        <w:rPr>
          <w:rFonts w:ascii="Arial" w:hAnsi="Arial" w:cs="Arial"/>
          <w:sz w:val="24"/>
          <w:szCs w:val="24"/>
        </w:rPr>
        <w:t xml:space="preserve"> addition to community-based interventions, policy initiatives play a pivotal role in creating environments that support active living. Investments in infrastructure, urban planning, and education can help create walkable neighborhoods, safe public spaces, and inclusive recreational facilities, making it easier for people to incorporate physical activity into their daily lives. By prioritizing health in all policies, governments can demonstrate a commitment to promoting active living and improving population health outcomes.</w:t>
      </w:r>
    </w:p>
    <w:p w14:paraId="28512177" w14:textId="3F7F395F" w:rsidR="00046F31" w:rsidRDefault="00046F31" w:rsidP="00035371">
      <w:pPr>
        <w:pStyle w:val="Title"/>
        <w:spacing w:before="240" w:after="240"/>
        <w:ind w:left="0"/>
        <w:jc w:val="both"/>
        <w:rPr>
          <w:rFonts w:ascii="Arial" w:hAnsi="Arial" w:cs="Arial"/>
          <w:sz w:val="24"/>
          <w:szCs w:val="24"/>
        </w:rPr>
      </w:pPr>
      <w:r w:rsidRPr="00035371">
        <w:rPr>
          <w:rFonts w:ascii="Arial" w:hAnsi="Arial" w:cs="Arial"/>
          <w:sz w:val="24"/>
          <w:szCs w:val="24"/>
        </w:rPr>
        <w:tab/>
        <w:t xml:space="preserve">Looking to the future, there is a need for continued research to evaluate the </w:t>
      </w:r>
      <w:r w:rsidRPr="00035371">
        <w:rPr>
          <w:rFonts w:ascii="Arial" w:hAnsi="Arial" w:cs="Arial"/>
          <w:sz w:val="24"/>
          <w:szCs w:val="24"/>
        </w:rPr>
        <w:lastRenderedPageBreak/>
        <w:t>effectiveness of culturally tailored interventions and explore innovative strategies for reaching underserved populations. Embracing cultural diversity and adopting holistic approaches will be essential for empowering individuals and communities to lead healthier lives. Moreover, leveraging insights from the latest Census data can inform evidence-based decision-making and ensure that interventions are tailored to the unique demographic profiles and needs of different population groups. Furthermore, governments can play a proactive role in promoting physical activity by implementing policies and programs that incentivize active living. This could include initiatives such as subsidizing gym memberships, providing tax incentives for businesses that promote physical activity among employees, and integrating physical education into school curricula from an early age. By adopting a comprehensive approach that combines individual empowerment, community engagement, and supportive policies, India can work towards creating a culture of active living that benefits all its citizens.</w:t>
      </w:r>
    </w:p>
    <w:p w14:paraId="27EF3670" w14:textId="77777777" w:rsidR="00782219" w:rsidRDefault="00782219" w:rsidP="00035371">
      <w:pPr>
        <w:pStyle w:val="Title"/>
        <w:spacing w:before="240" w:after="240"/>
        <w:ind w:left="0"/>
        <w:jc w:val="both"/>
        <w:rPr>
          <w:rFonts w:ascii="Arial" w:hAnsi="Arial" w:cs="Arial"/>
          <w:sz w:val="24"/>
          <w:szCs w:val="24"/>
        </w:rPr>
      </w:pPr>
    </w:p>
    <w:p w14:paraId="4D2728E5" w14:textId="77777777" w:rsidR="00782219" w:rsidRPr="00782219" w:rsidRDefault="00782219" w:rsidP="00782219">
      <w:pPr>
        <w:pStyle w:val="Title"/>
        <w:spacing w:before="240" w:after="240"/>
        <w:jc w:val="both"/>
        <w:rPr>
          <w:rFonts w:ascii="Arial" w:hAnsi="Arial" w:cs="Arial"/>
          <w:sz w:val="24"/>
          <w:szCs w:val="24"/>
        </w:rPr>
      </w:pPr>
      <w:r w:rsidRPr="00782219">
        <w:rPr>
          <w:rFonts w:ascii="Arial" w:hAnsi="Arial" w:cs="Arial"/>
          <w:sz w:val="24"/>
          <w:szCs w:val="24"/>
        </w:rPr>
        <w:t>COMPETING INTERESTS DISCLAIMER:</w:t>
      </w:r>
    </w:p>
    <w:p w14:paraId="164D9E82" w14:textId="7258B893" w:rsidR="00782219" w:rsidRPr="00035371" w:rsidRDefault="00782219" w:rsidP="00782219">
      <w:pPr>
        <w:pStyle w:val="Title"/>
        <w:spacing w:before="240" w:after="240"/>
        <w:ind w:left="0"/>
        <w:jc w:val="both"/>
        <w:rPr>
          <w:rFonts w:ascii="Arial" w:hAnsi="Arial" w:cs="Arial"/>
          <w:sz w:val="24"/>
          <w:szCs w:val="24"/>
        </w:rPr>
      </w:pPr>
      <w:r w:rsidRPr="00782219">
        <w:rPr>
          <w:rFonts w:ascii="Arial" w:hAnsi="Arial" w:cs="Arial"/>
          <w:sz w:val="24"/>
          <w:szCs w:val="24"/>
        </w:rPr>
        <w:t>Authors have declared that they have no known competing financial interests OR non-financial interests OR personal relationships that could have appeared to influence the work reported in this paper.</w:t>
      </w:r>
    </w:p>
    <w:p w14:paraId="1B8664D8" w14:textId="699C32AE" w:rsidR="00287F36" w:rsidRPr="00035371" w:rsidRDefault="00FB6EE5" w:rsidP="00035371">
      <w:pPr>
        <w:pStyle w:val="Title"/>
        <w:spacing w:before="240" w:after="240"/>
        <w:ind w:left="0"/>
        <w:jc w:val="both"/>
        <w:rPr>
          <w:rFonts w:ascii="Arial" w:hAnsi="Arial" w:cs="Arial"/>
          <w:b/>
          <w:bCs/>
          <w:sz w:val="24"/>
          <w:szCs w:val="24"/>
        </w:rPr>
      </w:pPr>
      <w:r w:rsidRPr="00035371">
        <w:rPr>
          <w:rFonts w:ascii="Arial" w:hAnsi="Arial" w:cs="Arial"/>
          <w:b/>
          <w:bCs/>
          <w:sz w:val="24"/>
          <w:szCs w:val="24"/>
        </w:rPr>
        <w:t xml:space="preserve">References </w:t>
      </w:r>
    </w:p>
    <w:p w14:paraId="1A87F130" w14:textId="77777777" w:rsidR="008C2155" w:rsidRPr="00035371" w:rsidRDefault="00E00599" w:rsidP="009F50F9">
      <w:pPr>
        <w:pStyle w:val="Title"/>
        <w:numPr>
          <w:ilvl w:val="0"/>
          <w:numId w:val="20"/>
        </w:numPr>
        <w:spacing w:after="240"/>
        <w:jc w:val="both"/>
        <w:rPr>
          <w:rFonts w:ascii="Arial" w:hAnsi="Arial" w:cs="Arial"/>
          <w:sz w:val="24"/>
          <w:szCs w:val="24"/>
        </w:rPr>
      </w:pPr>
      <w:r w:rsidRPr="00035371">
        <w:rPr>
          <w:rFonts w:ascii="Arial" w:hAnsi="Arial" w:cs="Arial"/>
          <w:sz w:val="24"/>
          <w:szCs w:val="24"/>
        </w:rPr>
        <w:t xml:space="preserve">Anand, T., Tanwar, S., Kumar, R., &amp; Meena, G. S. (2017). Cardiovascular disease in India: Where are we heading? Indian Heart Journal, 69(6), 844–848. </w:t>
      </w:r>
      <w:hyperlink r:id="rId8" w:history="1">
        <w:r w:rsidR="008C2155" w:rsidRPr="00035371">
          <w:rPr>
            <w:rStyle w:val="Hyperlink"/>
            <w:rFonts w:ascii="Arial" w:hAnsi="Arial" w:cs="Arial"/>
            <w:color w:val="auto"/>
            <w:sz w:val="24"/>
            <w:szCs w:val="24"/>
            <w:u w:val="none"/>
          </w:rPr>
          <w:t>https://doi.org/10.1016/j.ihj.2017.09.011</w:t>
        </w:r>
      </w:hyperlink>
    </w:p>
    <w:p w14:paraId="3C3F196B" w14:textId="77777777" w:rsidR="008C2155" w:rsidRPr="00035371" w:rsidRDefault="008C2155" w:rsidP="009F50F9">
      <w:pPr>
        <w:pStyle w:val="Title"/>
        <w:numPr>
          <w:ilvl w:val="0"/>
          <w:numId w:val="20"/>
        </w:numPr>
        <w:spacing w:after="240"/>
        <w:jc w:val="both"/>
        <w:rPr>
          <w:rFonts w:ascii="Arial" w:hAnsi="Arial" w:cs="Arial"/>
          <w:sz w:val="24"/>
          <w:szCs w:val="24"/>
        </w:rPr>
      </w:pPr>
      <w:r w:rsidRPr="00035371">
        <w:rPr>
          <w:rFonts w:ascii="Arial" w:hAnsi="Arial" w:cs="Arial"/>
          <w:sz w:val="24"/>
          <w:szCs w:val="24"/>
        </w:rPr>
        <w:t>American College of Sports Medicine. (2020). ACSM's Guidelines for Exercise Testing and Prescription. Wolters Kluwer.</w:t>
      </w:r>
    </w:p>
    <w:p w14:paraId="543A3137" w14:textId="6BE9E1D2" w:rsidR="008C2155" w:rsidRPr="00035371" w:rsidRDefault="008C2155" w:rsidP="009F50F9">
      <w:pPr>
        <w:pStyle w:val="Title"/>
        <w:numPr>
          <w:ilvl w:val="0"/>
          <w:numId w:val="20"/>
        </w:numPr>
        <w:spacing w:after="240"/>
        <w:jc w:val="both"/>
        <w:rPr>
          <w:rFonts w:ascii="Arial" w:hAnsi="Arial" w:cs="Arial"/>
          <w:sz w:val="24"/>
          <w:szCs w:val="24"/>
        </w:rPr>
      </w:pPr>
      <w:r w:rsidRPr="00035371">
        <w:rPr>
          <w:rFonts w:ascii="Arial" w:hAnsi="Arial" w:cs="Arial"/>
          <w:sz w:val="24"/>
          <w:szCs w:val="24"/>
        </w:rPr>
        <w:t>American Heart Association. (2020). Physical Activity Improves Quality of Life.</w:t>
      </w:r>
    </w:p>
    <w:p w14:paraId="1CA258C0" w14:textId="77777777" w:rsidR="00E00599" w:rsidRPr="00035371" w:rsidRDefault="00E00599" w:rsidP="009F50F9">
      <w:pPr>
        <w:pStyle w:val="Title"/>
        <w:numPr>
          <w:ilvl w:val="0"/>
          <w:numId w:val="20"/>
        </w:numPr>
        <w:spacing w:after="240"/>
        <w:jc w:val="both"/>
        <w:rPr>
          <w:rFonts w:ascii="Arial" w:hAnsi="Arial" w:cs="Arial"/>
          <w:sz w:val="24"/>
          <w:szCs w:val="24"/>
        </w:rPr>
      </w:pPr>
      <w:r w:rsidRPr="00035371">
        <w:rPr>
          <w:rFonts w:ascii="Arial" w:hAnsi="Arial" w:cs="Arial"/>
          <w:sz w:val="24"/>
          <w:szCs w:val="24"/>
        </w:rPr>
        <w:t xml:space="preserve">Bailey, R., Hillman, C., </w:t>
      </w:r>
      <w:proofErr w:type="spellStart"/>
      <w:r w:rsidRPr="00035371">
        <w:rPr>
          <w:rFonts w:ascii="Arial" w:hAnsi="Arial" w:cs="Arial"/>
          <w:sz w:val="24"/>
          <w:szCs w:val="24"/>
        </w:rPr>
        <w:t>Arent</w:t>
      </w:r>
      <w:proofErr w:type="spellEnd"/>
      <w:r w:rsidRPr="00035371">
        <w:rPr>
          <w:rFonts w:ascii="Arial" w:hAnsi="Arial" w:cs="Arial"/>
          <w:sz w:val="24"/>
          <w:szCs w:val="24"/>
        </w:rPr>
        <w:t>, S., &amp; Petitpas, A. (2018). Physical activity: An underestimated investment in human capital? Journal of Physical Activity and Health, 15(3), 169–170. https://doi.org/10.1123/jpah.2018-0034</w:t>
      </w:r>
    </w:p>
    <w:p w14:paraId="7F0B892C" w14:textId="38A1AA31" w:rsidR="008C2155" w:rsidRPr="00035371" w:rsidRDefault="001151D7" w:rsidP="009F50F9">
      <w:pPr>
        <w:pStyle w:val="Title"/>
        <w:numPr>
          <w:ilvl w:val="0"/>
          <w:numId w:val="20"/>
        </w:numPr>
        <w:spacing w:after="240"/>
        <w:jc w:val="both"/>
        <w:rPr>
          <w:rFonts w:ascii="Arial" w:hAnsi="Arial" w:cs="Arial"/>
          <w:sz w:val="24"/>
          <w:szCs w:val="24"/>
        </w:rPr>
      </w:pPr>
      <w:proofErr w:type="spellStart"/>
      <w:r w:rsidRPr="00035371">
        <w:rPr>
          <w:rFonts w:ascii="Arial" w:hAnsi="Arial" w:cs="Arial"/>
          <w:sz w:val="24"/>
          <w:szCs w:val="24"/>
        </w:rPr>
        <w:t>Chandogya</w:t>
      </w:r>
      <w:proofErr w:type="spellEnd"/>
      <w:r w:rsidRPr="00035371">
        <w:rPr>
          <w:rFonts w:ascii="Arial" w:hAnsi="Arial" w:cs="Arial"/>
          <w:sz w:val="24"/>
          <w:szCs w:val="24"/>
        </w:rPr>
        <w:t xml:space="preserve"> Upanishad. (n.d.). In The Upanishads: A New Translation by Swami Nikhilananda. Retrieved from </w:t>
      </w:r>
      <w:hyperlink r:id="rId9" w:history="1">
        <w:r w:rsidR="002D3837" w:rsidRPr="00035371">
          <w:rPr>
            <w:rStyle w:val="Hyperlink"/>
            <w:rFonts w:ascii="Arial" w:hAnsi="Arial" w:cs="Arial"/>
            <w:color w:val="auto"/>
            <w:sz w:val="24"/>
            <w:szCs w:val="24"/>
            <w:u w:val="none"/>
          </w:rPr>
          <w:t xml:space="preserve">https://www.wisdomlib.org/hinduism/book/ </w:t>
        </w:r>
        <w:proofErr w:type="spellStart"/>
        <w:r w:rsidR="002D3837" w:rsidRPr="00035371">
          <w:rPr>
            <w:rStyle w:val="Hyperlink"/>
            <w:rFonts w:ascii="Arial" w:hAnsi="Arial" w:cs="Arial"/>
            <w:color w:val="auto"/>
            <w:sz w:val="24"/>
            <w:szCs w:val="24"/>
            <w:u w:val="none"/>
          </w:rPr>
          <w:t>chandogya-upanishad-englis</w:t>
        </w:r>
        <w:proofErr w:type="spellEnd"/>
      </w:hyperlink>
    </w:p>
    <w:p w14:paraId="5DFDCCE3" w14:textId="58B6FCC2" w:rsidR="008C2155" w:rsidRPr="00035371" w:rsidRDefault="008C2155" w:rsidP="009F50F9">
      <w:pPr>
        <w:pStyle w:val="Title"/>
        <w:numPr>
          <w:ilvl w:val="0"/>
          <w:numId w:val="20"/>
        </w:numPr>
        <w:spacing w:after="240"/>
        <w:jc w:val="both"/>
        <w:rPr>
          <w:rFonts w:ascii="Arial" w:hAnsi="Arial" w:cs="Arial"/>
          <w:sz w:val="24"/>
          <w:szCs w:val="24"/>
        </w:rPr>
      </w:pPr>
      <w:r w:rsidRPr="00035371">
        <w:rPr>
          <w:rFonts w:ascii="Arial" w:hAnsi="Arial" w:cs="Arial"/>
          <w:sz w:val="24"/>
          <w:szCs w:val="24"/>
        </w:rPr>
        <w:t>Campbell, J. P., &amp; Turner, J. E. (2018). Debunking the Myth of Exercise-Induced Immune Suppression: Redefining the Impact of Exercise on Immunological Health Across the Lifespan. Frontiers in Immunology, 9, 648.</w:t>
      </w:r>
    </w:p>
    <w:p w14:paraId="43ACEBC0" w14:textId="77777777" w:rsidR="005B6AE5" w:rsidRPr="00035371" w:rsidRDefault="005B6AE5" w:rsidP="009F50F9">
      <w:pPr>
        <w:pStyle w:val="Title"/>
        <w:numPr>
          <w:ilvl w:val="0"/>
          <w:numId w:val="20"/>
        </w:numPr>
        <w:spacing w:after="240"/>
        <w:jc w:val="both"/>
        <w:rPr>
          <w:rFonts w:ascii="Arial" w:hAnsi="Arial" w:cs="Arial"/>
          <w:sz w:val="24"/>
          <w:szCs w:val="24"/>
        </w:rPr>
      </w:pPr>
      <w:r w:rsidRPr="00035371">
        <w:rPr>
          <w:rFonts w:ascii="Arial" w:hAnsi="Arial" w:cs="Arial"/>
          <w:sz w:val="24"/>
          <w:szCs w:val="24"/>
        </w:rPr>
        <w:t>Craft, L. L., &amp; Perna, F. M. (2004). The Benefits of Exercise for the Clinically Depressed. Primary Care Companion to the Journal of Clinical Psychiatry, 06(03), 104–111.</w:t>
      </w:r>
    </w:p>
    <w:p w14:paraId="29740D6A" w14:textId="77777777" w:rsidR="008C2155" w:rsidRPr="00035371" w:rsidRDefault="005B6AE5" w:rsidP="009F50F9">
      <w:pPr>
        <w:pStyle w:val="Title"/>
        <w:numPr>
          <w:ilvl w:val="0"/>
          <w:numId w:val="20"/>
        </w:numPr>
        <w:spacing w:after="240"/>
        <w:jc w:val="both"/>
        <w:rPr>
          <w:rFonts w:ascii="Arial" w:hAnsi="Arial" w:cs="Arial"/>
          <w:sz w:val="24"/>
          <w:szCs w:val="24"/>
        </w:rPr>
      </w:pPr>
      <w:r w:rsidRPr="00035371">
        <w:rPr>
          <w:rFonts w:ascii="Arial" w:hAnsi="Arial" w:cs="Arial"/>
          <w:sz w:val="24"/>
          <w:szCs w:val="24"/>
        </w:rPr>
        <w:t xml:space="preserve">Cramer, H., </w:t>
      </w:r>
      <w:proofErr w:type="spellStart"/>
      <w:r w:rsidRPr="00035371">
        <w:rPr>
          <w:rFonts w:ascii="Arial" w:hAnsi="Arial" w:cs="Arial"/>
          <w:sz w:val="24"/>
          <w:szCs w:val="24"/>
        </w:rPr>
        <w:t>Lauche</w:t>
      </w:r>
      <w:proofErr w:type="spellEnd"/>
      <w:r w:rsidRPr="00035371">
        <w:rPr>
          <w:rFonts w:ascii="Arial" w:hAnsi="Arial" w:cs="Arial"/>
          <w:sz w:val="24"/>
          <w:szCs w:val="24"/>
        </w:rPr>
        <w:t>, R., Langhorst, J., Dobos, G., &amp; Michalsen, A. (2013). Yoga for depression: a systematic review and meta-analysis. Depression and Anxiety, 30(11), 1068–1083.</w:t>
      </w:r>
    </w:p>
    <w:p w14:paraId="0A2BBE79" w14:textId="6A8B6FDE" w:rsidR="008C2155" w:rsidRPr="00035371" w:rsidRDefault="008C2155" w:rsidP="009F50F9">
      <w:pPr>
        <w:pStyle w:val="Title"/>
        <w:numPr>
          <w:ilvl w:val="0"/>
          <w:numId w:val="20"/>
        </w:numPr>
        <w:spacing w:after="240"/>
        <w:jc w:val="both"/>
        <w:rPr>
          <w:rFonts w:ascii="Arial" w:hAnsi="Arial" w:cs="Arial"/>
          <w:sz w:val="24"/>
          <w:szCs w:val="24"/>
        </w:rPr>
      </w:pPr>
      <w:r w:rsidRPr="00035371">
        <w:rPr>
          <w:rFonts w:ascii="Arial" w:hAnsi="Arial" w:cs="Arial"/>
          <w:sz w:val="24"/>
          <w:szCs w:val="24"/>
        </w:rPr>
        <w:lastRenderedPageBreak/>
        <w:t>Cruwys, T., et al. (2013). Social group memberships protect against future depression, alleviate depression symptoms and prevent depression relapse. Social Science &amp; Medicine, 98, 179-186.</w:t>
      </w:r>
    </w:p>
    <w:p w14:paraId="3EB080EC" w14:textId="77777777" w:rsidR="008C2155" w:rsidRPr="00035371" w:rsidRDefault="00E00599" w:rsidP="009F50F9">
      <w:pPr>
        <w:pStyle w:val="Title"/>
        <w:numPr>
          <w:ilvl w:val="0"/>
          <w:numId w:val="20"/>
        </w:numPr>
        <w:spacing w:after="240"/>
        <w:jc w:val="both"/>
        <w:rPr>
          <w:rFonts w:ascii="Arial" w:hAnsi="Arial" w:cs="Arial"/>
          <w:sz w:val="24"/>
          <w:szCs w:val="24"/>
        </w:rPr>
      </w:pPr>
      <w:r w:rsidRPr="00035371">
        <w:rPr>
          <w:rFonts w:ascii="Arial" w:hAnsi="Arial" w:cs="Arial"/>
          <w:sz w:val="24"/>
          <w:szCs w:val="24"/>
        </w:rPr>
        <w:t xml:space="preserve">Dobbins, M., Husson, H., </w:t>
      </w:r>
      <w:proofErr w:type="spellStart"/>
      <w:r w:rsidRPr="00035371">
        <w:rPr>
          <w:rFonts w:ascii="Arial" w:hAnsi="Arial" w:cs="Arial"/>
          <w:sz w:val="24"/>
          <w:szCs w:val="24"/>
        </w:rPr>
        <w:t>DeCorby</w:t>
      </w:r>
      <w:proofErr w:type="spellEnd"/>
      <w:r w:rsidRPr="00035371">
        <w:rPr>
          <w:rFonts w:ascii="Arial" w:hAnsi="Arial" w:cs="Arial"/>
          <w:sz w:val="24"/>
          <w:szCs w:val="24"/>
        </w:rPr>
        <w:t xml:space="preserve">, K., &amp; LaRocca, R. L. (2019). School-based physical activity programs for promoting physical activity and fitness in children and adolescents aged 6 to 18. Cochrane Database of Systematic Reviews, 2, CD007651. </w:t>
      </w:r>
      <w:hyperlink r:id="rId10" w:history="1">
        <w:r w:rsidR="005B6AE5" w:rsidRPr="00035371">
          <w:rPr>
            <w:rStyle w:val="Hyperlink"/>
            <w:rFonts w:ascii="Arial" w:hAnsi="Arial" w:cs="Arial"/>
            <w:color w:val="auto"/>
            <w:sz w:val="24"/>
            <w:szCs w:val="24"/>
            <w:u w:val="none"/>
          </w:rPr>
          <w:t>https://doi.org/10.1002/14651858.CD007651.pub2</w:t>
        </w:r>
      </w:hyperlink>
    </w:p>
    <w:p w14:paraId="4D049199" w14:textId="1953CB72" w:rsidR="008C2155" w:rsidRPr="00035371" w:rsidRDefault="008C2155" w:rsidP="009F50F9">
      <w:pPr>
        <w:pStyle w:val="Title"/>
        <w:numPr>
          <w:ilvl w:val="0"/>
          <w:numId w:val="20"/>
        </w:numPr>
        <w:spacing w:after="240"/>
        <w:jc w:val="both"/>
        <w:rPr>
          <w:rFonts w:ascii="Arial" w:hAnsi="Arial" w:cs="Arial"/>
          <w:sz w:val="24"/>
          <w:szCs w:val="24"/>
        </w:rPr>
      </w:pPr>
      <w:r w:rsidRPr="00035371">
        <w:rPr>
          <w:rFonts w:ascii="Arial" w:hAnsi="Arial" w:cs="Arial"/>
          <w:sz w:val="24"/>
          <w:szCs w:val="24"/>
        </w:rPr>
        <w:t>Erickson, K. I., et al. (2011). Exercise training increases size of hippocampus and improves memory. Proceedings of the National Academy of Sciences, 108(7), 3017-3022.</w:t>
      </w:r>
    </w:p>
    <w:p w14:paraId="2F98B197" w14:textId="20768739" w:rsidR="008F2352" w:rsidRPr="00035371" w:rsidRDefault="008F2352" w:rsidP="009F50F9">
      <w:pPr>
        <w:pStyle w:val="Title"/>
        <w:numPr>
          <w:ilvl w:val="0"/>
          <w:numId w:val="20"/>
        </w:numPr>
        <w:spacing w:after="240"/>
        <w:jc w:val="both"/>
        <w:rPr>
          <w:rFonts w:ascii="Arial" w:hAnsi="Arial" w:cs="Arial"/>
          <w:sz w:val="24"/>
          <w:szCs w:val="24"/>
        </w:rPr>
      </w:pPr>
      <w:proofErr w:type="spellStart"/>
      <w:r w:rsidRPr="00035371">
        <w:rPr>
          <w:rFonts w:ascii="Arial" w:hAnsi="Arial" w:cs="Arial"/>
          <w:sz w:val="24"/>
          <w:szCs w:val="24"/>
        </w:rPr>
        <w:t>Firenzuoli</w:t>
      </w:r>
      <w:proofErr w:type="spellEnd"/>
      <w:r w:rsidRPr="00035371">
        <w:rPr>
          <w:rFonts w:ascii="Arial" w:hAnsi="Arial" w:cs="Arial"/>
          <w:sz w:val="24"/>
          <w:szCs w:val="24"/>
        </w:rPr>
        <w:t>, F., &amp; Gori, L. (2007). Herbal medicine today: Clinical and research issues. Evidence-based Complementary and Alternative Medicine, 4(Suppl 1), 37–40.</w:t>
      </w:r>
    </w:p>
    <w:p w14:paraId="0575E7CE" w14:textId="435EADE8" w:rsidR="00595901" w:rsidRPr="00035371" w:rsidRDefault="00595901" w:rsidP="009F50F9">
      <w:pPr>
        <w:pStyle w:val="Title"/>
        <w:numPr>
          <w:ilvl w:val="0"/>
          <w:numId w:val="20"/>
        </w:numPr>
        <w:spacing w:after="240"/>
        <w:jc w:val="both"/>
        <w:rPr>
          <w:rFonts w:ascii="Arial" w:hAnsi="Arial" w:cs="Arial"/>
          <w:sz w:val="24"/>
          <w:szCs w:val="24"/>
        </w:rPr>
      </w:pPr>
      <w:r w:rsidRPr="00035371">
        <w:rPr>
          <w:rFonts w:ascii="Arial" w:hAnsi="Arial" w:cs="Arial"/>
          <w:sz w:val="24"/>
          <w:szCs w:val="24"/>
        </w:rPr>
        <w:t>Giles-Corti, B., Sallis, J. F., Sugiyama, T., Frank, L. D., Lowe, M., Owen, N., &amp; Patterson, T. (2019). Built environment, physical activity, and obesity: What have we learned from reviewing the literature? Health &amp; Place, 57, 271–284. https://doi.org/10.1016/j.healthplace.2019.03.011</w:t>
      </w:r>
    </w:p>
    <w:p w14:paraId="0F9E7F08" w14:textId="77777777" w:rsidR="005B6AE5" w:rsidRPr="00035371" w:rsidRDefault="005B6AE5" w:rsidP="009F50F9">
      <w:pPr>
        <w:pStyle w:val="Title"/>
        <w:numPr>
          <w:ilvl w:val="0"/>
          <w:numId w:val="20"/>
        </w:numPr>
        <w:spacing w:after="240"/>
        <w:jc w:val="both"/>
        <w:rPr>
          <w:rFonts w:ascii="Arial" w:hAnsi="Arial" w:cs="Arial"/>
          <w:sz w:val="24"/>
          <w:szCs w:val="24"/>
        </w:rPr>
      </w:pPr>
      <w:r w:rsidRPr="00035371">
        <w:rPr>
          <w:rFonts w:ascii="Arial" w:hAnsi="Arial" w:cs="Arial"/>
          <w:sz w:val="24"/>
          <w:szCs w:val="24"/>
        </w:rPr>
        <w:t>Gordon, B. R., McDowell, C. P., Lyons, M., &amp; Herring, M. P. (2017). The Effects of Resistance Exercise Training on Anxiety: A Meta-Analysis and Meta-Regression Analysis of Randomized Controlled Trials. Sports Medicine, 47(12), 2521–2532.</w:t>
      </w:r>
    </w:p>
    <w:p w14:paraId="7C7640A1" w14:textId="3344B4E6" w:rsidR="008F2352" w:rsidRPr="00035371" w:rsidRDefault="008F2352" w:rsidP="009F50F9">
      <w:pPr>
        <w:pStyle w:val="Title"/>
        <w:numPr>
          <w:ilvl w:val="0"/>
          <w:numId w:val="20"/>
        </w:numPr>
        <w:spacing w:after="240"/>
        <w:jc w:val="both"/>
        <w:rPr>
          <w:rFonts w:ascii="Arial" w:hAnsi="Arial" w:cs="Arial"/>
          <w:sz w:val="24"/>
          <w:szCs w:val="24"/>
        </w:rPr>
      </w:pPr>
      <w:r w:rsidRPr="00035371">
        <w:rPr>
          <w:rFonts w:ascii="Arial" w:hAnsi="Arial" w:cs="Arial"/>
          <w:sz w:val="24"/>
          <w:szCs w:val="24"/>
        </w:rPr>
        <w:t>Goyal, M. (2020). Integrating Ayurveda into the management of COVID-19: Potentials and challenges. Journal of Ayurveda and Integrative Medicine, 11(3), 235–236.</w:t>
      </w:r>
    </w:p>
    <w:p w14:paraId="59626553" w14:textId="77777777" w:rsidR="008C2155" w:rsidRPr="00035371" w:rsidRDefault="00E00599" w:rsidP="009F50F9">
      <w:pPr>
        <w:pStyle w:val="Title"/>
        <w:numPr>
          <w:ilvl w:val="0"/>
          <w:numId w:val="20"/>
        </w:numPr>
        <w:spacing w:after="240"/>
        <w:jc w:val="both"/>
        <w:rPr>
          <w:rFonts w:ascii="Arial" w:hAnsi="Arial" w:cs="Arial"/>
          <w:sz w:val="24"/>
          <w:szCs w:val="24"/>
        </w:rPr>
      </w:pPr>
      <w:proofErr w:type="spellStart"/>
      <w:r w:rsidRPr="00035371">
        <w:rPr>
          <w:rFonts w:ascii="Arial" w:hAnsi="Arial" w:cs="Arial"/>
          <w:sz w:val="24"/>
          <w:szCs w:val="24"/>
        </w:rPr>
        <w:t>Dreze</w:t>
      </w:r>
      <w:proofErr w:type="spellEnd"/>
      <w:r w:rsidRPr="00035371">
        <w:rPr>
          <w:rFonts w:ascii="Arial" w:hAnsi="Arial" w:cs="Arial"/>
          <w:sz w:val="24"/>
          <w:szCs w:val="24"/>
        </w:rPr>
        <w:t>, J., &amp; Sen, A. (1995). India: Economic development and social opportunity. Oxford University Press.</w:t>
      </w:r>
    </w:p>
    <w:p w14:paraId="219C3F3B" w14:textId="661F49E3" w:rsidR="008C2155" w:rsidRPr="00035371" w:rsidRDefault="008C2155" w:rsidP="009F50F9">
      <w:pPr>
        <w:pStyle w:val="Title"/>
        <w:numPr>
          <w:ilvl w:val="0"/>
          <w:numId w:val="20"/>
        </w:numPr>
        <w:spacing w:after="240"/>
        <w:jc w:val="both"/>
        <w:rPr>
          <w:rFonts w:ascii="Arial" w:hAnsi="Arial" w:cs="Arial"/>
          <w:sz w:val="24"/>
          <w:szCs w:val="24"/>
        </w:rPr>
      </w:pPr>
      <w:r w:rsidRPr="00035371">
        <w:rPr>
          <w:rFonts w:ascii="Arial" w:hAnsi="Arial" w:cs="Arial"/>
          <w:sz w:val="24"/>
          <w:szCs w:val="24"/>
        </w:rPr>
        <w:t>Harvard Health Publishing. (2018). Regular exercise changes the brain to improve memory, thinking skills.</w:t>
      </w:r>
    </w:p>
    <w:p w14:paraId="3B1D7C08" w14:textId="77777777" w:rsidR="008C2155" w:rsidRPr="00035371" w:rsidRDefault="005B6AE5" w:rsidP="009F50F9">
      <w:pPr>
        <w:pStyle w:val="Title"/>
        <w:numPr>
          <w:ilvl w:val="0"/>
          <w:numId w:val="20"/>
        </w:numPr>
        <w:spacing w:after="240"/>
        <w:jc w:val="both"/>
        <w:rPr>
          <w:rFonts w:ascii="Arial" w:hAnsi="Arial" w:cs="Arial"/>
          <w:sz w:val="24"/>
          <w:szCs w:val="24"/>
        </w:rPr>
      </w:pPr>
      <w:r w:rsidRPr="00035371">
        <w:rPr>
          <w:rFonts w:ascii="Arial" w:hAnsi="Arial" w:cs="Arial"/>
          <w:sz w:val="24"/>
          <w:szCs w:val="24"/>
        </w:rPr>
        <w:t>Hofmann, S. G., Sawyer, A. T., Witt, A. A., &amp; Oh, D. (2010). The effect of mindfulness-based therapy on anxiety and depression: A meta-analytic review. Journal of Consulting and Clinical Psychology, 78(2), 169–183.</w:t>
      </w:r>
    </w:p>
    <w:p w14:paraId="523A63B4" w14:textId="330DFFDC" w:rsidR="008C2155" w:rsidRPr="00035371" w:rsidRDefault="008C2155" w:rsidP="009F50F9">
      <w:pPr>
        <w:pStyle w:val="Title"/>
        <w:numPr>
          <w:ilvl w:val="0"/>
          <w:numId w:val="20"/>
        </w:numPr>
        <w:spacing w:after="240"/>
        <w:jc w:val="both"/>
        <w:rPr>
          <w:rFonts w:ascii="Arial" w:hAnsi="Arial" w:cs="Arial"/>
          <w:sz w:val="24"/>
          <w:szCs w:val="24"/>
        </w:rPr>
      </w:pPr>
      <w:proofErr w:type="spellStart"/>
      <w:r w:rsidRPr="00035371">
        <w:rPr>
          <w:rFonts w:ascii="Arial" w:hAnsi="Arial" w:cs="Arial"/>
          <w:sz w:val="24"/>
          <w:szCs w:val="24"/>
        </w:rPr>
        <w:t>Jakicic</w:t>
      </w:r>
      <w:proofErr w:type="spellEnd"/>
      <w:r w:rsidRPr="00035371">
        <w:rPr>
          <w:rFonts w:ascii="Arial" w:hAnsi="Arial" w:cs="Arial"/>
          <w:sz w:val="24"/>
          <w:szCs w:val="24"/>
        </w:rPr>
        <w:t>, J. M., et al. (2009). Effects of Exercise on 24</w:t>
      </w:r>
      <w:r w:rsidRPr="00035371">
        <w:rPr>
          <w:rFonts w:ascii="Cambria Math" w:hAnsi="Cambria Math" w:cs="Cambria Math"/>
          <w:sz w:val="24"/>
          <w:szCs w:val="24"/>
        </w:rPr>
        <w:t>‐</w:t>
      </w:r>
      <w:r w:rsidRPr="00035371">
        <w:rPr>
          <w:rFonts w:ascii="Arial" w:hAnsi="Arial" w:cs="Arial"/>
          <w:sz w:val="24"/>
          <w:szCs w:val="24"/>
        </w:rPr>
        <w:t>h Glycemic Control in Longstanding Type 2 Diabetes. Medicine and Science in Sports and Exercise, 41(5), 797-804.</w:t>
      </w:r>
    </w:p>
    <w:p w14:paraId="5B283A68" w14:textId="2A26D78B" w:rsidR="008F2352" w:rsidRPr="00035371" w:rsidRDefault="008F2352" w:rsidP="009F50F9">
      <w:pPr>
        <w:pStyle w:val="Title"/>
        <w:numPr>
          <w:ilvl w:val="0"/>
          <w:numId w:val="20"/>
        </w:numPr>
        <w:spacing w:after="240"/>
        <w:jc w:val="both"/>
        <w:rPr>
          <w:rFonts w:ascii="Arial" w:hAnsi="Arial" w:cs="Arial"/>
          <w:sz w:val="24"/>
          <w:szCs w:val="24"/>
        </w:rPr>
      </w:pPr>
      <w:r w:rsidRPr="00035371">
        <w:rPr>
          <w:rFonts w:ascii="Arial" w:hAnsi="Arial" w:cs="Arial"/>
          <w:sz w:val="24"/>
          <w:szCs w:val="24"/>
        </w:rPr>
        <w:t>Joseph, S. M., Divya, I., &amp; Pillai, R. V. (2021). Role of Ayurveda in COVID-19 pandemic: A narrative review. Journal of Ayurveda and Integrative Medicine, 12(1), 214–218.</w:t>
      </w:r>
    </w:p>
    <w:p w14:paraId="5B32C488" w14:textId="77777777" w:rsidR="008C2155" w:rsidRPr="00035371" w:rsidRDefault="008C2155" w:rsidP="009F50F9">
      <w:pPr>
        <w:pStyle w:val="Title"/>
        <w:numPr>
          <w:ilvl w:val="0"/>
          <w:numId w:val="20"/>
        </w:numPr>
        <w:spacing w:after="240"/>
        <w:jc w:val="both"/>
        <w:rPr>
          <w:rFonts w:ascii="Arial" w:hAnsi="Arial" w:cs="Arial"/>
          <w:sz w:val="24"/>
          <w:szCs w:val="24"/>
        </w:rPr>
      </w:pPr>
      <w:r w:rsidRPr="00035371">
        <w:rPr>
          <w:rFonts w:ascii="Arial" w:hAnsi="Arial" w:cs="Arial"/>
          <w:sz w:val="24"/>
          <w:szCs w:val="24"/>
        </w:rPr>
        <w:t>Kramer, A. F., et al. (1999). Ageing, fitness and neurocognitive function. Nature, 400(6743), 418-419.</w:t>
      </w:r>
    </w:p>
    <w:p w14:paraId="199CB069" w14:textId="77777777" w:rsidR="002D3837" w:rsidRPr="00035371" w:rsidRDefault="005B6AE5" w:rsidP="009F50F9">
      <w:pPr>
        <w:pStyle w:val="Title"/>
        <w:numPr>
          <w:ilvl w:val="0"/>
          <w:numId w:val="20"/>
        </w:numPr>
        <w:spacing w:after="240"/>
        <w:jc w:val="both"/>
        <w:rPr>
          <w:rFonts w:ascii="Arial" w:hAnsi="Arial" w:cs="Arial"/>
          <w:sz w:val="24"/>
          <w:szCs w:val="24"/>
        </w:rPr>
      </w:pPr>
      <w:r w:rsidRPr="00035371">
        <w:rPr>
          <w:rFonts w:ascii="Arial" w:hAnsi="Arial" w:cs="Arial"/>
          <w:sz w:val="24"/>
          <w:szCs w:val="24"/>
        </w:rPr>
        <w:lastRenderedPageBreak/>
        <w:t>Khoury, B., Lecomte, T., Fortin, G., Masse, M., Therien, P., Bouchard, V., … Hofmann, S. G. (2013). Mindfulness-based therapy: A comprehensive meta-analysis. Clinical Psychology Review, 33(6), 763–771.</w:t>
      </w:r>
    </w:p>
    <w:p w14:paraId="4765C02E" w14:textId="3E17296B" w:rsidR="00E00599" w:rsidRPr="00035371" w:rsidRDefault="00E00599" w:rsidP="009F50F9">
      <w:pPr>
        <w:pStyle w:val="Title"/>
        <w:numPr>
          <w:ilvl w:val="0"/>
          <w:numId w:val="20"/>
        </w:numPr>
        <w:spacing w:after="240"/>
        <w:jc w:val="both"/>
        <w:rPr>
          <w:rFonts w:ascii="Arial" w:hAnsi="Arial" w:cs="Arial"/>
          <w:sz w:val="24"/>
          <w:szCs w:val="24"/>
        </w:rPr>
      </w:pPr>
      <w:r w:rsidRPr="00035371">
        <w:rPr>
          <w:rFonts w:ascii="Arial" w:hAnsi="Arial" w:cs="Arial"/>
          <w:sz w:val="24"/>
          <w:szCs w:val="24"/>
        </w:rPr>
        <w:t>Kumar, M., Sethi, G., &amp; Rajeev, M. (2019). Review of indigenous games of India. International Journal of Physical Education, Sports and Health, 6(1), 51–53.</w:t>
      </w:r>
    </w:p>
    <w:p w14:paraId="258A7C01" w14:textId="77777777" w:rsidR="00E00599" w:rsidRPr="00035371" w:rsidRDefault="00E00599" w:rsidP="009F50F9">
      <w:pPr>
        <w:pStyle w:val="Title"/>
        <w:numPr>
          <w:ilvl w:val="0"/>
          <w:numId w:val="20"/>
        </w:numPr>
        <w:spacing w:after="240"/>
        <w:jc w:val="both"/>
        <w:rPr>
          <w:rFonts w:ascii="Arial" w:hAnsi="Arial" w:cs="Arial"/>
          <w:sz w:val="24"/>
          <w:szCs w:val="24"/>
        </w:rPr>
      </w:pPr>
      <w:r w:rsidRPr="00035371">
        <w:rPr>
          <w:rFonts w:ascii="Arial" w:hAnsi="Arial" w:cs="Arial"/>
          <w:sz w:val="24"/>
          <w:szCs w:val="24"/>
        </w:rPr>
        <w:t>Labonté, R., Mohindra, K. S., &amp; Schrecker, T. (2011). The growing impact of globalization for health and public health practice. Annual Review of Public Health, 32, 263–283. https://doi.org/10.1146/annurev-publhealth-031210-101342</w:t>
      </w:r>
    </w:p>
    <w:p w14:paraId="49C74B26" w14:textId="77777777" w:rsidR="002D3837" w:rsidRPr="00035371" w:rsidRDefault="008C2155" w:rsidP="009F50F9">
      <w:pPr>
        <w:pStyle w:val="Title"/>
        <w:numPr>
          <w:ilvl w:val="0"/>
          <w:numId w:val="20"/>
        </w:numPr>
        <w:spacing w:after="240"/>
        <w:jc w:val="both"/>
        <w:rPr>
          <w:rFonts w:ascii="Arial" w:hAnsi="Arial" w:cs="Arial"/>
          <w:sz w:val="24"/>
          <w:szCs w:val="24"/>
        </w:rPr>
      </w:pPr>
      <w:r w:rsidRPr="00035371">
        <w:rPr>
          <w:rFonts w:ascii="Arial" w:hAnsi="Arial" w:cs="Arial"/>
          <w:sz w:val="24"/>
          <w:szCs w:val="24"/>
        </w:rPr>
        <w:t xml:space="preserve">Moore, S. C., et al. (2012). Leisure time physical activity of moderate to vigorous intensity and mortality: a large pooled cohort analysis. </w:t>
      </w:r>
      <w:proofErr w:type="spellStart"/>
      <w:r w:rsidRPr="00035371">
        <w:rPr>
          <w:rFonts w:ascii="Arial" w:hAnsi="Arial" w:cs="Arial"/>
          <w:sz w:val="24"/>
          <w:szCs w:val="24"/>
        </w:rPr>
        <w:t>PLoS</w:t>
      </w:r>
      <w:proofErr w:type="spellEnd"/>
      <w:r w:rsidRPr="00035371">
        <w:rPr>
          <w:rFonts w:ascii="Arial" w:hAnsi="Arial" w:cs="Arial"/>
          <w:sz w:val="24"/>
          <w:szCs w:val="24"/>
        </w:rPr>
        <w:t xml:space="preserve"> Medicine, 9(11), e1001335.</w:t>
      </w:r>
    </w:p>
    <w:p w14:paraId="6AA1AB56" w14:textId="77777777" w:rsidR="002D3837" w:rsidRPr="00035371" w:rsidRDefault="008C2155" w:rsidP="009F50F9">
      <w:pPr>
        <w:pStyle w:val="Title"/>
        <w:numPr>
          <w:ilvl w:val="0"/>
          <w:numId w:val="20"/>
        </w:numPr>
        <w:spacing w:after="240"/>
        <w:jc w:val="both"/>
        <w:rPr>
          <w:rFonts w:ascii="Arial" w:hAnsi="Arial" w:cs="Arial"/>
          <w:sz w:val="24"/>
          <w:szCs w:val="24"/>
        </w:rPr>
      </w:pPr>
      <w:r w:rsidRPr="00035371">
        <w:rPr>
          <w:rFonts w:ascii="Arial" w:hAnsi="Arial" w:cs="Arial"/>
          <w:sz w:val="24"/>
          <w:szCs w:val="24"/>
        </w:rPr>
        <w:t>National Osteoporosis Foundation. (2020). Exercise for Strong Bones.</w:t>
      </w:r>
    </w:p>
    <w:p w14:paraId="4183F878" w14:textId="77777777" w:rsidR="002D3837" w:rsidRPr="00035371" w:rsidRDefault="008C2155" w:rsidP="009F50F9">
      <w:pPr>
        <w:pStyle w:val="Title"/>
        <w:numPr>
          <w:ilvl w:val="0"/>
          <w:numId w:val="20"/>
        </w:numPr>
        <w:spacing w:after="240"/>
        <w:jc w:val="both"/>
        <w:rPr>
          <w:rFonts w:ascii="Arial" w:hAnsi="Arial" w:cs="Arial"/>
          <w:sz w:val="24"/>
          <w:szCs w:val="24"/>
        </w:rPr>
      </w:pPr>
      <w:r w:rsidRPr="00035371">
        <w:rPr>
          <w:rFonts w:ascii="Arial" w:hAnsi="Arial" w:cs="Arial"/>
          <w:sz w:val="24"/>
          <w:szCs w:val="24"/>
        </w:rPr>
        <w:t>National Sleep Foundation. (2020). Exercise and Sleep.</w:t>
      </w:r>
    </w:p>
    <w:p w14:paraId="101E9A9D" w14:textId="77777777" w:rsidR="002D3837" w:rsidRPr="00035371" w:rsidRDefault="006B31E3" w:rsidP="009F50F9">
      <w:pPr>
        <w:pStyle w:val="Title"/>
        <w:numPr>
          <w:ilvl w:val="0"/>
          <w:numId w:val="20"/>
        </w:numPr>
        <w:spacing w:after="240"/>
        <w:jc w:val="both"/>
        <w:rPr>
          <w:rFonts w:ascii="Arial" w:hAnsi="Arial" w:cs="Arial"/>
          <w:sz w:val="24"/>
          <w:szCs w:val="24"/>
        </w:rPr>
      </w:pPr>
      <w:r w:rsidRPr="00035371">
        <w:rPr>
          <w:rFonts w:ascii="Arial" w:hAnsi="Arial" w:cs="Arial"/>
          <w:sz w:val="24"/>
          <w:szCs w:val="24"/>
        </w:rPr>
        <w:t>Peluso, M. A. M., &amp; de Andrade, L. H. S. G. (2005). Physical activity and mental health: The association between exercise and mood. Clinics, 60(1), 61–70.</w:t>
      </w:r>
    </w:p>
    <w:p w14:paraId="69861078" w14:textId="77777777" w:rsidR="002D3837" w:rsidRPr="00035371" w:rsidRDefault="008C2155" w:rsidP="009F50F9">
      <w:pPr>
        <w:pStyle w:val="Title"/>
        <w:numPr>
          <w:ilvl w:val="0"/>
          <w:numId w:val="20"/>
        </w:numPr>
        <w:spacing w:after="240"/>
        <w:jc w:val="both"/>
        <w:rPr>
          <w:rFonts w:ascii="Arial" w:hAnsi="Arial" w:cs="Arial"/>
          <w:sz w:val="24"/>
          <w:szCs w:val="24"/>
        </w:rPr>
      </w:pPr>
      <w:r w:rsidRPr="00035371">
        <w:rPr>
          <w:rFonts w:ascii="Arial" w:hAnsi="Arial" w:cs="Arial"/>
          <w:sz w:val="24"/>
          <w:szCs w:val="24"/>
        </w:rPr>
        <w:t>Puetz, T. W., et al. (2006). Effects of chronic exercise on feelings of energy and fatigue: a quantitative synthesis. Psychological Bulletin, 132(6), 866-876.</w:t>
      </w:r>
    </w:p>
    <w:p w14:paraId="02A7CAB6" w14:textId="77777777" w:rsidR="002D3837" w:rsidRPr="00035371" w:rsidRDefault="006B31E3" w:rsidP="009F50F9">
      <w:pPr>
        <w:pStyle w:val="Title"/>
        <w:numPr>
          <w:ilvl w:val="0"/>
          <w:numId w:val="20"/>
        </w:numPr>
        <w:spacing w:after="240"/>
        <w:jc w:val="both"/>
        <w:rPr>
          <w:rFonts w:ascii="Arial" w:hAnsi="Arial" w:cs="Arial"/>
          <w:sz w:val="24"/>
          <w:szCs w:val="24"/>
        </w:rPr>
      </w:pPr>
      <w:r w:rsidRPr="00035371">
        <w:rPr>
          <w:rFonts w:ascii="Arial" w:hAnsi="Arial" w:cs="Arial"/>
          <w:sz w:val="24"/>
          <w:szCs w:val="24"/>
        </w:rPr>
        <w:t>Ross, A., &amp; Thomas, S. (2010). The Health Benefits of Yoga and Exercise: A Review of Comparison Studies. The Journal of Alternative and Complementary Medicine, 16(1), 3–12.</w:t>
      </w:r>
    </w:p>
    <w:p w14:paraId="78E48778" w14:textId="77777777" w:rsidR="002D3837" w:rsidRPr="00035371" w:rsidRDefault="006B31E3" w:rsidP="009F50F9">
      <w:pPr>
        <w:pStyle w:val="Title"/>
        <w:numPr>
          <w:ilvl w:val="0"/>
          <w:numId w:val="20"/>
        </w:numPr>
        <w:spacing w:after="240"/>
        <w:jc w:val="both"/>
        <w:rPr>
          <w:rFonts w:ascii="Arial" w:hAnsi="Arial" w:cs="Arial"/>
          <w:sz w:val="24"/>
          <w:szCs w:val="24"/>
        </w:rPr>
      </w:pPr>
      <w:r w:rsidRPr="00035371">
        <w:rPr>
          <w:rFonts w:ascii="Arial" w:hAnsi="Arial" w:cs="Arial"/>
          <w:sz w:val="24"/>
          <w:szCs w:val="24"/>
        </w:rPr>
        <w:t>Salmon, P. (2001). Effects of physical exercise on anxiety, depression, and sensitivity to stress: A unifying theory. Clinical Psychology Review, 21(1), 33–61.</w:t>
      </w:r>
    </w:p>
    <w:p w14:paraId="67642A6C" w14:textId="380C865B" w:rsidR="00595901" w:rsidRPr="00035371" w:rsidRDefault="00595901" w:rsidP="009F50F9">
      <w:pPr>
        <w:pStyle w:val="Title"/>
        <w:numPr>
          <w:ilvl w:val="0"/>
          <w:numId w:val="20"/>
        </w:numPr>
        <w:spacing w:after="240"/>
        <w:jc w:val="both"/>
        <w:rPr>
          <w:rFonts w:ascii="Arial" w:hAnsi="Arial" w:cs="Arial"/>
          <w:sz w:val="24"/>
          <w:szCs w:val="24"/>
        </w:rPr>
      </w:pPr>
      <w:r w:rsidRPr="00035371">
        <w:rPr>
          <w:rFonts w:ascii="Arial" w:hAnsi="Arial" w:cs="Arial"/>
          <w:sz w:val="24"/>
          <w:szCs w:val="24"/>
        </w:rPr>
        <w:t xml:space="preserve">Schuch, F. B., Stubbs, B., Meyer, J., Heissel, A., Zech, P., </w:t>
      </w:r>
      <w:proofErr w:type="spellStart"/>
      <w:r w:rsidRPr="00035371">
        <w:rPr>
          <w:rFonts w:ascii="Arial" w:hAnsi="Arial" w:cs="Arial"/>
          <w:sz w:val="24"/>
          <w:szCs w:val="24"/>
        </w:rPr>
        <w:t>Vancampfort</w:t>
      </w:r>
      <w:proofErr w:type="spellEnd"/>
      <w:r w:rsidRPr="00035371">
        <w:rPr>
          <w:rFonts w:ascii="Arial" w:hAnsi="Arial" w:cs="Arial"/>
          <w:sz w:val="24"/>
          <w:szCs w:val="24"/>
        </w:rPr>
        <w:t xml:space="preserve">, D., Rosenbaum, S., </w:t>
      </w:r>
      <w:proofErr w:type="spellStart"/>
      <w:r w:rsidRPr="00035371">
        <w:rPr>
          <w:rFonts w:ascii="Arial" w:hAnsi="Arial" w:cs="Arial"/>
          <w:sz w:val="24"/>
          <w:szCs w:val="24"/>
        </w:rPr>
        <w:t>Deenik</w:t>
      </w:r>
      <w:proofErr w:type="spellEnd"/>
      <w:r w:rsidRPr="00035371">
        <w:rPr>
          <w:rFonts w:ascii="Arial" w:hAnsi="Arial" w:cs="Arial"/>
          <w:sz w:val="24"/>
          <w:szCs w:val="24"/>
        </w:rPr>
        <w:t>, J., Firth, J., Ward, P. B., Carvalho, A. F., &amp; Hiles, S. A. (2021). Physical activity protects from incident anxiety: A meta-analysis of prospective cohort studies. Depression and Anxiety, 38(5), 551–560. https://doi.org/10.1002/da.23115</w:t>
      </w:r>
    </w:p>
    <w:p w14:paraId="0B2B35FF" w14:textId="77777777" w:rsidR="002D3837" w:rsidRPr="00035371" w:rsidRDefault="00E00599" w:rsidP="009F50F9">
      <w:pPr>
        <w:pStyle w:val="Title"/>
        <w:numPr>
          <w:ilvl w:val="0"/>
          <w:numId w:val="20"/>
        </w:numPr>
        <w:spacing w:after="240"/>
        <w:jc w:val="both"/>
        <w:rPr>
          <w:rFonts w:ascii="Arial" w:hAnsi="Arial" w:cs="Arial"/>
          <w:sz w:val="24"/>
          <w:szCs w:val="24"/>
        </w:rPr>
      </w:pPr>
      <w:r w:rsidRPr="00035371">
        <w:rPr>
          <w:rFonts w:ascii="Arial" w:hAnsi="Arial" w:cs="Arial"/>
          <w:sz w:val="24"/>
          <w:szCs w:val="24"/>
        </w:rPr>
        <w:t>Sethi, R. K. (2012). Martial art of Kalarippayattu: An indigenous traditional health practice in India. Journal of Exercise Science and Physiotherapy, 8(1), 47–51.</w:t>
      </w:r>
    </w:p>
    <w:p w14:paraId="37D4B299" w14:textId="77777777" w:rsidR="002D3837" w:rsidRPr="00035371" w:rsidRDefault="00E00599" w:rsidP="009F50F9">
      <w:pPr>
        <w:pStyle w:val="Title"/>
        <w:numPr>
          <w:ilvl w:val="0"/>
          <w:numId w:val="20"/>
        </w:numPr>
        <w:spacing w:after="240"/>
        <w:jc w:val="both"/>
        <w:rPr>
          <w:rFonts w:ascii="Arial" w:hAnsi="Arial" w:cs="Arial"/>
          <w:sz w:val="24"/>
          <w:szCs w:val="24"/>
        </w:rPr>
      </w:pPr>
      <w:r w:rsidRPr="00035371">
        <w:rPr>
          <w:rFonts w:ascii="Arial" w:hAnsi="Arial" w:cs="Arial"/>
          <w:sz w:val="24"/>
          <w:szCs w:val="24"/>
        </w:rPr>
        <w:t>Shukla, D. N. (2016). Health benefits of Indian traditional dance forms: A review. Journal of Physical Education and Sport Management, 3(1), 19–24.</w:t>
      </w:r>
    </w:p>
    <w:p w14:paraId="476F7F6F" w14:textId="77777777" w:rsidR="00967AA8" w:rsidRPr="00035371" w:rsidRDefault="00E00599" w:rsidP="009F50F9">
      <w:pPr>
        <w:pStyle w:val="Title"/>
        <w:numPr>
          <w:ilvl w:val="0"/>
          <w:numId w:val="20"/>
        </w:numPr>
        <w:spacing w:after="240"/>
        <w:jc w:val="both"/>
        <w:rPr>
          <w:rStyle w:val="Hyperlink"/>
          <w:rFonts w:ascii="Arial" w:hAnsi="Arial" w:cs="Arial"/>
          <w:color w:val="auto"/>
          <w:sz w:val="24"/>
          <w:szCs w:val="24"/>
          <w:u w:val="none"/>
        </w:rPr>
      </w:pPr>
      <w:r w:rsidRPr="00035371">
        <w:rPr>
          <w:rFonts w:ascii="Arial" w:hAnsi="Arial" w:cs="Arial"/>
          <w:sz w:val="24"/>
          <w:szCs w:val="24"/>
        </w:rPr>
        <w:t xml:space="preserve">Singh, A., Hussain, M. A., &amp; Singh, N. (2017). Community-based interventions for non-communicable diseases prevention in developing countries: A systematic review. Global Journal of Health Science, 9(10), 126–139. </w:t>
      </w:r>
      <w:hyperlink r:id="rId11" w:history="1">
        <w:r w:rsidR="006B31E3" w:rsidRPr="00035371">
          <w:rPr>
            <w:rStyle w:val="Hyperlink"/>
            <w:rFonts w:ascii="Arial" w:hAnsi="Arial" w:cs="Arial"/>
            <w:color w:val="auto"/>
            <w:sz w:val="24"/>
            <w:szCs w:val="24"/>
            <w:u w:val="none"/>
          </w:rPr>
          <w:t>https://doi.org/10.5539/gjhs.v9n10p126</w:t>
        </w:r>
      </w:hyperlink>
    </w:p>
    <w:p w14:paraId="089275D3" w14:textId="2610C33F" w:rsidR="008F2352" w:rsidRPr="00035371" w:rsidRDefault="008F2352" w:rsidP="009F50F9">
      <w:pPr>
        <w:pStyle w:val="Title"/>
        <w:numPr>
          <w:ilvl w:val="0"/>
          <w:numId w:val="20"/>
        </w:numPr>
        <w:spacing w:after="240"/>
        <w:jc w:val="both"/>
        <w:rPr>
          <w:rStyle w:val="Hyperlink"/>
          <w:rFonts w:ascii="Arial" w:hAnsi="Arial" w:cs="Arial"/>
          <w:color w:val="auto"/>
          <w:sz w:val="24"/>
          <w:szCs w:val="24"/>
          <w:u w:val="none"/>
        </w:rPr>
      </w:pPr>
      <w:r w:rsidRPr="00035371">
        <w:rPr>
          <w:rStyle w:val="Hyperlink"/>
          <w:rFonts w:ascii="Arial" w:hAnsi="Arial" w:cs="Arial"/>
          <w:color w:val="auto"/>
          <w:sz w:val="24"/>
          <w:szCs w:val="24"/>
          <w:u w:val="none"/>
        </w:rPr>
        <w:lastRenderedPageBreak/>
        <w:t xml:space="preserve">Singh, H., Bhargava, S., Ganeshan, S., Kaur, R., Sethi, T., Sharma, M., Chauhan, M., Chauhan, N., Chauhan, R., Chauhan, P., &amp; </w:t>
      </w:r>
      <w:proofErr w:type="spellStart"/>
      <w:r w:rsidRPr="00035371">
        <w:rPr>
          <w:rStyle w:val="Hyperlink"/>
          <w:rFonts w:ascii="Arial" w:hAnsi="Arial" w:cs="Arial"/>
          <w:color w:val="auto"/>
          <w:sz w:val="24"/>
          <w:szCs w:val="24"/>
          <w:u w:val="none"/>
        </w:rPr>
        <w:t>Brahmachari</w:t>
      </w:r>
      <w:proofErr w:type="spellEnd"/>
      <w:r w:rsidRPr="00035371">
        <w:rPr>
          <w:rStyle w:val="Hyperlink"/>
          <w:rFonts w:ascii="Arial" w:hAnsi="Arial" w:cs="Arial"/>
          <w:color w:val="auto"/>
          <w:sz w:val="24"/>
          <w:szCs w:val="24"/>
          <w:u w:val="none"/>
        </w:rPr>
        <w:t>, S. K. (2018). Ayurveda research: Ontological challenges. Journal of Ayurveda and Integrative Medicine, 9(3), 190–195.</w:t>
      </w:r>
    </w:p>
    <w:p w14:paraId="2F4749CE" w14:textId="7904EF4D" w:rsidR="008B44EC" w:rsidRPr="00035371" w:rsidRDefault="008B44EC" w:rsidP="009F50F9">
      <w:pPr>
        <w:pStyle w:val="Title"/>
        <w:numPr>
          <w:ilvl w:val="0"/>
          <w:numId w:val="20"/>
        </w:numPr>
        <w:spacing w:after="240"/>
        <w:jc w:val="both"/>
        <w:rPr>
          <w:rFonts w:ascii="Arial" w:hAnsi="Arial" w:cs="Arial"/>
          <w:sz w:val="24"/>
          <w:szCs w:val="24"/>
        </w:rPr>
      </w:pPr>
      <w:r w:rsidRPr="00035371">
        <w:rPr>
          <w:rFonts w:ascii="Arial" w:hAnsi="Arial" w:cs="Arial"/>
          <w:color w:val="000000" w:themeColor="text1"/>
          <w:sz w:val="24"/>
          <w:szCs w:val="24"/>
        </w:rPr>
        <w:t xml:space="preserve">Singh, S. N., &amp; Sharma, A. (2019). Indigenous Sports and Traditional Martial Arts in India: A Historical Overview. </w:t>
      </w:r>
      <w:r w:rsidRPr="00035371">
        <w:rPr>
          <w:rFonts w:ascii="Arial" w:hAnsi="Arial" w:cs="Arial"/>
          <w:i/>
          <w:iCs/>
          <w:color w:val="000000" w:themeColor="text1"/>
          <w:sz w:val="24"/>
          <w:szCs w:val="24"/>
        </w:rPr>
        <w:t>Journal of Physical Education and Sports Management, 6</w:t>
      </w:r>
      <w:r w:rsidRPr="00035371">
        <w:rPr>
          <w:rFonts w:ascii="Arial" w:hAnsi="Arial" w:cs="Arial"/>
          <w:color w:val="000000" w:themeColor="text1"/>
          <w:sz w:val="24"/>
          <w:szCs w:val="24"/>
        </w:rPr>
        <w:t>(1), 23-28.</w:t>
      </w:r>
    </w:p>
    <w:p w14:paraId="14E13669" w14:textId="77777777" w:rsidR="002D3837" w:rsidRPr="00035371" w:rsidRDefault="00FC2E28" w:rsidP="009F50F9">
      <w:pPr>
        <w:pStyle w:val="Title"/>
        <w:numPr>
          <w:ilvl w:val="0"/>
          <w:numId w:val="20"/>
        </w:numPr>
        <w:spacing w:after="240"/>
        <w:jc w:val="both"/>
        <w:rPr>
          <w:rFonts w:ascii="Arial" w:hAnsi="Arial" w:cs="Arial"/>
          <w:sz w:val="24"/>
          <w:szCs w:val="24"/>
        </w:rPr>
      </w:pPr>
      <w:r w:rsidRPr="00035371">
        <w:rPr>
          <w:rFonts w:ascii="Arial" w:hAnsi="Arial" w:cs="Arial"/>
          <w:sz w:val="24"/>
          <w:szCs w:val="24"/>
        </w:rPr>
        <w:t>Sonstroem, R. J., &amp; Morgan, W. P. (1989). Exercise and self-esteem: Rationale and model. Medicine and Science in Sports and Exercise, 21(3), 329-337.</w:t>
      </w:r>
    </w:p>
    <w:p w14:paraId="47B5CD9F" w14:textId="77777777" w:rsidR="002D3837" w:rsidRPr="00035371" w:rsidRDefault="006B31E3" w:rsidP="009F50F9">
      <w:pPr>
        <w:pStyle w:val="Title"/>
        <w:numPr>
          <w:ilvl w:val="0"/>
          <w:numId w:val="20"/>
        </w:numPr>
        <w:spacing w:after="240"/>
        <w:jc w:val="both"/>
        <w:rPr>
          <w:rFonts w:ascii="Arial" w:hAnsi="Arial" w:cs="Arial"/>
          <w:sz w:val="24"/>
          <w:szCs w:val="24"/>
        </w:rPr>
      </w:pPr>
      <w:r w:rsidRPr="00035371">
        <w:rPr>
          <w:rFonts w:ascii="Arial" w:hAnsi="Arial" w:cs="Arial"/>
          <w:sz w:val="24"/>
          <w:szCs w:val="24"/>
        </w:rPr>
        <w:t>Stathopoulou, G., Powers, M. B., Berry, A. C., Smits, J. A. J., &amp; Otto, M. W. (2006). Exercise Interventions for Mental Health: A Quantitative and Qualitative Review. Clinical Psychology: Science and Practice, 13(2), 179–193.</w:t>
      </w:r>
    </w:p>
    <w:p w14:paraId="78DD8D17" w14:textId="77777777" w:rsidR="002D3837" w:rsidRPr="00035371" w:rsidRDefault="006B31E3" w:rsidP="009F50F9">
      <w:pPr>
        <w:pStyle w:val="Title"/>
        <w:numPr>
          <w:ilvl w:val="0"/>
          <w:numId w:val="20"/>
        </w:numPr>
        <w:spacing w:after="240"/>
        <w:jc w:val="both"/>
        <w:rPr>
          <w:rFonts w:ascii="Arial" w:hAnsi="Arial" w:cs="Arial"/>
          <w:sz w:val="24"/>
          <w:szCs w:val="24"/>
        </w:rPr>
      </w:pPr>
      <w:r w:rsidRPr="00035371">
        <w:rPr>
          <w:rFonts w:ascii="Arial" w:hAnsi="Arial" w:cs="Arial"/>
          <w:sz w:val="24"/>
          <w:szCs w:val="24"/>
        </w:rPr>
        <w:t>Strickland, J. C., &amp; Smith, M. A. (2014). The anxiolytic effects of resistance exercise. Frontiers in Psychology, 5, 753.</w:t>
      </w:r>
    </w:p>
    <w:p w14:paraId="7B3B3CDD" w14:textId="77777777" w:rsidR="002D3837" w:rsidRPr="00035371" w:rsidRDefault="00E00599" w:rsidP="009F50F9">
      <w:pPr>
        <w:pStyle w:val="Title"/>
        <w:numPr>
          <w:ilvl w:val="0"/>
          <w:numId w:val="20"/>
        </w:numPr>
        <w:spacing w:after="240"/>
        <w:jc w:val="both"/>
        <w:rPr>
          <w:rFonts w:ascii="Arial" w:hAnsi="Arial" w:cs="Arial"/>
          <w:sz w:val="24"/>
          <w:szCs w:val="24"/>
        </w:rPr>
      </w:pPr>
      <w:r w:rsidRPr="00035371">
        <w:rPr>
          <w:rFonts w:ascii="Arial" w:hAnsi="Arial" w:cs="Arial"/>
          <w:sz w:val="24"/>
          <w:szCs w:val="24"/>
        </w:rPr>
        <w:t>Telles, S., &amp; Dash, M. (2004). Yogic practices on oxidative stress and antioxidant levels in humans. Indian Journal of Physiology and Pharmacology, 48(3), 353–356.</w:t>
      </w:r>
    </w:p>
    <w:p w14:paraId="7DBE2A90" w14:textId="77777777" w:rsidR="00441DD7" w:rsidRPr="00035371" w:rsidRDefault="00012646" w:rsidP="009F50F9">
      <w:pPr>
        <w:pStyle w:val="Title"/>
        <w:numPr>
          <w:ilvl w:val="0"/>
          <w:numId w:val="20"/>
        </w:numPr>
        <w:spacing w:after="240"/>
        <w:jc w:val="both"/>
        <w:rPr>
          <w:rStyle w:val="Hyperlink"/>
          <w:rFonts w:ascii="Arial" w:hAnsi="Arial" w:cs="Arial"/>
          <w:color w:val="auto"/>
          <w:sz w:val="24"/>
          <w:szCs w:val="24"/>
          <w:u w:val="none"/>
        </w:rPr>
      </w:pPr>
      <w:r w:rsidRPr="00035371">
        <w:rPr>
          <w:rFonts w:ascii="Arial" w:hAnsi="Arial" w:cs="Arial"/>
          <w:sz w:val="24"/>
          <w:szCs w:val="24"/>
        </w:rPr>
        <w:t xml:space="preserve">The Bhagavad Gita. (n.d.). Retrieved from </w:t>
      </w:r>
      <w:hyperlink r:id="rId12" w:history="1">
        <w:r w:rsidR="002D3837" w:rsidRPr="00035371">
          <w:rPr>
            <w:rStyle w:val="Hyperlink"/>
            <w:rFonts w:ascii="Arial" w:hAnsi="Arial" w:cs="Arial"/>
            <w:color w:val="auto"/>
            <w:sz w:val="24"/>
            <w:szCs w:val="24"/>
            <w:u w:val="none"/>
          </w:rPr>
          <w:t>https://www.holy-bhagavad-gita.org/</w:t>
        </w:r>
      </w:hyperlink>
    </w:p>
    <w:p w14:paraId="78BC7367" w14:textId="06E6F52F" w:rsidR="008F2352" w:rsidRDefault="008F2352" w:rsidP="009F50F9">
      <w:pPr>
        <w:pStyle w:val="Title"/>
        <w:numPr>
          <w:ilvl w:val="0"/>
          <w:numId w:val="20"/>
        </w:numPr>
        <w:spacing w:after="240"/>
        <w:jc w:val="both"/>
        <w:rPr>
          <w:rStyle w:val="Hyperlink"/>
          <w:rFonts w:ascii="Arial" w:hAnsi="Arial" w:cs="Arial"/>
          <w:color w:val="auto"/>
          <w:sz w:val="24"/>
          <w:szCs w:val="24"/>
          <w:u w:val="none"/>
        </w:rPr>
      </w:pPr>
      <w:r w:rsidRPr="00035371">
        <w:rPr>
          <w:rStyle w:val="Hyperlink"/>
          <w:rFonts w:ascii="Arial" w:hAnsi="Arial" w:cs="Arial"/>
          <w:color w:val="auto"/>
          <w:sz w:val="24"/>
          <w:szCs w:val="24"/>
          <w:u w:val="none"/>
        </w:rPr>
        <w:t>Thorsen, R. S., &amp; Pouliot, M. (2016). Powering up: Ayurveda, electricity, and the process of electrification in India. Journal of the Royal Anthropological Institute, 22(4), 783–804.</w:t>
      </w:r>
    </w:p>
    <w:p w14:paraId="7D6C6B10" w14:textId="0CD5F8AA" w:rsidR="009F50F9" w:rsidRPr="00035371" w:rsidRDefault="009F50F9" w:rsidP="009F50F9">
      <w:pPr>
        <w:pStyle w:val="Title"/>
        <w:numPr>
          <w:ilvl w:val="0"/>
          <w:numId w:val="20"/>
        </w:numPr>
        <w:spacing w:after="240"/>
        <w:jc w:val="both"/>
        <w:rPr>
          <w:rStyle w:val="Hyperlink"/>
          <w:rFonts w:ascii="Arial" w:hAnsi="Arial" w:cs="Arial"/>
          <w:color w:val="auto"/>
          <w:sz w:val="24"/>
          <w:szCs w:val="24"/>
          <w:u w:val="none"/>
        </w:rPr>
      </w:pPr>
      <w:r w:rsidRPr="009F50F9">
        <w:rPr>
          <w:rFonts w:ascii="Arial" w:hAnsi="Arial" w:cs="Arial"/>
          <w:sz w:val="24"/>
          <w:szCs w:val="24"/>
        </w:rPr>
        <w:t xml:space="preserve">Tripathi, R. C. (2024). </w:t>
      </w:r>
      <w:proofErr w:type="spellStart"/>
      <w:r w:rsidRPr="009F50F9">
        <w:rPr>
          <w:rFonts w:ascii="Arial" w:hAnsi="Arial" w:cs="Arial"/>
          <w:sz w:val="24"/>
          <w:szCs w:val="24"/>
        </w:rPr>
        <w:t>Revitalising</w:t>
      </w:r>
      <w:proofErr w:type="spellEnd"/>
      <w:r w:rsidRPr="009F50F9">
        <w:rPr>
          <w:rFonts w:ascii="Arial" w:hAnsi="Arial" w:cs="Arial"/>
          <w:sz w:val="24"/>
          <w:szCs w:val="24"/>
        </w:rPr>
        <w:t xml:space="preserve"> indigenous sports in India: an examination of their impact on fostering social and character development of children. </w:t>
      </w:r>
      <w:r w:rsidRPr="009F50F9">
        <w:rPr>
          <w:rFonts w:ascii="Arial" w:hAnsi="Arial" w:cs="Arial"/>
          <w:i/>
          <w:iCs/>
          <w:sz w:val="24"/>
          <w:szCs w:val="24"/>
        </w:rPr>
        <w:t>Curriculum Studies in Health and Physical Education</w:t>
      </w:r>
      <w:r w:rsidRPr="009F50F9">
        <w:rPr>
          <w:rFonts w:ascii="Arial" w:hAnsi="Arial" w:cs="Arial"/>
          <w:sz w:val="24"/>
          <w:szCs w:val="24"/>
        </w:rPr>
        <w:t>, 1–12. https://doi.org/10.1080/25742981.2024.2400259</w:t>
      </w:r>
    </w:p>
    <w:p w14:paraId="7257F042" w14:textId="77777777" w:rsidR="00441DD7" w:rsidRPr="00035371" w:rsidRDefault="00967AA8" w:rsidP="009F50F9">
      <w:pPr>
        <w:pStyle w:val="Title"/>
        <w:numPr>
          <w:ilvl w:val="0"/>
          <w:numId w:val="20"/>
        </w:numPr>
        <w:spacing w:after="240"/>
        <w:jc w:val="both"/>
        <w:rPr>
          <w:rFonts w:ascii="Arial" w:hAnsi="Arial" w:cs="Arial"/>
          <w:sz w:val="24"/>
          <w:szCs w:val="24"/>
        </w:rPr>
      </w:pPr>
      <w:r w:rsidRPr="00035371">
        <w:rPr>
          <w:rFonts w:ascii="Arial" w:hAnsi="Arial" w:cs="Arial"/>
          <w:sz w:val="24"/>
          <w:szCs w:val="24"/>
        </w:rPr>
        <w:t xml:space="preserve">Tripathi, R. C., </w:t>
      </w:r>
      <w:proofErr w:type="spellStart"/>
      <w:r w:rsidRPr="00035371">
        <w:rPr>
          <w:rFonts w:ascii="Arial" w:hAnsi="Arial" w:cs="Arial"/>
          <w:sz w:val="24"/>
          <w:szCs w:val="24"/>
        </w:rPr>
        <w:t>Naushi</w:t>
      </w:r>
      <w:proofErr w:type="spellEnd"/>
      <w:r w:rsidRPr="00035371">
        <w:rPr>
          <w:rFonts w:ascii="Arial" w:hAnsi="Arial" w:cs="Arial"/>
          <w:sz w:val="24"/>
          <w:szCs w:val="24"/>
        </w:rPr>
        <w:t xml:space="preserve">, B., &amp; Bano, S. (2023). Role of Sport Participation in Youth Experience, Youth Development and Life Satisfaction. Journal of Psychosocial Research 155-164 DOI No.: </w:t>
      </w:r>
      <w:hyperlink r:id="rId13" w:history="1">
        <w:r w:rsidR="00441DD7" w:rsidRPr="00035371">
          <w:rPr>
            <w:rStyle w:val="Hyperlink"/>
            <w:rFonts w:ascii="Arial" w:hAnsi="Arial" w:cs="Arial"/>
            <w:color w:val="auto"/>
            <w:sz w:val="24"/>
            <w:szCs w:val="24"/>
            <w:u w:val="none"/>
          </w:rPr>
          <w:t>https://doi.org/10.32381/JPR.2023.18.02</w:t>
        </w:r>
      </w:hyperlink>
      <w:r w:rsidRPr="00035371">
        <w:rPr>
          <w:rFonts w:ascii="Arial" w:hAnsi="Arial" w:cs="Arial"/>
          <w:sz w:val="24"/>
          <w:szCs w:val="24"/>
        </w:rPr>
        <w:t>.</w:t>
      </w:r>
    </w:p>
    <w:p w14:paraId="54085196" w14:textId="77777777" w:rsidR="00441DD7" w:rsidRPr="00035371" w:rsidRDefault="00967AA8" w:rsidP="009F50F9">
      <w:pPr>
        <w:pStyle w:val="Title"/>
        <w:numPr>
          <w:ilvl w:val="0"/>
          <w:numId w:val="20"/>
        </w:numPr>
        <w:spacing w:after="240"/>
        <w:jc w:val="both"/>
        <w:rPr>
          <w:rFonts w:ascii="Arial" w:hAnsi="Arial" w:cs="Arial"/>
          <w:sz w:val="24"/>
          <w:szCs w:val="24"/>
        </w:rPr>
      </w:pPr>
      <w:r w:rsidRPr="00035371">
        <w:rPr>
          <w:rFonts w:ascii="Arial" w:hAnsi="Arial" w:cs="Arial"/>
          <w:sz w:val="24"/>
          <w:szCs w:val="24"/>
          <w:u w:color="333399"/>
        </w:rPr>
        <w:t xml:space="preserve">Tripathi, R. C., Singh, A., Vyas, R., </w:t>
      </w:r>
      <w:r w:rsidRPr="00035371">
        <w:rPr>
          <w:rFonts w:ascii="Arial" w:hAnsi="Arial" w:cs="Arial"/>
          <w:sz w:val="24"/>
          <w:szCs w:val="24"/>
          <w:u w:color="333399"/>
          <w:lang w:val="it-IT"/>
        </w:rPr>
        <w:t xml:space="preserve">&amp; Faridi, M. (2022) Youth Development, Life Satisfaction and Psychological Problems among Sport Persons and Non-Sport Persons. </w:t>
      </w:r>
      <w:r w:rsidRPr="00035371">
        <w:rPr>
          <w:rFonts w:ascii="Arial" w:hAnsi="Arial" w:cs="Arial"/>
          <w:sz w:val="24"/>
          <w:szCs w:val="24"/>
        </w:rPr>
        <w:t>International Journal of Early Childhood Special Education (INT-JECSE) Vol 14 (08) DOI:10.48047/</w:t>
      </w:r>
      <w:proofErr w:type="spellStart"/>
      <w:r w:rsidRPr="00035371">
        <w:rPr>
          <w:rFonts w:ascii="Arial" w:hAnsi="Arial" w:cs="Arial"/>
          <w:sz w:val="24"/>
          <w:szCs w:val="24"/>
        </w:rPr>
        <w:t>intjecse</w:t>
      </w:r>
      <w:proofErr w:type="spellEnd"/>
      <w:r w:rsidRPr="00035371">
        <w:rPr>
          <w:rFonts w:ascii="Arial" w:hAnsi="Arial" w:cs="Arial"/>
          <w:sz w:val="24"/>
          <w:szCs w:val="24"/>
        </w:rPr>
        <w:t>/V14I8.357</w:t>
      </w:r>
    </w:p>
    <w:p w14:paraId="1CFF6CE9" w14:textId="7F538092" w:rsidR="00441DD7" w:rsidRPr="00035371" w:rsidRDefault="00441DD7" w:rsidP="009F50F9">
      <w:pPr>
        <w:pStyle w:val="Title"/>
        <w:numPr>
          <w:ilvl w:val="0"/>
          <w:numId w:val="20"/>
        </w:numPr>
        <w:spacing w:after="240"/>
        <w:jc w:val="both"/>
        <w:rPr>
          <w:rFonts w:ascii="Arial" w:hAnsi="Arial" w:cs="Arial"/>
          <w:sz w:val="24"/>
          <w:szCs w:val="24"/>
        </w:rPr>
      </w:pPr>
      <w:r w:rsidRPr="00035371">
        <w:rPr>
          <w:rFonts w:ascii="Arial" w:hAnsi="Arial" w:cs="Arial"/>
          <w:sz w:val="24"/>
          <w:szCs w:val="24"/>
        </w:rPr>
        <w:t xml:space="preserve">Tripathi, R. C. (2022) Yoga: A Healing Therapy for Stress Management among Youth, </w:t>
      </w:r>
      <w:r w:rsidRPr="00035371">
        <w:rPr>
          <w:rFonts w:ascii="Arial" w:hAnsi="Arial" w:cs="Arial"/>
          <w:i/>
          <w:iCs/>
          <w:sz w:val="24"/>
          <w:szCs w:val="24"/>
        </w:rPr>
        <w:t>National Journal of Education,</w:t>
      </w:r>
      <w:r w:rsidRPr="00035371">
        <w:rPr>
          <w:rFonts w:ascii="Arial" w:hAnsi="Arial" w:cs="Arial"/>
          <w:sz w:val="24"/>
          <w:szCs w:val="24"/>
        </w:rPr>
        <w:t xml:space="preserve"> Vol. XX No. (2), 25-39.</w:t>
      </w:r>
    </w:p>
    <w:p w14:paraId="3FE1D524" w14:textId="77777777" w:rsidR="00441DD7" w:rsidRPr="00035371" w:rsidRDefault="00441DD7" w:rsidP="009F50F9">
      <w:pPr>
        <w:pStyle w:val="Title"/>
        <w:numPr>
          <w:ilvl w:val="0"/>
          <w:numId w:val="20"/>
        </w:numPr>
        <w:spacing w:after="240"/>
        <w:jc w:val="both"/>
        <w:rPr>
          <w:rFonts w:ascii="Arial" w:hAnsi="Arial" w:cs="Arial"/>
          <w:sz w:val="24"/>
          <w:szCs w:val="24"/>
        </w:rPr>
      </w:pPr>
      <w:r w:rsidRPr="00035371">
        <w:rPr>
          <w:rFonts w:ascii="Arial" w:hAnsi="Arial" w:cs="Arial"/>
          <w:sz w:val="24"/>
          <w:szCs w:val="24"/>
        </w:rPr>
        <w:t xml:space="preserve">Tripathi, R. C. (2022) Traditional Sports and Games: A Cultural Saga of Indian Soil. </w:t>
      </w:r>
      <w:r w:rsidRPr="00035371">
        <w:rPr>
          <w:rFonts w:ascii="Arial" w:hAnsi="Arial" w:cs="Arial"/>
          <w:i/>
          <w:iCs/>
          <w:sz w:val="24"/>
          <w:szCs w:val="24"/>
        </w:rPr>
        <w:t>International Journal of Enhanced Research in Educational Development, Peer Reviewed (IJERED)</w:t>
      </w:r>
      <w:r w:rsidRPr="00035371">
        <w:rPr>
          <w:rFonts w:ascii="Arial" w:hAnsi="Arial" w:cs="Arial"/>
          <w:sz w:val="24"/>
          <w:szCs w:val="24"/>
        </w:rPr>
        <w:t xml:space="preserve"> Vol. 10 Issue 3, 50-54, </w:t>
      </w:r>
      <w:proofErr w:type="gramStart"/>
      <w:r w:rsidRPr="00035371">
        <w:rPr>
          <w:rFonts w:ascii="Arial" w:hAnsi="Arial" w:cs="Arial"/>
          <w:sz w:val="24"/>
          <w:szCs w:val="24"/>
        </w:rPr>
        <w:t>DOI :</w:t>
      </w:r>
      <w:proofErr w:type="gramEnd"/>
      <w:r w:rsidRPr="00035371">
        <w:rPr>
          <w:rFonts w:ascii="Arial" w:hAnsi="Arial" w:cs="Arial"/>
          <w:sz w:val="24"/>
          <w:szCs w:val="24"/>
        </w:rPr>
        <w:t xml:space="preserve"> </w:t>
      </w:r>
      <w:hyperlink r:id="rId14" w:history="1">
        <w:r w:rsidRPr="00035371">
          <w:rPr>
            <w:rStyle w:val="Hyperlink"/>
            <w:rFonts w:ascii="Arial" w:hAnsi="Arial" w:cs="Arial"/>
            <w:color w:val="auto"/>
            <w:sz w:val="24"/>
            <w:szCs w:val="24"/>
            <w:u w:val="none"/>
          </w:rPr>
          <w:t>http://www.doi.ed/22.05.09</w:t>
        </w:r>
      </w:hyperlink>
    </w:p>
    <w:p w14:paraId="290A376C" w14:textId="77777777" w:rsidR="00441DD7" w:rsidRPr="00035371" w:rsidRDefault="00441DD7" w:rsidP="009F50F9">
      <w:pPr>
        <w:pStyle w:val="Title"/>
        <w:numPr>
          <w:ilvl w:val="0"/>
          <w:numId w:val="20"/>
        </w:numPr>
        <w:spacing w:after="240"/>
        <w:jc w:val="both"/>
        <w:rPr>
          <w:rFonts w:ascii="Arial" w:hAnsi="Arial" w:cs="Arial"/>
          <w:sz w:val="24"/>
          <w:szCs w:val="24"/>
        </w:rPr>
      </w:pPr>
      <w:r w:rsidRPr="00035371">
        <w:rPr>
          <w:rFonts w:ascii="Arial" w:hAnsi="Arial" w:cs="Arial"/>
          <w:sz w:val="24"/>
          <w:szCs w:val="24"/>
        </w:rPr>
        <w:lastRenderedPageBreak/>
        <w:t xml:space="preserve">Tripathi, R. C. (2021) Role of Sports Culture in Psychological Well-being of School Children, </w:t>
      </w:r>
      <w:r w:rsidRPr="00035371">
        <w:rPr>
          <w:rFonts w:ascii="Arial" w:hAnsi="Arial" w:cs="Arial"/>
          <w:i/>
          <w:iCs/>
          <w:sz w:val="24"/>
          <w:szCs w:val="24"/>
        </w:rPr>
        <w:t>SHODH SANCHAR BULLETIN (An International Bilingual Peer Reviewed Refereed Research Journal)</w:t>
      </w:r>
      <w:r w:rsidRPr="00035371">
        <w:rPr>
          <w:rFonts w:ascii="Arial" w:hAnsi="Arial" w:cs="Arial"/>
          <w:sz w:val="24"/>
          <w:szCs w:val="24"/>
        </w:rPr>
        <w:t xml:space="preserve"> Vol. 11, Issue 41, 73-77 -3620, UGC care listed </w:t>
      </w:r>
    </w:p>
    <w:p w14:paraId="382036D3" w14:textId="77777777" w:rsidR="00441DD7" w:rsidRPr="00035371" w:rsidRDefault="00441DD7" w:rsidP="009F50F9">
      <w:pPr>
        <w:pStyle w:val="Title"/>
        <w:numPr>
          <w:ilvl w:val="0"/>
          <w:numId w:val="20"/>
        </w:numPr>
        <w:spacing w:after="240"/>
        <w:jc w:val="both"/>
        <w:rPr>
          <w:rFonts w:ascii="Arial" w:hAnsi="Arial" w:cs="Arial"/>
          <w:sz w:val="24"/>
          <w:szCs w:val="24"/>
        </w:rPr>
      </w:pPr>
      <w:r w:rsidRPr="00035371">
        <w:rPr>
          <w:rFonts w:ascii="Arial" w:hAnsi="Arial" w:cs="Arial"/>
          <w:sz w:val="24"/>
          <w:szCs w:val="24"/>
        </w:rPr>
        <w:t xml:space="preserve">Tripathi, R. C. (2019) Promoting Youth Development Through Sport Culture </w:t>
      </w:r>
      <w:r w:rsidRPr="00035371">
        <w:rPr>
          <w:rFonts w:ascii="Arial" w:hAnsi="Arial" w:cs="Arial"/>
          <w:i/>
          <w:iCs/>
          <w:sz w:val="24"/>
          <w:szCs w:val="24"/>
        </w:rPr>
        <w:t>SHODH SARITA</w:t>
      </w:r>
      <w:r w:rsidRPr="00035371">
        <w:rPr>
          <w:rFonts w:ascii="Arial" w:hAnsi="Arial" w:cs="Arial"/>
          <w:sz w:val="24"/>
          <w:szCs w:val="24"/>
        </w:rPr>
        <w:t xml:space="preserve"> (</w:t>
      </w:r>
      <w:r w:rsidRPr="00035371">
        <w:rPr>
          <w:rFonts w:ascii="Arial" w:hAnsi="Arial" w:cs="Arial"/>
          <w:i/>
          <w:iCs/>
          <w:sz w:val="24"/>
          <w:szCs w:val="24"/>
        </w:rPr>
        <w:t>An International Bilingual Peer Reviewed Refereed Research Journal</w:t>
      </w:r>
      <w:r w:rsidRPr="00035371">
        <w:rPr>
          <w:rFonts w:ascii="Arial" w:hAnsi="Arial" w:cs="Arial"/>
          <w:sz w:val="24"/>
          <w:szCs w:val="24"/>
        </w:rPr>
        <w:t xml:space="preserve">) Vol. 6, Issue 24 (II) </w:t>
      </w:r>
    </w:p>
    <w:p w14:paraId="1BB2C540" w14:textId="02779B99" w:rsidR="00D86B05" w:rsidRPr="00035371" w:rsidRDefault="00D86B05" w:rsidP="009F50F9">
      <w:pPr>
        <w:pStyle w:val="Title"/>
        <w:numPr>
          <w:ilvl w:val="0"/>
          <w:numId w:val="20"/>
        </w:numPr>
        <w:spacing w:after="240"/>
        <w:jc w:val="both"/>
        <w:rPr>
          <w:rFonts w:ascii="Arial" w:hAnsi="Arial" w:cs="Arial"/>
          <w:sz w:val="24"/>
          <w:szCs w:val="24"/>
        </w:rPr>
      </w:pPr>
      <w:r w:rsidRPr="00035371">
        <w:rPr>
          <w:rFonts w:ascii="Arial" w:hAnsi="Arial" w:cs="Arial"/>
          <w:sz w:val="24"/>
          <w:szCs w:val="24"/>
        </w:rPr>
        <w:t>Tripathi, A. (2019). Indigenous approaches to health and well-being: A challenge for self-reliance. In R. Kapur, &amp; M. Prakash (Eds.), Well-being in India: Conceptualization and Measurement (pp. 199–217). Springer.</w:t>
      </w:r>
    </w:p>
    <w:p w14:paraId="08ACB644" w14:textId="567A97D9" w:rsidR="00441DD7" w:rsidRPr="00035371" w:rsidRDefault="00441DD7" w:rsidP="009F50F9">
      <w:pPr>
        <w:pStyle w:val="Title"/>
        <w:numPr>
          <w:ilvl w:val="0"/>
          <w:numId w:val="20"/>
        </w:numPr>
        <w:spacing w:after="240"/>
        <w:jc w:val="both"/>
        <w:rPr>
          <w:rFonts w:ascii="Arial" w:hAnsi="Arial" w:cs="Arial"/>
          <w:sz w:val="24"/>
          <w:szCs w:val="24"/>
        </w:rPr>
      </w:pPr>
      <w:r w:rsidRPr="00035371">
        <w:rPr>
          <w:rFonts w:ascii="Arial" w:hAnsi="Arial" w:cs="Arial"/>
          <w:sz w:val="24"/>
          <w:szCs w:val="24"/>
          <w:u w:color="333399"/>
        </w:rPr>
        <w:t xml:space="preserve">Tripathi, R. C., </w:t>
      </w:r>
      <w:r w:rsidRPr="00035371">
        <w:rPr>
          <w:rFonts w:ascii="Arial" w:hAnsi="Arial" w:cs="Arial"/>
          <w:sz w:val="24"/>
          <w:szCs w:val="24"/>
          <w:u w:color="333399"/>
          <w:lang w:val="it-IT"/>
        </w:rPr>
        <w:t xml:space="preserve">&amp; Bano, S. (2014). </w:t>
      </w:r>
      <w:r w:rsidRPr="00035371">
        <w:rPr>
          <w:rFonts w:ascii="Arial" w:hAnsi="Arial" w:cs="Arial"/>
          <w:sz w:val="24"/>
          <w:szCs w:val="24"/>
        </w:rPr>
        <w:t xml:space="preserve">Yogic Practices: A healing therapy to relieve stress of middle age people. </w:t>
      </w:r>
      <w:r w:rsidRPr="00035371">
        <w:rPr>
          <w:rFonts w:ascii="Arial" w:hAnsi="Arial" w:cs="Arial"/>
          <w:i/>
          <w:iCs/>
          <w:sz w:val="24"/>
          <w:szCs w:val="24"/>
        </w:rPr>
        <w:t>Journal of Psychosocial Research (APA-Index Journal) 9(2)</w:t>
      </w:r>
      <w:r w:rsidRPr="00035371">
        <w:rPr>
          <w:rFonts w:ascii="Arial" w:hAnsi="Arial" w:cs="Arial"/>
          <w:sz w:val="24"/>
          <w:szCs w:val="24"/>
        </w:rPr>
        <w:t xml:space="preserve"> 319-328</w:t>
      </w:r>
    </w:p>
    <w:p w14:paraId="0F2F4815" w14:textId="77777777" w:rsidR="002D3837" w:rsidRPr="00035371" w:rsidRDefault="00E00599" w:rsidP="009F50F9">
      <w:pPr>
        <w:pStyle w:val="Title"/>
        <w:numPr>
          <w:ilvl w:val="0"/>
          <w:numId w:val="20"/>
        </w:numPr>
        <w:spacing w:after="240"/>
        <w:jc w:val="both"/>
        <w:rPr>
          <w:rFonts w:ascii="Arial" w:hAnsi="Arial" w:cs="Arial"/>
          <w:sz w:val="24"/>
          <w:szCs w:val="24"/>
        </w:rPr>
      </w:pPr>
      <w:r w:rsidRPr="00035371">
        <w:rPr>
          <w:rFonts w:ascii="Arial" w:hAnsi="Arial" w:cs="Arial"/>
          <w:sz w:val="24"/>
          <w:szCs w:val="24"/>
        </w:rPr>
        <w:t xml:space="preserve">Warburton, D. E. R., Nicol, C. W., &amp; Bredin, S. S. D. (2019). Health benefits of physical activity: The evidence. Canadian Medical Association Journal, 174(6), 801–809. </w:t>
      </w:r>
      <w:hyperlink r:id="rId15" w:history="1">
        <w:r w:rsidR="00FC2E28" w:rsidRPr="00035371">
          <w:rPr>
            <w:rStyle w:val="Hyperlink"/>
            <w:rFonts w:ascii="Arial" w:hAnsi="Arial" w:cs="Arial"/>
            <w:color w:val="auto"/>
            <w:sz w:val="24"/>
            <w:szCs w:val="24"/>
            <w:u w:val="none"/>
          </w:rPr>
          <w:t>https://doi.org/10.1503/cmaj.051351</w:t>
        </w:r>
      </w:hyperlink>
    </w:p>
    <w:p w14:paraId="2188CACF" w14:textId="77777777" w:rsidR="002D3837" w:rsidRPr="00035371" w:rsidRDefault="00FC2E28" w:rsidP="009F50F9">
      <w:pPr>
        <w:pStyle w:val="Title"/>
        <w:numPr>
          <w:ilvl w:val="0"/>
          <w:numId w:val="20"/>
        </w:numPr>
        <w:spacing w:after="240"/>
        <w:jc w:val="both"/>
        <w:rPr>
          <w:rFonts w:ascii="Arial" w:hAnsi="Arial" w:cs="Arial"/>
          <w:sz w:val="24"/>
          <w:szCs w:val="24"/>
        </w:rPr>
      </w:pPr>
      <w:r w:rsidRPr="00035371">
        <w:rPr>
          <w:rFonts w:ascii="Arial" w:hAnsi="Arial" w:cs="Arial"/>
          <w:sz w:val="24"/>
          <w:szCs w:val="24"/>
        </w:rPr>
        <w:t>Warburton, D. E., Nicol, C. W., &amp; Bredin, S. S. (2006). Health benefits of physical activity: the evidence. Canadian Medical Association Journal, 174(6), 801-809.</w:t>
      </w:r>
    </w:p>
    <w:p w14:paraId="5EF9B947" w14:textId="32E54B5C" w:rsidR="006B31E3" w:rsidRPr="00035371" w:rsidRDefault="00E00599" w:rsidP="009F50F9">
      <w:pPr>
        <w:pStyle w:val="Title"/>
        <w:numPr>
          <w:ilvl w:val="0"/>
          <w:numId w:val="20"/>
        </w:numPr>
        <w:spacing w:after="240"/>
        <w:jc w:val="both"/>
        <w:rPr>
          <w:rFonts w:ascii="Arial" w:hAnsi="Arial" w:cs="Arial"/>
          <w:sz w:val="24"/>
          <w:szCs w:val="24"/>
        </w:rPr>
      </w:pPr>
      <w:r w:rsidRPr="00035371">
        <w:rPr>
          <w:rFonts w:ascii="Arial" w:hAnsi="Arial" w:cs="Arial"/>
          <w:sz w:val="24"/>
          <w:szCs w:val="24"/>
        </w:rPr>
        <w:t>World Health Organization. (2018). Global action plan on physical activity 2018–2030: More active people for a healthier world. World Health Organization.</w:t>
      </w:r>
    </w:p>
    <w:p w14:paraId="3E84C895" w14:textId="3165BAB5" w:rsidR="00595901" w:rsidRPr="00035371" w:rsidRDefault="00595901" w:rsidP="009F50F9">
      <w:pPr>
        <w:pStyle w:val="Title"/>
        <w:numPr>
          <w:ilvl w:val="0"/>
          <w:numId w:val="20"/>
        </w:numPr>
        <w:spacing w:after="240"/>
        <w:jc w:val="both"/>
        <w:rPr>
          <w:rFonts w:ascii="Arial" w:hAnsi="Arial" w:cs="Arial"/>
          <w:sz w:val="24"/>
          <w:szCs w:val="24"/>
        </w:rPr>
      </w:pPr>
      <w:r w:rsidRPr="00035371">
        <w:rPr>
          <w:rFonts w:ascii="Arial" w:hAnsi="Arial" w:cs="Arial"/>
          <w:sz w:val="24"/>
          <w:szCs w:val="24"/>
        </w:rPr>
        <w:t>World Health Organization. (2020). Global action plan on physical activity 2018–2030: More active people for a healthier world. World Health Organization. https://www.who.int/publications/i/item/9789241514187</w:t>
      </w:r>
    </w:p>
    <w:p w14:paraId="2D45AF56" w14:textId="77777777" w:rsidR="006B31E3" w:rsidRPr="00035371" w:rsidRDefault="006B31E3" w:rsidP="00035371">
      <w:pPr>
        <w:pStyle w:val="Title"/>
        <w:spacing w:before="240" w:after="240"/>
        <w:ind w:left="0"/>
        <w:jc w:val="both"/>
        <w:rPr>
          <w:rFonts w:ascii="Arial" w:hAnsi="Arial" w:cs="Arial"/>
          <w:sz w:val="24"/>
          <w:szCs w:val="24"/>
        </w:rPr>
      </w:pPr>
    </w:p>
    <w:sectPr w:rsidR="006B31E3" w:rsidRPr="00035371" w:rsidSect="002B6F48">
      <w:headerReference w:type="even" r:id="rId16"/>
      <w:headerReference w:type="default" r:id="rId17"/>
      <w:footerReference w:type="even" r:id="rId18"/>
      <w:footerReference w:type="default" r:id="rId19"/>
      <w:headerReference w:type="first" r:id="rId20"/>
      <w:footerReference w:type="first" r:id="rId21"/>
      <w:type w:val="continuous"/>
      <w:pgSz w:w="11900" w:h="16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98E7E2" w14:textId="77777777" w:rsidR="009F7A19" w:rsidRDefault="009F7A19" w:rsidP="009D54AC">
      <w:r>
        <w:separator/>
      </w:r>
    </w:p>
  </w:endnote>
  <w:endnote w:type="continuationSeparator" w:id="0">
    <w:p w14:paraId="5E4A4DEF" w14:textId="77777777" w:rsidR="009F7A19" w:rsidRDefault="009F7A19" w:rsidP="009D54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D73EA5" w14:textId="77777777" w:rsidR="009D54AC" w:rsidRDefault="009D54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EA9087" w14:textId="77777777" w:rsidR="009D54AC" w:rsidRDefault="009D54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2D40CF" w14:textId="77777777" w:rsidR="009D54AC" w:rsidRDefault="009D54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5D5249" w14:textId="77777777" w:rsidR="009F7A19" w:rsidRDefault="009F7A19" w:rsidP="009D54AC">
      <w:r>
        <w:separator/>
      </w:r>
    </w:p>
  </w:footnote>
  <w:footnote w:type="continuationSeparator" w:id="0">
    <w:p w14:paraId="17F12C67" w14:textId="77777777" w:rsidR="009F7A19" w:rsidRDefault="009F7A19" w:rsidP="009D54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699C2" w14:textId="371488CE" w:rsidR="009D54AC" w:rsidRDefault="009D54AC">
    <w:pPr>
      <w:pStyle w:val="Header"/>
    </w:pPr>
    <w:r>
      <w:rPr>
        <w:noProof/>
      </w:rPr>
      <w:pict w14:anchorId="7A58AD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3937110" o:spid="_x0000_s2050" type="#_x0000_t136" style="position:absolute;margin-left:0;margin-top:0;width:535.4pt;height:100.3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8DD956" w14:textId="005A3871" w:rsidR="009D54AC" w:rsidRDefault="009D54AC">
    <w:pPr>
      <w:pStyle w:val="Header"/>
    </w:pPr>
    <w:r>
      <w:rPr>
        <w:noProof/>
      </w:rPr>
      <w:pict w14:anchorId="66DB26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3937111" o:spid="_x0000_s2051" type="#_x0000_t136" style="position:absolute;margin-left:0;margin-top:0;width:535.4pt;height:100.3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3E3169" w14:textId="23269033" w:rsidR="009D54AC" w:rsidRDefault="009D54AC">
    <w:pPr>
      <w:pStyle w:val="Header"/>
    </w:pPr>
    <w:r>
      <w:rPr>
        <w:noProof/>
      </w:rPr>
      <w:pict w14:anchorId="38334D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3937109" o:spid="_x0000_s2049" type="#_x0000_t136" style="position:absolute;margin-left:0;margin-top:0;width:535.4pt;height:100.3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420.25pt;height:952.55pt" o:bullet="t">
        <v:imagedata r:id="rId1" o:title="20090809_Lotus_flower_2736[1]"/>
      </v:shape>
    </w:pict>
  </w:numPicBullet>
  <w:abstractNum w:abstractNumId="0" w15:restartNumberingAfterBreak="0">
    <w:nsid w:val="0CB118B3"/>
    <w:multiLevelType w:val="hybridMultilevel"/>
    <w:tmpl w:val="A220361A"/>
    <w:lvl w:ilvl="0" w:tplc="40090009">
      <w:start w:val="1"/>
      <w:numFmt w:val="bullet"/>
      <w:lvlText w:val=""/>
      <w:lvlJc w:val="left"/>
      <w:pPr>
        <w:ind w:left="1295"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ED53ECC"/>
    <w:multiLevelType w:val="hybridMultilevel"/>
    <w:tmpl w:val="CDFE0A16"/>
    <w:lvl w:ilvl="0" w:tplc="4009000F">
      <w:start w:val="1"/>
      <w:numFmt w:val="decimal"/>
      <w:lvlText w:val="%1."/>
      <w:lvlJc w:val="left"/>
      <w:pPr>
        <w:ind w:left="1087" w:hanging="360"/>
      </w:pPr>
    </w:lvl>
    <w:lvl w:ilvl="1" w:tplc="40090019" w:tentative="1">
      <w:start w:val="1"/>
      <w:numFmt w:val="lowerLetter"/>
      <w:lvlText w:val="%2."/>
      <w:lvlJc w:val="left"/>
      <w:pPr>
        <w:ind w:left="1807" w:hanging="360"/>
      </w:pPr>
    </w:lvl>
    <w:lvl w:ilvl="2" w:tplc="4009001B" w:tentative="1">
      <w:start w:val="1"/>
      <w:numFmt w:val="lowerRoman"/>
      <w:lvlText w:val="%3."/>
      <w:lvlJc w:val="right"/>
      <w:pPr>
        <w:ind w:left="2527" w:hanging="180"/>
      </w:pPr>
    </w:lvl>
    <w:lvl w:ilvl="3" w:tplc="4009000F" w:tentative="1">
      <w:start w:val="1"/>
      <w:numFmt w:val="decimal"/>
      <w:lvlText w:val="%4."/>
      <w:lvlJc w:val="left"/>
      <w:pPr>
        <w:ind w:left="3247" w:hanging="360"/>
      </w:pPr>
    </w:lvl>
    <w:lvl w:ilvl="4" w:tplc="40090019" w:tentative="1">
      <w:start w:val="1"/>
      <w:numFmt w:val="lowerLetter"/>
      <w:lvlText w:val="%5."/>
      <w:lvlJc w:val="left"/>
      <w:pPr>
        <w:ind w:left="3967" w:hanging="360"/>
      </w:pPr>
    </w:lvl>
    <w:lvl w:ilvl="5" w:tplc="4009001B" w:tentative="1">
      <w:start w:val="1"/>
      <w:numFmt w:val="lowerRoman"/>
      <w:lvlText w:val="%6."/>
      <w:lvlJc w:val="right"/>
      <w:pPr>
        <w:ind w:left="4687" w:hanging="180"/>
      </w:pPr>
    </w:lvl>
    <w:lvl w:ilvl="6" w:tplc="4009000F" w:tentative="1">
      <w:start w:val="1"/>
      <w:numFmt w:val="decimal"/>
      <w:lvlText w:val="%7."/>
      <w:lvlJc w:val="left"/>
      <w:pPr>
        <w:ind w:left="5407" w:hanging="360"/>
      </w:pPr>
    </w:lvl>
    <w:lvl w:ilvl="7" w:tplc="40090019" w:tentative="1">
      <w:start w:val="1"/>
      <w:numFmt w:val="lowerLetter"/>
      <w:lvlText w:val="%8."/>
      <w:lvlJc w:val="left"/>
      <w:pPr>
        <w:ind w:left="6127" w:hanging="360"/>
      </w:pPr>
    </w:lvl>
    <w:lvl w:ilvl="8" w:tplc="4009001B" w:tentative="1">
      <w:start w:val="1"/>
      <w:numFmt w:val="lowerRoman"/>
      <w:lvlText w:val="%9."/>
      <w:lvlJc w:val="right"/>
      <w:pPr>
        <w:ind w:left="6847" w:hanging="180"/>
      </w:pPr>
    </w:lvl>
  </w:abstractNum>
  <w:abstractNum w:abstractNumId="2" w15:restartNumberingAfterBreak="0">
    <w:nsid w:val="14D26BB6"/>
    <w:multiLevelType w:val="hybridMultilevel"/>
    <w:tmpl w:val="BAD04E32"/>
    <w:numStyleLink w:val="ImportedStyle7"/>
  </w:abstractNum>
  <w:abstractNum w:abstractNumId="3" w15:restartNumberingAfterBreak="0">
    <w:nsid w:val="30C7091E"/>
    <w:multiLevelType w:val="hybridMultilevel"/>
    <w:tmpl w:val="0D04A1D4"/>
    <w:lvl w:ilvl="0" w:tplc="40090009">
      <w:start w:val="1"/>
      <w:numFmt w:val="bullet"/>
      <w:lvlText w:val=""/>
      <w:lvlJc w:val="left"/>
      <w:pPr>
        <w:ind w:left="1087" w:hanging="360"/>
      </w:pPr>
      <w:rPr>
        <w:rFonts w:ascii="Wingdings" w:hAnsi="Wingdings" w:hint="default"/>
      </w:rPr>
    </w:lvl>
    <w:lvl w:ilvl="1" w:tplc="40090003" w:tentative="1">
      <w:start w:val="1"/>
      <w:numFmt w:val="bullet"/>
      <w:lvlText w:val="o"/>
      <w:lvlJc w:val="left"/>
      <w:pPr>
        <w:ind w:left="1807" w:hanging="360"/>
      </w:pPr>
      <w:rPr>
        <w:rFonts w:ascii="Courier New" w:hAnsi="Courier New" w:cs="Courier New" w:hint="default"/>
      </w:rPr>
    </w:lvl>
    <w:lvl w:ilvl="2" w:tplc="40090005" w:tentative="1">
      <w:start w:val="1"/>
      <w:numFmt w:val="bullet"/>
      <w:lvlText w:val=""/>
      <w:lvlJc w:val="left"/>
      <w:pPr>
        <w:ind w:left="2527" w:hanging="360"/>
      </w:pPr>
      <w:rPr>
        <w:rFonts w:ascii="Wingdings" w:hAnsi="Wingdings" w:hint="default"/>
      </w:rPr>
    </w:lvl>
    <w:lvl w:ilvl="3" w:tplc="40090001" w:tentative="1">
      <w:start w:val="1"/>
      <w:numFmt w:val="bullet"/>
      <w:lvlText w:val=""/>
      <w:lvlJc w:val="left"/>
      <w:pPr>
        <w:ind w:left="3247" w:hanging="360"/>
      </w:pPr>
      <w:rPr>
        <w:rFonts w:ascii="Symbol" w:hAnsi="Symbol" w:hint="default"/>
      </w:rPr>
    </w:lvl>
    <w:lvl w:ilvl="4" w:tplc="40090003" w:tentative="1">
      <w:start w:val="1"/>
      <w:numFmt w:val="bullet"/>
      <w:lvlText w:val="o"/>
      <w:lvlJc w:val="left"/>
      <w:pPr>
        <w:ind w:left="3967" w:hanging="360"/>
      </w:pPr>
      <w:rPr>
        <w:rFonts w:ascii="Courier New" w:hAnsi="Courier New" w:cs="Courier New" w:hint="default"/>
      </w:rPr>
    </w:lvl>
    <w:lvl w:ilvl="5" w:tplc="40090005" w:tentative="1">
      <w:start w:val="1"/>
      <w:numFmt w:val="bullet"/>
      <w:lvlText w:val=""/>
      <w:lvlJc w:val="left"/>
      <w:pPr>
        <w:ind w:left="4687" w:hanging="360"/>
      </w:pPr>
      <w:rPr>
        <w:rFonts w:ascii="Wingdings" w:hAnsi="Wingdings" w:hint="default"/>
      </w:rPr>
    </w:lvl>
    <w:lvl w:ilvl="6" w:tplc="40090001" w:tentative="1">
      <w:start w:val="1"/>
      <w:numFmt w:val="bullet"/>
      <w:lvlText w:val=""/>
      <w:lvlJc w:val="left"/>
      <w:pPr>
        <w:ind w:left="5407" w:hanging="360"/>
      </w:pPr>
      <w:rPr>
        <w:rFonts w:ascii="Symbol" w:hAnsi="Symbol" w:hint="default"/>
      </w:rPr>
    </w:lvl>
    <w:lvl w:ilvl="7" w:tplc="40090003" w:tentative="1">
      <w:start w:val="1"/>
      <w:numFmt w:val="bullet"/>
      <w:lvlText w:val="o"/>
      <w:lvlJc w:val="left"/>
      <w:pPr>
        <w:ind w:left="6127" w:hanging="360"/>
      </w:pPr>
      <w:rPr>
        <w:rFonts w:ascii="Courier New" w:hAnsi="Courier New" w:cs="Courier New" w:hint="default"/>
      </w:rPr>
    </w:lvl>
    <w:lvl w:ilvl="8" w:tplc="40090005" w:tentative="1">
      <w:start w:val="1"/>
      <w:numFmt w:val="bullet"/>
      <w:lvlText w:val=""/>
      <w:lvlJc w:val="left"/>
      <w:pPr>
        <w:ind w:left="6847" w:hanging="360"/>
      </w:pPr>
      <w:rPr>
        <w:rFonts w:ascii="Wingdings" w:hAnsi="Wingdings" w:hint="default"/>
      </w:rPr>
    </w:lvl>
  </w:abstractNum>
  <w:abstractNum w:abstractNumId="4" w15:restartNumberingAfterBreak="0">
    <w:nsid w:val="34097D3A"/>
    <w:multiLevelType w:val="hybridMultilevel"/>
    <w:tmpl w:val="C94879F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99F459A"/>
    <w:multiLevelType w:val="hybridMultilevel"/>
    <w:tmpl w:val="BAD04E32"/>
    <w:styleLink w:val="ImportedStyle7"/>
    <w:lvl w:ilvl="0" w:tplc="51CEB55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234AEAC">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458341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9A61490">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712A3D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88C4382">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62E13CA">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1CE7C48">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4C2EFF8">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41C13D26"/>
    <w:multiLevelType w:val="hybridMultilevel"/>
    <w:tmpl w:val="9D24F77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441B79A4"/>
    <w:multiLevelType w:val="hybridMultilevel"/>
    <w:tmpl w:val="C02E1FF0"/>
    <w:lvl w:ilvl="0" w:tplc="7948232E">
      <w:start w:val="1"/>
      <w:numFmt w:val="bullet"/>
      <w:lvlText w:val=""/>
      <w:lvlPicBulletId w:val="0"/>
      <w:lvlJc w:val="left"/>
      <w:pPr>
        <w:ind w:left="1087" w:hanging="360"/>
      </w:pPr>
      <w:rPr>
        <w:rFonts w:ascii="Symbol" w:hAnsi="Symbol" w:hint="default"/>
        <w:color w:val="auto"/>
      </w:rPr>
    </w:lvl>
    <w:lvl w:ilvl="1" w:tplc="40090003" w:tentative="1">
      <w:start w:val="1"/>
      <w:numFmt w:val="bullet"/>
      <w:lvlText w:val="o"/>
      <w:lvlJc w:val="left"/>
      <w:pPr>
        <w:ind w:left="1807" w:hanging="360"/>
      </w:pPr>
      <w:rPr>
        <w:rFonts w:ascii="Courier New" w:hAnsi="Courier New" w:cs="Courier New" w:hint="default"/>
      </w:rPr>
    </w:lvl>
    <w:lvl w:ilvl="2" w:tplc="40090005" w:tentative="1">
      <w:start w:val="1"/>
      <w:numFmt w:val="bullet"/>
      <w:lvlText w:val=""/>
      <w:lvlJc w:val="left"/>
      <w:pPr>
        <w:ind w:left="2527" w:hanging="360"/>
      </w:pPr>
      <w:rPr>
        <w:rFonts w:ascii="Wingdings" w:hAnsi="Wingdings" w:hint="default"/>
      </w:rPr>
    </w:lvl>
    <w:lvl w:ilvl="3" w:tplc="40090001" w:tentative="1">
      <w:start w:val="1"/>
      <w:numFmt w:val="bullet"/>
      <w:lvlText w:val=""/>
      <w:lvlJc w:val="left"/>
      <w:pPr>
        <w:ind w:left="3247" w:hanging="360"/>
      </w:pPr>
      <w:rPr>
        <w:rFonts w:ascii="Symbol" w:hAnsi="Symbol" w:hint="default"/>
      </w:rPr>
    </w:lvl>
    <w:lvl w:ilvl="4" w:tplc="40090003" w:tentative="1">
      <w:start w:val="1"/>
      <w:numFmt w:val="bullet"/>
      <w:lvlText w:val="o"/>
      <w:lvlJc w:val="left"/>
      <w:pPr>
        <w:ind w:left="3967" w:hanging="360"/>
      </w:pPr>
      <w:rPr>
        <w:rFonts w:ascii="Courier New" w:hAnsi="Courier New" w:cs="Courier New" w:hint="default"/>
      </w:rPr>
    </w:lvl>
    <w:lvl w:ilvl="5" w:tplc="40090005" w:tentative="1">
      <w:start w:val="1"/>
      <w:numFmt w:val="bullet"/>
      <w:lvlText w:val=""/>
      <w:lvlJc w:val="left"/>
      <w:pPr>
        <w:ind w:left="4687" w:hanging="360"/>
      </w:pPr>
      <w:rPr>
        <w:rFonts w:ascii="Wingdings" w:hAnsi="Wingdings" w:hint="default"/>
      </w:rPr>
    </w:lvl>
    <w:lvl w:ilvl="6" w:tplc="40090001" w:tentative="1">
      <w:start w:val="1"/>
      <w:numFmt w:val="bullet"/>
      <w:lvlText w:val=""/>
      <w:lvlJc w:val="left"/>
      <w:pPr>
        <w:ind w:left="5407" w:hanging="360"/>
      </w:pPr>
      <w:rPr>
        <w:rFonts w:ascii="Symbol" w:hAnsi="Symbol" w:hint="default"/>
      </w:rPr>
    </w:lvl>
    <w:lvl w:ilvl="7" w:tplc="40090003" w:tentative="1">
      <w:start w:val="1"/>
      <w:numFmt w:val="bullet"/>
      <w:lvlText w:val="o"/>
      <w:lvlJc w:val="left"/>
      <w:pPr>
        <w:ind w:left="6127" w:hanging="360"/>
      </w:pPr>
      <w:rPr>
        <w:rFonts w:ascii="Courier New" w:hAnsi="Courier New" w:cs="Courier New" w:hint="default"/>
      </w:rPr>
    </w:lvl>
    <w:lvl w:ilvl="8" w:tplc="40090005" w:tentative="1">
      <w:start w:val="1"/>
      <w:numFmt w:val="bullet"/>
      <w:lvlText w:val=""/>
      <w:lvlJc w:val="left"/>
      <w:pPr>
        <w:ind w:left="6847" w:hanging="360"/>
      </w:pPr>
      <w:rPr>
        <w:rFonts w:ascii="Wingdings" w:hAnsi="Wingdings" w:hint="default"/>
      </w:rPr>
    </w:lvl>
  </w:abstractNum>
  <w:abstractNum w:abstractNumId="8" w15:restartNumberingAfterBreak="0">
    <w:nsid w:val="465902C0"/>
    <w:multiLevelType w:val="hybridMultilevel"/>
    <w:tmpl w:val="BA8AED0C"/>
    <w:lvl w:ilvl="0" w:tplc="40090009">
      <w:start w:val="1"/>
      <w:numFmt w:val="bullet"/>
      <w:lvlText w:val=""/>
      <w:lvlJc w:val="left"/>
      <w:pPr>
        <w:ind w:left="1087" w:hanging="360"/>
      </w:pPr>
      <w:rPr>
        <w:rFonts w:ascii="Wingdings" w:hAnsi="Wingdings" w:hint="default"/>
      </w:rPr>
    </w:lvl>
    <w:lvl w:ilvl="1" w:tplc="40090003" w:tentative="1">
      <w:start w:val="1"/>
      <w:numFmt w:val="bullet"/>
      <w:lvlText w:val="o"/>
      <w:lvlJc w:val="left"/>
      <w:pPr>
        <w:ind w:left="1807" w:hanging="360"/>
      </w:pPr>
      <w:rPr>
        <w:rFonts w:ascii="Courier New" w:hAnsi="Courier New" w:cs="Courier New" w:hint="default"/>
      </w:rPr>
    </w:lvl>
    <w:lvl w:ilvl="2" w:tplc="40090005" w:tentative="1">
      <w:start w:val="1"/>
      <w:numFmt w:val="bullet"/>
      <w:lvlText w:val=""/>
      <w:lvlJc w:val="left"/>
      <w:pPr>
        <w:ind w:left="2527" w:hanging="360"/>
      </w:pPr>
      <w:rPr>
        <w:rFonts w:ascii="Wingdings" w:hAnsi="Wingdings" w:hint="default"/>
      </w:rPr>
    </w:lvl>
    <w:lvl w:ilvl="3" w:tplc="40090001" w:tentative="1">
      <w:start w:val="1"/>
      <w:numFmt w:val="bullet"/>
      <w:lvlText w:val=""/>
      <w:lvlJc w:val="left"/>
      <w:pPr>
        <w:ind w:left="3247" w:hanging="360"/>
      </w:pPr>
      <w:rPr>
        <w:rFonts w:ascii="Symbol" w:hAnsi="Symbol" w:hint="default"/>
      </w:rPr>
    </w:lvl>
    <w:lvl w:ilvl="4" w:tplc="40090003" w:tentative="1">
      <w:start w:val="1"/>
      <w:numFmt w:val="bullet"/>
      <w:lvlText w:val="o"/>
      <w:lvlJc w:val="left"/>
      <w:pPr>
        <w:ind w:left="3967" w:hanging="360"/>
      </w:pPr>
      <w:rPr>
        <w:rFonts w:ascii="Courier New" w:hAnsi="Courier New" w:cs="Courier New" w:hint="default"/>
      </w:rPr>
    </w:lvl>
    <w:lvl w:ilvl="5" w:tplc="40090005" w:tentative="1">
      <w:start w:val="1"/>
      <w:numFmt w:val="bullet"/>
      <w:lvlText w:val=""/>
      <w:lvlJc w:val="left"/>
      <w:pPr>
        <w:ind w:left="4687" w:hanging="360"/>
      </w:pPr>
      <w:rPr>
        <w:rFonts w:ascii="Wingdings" w:hAnsi="Wingdings" w:hint="default"/>
      </w:rPr>
    </w:lvl>
    <w:lvl w:ilvl="6" w:tplc="40090001" w:tentative="1">
      <w:start w:val="1"/>
      <w:numFmt w:val="bullet"/>
      <w:lvlText w:val=""/>
      <w:lvlJc w:val="left"/>
      <w:pPr>
        <w:ind w:left="5407" w:hanging="360"/>
      </w:pPr>
      <w:rPr>
        <w:rFonts w:ascii="Symbol" w:hAnsi="Symbol" w:hint="default"/>
      </w:rPr>
    </w:lvl>
    <w:lvl w:ilvl="7" w:tplc="40090003" w:tentative="1">
      <w:start w:val="1"/>
      <w:numFmt w:val="bullet"/>
      <w:lvlText w:val="o"/>
      <w:lvlJc w:val="left"/>
      <w:pPr>
        <w:ind w:left="6127" w:hanging="360"/>
      </w:pPr>
      <w:rPr>
        <w:rFonts w:ascii="Courier New" w:hAnsi="Courier New" w:cs="Courier New" w:hint="default"/>
      </w:rPr>
    </w:lvl>
    <w:lvl w:ilvl="8" w:tplc="40090005" w:tentative="1">
      <w:start w:val="1"/>
      <w:numFmt w:val="bullet"/>
      <w:lvlText w:val=""/>
      <w:lvlJc w:val="left"/>
      <w:pPr>
        <w:ind w:left="6847" w:hanging="360"/>
      </w:pPr>
      <w:rPr>
        <w:rFonts w:ascii="Wingdings" w:hAnsi="Wingdings" w:hint="default"/>
      </w:rPr>
    </w:lvl>
  </w:abstractNum>
  <w:abstractNum w:abstractNumId="9" w15:restartNumberingAfterBreak="0">
    <w:nsid w:val="48215692"/>
    <w:multiLevelType w:val="hybridMultilevel"/>
    <w:tmpl w:val="0846CCD6"/>
    <w:lvl w:ilvl="0" w:tplc="B06A5E7E">
      <w:start w:val="1"/>
      <w:numFmt w:val="bullet"/>
      <w:lvlText w:val="֍"/>
      <w:lvlJc w:val="left"/>
      <w:pPr>
        <w:ind w:left="928" w:hanging="360"/>
      </w:pPr>
      <w:rPr>
        <w:rFonts w:ascii="Sylfaen" w:hAnsi="Sylfaen" w:hint="default"/>
        <w:color w:val="auto"/>
      </w:rPr>
    </w:lvl>
    <w:lvl w:ilvl="1" w:tplc="40090003" w:tentative="1">
      <w:start w:val="1"/>
      <w:numFmt w:val="bullet"/>
      <w:lvlText w:val="o"/>
      <w:lvlJc w:val="left"/>
      <w:pPr>
        <w:ind w:left="2167" w:hanging="360"/>
      </w:pPr>
      <w:rPr>
        <w:rFonts w:ascii="Courier New" w:hAnsi="Courier New" w:cs="Courier New" w:hint="default"/>
      </w:rPr>
    </w:lvl>
    <w:lvl w:ilvl="2" w:tplc="40090005">
      <w:start w:val="1"/>
      <w:numFmt w:val="bullet"/>
      <w:lvlText w:val=""/>
      <w:lvlJc w:val="left"/>
      <w:pPr>
        <w:ind w:left="2887" w:hanging="360"/>
      </w:pPr>
      <w:rPr>
        <w:rFonts w:ascii="Wingdings" w:hAnsi="Wingdings" w:hint="default"/>
      </w:rPr>
    </w:lvl>
    <w:lvl w:ilvl="3" w:tplc="40090001" w:tentative="1">
      <w:start w:val="1"/>
      <w:numFmt w:val="bullet"/>
      <w:lvlText w:val=""/>
      <w:lvlJc w:val="left"/>
      <w:pPr>
        <w:ind w:left="3607" w:hanging="360"/>
      </w:pPr>
      <w:rPr>
        <w:rFonts w:ascii="Symbol" w:hAnsi="Symbol" w:hint="default"/>
      </w:rPr>
    </w:lvl>
    <w:lvl w:ilvl="4" w:tplc="40090003" w:tentative="1">
      <w:start w:val="1"/>
      <w:numFmt w:val="bullet"/>
      <w:lvlText w:val="o"/>
      <w:lvlJc w:val="left"/>
      <w:pPr>
        <w:ind w:left="4327" w:hanging="360"/>
      </w:pPr>
      <w:rPr>
        <w:rFonts w:ascii="Courier New" w:hAnsi="Courier New" w:cs="Courier New" w:hint="default"/>
      </w:rPr>
    </w:lvl>
    <w:lvl w:ilvl="5" w:tplc="40090005" w:tentative="1">
      <w:start w:val="1"/>
      <w:numFmt w:val="bullet"/>
      <w:lvlText w:val=""/>
      <w:lvlJc w:val="left"/>
      <w:pPr>
        <w:ind w:left="5047" w:hanging="360"/>
      </w:pPr>
      <w:rPr>
        <w:rFonts w:ascii="Wingdings" w:hAnsi="Wingdings" w:hint="default"/>
      </w:rPr>
    </w:lvl>
    <w:lvl w:ilvl="6" w:tplc="40090001" w:tentative="1">
      <w:start w:val="1"/>
      <w:numFmt w:val="bullet"/>
      <w:lvlText w:val=""/>
      <w:lvlJc w:val="left"/>
      <w:pPr>
        <w:ind w:left="5767" w:hanging="360"/>
      </w:pPr>
      <w:rPr>
        <w:rFonts w:ascii="Symbol" w:hAnsi="Symbol" w:hint="default"/>
      </w:rPr>
    </w:lvl>
    <w:lvl w:ilvl="7" w:tplc="40090003" w:tentative="1">
      <w:start w:val="1"/>
      <w:numFmt w:val="bullet"/>
      <w:lvlText w:val="o"/>
      <w:lvlJc w:val="left"/>
      <w:pPr>
        <w:ind w:left="6487" w:hanging="360"/>
      </w:pPr>
      <w:rPr>
        <w:rFonts w:ascii="Courier New" w:hAnsi="Courier New" w:cs="Courier New" w:hint="default"/>
      </w:rPr>
    </w:lvl>
    <w:lvl w:ilvl="8" w:tplc="40090005" w:tentative="1">
      <w:start w:val="1"/>
      <w:numFmt w:val="bullet"/>
      <w:lvlText w:val=""/>
      <w:lvlJc w:val="left"/>
      <w:pPr>
        <w:ind w:left="7207" w:hanging="360"/>
      </w:pPr>
      <w:rPr>
        <w:rFonts w:ascii="Wingdings" w:hAnsi="Wingdings" w:hint="default"/>
      </w:rPr>
    </w:lvl>
  </w:abstractNum>
  <w:abstractNum w:abstractNumId="10" w15:restartNumberingAfterBreak="0">
    <w:nsid w:val="4E1D65F0"/>
    <w:multiLevelType w:val="hybridMultilevel"/>
    <w:tmpl w:val="DE20FD6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4E537EE5"/>
    <w:multiLevelType w:val="hybridMultilevel"/>
    <w:tmpl w:val="BF5834BC"/>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2" w15:restartNumberingAfterBreak="0">
    <w:nsid w:val="4EFB30D8"/>
    <w:multiLevelType w:val="hybridMultilevel"/>
    <w:tmpl w:val="0366B92C"/>
    <w:lvl w:ilvl="0" w:tplc="B06A5E7E">
      <w:start w:val="1"/>
      <w:numFmt w:val="bullet"/>
      <w:lvlText w:val="֍"/>
      <w:lvlJc w:val="left"/>
      <w:pPr>
        <w:ind w:left="720" w:hanging="360"/>
      </w:pPr>
      <w:rPr>
        <w:rFonts w:ascii="Sylfaen" w:hAnsi="Sylfaen"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58E9379A"/>
    <w:multiLevelType w:val="hybridMultilevel"/>
    <w:tmpl w:val="838282F6"/>
    <w:lvl w:ilvl="0" w:tplc="4009000F">
      <w:start w:val="1"/>
      <w:numFmt w:val="decimal"/>
      <w:lvlText w:val="%1."/>
      <w:lvlJc w:val="left"/>
      <w:pPr>
        <w:ind w:left="1087" w:hanging="360"/>
      </w:pPr>
    </w:lvl>
    <w:lvl w:ilvl="1" w:tplc="40090019" w:tentative="1">
      <w:start w:val="1"/>
      <w:numFmt w:val="lowerLetter"/>
      <w:lvlText w:val="%2."/>
      <w:lvlJc w:val="left"/>
      <w:pPr>
        <w:ind w:left="1807" w:hanging="360"/>
      </w:pPr>
    </w:lvl>
    <w:lvl w:ilvl="2" w:tplc="4009001B" w:tentative="1">
      <w:start w:val="1"/>
      <w:numFmt w:val="lowerRoman"/>
      <w:lvlText w:val="%3."/>
      <w:lvlJc w:val="right"/>
      <w:pPr>
        <w:ind w:left="2527" w:hanging="180"/>
      </w:pPr>
    </w:lvl>
    <w:lvl w:ilvl="3" w:tplc="4009000F" w:tentative="1">
      <w:start w:val="1"/>
      <w:numFmt w:val="decimal"/>
      <w:lvlText w:val="%4."/>
      <w:lvlJc w:val="left"/>
      <w:pPr>
        <w:ind w:left="3247" w:hanging="360"/>
      </w:pPr>
    </w:lvl>
    <w:lvl w:ilvl="4" w:tplc="40090019" w:tentative="1">
      <w:start w:val="1"/>
      <w:numFmt w:val="lowerLetter"/>
      <w:lvlText w:val="%5."/>
      <w:lvlJc w:val="left"/>
      <w:pPr>
        <w:ind w:left="3967" w:hanging="360"/>
      </w:pPr>
    </w:lvl>
    <w:lvl w:ilvl="5" w:tplc="4009001B" w:tentative="1">
      <w:start w:val="1"/>
      <w:numFmt w:val="lowerRoman"/>
      <w:lvlText w:val="%6."/>
      <w:lvlJc w:val="right"/>
      <w:pPr>
        <w:ind w:left="4687" w:hanging="180"/>
      </w:pPr>
    </w:lvl>
    <w:lvl w:ilvl="6" w:tplc="4009000F" w:tentative="1">
      <w:start w:val="1"/>
      <w:numFmt w:val="decimal"/>
      <w:lvlText w:val="%7."/>
      <w:lvlJc w:val="left"/>
      <w:pPr>
        <w:ind w:left="5407" w:hanging="360"/>
      </w:pPr>
    </w:lvl>
    <w:lvl w:ilvl="7" w:tplc="40090019" w:tentative="1">
      <w:start w:val="1"/>
      <w:numFmt w:val="lowerLetter"/>
      <w:lvlText w:val="%8."/>
      <w:lvlJc w:val="left"/>
      <w:pPr>
        <w:ind w:left="6127" w:hanging="360"/>
      </w:pPr>
    </w:lvl>
    <w:lvl w:ilvl="8" w:tplc="4009001B" w:tentative="1">
      <w:start w:val="1"/>
      <w:numFmt w:val="lowerRoman"/>
      <w:lvlText w:val="%9."/>
      <w:lvlJc w:val="right"/>
      <w:pPr>
        <w:ind w:left="6847" w:hanging="180"/>
      </w:pPr>
    </w:lvl>
  </w:abstractNum>
  <w:abstractNum w:abstractNumId="14" w15:restartNumberingAfterBreak="0">
    <w:nsid w:val="5D79476F"/>
    <w:multiLevelType w:val="hybridMultilevel"/>
    <w:tmpl w:val="C7A6CBD8"/>
    <w:lvl w:ilvl="0" w:tplc="40090009">
      <w:start w:val="1"/>
      <w:numFmt w:val="bullet"/>
      <w:lvlText w:val=""/>
      <w:lvlJc w:val="left"/>
      <w:pPr>
        <w:ind w:left="928"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62EA74B6"/>
    <w:multiLevelType w:val="hybridMultilevel"/>
    <w:tmpl w:val="095EAC62"/>
    <w:lvl w:ilvl="0" w:tplc="40090009">
      <w:start w:val="1"/>
      <w:numFmt w:val="bullet"/>
      <w:lvlText w:val=""/>
      <w:lvlJc w:val="left"/>
      <w:pPr>
        <w:ind w:left="72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68316734"/>
    <w:multiLevelType w:val="hybridMultilevel"/>
    <w:tmpl w:val="63147076"/>
    <w:lvl w:ilvl="0" w:tplc="164E0F46">
      <w:start w:val="21"/>
      <w:numFmt w:val="decimal"/>
      <w:lvlText w:val="%1."/>
      <w:lvlJc w:val="left"/>
      <w:pPr>
        <w:ind w:left="786"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7" w15:restartNumberingAfterBreak="0">
    <w:nsid w:val="6D3A1299"/>
    <w:multiLevelType w:val="hybridMultilevel"/>
    <w:tmpl w:val="9D9E27A6"/>
    <w:lvl w:ilvl="0" w:tplc="96BADD40">
      <w:start w:val="1"/>
      <w:numFmt w:val="decimal"/>
      <w:lvlText w:val="%1."/>
      <w:lvlJc w:val="left"/>
      <w:pPr>
        <w:ind w:left="727" w:hanging="360"/>
      </w:pPr>
      <w:rPr>
        <w:rFonts w:hint="default"/>
      </w:rPr>
    </w:lvl>
    <w:lvl w:ilvl="1" w:tplc="40090019" w:tentative="1">
      <w:start w:val="1"/>
      <w:numFmt w:val="lowerLetter"/>
      <w:lvlText w:val="%2."/>
      <w:lvlJc w:val="left"/>
      <w:pPr>
        <w:ind w:left="1447" w:hanging="360"/>
      </w:pPr>
    </w:lvl>
    <w:lvl w:ilvl="2" w:tplc="4009001B" w:tentative="1">
      <w:start w:val="1"/>
      <w:numFmt w:val="lowerRoman"/>
      <w:lvlText w:val="%3."/>
      <w:lvlJc w:val="right"/>
      <w:pPr>
        <w:ind w:left="2167" w:hanging="180"/>
      </w:pPr>
    </w:lvl>
    <w:lvl w:ilvl="3" w:tplc="4009000F" w:tentative="1">
      <w:start w:val="1"/>
      <w:numFmt w:val="decimal"/>
      <w:lvlText w:val="%4."/>
      <w:lvlJc w:val="left"/>
      <w:pPr>
        <w:ind w:left="2887" w:hanging="360"/>
      </w:pPr>
    </w:lvl>
    <w:lvl w:ilvl="4" w:tplc="40090019" w:tentative="1">
      <w:start w:val="1"/>
      <w:numFmt w:val="lowerLetter"/>
      <w:lvlText w:val="%5."/>
      <w:lvlJc w:val="left"/>
      <w:pPr>
        <w:ind w:left="3607" w:hanging="360"/>
      </w:pPr>
    </w:lvl>
    <w:lvl w:ilvl="5" w:tplc="4009001B" w:tentative="1">
      <w:start w:val="1"/>
      <w:numFmt w:val="lowerRoman"/>
      <w:lvlText w:val="%6."/>
      <w:lvlJc w:val="right"/>
      <w:pPr>
        <w:ind w:left="4327" w:hanging="180"/>
      </w:pPr>
    </w:lvl>
    <w:lvl w:ilvl="6" w:tplc="4009000F" w:tentative="1">
      <w:start w:val="1"/>
      <w:numFmt w:val="decimal"/>
      <w:lvlText w:val="%7."/>
      <w:lvlJc w:val="left"/>
      <w:pPr>
        <w:ind w:left="5047" w:hanging="360"/>
      </w:pPr>
    </w:lvl>
    <w:lvl w:ilvl="7" w:tplc="40090019" w:tentative="1">
      <w:start w:val="1"/>
      <w:numFmt w:val="lowerLetter"/>
      <w:lvlText w:val="%8."/>
      <w:lvlJc w:val="left"/>
      <w:pPr>
        <w:ind w:left="5767" w:hanging="360"/>
      </w:pPr>
    </w:lvl>
    <w:lvl w:ilvl="8" w:tplc="4009001B" w:tentative="1">
      <w:start w:val="1"/>
      <w:numFmt w:val="lowerRoman"/>
      <w:lvlText w:val="%9."/>
      <w:lvlJc w:val="right"/>
      <w:pPr>
        <w:ind w:left="6487" w:hanging="180"/>
      </w:pPr>
    </w:lvl>
  </w:abstractNum>
  <w:abstractNum w:abstractNumId="18" w15:restartNumberingAfterBreak="0">
    <w:nsid w:val="74C574D8"/>
    <w:multiLevelType w:val="hybridMultilevel"/>
    <w:tmpl w:val="4B7AD9BC"/>
    <w:lvl w:ilvl="0" w:tplc="3AF67808">
      <w:start w:val="3"/>
      <w:numFmt w:val="bullet"/>
      <w:lvlText w:val=""/>
      <w:lvlJc w:val="left"/>
      <w:pPr>
        <w:ind w:left="727" w:hanging="360"/>
      </w:pPr>
      <w:rPr>
        <w:rFonts w:ascii="Symbol" w:eastAsia="Times New Roman" w:hAnsi="Symbol" w:cs="Times New Roman" w:hint="default"/>
      </w:rPr>
    </w:lvl>
    <w:lvl w:ilvl="1" w:tplc="40090003" w:tentative="1">
      <w:start w:val="1"/>
      <w:numFmt w:val="bullet"/>
      <w:lvlText w:val="o"/>
      <w:lvlJc w:val="left"/>
      <w:pPr>
        <w:ind w:left="1447" w:hanging="360"/>
      </w:pPr>
      <w:rPr>
        <w:rFonts w:ascii="Courier New" w:hAnsi="Courier New" w:cs="Courier New" w:hint="default"/>
      </w:rPr>
    </w:lvl>
    <w:lvl w:ilvl="2" w:tplc="40090005" w:tentative="1">
      <w:start w:val="1"/>
      <w:numFmt w:val="bullet"/>
      <w:lvlText w:val=""/>
      <w:lvlJc w:val="left"/>
      <w:pPr>
        <w:ind w:left="2167" w:hanging="360"/>
      </w:pPr>
      <w:rPr>
        <w:rFonts w:ascii="Wingdings" w:hAnsi="Wingdings" w:hint="default"/>
      </w:rPr>
    </w:lvl>
    <w:lvl w:ilvl="3" w:tplc="40090001" w:tentative="1">
      <w:start w:val="1"/>
      <w:numFmt w:val="bullet"/>
      <w:lvlText w:val=""/>
      <w:lvlJc w:val="left"/>
      <w:pPr>
        <w:ind w:left="2887" w:hanging="360"/>
      </w:pPr>
      <w:rPr>
        <w:rFonts w:ascii="Symbol" w:hAnsi="Symbol" w:hint="default"/>
      </w:rPr>
    </w:lvl>
    <w:lvl w:ilvl="4" w:tplc="40090003" w:tentative="1">
      <w:start w:val="1"/>
      <w:numFmt w:val="bullet"/>
      <w:lvlText w:val="o"/>
      <w:lvlJc w:val="left"/>
      <w:pPr>
        <w:ind w:left="3607" w:hanging="360"/>
      </w:pPr>
      <w:rPr>
        <w:rFonts w:ascii="Courier New" w:hAnsi="Courier New" w:cs="Courier New" w:hint="default"/>
      </w:rPr>
    </w:lvl>
    <w:lvl w:ilvl="5" w:tplc="40090005" w:tentative="1">
      <w:start w:val="1"/>
      <w:numFmt w:val="bullet"/>
      <w:lvlText w:val=""/>
      <w:lvlJc w:val="left"/>
      <w:pPr>
        <w:ind w:left="4327" w:hanging="360"/>
      </w:pPr>
      <w:rPr>
        <w:rFonts w:ascii="Wingdings" w:hAnsi="Wingdings" w:hint="default"/>
      </w:rPr>
    </w:lvl>
    <w:lvl w:ilvl="6" w:tplc="40090001" w:tentative="1">
      <w:start w:val="1"/>
      <w:numFmt w:val="bullet"/>
      <w:lvlText w:val=""/>
      <w:lvlJc w:val="left"/>
      <w:pPr>
        <w:ind w:left="5047" w:hanging="360"/>
      </w:pPr>
      <w:rPr>
        <w:rFonts w:ascii="Symbol" w:hAnsi="Symbol" w:hint="default"/>
      </w:rPr>
    </w:lvl>
    <w:lvl w:ilvl="7" w:tplc="40090003" w:tentative="1">
      <w:start w:val="1"/>
      <w:numFmt w:val="bullet"/>
      <w:lvlText w:val="o"/>
      <w:lvlJc w:val="left"/>
      <w:pPr>
        <w:ind w:left="5767" w:hanging="360"/>
      </w:pPr>
      <w:rPr>
        <w:rFonts w:ascii="Courier New" w:hAnsi="Courier New" w:cs="Courier New" w:hint="default"/>
      </w:rPr>
    </w:lvl>
    <w:lvl w:ilvl="8" w:tplc="40090005" w:tentative="1">
      <w:start w:val="1"/>
      <w:numFmt w:val="bullet"/>
      <w:lvlText w:val=""/>
      <w:lvlJc w:val="left"/>
      <w:pPr>
        <w:ind w:left="6487" w:hanging="360"/>
      </w:pPr>
      <w:rPr>
        <w:rFonts w:ascii="Wingdings" w:hAnsi="Wingdings" w:hint="default"/>
      </w:rPr>
    </w:lvl>
  </w:abstractNum>
  <w:abstractNum w:abstractNumId="19" w15:restartNumberingAfterBreak="0">
    <w:nsid w:val="7CC0169D"/>
    <w:multiLevelType w:val="hybridMultilevel"/>
    <w:tmpl w:val="5A2471A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3"/>
  </w:num>
  <w:num w:numId="2">
    <w:abstractNumId w:val="1"/>
  </w:num>
  <w:num w:numId="3">
    <w:abstractNumId w:val="10"/>
  </w:num>
  <w:num w:numId="4">
    <w:abstractNumId w:val="11"/>
  </w:num>
  <w:num w:numId="5">
    <w:abstractNumId w:val="6"/>
  </w:num>
  <w:num w:numId="6">
    <w:abstractNumId w:val="18"/>
  </w:num>
  <w:num w:numId="7">
    <w:abstractNumId w:val="7"/>
  </w:num>
  <w:num w:numId="8">
    <w:abstractNumId w:val="9"/>
  </w:num>
  <w:num w:numId="9">
    <w:abstractNumId w:val="14"/>
  </w:num>
  <w:num w:numId="10">
    <w:abstractNumId w:val="0"/>
  </w:num>
  <w:num w:numId="11">
    <w:abstractNumId w:val="12"/>
  </w:num>
  <w:num w:numId="12">
    <w:abstractNumId w:val="15"/>
  </w:num>
  <w:num w:numId="13">
    <w:abstractNumId w:val="16"/>
  </w:num>
  <w:num w:numId="14">
    <w:abstractNumId w:val="19"/>
  </w:num>
  <w:num w:numId="15">
    <w:abstractNumId w:val="5"/>
  </w:num>
  <w:num w:numId="16">
    <w:abstractNumId w:val="2"/>
    <w:lvlOverride w:ilvl="0">
      <w:lvl w:ilvl="0" w:tplc="E4B81C86">
        <w:start w:val="1"/>
        <w:numFmt w:val="decimal"/>
        <w:lvlText w:val="%1."/>
        <w:lvlJc w:val="left"/>
        <w:pPr>
          <w:ind w:left="736" w:hanging="376"/>
        </w:pPr>
        <w:rPr>
          <w:rFonts w:hAnsi="Arial Unicode MS"/>
          <w:b w:val="0"/>
          <w:bCs w:val="0"/>
          <w:caps w:val="0"/>
          <w:smallCaps w:val="0"/>
          <w:strike w:val="0"/>
          <w:dstrike w:val="0"/>
          <w:outline w:val="0"/>
          <w:emboss w:val="0"/>
          <w:imprint w:val="0"/>
          <w:spacing w:val="0"/>
          <w:w w:val="100"/>
          <w:kern w:val="0"/>
          <w:position w:val="0"/>
          <w:sz w:val="24"/>
          <w:szCs w:val="24"/>
          <w:highlight w:val="none"/>
          <w:vertAlign w:val="baseline"/>
        </w:rPr>
      </w:lvl>
    </w:lvlOverride>
    <w:lvlOverride w:ilvl="1">
      <w:lvl w:ilvl="1" w:tplc="C2E0BFE2">
        <w:start w:val="1"/>
        <w:numFmt w:val="decimal"/>
        <w:lvlText w:val="%2."/>
        <w:lvlJc w:val="left"/>
        <w:pPr>
          <w:ind w:left="1096" w:hanging="376"/>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2">
      <w:lvl w:ilvl="2" w:tplc="DCD68806">
        <w:start w:val="1"/>
        <w:numFmt w:val="decimal"/>
        <w:lvlText w:val="%3."/>
        <w:lvlJc w:val="left"/>
        <w:pPr>
          <w:ind w:left="1816" w:hanging="376"/>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3">
      <w:lvl w:ilvl="3" w:tplc="BD84E85C">
        <w:start w:val="1"/>
        <w:numFmt w:val="decimal"/>
        <w:lvlText w:val="%4."/>
        <w:lvlJc w:val="left"/>
        <w:pPr>
          <w:ind w:left="2536" w:hanging="376"/>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4">
      <w:lvl w:ilvl="4" w:tplc="BAC0DE76">
        <w:start w:val="1"/>
        <w:numFmt w:val="decimal"/>
        <w:lvlText w:val="%5."/>
        <w:lvlJc w:val="left"/>
        <w:pPr>
          <w:ind w:left="3256" w:hanging="376"/>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5">
      <w:lvl w:ilvl="5" w:tplc="187E11D0">
        <w:start w:val="1"/>
        <w:numFmt w:val="decimal"/>
        <w:lvlText w:val="%6."/>
        <w:lvlJc w:val="left"/>
        <w:pPr>
          <w:ind w:left="3976" w:hanging="376"/>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6">
      <w:lvl w:ilvl="6" w:tplc="BCA4700E">
        <w:start w:val="1"/>
        <w:numFmt w:val="decimal"/>
        <w:lvlText w:val="%7."/>
        <w:lvlJc w:val="left"/>
        <w:pPr>
          <w:ind w:left="4696" w:hanging="376"/>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7">
      <w:lvl w:ilvl="7" w:tplc="369A259A">
        <w:start w:val="1"/>
        <w:numFmt w:val="decimal"/>
        <w:lvlText w:val="%8."/>
        <w:lvlJc w:val="left"/>
        <w:pPr>
          <w:ind w:left="5416" w:hanging="376"/>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8">
      <w:lvl w:ilvl="8" w:tplc="10D6699C">
        <w:start w:val="1"/>
        <w:numFmt w:val="decimal"/>
        <w:lvlText w:val="%9."/>
        <w:lvlJc w:val="left"/>
        <w:pPr>
          <w:ind w:left="6136" w:hanging="376"/>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num>
  <w:num w:numId="17">
    <w:abstractNumId w:val="3"/>
  </w:num>
  <w:num w:numId="18">
    <w:abstractNumId w:val="17"/>
  </w:num>
  <w:num w:numId="19">
    <w:abstractNumId w:val="8"/>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3F7"/>
    <w:rsid w:val="0000134C"/>
    <w:rsid w:val="00002EEC"/>
    <w:rsid w:val="00012646"/>
    <w:rsid w:val="00027352"/>
    <w:rsid w:val="00035371"/>
    <w:rsid w:val="00046F31"/>
    <w:rsid w:val="00092F17"/>
    <w:rsid w:val="000A5481"/>
    <w:rsid w:val="000C11BD"/>
    <w:rsid w:val="000D33BA"/>
    <w:rsid w:val="001015C9"/>
    <w:rsid w:val="00103CC1"/>
    <w:rsid w:val="001151D7"/>
    <w:rsid w:val="001154DA"/>
    <w:rsid w:val="00115F6A"/>
    <w:rsid w:val="00157AD1"/>
    <w:rsid w:val="001606A3"/>
    <w:rsid w:val="00165576"/>
    <w:rsid w:val="001D3F1C"/>
    <w:rsid w:val="001F0B66"/>
    <w:rsid w:val="001F550B"/>
    <w:rsid w:val="00242466"/>
    <w:rsid w:val="002607DD"/>
    <w:rsid w:val="00287F36"/>
    <w:rsid w:val="002A7152"/>
    <w:rsid w:val="002B6F48"/>
    <w:rsid w:val="002D3837"/>
    <w:rsid w:val="00301E35"/>
    <w:rsid w:val="00312506"/>
    <w:rsid w:val="00316695"/>
    <w:rsid w:val="00323E5A"/>
    <w:rsid w:val="00341635"/>
    <w:rsid w:val="00342CDA"/>
    <w:rsid w:val="00375161"/>
    <w:rsid w:val="003A1D0A"/>
    <w:rsid w:val="003D23B1"/>
    <w:rsid w:val="003F4993"/>
    <w:rsid w:val="00441DD7"/>
    <w:rsid w:val="0046170C"/>
    <w:rsid w:val="004645CB"/>
    <w:rsid w:val="004824AD"/>
    <w:rsid w:val="00485926"/>
    <w:rsid w:val="005018D3"/>
    <w:rsid w:val="005620FE"/>
    <w:rsid w:val="005811A1"/>
    <w:rsid w:val="00595901"/>
    <w:rsid w:val="005B6AE5"/>
    <w:rsid w:val="005D5F8F"/>
    <w:rsid w:val="005D73F7"/>
    <w:rsid w:val="00600784"/>
    <w:rsid w:val="0060656E"/>
    <w:rsid w:val="00625CBA"/>
    <w:rsid w:val="00630731"/>
    <w:rsid w:val="0065533A"/>
    <w:rsid w:val="00680B89"/>
    <w:rsid w:val="00685AD8"/>
    <w:rsid w:val="006A7BBE"/>
    <w:rsid w:val="006B31E3"/>
    <w:rsid w:val="006F2DE0"/>
    <w:rsid w:val="006F50C0"/>
    <w:rsid w:val="00707879"/>
    <w:rsid w:val="00735C5F"/>
    <w:rsid w:val="00766EA1"/>
    <w:rsid w:val="00775818"/>
    <w:rsid w:val="00782219"/>
    <w:rsid w:val="00796495"/>
    <w:rsid w:val="00796DCC"/>
    <w:rsid w:val="007F3F41"/>
    <w:rsid w:val="00822172"/>
    <w:rsid w:val="00831CC9"/>
    <w:rsid w:val="008320A2"/>
    <w:rsid w:val="008437C6"/>
    <w:rsid w:val="00847888"/>
    <w:rsid w:val="00885D23"/>
    <w:rsid w:val="008B44EC"/>
    <w:rsid w:val="008B7F23"/>
    <w:rsid w:val="008C2155"/>
    <w:rsid w:val="008F2352"/>
    <w:rsid w:val="008F3451"/>
    <w:rsid w:val="00923AE8"/>
    <w:rsid w:val="00967AA8"/>
    <w:rsid w:val="009963B5"/>
    <w:rsid w:val="009A12FA"/>
    <w:rsid w:val="009B3FA5"/>
    <w:rsid w:val="009D54AC"/>
    <w:rsid w:val="009F1D76"/>
    <w:rsid w:val="009F50F9"/>
    <w:rsid w:val="009F7A19"/>
    <w:rsid w:val="00A124F5"/>
    <w:rsid w:val="00A328DA"/>
    <w:rsid w:val="00A35E31"/>
    <w:rsid w:val="00A408BC"/>
    <w:rsid w:val="00A73C15"/>
    <w:rsid w:val="00A82E51"/>
    <w:rsid w:val="00AA4C4B"/>
    <w:rsid w:val="00AC2011"/>
    <w:rsid w:val="00AD64B2"/>
    <w:rsid w:val="00AF050B"/>
    <w:rsid w:val="00B007A7"/>
    <w:rsid w:val="00B41E5A"/>
    <w:rsid w:val="00B71338"/>
    <w:rsid w:val="00BE2FBD"/>
    <w:rsid w:val="00C15457"/>
    <w:rsid w:val="00C239BC"/>
    <w:rsid w:val="00C47D1C"/>
    <w:rsid w:val="00C508C0"/>
    <w:rsid w:val="00CA59CD"/>
    <w:rsid w:val="00CB27C8"/>
    <w:rsid w:val="00CB36F9"/>
    <w:rsid w:val="00CB55C7"/>
    <w:rsid w:val="00CC6101"/>
    <w:rsid w:val="00CC71A7"/>
    <w:rsid w:val="00CD1A96"/>
    <w:rsid w:val="00CF330F"/>
    <w:rsid w:val="00D12865"/>
    <w:rsid w:val="00D7462D"/>
    <w:rsid w:val="00D86B05"/>
    <w:rsid w:val="00DD2623"/>
    <w:rsid w:val="00DE30A5"/>
    <w:rsid w:val="00E00599"/>
    <w:rsid w:val="00E10672"/>
    <w:rsid w:val="00E411F5"/>
    <w:rsid w:val="00E5321D"/>
    <w:rsid w:val="00E6276B"/>
    <w:rsid w:val="00E93E80"/>
    <w:rsid w:val="00E940D6"/>
    <w:rsid w:val="00F20DE0"/>
    <w:rsid w:val="00F72D7F"/>
    <w:rsid w:val="00FB6EE5"/>
    <w:rsid w:val="00FC2E28"/>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E807FD7"/>
  <w15:docId w15:val="{3F2B0CD2-9234-4975-BC2E-5129760C7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Mangal"/>
        <w:lang w:val="en-IN" w:eastAsia="en-IN" w:bidi="hi-IN"/>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autoSpaceDE w:val="0"/>
      <w:autoSpaceDN w:val="0"/>
    </w:pPr>
    <w:rPr>
      <w:sz w:val="22"/>
      <w:szCs w:val="22"/>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pPr>
      <w:ind w:left="367"/>
    </w:pPr>
    <w:rPr>
      <w:rFonts w:ascii="Times New Roman" w:eastAsia="Times New Roman" w:hAnsi="Times New Roman" w:cs="Times New Roman"/>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Hyperlink">
    <w:name w:val="Hyperlink"/>
    <w:uiPriority w:val="99"/>
    <w:unhideWhenUsed/>
    <w:rsid w:val="00FB6EE5"/>
    <w:rPr>
      <w:color w:val="0000FF"/>
      <w:u w:val="single"/>
    </w:rPr>
  </w:style>
  <w:style w:type="character" w:styleId="UnresolvedMention">
    <w:name w:val="Unresolved Mention"/>
    <w:uiPriority w:val="99"/>
    <w:semiHidden/>
    <w:unhideWhenUsed/>
    <w:rsid w:val="00FB6EE5"/>
    <w:rPr>
      <w:color w:val="605E5C"/>
      <w:shd w:val="clear" w:color="auto" w:fill="E1DFDD"/>
    </w:rPr>
  </w:style>
  <w:style w:type="character" w:customStyle="1" w:styleId="TitleChar">
    <w:name w:val="Title Char"/>
    <w:link w:val="Title"/>
    <w:uiPriority w:val="10"/>
    <w:rsid w:val="008C2155"/>
    <w:rPr>
      <w:rFonts w:ascii="Times New Roman" w:eastAsia="Times New Roman" w:hAnsi="Times New Roman" w:cs="Times New Roman"/>
      <w:sz w:val="22"/>
      <w:szCs w:val="22"/>
      <w:lang w:val="en-US" w:eastAsia="en-US" w:bidi="ar-SA"/>
    </w:rPr>
  </w:style>
  <w:style w:type="paragraph" w:customStyle="1" w:styleId="Body">
    <w:name w:val="Body"/>
    <w:rsid w:val="00967AA8"/>
    <w:pPr>
      <w:pBdr>
        <w:top w:val="nil"/>
        <w:left w:val="nil"/>
        <w:bottom w:val="nil"/>
        <w:right w:val="nil"/>
        <w:between w:val="nil"/>
        <w:bar w:val="nil"/>
      </w:pBdr>
    </w:pPr>
    <w:rPr>
      <w:rFonts w:ascii="Times New Roman" w:eastAsia="Times New Roman" w:hAnsi="Times New Roman" w:cs="Times New Roman"/>
      <w:color w:val="000000"/>
      <w:sz w:val="24"/>
      <w:szCs w:val="24"/>
      <w:u w:color="000000"/>
      <w:bdr w:val="nil"/>
      <w:lang w:val="en-US" w:eastAsia="en-US"/>
    </w:rPr>
  </w:style>
  <w:style w:type="numbering" w:customStyle="1" w:styleId="ImportedStyle7">
    <w:name w:val="Imported Style 7"/>
    <w:rsid w:val="00967AA8"/>
    <w:pPr>
      <w:numPr>
        <w:numId w:val="15"/>
      </w:numPr>
    </w:pPr>
  </w:style>
  <w:style w:type="paragraph" w:styleId="Header">
    <w:name w:val="header"/>
    <w:basedOn w:val="Normal"/>
    <w:link w:val="HeaderChar"/>
    <w:uiPriority w:val="99"/>
    <w:unhideWhenUsed/>
    <w:rsid w:val="009D54AC"/>
    <w:pPr>
      <w:tabs>
        <w:tab w:val="center" w:pos="4680"/>
        <w:tab w:val="right" w:pos="9360"/>
      </w:tabs>
    </w:pPr>
  </w:style>
  <w:style w:type="character" w:customStyle="1" w:styleId="HeaderChar">
    <w:name w:val="Header Char"/>
    <w:basedOn w:val="DefaultParagraphFont"/>
    <w:link w:val="Header"/>
    <w:uiPriority w:val="99"/>
    <w:rsid w:val="009D54AC"/>
    <w:rPr>
      <w:sz w:val="22"/>
      <w:szCs w:val="22"/>
      <w:lang w:val="en-US" w:eastAsia="en-US" w:bidi="ar-SA"/>
    </w:rPr>
  </w:style>
  <w:style w:type="paragraph" w:styleId="Footer">
    <w:name w:val="footer"/>
    <w:basedOn w:val="Normal"/>
    <w:link w:val="FooterChar"/>
    <w:uiPriority w:val="99"/>
    <w:unhideWhenUsed/>
    <w:rsid w:val="009D54AC"/>
    <w:pPr>
      <w:tabs>
        <w:tab w:val="center" w:pos="4680"/>
        <w:tab w:val="right" w:pos="9360"/>
      </w:tabs>
    </w:pPr>
  </w:style>
  <w:style w:type="character" w:customStyle="1" w:styleId="FooterChar">
    <w:name w:val="Footer Char"/>
    <w:basedOn w:val="DefaultParagraphFont"/>
    <w:link w:val="Footer"/>
    <w:uiPriority w:val="99"/>
    <w:rsid w:val="009D54AC"/>
    <w:rPr>
      <w:sz w:val="22"/>
      <w:szCs w:val="22"/>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982137">
      <w:bodyDiv w:val="1"/>
      <w:marLeft w:val="0"/>
      <w:marRight w:val="0"/>
      <w:marTop w:val="0"/>
      <w:marBottom w:val="0"/>
      <w:divBdr>
        <w:top w:val="none" w:sz="0" w:space="0" w:color="auto"/>
        <w:left w:val="none" w:sz="0" w:space="0" w:color="auto"/>
        <w:bottom w:val="none" w:sz="0" w:space="0" w:color="auto"/>
        <w:right w:val="none" w:sz="0" w:space="0" w:color="auto"/>
      </w:divBdr>
    </w:div>
    <w:div w:id="68579615">
      <w:bodyDiv w:val="1"/>
      <w:marLeft w:val="0"/>
      <w:marRight w:val="0"/>
      <w:marTop w:val="0"/>
      <w:marBottom w:val="0"/>
      <w:divBdr>
        <w:top w:val="none" w:sz="0" w:space="0" w:color="auto"/>
        <w:left w:val="none" w:sz="0" w:space="0" w:color="auto"/>
        <w:bottom w:val="none" w:sz="0" w:space="0" w:color="auto"/>
        <w:right w:val="none" w:sz="0" w:space="0" w:color="auto"/>
      </w:divBdr>
    </w:div>
    <w:div w:id="107430195">
      <w:bodyDiv w:val="1"/>
      <w:marLeft w:val="0"/>
      <w:marRight w:val="0"/>
      <w:marTop w:val="0"/>
      <w:marBottom w:val="0"/>
      <w:divBdr>
        <w:top w:val="none" w:sz="0" w:space="0" w:color="auto"/>
        <w:left w:val="none" w:sz="0" w:space="0" w:color="auto"/>
        <w:bottom w:val="none" w:sz="0" w:space="0" w:color="auto"/>
        <w:right w:val="none" w:sz="0" w:space="0" w:color="auto"/>
      </w:divBdr>
    </w:div>
    <w:div w:id="116460950">
      <w:bodyDiv w:val="1"/>
      <w:marLeft w:val="0"/>
      <w:marRight w:val="0"/>
      <w:marTop w:val="0"/>
      <w:marBottom w:val="0"/>
      <w:divBdr>
        <w:top w:val="none" w:sz="0" w:space="0" w:color="auto"/>
        <w:left w:val="none" w:sz="0" w:space="0" w:color="auto"/>
        <w:bottom w:val="none" w:sz="0" w:space="0" w:color="auto"/>
        <w:right w:val="none" w:sz="0" w:space="0" w:color="auto"/>
      </w:divBdr>
    </w:div>
    <w:div w:id="199828170">
      <w:bodyDiv w:val="1"/>
      <w:marLeft w:val="0"/>
      <w:marRight w:val="0"/>
      <w:marTop w:val="0"/>
      <w:marBottom w:val="0"/>
      <w:divBdr>
        <w:top w:val="none" w:sz="0" w:space="0" w:color="auto"/>
        <w:left w:val="none" w:sz="0" w:space="0" w:color="auto"/>
        <w:bottom w:val="none" w:sz="0" w:space="0" w:color="auto"/>
        <w:right w:val="none" w:sz="0" w:space="0" w:color="auto"/>
      </w:divBdr>
    </w:div>
    <w:div w:id="258611142">
      <w:bodyDiv w:val="1"/>
      <w:marLeft w:val="0"/>
      <w:marRight w:val="0"/>
      <w:marTop w:val="0"/>
      <w:marBottom w:val="0"/>
      <w:divBdr>
        <w:top w:val="none" w:sz="0" w:space="0" w:color="auto"/>
        <w:left w:val="none" w:sz="0" w:space="0" w:color="auto"/>
        <w:bottom w:val="none" w:sz="0" w:space="0" w:color="auto"/>
        <w:right w:val="none" w:sz="0" w:space="0" w:color="auto"/>
      </w:divBdr>
    </w:div>
    <w:div w:id="259877395">
      <w:bodyDiv w:val="1"/>
      <w:marLeft w:val="0"/>
      <w:marRight w:val="0"/>
      <w:marTop w:val="0"/>
      <w:marBottom w:val="0"/>
      <w:divBdr>
        <w:top w:val="none" w:sz="0" w:space="0" w:color="auto"/>
        <w:left w:val="none" w:sz="0" w:space="0" w:color="auto"/>
        <w:bottom w:val="none" w:sz="0" w:space="0" w:color="auto"/>
        <w:right w:val="none" w:sz="0" w:space="0" w:color="auto"/>
      </w:divBdr>
    </w:div>
    <w:div w:id="342360551">
      <w:bodyDiv w:val="1"/>
      <w:marLeft w:val="0"/>
      <w:marRight w:val="0"/>
      <w:marTop w:val="0"/>
      <w:marBottom w:val="0"/>
      <w:divBdr>
        <w:top w:val="none" w:sz="0" w:space="0" w:color="auto"/>
        <w:left w:val="none" w:sz="0" w:space="0" w:color="auto"/>
        <w:bottom w:val="none" w:sz="0" w:space="0" w:color="auto"/>
        <w:right w:val="none" w:sz="0" w:space="0" w:color="auto"/>
      </w:divBdr>
    </w:div>
    <w:div w:id="456922403">
      <w:bodyDiv w:val="1"/>
      <w:marLeft w:val="0"/>
      <w:marRight w:val="0"/>
      <w:marTop w:val="0"/>
      <w:marBottom w:val="0"/>
      <w:divBdr>
        <w:top w:val="none" w:sz="0" w:space="0" w:color="auto"/>
        <w:left w:val="none" w:sz="0" w:space="0" w:color="auto"/>
        <w:bottom w:val="none" w:sz="0" w:space="0" w:color="auto"/>
        <w:right w:val="none" w:sz="0" w:space="0" w:color="auto"/>
      </w:divBdr>
    </w:div>
    <w:div w:id="477041515">
      <w:bodyDiv w:val="1"/>
      <w:marLeft w:val="0"/>
      <w:marRight w:val="0"/>
      <w:marTop w:val="0"/>
      <w:marBottom w:val="0"/>
      <w:divBdr>
        <w:top w:val="none" w:sz="0" w:space="0" w:color="auto"/>
        <w:left w:val="none" w:sz="0" w:space="0" w:color="auto"/>
        <w:bottom w:val="none" w:sz="0" w:space="0" w:color="auto"/>
        <w:right w:val="none" w:sz="0" w:space="0" w:color="auto"/>
      </w:divBdr>
    </w:div>
    <w:div w:id="485975689">
      <w:bodyDiv w:val="1"/>
      <w:marLeft w:val="0"/>
      <w:marRight w:val="0"/>
      <w:marTop w:val="0"/>
      <w:marBottom w:val="0"/>
      <w:divBdr>
        <w:top w:val="none" w:sz="0" w:space="0" w:color="auto"/>
        <w:left w:val="none" w:sz="0" w:space="0" w:color="auto"/>
        <w:bottom w:val="none" w:sz="0" w:space="0" w:color="auto"/>
        <w:right w:val="none" w:sz="0" w:space="0" w:color="auto"/>
      </w:divBdr>
    </w:div>
    <w:div w:id="613487224">
      <w:bodyDiv w:val="1"/>
      <w:marLeft w:val="0"/>
      <w:marRight w:val="0"/>
      <w:marTop w:val="0"/>
      <w:marBottom w:val="0"/>
      <w:divBdr>
        <w:top w:val="none" w:sz="0" w:space="0" w:color="auto"/>
        <w:left w:val="none" w:sz="0" w:space="0" w:color="auto"/>
        <w:bottom w:val="none" w:sz="0" w:space="0" w:color="auto"/>
        <w:right w:val="none" w:sz="0" w:space="0" w:color="auto"/>
      </w:divBdr>
    </w:div>
    <w:div w:id="648828608">
      <w:bodyDiv w:val="1"/>
      <w:marLeft w:val="0"/>
      <w:marRight w:val="0"/>
      <w:marTop w:val="0"/>
      <w:marBottom w:val="0"/>
      <w:divBdr>
        <w:top w:val="none" w:sz="0" w:space="0" w:color="auto"/>
        <w:left w:val="none" w:sz="0" w:space="0" w:color="auto"/>
        <w:bottom w:val="none" w:sz="0" w:space="0" w:color="auto"/>
        <w:right w:val="none" w:sz="0" w:space="0" w:color="auto"/>
      </w:divBdr>
    </w:div>
    <w:div w:id="651445340">
      <w:bodyDiv w:val="1"/>
      <w:marLeft w:val="0"/>
      <w:marRight w:val="0"/>
      <w:marTop w:val="0"/>
      <w:marBottom w:val="0"/>
      <w:divBdr>
        <w:top w:val="none" w:sz="0" w:space="0" w:color="auto"/>
        <w:left w:val="none" w:sz="0" w:space="0" w:color="auto"/>
        <w:bottom w:val="none" w:sz="0" w:space="0" w:color="auto"/>
        <w:right w:val="none" w:sz="0" w:space="0" w:color="auto"/>
      </w:divBdr>
    </w:div>
    <w:div w:id="750808335">
      <w:bodyDiv w:val="1"/>
      <w:marLeft w:val="0"/>
      <w:marRight w:val="0"/>
      <w:marTop w:val="0"/>
      <w:marBottom w:val="0"/>
      <w:divBdr>
        <w:top w:val="none" w:sz="0" w:space="0" w:color="auto"/>
        <w:left w:val="none" w:sz="0" w:space="0" w:color="auto"/>
        <w:bottom w:val="none" w:sz="0" w:space="0" w:color="auto"/>
        <w:right w:val="none" w:sz="0" w:space="0" w:color="auto"/>
      </w:divBdr>
    </w:div>
    <w:div w:id="757212371">
      <w:bodyDiv w:val="1"/>
      <w:marLeft w:val="0"/>
      <w:marRight w:val="0"/>
      <w:marTop w:val="0"/>
      <w:marBottom w:val="0"/>
      <w:divBdr>
        <w:top w:val="none" w:sz="0" w:space="0" w:color="auto"/>
        <w:left w:val="none" w:sz="0" w:space="0" w:color="auto"/>
        <w:bottom w:val="none" w:sz="0" w:space="0" w:color="auto"/>
        <w:right w:val="none" w:sz="0" w:space="0" w:color="auto"/>
      </w:divBdr>
      <w:divsChild>
        <w:div w:id="343627354">
          <w:marLeft w:val="0"/>
          <w:marRight w:val="0"/>
          <w:marTop w:val="0"/>
          <w:marBottom w:val="0"/>
          <w:divBdr>
            <w:top w:val="single" w:sz="2" w:space="0" w:color="E3E3E3"/>
            <w:left w:val="single" w:sz="2" w:space="0" w:color="E3E3E3"/>
            <w:bottom w:val="single" w:sz="2" w:space="0" w:color="E3E3E3"/>
            <w:right w:val="single" w:sz="2" w:space="0" w:color="E3E3E3"/>
          </w:divBdr>
          <w:divsChild>
            <w:div w:id="1371341304">
              <w:marLeft w:val="0"/>
              <w:marRight w:val="0"/>
              <w:marTop w:val="100"/>
              <w:marBottom w:val="100"/>
              <w:divBdr>
                <w:top w:val="single" w:sz="2" w:space="0" w:color="E3E3E3"/>
                <w:left w:val="single" w:sz="2" w:space="0" w:color="E3E3E3"/>
                <w:bottom w:val="single" w:sz="2" w:space="0" w:color="E3E3E3"/>
                <w:right w:val="single" w:sz="2" w:space="0" w:color="E3E3E3"/>
              </w:divBdr>
              <w:divsChild>
                <w:div w:id="1134980396">
                  <w:marLeft w:val="0"/>
                  <w:marRight w:val="0"/>
                  <w:marTop w:val="0"/>
                  <w:marBottom w:val="0"/>
                  <w:divBdr>
                    <w:top w:val="single" w:sz="2" w:space="0" w:color="E3E3E3"/>
                    <w:left w:val="single" w:sz="2" w:space="0" w:color="E3E3E3"/>
                    <w:bottom w:val="single" w:sz="2" w:space="0" w:color="E3E3E3"/>
                    <w:right w:val="single" w:sz="2" w:space="0" w:color="E3E3E3"/>
                  </w:divBdr>
                  <w:divsChild>
                    <w:div w:id="891233668">
                      <w:marLeft w:val="0"/>
                      <w:marRight w:val="0"/>
                      <w:marTop w:val="0"/>
                      <w:marBottom w:val="0"/>
                      <w:divBdr>
                        <w:top w:val="single" w:sz="2" w:space="0" w:color="E3E3E3"/>
                        <w:left w:val="single" w:sz="2" w:space="0" w:color="E3E3E3"/>
                        <w:bottom w:val="single" w:sz="2" w:space="0" w:color="E3E3E3"/>
                        <w:right w:val="single" w:sz="2" w:space="0" w:color="E3E3E3"/>
                      </w:divBdr>
                      <w:divsChild>
                        <w:div w:id="1158964216">
                          <w:marLeft w:val="0"/>
                          <w:marRight w:val="0"/>
                          <w:marTop w:val="0"/>
                          <w:marBottom w:val="0"/>
                          <w:divBdr>
                            <w:top w:val="single" w:sz="2" w:space="0" w:color="E3E3E3"/>
                            <w:left w:val="single" w:sz="2" w:space="0" w:color="E3E3E3"/>
                            <w:bottom w:val="single" w:sz="2" w:space="0" w:color="E3E3E3"/>
                            <w:right w:val="single" w:sz="2" w:space="0" w:color="E3E3E3"/>
                          </w:divBdr>
                          <w:divsChild>
                            <w:div w:id="1551307429">
                              <w:marLeft w:val="0"/>
                              <w:marRight w:val="0"/>
                              <w:marTop w:val="0"/>
                              <w:marBottom w:val="0"/>
                              <w:divBdr>
                                <w:top w:val="single" w:sz="2" w:space="0" w:color="E3E3E3"/>
                                <w:left w:val="single" w:sz="2" w:space="0" w:color="E3E3E3"/>
                                <w:bottom w:val="single" w:sz="2" w:space="0" w:color="E3E3E3"/>
                                <w:right w:val="single" w:sz="2" w:space="0" w:color="E3E3E3"/>
                              </w:divBdr>
                              <w:divsChild>
                                <w:div w:id="1994793979">
                                  <w:marLeft w:val="0"/>
                                  <w:marRight w:val="0"/>
                                  <w:marTop w:val="0"/>
                                  <w:marBottom w:val="0"/>
                                  <w:divBdr>
                                    <w:top w:val="single" w:sz="2" w:space="0" w:color="E3E3E3"/>
                                    <w:left w:val="single" w:sz="2" w:space="0" w:color="E3E3E3"/>
                                    <w:bottom w:val="single" w:sz="2" w:space="0" w:color="E3E3E3"/>
                                    <w:right w:val="single" w:sz="2" w:space="0" w:color="E3E3E3"/>
                                  </w:divBdr>
                                  <w:divsChild>
                                    <w:div w:id="167236538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747453403">
          <w:marLeft w:val="0"/>
          <w:marRight w:val="0"/>
          <w:marTop w:val="0"/>
          <w:marBottom w:val="0"/>
          <w:divBdr>
            <w:top w:val="single" w:sz="2" w:space="0" w:color="E3E3E3"/>
            <w:left w:val="single" w:sz="2" w:space="0" w:color="E3E3E3"/>
            <w:bottom w:val="single" w:sz="2" w:space="0" w:color="E3E3E3"/>
            <w:right w:val="single" w:sz="2" w:space="0" w:color="E3E3E3"/>
          </w:divBdr>
          <w:divsChild>
            <w:div w:id="1953786450">
              <w:marLeft w:val="0"/>
              <w:marRight w:val="0"/>
              <w:marTop w:val="100"/>
              <w:marBottom w:val="100"/>
              <w:divBdr>
                <w:top w:val="single" w:sz="2" w:space="0" w:color="E3E3E3"/>
                <w:left w:val="single" w:sz="2" w:space="0" w:color="E3E3E3"/>
                <w:bottom w:val="single" w:sz="2" w:space="0" w:color="E3E3E3"/>
                <w:right w:val="single" w:sz="2" w:space="0" w:color="E3E3E3"/>
              </w:divBdr>
              <w:divsChild>
                <w:div w:id="897938630">
                  <w:marLeft w:val="0"/>
                  <w:marRight w:val="0"/>
                  <w:marTop w:val="0"/>
                  <w:marBottom w:val="0"/>
                  <w:divBdr>
                    <w:top w:val="single" w:sz="2" w:space="0" w:color="E3E3E3"/>
                    <w:left w:val="single" w:sz="2" w:space="0" w:color="E3E3E3"/>
                    <w:bottom w:val="single" w:sz="2" w:space="0" w:color="E3E3E3"/>
                    <w:right w:val="single" w:sz="2" w:space="0" w:color="E3E3E3"/>
                  </w:divBdr>
                  <w:divsChild>
                    <w:div w:id="36198157">
                      <w:marLeft w:val="0"/>
                      <w:marRight w:val="0"/>
                      <w:marTop w:val="0"/>
                      <w:marBottom w:val="0"/>
                      <w:divBdr>
                        <w:top w:val="single" w:sz="2" w:space="0" w:color="E3E3E3"/>
                        <w:left w:val="single" w:sz="2" w:space="0" w:color="E3E3E3"/>
                        <w:bottom w:val="single" w:sz="2" w:space="0" w:color="E3E3E3"/>
                        <w:right w:val="single" w:sz="2" w:space="0" w:color="E3E3E3"/>
                      </w:divBdr>
                      <w:divsChild>
                        <w:div w:id="86539676">
                          <w:marLeft w:val="0"/>
                          <w:marRight w:val="0"/>
                          <w:marTop w:val="0"/>
                          <w:marBottom w:val="0"/>
                          <w:divBdr>
                            <w:top w:val="single" w:sz="2" w:space="0" w:color="E3E3E3"/>
                            <w:left w:val="single" w:sz="2" w:space="0" w:color="E3E3E3"/>
                            <w:bottom w:val="single" w:sz="2" w:space="0" w:color="E3E3E3"/>
                            <w:right w:val="single" w:sz="2" w:space="0" w:color="E3E3E3"/>
                          </w:divBdr>
                          <w:divsChild>
                            <w:div w:id="2051106960">
                              <w:marLeft w:val="0"/>
                              <w:marRight w:val="0"/>
                              <w:marTop w:val="0"/>
                              <w:marBottom w:val="0"/>
                              <w:divBdr>
                                <w:top w:val="single" w:sz="2" w:space="0" w:color="E3E3E3"/>
                                <w:left w:val="single" w:sz="2" w:space="0" w:color="E3E3E3"/>
                                <w:bottom w:val="single" w:sz="2" w:space="0" w:color="E3E3E3"/>
                                <w:right w:val="single" w:sz="2" w:space="0" w:color="E3E3E3"/>
                              </w:divBdr>
                              <w:divsChild>
                                <w:div w:id="349185120">
                                  <w:marLeft w:val="0"/>
                                  <w:marRight w:val="0"/>
                                  <w:marTop w:val="0"/>
                                  <w:marBottom w:val="0"/>
                                  <w:divBdr>
                                    <w:top w:val="single" w:sz="2" w:space="0" w:color="E3E3E3"/>
                                    <w:left w:val="single" w:sz="2" w:space="0" w:color="E3E3E3"/>
                                    <w:bottom w:val="single" w:sz="2" w:space="0" w:color="E3E3E3"/>
                                    <w:right w:val="single" w:sz="2" w:space="0" w:color="E3E3E3"/>
                                  </w:divBdr>
                                  <w:divsChild>
                                    <w:div w:id="1469886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202596619">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270627596">
                      <w:marLeft w:val="0"/>
                      <w:marRight w:val="0"/>
                      <w:marTop w:val="0"/>
                      <w:marBottom w:val="0"/>
                      <w:divBdr>
                        <w:top w:val="single" w:sz="2" w:space="0" w:color="E3E3E3"/>
                        <w:left w:val="single" w:sz="2" w:space="0" w:color="E3E3E3"/>
                        <w:bottom w:val="single" w:sz="2" w:space="0" w:color="E3E3E3"/>
                        <w:right w:val="single" w:sz="2" w:space="0" w:color="E3E3E3"/>
                      </w:divBdr>
                      <w:divsChild>
                        <w:div w:id="129984087">
                          <w:marLeft w:val="0"/>
                          <w:marRight w:val="0"/>
                          <w:marTop w:val="0"/>
                          <w:marBottom w:val="0"/>
                          <w:divBdr>
                            <w:top w:val="single" w:sz="2" w:space="0" w:color="E3E3E3"/>
                            <w:left w:val="single" w:sz="2" w:space="0" w:color="E3E3E3"/>
                            <w:bottom w:val="single" w:sz="2" w:space="0" w:color="E3E3E3"/>
                            <w:right w:val="single" w:sz="2" w:space="0" w:color="E3E3E3"/>
                          </w:divBdr>
                          <w:divsChild>
                            <w:div w:id="1913419858">
                              <w:marLeft w:val="0"/>
                              <w:marRight w:val="0"/>
                              <w:marTop w:val="0"/>
                              <w:marBottom w:val="0"/>
                              <w:divBdr>
                                <w:top w:val="single" w:sz="2" w:space="0" w:color="E3E3E3"/>
                                <w:left w:val="single" w:sz="2" w:space="0" w:color="E3E3E3"/>
                                <w:bottom w:val="single" w:sz="2" w:space="0" w:color="E3E3E3"/>
                                <w:right w:val="single" w:sz="2" w:space="0" w:color="E3E3E3"/>
                              </w:divBdr>
                              <w:divsChild>
                                <w:div w:id="1201281199">
                                  <w:marLeft w:val="0"/>
                                  <w:marRight w:val="0"/>
                                  <w:marTop w:val="0"/>
                                  <w:marBottom w:val="0"/>
                                  <w:divBdr>
                                    <w:top w:val="single" w:sz="2" w:space="0" w:color="E3E3E3"/>
                                    <w:left w:val="single" w:sz="2" w:space="0" w:color="E3E3E3"/>
                                    <w:bottom w:val="single" w:sz="2" w:space="0" w:color="E3E3E3"/>
                                    <w:right w:val="single" w:sz="2" w:space="0" w:color="E3E3E3"/>
                                  </w:divBdr>
                                  <w:divsChild>
                                    <w:div w:id="184512199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809254131">
      <w:bodyDiv w:val="1"/>
      <w:marLeft w:val="0"/>
      <w:marRight w:val="0"/>
      <w:marTop w:val="0"/>
      <w:marBottom w:val="0"/>
      <w:divBdr>
        <w:top w:val="none" w:sz="0" w:space="0" w:color="auto"/>
        <w:left w:val="none" w:sz="0" w:space="0" w:color="auto"/>
        <w:bottom w:val="none" w:sz="0" w:space="0" w:color="auto"/>
        <w:right w:val="none" w:sz="0" w:space="0" w:color="auto"/>
      </w:divBdr>
    </w:div>
    <w:div w:id="830565999">
      <w:bodyDiv w:val="1"/>
      <w:marLeft w:val="0"/>
      <w:marRight w:val="0"/>
      <w:marTop w:val="0"/>
      <w:marBottom w:val="0"/>
      <w:divBdr>
        <w:top w:val="none" w:sz="0" w:space="0" w:color="auto"/>
        <w:left w:val="none" w:sz="0" w:space="0" w:color="auto"/>
        <w:bottom w:val="none" w:sz="0" w:space="0" w:color="auto"/>
        <w:right w:val="none" w:sz="0" w:space="0" w:color="auto"/>
      </w:divBdr>
    </w:div>
    <w:div w:id="844051781">
      <w:bodyDiv w:val="1"/>
      <w:marLeft w:val="0"/>
      <w:marRight w:val="0"/>
      <w:marTop w:val="0"/>
      <w:marBottom w:val="0"/>
      <w:divBdr>
        <w:top w:val="none" w:sz="0" w:space="0" w:color="auto"/>
        <w:left w:val="none" w:sz="0" w:space="0" w:color="auto"/>
        <w:bottom w:val="none" w:sz="0" w:space="0" w:color="auto"/>
        <w:right w:val="none" w:sz="0" w:space="0" w:color="auto"/>
      </w:divBdr>
      <w:divsChild>
        <w:div w:id="2088116134">
          <w:marLeft w:val="0"/>
          <w:marRight w:val="0"/>
          <w:marTop w:val="0"/>
          <w:marBottom w:val="0"/>
          <w:divBdr>
            <w:top w:val="single" w:sz="2" w:space="0" w:color="E3E3E3"/>
            <w:left w:val="single" w:sz="2" w:space="0" w:color="E3E3E3"/>
            <w:bottom w:val="single" w:sz="2" w:space="0" w:color="E3E3E3"/>
            <w:right w:val="single" w:sz="2" w:space="0" w:color="E3E3E3"/>
          </w:divBdr>
          <w:divsChild>
            <w:div w:id="1415398014">
              <w:marLeft w:val="0"/>
              <w:marRight w:val="0"/>
              <w:marTop w:val="0"/>
              <w:marBottom w:val="0"/>
              <w:divBdr>
                <w:top w:val="single" w:sz="2" w:space="0" w:color="E3E3E3"/>
                <w:left w:val="single" w:sz="2" w:space="0" w:color="E3E3E3"/>
                <w:bottom w:val="single" w:sz="2" w:space="0" w:color="E3E3E3"/>
                <w:right w:val="single" w:sz="2" w:space="0" w:color="E3E3E3"/>
              </w:divBdr>
              <w:divsChild>
                <w:div w:id="406265947">
                  <w:marLeft w:val="0"/>
                  <w:marRight w:val="0"/>
                  <w:marTop w:val="0"/>
                  <w:marBottom w:val="0"/>
                  <w:divBdr>
                    <w:top w:val="single" w:sz="2" w:space="0" w:color="E3E3E3"/>
                    <w:left w:val="single" w:sz="2" w:space="0" w:color="E3E3E3"/>
                    <w:bottom w:val="single" w:sz="2" w:space="0" w:color="E3E3E3"/>
                    <w:right w:val="single" w:sz="2" w:space="0" w:color="E3E3E3"/>
                  </w:divBdr>
                  <w:divsChild>
                    <w:div w:id="1020861396">
                      <w:marLeft w:val="0"/>
                      <w:marRight w:val="0"/>
                      <w:marTop w:val="0"/>
                      <w:marBottom w:val="0"/>
                      <w:divBdr>
                        <w:top w:val="single" w:sz="2" w:space="0" w:color="E3E3E3"/>
                        <w:left w:val="single" w:sz="2" w:space="0" w:color="E3E3E3"/>
                        <w:bottom w:val="single" w:sz="2" w:space="0" w:color="E3E3E3"/>
                        <w:right w:val="single" w:sz="2" w:space="0" w:color="E3E3E3"/>
                      </w:divBdr>
                      <w:divsChild>
                        <w:div w:id="295648325">
                          <w:marLeft w:val="0"/>
                          <w:marRight w:val="0"/>
                          <w:marTop w:val="0"/>
                          <w:marBottom w:val="0"/>
                          <w:divBdr>
                            <w:top w:val="single" w:sz="2" w:space="0" w:color="E3E3E3"/>
                            <w:left w:val="single" w:sz="2" w:space="0" w:color="E3E3E3"/>
                            <w:bottom w:val="single" w:sz="2" w:space="0" w:color="E3E3E3"/>
                            <w:right w:val="single" w:sz="2" w:space="0" w:color="E3E3E3"/>
                          </w:divBdr>
                          <w:divsChild>
                            <w:div w:id="8874442">
                              <w:marLeft w:val="0"/>
                              <w:marRight w:val="0"/>
                              <w:marTop w:val="100"/>
                              <w:marBottom w:val="100"/>
                              <w:divBdr>
                                <w:top w:val="single" w:sz="2" w:space="0" w:color="E3E3E3"/>
                                <w:left w:val="single" w:sz="2" w:space="0" w:color="E3E3E3"/>
                                <w:bottom w:val="single" w:sz="2" w:space="0" w:color="E3E3E3"/>
                                <w:right w:val="single" w:sz="2" w:space="0" w:color="E3E3E3"/>
                              </w:divBdr>
                              <w:divsChild>
                                <w:div w:id="879973435">
                                  <w:marLeft w:val="0"/>
                                  <w:marRight w:val="0"/>
                                  <w:marTop w:val="0"/>
                                  <w:marBottom w:val="0"/>
                                  <w:divBdr>
                                    <w:top w:val="single" w:sz="2" w:space="0" w:color="E3E3E3"/>
                                    <w:left w:val="single" w:sz="2" w:space="0" w:color="E3E3E3"/>
                                    <w:bottom w:val="single" w:sz="2" w:space="0" w:color="E3E3E3"/>
                                    <w:right w:val="single" w:sz="2" w:space="0" w:color="E3E3E3"/>
                                  </w:divBdr>
                                  <w:divsChild>
                                    <w:div w:id="281965604">
                                      <w:marLeft w:val="0"/>
                                      <w:marRight w:val="0"/>
                                      <w:marTop w:val="0"/>
                                      <w:marBottom w:val="0"/>
                                      <w:divBdr>
                                        <w:top w:val="single" w:sz="2" w:space="0" w:color="E3E3E3"/>
                                        <w:left w:val="single" w:sz="2" w:space="0" w:color="E3E3E3"/>
                                        <w:bottom w:val="single" w:sz="2" w:space="0" w:color="E3E3E3"/>
                                        <w:right w:val="single" w:sz="2" w:space="0" w:color="E3E3E3"/>
                                      </w:divBdr>
                                      <w:divsChild>
                                        <w:div w:id="1730373576">
                                          <w:marLeft w:val="0"/>
                                          <w:marRight w:val="0"/>
                                          <w:marTop w:val="0"/>
                                          <w:marBottom w:val="0"/>
                                          <w:divBdr>
                                            <w:top w:val="single" w:sz="2" w:space="0" w:color="E3E3E3"/>
                                            <w:left w:val="single" w:sz="2" w:space="0" w:color="E3E3E3"/>
                                            <w:bottom w:val="single" w:sz="2" w:space="0" w:color="E3E3E3"/>
                                            <w:right w:val="single" w:sz="2" w:space="0" w:color="E3E3E3"/>
                                          </w:divBdr>
                                          <w:divsChild>
                                            <w:div w:id="271977052">
                                              <w:marLeft w:val="0"/>
                                              <w:marRight w:val="0"/>
                                              <w:marTop w:val="0"/>
                                              <w:marBottom w:val="0"/>
                                              <w:divBdr>
                                                <w:top w:val="single" w:sz="2" w:space="0" w:color="E3E3E3"/>
                                                <w:left w:val="single" w:sz="2" w:space="0" w:color="E3E3E3"/>
                                                <w:bottom w:val="single" w:sz="2" w:space="0" w:color="E3E3E3"/>
                                                <w:right w:val="single" w:sz="2" w:space="0" w:color="E3E3E3"/>
                                              </w:divBdr>
                                              <w:divsChild>
                                                <w:div w:id="2050951756">
                                                  <w:marLeft w:val="0"/>
                                                  <w:marRight w:val="0"/>
                                                  <w:marTop w:val="0"/>
                                                  <w:marBottom w:val="0"/>
                                                  <w:divBdr>
                                                    <w:top w:val="single" w:sz="2" w:space="0" w:color="E3E3E3"/>
                                                    <w:left w:val="single" w:sz="2" w:space="0" w:color="E3E3E3"/>
                                                    <w:bottom w:val="single" w:sz="2" w:space="0" w:color="E3E3E3"/>
                                                    <w:right w:val="single" w:sz="2" w:space="0" w:color="E3E3E3"/>
                                                  </w:divBdr>
                                                  <w:divsChild>
                                                    <w:div w:id="152004820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392236324">
          <w:marLeft w:val="0"/>
          <w:marRight w:val="0"/>
          <w:marTop w:val="0"/>
          <w:marBottom w:val="0"/>
          <w:divBdr>
            <w:top w:val="none" w:sz="0" w:space="0" w:color="auto"/>
            <w:left w:val="none" w:sz="0" w:space="0" w:color="auto"/>
            <w:bottom w:val="none" w:sz="0" w:space="0" w:color="auto"/>
            <w:right w:val="none" w:sz="0" w:space="0" w:color="auto"/>
          </w:divBdr>
        </w:div>
      </w:divsChild>
    </w:div>
    <w:div w:id="889926367">
      <w:bodyDiv w:val="1"/>
      <w:marLeft w:val="0"/>
      <w:marRight w:val="0"/>
      <w:marTop w:val="0"/>
      <w:marBottom w:val="0"/>
      <w:divBdr>
        <w:top w:val="none" w:sz="0" w:space="0" w:color="auto"/>
        <w:left w:val="none" w:sz="0" w:space="0" w:color="auto"/>
        <w:bottom w:val="none" w:sz="0" w:space="0" w:color="auto"/>
        <w:right w:val="none" w:sz="0" w:space="0" w:color="auto"/>
      </w:divBdr>
    </w:div>
    <w:div w:id="994643913">
      <w:bodyDiv w:val="1"/>
      <w:marLeft w:val="0"/>
      <w:marRight w:val="0"/>
      <w:marTop w:val="0"/>
      <w:marBottom w:val="0"/>
      <w:divBdr>
        <w:top w:val="none" w:sz="0" w:space="0" w:color="auto"/>
        <w:left w:val="none" w:sz="0" w:space="0" w:color="auto"/>
        <w:bottom w:val="none" w:sz="0" w:space="0" w:color="auto"/>
        <w:right w:val="none" w:sz="0" w:space="0" w:color="auto"/>
      </w:divBdr>
    </w:div>
    <w:div w:id="1095829552">
      <w:bodyDiv w:val="1"/>
      <w:marLeft w:val="0"/>
      <w:marRight w:val="0"/>
      <w:marTop w:val="0"/>
      <w:marBottom w:val="0"/>
      <w:divBdr>
        <w:top w:val="none" w:sz="0" w:space="0" w:color="auto"/>
        <w:left w:val="none" w:sz="0" w:space="0" w:color="auto"/>
        <w:bottom w:val="none" w:sz="0" w:space="0" w:color="auto"/>
        <w:right w:val="none" w:sz="0" w:space="0" w:color="auto"/>
      </w:divBdr>
    </w:div>
    <w:div w:id="1157957625">
      <w:bodyDiv w:val="1"/>
      <w:marLeft w:val="0"/>
      <w:marRight w:val="0"/>
      <w:marTop w:val="0"/>
      <w:marBottom w:val="0"/>
      <w:divBdr>
        <w:top w:val="none" w:sz="0" w:space="0" w:color="auto"/>
        <w:left w:val="none" w:sz="0" w:space="0" w:color="auto"/>
        <w:bottom w:val="none" w:sz="0" w:space="0" w:color="auto"/>
        <w:right w:val="none" w:sz="0" w:space="0" w:color="auto"/>
      </w:divBdr>
    </w:div>
    <w:div w:id="1196700533">
      <w:bodyDiv w:val="1"/>
      <w:marLeft w:val="0"/>
      <w:marRight w:val="0"/>
      <w:marTop w:val="0"/>
      <w:marBottom w:val="0"/>
      <w:divBdr>
        <w:top w:val="none" w:sz="0" w:space="0" w:color="auto"/>
        <w:left w:val="none" w:sz="0" w:space="0" w:color="auto"/>
        <w:bottom w:val="none" w:sz="0" w:space="0" w:color="auto"/>
        <w:right w:val="none" w:sz="0" w:space="0" w:color="auto"/>
      </w:divBdr>
    </w:div>
    <w:div w:id="1200701922">
      <w:bodyDiv w:val="1"/>
      <w:marLeft w:val="0"/>
      <w:marRight w:val="0"/>
      <w:marTop w:val="0"/>
      <w:marBottom w:val="0"/>
      <w:divBdr>
        <w:top w:val="none" w:sz="0" w:space="0" w:color="auto"/>
        <w:left w:val="none" w:sz="0" w:space="0" w:color="auto"/>
        <w:bottom w:val="none" w:sz="0" w:space="0" w:color="auto"/>
        <w:right w:val="none" w:sz="0" w:space="0" w:color="auto"/>
      </w:divBdr>
    </w:div>
    <w:div w:id="1294824297">
      <w:bodyDiv w:val="1"/>
      <w:marLeft w:val="0"/>
      <w:marRight w:val="0"/>
      <w:marTop w:val="0"/>
      <w:marBottom w:val="0"/>
      <w:divBdr>
        <w:top w:val="none" w:sz="0" w:space="0" w:color="auto"/>
        <w:left w:val="none" w:sz="0" w:space="0" w:color="auto"/>
        <w:bottom w:val="none" w:sz="0" w:space="0" w:color="auto"/>
        <w:right w:val="none" w:sz="0" w:space="0" w:color="auto"/>
      </w:divBdr>
    </w:div>
    <w:div w:id="1310281340">
      <w:bodyDiv w:val="1"/>
      <w:marLeft w:val="0"/>
      <w:marRight w:val="0"/>
      <w:marTop w:val="0"/>
      <w:marBottom w:val="0"/>
      <w:divBdr>
        <w:top w:val="none" w:sz="0" w:space="0" w:color="auto"/>
        <w:left w:val="none" w:sz="0" w:space="0" w:color="auto"/>
        <w:bottom w:val="none" w:sz="0" w:space="0" w:color="auto"/>
        <w:right w:val="none" w:sz="0" w:space="0" w:color="auto"/>
      </w:divBdr>
    </w:div>
    <w:div w:id="1316227230">
      <w:bodyDiv w:val="1"/>
      <w:marLeft w:val="0"/>
      <w:marRight w:val="0"/>
      <w:marTop w:val="0"/>
      <w:marBottom w:val="0"/>
      <w:divBdr>
        <w:top w:val="none" w:sz="0" w:space="0" w:color="auto"/>
        <w:left w:val="none" w:sz="0" w:space="0" w:color="auto"/>
        <w:bottom w:val="none" w:sz="0" w:space="0" w:color="auto"/>
        <w:right w:val="none" w:sz="0" w:space="0" w:color="auto"/>
      </w:divBdr>
    </w:div>
    <w:div w:id="1318145908">
      <w:bodyDiv w:val="1"/>
      <w:marLeft w:val="0"/>
      <w:marRight w:val="0"/>
      <w:marTop w:val="0"/>
      <w:marBottom w:val="0"/>
      <w:divBdr>
        <w:top w:val="none" w:sz="0" w:space="0" w:color="auto"/>
        <w:left w:val="none" w:sz="0" w:space="0" w:color="auto"/>
        <w:bottom w:val="none" w:sz="0" w:space="0" w:color="auto"/>
        <w:right w:val="none" w:sz="0" w:space="0" w:color="auto"/>
      </w:divBdr>
    </w:div>
    <w:div w:id="1354116089">
      <w:bodyDiv w:val="1"/>
      <w:marLeft w:val="0"/>
      <w:marRight w:val="0"/>
      <w:marTop w:val="0"/>
      <w:marBottom w:val="0"/>
      <w:divBdr>
        <w:top w:val="none" w:sz="0" w:space="0" w:color="auto"/>
        <w:left w:val="none" w:sz="0" w:space="0" w:color="auto"/>
        <w:bottom w:val="none" w:sz="0" w:space="0" w:color="auto"/>
        <w:right w:val="none" w:sz="0" w:space="0" w:color="auto"/>
      </w:divBdr>
    </w:div>
    <w:div w:id="1370908982">
      <w:bodyDiv w:val="1"/>
      <w:marLeft w:val="0"/>
      <w:marRight w:val="0"/>
      <w:marTop w:val="0"/>
      <w:marBottom w:val="0"/>
      <w:divBdr>
        <w:top w:val="none" w:sz="0" w:space="0" w:color="auto"/>
        <w:left w:val="none" w:sz="0" w:space="0" w:color="auto"/>
        <w:bottom w:val="none" w:sz="0" w:space="0" w:color="auto"/>
        <w:right w:val="none" w:sz="0" w:space="0" w:color="auto"/>
      </w:divBdr>
    </w:div>
    <w:div w:id="1414159236">
      <w:bodyDiv w:val="1"/>
      <w:marLeft w:val="0"/>
      <w:marRight w:val="0"/>
      <w:marTop w:val="0"/>
      <w:marBottom w:val="0"/>
      <w:divBdr>
        <w:top w:val="none" w:sz="0" w:space="0" w:color="auto"/>
        <w:left w:val="none" w:sz="0" w:space="0" w:color="auto"/>
        <w:bottom w:val="none" w:sz="0" w:space="0" w:color="auto"/>
        <w:right w:val="none" w:sz="0" w:space="0" w:color="auto"/>
      </w:divBdr>
    </w:div>
    <w:div w:id="1460146123">
      <w:bodyDiv w:val="1"/>
      <w:marLeft w:val="0"/>
      <w:marRight w:val="0"/>
      <w:marTop w:val="0"/>
      <w:marBottom w:val="0"/>
      <w:divBdr>
        <w:top w:val="none" w:sz="0" w:space="0" w:color="auto"/>
        <w:left w:val="none" w:sz="0" w:space="0" w:color="auto"/>
        <w:bottom w:val="none" w:sz="0" w:space="0" w:color="auto"/>
        <w:right w:val="none" w:sz="0" w:space="0" w:color="auto"/>
      </w:divBdr>
    </w:div>
    <w:div w:id="1498111018">
      <w:bodyDiv w:val="1"/>
      <w:marLeft w:val="0"/>
      <w:marRight w:val="0"/>
      <w:marTop w:val="0"/>
      <w:marBottom w:val="0"/>
      <w:divBdr>
        <w:top w:val="none" w:sz="0" w:space="0" w:color="auto"/>
        <w:left w:val="none" w:sz="0" w:space="0" w:color="auto"/>
        <w:bottom w:val="none" w:sz="0" w:space="0" w:color="auto"/>
        <w:right w:val="none" w:sz="0" w:space="0" w:color="auto"/>
      </w:divBdr>
    </w:div>
    <w:div w:id="1520050069">
      <w:bodyDiv w:val="1"/>
      <w:marLeft w:val="0"/>
      <w:marRight w:val="0"/>
      <w:marTop w:val="0"/>
      <w:marBottom w:val="0"/>
      <w:divBdr>
        <w:top w:val="none" w:sz="0" w:space="0" w:color="auto"/>
        <w:left w:val="none" w:sz="0" w:space="0" w:color="auto"/>
        <w:bottom w:val="none" w:sz="0" w:space="0" w:color="auto"/>
        <w:right w:val="none" w:sz="0" w:space="0" w:color="auto"/>
      </w:divBdr>
    </w:div>
    <w:div w:id="1522091569">
      <w:bodyDiv w:val="1"/>
      <w:marLeft w:val="0"/>
      <w:marRight w:val="0"/>
      <w:marTop w:val="0"/>
      <w:marBottom w:val="0"/>
      <w:divBdr>
        <w:top w:val="none" w:sz="0" w:space="0" w:color="auto"/>
        <w:left w:val="none" w:sz="0" w:space="0" w:color="auto"/>
        <w:bottom w:val="none" w:sz="0" w:space="0" w:color="auto"/>
        <w:right w:val="none" w:sz="0" w:space="0" w:color="auto"/>
      </w:divBdr>
    </w:div>
    <w:div w:id="1612979314">
      <w:bodyDiv w:val="1"/>
      <w:marLeft w:val="0"/>
      <w:marRight w:val="0"/>
      <w:marTop w:val="0"/>
      <w:marBottom w:val="0"/>
      <w:divBdr>
        <w:top w:val="none" w:sz="0" w:space="0" w:color="auto"/>
        <w:left w:val="none" w:sz="0" w:space="0" w:color="auto"/>
        <w:bottom w:val="none" w:sz="0" w:space="0" w:color="auto"/>
        <w:right w:val="none" w:sz="0" w:space="0" w:color="auto"/>
      </w:divBdr>
    </w:div>
    <w:div w:id="1652129305">
      <w:bodyDiv w:val="1"/>
      <w:marLeft w:val="0"/>
      <w:marRight w:val="0"/>
      <w:marTop w:val="0"/>
      <w:marBottom w:val="0"/>
      <w:divBdr>
        <w:top w:val="none" w:sz="0" w:space="0" w:color="auto"/>
        <w:left w:val="none" w:sz="0" w:space="0" w:color="auto"/>
        <w:bottom w:val="none" w:sz="0" w:space="0" w:color="auto"/>
        <w:right w:val="none" w:sz="0" w:space="0" w:color="auto"/>
      </w:divBdr>
    </w:div>
    <w:div w:id="1757901655">
      <w:bodyDiv w:val="1"/>
      <w:marLeft w:val="0"/>
      <w:marRight w:val="0"/>
      <w:marTop w:val="0"/>
      <w:marBottom w:val="0"/>
      <w:divBdr>
        <w:top w:val="none" w:sz="0" w:space="0" w:color="auto"/>
        <w:left w:val="none" w:sz="0" w:space="0" w:color="auto"/>
        <w:bottom w:val="none" w:sz="0" w:space="0" w:color="auto"/>
        <w:right w:val="none" w:sz="0" w:space="0" w:color="auto"/>
      </w:divBdr>
    </w:div>
    <w:div w:id="1795974871">
      <w:bodyDiv w:val="1"/>
      <w:marLeft w:val="0"/>
      <w:marRight w:val="0"/>
      <w:marTop w:val="0"/>
      <w:marBottom w:val="0"/>
      <w:divBdr>
        <w:top w:val="none" w:sz="0" w:space="0" w:color="auto"/>
        <w:left w:val="none" w:sz="0" w:space="0" w:color="auto"/>
        <w:bottom w:val="none" w:sz="0" w:space="0" w:color="auto"/>
        <w:right w:val="none" w:sz="0" w:space="0" w:color="auto"/>
      </w:divBdr>
    </w:div>
    <w:div w:id="1801151135">
      <w:bodyDiv w:val="1"/>
      <w:marLeft w:val="0"/>
      <w:marRight w:val="0"/>
      <w:marTop w:val="0"/>
      <w:marBottom w:val="0"/>
      <w:divBdr>
        <w:top w:val="none" w:sz="0" w:space="0" w:color="auto"/>
        <w:left w:val="none" w:sz="0" w:space="0" w:color="auto"/>
        <w:bottom w:val="none" w:sz="0" w:space="0" w:color="auto"/>
        <w:right w:val="none" w:sz="0" w:space="0" w:color="auto"/>
      </w:divBdr>
    </w:div>
    <w:div w:id="1823043467">
      <w:bodyDiv w:val="1"/>
      <w:marLeft w:val="0"/>
      <w:marRight w:val="0"/>
      <w:marTop w:val="0"/>
      <w:marBottom w:val="0"/>
      <w:divBdr>
        <w:top w:val="none" w:sz="0" w:space="0" w:color="auto"/>
        <w:left w:val="none" w:sz="0" w:space="0" w:color="auto"/>
        <w:bottom w:val="none" w:sz="0" w:space="0" w:color="auto"/>
        <w:right w:val="none" w:sz="0" w:space="0" w:color="auto"/>
      </w:divBdr>
    </w:div>
    <w:div w:id="1824469161">
      <w:bodyDiv w:val="1"/>
      <w:marLeft w:val="0"/>
      <w:marRight w:val="0"/>
      <w:marTop w:val="0"/>
      <w:marBottom w:val="0"/>
      <w:divBdr>
        <w:top w:val="none" w:sz="0" w:space="0" w:color="auto"/>
        <w:left w:val="none" w:sz="0" w:space="0" w:color="auto"/>
        <w:bottom w:val="none" w:sz="0" w:space="0" w:color="auto"/>
        <w:right w:val="none" w:sz="0" w:space="0" w:color="auto"/>
      </w:divBdr>
    </w:div>
    <w:div w:id="1896576987">
      <w:bodyDiv w:val="1"/>
      <w:marLeft w:val="0"/>
      <w:marRight w:val="0"/>
      <w:marTop w:val="0"/>
      <w:marBottom w:val="0"/>
      <w:divBdr>
        <w:top w:val="none" w:sz="0" w:space="0" w:color="auto"/>
        <w:left w:val="none" w:sz="0" w:space="0" w:color="auto"/>
        <w:bottom w:val="none" w:sz="0" w:space="0" w:color="auto"/>
        <w:right w:val="none" w:sz="0" w:space="0" w:color="auto"/>
      </w:divBdr>
    </w:div>
    <w:div w:id="1904412073">
      <w:bodyDiv w:val="1"/>
      <w:marLeft w:val="0"/>
      <w:marRight w:val="0"/>
      <w:marTop w:val="0"/>
      <w:marBottom w:val="0"/>
      <w:divBdr>
        <w:top w:val="none" w:sz="0" w:space="0" w:color="auto"/>
        <w:left w:val="none" w:sz="0" w:space="0" w:color="auto"/>
        <w:bottom w:val="none" w:sz="0" w:space="0" w:color="auto"/>
        <w:right w:val="none" w:sz="0" w:space="0" w:color="auto"/>
      </w:divBdr>
    </w:div>
    <w:div w:id="1912234879">
      <w:bodyDiv w:val="1"/>
      <w:marLeft w:val="0"/>
      <w:marRight w:val="0"/>
      <w:marTop w:val="0"/>
      <w:marBottom w:val="0"/>
      <w:divBdr>
        <w:top w:val="none" w:sz="0" w:space="0" w:color="auto"/>
        <w:left w:val="none" w:sz="0" w:space="0" w:color="auto"/>
        <w:bottom w:val="none" w:sz="0" w:space="0" w:color="auto"/>
        <w:right w:val="none" w:sz="0" w:space="0" w:color="auto"/>
      </w:divBdr>
    </w:div>
    <w:div w:id="1977056252">
      <w:bodyDiv w:val="1"/>
      <w:marLeft w:val="0"/>
      <w:marRight w:val="0"/>
      <w:marTop w:val="0"/>
      <w:marBottom w:val="0"/>
      <w:divBdr>
        <w:top w:val="none" w:sz="0" w:space="0" w:color="auto"/>
        <w:left w:val="none" w:sz="0" w:space="0" w:color="auto"/>
        <w:bottom w:val="none" w:sz="0" w:space="0" w:color="auto"/>
        <w:right w:val="none" w:sz="0" w:space="0" w:color="auto"/>
      </w:divBdr>
    </w:div>
    <w:div w:id="2027973925">
      <w:bodyDiv w:val="1"/>
      <w:marLeft w:val="0"/>
      <w:marRight w:val="0"/>
      <w:marTop w:val="0"/>
      <w:marBottom w:val="0"/>
      <w:divBdr>
        <w:top w:val="none" w:sz="0" w:space="0" w:color="auto"/>
        <w:left w:val="none" w:sz="0" w:space="0" w:color="auto"/>
        <w:bottom w:val="none" w:sz="0" w:space="0" w:color="auto"/>
        <w:right w:val="none" w:sz="0" w:space="0" w:color="auto"/>
      </w:divBdr>
    </w:div>
    <w:div w:id="2028435089">
      <w:bodyDiv w:val="1"/>
      <w:marLeft w:val="0"/>
      <w:marRight w:val="0"/>
      <w:marTop w:val="0"/>
      <w:marBottom w:val="0"/>
      <w:divBdr>
        <w:top w:val="none" w:sz="0" w:space="0" w:color="auto"/>
        <w:left w:val="none" w:sz="0" w:space="0" w:color="auto"/>
        <w:bottom w:val="none" w:sz="0" w:space="0" w:color="auto"/>
        <w:right w:val="none" w:sz="0" w:space="0" w:color="auto"/>
      </w:divBdr>
    </w:div>
    <w:div w:id="21028010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16/j.ihj.2017.09.011" TargetMode="External"/><Relationship Id="rId13" Type="http://schemas.openxmlformats.org/officeDocument/2006/relationships/hyperlink" Target="https://doi.org/10.32381/JPR.2023.18.02"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holy-bhagavad-gita.org/"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5539/gjhs.v9n10p126" TargetMode="External"/><Relationship Id="rId5" Type="http://schemas.openxmlformats.org/officeDocument/2006/relationships/webSettings" Target="webSettings.xml"/><Relationship Id="rId15" Type="http://schemas.openxmlformats.org/officeDocument/2006/relationships/hyperlink" Target="https://doi.org/10.1503/cmaj.051351" TargetMode="External"/><Relationship Id="rId23" Type="http://schemas.openxmlformats.org/officeDocument/2006/relationships/theme" Target="theme/theme1.xml"/><Relationship Id="rId10" Type="http://schemas.openxmlformats.org/officeDocument/2006/relationships/hyperlink" Target="https://doi.org/10.1002/14651858.CD007651.pub2"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wisdomlib.org/hinduism/book/%20chandogya-upanishad-englis" TargetMode="External"/><Relationship Id="rId14" Type="http://schemas.openxmlformats.org/officeDocument/2006/relationships/hyperlink" Target="http://www.doi.ed/22.05.09" TargetMode="Externa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4EA3A9-106D-426E-98A4-EAB5656A9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1524</TotalTime>
  <Pages>13</Pages>
  <Words>6393</Words>
  <Characters>36443</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42751</CharactersWithSpaces>
  <SharedDoc>false</SharedDoc>
  <HLinks>
    <vt:vector size="36" baseType="variant">
      <vt:variant>
        <vt:i4>2228285</vt:i4>
      </vt:variant>
      <vt:variant>
        <vt:i4>15</vt:i4>
      </vt:variant>
      <vt:variant>
        <vt:i4>0</vt:i4>
      </vt:variant>
      <vt:variant>
        <vt:i4>5</vt:i4>
      </vt:variant>
      <vt:variant>
        <vt:lpwstr>https://doi.org/10.5539/gjhs.v9n10p126</vt:lpwstr>
      </vt:variant>
      <vt:variant>
        <vt:lpwstr/>
      </vt:variant>
      <vt:variant>
        <vt:i4>3014707</vt:i4>
      </vt:variant>
      <vt:variant>
        <vt:i4>12</vt:i4>
      </vt:variant>
      <vt:variant>
        <vt:i4>0</vt:i4>
      </vt:variant>
      <vt:variant>
        <vt:i4>5</vt:i4>
      </vt:variant>
      <vt:variant>
        <vt:lpwstr>https://doi.org/10.1016/j.jaim.2016.06.005</vt:lpwstr>
      </vt:variant>
      <vt:variant>
        <vt:lpwstr/>
      </vt:variant>
      <vt:variant>
        <vt:i4>786433</vt:i4>
      </vt:variant>
      <vt:variant>
        <vt:i4>9</vt:i4>
      </vt:variant>
      <vt:variant>
        <vt:i4>0</vt:i4>
      </vt:variant>
      <vt:variant>
        <vt:i4>5</vt:i4>
      </vt:variant>
      <vt:variant>
        <vt:lpwstr>https://doi.org/10.1016/S0749-3797(02)00434-8</vt:lpwstr>
      </vt:variant>
      <vt:variant>
        <vt:lpwstr/>
      </vt:variant>
      <vt:variant>
        <vt:i4>2752564</vt:i4>
      </vt:variant>
      <vt:variant>
        <vt:i4>6</vt:i4>
      </vt:variant>
      <vt:variant>
        <vt:i4>0</vt:i4>
      </vt:variant>
      <vt:variant>
        <vt:i4>5</vt:i4>
      </vt:variant>
      <vt:variant>
        <vt:lpwstr>https://doi.org/10.1002/14651858.CD007651.pub2</vt:lpwstr>
      </vt:variant>
      <vt:variant>
        <vt:lpwstr/>
      </vt:variant>
      <vt:variant>
        <vt:i4>7602300</vt:i4>
      </vt:variant>
      <vt:variant>
        <vt:i4>3</vt:i4>
      </vt:variant>
      <vt:variant>
        <vt:i4>0</vt:i4>
      </vt:variant>
      <vt:variant>
        <vt:i4>5</vt:i4>
      </vt:variant>
      <vt:variant>
        <vt:lpwstr>https://www.wisdomlib.org/hinduism/book/chandogya-upanishad-englis</vt:lpwstr>
      </vt:variant>
      <vt:variant>
        <vt:lpwstr/>
      </vt:variant>
      <vt:variant>
        <vt:i4>1572954</vt:i4>
      </vt:variant>
      <vt:variant>
        <vt:i4>0</vt:i4>
      </vt:variant>
      <vt:variant>
        <vt:i4>0</vt:i4>
      </vt:variant>
      <vt:variant>
        <vt:i4>5</vt:i4>
      </vt:variant>
      <vt:variant>
        <vt:lpwstr>https://doi.org/10.1177/1090198104263660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shabana bano</dc:creator>
  <cp:keywords/>
  <cp:lastModifiedBy>SDI 1084</cp:lastModifiedBy>
  <cp:revision>41</cp:revision>
  <dcterms:created xsi:type="dcterms:W3CDTF">2024-03-14T15:31:00Z</dcterms:created>
  <dcterms:modified xsi:type="dcterms:W3CDTF">2025-10-04T11:57:00Z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2024-02-27T00:00:00Z</vt:filetime>
  </property>
  <property fmtid="{D5CDD505-2E9C-101B-9397-08002B2CF9AE}" pid="3" name="Producer">
    <vt:lpwstr>3-Heights(TM) PDF Security Shell 4.8.25.2 (http://www.pdf-tools.com)</vt:lpwstr>
  </property>
  <property fmtid="{D5CDD505-2E9C-101B-9397-08002B2CF9AE}" pid="4" name="GrammarlyDocumentId">
    <vt:lpwstr>dc9acd918d76323023ccbf6d9978ad76e885545922d97632309861efe2d8cdde</vt:lpwstr>
  </property>
</Properties>
</file>