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390F" w14:textId="3419A0CE" w:rsidR="0030718D" w:rsidRDefault="00EB6E86" w:rsidP="009557B4">
      <w:pPr>
        <w:spacing w:after="0" w:line="240" w:lineRule="auto"/>
        <w:jc w:val="center"/>
        <w:rPr>
          <w:rFonts w:ascii="Arial" w:eastAsia="Times New Roman" w:hAnsi="Arial" w:cs="Arial"/>
          <w:b/>
          <w:noProof/>
          <w:color w:val="000000"/>
          <w:sz w:val="24"/>
          <w:szCs w:val="24"/>
          <w:lang w:val="en-US"/>
        </w:rPr>
      </w:pPr>
      <w:r w:rsidRPr="0030718D">
        <w:rPr>
          <w:rFonts w:ascii="Arial" w:eastAsia="Times New Roman" w:hAnsi="Arial" w:cs="Arial"/>
          <w:b/>
          <w:noProof/>
          <w:color w:val="000000"/>
          <w:sz w:val="24"/>
          <w:szCs w:val="24"/>
          <w:lang w:val="en-US"/>
        </w:rPr>
        <w:t>Technology and livelihood education (</w:t>
      </w:r>
      <w:r w:rsidR="00F42160" w:rsidRPr="0030718D">
        <w:rPr>
          <w:rFonts w:ascii="Arial" w:eastAsia="Times New Roman" w:hAnsi="Arial" w:cs="Arial"/>
          <w:b/>
          <w:noProof/>
          <w:color w:val="000000"/>
          <w:sz w:val="24"/>
          <w:szCs w:val="24"/>
          <w:lang w:val="en-US"/>
        </w:rPr>
        <w:t>TLE</w:t>
      </w:r>
      <w:r w:rsidRPr="0030718D">
        <w:rPr>
          <w:rFonts w:ascii="Arial" w:eastAsia="Times New Roman" w:hAnsi="Arial" w:cs="Arial"/>
          <w:b/>
          <w:noProof/>
          <w:color w:val="000000"/>
          <w:sz w:val="24"/>
          <w:szCs w:val="24"/>
          <w:lang w:val="en-US"/>
        </w:rPr>
        <w:t>) teachers technology proficiency and instructional module writing ability in the new normal</w:t>
      </w:r>
    </w:p>
    <w:p w14:paraId="5C4FA235" w14:textId="77777777" w:rsidR="00EB6E86" w:rsidRPr="0030718D" w:rsidRDefault="00EB6E86" w:rsidP="009557B4">
      <w:pPr>
        <w:spacing w:after="0" w:line="240" w:lineRule="auto"/>
        <w:jc w:val="center"/>
        <w:rPr>
          <w:rFonts w:ascii="Arial" w:eastAsia="Times New Roman" w:hAnsi="Arial" w:cs="Arial"/>
          <w:b/>
          <w:color w:val="000000"/>
          <w:sz w:val="24"/>
          <w:szCs w:val="24"/>
          <w:lang w:val="en-US"/>
        </w:rPr>
      </w:pPr>
    </w:p>
    <w:p w14:paraId="47501F43" w14:textId="77777777" w:rsidR="00F10DB0" w:rsidRDefault="00F10DB0" w:rsidP="009557B4">
      <w:pPr>
        <w:spacing w:after="0" w:line="240" w:lineRule="auto"/>
        <w:jc w:val="center"/>
        <w:rPr>
          <w:rFonts w:ascii="Arial" w:eastAsia="Times New Roman" w:hAnsi="Arial" w:cs="Arial"/>
          <w:b/>
          <w:color w:val="000000"/>
          <w:sz w:val="24"/>
          <w:szCs w:val="24"/>
          <w:lang w:val="en-US"/>
        </w:rPr>
      </w:pPr>
    </w:p>
    <w:p w14:paraId="1FF08B66" w14:textId="77777777" w:rsidR="00F10DB0" w:rsidRDefault="00F10DB0" w:rsidP="009557B4">
      <w:pPr>
        <w:spacing w:after="0" w:line="240" w:lineRule="auto"/>
        <w:jc w:val="center"/>
        <w:rPr>
          <w:rFonts w:ascii="Arial" w:eastAsia="Times New Roman" w:hAnsi="Arial" w:cs="Arial"/>
          <w:b/>
          <w:color w:val="000000"/>
          <w:sz w:val="24"/>
          <w:szCs w:val="24"/>
          <w:lang w:val="en-US"/>
        </w:rPr>
      </w:pPr>
    </w:p>
    <w:p w14:paraId="1640F6F1" w14:textId="7882DF42" w:rsidR="0030718D" w:rsidRPr="004C22BB" w:rsidRDefault="004C22BB" w:rsidP="004C22BB">
      <w:pPr>
        <w:spacing w:after="0" w:line="240" w:lineRule="auto"/>
        <w:rPr>
          <w:rFonts w:ascii="Arial" w:eastAsia="Times New Roman" w:hAnsi="Arial" w:cs="Arial"/>
          <w:b/>
          <w:color w:val="000000"/>
          <w:lang w:val="en-US"/>
        </w:rPr>
      </w:pPr>
      <w:r w:rsidRPr="004C22BB">
        <w:rPr>
          <w:rFonts w:ascii="Arial" w:eastAsia="Times New Roman" w:hAnsi="Arial" w:cs="Arial"/>
          <w:b/>
          <w:color w:val="000000"/>
          <w:lang w:val="en-US"/>
        </w:rPr>
        <w:t>ABSTRACT</w:t>
      </w:r>
    </w:p>
    <w:p w14:paraId="554E3DA3" w14:textId="77777777" w:rsidR="0030718D" w:rsidRPr="004C22BB" w:rsidRDefault="0030718D" w:rsidP="004C22BB">
      <w:pPr>
        <w:spacing w:after="0" w:line="240" w:lineRule="auto"/>
        <w:jc w:val="both"/>
        <w:rPr>
          <w:rFonts w:ascii="Arial" w:eastAsia="Times New Roman" w:hAnsi="Arial" w:cs="Arial"/>
          <w:i/>
          <w:iCs/>
          <w:color w:val="000000"/>
          <w:sz w:val="20"/>
          <w:szCs w:val="20"/>
          <w:lang w:val="en-US"/>
        </w:rPr>
      </w:pPr>
      <w:r w:rsidRPr="004C22BB">
        <w:rPr>
          <w:rFonts w:ascii="Arial" w:eastAsia="Times New Roman" w:hAnsi="Arial" w:cs="Arial"/>
          <w:i/>
          <w:iCs/>
          <w:color w:val="000000"/>
          <w:sz w:val="20"/>
          <w:szCs w:val="20"/>
          <w:lang w:val="en-US"/>
        </w:rPr>
        <w:t xml:space="preserve">This study aimed to determine the association between the technology proficiency and instructional module writing ability of TLE teachers as well as determining which of the indicators of the TLE teachers’ technology proficiency significantly influence their instructional module writing ability during the new normal learning modality at </w:t>
      </w:r>
      <w:proofErr w:type="spellStart"/>
      <w:r w:rsidRPr="004C22BB">
        <w:rPr>
          <w:rFonts w:ascii="Arial" w:eastAsia="Times New Roman" w:hAnsi="Arial" w:cs="Arial"/>
          <w:i/>
          <w:iCs/>
          <w:color w:val="000000"/>
          <w:sz w:val="20"/>
          <w:szCs w:val="20"/>
          <w:lang w:eastAsia="en-PH"/>
        </w:rPr>
        <w:t>Molopolo</w:t>
      </w:r>
      <w:proofErr w:type="spellEnd"/>
      <w:r w:rsidRPr="004C22BB">
        <w:rPr>
          <w:rFonts w:ascii="Arial" w:eastAsia="Times New Roman" w:hAnsi="Arial" w:cs="Arial"/>
          <w:i/>
          <w:iCs/>
          <w:color w:val="000000"/>
          <w:sz w:val="20"/>
          <w:szCs w:val="20"/>
          <w:lang w:eastAsia="en-PH"/>
        </w:rPr>
        <w:t xml:space="preserve"> National High School, Davao del Sur.</w:t>
      </w:r>
      <w:r w:rsidRPr="004C22BB">
        <w:rPr>
          <w:rFonts w:ascii="Arial" w:eastAsia="Times New Roman" w:hAnsi="Arial" w:cs="Arial"/>
          <w:i/>
          <w:iCs/>
          <w:color w:val="000000"/>
          <w:sz w:val="20"/>
          <w:szCs w:val="20"/>
          <w:lang w:val="en-US"/>
        </w:rPr>
        <w:t xml:space="preserve"> This study utilized the non-experimental quantitative research design utilizing the descriptive-correlational method. The questionnaire was validated, and a convenience sampling procedure was done. </w:t>
      </w:r>
      <w:r w:rsidRPr="004C22BB">
        <w:rPr>
          <w:rFonts w:ascii="Arial" w:eastAsia="Times New Roman" w:hAnsi="Arial" w:cs="Arial"/>
          <w:i/>
          <w:iCs/>
          <w:color w:val="000000"/>
          <w:sz w:val="20"/>
          <w:szCs w:val="20"/>
          <w:lang w:eastAsia="en-PH"/>
        </w:rPr>
        <w:t xml:space="preserve">The 100 Technology and Livelihood Education (TLE) teachers from the Grades 7, 8, and 9 are the study's respondents. Findings of this study resulted that </w:t>
      </w:r>
      <w:r w:rsidRPr="004C22BB">
        <w:rPr>
          <w:rFonts w:ascii="Arial" w:eastAsia="Times New Roman" w:hAnsi="Arial" w:cs="Arial"/>
          <w:i/>
          <w:iCs/>
          <w:color w:val="000000"/>
          <w:sz w:val="20"/>
          <w:szCs w:val="20"/>
          <w:lang w:val="en-US"/>
        </w:rPr>
        <w:t xml:space="preserve">the </w:t>
      </w:r>
      <w:r w:rsidRPr="004C22BB">
        <w:rPr>
          <w:rFonts w:ascii="Arial" w:eastAsia="Arial" w:hAnsi="Arial" w:cs="Arial"/>
          <w:i/>
          <w:iCs/>
          <w:color w:val="000000"/>
          <w:sz w:val="20"/>
          <w:szCs w:val="20"/>
          <w:lang w:val="en-US"/>
        </w:rPr>
        <w:t xml:space="preserve">TLE teachers manifest a strong </w:t>
      </w:r>
      <w:r w:rsidRPr="004C22BB">
        <w:rPr>
          <w:rFonts w:ascii="Arial" w:eastAsia="Times New Roman" w:hAnsi="Arial" w:cs="Arial"/>
          <w:i/>
          <w:iCs/>
          <w:color w:val="000000"/>
          <w:sz w:val="20"/>
          <w:szCs w:val="20"/>
          <w:lang w:val="en-US"/>
        </w:rPr>
        <w:t xml:space="preserve">technology proficiency in the new normal as well as the </w:t>
      </w:r>
      <w:r w:rsidRPr="004C22BB">
        <w:rPr>
          <w:rFonts w:ascii="Arial" w:eastAsia="Arial" w:hAnsi="Arial" w:cs="Arial"/>
          <w:i/>
          <w:iCs/>
          <w:color w:val="000000"/>
          <w:sz w:val="20"/>
          <w:szCs w:val="20"/>
          <w:lang w:val="en-US"/>
        </w:rPr>
        <w:t xml:space="preserve">TLE teachers manifest a strong </w:t>
      </w:r>
      <w:r w:rsidRPr="004C22BB">
        <w:rPr>
          <w:rFonts w:ascii="Arial" w:eastAsia="Times New Roman" w:hAnsi="Arial" w:cs="Arial"/>
          <w:i/>
          <w:iCs/>
          <w:color w:val="000000"/>
          <w:sz w:val="20"/>
          <w:szCs w:val="20"/>
          <w:lang w:val="en-US" w:eastAsia="en-PH"/>
        </w:rPr>
        <w:t xml:space="preserve">instructional module writing ability </w:t>
      </w:r>
      <w:r w:rsidRPr="004C22BB">
        <w:rPr>
          <w:rFonts w:ascii="Arial" w:eastAsia="Times New Roman" w:hAnsi="Arial" w:cs="Arial"/>
          <w:i/>
          <w:iCs/>
          <w:color w:val="000000"/>
          <w:sz w:val="20"/>
          <w:szCs w:val="20"/>
          <w:lang w:val="en-US"/>
        </w:rPr>
        <w:t>in the new normal. Correlational findings resulted that there is a strong significant positive correlation between the technology proficiency and instructional module writing ability of TLE teachers in the new normal learning environment</w:t>
      </w:r>
      <w:r w:rsidRPr="004C22BB">
        <w:rPr>
          <w:rFonts w:ascii="Arial" w:eastAsia="Arial" w:hAnsi="Arial" w:cs="Arial"/>
          <w:i/>
          <w:iCs/>
          <w:color w:val="000000"/>
          <w:sz w:val="20"/>
          <w:szCs w:val="20"/>
          <w:lang w:val="en-US"/>
        </w:rPr>
        <w:t>.</w:t>
      </w:r>
      <w:r w:rsidRPr="004C22BB">
        <w:rPr>
          <w:rFonts w:ascii="Arial" w:eastAsia="Times New Roman" w:hAnsi="Arial" w:cs="Arial"/>
          <w:i/>
          <w:iCs/>
          <w:color w:val="000000"/>
          <w:sz w:val="20"/>
          <w:szCs w:val="20"/>
          <w:lang w:val="en-US"/>
        </w:rPr>
        <w:t xml:space="preserve"> Furthermore, the regression analysis resulted that all of the indicators of TLE teacher’ technology proficiency significantly influenced their instructional</w:t>
      </w:r>
      <w:r w:rsidRPr="004C22BB">
        <w:rPr>
          <w:rFonts w:ascii="Arial" w:eastAsia="Times New Roman" w:hAnsi="Arial" w:cs="Arial"/>
          <w:i/>
          <w:iCs/>
          <w:color w:val="000000"/>
          <w:sz w:val="20"/>
          <w:szCs w:val="20"/>
          <w:lang w:val="en-US" w:eastAsia="en-PH"/>
        </w:rPr>
        <w:t xml:space="preserve"> module writing ability </w:t>
      </w:r>
      <w:r w:rsidRPr="004C22BB">
        <w:rPr>
          <w:rFonts w:ascii="Arial" w:eastAsia="Times New Roman" w:hAnsi="Arial" w:cs="Arial"/>
          <w:i/>
          <w:iCs/>
          <w:color w:val="000000"/>
          <w:sz w:val="20"/>
          <w:szCs w:val="20"/>
          <w:lang w:val="en-US"/>
        </w:rPr>
        <w:t xml:space="preserve">during the new normal learning modality. </w:t>
      </w:r>
    </w:p>
    <w:p w14:paraId="359F77FF" w14:textId="77777777" w:rsidR="0030718D" w:rsidRPr="004C22BB" w:rsidRDefault="0030718D" w:rsidP="009557B4">
      <w:pPr>
        <w:spacing w:after="0" w:line="240" w:lineRule="auto"/>
        <w:jc w:val="both"/>
        <w:rPr>
          <w:rFonts w:ascii="Calibri" w:eastAsia="Times New Roman" w:hAnsi="Calibri" w:cs="Times New Roman"/>
          <w:color w:val="000000"/>
          <w:sz w:val="20"/>
          <w:szCs w:val="20"/>
          <w:lang w:val="en-US"/>
        </w:rPr>
      </w:pPr>
    </w:p>
    <w:p w14:paraId="41CB4D0D" w14:textId="77777777" w:rsidR="0030718D" w:rsidRPr="004C22BB" w:rsidRDefault="0030718D" w:rsidP="009557B4">
      <w:pPr>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b/>
          <w:i/>
          <w:color w:val="000000"/>
          <w:sz w:val="20"/>
          <w:szCs w:val="20"/>
          <w:lang w:val="en-US"/>
        </w:rPr>
        <w:t>Keywords</w:t>
      </w:r>
      <w:r w:rsidRPr="004C22BB">
        <w:rPr>
          <w:rFonts w:ascii="Arial" w:eastAsia="Times New Roman" w:hAnsi="Arial" w:cs="Arial"/>
          <w:i/>
          <w:color w:val="000000"/>
          <w:sz w:val="20"/>
          <w:szCs w:val="20"/>
          <w:lang w:val="en-US"/>
        </w:rPr>
        <w:t>: TLE Teachers, Technology Proficiency, Instructional Modules Writing Ability, Technology and Livelihood Education</w:t>
      </w:r>
    </w:p>
    <w:p w14:paraId="36B2FF9A" w14:textId="77777777" w:rsidR="004C22BB" w:rsidRDefault="004C22BB" w:rsidP="004C22BB">
      <w:pPr>
        <w:pBdr>
          <w:top w:val="nil"/>
          <w:left w:val="nil"/>
          <w:bottom w:val="nil"/>
          <w:right w:val="nil"/>
          <w:between w:val="nil"/>
        </w:pBdr>
        <w:spacing w:after="0" w:line="240" w:lineRule="auto"/>
        <w:rPr>
          <w:rFonts w:ascii="Arial" w:eastAsia="Arial" w:hAnsi="Arial" w:cs="Arial"/>
          <w:b/>
          <w:color w:val="000000"/>
          <w:lang w:val="en-US"/>
        </w:rPr>
      </w:pPr>
    </w:p>
    <w:p w14:paraId="0F505B02" w14:textId="3FCD012D" w:rsidR="0030718D" w:rsidRPr="004C22BB" w:rsidRDefault="004C22BB" w:rsidP="004C22BB">
      <w:pPr>
        <w:pBdr>
          <w:top w:val="nil"/>
          <w:left w:val="nil"/>
          <w:bottom w:val="nil"/>
          <w:right w:val="nil"/>
          <w:between w:val="nil"/>
        </w:pBdr>
        <w:spacing w:after="0" w:line="240" w:lineRule="auto"/>
        <w:rPr>
          <w:rFonts w:ascii="Arial" w:eastAsia="Arial" w:hAnsi="Arial" w:cs="Arial"/>
          <w:b/>
          <w:color w:val="000000"/>
          <w:lang w:val="en-US"/>
        </w:rPr>
      </w:pPr>
      <w:r w:rsidRPr="004C22BB">
        <w:rPr>
          <w:rFonts w:ascii="Arial" w:eastAsia="Arial" w:hAnsi="Arial" w:cs="Arial"/>
          <w:b/>
          <w:color w:val="000000"/>
          <w:lang w:val="en-US"/>
        </w:rPr>
        <w:t>INTRODUCTION</w:t>
      </w:r>
    </w:p>
    <w:p w14:paraId="1C11042F" w14:textId="77777777"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rPr>
        <w:t xml:space="preserve">The COVID-19 pandemic had a tremendous impact </w:t>
      </w:r>
      <w:r w:rsidRPr="004C22BB">
        <w:rPr>
          <w:rFonts w:ascii="Arial" w:eastAsia="Times New Roman" w:hAnsi="Arial" w:cs="Arial"/>
          <w:color w:val="000000"/>
          <w:spacing w:val="-2"/>
          <w:sz w:val="20"/>
          <w:szCs w:val="20"/>
          <w:lang w:val="en-US"/>
        </w:rPr>
        <w:t>on</w:t>
      </w:r>
      <w:r w:rsidRPr="004C22BB">
        <w:rPr>
          <w:rFonts w:ascii="Arial" w:eastAsia="Times New Roman" w:hAnsi="Arial" w:cs="Arial"/>
          <w:color w:val="000000"/>
          <w:sz w:val="20"/>
          <w:szCs w:val="20"/>
          <w:lang w:val="en-US"/>
        </w:rPr>
        <w:t xml:space="preserve"> students, teachers, and educational systems worldwide. Most governments around the world during the pandemic have temporarily closed educational institutions in an attempt to reduce the spread of COVID-19. With this, modular learning in a form of online and distance learning has become a critical lifeline for education. With this, teachers were forced to write and transform their learning process into modular learning modality. However, w</w:t>
      </w:r>
      <w:r w:rsidRPr="004C22BB">
        <w:rPr>
          <w:rFonts w:ascii="Arial" w:eastAsia="Times New Roman" w:hAnsi="Arial" w:cs="Arial"/>
          <w:color w:val="000000"/>
          <w:sz w:val="20"/>
          <w:szCs w:val="20"/>
          <w:lang w:val="en-US" w:eastAsia="ko-KR"/>
        </w:rPr>
        <w:t xml:space="preserve">riting is seen as a difficult work by educators since it is a process that consist of many elements in a complex relation. Aside from that, teachers were not ready to the sudden shift of learning environment in the new normal wherein technology is seen to play a big part in the system. Since teachers were not ready for the situation, increasing their proficiency in dealing technological advancement in teaching as well as in writing modular learning materials became their dilemma during the new normal learning environment. </w:t>
      </w:r>
    </w:p>
    <w:p w14:paraId="53DA4714" w14:textId="77777777"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t xml:space="preserve">Within an international context, similar issues were also experienced by some institutions. According to research presented by Nemati (2017), the writing ability of Iranian teachers falls short of expectations and requirements. It was the same with their estimation of their writing ability. The data also showed that most educators gave students misinformed feedback on their writing's foundational errors, failed to integrate technology into their writing lessons, and didn't encourage students to revise any drafts they were given feedback on. Biggs and Tang (2007), pointed out that such instructional materials might be prohibitively long and fail to promote higher-order thinking (2019). Furthermore, teachers often lack the requisite abilities to utilize technology in education due to poor potentials for teacher training, as mentioned by </w:t>
      </w:r>
      <w:proofErr w:type="spellStart"/>
      <w:r w:rsidRPr="004C22BB">
        <w:rPr>
          <w:rFonts w:ascii="Arial" w:eastAsia="Arial" w:hAnsi="Arial" w:cs="Arial"/>
          <w:color w:val="000000"/>
          <w:sz w:val="20"/>
          <w:szCs w:val="20"/>
          <w:shd w:val="clear" w:color="auto" w:fill="FFFFFF"/>
          <w:lang w:val="en-US"/>
        </w:rPr>
        <w:t>Ghavifekr</w:t>
      </w:r>
      <w:proofErr w:type="spellEnd"/>
      <w:r w:rsidRPr="004C22BB">
        <w:rPr>
          <w:rFonts w:ascii="Arial" w:eastAsia="Times New Roman" w:hAnsi="Arial" w:cs="Arial"/>
          <w:color w:val="000000"/>
          <w:sz w:val="20"/>
          <w:szCs w:val="20"/>
          <w:lang w:val="en-US" w:eastAsia="ko-KR"/>
        </w:rPr>
        <w:t xml:space="preserve"> et.al (2011) and quoted by Tyler-Wood et.al (2018). The lack of qualified teachers is a critical issue throughout the education systems of countries on the northern coast of South America, with particular focus on Guyana (Butcher et.al, 2014).</w:t>
      </w:r>
    </w:p>
    <w:p w14:paraId="77E5B975" w14:textId="77777777"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t xml:space="preserve">In the Philippines, some Filipino educators are wary of the modular method because they have only a limited understanding of and experience with information and communication technology (De Villa et al., 2020). This is due to a lack of proper education in Module Writing. In addition, the study "Implementation of Modular Approach in Teaching and Learning: Basis for Program Enhancement" found that in the formulations of modules and additional instructional resources in the modular advancement, teachers should think about contemporary norms to formulate, unify, transport, and measure resources for instruction and knowledge in order to keep up with technological development. It was stated that ten (10) primary schools in </w:t>
      </w:r>
      <w:proofErr w:type="spellStart"/>
      <w:r w:rsidRPr="004C22BB">
        <w:rPr>
          <w:rFonts w:ascii="Arial" w:eastAsia="Times New Roman" w:hAnsi="Arial" w:cs="Arial"/>
          <w:color w:val="000000"/>
          <w:sz w:val="20"/>
          <w:szCs w:val="20"/>
          <w:lang w:val="en-US" w:eastAsia="ko-KR"/>
        </w:rPr>
        <w:t>Buluan</w:t>
      </w:r>
      <w:proofErr w:type="spellEnd"/>
      <w:r w:rsidRPr="004C22BB">
        <w:rPr>
          <w:rFonts w:ascii="Arial" w:eastAsia="Times New Roman" w:hAnsi="Arial" w:cs="Arial"/>
          <w:color w:val="000000"/>
          <w:sz w:val="20"/>
          <w:szCs w:val="20"/>
          <w:lang w:val="en-US" w:eastAsia="ko-KR"/>
        </w:rPr>
        <w:t>, Maguindanao, used modules with printed instructional materials (</w:t>
      </w:r>
      <w:proofErr w:type="spellStart"/>
      <w:r w:rsidRPr="004C22BB">
        <w:rPr>
          <w:rFonts w:ascii="Arial" w:eastAsia="Times New Roman" w:hAnsi="Arial" w:cs="Arial"/>
          <w:color w:val="000000"/>
          <w:sz w:val="20"/>
          <w:szCs w:val="20"/>
          <w:lang w:val="en-US" w:eastAsia="ko-KR"/>
        </w:rPr>
        <w:t>Guiamalon</w:t>
      </w:r>
      <w:proofErr w:type="spellEnd"/>
      <w:r w:rsidRPr="004C22BB">
        <w:rPr>
          <w:rFonts w:ascii="Arial" w:eastAsia="Times New Roman" w:hAnsi="Arial" w:cs="Arial"/>
          <w:color w:val="000000"/>
          <w:sz w:val="20"/>
          <w:szCs w:val="20"/>
          <w:lang w:val="en-US" w:eastAsia="ko-KR"/>
        </w:rPr>
        <w:t>, et al, 2021). As schools work to expand the curriculum, new and pressing challenges emerge. However, numerous obstacles exist, such as commerce with poor technical instruments (Alvarez, 2020) and the deterioration of the ability to discern sociocultural problems (</w:t>
      </w:r>
      <w:proofErr w:type="spellStart"/>
      <w:r w:rsidRPr="004C22BB">
        <w:rPr>
          <w:rFonts w:ascii="Arial" w:eastAsia="Times New Roman" w:hAnsi="Arial" w:cs="Arial"/>
          <w:color w:val="000000"/>
          <w:sz w:val="20"/>
          <w:szCs w:val="20"/>
          <w:lang w:val="en-US" w:eastAsia="ko-KR"/>
        </w:rPr>
        <w:t>Karsenti</w:t>
      </w:r>
      <w:proofErr w:type="spellEnd"/>
      <w:r w:rsidRPr="004C22BB">
        <w:rPr>
          <w:rFonts w:ascii="Arial" w:eastAsia="Times New Roman" w:hAnsi="Arial" w:cs="Arial"/>
          <w:color w:val="000000"/>
          <w:sz w:val="20"/>
          <w:szCs w:val="20"/>
          <w:lang w:val="en-US" w:eastAsia="ko-KR"/>
        </w:rPr>
        <w:t xml:space="preserve"> &amp; Collin, 2012), which may impede the adaption of technology.</w:t>
      </w:r>
    </w:p>
    <w:p w14:paraId="4308AC9F" w14:textId="77777777"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lastRenderedPageBreak/>
        <w:t>According to Newsline Philippines (2020) in the local context, social media has been taken over by controversies about the published educational materials provided by the Department of Education (DepEd, 2020). The frustrations of the students can be traced back to a broad variety of issues, ranging from straightforward typos to too convoluted lesson plans. The said department admitted that there were issues, but it promised to put forward and execute fixes as quickly as was practically possible.</w:t>
      </w:r>
    </w:p>
    <w:p w14:paraId="3ED337FD" w14:textId="77777777" w:rsidR="0030718D" w:rsidRPr="004C22BB" w:rsidRDefault="0030718D" w:rsidP="00042DD2">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t>The outcomes of the study indicate that there are considerable benefits for educators, most notably for the intermediate teachers who participated to the development of the modules. The findings of this study can be beneficial to educators if they are used to investigate the possibility of a causal relationship existing between their students' levels of digital literacy and their students' abilities in the writing module. It is possible that future research may benefit from this study since it provides more elements that can be utilized to show readings.</w:t>
      </w:r>
    </w:p>
    <w:p w14:paraId="60B84F67" w14:textId="77777777" w:rsidR="004C22BB" w:rsidRDefault="004C22BB" w:rsidP="009557B4">
      <w:pPr>
        <w:spacing w:after="0" w:line="240" w:lineRule="auto"/>
        <w:jc w:val="center"/>
        <w:rPr>
          <w:rFonts w:ascii="Arial" w:eastAsia="Times New Roman" w:hAnsi="Arial" w:cs="Arial"/>
          <w:b/>
          <w:bCs/>
          <w:color w:val="000000"/>
          <w:sz w:val="24"/>
          <w:szCs w:val="24"/>
          <w:lang w:eastAsia="en-PH"/>
        </w:rPr>
      </w:pPr>
    </w:p>
    <w:p w14:paraId="41B22A20" w14:textId="5827BF60" w:rsidR="0030718D" w:rsidRPr="004C22BB" w:rsidRDefault="004C22BB" w:rsidP="004C22BB">
      <w:pPr>
        <w:spacing w:after="0" w:line="240" w:lineRule="auto"/>
        <w:rPr>
          <w:rFonts w:ascii="Times New Roman" w:eastAsia="Times New Roman" w:hAnsi="Times New Roman" w:cs="Times New Roman"/>
          <w:lang w:eastAsia="en-PH"/>
        </w:rPr>
      </w:pPr>
      <w:r w:rsidRPr="004C22BB">
        <w:rPr>
          <w:rFonts w:ascii="Arial" w:eastAsia="Times New Roman" w:hAnsi="Arial" w:cs="Arial"/>
          <w:b/>
          <w:bCs/>
          <w:color w:val="000000"/>
          <w:lang w:eastAsia="en-PH"/>
        </w:rPr>
        <w:t>METHOD</w:t>
      </w:r>
    </w:p>
    <w:p w14:paraId="6B06EB48" w14:textId="77777777" w:rsidR="0030718D" w:rsidRPr="0030718D" w:rsidRDefault="0030718D" w:rsidP="009557B4">
      <w:pPr>
        <w:spacing w:after="0" w:line="240" w:lineRule="auto"/>
        <w:jc w:val="both"/>
        <w:rPr>
          <w:rFonts w:ascii="Times New Roman" w:eastAsia="Times New Roman" w:hAnsi="Times New Roman" w:cs="Times New Roman"/>
          <w:sz w:val="24"/>
          <w:szCs w:val="24"/>
          <w:lang w:eastAsia="en-PH"/>
        </w:rPr>
      </w:pPr>
    </w:p>
    <w:p w14:paraId="037D2B50" w14:textId="77777777" w:rsidR="0030718D" w:rsidRPr="004C22BB" w:rsidRDefault="0030718D" w:rsidP="004C22BB">
      <w:pPr>
        <w:spacing w:after="0" w:line="240" w:lineRule="auto"/>
        <w:jc w:val="both"/>
        <w:rPr>
          <w:rFonts w:ascii="Times New Roman" w:eastAsia="Times New Roman" w:hAnsi="Times New Roman" w:cs="Times New Roman"/>
          <w:sz w:val="20"/>
          <w:szCs w:val="20"/>
          <w:lang w:eastAsia="en-PH"/>
        </w:rPr>
      </w:pPr>
      <w:r w:rsidRPr="004C22BB">
        <w:rPr>
          <w:rFonts w:ascii="Arial" w:eastAsia="Times New Roman" w:hAnsi="Arial" w:cs="Arial"/>
          <w:color w:val="000000"/>
          <w:sz w:val="20"/>
          <w:szCs w:val="20"/>
          <w:lang w:eastAsia="en-PH"/>
        </w:rPr>
        <w:t>This chapter discusses the research methods in conducting the study which are considered strategies or techniques utilized in the collection of data evidence for analysis in order to uncover new information or create better understanding of a topic. Contents of this chapter include the research design, research respondents of the study, research instrument and the data gathering procedures.</w:t>
      </w:r>
    </w:p>
    <w:p w14:paraId="7E49469A" w14:textId="132C531E" w:rsidR="0030718D" w:rsidRPr="004C22BB" w:rsidRDefault="004C22BB" w:rsidP="004C22BB">
      <w:pPr>
        <w:spacing w:after="0" w:line="240" w:lineRule="auto"/>
        <w:jc w:val="both"/>
        <w:rPr>
          <w:rFonts w:ascii="Times New Roman" w:eastAsia="Times New Roman" w:hAnsi="Times New Roman" w:cs="Times New Roman"/>
          <w:sz w:val="20"/>
          <w:szCs w:val="20"/>
          <w:lang w:eastAsia="en-PH"/>
        </w:rPr>
      </w:pPr>
      <w:r w:rsidRPr="004C22BB">
        <w:rPr>
          <w:rFonts w:ascii="Arial" w:eastAsia="Times New Roman" w:hAnsi="Arial" w:cs="Arial"/>
          <w:sz w:val="20"/>
          <w:szCs w:val="20"/>
          <w:lang w:eastAsia="en-PH"/>
        </w:rPr>
        <w:t>I</w:t>
      </w:r>
      <w:r w:rsidR="0030718D" w:rsidRPr="004C22BB">
        <w:rPr>
          <w:rFonts w:ascii="Arial" w:eastAsia="Times New Roman" w:hAnsi="Arial" w:cs="Arial"/>
          <w:sz w:val="20"/>
          <w:szCs w:val="20"/>
          <w:lang w:eastAsia="en-PH"/>
        </w:rPr>
        <w:t>n this study, the researcher used a descriptive correlational strategy for non-experimental quantitative research. The descriptive design explains the researched population, circumstance, or phenomena. It emphasizes on addressing the how, what, when, and where questions rather than the why of a research topic. Quantitative research employs a deductive-inductive technique, which means it departs from a theoretical framework, the idea of experts, and develops issues and their answers based on the researchers' experience and knowledge (</w:t>
      </w:r>
      <w:proofErr w:type="spellStart"/>
      <w:r w:rsidR="0030718D" w:rsidRPr="004C22BB">
        <w:rPr>
          <w:rFonts w:ascii="Arial" w:eastAsia="Times New Roman" w:hAnsi="Arial" w:cs="Arial"/>
          <w:sz w:val="20"/>
          <w:szCs w:val="20"/>
          <w:lang w:eastAsia="en-PH"/>
        </w:rPr>
        <w:t>Tanzeh</w:t>
      </w:r>
      <w:proofErr w:type="spellEnd"/>
      <w:r w:rsidR="0030718D" w:rsidRPr="004C22BB">
        <w:rPr>
          <w:rFonts w:ascii="Arial" w:eastAsia="Times New Roman" w:hAnsi="Arial" w:cs="Arial"/>
          <w:sz w:val="20"/>
          <w:szCs w:val="20"/>
          <w:lang w:eastAsia="en-PH"/>
        </w:rPr>
        <w:t xml:space="preserve">, 2011). In particular, in assessing the degree and link between </w:t>
      </w:r>
      <w:r w:rsidR="0030718D" w:rsidRPr="004C22BB">
        <w:rPr>
          <w:rFonts w:ascii="Arial" w:eastAsia="Times New Roman" w:hAnsi="Arial" w:cs="Arial"/>
          <w:sz w:val="20"/>
          <w:szCs w:val="20"/>
          <w:lang w:val="en-US"/>
        </w:rPr>
        <w:t xml:space="preserve">TLE Teachers’ Technology Proficiency and Teachers Module Writing Ability (content and style) </w:t>
      </w:r>
      <w:r w:rsidR="0030718D" w:rsidRPr="004C22BB">
        <w:rPr>
          <w:rFonts w:ascii="Arial" w:eastAsia="Times New Roman" w:hAnsi="Arial" w:cs="Arial"/>
          <w:sz w:val="20"/>
          <w:szCs w:val="20"/>
          <w:lang w:eastAsia="en-PH"/>
        </w:rPr>
        <w:t>of the Grade 7, 8, and 9 TLE teachers in this new normal. This design is important to the research because it specifies the techniques and processes for gathering the necessary information, as well as the general operational pattern or framework of the project, which dictates what information is to be acquired from which sources using which methods (</w:t>
      </w:r>
      <w:proofErr w:type="spellStart"/>
      <w:r w:rsidR="0030718D" w:rsidRPr="004C22BB">
        <w:rPr>
          <w:rFonts w:ascii="Arial" w:eastAsia="Times New Roman" w:hAnsi="Arial" w:cs="Arial"/>
          <w:sz w:val="20"/>
          <w:szCs w:val="20"/>
          <w:lang w:eastAsia="en-PH"/>
        </w:rPr>
        <w:t>Nassaji</w:t>
      </w:r>
      <w:proofErr w:type="spellEnd"/>
      <w:r w:rsidR="0030718D" w:rsidRPr="004C22BB">
        <w:rPr>
          <w:rFonts w:ascii="Arial" w:eastAsia="Times New Roman" w:hAnsi="Arial" w:cs="Arial"/>
          <w:sz w:val="20"/>
          <w:szCs w:val="20"/>
          <w:lang w:eastAsia="en-PH"/>
        </w:rPr>
        <w:t>, 2015). In addition, Grove, Burns, and Gray (2013) noted that descriptive quantitative design may be used to generate theory, uncover difficulties with present practice, defend current practice, make judgments, or determine what others in comparable circumstances are doing.  </w:t>
      </w:r>
    </w:p>
    <w:p w14:paraId="685C390B" w14:textId="77777777" w:rsidR="004C22BB" w:rsidRDefault="004C22BB" w:rsidP="009557B4">
      <w:pPr>
        <w:widowControl w:val="0"/>
        <w:autoSpaceDE w:val="0"/>
        <w:autoSpaceDN w:val="0"/>
        <w:adjustRightInd w:val="0"/>
        <w:spacing w:after="0" w:line="240" w:lineRule="auto"/>
        <w:jc w:val="center"/>
        <w:rPr>
          <w:rFonts w:ascii="Arial" w:eastAsia="EBGaramond-Regular" w:hAnsi="Arial" w:cs="Arial"/>
          <w:b/>
          <w:color w:val="000000"/>
          <w:sz w:val="24"/>
          <w:szCs w:val="24"/>
          <w:lang w:val="en-US"/>
        </w:rPr>
      </w:pPr>
    </w:p>
    <w:p w14:paraId="16D2EF33" w14:textId="2D62DBBD" w:rsidR="00FA5D4B" w:rsidRPr="004C22BB" w:rsidRDefault="004C22BB" w:rsidP="004C22BB">
      <w:pPr>
        <w:widowControl w:val="0"/>
        <w:autoSpaceDE w:val="0"/>
        <w:autoSpaceDN w:val="0"/>
        <w:adjustRightInd w:val="0"/>
        <w:spacing w:after="0" w:line="240" w:lineRule="auto"/>
        <w:rPr>
          <w:rFonts w:ascii="Arial" w:eastAsia="EBGaramond-Regular" w:hAnsi="Arial" w:cs="Arial"/>
          <w:b/>
          <w:color w:val="000000"/>
          <w:lang w:val="en-US"/>
        </w:rPr>
      </w:pPr>
      <w:r w:rsidRPr="004C22BB">
        <w:rPr>
          <w:rFonts w:ascii="Arial" w:eastAsia="EBGaramond-Regular" w:hAnsi="Arial" w:cs="Arial"/>
          <w:b/>
          <w:color w:val="000000"/>
          <w:lang w:val="en-US"/>
        </w:rPr>
        <w:t>RESULTS AND DISCUSSIONS</w:t>
      </w:r>
    </w:p>
    <w:p w14:paraId="352F41EF" w14:textId="77777777" w:rsidR="00FA5D4B" w:rsidRPr="00FA5D4B" w:rsidRDefault="00FA5D4B" w:rsidP="009557B4">
      <w:pPr>
        <w:widowControl w:val="0"/>
        <w:autoSpaceDE w:val="0"/>
        <w:autoSpaceDN w:val="0"/>
        <w:adjustRightInd w:val="0"/>
        <w:spacing w:after="0" w:line="240" w:lineRule="auto"/>
        <w:jc w:val="center"/>
        <w:rPr>
          <w:rFonts w:ascii="Arial" w:eastAsia="EBGaramond-Regular" w:hAnsi="Arial" w:cs="Arial"/>
          <w:color w:val="FF0000"/>
          <w:sz w:val="24"/>
          <w:szCs w:val="24"/>
          <w:lang w:val="en-US"/>
        </w:rPr>
      </w:pPr>
    </w:p>
    <w:p w14:paraId="28BCB8BE" w14:textId="77777777" w:rsidR="00FA5D4B" w:rsidRPr="004C22BB" w:rsidRDefault="00FA5D4B" w:rsidP="004C22BB">
      <w:pPr>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This chapter presents the results and discussions based from the data gathered after the conduct of this study. This includes the interpretation of the data and the repercussions of the findings of the study. The deliberations presented in this chapter are aligned to the statement of the problem cited in the previous chapters of this study.</w:t>
      </w:r>
    </w:p>
    <w:p w14:paraId="6B08204C" w14:textId="77777777" w:rsidR="00FA5D4B" w:rsidRPr="004C22BB" w:rsidRDefault="00FA5D4B" w:rsidP="009557B4">
      <w:pPr>
        <w:widowControl w:val="0"/>
        <w:spacing w:after="0" w:line="240" w:lineRule="auto"/>
        <w:ind w:firstLine="720"/>
        <w:jc w:val="both"/>
        <w:rPr>
          <w:rFonts w:ascii="Arial" w:eastAsia="Times New Roman" w:hAnsi="Arial" w:cs="Arial"/>
          <w:color w:val="FF0000"/>
          <w:sz w:val="20"/>
          <w:szCs w:val="20"/>
          <w:lang w:val="en-US"/>
        </w:rPr>
      </w:pPr>
    </w:p>
    <w:p w14:paraId="31CBE431"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r w:rsidRPr="004C22BB">
        <w:rPr>
          <w:rFonts w:ascii="Arial" w:eastAsia="Times New Roman" w:hAnsi="Arial" w:cs="Arial"/>
          <w:i/>
          <w:color w:val="000000"/>
          <w:sz w:val="20"/>
          <w:szCs w:val="20"/>
          <w:lang w:val="en-US" w:eastAsia="en-PH"/>
        </w:rPr>
        <w:t>Extent of TLE Teachers’ Technology Proficiency in the New Normal</w:t>
      </w:r>
    </w:p>
    <w:p w14:paraId="75FE0AE2" w14:textId="77777777" w:rsidR="00FA5D4B" w:rsidRPr="004C22BB" w:rsidRDefault="00FA5D4B" w:rsidP="009557B4">
      <w:pPr>
        <w:widowControl w:val="0"/>
        <w:spacing w:after="0" w:line="240" w:lineRule="auto"/>
        <w:ind w:firstLine="720"/>
        <w:jc w:val="both"/>
        <w:rPr>
          <w:rFonts w:ascii="Arial" w:eastAsia="Times New Roman" w:hAnsi="Arial" w:cs="Arial"/>
          <w:color w:val="FF0000"/>
          <w:sz w:val="20"/>
          <w:szCs w:val="20"/>
          <w:lang w:val="en-US"/>
        </w:rPr>
      </w:pPr>
    </w:p>
    <w:p w14:paraId="2DF46D33" w14:textId="77777777" w:rsidR="00FA5D4B" w:rsidRPr="004C22BB" w:rsidRDefault="00FA5D4B" w:rsidP="00CD2AE1">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 xml:space="preserve">The results of the extent of the TLE teachers’ technology proficiency in the new normal are shown in Table 1. </w:t>
      </w:r>
      <w:r w:rsidRPr="004C22BB">
        <w:rPr>
          <w:rFonts w:ascii="Arial" w:eastAsia="Times New Roman" w:hAnsi="Arial" w:cs="Arial"/>
          <w:color w:val="000000"/>
          <w:sz w:val="20"/>
          <w:szCs w:val="20"/>
          <w:shd w:val="clear" w:color="auto" w:fill="FFFFFF"/>
          <w:lang w:val="en-US"/>
        </w:rPr>
        <w:t xml:space="preserve">This proficiency is usually defined for students and teachers to judge their level of expertise in a particular subject or class (Reid Lyon, 2019). </w:t>
      </w:r>
      <w:r w:rsidRPr="004C22BB">
        <w:rPr>
          <w:rFonts w:ascii="Arial" w:eastAsia="Times New Roman" w:hAnsi="Arial" w:cs="Arial"/>
          <w:color w:val="000000"/>
          <w:sz w:val="20"/>
          <w:szCs w:val="20"/>
          <w:lang w:val="en-US"/>
        </w:rPr>
        <w:t xml:space="preserve">The said results are presented in terms its three indicators, which are Knowledge Deepening, Knowledge Acquisition, and Knowledge Creation. Based on the analysis, the overall mean level of the TLE teachers’ technology proficiency in the new normal is 3.88, and the level of its equivalent descriptive intensity is high. This indicates that the </w:t>
      </w:r>
      <w:r w:rsidRPr="004C22BB">
        <w:rPr>
          <w:rFonts w:ascii="Arial" w:eastAsia="Arial" w:hAnsi="Arial" w:cs="Arial"/>
          <w:color w:val="000000"/>
          <w:sz w:val="20"/>
          <w:szCs w:val="20"/>
          <w:lang w:val="en-US"/>
        </w:rPr>
        <w:t xml:space="preserve">TLE teachers manifest a strong </w:t>
      </w:r>
      <w:r w:rsidRPr="004C22BB">
        <w:rPr>
          <w:rFonts w:ascii="Arial" w:eastAsia="Times New Roman" w:hAnsi="Arial" w:cs="Arial"/>
          <w:color w:val="000000"/>
          <w:sz w:val="20"/>
          <w:szCs w:val="20"/>
          <w:lang w:val="en-US"/>
        </w:rPr>
        <w:t xml:space="preserve">technology proficiency in the new normal. This further means that TLE teachers were still proficient in their field of expertise even though several issues about the quality of education were raised due the effect of the COVID-19 pandemic. TLE teachers are still high proficient educational professionals who were </w:t>
      </w:r>
      <w:r w:rsidRPr="004C22BB">
        <w:rPr>
          <w:rFonts w:ascii="Arial" w:eastAsia="Times New Roman" w:hAnsi="Arial" w:cs="Arial"/>
          <w:color w:val="000000"/>
          <w:sz w:val="20"/>
          <w:szCs w:val="20"/>
          <w:shd w:val="clear" w:color="auto" w:fill="FFFFFF"/>
          <w:lang w:val="en-US"/>
        </w:rPr>
        <w:t>independent in the application of skills vital to the teaching and learning process, who can still provide focused teaching programs that meet curriculum and assessment requirements, and who can display skills in planning, implementing and managing learning programs (</w:t>
      </w:r>
      <w:proofErr w:type="spellStart"/>
      <w:r w:rsidRPr="004C22BB">
        <w:rPr>
          <w:rFonts w:ascii="Arial" w:eastAsia="Times New Roman" w:hAnsi="Arial" w:cs="Arial"/>
          <w:color w:val="000000"/>
          <w:sz w:val="20"/>
          <w:szCs w:val="20"/>
          <w:shd w:val="clear" w:color="auto" w:fill="FFFFFF"/>
          <w:lang w:val="en-US"/>
        </w:rPr>
        <w:t>Gonong</w:t>
      </w:r>
      <w:proofErr w:type="spellEnd"/>
      <w:r w:rsidRPr="004C22BB">
        <w:rPr>
          <w:rFonts w:ascii="Arial" w:eastAsia="Times New Roman" w:hAnsi="Arial" w:cs="Arial"/>
          <w:color w:val="000000"/>
          <w:sz w:val="20"/>
          <w:szCs w:val="20"/>
          <w:shd w:val="clear" w:color="auto" w:fill="FFFFFF"/>
          <w:lang w:val="en-US"/>
        </w:rPr>
        <w:t xml:space="preserve"> et al. 2017). TLE teachers can still develop a safe, positive and productive learning environments where all students are encouraged to participate (Henderson and Jarvis, 2016).</w:t>
      </w:r>
    </w:p>
    <w:p w14:paraId="150E02FD"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shd w:val="clear" w:color="auto" w:fill="FFFFFF"/>
          <w:lang w:val="en-US"/>
        </w:rPr>
      </w:pPr>
    </w:p>
    <w:p w14:paraId="559565FF"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Table 1. Summary of the Extent of TLE Teachers’ Technology Proficiency in the New Normal</w:t>
      </w:r>
    </w:p>
    <w:p w14:paraId="5F76C96B"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bl>
      <w:tblPr>
        <w:tblStyle w:val="TableGrid53"/>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2250"/>
        <w:gridCol w:w="2976"/>
      </w:tblGrid>
      <w:tr w:rsidR="00FA5D4B" w:rsidRPr="004C22BB" w14:paraId="72FC6648" w14:textId="77777777" w:rsidTr="00D654D6">
        <w:trPr>
          <w:trHeight w:val="791"/>
          <w:jc w:val="center"/>
        </w:trPr>
        <w:tc>
          <w:tcPr>
            <w:tcW w:w="2790" w:type="dxa"/>
            <w:tcBorders>
              <w:top w:val="single" w:sz="4" w:space="0" w:color="auto"/>
              <w:left w:val="nil"/>
              <w:bottom w:val="single" w:sz="4" w:space="0" w:color="auto"/>
              <w:right w:val="nil"/>
            </w:tcBorders>
            <w:vAlign w:val="center"/>
          </w:tcPr>
          <w:p w14:paraId="6B19E948"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lastRenderedPageBreak/>
              <w:t>Indicators</w:t>
            </w:r>
          </w:p>
        </w:tc>
        <w:tc>
          <w:tcPr>
            <w:tcW w:w="2250" w:type="dxa"/>
            <w:tcBorders>
              <w:top w:val="single" w:sz="4" w:space="0" w:color="auto"/>
              <w:left w:val="nil"/>
              <w:bottom w:val="single" w:sz="4" w:space="0" w:color="auto"/>
              <w:right w:val="nil"/>
            </w:tcBorders>
            <w:vAlign w:val="center"/>
          </w:tcPr>
          <w:p w14:paraId="5C176012"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2976" w:type="dxa"/>
            <w:tcBorders>
              <w:top w:val="single" w:sz="4" w:space="0" w:color="auto"/>
              <w:left w:val="nil"/>
              <w:bottom w:val="single" w:sz="4" w:space="0" w:color="auto"/>
              <w:right w:val="nil"/>
            </w:tcBorders>
            <w:vAlign w:val="center"/>
          </w:tcPr>
          <w:p w14:paraId="07CD888E"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01873586" w14:textId="77777777" w:rsidTr="00D654D6">
        <w:trPr>
          <w:trHeight w:val="512"/>
          <w:jc w:val="center"/>
        </w:trPr>
        <w:tc>
          <w:tcPr>
            <w:tcW w:w="2790" w:type="dxa"/>
            <w:tcBorders>
              <w:top w:val="single" w:sz="4" w:space="0" w:color="auto"/>
              <w:left w:val="nil"/>
              <w:bottom w:val="nil"/>
              <w:right w:val="nil"/>
            </w:tcBorders>
            <w:vAlign w:val="center"/>
          </w:tcPr>
          <w:p w14:paraId="57ECC8EC"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Deepening</w:t>
            </w:r>
          </w:p>
        </w:tc>
        <w:tc>
          <w:tcPr>
            <w:tcW w:w="2250" w:type="dxa"/>
            <w:tcBorders>
              <w:top w:val="single" w:sz="4" w:space="0" w:color="auto"/>
              <w:left w:val="nil"/>
              <w:bottom w:val="nil"/>
              <w:right w:val="nil"/>
            </w:tcBorders>
            <w:vAlign w:val="center"/>
          </w:tcPr>
          <w:p w14:paraId="31E4EDD0"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3.87</w:t>
            </w:r>
          </w:p>
        </w:tc>
        <w:tc>
          <w:tcPr>
            <w:tcW w:w="2976" w:type="dxa"/>
            <w:tcBorders>
              <w:top w:val="single" w:sz="4" w:space="0" w:color="auto"/>
              <w:left w:val="nil"/>
              <w:bottom w:val="nil"/>
              <w:right w:val="nil"/>
            </w:tcBorders>
            <w:vAlign w:val="center"/>
          </w:tcPr>
          <w:p w14:paraId="36840381"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751B72A" w14:textId="77777777" w:rsidTr="00D654D6">
        <w:trPr>
          <w:trHeight w:val="440"/>
          <w:jc w:val="center"/>
        </w:trPr>
        <w:tc>
          <w:tcPr>
            <w:tcW w:w="2790" w:type="dxa"/>
            <w:tcBorders>
              <w:top w:val="nil"/>
              <w:left w:val="nil"/>
              <w:bottom w:val="nil"/>
              <w:right w:val="nil"/>
            </w:tcBorders>
            <w:vAlign w:val="center"/>
          </w:tcPr>
          <w:p w14:paraId="3B1CF7FF"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Acquisition</w:t>
            </w:r>
          </w:p>
        </w:tc>
        <w:tc>
          <w:tcPr>
            <w:tcW w:w="2250" w:type="dxa"/>
            <w:tcBorders>
              <w:top w:val="nil"/>
              <w:left w:val="nil"/>
              <w:bottom w:val="nil"/>
              <w:right w:val="nil"/>
            </w:tcBorders>
            <w:vAlign w:val="center"/>
          </w:tcPr>
          <w:p w14:paraId="6162D2D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3.97</w:t>
            </w:r>
          </w:p>
        </w:tc>
        <w:tc>
          <w:tcPr>
            <w:tcW w:w="2976" w:type="dxa"/>
            <w:tcBorders>
              <w:top w:val="nil"/>
              <w:left w:val="nil"/>
              <w:bottom w:val="nil"/>
              <w:right w:val="nil"/>
            </w:tcBorders>
            <w:vAlign w:val="center"/>
          </w:tcPr>
          <w:p w14:paraId="273E97C9"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453D92FC" w14:textId="77777777" w:rsidTr="00D654D6">
        <w:trPr>
          <w:trHeight w:val="440"/>
          <w:jc w:val="center"/>
        </w:trPr>
        <w:tc>
          <w:tcPr>
            <w:tcW w:w="2790" w:type="dxa"/>
            <w:tcBorders>
              <w:top w:val="nil"/>
              <w:left w:val="nil"/>
              <w:bottom w:val="nil"/>
              <w:right w:val="nil"/>
            </w:tcBorders>
            <w:vAlign w:val="center"/>
          </w:tcPr>
          <w:p w14:paraId="04EC8221"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Creation</w:t>
            </w:r>
          </w:p>
        </w:tc>
        <w:tc>
          <w:tcPr>
            <w:tcW w:w="2250" w:type="dxa"/>
            <w:tcBorders>
              <w:top w:val="nil"/>
              <w:left w:val="nil"/>
              <w:bottom w:val="nil"/>
              <w:right w:val="nil"/>
            </w:tcBorders>
            <w:vAlign w:val="center"/>
          </w:tcPr>
          <w:p w14:paraId="0048E47D"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3.81</w:t>
            </w:r>
          </w:p>
        </w:tc>
        <w:tc>
          <w:tcPr>
            <w:tcW w:w="2976" w:type="dxa"/>
            <w:tcBorders>
              <w:top w:val="nil"/>
              <w:left w:val="nil"/>
              <w:bottom w:val="nil"/>
              <w:right w:val="nil"/>
            </w:tcBorders>
            <w:vAlign w:val="center"/>
          </w:tcPr>
          <w:p w14:paraId="0772413E"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0B3B0A6A" w14:textId="77777777" w:rsidTr="00D654D6">
        <w:trPr>
          <w:trHeight w:val="629"/>
          <w:jc w:val="center"/>
        </w:trPr>
        <w:tc>
          <w:tcPr>
            <w:tcW w:w="2790" w:type="dxa"/>
            <w:tcBorders>
              <w:top w:val="nil"/>
              <w:left w:val="nil"/>
              <w:bottom w:val="single" w:sz="4" w:space="0" w:color="auto"/>
              <w:right w:val="nil"/>
            </w:tcBorders>
            <w:vAlign w:val="center"/>
          </w:tcPr>
          <w:p w14:paraId="663C9CE2"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 xml:space="preserve">  Overall </w:t>
            </w:r>
          </w:p>
        </w:tc>
        <w:tc>
          <w:tcPr>
            <w:tcW w:w="2250" w:type="dxa"/>
            <w:tcBorders>
              <w:top w:val="nil"/>
              <w:left w:val="nil"/>
              <w:bottom w:val="single" w:sz="4" w:space="0" w:color="auto"/>
              <w:right w:val="nil"/>
            </w:tcBorders>
            <w:vAlign w:val="center"/>
          </w:tcPr>
          <w:p w14:paraId="3E5B88BB"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3.88</w:t>
            </w:r>
          </w:p>
        </w:tc>
        <w:tc>
          <w:tcPr>
            <w:tcW w:w="2976" w:type="dxa"/>
            <w:tcBorders>
              <w:top w:val="nil"/>
              <w:left w:val="nil"/>
              <w:bottom w:val="single" w:sz="4" w:space="0" w:color="auto"/>
              <w:right w:val="nil"/>
            </w:tcBorders>
            <w:vAlign w:val="center"/>
          </w:tcPr>
          <w:p w14:paraId="589946B9"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High</w:t>
            </w:r>
          </w:p>
        </w:tc>
      </w:tr>
    </w:tbl>
    <w:p w14:paraId="730B4ADD" w14:textId="77777777" w:rsidR="00FA5D4B" w:rsidRPr="004C22BB" w:rsidRDefault="00FA5D4B" w:rsidP="009557B4">
      <w:pPr>
        <w:widowControl w:val="0"/>
        <w:spacing w:after="0" w:line="240" w:lineRule="auto"/>
        <w:jc w:val="both"/>
        <w:rPr>
          <w:rFonts w:ascii="Arial" w:eastAsia="Times New Roman" w:hAnsi="Arial" w:cs="Arial"/>
          <w:color w:val="000000"/>
          <w:sz w:val="20"/>
          <w:szCs w:val="20"/>
          <w:shd w:val="clear" w:color="auto" w:fill="FFFFFF"/>
          <w:lang w:val="en-US"/>
        </w:rPr>
      </w:pPr>
    </w:p>
    <w:p w14:paraId="1343EFA2"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shd w:val="clear" w:color="auto" w:fill="FFFFFF"/>
          <w:lang w:val="en-US"/>
        </w:rPr>
        <w:t xml:space="preserve">In particular, </w:t>
      </w:r>
      <w:r w:rsidRPr="004C22BB">
        <w:rPr>
          <w:rFonts w:ascii="Arial" w:eastAsia="Times New Roman" w:hAnsi="Arial" w:cs="Arial"/>
          <w:color w:val="000000"/>
          <w:sz w:val="20"/>
          <w:szCs w:val="20"/>
          <w:lang w:val="en-US"/>
        </w:rPr>
        <w:t xml:space="preserve">the Knowledge Acquisition indicator is the one in technology proficiency of TLE teachers that has the greatest mean. There are three indicators in total. According to the findings of the data analysis, the computed mean score for the knowledge acquisition indicator is 3.97 with an equivalent descriptive level of high. This indicates that the </w:t>
      </w:r>
      <w:r w:rsidRPr="004C22BB">
        <w:rPr>
          <w:rFonts w:ascii="Arial" w:eastAsia="Arial" w:hAnsi="Arial" w:cs="Arial"/>
          <w:color w:val="000000"/>
          <w:sz w:val="20"/>
          <w:szCs w:val="20"/>
          <w:lang w:val="en-US"/>
        </w:rPr>
        <w:t xml:space="preserve">TLE teachers manifest a strong </w:t>
      </w:r>
      <w:r w:rsidRPr="004C22BB">
        <w:rPr>
          <w:rFonts w:ascii="Arial" w:eastAsia="Times New Roman" w:hAnsi="Arial" w:cs="Arial"/>
          <w:color w:val="000000"/>
          <w:sz w:val="20"/>
          <w:szCs w:val="20"/>
          <w:lang w:val="en-US"/>
        </w:rPr>
        <w:t xml:space="preserve">knowledge acquisition proficiency in the new normal. TLE teachers can still </w:t>
      </w:r>
      <w:r w:rsidRPr="004C22BB">
        <w:rPr>
          <w:rFonts w:ascii="Arial" w:eastAsia="Times New Roman" w:hAnsi="Arial" w:cs="Arial"/>
          <w:color w:val="000000"/>
          <w:sz w:val="20"/>
          <w:szCs w:val="20"/>
          <w:shd w:val="clear" w:color="auto" w:fill="FFFFFF"/>
          <w:lang w:val="en-US"/>
        </w:rPr>
        <w:t xml:space="preserve">identify knowledge from external sources and transformed this knowledge into useful outputs which can be used by the students (Holsapple, et al, 2015). For knowledge acquisition to become better, information presented by TLE teachers to the learners were useful to them in many ways possible (McNamara &amp; O’Reilly, 2022). The result is in contrast to </w:t>
      </w:r>
      <w:proofErr w:type="spellStart"/>
      <w:r w:rsidRPr="004C22BB">
        <w:rPr>
          <w:rFonts w:ascii="Arial" w:eastAsia="Times New Roman" w:hAnsi="Arial" w:cs="Arial"/>
          <w:color w:val="000000"/>
          <w:sz w:val="20"/>
          <w:szCs w:val="20"/>
          <w:shd w:val="clear" w:color="auto" w:fill="FFFFFF"/>
          <w:lang w:val="en-US"/>
        </w:rPr>
        <w:t>Arasio</w:t>
      </w:r>
      <w:proofErr w:type="spellEnd"/>
      <w:r w:rsidRPr="004C22BB">
        <w:rPr>
          <w:rFonts w:ascii="Arial" w:eastAsia="Times New Roman" w:hAnsi="Arial" w:cs="Arial"/>
          <w:color w:val="000000"/>
          <w:sz w:val="20"/>
          <w:szCs w:val="20"/>
          <w:shd w:val="clear" w:color="auto" w:fill="FFFFFF"/>
          <w:lang w:val="en-US"/>
        </w:rPr>
        <w:t xml:space="preserve"> &amp; </w:t>
      </w:r>
      <w:proofErr w:type="spellStart"/>
      <w:r w:rsidRPr="004C22BB">
        <w:rPr>
          <w:rFonts w:ascii="Arial" w:eastAsia="Times New Roman" w:hAnsi="Arial" w:cs="Arial"/>
          <w:color w:val="000000"/>
          <w:sz w:val="20"/>
          <w:szCs w:val="20"/>
          <w:shd w:val="clear" w:color="auto" w:fill="FFFFFF"/>
          <w:lang w:val="en-US"/>
        </w:rPr>
        <w:t>Tancinco</w:t>
      </w:r>
      <w:proofErr w:type="spellEnd"/>
      <w:r w:rsidRPr="004C22BB">
        <w:rPr>
          <w:rFonts w:ascii="Arial" w:eastAsia="Times New Roman" w:hAnsi="Arial" w:cs="Arial"/>
          <w:color w:val="000000"/>
          <w:sz w:val="20"/>
          <w:szCs w:val="20"/>
          <w:shd w:val="clear" w:color="auto" w:fill="FFFFFF"/>
          <w:lang w:val="en-US"/>
        </w:rPr>
        <w:t xml:space="preserve"> (2016) findings that TLE teachers have found it difficult to develop their knowledge acquisition skills due to the following factors such as lack of support from school administration and community, inadequate school facilities and equipment, lack of instructional materials, and difficulties with dealing with students.</w:t>
      </w:r>
    </w:p>
    <w:p w14:paraId="304CCA55"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The indicator of Knowledge Deepening comes in at number two on the list of top indicators, with a mean score of 3.87 and an equivalent descriptive rating of high. This suggests that the Resilience indicator, which is the </w:t>
      </w:r>
      <w:r w:rsidRPr="004C22BB">
        <w:rPr>
          <w:rFonts w:ascii="Arial" w:eastAsia="Times New Roman" w:hAnsi="Arial" w:cs="Arial"/>
          <w:color w:val="000000"/>
          <w:sz w:val="20"/>
          <w:szCs w:val="20"/>
          <w:shd w:val="clear" w:color="auto" w:fill="FFFFFF"/>
          <w:lang w:val="en-US"/>
        </w:rPr>
        <w:t xml:space="preserve">ability to enhance knowledge or structure of knowledge particularly the theories, principles, and concepts of a particular discipline (Norton and Hathaway, 2012), is strongly manifesting to TLE teachers </w:t>
      </w:r>
      <w:r w:rsidRPr="004C22BB">
        <w:rPr>
          <w:rFonts w:ascii="Arial" w:eastAsia="Times New Roman" w:hAnsi="Arial" w:cs="Arial"/>
          <w:color w:val="000000"/>
          <w:sz w:val="20"/>
          <w:szCs w:val="20"/>
          <w:lang w:val="en-US"/>
        </w:rPr>
        <w:t xml:space="preserve">in the new normal. TLE teachers are still able </w:t>
      </w:r>
      <w:r w:rsidRPr="004C22BB">
        <w:rPr>
          <w:rFonts w:ascii="Arial" w:eastAsia="Times New Roman" w:hAnsi="Arial" w:cs="Arial"/>
          <w:color w:val="000000"/>
          <w:sz w:val="20"/>
          <w:szCs w:val="20"/>
          <w:shd w:val="clear" w:color="auto" w:fill="FFFFFF"/>
          <w:lang w:val="en-US"/>
        </w:rPr>
        <w:t xml:space="preserve">to manage information, structure problem tasks, and integrate technology and subject-specific applications with student-centered teaching methods and collaborative activities in support of students’ in-depth understanding of key concepts and their application to complex, real-world problems (Aneke &amp; </w:t>
      </w:r>
      <w:proofErr w:type="spellStart"/>
      <w:r w:rsidRPr="004C22BB">
        <w:rPr>
          <w:rFonts w:ascii="Arial" w:eastAsia="Times New Roman" w:hAnsi="Arial" w:cs="Arial"/>
          <w:color w:val="000000"/>
          <w:sz w:val="20"/>
          <w:szCs w:val="20"/>
          <w:shd w:val="clear" w:color="auto" w:fill="FFFFFF"/>
          <w:lang w:val="en-US"/>
        </w:rPr>
        <w:t>Nnabuike</w:t>
      </w:r>
      <w:proofErr w:type="spellEnd"/>
      <w:r w:rsidRPr="004C22BB">
        <w:rPr>
          <w:rFonts w:ascii="Arial" w:eastAsia="Times New Roman" w:hAnsi="Arial" w:cs="Arial"/>
          <w:color w:val="000000"/>
          <w:sz w:val="20"/>
          <w:szCs w:val="20"/>
          <w:shd w:val="clear" w:color="auto" w:fill="FFFFFF"/>
          <w:lang w:val="en-US"/>
        </w:rPr>
        <w:t>, 2016).</w:t>
      </w:r>
    </w:p>
    <w:p w14:paraId="0CFAE65D" w14:textId="18BD4639" w:rsidR="00FA5D4B" w:rsidRPr="004C22BB" w:rsidRDefault="00FA5D4B" w:rsidP="009557B4">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The Knowledge Creation indicator has a mean score of 3.81 and an equivalent descriptive rating of high. It is the last indicator of TLE teachers’ technology proficiency in the new normal. This indicates that the knowledge creation indicator, which is considers a </w:t>
      </w:r>
      <w:r w:rsidRPr="004C22BB">
        <w:rPr>
          <w:rFonts w:ascii="Arial" w:eastAsia="Times New Roman" w:hAnsi="Arial" w:cs="Arial"/>
          <w:color w:val="000000"/>
          <w:sz w:val="20"/>
          <w:szCs w:val="20"/>
          <w:shd w:val="clear" w:color="auto" w:fill="FCFCFC"/>
          <w:lang w:val="en-US"/>
        </w:rPr>
        <w:t xml:space="preserve">continuous combination, transfer, and conversion of different kinds of knowledge or the formation of new notions and concepts which occurs through interactions between explicit and tacit knowledge in people’s minds (Nonaka &amp; Toyama, 2015), </w:t>
      </w:r>
      <w:r w:rsidRPr="004C22BB">
        <w:rPr>
          <w:rFonts w:ascii="Arial" w:eastAsia="Times New Roman" w:hAnsi="Arial" w:cs="Arial"/>
          <w:color w:val="000000"/>
          <w:sz w:val="20"/>
          <w:szCs w:val="20"/>
          <w:shd w:val="clear" w:color="auto" w:fill="FFFFFF"/>
          <w:lang w:val="en-US"/>
        </w:rPr>
        <w:t xml:space="preserve">is strongly manifesting to TLE teachers </w:t>
      </w:r>
      <w:r w:rsidRPr="004C22BB">
        <w:rPr>
          <w:rFonts w:ascii="Arial" w:eastAsia="Times New Roman" w:hAnsi="Arial" w:cs="Arial"/>
          <w:color w:val="000000"/>
          <w:sz w:val="20"/>
          <w:szCs w:val="20"/>
          <w:lang w:val="en-US"/>
        </w:rPr>
        <w:t xml:space="preserve">in the new normal. TLE teachers can still </w:t>
      </w:r>
      <w:r w:rsidRPr="004C22BB">
        <w:rPr>
          <w:rFonts w:ascii="Arial" w:eastAsia="Times New Roman" w:hAnsi="Arial" w:cs="Arial"/>
          <w:color w:val="000000"/>
          <w:sz w:val="20"/>
          <w:szCs w:val="20"/>
          <w:shd w:val="clear" w:color="auto" w:fill="FFFFFF"/>
          <w:lang w:val="en-US"/>
        </w:rPr>
        <w:t>create new knowledge and acts as the heart of an organization’s competitive advantage (</w:t>
      </w:r>
      <w:proofErr w:type="spellStart"/>
      <w:r w:rsidRPr="004C22BB">
        <w:rPr>
          <w:rFonts w:ascii="Arial" w:eastAsia="Times New Roman" w:hAnsi="Arial" w:cs="Arial"/>
          <w:color w:val="000000"/>
          <w:sz w:val="20"/>
          <w:szCs w:val="20"/>
          <w:shd w:val="clear" w:color="auto" w:fill="FFFFFF"/>
          <w:lang w:val="en-US"/>
        </w:rPr>
        <w:t>NIeves</w:t>
      </w:r>
      <w:proofErr w:type="spellEnd"/>
      <w:r w:rsidRPr="004C22BB">
        <w:rPr>
          <w:rFonts w:ascii="Arial" w:eastAsia="Times New Roman" w:hAnsi="Arial" w:cs="Arial"/>
          <w:color w:val="000000"/>
          <w:sz w:val="20"/>
          <w:szCs w:val="20"/>
          <w:shd w:val="clear" w:color="auto" w:fill="FFFFFF"/>
          <w:lang w:val="en-US"/>
        </w:rPr>
        <w:t xml:space="preserve"> &amp; Osorio, 2015). This is in line with Stan Garfield (2016) ideas that knowledge creation can be linked to </w:t>
      </w:r>
      <w:r w:rsidRPr="004C22BB">
        <w:rPr>
          <w:rFonts w:ascii="Arial" w:eastAsia="Times New Roman" w:hAnsi="Arial" w:cs="Arial"/>
          <w:color w:val="000000"/>
          <w:sz w:val="20"/>
          <w:szCs w:val="20"/>
          <w:lang w:val="en-US"/>
        </w:rPr>
        <w:t>inventing and innovating new concepts, approaches, methods, techniques, products, services, and ideas which can be used for the benefit of people and organizations.</w:t>
      </w:r>
    </w:p>
    <w:p w14:paraId="10643C34"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shd w:val="clear" w:color="auto" w:fill="FFFFFF"/>
          <w:lang w:val="en-US"/>
        </w:rPr>
      </w:pPr>
      <w:r w:rsidRPr="004C22BB">
        <w:rPr>
          <w:rFonts w:ascii="Arial" w:eastAsia="Times New Roman" w:hAnsi="Arial" w:cs="Arial"/>
          <w:color w:val="FF0000"/>
          <w:sz w:val="20"/>
          <w:szCs w:val="20"/>
          <w:lang w:val="en-US"/>
        </w:rPr>
        <w:tab/>
      </w:r>
    </w:p>
    <w:p w14:paraId="70665621"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bookmarkStart w:id="0" w:name="_Hlk98939046"/>
      <w:r w:rsidRPr="004C22BB">
        <w:rPr>
          <w:rFonts w:ascii="Arial" w:eastAsia="Times New Roman" w:hAnsi="Arial" w:cs="Arial"/>
          <w:i/>
          <w:color w:val="000000"/>
          <w:sz w:val="20"/>
          <w:szCs w:val="20"/>
          <w:lang w:val="en-US" w:eastAsia="en-PH"/>
        </w:rPr>
        <w:t>Extent of TLE Teachers’ Technology Proficiency in the New Normal in terms of Knowledge Deepening</w:t>
      </w:r>
    </w:p>
    <w:p w14:paraId="21031585" w14:textId="77777777" w:rsidR="00FA5D4B" w:rsidRPr="004C22BB" w:rsidRDefault="00FA5D4B" w:rsidP="009557B4">
      <w:pPr>
        <w:widowControl w:val="0"/>
        <w:spacing w:after="0" w:line="240" w:lineRule="auto"/>
        <w:jc w:val="center"/>
        <w:rPr>
          <w:rFonts w:ascii="Arial" w:eastAsia="Times New Roman" w:hAnsi="Arial" w:cs="Arial"/>
          <w:i/>
          <w:color w:val="000000"/>
          <w:sz w:val="20"/>
          <w:szCs w:val="20"/>
          <w:lang w:val="en-US"/>
        </w:rPr>
      </w:pPr>
    </w:p>
    <w:bookmarkEnd w:id="0"/>
    <w:p w14:paraId="0E5D4797" w14:textId="3E824F52"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Shown on Table </w:t>
      </w:r>
      <w:r w:rsidR="00FA3973">
        <w:rPr>
          <w:rFonts w:ascii="Arial" w:eastAsia="Times New Roman" w:hAnsi="Arial" w:cs="Arial"/>
          <w:color w:val="000000"/>
          <w:sz w:val="20"/>
          <w:szCs w:val="20"/>
          <w:lang w:val="en-US"/>
        </w:rPr>
        <w:t>2</w:t>
      </w:r>
      <w:r w:rsidRPr="004C22BB">
        <w:rPr>
          <w:rFonts w:ascii="Arial" w:eastAsia="Times New Roman" w:hAnsi="Arial" w:cs="Arial"/>
          <w:color w:val="000000"/>
          <w:sz w:val="20"/>
          <w:szCs w:val="20"/>
          <w:lang w:val="en-US"/>
        </w:rPr>
        <w:t xml:space="preserve"> the result of the extent of the TLE teachers’ technology proficiency in the new normal in terms of knowledge deepening. </w:t>
      </w:r>
      <w:bookmarkStart w:id="1" w:name="_Hlk98942703"/>
      <w:r w:rsidRPr="004C22BB">
        <w:rPr>
          <w:rFonts w:ascii="Arial" w:eastAsia="Times New Roman" w:hAnsi="Arial" w:cs="Arial"/>
          <w:color w:val="000000"/>
          <w:sz w:val="20"/>
          <w:szCs w:val="20"/>
          <w:lang w:val="en-US"/>
        </w:rPr>
        <w:t xml:space="preserve">It has five statements with mean and description stated using Likert Scale. </w:t>
      </w:r>
    </w:p>
    <w:p w14:paraId="2B902F25" w14:textId="5C61EE46" w:rsidR="00FA5D4B" w:rsidRPr="004C22BB" w:rsidRDefault="00FA5D4B" w:rsidP="00042DD2">
      <w:pPr>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 xml:space="preserve">Based on the analysis presented in table </w:t>
      </w:r>
      <w:r w:rsidR="00FA3973">
        <w:rPr>
          <w:rFonts w:ascii="Arial" w:eastAsia="Times New Roman" w:hAnsi="Arial" w:cs="Arial"/>
          <w:color w:val="000000"/>
          <w:sz w:val="20"/>
          <w:szCs w:val="20"/>
          <w:lang w:val="en-US"/>
        </w:rPr>
        <w:t>2</w:t>
      </w:r>
      <w:r w:rsidRPr="004C22BB">
        <w:rPr>
          <w:rFonts w:ascii="Arial" w:eastAsia="Times New Roman" w:hAnsi="Arial" w:cs="Arial"/>
          <w:color w:val="000000"/>
          <w:sz w:val="20"/>
          <w:szCs w:val="20"/>
          <w:lang w:val="en-US"/>
        </w:rPr>
        <w:t>, the statement with highest mean is the “</w:t>
      </w:r>
      <w:r w:rsidRPr="004C22BB">
        <w:rPr>
          <w:rFonts w:ascii="Arial" w:eastAsia="Times New Roman" w:hAnsi="Arial" w:cs="Arial"/>
          <w:i/>
          <w:color w:val="000000"/>
          <w:sz w:val="20"/>
          <w:szCs w:val="20"/>
          <w:lang w:val="en-US"/>
        </w:rPr>
        <w:t>I demonstrated in the class how sentences can be made simpler using the word processing application”</w:t>
      </w:r>
      <w:r w:rsidRPr="004C22BB">
        <w:rPr>
          <w:rFonts w:ascii="Arial" w:eastAsia="Times New Roman" w:hAnsi="Arial" w:cs="Arial"/>
          <w:color w:val="000000"/>
          <w:sz w:val="20"/>
          <w:szCs w:val="20"/>
          <w:lang w:val="en-US"/>
        </w:rPr>
        <w:t xml:space="preserve">. This statement obtains a mean score of 3.96 with an equivalent descriptive level of high. This implies that the said statement under the technology proficiency is strongly evident to TLE teachers in the new normal. </w:t>
      </w:r>
      <w:r w:rsidRPr="004C22BB">
        <w:rPr>
          <w:rFonts w:ascii="Arial" w:eastAsia="Times New Roman" w:hAnsi="Arial" w:cs="Arial"/>
          <w:color w:val="000000"/>
          <w:sz w:val="20"/>
          <w:szCs w:val="20"/>
          <w:shd w:val="clear" w:color="auto" w:fill="FFFFFF"/>
          <w:lang w:val="en-US"/>
        </w:rPr>
        <w:t>The depth of teacher understanding directly relates to student learning. Teachers are better able to assess student understanding when they are more knowledgeable about the topics they are teaching (</w:t>
      </w:r>
      <w:proofErr w:type="spellStart"/>
      <w:r w:rsidRPr="004C22BB">
        <w:rPr>
          <w:rFonts w:ascii="Arial" w:eastAsia="Times New Roman" w:hAnsi="Arial" w:cs="Arial"/>
          <w:color w:val="000000"/>
          <w:sz w:val="20"/>
          <w:szCs w:val="20"/>
          <w:shd w:val="clear" w:color="auto" w:fill="FFFFFF"/>
          <w:lang w:val="en-US"/>
        </w:rPr>
        <w:t>Prawat</w:t>
      </w:r>
      <w:proofErr w:type="spellEnd"/>
      <w:r w:rsidRPr="004C22BB">
        <w:rPr>
          <w:rFonts w:ascii="Arial" w:eastAsia="Times New Roman" w:hAnsi="Arial" w:cs="Arial"/>
          <w:color w:val="000000"/>
          <w:sz w:val="20"/>
          <w:szCs w:val="20"/>
          <w:shd w:val="clear" w:color="auto" w:fill="FFFFFF"/>
          <w:lang w:val="en-US"/>
        </w:rPr>
        <w:t xml:space="preserve">, 2012). </w:t>
      </w:r>
    </w:p>
    <w:p w14:paraId="556D5643"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On the contrary, the statement that got the lowest mean of 3.82 is the “</w:t>
      </w:r>
      <w:r w:rsidRPr="004C22BB">
        <w:rPr>
          <w:rFonts w:ascii="Arial" w:eastAsia="Times New Roman" w:hAnsi="Arial" w:cs="Arial"/>
          <w:i/>
          <w:color w:val="000000"/>
          <w:sz w:val="20"/>
          <w:szCs w:val="20"/>
          <w:lang w:val="en-US"/>
        </w:rPr>
        <w:t>I understood the basic principles of using ICT in teaching</w:t>
      </w:r>
      <w:r w:rsidRPr="004C22BB">
        <w:rPr>
          <w:rFonts w:ascii="Arial" w:eastAsia="Times New Roman" w:hAnsi="Arial" w:cs="Arial"/>
          <w:color w:val="000000"/>
          <w:sz w:val="20"/>
          <w:szCs w:val="20"/>
          <w:lang w:val="en-US"/>
        </w:rPr>
        <w:t xml:space="preserve">”. Although it ranks as the lowest, it still described as high level. This implies that the said statement under the technology proficiency is strongly evident to TLE teachers in the new </w:t>
      </w:r>
      <w:r w:rsidRPr="004C22BB">
        <w:rPr>
          <w:rFonts w:ascii="Arial" w:eastAsia="Times New Roman" w:hAnsi="Arial" w:cs="Arial"/>
          <w:color w:val="000000"/>
          <w:sz w:val="20"/>
          <w:szCs w:val="20"/>
          <w:lang w:val="en-US"/>
        </w:rPr>
        <w:lastRenderedPageBreak/>
        <w:t>normal. Further, In the educational context, mastery of learning is crucial. This involves divisions of subject matter into units that have predetermined objectives or unit expectations (</w:t>
      </w:r>
      <w:proofErr w:type="spellStart"/>
      <w:r w:rsidRPr="004C22BB">
        <w:rPr>
          <w:rFonts w:ascii="Arial" w:eastAsia="Times New Roman" w:hAnsi="Arial" w:cs="Arial"/>
          <w:color w:val="000000"/>
          <w:sz w:val="20"/>
          <w:szCs w:val="20"/>
          <w:shd w:val="clear" w:color="auto" w:fill="FFFFFF"/>
          <w:lang w:val="en-US"/>
        </w:rPr>
        <w:t>Intema</w:t>
      </w:r>
      <w:proofErr w:type="spellEnd"/>
      <w:r w:rsidRPr="004C22BB">
        <w:rPr>
          <w:rFonts w:ascii="Arial" w:eastAsia="Times New Roman" w:hAnsi="Arial" w:cs="Arial"/>
          <w:color w:val="000000"/>
          <w:sz w:val="20"/>
          <w:szCs w:val="20"/>
          <w:shd w:val="clear" w:color="auto" w:fill="FFFFFF"/>
          <w:lang w:val="en-US"/>
        </w:rPr>
        <w:t xml:space="preserve"> et al., 2019)</w:t>
      </w:r>
      <w:r w:rsidRPr="004C22BB">
        <w:rPr>
          <w:rFonts w:ascii="Arial" w:eastAsia="Times New Roman" w:hAnsi="Arial" w:cs="Arial"/>
          <w:color w:val="000000"/>
          <w:sz w:val="20"/>
          <w:szCs w:val="20"/>
          <w:lang w:val="en-US"/>
        </w:rPr>
        <w:t>.</w:t>
      </w:r>
    </w:p>
    <w:p w14:paraId="5E932E8A" w14:textId="77777777" w:rsidR="00FA5D4B" w:rsidRPr="004C22BB" w:rsidRDefault="00FA5D4B" w:rsidP="009557B4">
      <w:pPr>
        <w:widowControl w:val="0"/>
        <w:spacing w:after="0" w:line="240" w:lineRule="auto"/>
        <w:ind w:firstLine="720"/>
        <w:jc w:val="both"/>
        <w:rPr>
          <w:rFonts w:ascii="Arial" w:eastAsia="Times New Roman" w:hAnsi="Arial" w:cs="Arial"/>
          <w:color w:val="FF0000"/>
          <w:sz w:val="20"/>
          <w:szCs w:val="20"/>
          <w:lang w:val="en-US"/>
        </w:rPr>
      </w:pPr>
    </w:p>
    <w:p w14:paraId="4F6D5B0B" w14:textId="1379C841"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2.</w:t>
      </w:r>
      <w:r w:rsidRPr="004C22BB">
        <w:rPr>
          <w:rFonts w:ascii="Arial" w:eastAsia="Times New Roman" w:hAnsi="Arial" w:cs="Arial"/>
          <w:b/>
          <w:color w:val="000000"/>
          <w:sz w:val="20"/>
          <w:szCs w:val="20"/>
          <w:lang w:val="en-US"/>
        </w:rPr>
        <w:t xml:space="preserve"> Extent of TLE Teachers’ Technology Proficiency in the New Normal in terms of Knowledge Deepening</w:t>
      </w:r>
    </w:p>
    <w:p w14:paraId="314A98F4"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bl>
      <w:tblPr>
        <w:tblStyle w:val="TableGrid54"/>
        <w:tblW w:w="873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1080"/>
        <w:gridCol w:w="1530"/>
      </w:tblGrid>
      <w:tr w:rsidR="00FA5D4B" w:rsidRPr="004C22BB" w14:paraId="323C984D" w14:textId="77777777" w:rsidTr="00D654D6">
        <w:trPr>
          <w:trHeight w:val="791"/>
          <w:jc w:val="center"/>
        </w:trPr>
        <w:tc>
          <w:tcPr>
            <w:tcW w:w="6120" w:type="dxa"/>
            <w:tcBorders>
              <w:top w:val="single" w:sz="4" w:space="0" w:color="auto"/>
              <w:left w:val="nil"/>
              <w:bottom w:val="single" w:sz="4" w:space="0" w:color="auto"/>
              <w:right w:val="nil"/>
            </w:tcBorders>
            <w:vAlign w:val="center"/>
          </w:tcPr>
          <w:p w14:paraId="15DA87F5"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Knowledge Deepening Sub-Indicators</w:t>
            </w:r>
          </w:p>
        </w:tc>
        <w:tc>
          <w:tcPr>
            <w:tcW w:w="1080" w:type="dxa"/>
            <w:tcBorders>
              <w:top w:val="single" w:sz="4" w:space="0" w:color="auto"/>
              <w:left w:val="nil"/>
              <w:bottom w:val="single" w:sz="4" w:space="0" w:color="auto"/>
              <w:right w:val="nil"/>
            </w:tcBorders>
            <w:vAlign w:val="center"/>
          </w:tcPr>
          <w:p w14:paraId="7B9E8822"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1530" w:type="dxa"/>
            <w:tcBorders>
              <w:top w:val="single" w:sz="4" w:space="0" w:color="auto"/>
              <w:left w:val="nil"/>
              <w:bottom w:val="single" w:sz="4" w:space="0" w:color="auto"/>
              <w:right w:val="nil"/>
            </w:tcBorders>
            <w:vAlign w:val="center"/>
          </w:tcPr>
          <w:p w14:paraId="0BD98128"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48772F16" w14:textId="77777777" w:rsidTr="00D654D6">
        <w:trPr>
          <w:trHeight w:val="683"/>
          <w:jc w:val="center"/>
        </w:trPr>
        <w:tc>
          <w:tcPr>
            <w:tcW w:w="6120" w:type="dxa"/>
            <w:tcBorders>
              <w:top w:val="single" w:sz="4" w:space="0" w:color="auto"/>
              <w:left w:val="nil"/>
              <w:bottom w:val="nil"/>
              <w:right w:val="nil"/>
            </w:tcBorders>
            <w:vAlign w:val="center"/>
          </w:tcPr>
          <w:p w14:paraId="59AB815C"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I understood the basic principles of using ICT in teaching.</w:t>
            </w:r>
          </w:p>
        </w:tc>
        <w:tc>
          <w:tcPr>
            <w:tcW w:w="1080" w:type="dxa"/>
            <w:tcBorders>
              <w:top w:val="single" w:sz="4" w:space="0" w:color="auto"/>
              <w:left w:val="nil"/>
              <w:bottom w:val="nil"/>
              <w:right w:val="nil"/>
            </w:tcBorders>
            <w:vAlign w:val="center"/>
          </w:tcPr>
          <w:p w14:paraId="238E99E3"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3.82</w:t>
            </w:r>
          </w:p>
        </w:tc>
        <w:tc>
          <w:tcPr>
            <w:tcW w:w="1530" w:type="dxa"/>
            <w:tcBorders>
              <w:top w:val="single" w:sz="4" w:space="0" w:color="auto"/>
              <w:left w:val="nil"/>
              <w:bottom w:val="nil"/>
              <w:right w:val="nil"/>
            </w:tcBorders>
            <w:vAlign w:val="center"/>
          </w:tcPr>
          <w:p w14:paraId="30B26FC9"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617BB39C" w14:textId="77777777" w:rsidTr="00D654D6">
        <w:trPr>
          <w:trHeight w:val="1242"/>
          <w:jc w:val="center"/>
        </w:trPr>
        <w:tc>
          <w:tcPr>
            <w:tcW w:w="6120" w:type="dxa"/>
            <w:tcBorders>
              <w:top w:val="nil"/>
              <w:left w:val="nil"/>
              <w:bottom w:val="nil"/>
              <w:right w:val="nil"/>
            </w:tcBorders>
            <w:vAlign w:val="center"/>
          </w:tcPr>
          <w:p w14:paraId="1F563A42"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 xml:space="preserve">I realized that using word processing would offer a new approach to one of the basic skills on the curriculum – how to improve the wording of sentences. </w:t>
            </w:r>
          </w:p>
        </w:tc>
        <w:tc>
          <w:tcPr>
            <w:tcW w:w="1080" w:type="dxa"/>
            <w:tcBorders>
              <w:top w:val="nil"/>
              <w:left w:val="nil"/>
              <w:bottom w:val="nil"/>
              <w:right w:val="nil"/>
            </w:tcBorders>
            <w:vAlign w:val="center"/>
          </w:tcPr>
          <w:p w14:paraId="4A05B298"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3.85</w:t>
            </w:r>
          </w:p>
        </w:tc>
        <w:tc>
          <w:tcPr>
            <w:tcW w:w="1530" w:type="dxa"/>
            <w:tcBorders>
              <w:top w:val="nil"/>
              <w:left w:val="nil"/>
              <w:bottom w:val="nil"/>
              <w:right w:val="nil"/>
            </w:tcBorders>
            <w:vAlign w:val="center"/>
          </w:tcPr>
          <w:p w14:paraId="57A14909"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136676B" w14:textId="77777777" w:rsidTr="00D654D6">
        <w:trPr>
          <w:trHeight w:val="918"/>
          <w:jc w:val="center"/>
        </w:trPr>
        <w:tc>
          <w:tcPr>
            <w:tcW w:w="6120" w:type="dxa"/>
            <w:tcBorders>
              <w:top w:val="nil"/>
              <w:left w:val="nil"/>
              <w:bottom w:val="nil"/>
              <w:right w:val="nil"/>
            </w:tcBorders>
            <w:vAlign w:val="center"/>
          </w:tcPr>
          <w:p w14:paraId="61A6639A"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I demonstrated in the class how sentences can be made simpler using the word processing application.</w:t>
            </w:r>
          </w:p>
        </w:tc>
        <w:tc>
          <w:tcPr>
            <w:tcW w:w="1080" w:type="dxa"/>
            <w:tcBorders>
              <w:top w:val="nil"/>
              <w:left w:val="nil"/>
              <w:bottom w:val="nil"/>
              <w:right w:val="nil"/>
            </w:tcBorders>
            <w:vAlign w:val="center"/>
          </w:tcPr>
          <w:p w14:paraId="4747F56B"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3.96</w:t>
            </w:r>
          </w:p>
        </w:tc>
        <w:tc>
          <w:tcPr>
            <w:tcW w:w="1530" w:type="dxa"/>
            <w:tcBorders>
              <w:top w:val="nil"/>
              <w:left w:val="nil"/>
              <w:bottom w:val="nil"/>
              <w:right w:val="nil"/>
            </w:tcBorders>
            <w:vAlign w:val="center"/>
          </w:tcPr>
          <w:p w14:paraId="2E9EE7FB"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027522A" w14:textId="77777777" w:rsidTr="00D654D6">
        <w:trPr>
          <w:trHeight w:val="882"/>
          <w:jc w:val="center"/>
        </w:trPr>
        <w:tc>
          <w:tcPr>
            <w:tcW w:w="6120" w:type="dxa"/>
            <w:tcBorders>
              <w:top w:val="nil"/>
              <w:left w:val="nil"/>
              <w:bottom w:val="nil"/>
              <w:right w:val="nil"/>
            </w:tcBorders>
            <w:vAlign w:val="center"/>
          </w:tcPr>
          <w:p w14:paraId="3F2A488A"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I used word processing applications or PowerPoint presentation while conducting a discussion in my class.</w:t>
            </w:r>
          </w:p>
        </w:tc>
        <w:tc>
          <w:tcPr>
            <w:tcW w:w="1080" w:type="dxa"/>
            <w:tcBorders>
              <w:top w:val="nil"/>
              <w:left w:val="nil"/>
              <w:bottom w:val="nil"/>
              <w:right w:val="nil"/>
            </w:tcBorders>
            <w:vAlign w:val="center"/>
          </w:tcPr>
          <w:p w14:paraId="542DB9B6"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3.90</w:t>
            </w:r>
          </w:p>
        </w:tc>
        <w:tc>
          <w:tcPr>
            <w:tcW w:w="1530" w:type="dxa"/>
            <w:tcBorders>
              <w:top w:val="nil"/>
              <w:left w:val="nil"/>
              <w:bottom w:val="nil"/>
              <w:right w:val="nil"/>
            </w:tcBorders>
            <w:vAlign w:val="center"/>
          </w:tcPr>
          <w:p w14:paraId="793A6450"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F766BEB" w14:textId="77777777" w:rsidTr="00D654D6">
        <w:trPr>
          <w:trHeight w:val="738"/>
          <w:jc w:val="center"/>
        </w:trPr>
        <w:tc>
          <w:tcPr>
            <w:tcW w:w="6120" w:type="dxa"/>
            <w:tcBorders>
              <w:top w:val="nil"/>
              <w:left w:val="nil"/>
              <w:bottom w:val="nil"/>
              <w:right w:val="nil"/>
            </w:tcBorders>
            <w:vAlign w:val="center"/>
          </w:tcPr>
          <w:p w14:paraId="0F87EDE7"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I searched various websites to find teaching resources for my lessons.</w:t>
            </w:r>
          </w:p>
        </w:tc>
        <w:tc>
          <w:tcPr>
            <w:tcW w:w="1080" w:type="dxa"/>
            <w:tcBorders>
              <w:top w:val="nil"/>
              <w:left w:val="nil"/>
              <w:bottom w:val="nil"/>
              <w:right w:val="nil"/>
            </w:tcBorders>
            <w:vAlign w:val="center"/>
          </w:tcPr>
          <w:p w14:paraId="6CBE65D2"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3.84</w:t>
            </w:r>
          </w:p>
        </w:tc>
        <w:tc>
          <w:tcPr>
            <w:tcW w:w="1530" w:type="dxa"/>
            <w:tcBorders>
              <w:top w:val="nil"/>
              <w:left w:val="nil"/>
              <w:bottom w:val="nil"/>
              <w:right w:val="nil"/>
            </w:tcBorders>
            <w:vAlign w:val="center"/>
          </w:tcPr>
          <w:p w14:paraId="5F551E40"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76058A0E" w14:textId="77777777" w:rsidTr="00D654D6">
        <w:trPr>
          <w:trHeight w:val="440"/>
          <w:jc w:val="center"/>
        </w:trPr>
        <w:tc>
          <w:tcPr>
            <w:tcW w:w="6120" w:type="dxa"/>
            <w:tcBorders>
              <w:top w:val="nil"/>
              <w:left w:val="nil"/>
              <w:bottom w:val="single" w:sz="4" w:space="0" w:color="auto"/>
              <w:right w:val="nil"/>
            </w:tcBorders>
            <w:vAlign w:val="center"/>
          </w:tcPr>
          <w:p w14:paraId="5D16FB13" w14:textId="77777777" w:rsidR="00FA5D4B" w:rsidRPr="004C22BB" w:rsidRDefault="00FA5D4B" w:rsidP="009557B4">
            <w:pPr>
              <w:widowControl w:val="0"/>
              <w:rPr>
                <w:rFonts w:ascii="Arial" w:eastAsia="Times New Roman" w:hAnsi="Arial" w:cs="Arial"/>
                <w:b/>
                <w:bCs/>
                <w:color w:val="000000"/>
              </w:rPr>
            </w:pPr>
            <w:r w:rsidRPr="004C22BB">
              <w:rPr>
                <w:rFonts w:ascii="Arial" w:eastAsia="Times New Roman" w:hAnsi="Arial" w:cs="Arial"/>
                <w:b/>
                <w:bCs/>
                <w:color w:val="000000"/>
              </w:rPr>
              <w:t xml:space="preserve">          Overall</w:t>
            </w:r>
          </w:p>
        </w:tc>
        <w:tc>
          <w:tcPr>
            <w:tcW w:w="1080" w:type="dxa"/>
            <w:tcBorders>
              <w:top w:val="nil"/>
              <w:left w:val="nil"/>
              <w:bottom w:val="single" w:sz="4" w:space="0" w:color="auto"/>
              <w:right w:val="nil"/>
            </w:tcBorders>
            <w:vAlign w:val="center"/>
          </w:tcPr>
          <w:p w14:paraId="55AAE689" w14:textId="77777777" w:rsidR="00FA5D4B" w:rsidRPr="004C22BB" w:rsidRDefault="00FA5D4B" w:rsidP="009557B4">
            <w:pPr>
              <w:autoSpaceDE w:val="0"/>
              <w:autoSpaceDN w:val="0"/>
              <w:adjustRightInd w:val="0"/>
              <w:ind w:left="60" w:right="60"/>
              <w:jc w:val="center"/>
              <w:rPr>
                <w:rFonts w:ascii="Arial" w:eastAsia="Times New Roman" w:hAnsi="Arial" w:cs="Arial"/>
                <w:b/>
                <w:color w:val="000000"/>
              </w:rPr>
            </w:pPr>
            <w:r w:rsidRPr="004C22BB">
              <w:rPr>
                <w:rFonts w:ascii="Arial" w:eastAsia="Times New Roman" w:hAnsi="Arial" w:cs="Arial"/>
                <w:b/>
                <w:color w:val="000000"/>
              </w:rPr>
              <w:t>3.87</w:t>
            </w:r>
          </w:p>
        </w:tc>
        <w:tc>
          <w:tcPr>
            <w:tcW w:w="1530" w:type="dxa"/>
            <w:tcBorders>
              <w:top w:val="nil"/>
              <w:left w:val="nil"/>
              <w:bottom w:val="single" w:sz="4" w:space="0" w:color="auto"/>
              <w:right w:val="nil"/>
            </w:tcBorders>
            <w:vAlign w:val="center"/>
          </w:tcPr>
          <w:p w14:paraId="185AFF6C"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b/>
                <w:bCs/>
                <w:color w:val="000000"/>
              </w:rPr>
              <w:t>High</w:t>
            </w:r>
          </w:p>
        </w:tc>
      </w:tr>
      <w:bookmarkEnd w:id="1"/>
    </w:tbl>
    <w:p w14:paraId="4D8E214A"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609FE46E"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710B33EA"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r w:rsidRPr="004C22BB">
        <w:rPr>
          <w:rFonts w:ascii="Arial" w:eastAsia="Times New Roman" w:hAnsi="Arial" w:cs="Arial"/>
          <w:i/>
          <w:color w:val="000000"/>
          <w:sz w:val="20"/>
          <w:szCs w:val="20"/>
          <w:lang w:val="en-US" w:eastAsia="en-PH"/>
        </w:rPr>
        <w:t>Extent of TLE Teachers’ Technology Proficiency in the New Normal in terms of Knowledge Acquisition</w:t>
      </w:r>
    </w:p>
    <w:p w14:paraId="55D37DAF"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p>
    <w:p w14:paraId="2D898F26" w14:textId="638C8D6F"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Shown on Table </w:t>
      </w:r>
      <w:r w:rsidR="00FA3973">
        <w:rPr>
          <w:rFonts w:ascii="Arial" w:eastAsia="Times New Roman" w:hAnsi="Arial" w:cs="Arial"/>
          <w:color w:val="000000"/>
          <w:sz w:val="20"/>
          <w:szCs w:val="20"/>
          <w:lang w:val="en-US"/>
        </w:rPr>
        <w:t>3</w:t>
      </w:r>
      <w:r w:rsidRPr="004C22BB">
        <w:rPr>
          <w:rFonts w:ascii="Arial" w:eastAsia="Times New Roman" w:hAnsi="Arial" w:cs="Arial"/>
          <w:color w:val="000000"/>
          <w:sz w:val="20"/>
          <w:szCs w:val="20"/>
          <w:lang w:val="en-US"/>
        </w:rPr>
        <w:t xml:space="preserve"> the result of the extent of the TLE teachers’ technology proficiency in the new normal in terms of knowledge acquisition. It has five statements with mean and description stated using Likert Scale. </w:t>
      </w:r>
    </w:p>
    <w:p w14:paraId="11455FDA" w14:textId="4F16E69A"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Based on the analysis presented in table </w:t>
      </w:r>
      <w:r w:rsidR="00FA3973">
        <w:rPr>
          <w:rFonts w:ascii="Arial" w:eastAsia="Times New Roman" w:hAnsi="Arial" w:cs="Arial"/>
          <w:color w:val="000000"/>
          <w:sz w:val="20"/>
          <w:szCs w:val="20"/>
          <w:lang w:val="en-US"/>
        </w:rPr>
        <w:t>3</w:t>
      </w:r>
      <w:r w:rsidRPr="004C22BB">
        <w:rPr>
          <w:rFonts w:ascii="Arial" w:eastAsia="Times New Roman" w:hAnsi="Arial" w:cs="Arial"/>
          <w:color w:val="000000"/>
          <w:sz w:val="20"/>
          <w:szCs w:val="20"/>
          <w:lang w:val="en-US"/>
        </w:rPr>
        <w:t>, the statement with highest mean is the “</w:t>
      </w:r>
      <w:r w:rsidRPr="004C22BB">
        <w:rPr>
          <w:rFonts w:ascii="Arial" w:eastAsia="Times New Roman" w:hAnsi="Arial" w:cs="Arial"/>
          <w:i/>
          <w:color w:val="000000"/>
          <w:sz w:val="20"/>
          <w:szCs w:val="20"/>
          <w:lang w:val="en-US"/>
        </w:rPr>
        <w:t>I used the ICT to focus on lessons/topics which I had not been able to make vivid and engaging before”</w:t>
      </w:r>
      <w:r w:rsidRPr="004C22BB">
        <w:rPr>
          <w:rFonts w:ascii="Arial" w:eastAsia="Times New Roman" w:hAnsi="Arial" w:cs="Arial"/>
          <w:color w:val="000000"/>
          <w:sz w:val="20"/>
          <w:szCs w:val="20"/>
          <w:lang w:val="en-US"/>
        </w:rPr>
        <w:t xml:space="preserve">. This statement obtains a mean score of 4.10 with an equivalent descriptive level of high. This implies that the said statement under the technology proficiency is strongly evident to TLE teachers in the new normal. </w:t>
      </w:r>
      <w:r w:rsidRPr="004C22BB">
        <w:rPr>
          <w:rFonts w:ascii="Arial" w:eastAsia="Times New Roman" w:hAnsi="Arial" w:cs="Arial"/>
          <w:color w:val="000000"/>
          <w:sz w:val="20"/>
          <w:szCs w:val="20"/>
          <w:shd w:val="clear" w:color="auto" w:fill="FFFFFF"/>
          <w:lang w:val="en-US"/>
        </w:rPr>
        <w:t>The knowledge acquisition of teachers in the area of Technology and Livelihood Education has been found to be at the intermediate level in the fields of information and communication technology and entrepreneurship. This means that teachers are able to complete tasks related to ICT but may still need help and guidance from experts (Villegas, 2022). In general, Technology and Livelihood Education teachers can be classified as experienced in most competencies in the field of ICT and entrepreneurship, Agriculture, Home Economics, and Industrial Arts.</w:t>
      </w:r>
    </w:p>
    <w:p w14:paraId="2D7AE6C5"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On the other hand, the statement that got the lowest mean of 3.84 is the “</w:t>
      </w:r>
      <w:r w:rsidRPr="004C22BB">
        <w:rPr>
          <w:rFonts w:ascii="Arial" w:eastAsia="Times New Roman" w:hAnsi="Arial" w:cs="Arial"/>
          <w:i/>
          <w:color w:val="000000"/>
          <w:sz w:val="20"/>
          <w:szCs w:val="20"/>
          <w:lang w:val="en-US"/>
        </w:rPr>
        <w:t>I showed to my student’s short videos or dramatic clips from films about my lesson for them to find it very interesting</w:t>
      </w:r>
      <w:r w:rsidRPr="004C22BB">
        <w:rPr>
          <w:rFonts w:ascii="Arial" w:eastAsia="Times New Roman" w:hAnsi="Arial" w:cs="Arial"/>
          <w:color w:val="000000"/>
          <w:sz w:val="20"/>
          <w:szCs w:val="20"/>
          <w:lang w:val="en-US"/>
        </w:rPr>
        <w:t xml:space="preserve">”. Although it ranks as the lowest, it still described as high level. This implies that the said statement under the technology proficiency is strongly evident to TLE teachers in the new normal. This is in line that teachers must utilized </w:t>
      </w:r>
      <w:r w:rsidRPr="004C22BB">
        <w:rPr>
          <w:rFonts w:ascii="Arial" w:eastAsia="Times New Roman" w:hAnsi="Arial" w:cs="Arial"/>
          <w:color w:val="000000"/>
          <w:sz w:val="20"/>
          <w:szCs w:val="20"/>
          <w:shd w:val="clear" w:color="auto" w:fill="FFFFFF"/>
          <w:lang w:val="en-US"/>
        </w:rPr>
        <w:t>multimedia as an instructional material be utilized. Aside from that, adequate equipment and facilities should be procured, managerial and technical skills of Technology and Livelihood Education teachers be upgraded, and more institutional linkages with funding institutions should be created (</w:t>
      </w:r>
      <w:proofErr w:type="spellStart"/>
      <w:r w:rsidRPr="004C22BB">
        <w:rPr>
          <w:rFonts w:ascii="Arial" w:eastAsia="Times New Roman" w:hAnsi="Arial" w:cs="Arial"/>
          <w:color w:val="000000"/>
          <w:sz w:val="20"/>
          <w:szCs w:val="20"/>
          <w:shd w:val="clear" w:color="auto" w:fill="FFFFFF"/>
          <w:lang w:val="en-US"/>
        </w:rPr>
        <w:t>Arasio</w:t>
      </w:r>
      <w:proofErr w:type="spellEnd"/>
      <w:r w:rsidRPr="004C22BB">
        <w:rPr>
          <w:rFonts w:ascii="Arial" w:eastAsia="Times New Roman" w:hAnsi="Arial" w:cs="Arial"/>
          <w:color w:val="000000"/>
          <w:sz w:val="20"/>
          <w:szCs w:val="20"/>
          <w:shd w:val="clear" w:color="auto" w:fill="FFFFFF"/>
          <w:lang w:val="en-US"/>
        </w:rPr>
        <w:t xml:space="preserve"> &amp; </w:t>
      </w:r>
      <w:proofErr w:type="spellStart"/>
      <w:r w:rsidRPr="004C22BB">
        <w:rPr>
          <w:rFonts w:ascii="Arial" w:eastAsia="Times New Roman" w:hAnsi="Arial" w:cs="Arial"/>
          <w:color w:val="000000"/>
          <w:sz w:val="20"/>
          <w:szCs w:val="20"/>
          <w:shd w:val="clear" w:color="auto" w:fill="FFFFFF"/>
          <w:lang w:val="en-US"/>
        </w:rPr>
        <w:t>Tancinco</w:t>
      </w:r>
      <w:proofErr w:type="spellEnd"/>
      <w:r w:rsidRPr="004C22BB">
        <w:rPr>
          <w:rFonts w:ascii="Arial" w:eastAsia="Times New Roman" w:hAnsi="Arial" w:cs="Arial"/>
          <w:color w:val="000000"/>
          <w:sz w:val="20"/>
          <w:szCs w:val="20"/>
          <w:shd w:val="clear" w:color="auto" w:fill="FFFFFF"/>
          <w:lang w:val="en-US"/>
        </w:rPr>
        <w:t>, 2016).</w:t>
      </w:r>
    </w:p>
    <w:p w14:paraId="5EF3CC5C"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shd w:val="clear" w:color="auto" w:fill="FFFFFF"/>
          <w:lang w:val="en-US"/>
        </w:rPr>
      </w:pPr>
    </w:p>
    <w:p w14:paraId="49F3D97C" w14:textId="54D975E0" w:rsidR="00FA5D4B" w:rsidRPr="004C22BB" w:rsidRDefault="00FA5D4B" w:rsidP="009557B4">
      <w:pPr>
        <w:widowControl w:val="0"/>
        <w:spacing w:after="0" w:line="240" w:lineRule="auto"/>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3.</w:t>
      </w:r>
      <w:r w:rsidRPr="004C22BB">
        <w:rPr>
          <w:rFonts w:ascii="Arial" w:eastAsia="Times New Roman" w:hAnsi="Arial" w:cs="Arial"/>
          <w:b/>
          <w:color w:val="000000"/>
          <w:sz w:val="20"/>
          <w:szCs w:val="20"/>
          <w:lang w:val="en-US"/>
        </w:rPr>
        <w:t xml:space="preserve"> Extent of TLE Teachers’ Technology Proficiency in the New Normal in terms of Knowledge Acquisition</w:t>
      </w:r>
    </w:p>
    <w:p w14:paraId="2AEB51C0" w14:textId="77777777" w:rsidR="00FA5D4B" w:rsidRPr="004C22BB" w:rsidRDefault="00FA5D4B" w:rsidP="009557B4">
      <w:pPr>
        <w:widowControl w:val="0"/>
        <w:spacing w:after="0" w:line="240" w:lineRule="auto"/>
        <w:rPr>
          <w:rFonts w:ascii="Arial" w:eastAsia="Times New Roman" w:hAnsi="Arial" w:cs="Arial"/>
          <w:b/>
          <w:color w:val="000000"/>
          <w:sz w:val="20"/>
          <w:szCs w:val="20"/>
          <w:lang w:val="en-US"/>
        </w:rPr>
      </w:pPr>
    </w:p>
    <w:tbl>
      <w:tblPr>
        <w:tblStyle w:val="TableGrid55"/>
        <w:tblW w:w="86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0"/>
        <w:gridCol w:w="1167"/>
        <w:gridCol w:w="1623"/>
      </w:tblGrid>
      <w:tr w:rsidR="00FA5D4B" w:rsidRPr="004C22BB" w14:paraId="52D2B35C" w14:textId="77777777" w:rsidTr="00D654D6">
        <w:trPr>
          <w:trHeight w:val="791"/>
          <w:jc w:val="center"/>
        </w:trPr>
        <w:tc>
          <w:tcPr>
            <w:tcW w:w="5850" w:type="dxa"/>
            <w:tcBorders>
              <w:top w:val="single" w:sz="4" w:space="0" w:color="auto"/>
              <w:left w:val="nil"/>
              <w:bottom w:val="single" w:sz="4" w:space="0" w:color="auto"/>
              <w:right w:val="nil"/>
            </w:tcBorders>
            <w:vAlign w:val="center"/>
          </w:tcPr>
          <w:p w14:paraId="20ABF537" w14:textId="77777777" w:rsidR="00FA5D4B" w:rsidRPr="004C22BB" w:rsidRDefault="00FA5D4B" w:rsidP="009557B4">
            <w:pPr>
              <w:widowControl w:val="0"/>
              <w:rPr>
                <w:rFonts w:ascii="Arial" w:eastAsia="Times New Roman" w:hAnsi="Arial" w:cs="Arial"/>
                <w:b/>
                <w:color w:val="000000"/>
              </w:rPr>
            </w:pPr>
            <w:r w:rsidRPr="004C22BB">
              <w:rPr>
                <w:rFonts w:ascii="Arial" w:eastAsia="Times New Roman" w:hAnsi="Arial" w:cs="Arial"/>
                <w:b/>
                <w:color w:val="000000"/>
              </w:rPr>
              <w:t>Knowledge Acquisition Sub-Indicators</w:t>
            </w:r>
          </w:p>
        </w:tc>
        <w:tc>
          <w:tcPr>
            <w:tcW w:w="1167" w:type="dxa"/>
            <w:tcBorders>
              <w:top w:val="single" w:sz="4" w:space="0" w:color="auto"/>
              <w:left w:val="nil"/>
              <w:bottom w:val="single" w:sz="4" w:space="0" w:color="auto"/>
              <w:right w:val="nil"/>
            </w:tcBorders>
            <w:vAlign w:val="center"/>
          </w:tcPr>
          <w:p w14:paraId="7FEAF6E0"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1623" w:type="dxa"/>
            <w:tcBorders>
              <w:top w:val="single" w:sz="4" w:space="0" w:color="auto"/>
              <w:left w:val="nil"/>
              <w:bottom w:val="single" w:sz="4" w:space="0" w:color="auto"/>
              <w:right w:val="nil"/>
            </w:tcBorders>
            <w:vAlign w:val="center"/>
          </w:tcPr>
          <w:p w14:paraId="740DDC8B"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2942365C" w14:textId="77777777" w:rsidTr="00D654D6">
        <w:trPr>
          <w:trHeight w:val="737"/>
          <w:jc w:val="center"/>
        </w:trPr>
        <w:tc>
          <w:tcPr>
            <w:tcW w:w="5850" w:type="dxa"/>
            <w:tcBorders>
              <w:top w:val="single" w:sz="4" w:space="0" w:color="auto"/>
              <w:left w:val="nil"/>
              <w:bottom w:val="nil"/>
              <w:right w:val="nil"/>
            </w:tcBorders>
            <w:vAlign w:val="center"/>
          </w:tcPr>
          <w:p w14:paraId="7837BBCA"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thought I can use ICT to change attitude of my student and motivate them to learn better</w:t>
            </w:r>
          </w:p>
        </w:tc>
        <w:tc>
          <w:tcPr>
            <w:tcW w:w="1167" w:type="dxa"/>
            <w:tcBorders>
              <w:top w:val="single" w:sz="4" w:space="0" w:color="auto"/>
              <w:left w:val="nil"/>
              <w:bottom w:val="nil"/>
              <w:right w:val="nil"/>
            </w:tcBorders>
            <w:vAlign w:val="center"/>
          </w:tcPr>
          <w:p w14:paraId="0D2C3FC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3.94</w:t>
            </w:r>
          </w:p>
        </w:tc>
        <w:tc>
          <w:tcPr>
            <w:tcW w:w="1623" w:type="dxa"/>
            <w:tcBorders>
              <w:top w:val="single" w:sz="4" w:space="0" w:color="auto"/>
              <w:left w:val="nil"/>
              <w:bottom w:val="nil"/>
              <w:right w:val="nil"/>
            </w:tcBorders>
            <w:vAlign w:val="center"/>
          </w:tcPr>
          <w:p w14:paraId="75967CE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637E4221" w14:textId="77777777" w:rsidTr="00D654D6">
        <w:trPr>
          <w:trHeight w:val="1080"/>
          <w:jc w:val="center"/>
        </w:trPr>
        <w:tc>
          <w:tcPr>
            <w:tcW w:w="5850" w:type="dxa"/>
            <w:tcBorders>
              <w:top w:val="nil"/>
              <w:left w:val="nil"/>
              <w:bottom w:val="nil"/>
              <w:right w:val="nil"/>
            </w:tcBorders>
            <w:vAlign w:val="center"/>
          </w:tcPr>
          <w:p w14:paraId="6C2C20E4"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showed to my student’s short videos or dramatic clips from films about my lesson for them to find it very interesting</w:t>
            </w:r>
          </w:p>
        </w:tc>
        <w:tc>
          <w:tcPr>
            <w:tcW w:w="1167" w:type="dxa"/>
            <w:tcBorders>
              <w:top w:val="nil"/>
              <w:left w:val="nil"/>
              <w:bottom w:val="nil"/>
              <w:right w:val="nil"/>
            </w:tcBorders>
            <w:vAlign w:val="center"/>
          </w:tcPr>
          <w:p w14:paraId="73F6B0E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3.84</w:t>
            </w:r>
          </w:p>
        </w:tc>
        <w:tc>
          <w:tcPr>
            <w:tcW w:w="1623" w:type="dxa"/>
            <w:tcBorders>
              <w:top w:val="nil"/>
              <w:left w:val="nil"/>
              <w:bottom w:val="nil"/>
              <w:right w:val="nil"/>
            </w:tcBorders>
            <w:vAlign w:val="center"/>
          </w:tcPr>
          <w:p w14:paraId="59EC90DD"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B31A32D" w14:textId="77777777" w:rsidTr="00D654D6">
        <w:trPr>
          <w:trHeight w:val="720"/>
          <w:jc w:val="center"/>
        </w:trPr>
        <w:tc>
          <w:tcPr>
            <w:tcW w:w="5850" w:type="dxa"/>
            <w:tcBorders>
              <w:top w:val="nil"/>
              <w:left w:val="nil"/>
              <w:bottom w:val="nil"/>
              <w:right w:val="nil"/>
            </w:tcBorders>
            <w:vAlign w:val="center"/>
          </w:tcPr>
          <w:p w14:paraId="7DBBCFA4"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used video clips from the internet for my lessons</w:t>
            </w:r>
          </w:p>
        </w:tc>
        <w:tc>
          <w:tcPr>
            <w:tcW w:w="1167" w:type="dxa"/>
            <w:tcBorders>
              <w:top w:val="nil"/>
              <w:left w:val="nil"/>
              <w:bottom w:val="nil"/>
              <w:right w:val="nil"/>
            </w:tcBorders>
            <w:vAlign w:val="center"/>
          </w:tcPr>
          <w:p w14:paraId="2919B6BF"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3.99</w:t>
            </w:r>
          </w:p>
        </w:tc>
        <w:tc>
          <w:tcPr>
            <w:tcW w:w="1623" w:type="dxa"/>
            <w:tcBorders>
              <w:top w:val="nil"/>
              <w:left w:val="nil"/>
              <w:bottom w:val="nil"/>
              <w:right w:val="nil"/>
            </w:tcBorders>
            <w:vAlign w:val="center"/>
          </w:tcPr>
          <w:p w14:paraId="5A84941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BCF93A2" w14:textId="77777777" w:rsidTr="00D654D6">
        <w:trPr>
          <w:trHeight w:val="1080"/>
          <w:jc w:val="center"/>
        </w:trPr>
        <w:tc>
          <w:tcPr>
            <w:tcW w:w="5850" w:type="dxa"/>
            <w:tcBorders>
              <w:top w:val="nil"/>
              <w:left w:val="nil"/>
              <w:bottom w:val="nil"/>
              <w:right w:val="nil"/>
            </w:tcBorders>
            <w:vAlign w:val="center"/>
          </w:tcPr>
          <w:p w14:paraId="2A4DBC02"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used the ICT to focus on lessons/topics which I had not been able to make vivid and engaging before</w:t>
            </w:r>
          </w:p>
        </w:tc>
        <w:tc>
          <w:tcPr>
            <w:tcW w:w="1167" w:type="dxa"/>
            <w:tcBorders>
              <w:top w:val="nil"/>
              <w:left w:val="nil"/>
              <w:bottom w:val="nil"/>
              <w:right w:val="nil"/>
            </w:tcBorders>
            <w:vAlign w:val="center"/>
          </w:tcPr>
          <w:p w14:paraId="03325739"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4.10</w:t>
            </w:r>
          </w:p>
        </w:tc>
        <w:tc>
          <w:tcPr>
            <w:tcW w:w="1623" w:type="dxa"/>
            <w:tcBorders>
              <w:top w:val="nil"/>
              <w:left w:val="nil"/>
              <w:bottom w:val="nil"/>
              <w:right w:val="nil"/>
            </w:tcBorders>
            <w:vAlign w:val="center"/>
          </w:tcPr>
          <w:p w14:paraId="3D48C58D"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02193E48" w14:textId="77777777" w:rsidTr="00D654D6">
        <w:trPr>
          <w:trHeight w:val="990"/>
          <w:jc w:val="center"/>
        </w:trPr>
        <w:tc>
          <w:tcPr>
            <w:tcW w:w="5850" w:type="dxa"/>
            <w:tcBorders>
              <w:top w:val="nil"/>
              <w:left w:val="nil"/>
              <w:bottom w:val="nil"/>
              <w:right w:val="nil"/>
            </w:tcBorders>
            <w:vAlign w:val="center"/>
          </w:tcPr>
          <w:p w14:paraId="555F7D6D"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regularly visited an internet discussion or forum hosted by the professional association of teachers</w:t>
            </w:r>
          </w:p>
        </w:tc>
        <w:tc>
          <w:tcPr>
            <w:tcW w:w="1167" w:type="dxa"/>
            <w:tcBorders>
              <w:top w:val="nil"/>
              <w:left w:val="nil"/>
              <w:bottom w:val="nil"/>
              <w:right w:val="nil"/>
            </w:tcBorders>
            <w:vAlign w:val="center"/>
          </w:tcPr>
          <w:p w14:paraId="4B5B94B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3.96</w:t>
            </w:r>
          </w:p>
        </w:tc>
        <w:tc>
          <w:tcPr>
            <w:tcW w:w="1623" w:type="dxa"/>
            <w:tcBorders>
              <w:top w:val="nil"/>
              <w:left w:val="nil"/>
              <w:bottom w:val="nil"/>
              <w:right w:val="nil"/>
            </w:tcBorders>
            <w:vAlign w:val="center"/>
          </w:tcPr>
          <w:p w14:paraId="136418D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F34DBD5" w14:textId="77777777" w:rsidTr="00D654D6">
        <w:trPr>
          <w:trHeight w:val="440"/>
          <w:jc w:val="center"/>
        </w:trPr>
        <w:tc>
          <w:tcPr>
            <w:tcW w:w="5850" w:type="dxa"/>
            <w:tcBorders>
              <w:top w:val="nil"/>
              <w:left w:val="nil"/>
              <w:bottom w:val="single" w:sz="4" w:space="0" w:color="auto"/>
              <w:right w:val="nil"/>
            </w:tcBorders>
            <w:vAlign w:val="center"/>
          </w:tcPr>
          <w:p w14:paraId="1D770BA7" w14:textId="77777777" w:rsidR="00FA5D4B" w:rsidRPr="004C22BB" w:rsidRDefault="00FA5D4B" w:rsidP="009557B4">
            <w:pPr>
              <w:widowControl w:val="0"/>
              <w:rPr>
                <w:rFonts w:ascii="Arial" w:eastAsia="Times New Roman" w:hAnsi="Arial" w:cs="Arial"/>
                <w:b/>
                <w:bCs/>
                <w:color w:val="000000"/>
              </w:rPr>
            </w:pPr>
            <w:r w:rsidRPr="004C22BB">
              <w:rPr>
                <w:rFonts w:ascii="Arial" w:eastAsia="Times New Roman" w:hAnsi="Arial" w:cs="Arial"/>
                <w:b/>
                <w:bCs/>
                <w:color w:val="000000"/>
              </w:rPr>
              <w:t xml:space="preserve">         Overall</w:t>
            </w:r>
          </w:p>
        </w:tc>
        <w:tc>
          <w:tcPr>
            <w:tcW w:w="1167" w:type="dxa"/>
            <w:tcBorders>
              <w:top w:val="nil"/>
              <w:left w:val="nil"/>
              <w:bottom w:val="single" w:sz="4" w:space="0" w:color="auto"/>
              <w:right w:val="nil"/>
            </w:tcBorders>
            <w:vAlign w:val="center"/>
          </w:tcPr>
          <w:p w14:paraId="7B06C1AF" w14:textId="77777777" w:rsidR="00FA5D4B" w:rsidRPr="004C22BB" w:rsidRDefault="00FA5D4B" w:rsidP="009557B4">
            <w:pPr>
              <w:autoSpaceDE w:val="0"/>
              <w:autoSpaceDN w:val="0"/>
              <w:adjustRightInd w:val="0"/>
              <w:ind w:left="60" w:right="60"/>
              <w:jc w:val="center"/>
              <w:rPr>
                <w:rFonts w:ascii="Arial" w:eastAsia="Times New Roman" w:hAnsi="Arial" w:cs="Arial"/>
                <w:b/>
                <w:color w:val="000000"/>
              </w:rPr>
            </w:pPr>
            <w:r w:rsidRPr="004C22BB">
              <w:rPr>
                <w:rFonts w:ascii="Arial" w:eastAsia="Times New Roman" w:hAnsi="Arial" w:cs="Arial"/>
                <w:b/>
                <w:color w:val="000000"/>
              </w:rPr>
              <w:t>3.97</w:t>
            </w:r>
          </w:p>
        </w:tc>
        <w:tc>
          <w:tcPr>
            <w:tcW w:w="1623" w:type="dxa"/>
            <w:tcBorders>
              <w:top w:val="nil"/>
              <w:left w:val="nil"/>
              <w:bottom w:val="single" w:sz="4" w:space="0" w:color="auto"/>
              <w:right w:val="nil"/>
            </w:tcBorders>
            <w:vAlign w:val="center"/>
          </w:tcPr>
          <w:p w14:paraId="4D415A5F"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b/>
                <w:bCs/>
                <w:color w:val="000000"/>
              </w:rPr>
              <w:t>High</w:t>
            </w:r>
          </w:p>
        </w:tc>
      </w:tr>
    </w:tbl>
    <w:p w14:paraId="4AD9D91C"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226AEA14"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r w:rsidRPr="004C22BB">
        <w:rPr>
          <w:rFonts w:ascii="Arial" w:eastAsia="Times New Roman" w:hAnsi="Arial" w:cs="Arial"/>
          <w:i/>
          <w:color w:val="000000"/>
          <w:sz w:val="20"/>
          <w:szCs w:val="20"/>
          <w:lang w:val="en-US" w:eastAsia="en-PH"/>
        </w:rPr>
        <w:t>Extent of TLE Teachers’ Technology Proficiency in the New Normal in terms of Knowledge Creation</w:t>
      </w:r>
    </w:p>
    <w:p w14:paraId="7AA2D21C"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p>
    <w:p w14:paraId="53637C00" w14:textId="531D2E5C"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Shown on Table </w:t>
      </w:r>
      <w:r w:rsidR="00FA3973">
        <w:rPr>
          <w:rFonts w:ascii="Arial" w:eastAsia="Times New Roman" w:hAnsi="Arial" w:cs="Arial"/>
          <w:color w:val="000000"/>
          <w:sz w:val="20"/>
          <w:szCs w:val="20"/>
          <w:lang w:val="en-US"/>
        </w:rPr>
        <w:t>4</w:t>
      </w:r>
      <w:r w:rsidRPr="004C22BB">
        <w:rPr>
          <w:rFonts w:ascii="Arial" w:eastAsia="Times New Roman" w:hAnsi="Arial" w:cs="Arial"/>
          <w:color w:val="000000"/>
          <w:sz w:val="20"/>
          <w:szCs w:val="20"/>
          <w:lang w:val="en-US"/>
        </w:rPr>
        <w:t xml:space="preserve"> the result of the extent of the TLE teachers’ technology proficiency in the new normal in terms of knowledge creation. It has five statements with mean and description stated using Likert Scale. </w:t>
      </w:r>
    </w:p>
    <w:p w14:paraId="2A98E158"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As shown on the table, the statement with highest mean is the “</w:t>
      </w:r>
      <w:r w:rsidRPr="004C22BB">
        <w:rPr>
          <w:rFonts w:ascii="Arial" w:eastAsia="Times New Roman" w:hAnsi="Arial" w:cs="Arial"/>
          <w:i/>
          <w:color w:val="000000"/>
          <w:sz w:val="20"/>
          <w:szCs w:val="20"/>
          <w:lang w:val="en-US"/>
        </w:rPr>
        <w:t>I took a leading role in organizing an ICT based projects for students in collaboration with other subject teachers”</w:t>
      </w:r>
      <w:r w:rsidRPr="004C22BB">
        <w:rPr>
          <w:rFonts w:ascii="Arial" w:eastAsia="Times New Roman" w:hAnsi="Arial" w:cs="Arial"/>
          <w:color w:val="000000"/>
          <w:sz w:val="20"/>
          <w:szCs w:val="20"/>
          <w:lang w:val="en-US"/>
        </w:rPr>
        <w:t>. This statement obtains a mean score of 3.98 with an equivalent descriptive level of high. This implies that the said statement under the technology proficiency is strongly evident to TLE teachers in the new normal. This is in line that c</w:t>
      </w:r>
      <w:r w:rsidRPr="004C22BB">
        <w:rPr>
          <w:rFonts w:ascii="Arial" w:eastAsia="Times New Roman" w:hAnsi="Arial" w:cs="Arial"/>
          <w:color w:val="000000"/>
          <w:sz w:val="20"/>
          <w:szCs w:val="20"/>
          <w:shd w:val="clear" w:color="auto" w:fill="FFFFFF"/>
          <w:lang w:val="en-US"/>
        </w:rPr>
        <w:t>reating new knowledge in endless combinations, transfer, and conversion of contrasting kinds of knowledge. It is a process of creating new knowledge and acts as the heart of an organization’s competitive advantage (</w:t>
      </w:r>
      <w:proofErr w:type="spellStart"/>
      <w:r w:rsidRPr="004C22BB">
        <w:rPr>
          <w:rFonts w:ascii="Arial" w:eastAsia="Times New Roman" w:hAnsi="Arial" w:cs="Arial"/>
          <w:color w:val="000000"/>
          <w:sz w:val="20"/>
          <w:szCs w:val="20"/>
          <w:shd w:val="clear" w:color="auto" w:fill="FFFFFF"/>
          <w:lang w:val="en-US"/>
        </w:rPr>
        <w:t>NIeves</w:t>
      </w:r>
      <w:proofErr w:type="spellEnd"/>
      <w:r w:rsidRPr="004C22BB">
        <w:rPr>
          <w:rFonts w:ascii="Arial" w:eastAsia="Times New Roman" w:hAnsi="Arial" w:cs="Arial"/>
          <w:color w:val="000000"/>
          <w:sz w:val="20"/>
          <w:szCs w:val="20"/>
          <w:shd w:val="clear" w:color="auto" w:fill="FFFFFF"/>
          <w:lang w:val="en-US"/>
        </w:rPr>
        <w:t xml:space="preserve"> &amp; Osorio, 2015). In addition, Stan Garfield (2016), linked knowledge creation to </w:t>
      </w:r>
      <w:r w:rsidRPr="004C22BB">
        <w:rPr>
          <w:rFonts w:ascii="Arial" w:eastAsia="Times New Roman" w:hAnsi="Arial" w:cs="Arial"/>
          <w:color w:val="000000"/>
          <w:sz w:val="20"/>
          <w:szCs w:val="20"/>
          <w:lang w:val="en-US"/>
        </w:rPr>
        <w:t>inventing and innovating new concepts, approaches, methods, techniques, products, services, and ideas which can be used for the benefit of people and organizations.</w:t>
      </w:r>
    </w:p>
    <w:p w14:paraId="4609C289"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lang w:val="en-US"/>
        </w:rPr>
      </w:pPr>
    </w:p>
    <w:p w14:paraId="7F78EC3D" w14:textId="11C75141" w:rsidR="00FA5D4B" w:rsidRPr="004C22BB" w:rsidRDefault="00FA5D4B" w:rsidP="009557B4">
      <w:pPr>
        <w:widowControl w:val="0"/>
        <w:spacing w:after="0" w:line="240" w:lineRule="auto"/>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4.</w:t>
      </w:r>
      <w:r w:rsidRPr="004C22BB">
        <w:rPr>
          <w:rFonts w:ascii="Arial" w:eastAsia="Times New Roman" w:hAnsi="Arial" w:cs="Arial"/>
          <w:b/>
          <w:color w:val="000000"/>
          <w:sz w:val="20"/>
          <w:szCs w:val="20"/>
          <w:lang w:val="en-US"/>
        </w:rPr>
        <w:t xml:space="preserve"> Extent of TLE Teachers’ Technology Proficiency in the New Normal in terms of Knowledge Creation</w:t>
      </w:r>
    </w:p>
    <w:p w14:paraId="5D0BE4A2" w14:textId="77777777" w:rsidR="00FA5D4B" w:rsidRPr="004C22BB" w:rsidRDefault="00FA5D4B" w:rsidP="009557B4">
      <w:pPr>
        <w:widowControl w:val="0"/>
        <w:spacing w:after="0" w:line="240" w:lineRule="auto"/>
        <w:rPr>
          <w:rFonts w:ascii="Arial" w:eastAsia="Times New Roman" w:hAnsi="Arial" w:cs="Arial"/>
          <w:b/>
          <w:color w:val="000000"/>
          <w:sz w:val="20"/>
          <w:szCs w:val="20"/>
          <w:lang w:val="en-US"/>
        </w:rPr>
      </w:pPr>
    </w:p>
    <w:tbl>
      <w:tblPr>
        <w:tblStyle w:val="TableGrid1"/>
        <w:tblW w:w="86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170"/>
        <w:gridCol w:w="1710"/>
      </w:tblGrid>
      <w:tr w:rsidR="00FA5D4B" w:rsidRPr="004C22BB" w14:paraId="4A3BD9BB" w14:textId="77777777" w:rsidTr="00D654D6">
        <w:trPr>
          <w:trHeight w:val="791"/>
          <w:jc w:val="center"/>
        </w:trPr>
        <w:tc>
          <w:tcPr>
            <w:tcW w:w="5760" w:type="dxa"/>
            <w:tcBorders>
              <w:top w:val="single" w:sz="4" w:space="0" w:color="auto"/>
              <w:left w:val="nil"/>
              <w:bottom w:val="single" w:sz="4" w:space="0" w:color="auto"/>
              <w:right w:val="nil"/>
            </w:tcBorders>
            <w:vAlign w:val="center"/>
          </w:tcPr>
          <w:p w14:paraId="2C4EFA16" w14:textId="77777777" w:rsidR="00FA5D4B" w:rsidRPr="004C22BB" w:rsidRDefault="00FA5D4B" w:rsidP="009557B4">
            <w:pPr>
              <w:widowControl w:val="0"/>
              <w:jc w:val="both"/>
              <w:rPr>
                <w:rFonts w:ascii="Arial" w:eastAsia="Calibri" w:hAnsi="Arial" w:cs="Arial"/>
                <w:b/>
                <w:color w:val="000000"/>
              </w:rPr>
            </w:pPr>
            <w:r w:rsidRPr="004C22BB">
              <w:rPr>
                <w:rFonts w:ascii="Arial" w:eastAsia="Times New Roman" w:hAnsi="Arial" w:cs="Arial"/>
                <w:b/>
                <w:color w:val="000000"/>
              </w:rPr>
              <w:t>Knowledge Creation Sub-Indicators</w:t>
            </w:r>
          </w:p>
        </w:tc>
        <w:tc>
          <w:tcPr>
            <w:tcW w:w="1170" w:type="dxa"/>
            <w:tcBorders>
              <w:top w:val="single" w:sz="4" w:space="0" w:color="auto"/>
              <w:left w:val="nil"/>
              <w:bottom w:val="single" w:sz="4" w:space="0" w:color="auto"/>
              <w:right w:val="nil"/>
            </w:tcBorders>
            <w:vAlign w:val="center"/>
          </w:tcPr>
          <w:p w14:paraId="6CDCF2A9" w14:textId="77777777" w:rsidR="00FA5D4B" w:rsidRPr="004C22BB" w:rsidRDefault="00FA5D4B" w:rsidP="009557B4">
            <w:pPr>
              <w:widowControl w:val="0"/>
              <w:jc w:val="center"/>
              <w:rPr>
                <w:rFonts w:ascii="Arial" w:eastAsia="Calibri" w:hAnsi="Arial" w:cs="Arial"/>
                <w:b/>
                <w:color w:val="000000"/>
              </w:rPr>
            </w:pPr>
            <w:r w:rsidRPr="004C22BB">
              <w:rPr>
                <w:rFonts w:ascii="Arial" w:eastAsia="Calibri" w:hAnsi="Arial" w:cs="Arial"/>
                <w:b/>
                <w:color w:val="000000"/>
              </w:rPr>
              <w:t>Mean</w:t>
            </w:r>
          </w:p>
        </w:tc>
        <w:tc>
          <w:tcPr>
            <w:tcW w:w="1710" w:type="dxa"/>
            <w:tcBorders>
              <w:top w:val="single" w:sz="4" w:space="0" w:color="auto"/>
              <w:left w:val="nil"/>
              <w:bottom w:val="single" w:sz="4" w:space="0" w:color="auto"/>
              <w:right w:val="nil"/>
            </w:tcBorders>
            <w:vAlign w:val="center"/>
          </w:tcPr>
          <w:p w14:paraId="735620F9" w14:textId="77777777" w:rsidR="00FA5D4B" w:rsidRPr="004C22BB" w:rsidRDefault="00FA5D4B" w:rsidP="009557B4">
            <w:pPr>
              <w:widowControl w:val="0"/>
              <w:jc w:val="center"/>
              <w:rPr>
                <w:rFonts w:ascii="Arial" w:eastAsia="Calibri" w:hAnsi="Arial" w:cs="Arial"/>
                <w:b/>
                <w:color w:val="000000"/>
              </w:rPr>
            </w:pPr>
            <w:r w:rsidRPr="004C22BB">
              <w:rPr>
                <w:rFonts w:ascii="Arial" w:eastAsia="Calibri" w:hAnsi="Arial" w:cs="Arial"/>
                <w:b/>
                <w:color w:val="000000"/>
              </w:rPr>
              <w:t>Descriptive Level</w:t>
            </w:r>
          </w:p>
        </w:tc>
      </w:tr>
      <w:tr w:rsidR="00FA5D4B" w:rsidRPr="004C22BB" w14:paraId="31C2A8F6" w14:textId="77777777" w:rsidTr="00D654D6">
        <w:trPr>
          <w:trHeight w:val="980"/>
          <w:jc w:val="center"/>
        </w:trPr>
        <w:tc>
          <w:tcPr>
            <w:tcW w:w="5760" w:type="dxa"/>
            <w:tcBorders>
              <w:top w:val="single" w:sz="4" w:space="0" w:color="auto"/>
              <w:left w:val="nil"/>
              <w:bottom w:val="nil"/>
              <w:right w:val="nil"/>
            </w:tcBorders>
          </w:tcPr>
          <w:p w14:paraId="751CBCB6"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took a leading role in organizing an ICT based projects for students in collaboration with other subject teachers</w:t>
            </w:r>
          </w:p>
        </w:tc>
        <w:tc>
          <w:tcPr>
            <w:tcW w:w="1170" w:type="dxa"/>
            <w:tcBorders>
              <w:top w:val="single" w:sz="4" w:space="0" w:color="auto"/>
              <w:left w:val="nil"/>
              <w:bottom w:val="nil"/>
              <w:right w:val="nil"/>
            </w:tcBorders>
            <w:vAlign w:val="center"/>
          </w:tcPr>
          <w:p w14:paraId="6A8093E4"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3.98</w:t>
            </w:r>
          </w:p>
        </w:tc>
        <w:tc>
          <w:tcPr>
            <w:tcW w:w="1710" w:type="dxa"/>
            <w:tcBorders>
              <w:top w:val="single" w:sz="4" w:space="0" w:color="auto"/>
              <w:left w:val="nil"/>
              <w:bottom w:val="nil"/>
              <w:right w:val="nil"/>
            </w:tcBorders>
            <w:vAlign w:val="center"/>
          </w:tcPr>
          <w:p w14:paraId="61B682BE"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7E91B592" w14:textId="77777777" w:rsidTr="00D654D6">
        <w:trPr>
          <w:trHeight w:val="990"/>
          <w:jc w:val="center"/>
        </w:trPr>
        <w:tc>
          <w:tcPr>
            <w:tcW w:w="5760" w:type="dxa"/>
            <w:tcBorders>
              <w:top w:val="nil"/>
              <w:left w:val="nil"/>
              <w:bottom w:val="nil"/>
              <w:right w:val="nil"/>
            </w:tcBorders>
          </w:tcPr>
          <w:p w14:paraId="13D8BB76"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made sure that ICT based projects for students organized covered different topics in different subjects.</w:t>
            </w:r>
          </w:p>
        </w:tc>
        <w:tc>
          <w:tcPr>
            <w:tcW w:w="1170" w:type="dxa"/>
            <w:tcBorders>
              <w:top w:val="nil"/>
              <w:left w:val="nil"/>
              <w:bottom w:val="nil"/>
              <w:right w:val="nil"/>
            </w:tcBorders>
            <w:vAlign w:val="center"/>
          </w:tcPr>
          <w:p w14:paraId="7C9C6C63"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3.64</w:t>
            </w:r>
          </w:p>
        </w:tc>
        <w:tc>
          <w:tcPr>
            <w:tcW w:w="1710" w:type="dxa"/>
            <w:tcBorders>
              <w:top w:val="nil"/>
              <w:left w:val="nil"/>
              <w:bottom w:val="nil"/>
              <w:right w:val="nil"/>
            </w:tcBorders>
            <w:vAlign w:val="center"/>
          </w:tcPr>
          <w:p w14:paraId="17F71FF5"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2F571CC0" w14:textId="77777777" w:rsidTr="00D654D6">
        <w:trPr>
          <w:trHeight w:val="1260"/>
          <w:jc w:val="center"/>
        </w:trPr>
        <w:tc>
          <w:tcPr>
            <w:tcW w:w="5760" w:type="dxa"/>
            <w:tcBorders>
              <w:top w:val="nil"/>
              <w:left w:val="nil"/>
              <w:bottom w:val="nil"/>
              <w:right w:val="nil"/>
            </w:tcBorders>
          </w:tcPr>
          <w:p w14:paraId="36EF8B64"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lastRenderedPageBreak/>
              <w:t>I acted as monitor and coach to the pupils ensuring them to have skills and knowledge they need, methods they could use and remained focus on their task.</w:t>
            </w:r>
          </w:p>
        </w:tc>
        <w:tc>
          <w:tcPr>
            <w:tcW w:w="1170" w:type="dxa"/>
            <w:tcBorders>
              <w:top w:val="nil"/>
              <w:left w:val="nil"/>
              <w:bottom w:val="nil"/>
              <w:right w:val="nil"/>
            </w:tcBorders>
            <w:vAlign w:val="center"/>
          </w:tcPr>
          <w:p w14:paraId="1EC33DCB"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3.67</w:t>
            </w:r>
          </w:p>
        </w:tc>
        <w:tc>
          <w:tcPr>
            <w:tcW w:w="1710" w:type="dxa"/>
            <w:tcBorders>
              <w:top w:val="nil"/>
              <w:left w:val="nil"/>
              <w:bottom w:val="nil"/>
              <w:right w:val="nil"/>
            </w:tcBorders>
            <w:vAlign w:val="center"/>
          </w:tcPr>
          <w:p w14:paraId="43264CA5"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64261941" w14:textId="77777777" w:rsidTr="00D654D6">
        <w:trPr>
          <w:trHeight w:val="1260"/>
          <w:jc w:val="center"/>
        </w:trPr>
        <w:tc>
          <w:tcPr>
            <w:tcW w:w="5760" w:type="dxa"/>
            <w:tcBorders>
              <w:top w:val="nil"/>
              <w:left w:val="nil"/>
              <w:bottom w:val="nil"/>
              <w:right w:val="nil"/>
            </w:tcBorders>
          </w:tcPr>
          <w:p w14:paraId="3BF6BE2D"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created virtual learning environment using Google Classroom or other Social Media Platform which allowed students to store, share and develop their work collaboratively</w:t>
            </w:r>
          </w:p>
        </w:tc>
        <w:tc>
          <w:tcPr>
            <w:tcW w:w="1170" w:type="dxa"/>
            <w:tcBorders>
              <w:top w:val="nil"/>
              <w:left w:val="nil"/>
              <w:bottom w:val="nil"/>
              <w:right w:val="nil"/>
            </w:tcBorders>
            <w:vAlign w:val="center"/>
          </w:tcPr>
          <w:p w14:paraId="03EAA8AE"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3.84</w:t>
            </w:r>
          </w:p>
        </w:tc>
        <w:tc>
          <w:tcPr>
            <w:tcW w:w="1710" w:type="dxa"/>
            <w:tcBorders>
              <w:top w:val="nil"/>
              <w:left w:val="nil"/>
              <w:bottom w:val="nil"/>
              <w:right w:val="nil"/>
            </w:tcBorders>
            <w:vAlign w:val="center"/>
          </w:tcPr>
          <w:p w14:paraId="5C55D701"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6C8C908E" w14:textId="77777777" w:rsidTr="00D654D6">
        <w:trPr>
          <w:trHeight w:val="630"/>
          <w:jc w:val="center"/>
        </w:trPr>
        <w:tc>
          <w:tcPr>
            <w:tcW w:w="5760" w:type="dxa"/>
            <w:tcBorders>
              <w:top w:val="nil"/>
              <w:left w:val="nil"/>
              <w:bottom w:val="nil"/>
              <w:right w:val="nil"/>
            </w:tcBorders>
          </w:tcPr>
          <w:p w14:paraId="24A3AEED"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regularly showed to other teachers how I used ICT in designing my lessons</w:t>
            </w:r>
          </w:p>
        </w:tc>
        <w:tc>
          <w:tcPr>
            <w:tcW w:w="1170" w:type="dxa"/>
            <w:tcBorders>
              <w:top w:val="nil"/>
              <w:left w:val="nil"/>
              <w:bottom w:val="nil"/>
              <w:right w:val="nil"/>
            </w:tcBorders>
            <w:vAlign w:val="center"/>
          </w:tcPr>
          <w:p w14:paraId="367A8B8C"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3.93</w:t>
            </w:r>
          </w:p>
        </w:tc>
        <w:tc>
          <w:tcPr>
            <w:tcW w:w="1710" w:type="dxa"/>
            <w:tcBorders>
              <w:top w:val="nil"/>
              <w:left w:val="nil"/>
              <w:bottom w:val="nil"/>
              <w:right w:val="nil"/>
            </w:tcBorders>
            <w:vAlign w:val="center"/>
          </w:tcPr>
          <w:p w14:paraId="16483E59"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589A6988" w14:textId="77777777" w:rsidTr="00D654D6">
        <w:trPr>
          <w:trHeight w:val="440"/>
          <w:jc w:val="center"/>
        </w:trPr>
        <w:tc>
          <w:tcPr>
            <w:tcW w:w="5760" w:type="dxa"/>
            <w:tcBorders>
              <w:top w:val="nil"/>
              <w:left w:val="nil"/>
              <w:bottom w:val="single" w:sz="4" w:space="0" w:color="auto"/>
              <w:right w:val="nil"/>
            </w:tcBorders>
            <w:vAlign w:val="center"/>
          </w:tcPr>
          <w:p w14:paraId="67928893" w14:textId="77777777" w:rsidR="00FA5D4B" w:rsidRPr="004C22BB" w:rsidRDefault="00FA5D4B" w:rsidP="009557B4">
            <w:pPr>
              <w:widowControl w:val="0"/>
              <w:jc w:val="both"/>
              <w:rPr>
                <w:rFonts w:ascii="Arial" w:eastAsia="Calibri" w:hAnsi="Arial" w:cs="Arial"/>
                <w:b/>
                <w:bCs/>
                <w:color w:val="000000"/>
              </w:rPr>
            </w:pPr>
            <w:r w:rsidRPr="004C22BB">
              <w:rPr>
                <w:rFonts w:ascii="Arial" w:eastAsia="Calibri" w:hAnsi="Arial" w:cs="Arial"/>
                <w:b/>
                <w:bCs/>
                <w:color w:val="000000"/>
              </w:rPr>
              <w:t xml:space="preserve">         Overall</w:t>
            </w:r>
          </w:p>
        </w:tc>
        <w:tc>
          <w:tcPr>
            <w:tcW w:w="1170" w:type="dxa"/>
            <w:tcBorders>
              <w:top w:val="nil"/>
              <w:left w:val="nil"/>
              <w:bottom w:val="single" w:sz="4" w:space="0" w:color="auto"/>
              <w:right w:val="nil"/>
            </w:tcBorders>
            <w:vAlign w:val="center"/>
          </w:tcPr>
          <w:p w14:paraId="7B8E6C4E" w14:textId="77777777" w:rsidR="00FA5D4B" w:rsidRPr="004C22BB" w:rsidRDefault="00FA5D4B" w:rsidP="009557B4">
            <w:pPr>
              <w:autoSpaceDE w:val="0"/>
              <w:autoSpaceDN w:val="0"/>
              <w:adjustRightInd w:val="0"/>
              <w:ind w:left="60" w:right="60"/>
              <w:jc w:val="right"/>
              <w:rPr>
                <w:rFonts w:ascii="Arial" w:eastAsia="Times New Roman" w:hAnsi="Arial" w:cs="Arial"/>
                <w:b/>
                <w:color w:val="000000"/>
              </w:rPr>
            </w:pPr>
            <w:r w:rsidRPr="004C22BB">
              <w:rPr>
                <w:rFonts w:ascii="Arial" w:eastAsia="Times New Roman" w:hAnsi="Arial" w:cs="Arial"/>
                <w:b/>
                <w:color w:val="000000"/>
              </w:rPr>
              <w:t>3.81</w:t>
            </w:r>
          </w:p>
        </w:tc>
        <w:tc>
          <w:tcPr>
            <w:tcW w:w="1710" w:type="dxa"/>
            <w:tcBorders>
              <w:top w:val="nil"/>
              <w:left w:val="nil"/>
              <w:bottom w:val="single" w:sz="4" w:space="0" w:color="auto"/>
              <w:right w:val="nil"/>
            </w:tcBorders>
            <w:vAlign w:val="center"/>
          </w:tcPr>
          <w:p w14:paraId="21DDE4AC"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b/>
                <w:bCs/>
                <w:color w:val="000000"/>
              </w:rPr>
              <w:t>High</w:t>
            </w:r>
          </w:p>
        </w:tc>
      </w:tr>
    </w:tbl>
    <w:p w14:paraId="36CF7873" w14:textId="77777777" w:rsidR="00FA5D4B" w:rsidRPr="004C22BB" w:rsidRDefault="00FA5D4B" w:rsidP="00C066BE">
      <w:pPr>
        <w:spacing w:after="0" w:line="240" w:lineRule="auto"/>
        <w:jc w:val="both"/>
        <w:rPr>
          <w:rFonts w:ascii="Arial" w:eastAsia="Times New Roman" w:hAnsi="Arial" w:cs="Arial"/>
          <w:sz w:val="20"/>
          <w:szCs w:val="20"/>
          <w:lang w:val="en-US"/>
        </w:rPr>
      </w:pPr>
      <w:r w:rsidRPr="004C22BB">
        <w:rPr>
          <w:rFonts w:ascii="Arial" w:eastAsia="Times New Roman" w:hAnsi="Arial" w:cs="Arial"/>
          <w:color w:val="000000"/>
          <w:sz w:val="20"/>
          <w:szCs w:val="20"/>
          <w:lang w:val="en-US"/>
        </w:rPr>
        <w:t xml:space="preserve">On the other hand, the statement that got the lowest mean of 3.64 is the </w:t>
      </w:r>
      <w:r w:rsidRPr="004C22BB">
        <w:rPr>
          <w:rFonts w:ascii="Arial" w:eastAsia="Times New Roman" w:hAnsi="Arial" w:cs="Arial"/>
          <w:i/>
          <w:color w:val="000000"/>
          <w:sz w:val="20"/>
          <w:szCs w:val="20"/>
          <w:lang w:val="en-US"/>
        </w:rPr>
        <w:t>“I made sure that ICT based projects for students organized covered different topics in different subjects</w:t>
      </w:r>
      <w:r w:rsidRPr="004C22BB">
        <w:rPr>
          <w:rFonts w:ascii="Arial" w:eastAsia="Times New Roman" w:hAnsi="Arial" w:cs="Arial"/>
          <w:color w:val="000000"/>
          <w:sz w:val="20"/>
          <w:szCs w:val="20"/>
          <w:lang w:val="en-US"/>
        </w:rPr>
        <w:t xml:space="preserve">”. Although it ranks as the lowest, it still described as high level. This implies that the said statement under the technology proficiency is strongly evident to TLE teachers in the new normal. </w:t>
      </w:r>
      <w:r w:rsidRPr="004C22BB">
        <w:rPr>
          <w:rFonts w:ascii="Arial" w:eastAsia="Times New Roman" w:hAnsi="Arial" w:cs="Arial"/>
          <w:color w:val="000000"/>
          <w:sz w:val="20"/>
          <w:szCs w:val="20"/>
          <w:shd w:val="clear" w:color="auto" w:fill="FFFFFF"/>
          <w:lang w:val="en-US"/>
        </w:rPr>
        <w:t xml:space="preserve">Knowledge creation as an output refers to the development of new ideas that reflect a significant elaboration or enrichment of existing knowledge (Mitchell &amp; Boyle, 2012), for example, Johnson (2012) describes knowledge creation as the difference between what is known and what must be known for project success. As an output, knowledge creation is defined in terms of an immediate product of the knowledge creation process, such as the representation of an idea, and can be differentiated from its impact on the organizational system, or outcome. Knowledge creation as an outcome means that new knowledge is diffused, adopted and embedded as new products, services and systems </w:t>
      </w:r>
      <w:r w:rsidRPr="004C22BB">
        <w:rPr>
          <w:rFonts w:ascii="Arial" w:eastAsia="Times New Roman" w:hAnsi="Arial" w:cs="Arial"/>
          <w:color w:val="000000"/>
          <w:sz w:val="20"/>
          <w:szCs w:val="20"/>
          <w:shd w:val="clear" w:color="auto" w:fill="FCFCFC"/>
          <w:lang w:val="en-US"/>
        </w:rPr>
        <w:t>(Nonaka &amp; Toyama, 2015). </w:t>
      </w:r>
    </w:p>
    <w:p w14:paraId="504C98C9"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258E3C06"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r w:rsidRPr="004C22BB">
        <w:rPr>
          <w:rFonts w:ascii="Arial" w:eastAsia="Times New Roman" w:hAnsi="Arial" w:cs="Arial"/>
          <w:i/>
          <w:color w:val="000000"/>
          <w:sz w:val="20"/>
          <w:szCs w:val="20"/>
          <w:lang w:val="en-US" w:eastAsia="en-PH"/>
        </w:rPr>
        <w:t>Extent of TLE Teachers’ Instructional Module Writing Ability</w:t>
      </w:r>
      <w:r w:rsidRPr="004C22BB">
        <w:rPr>
          <w:rFonts w:ascii="Arial" w:eastAsia="Times New Roman" w:hAnsi="Arial" w:cs="Arial"/>
          <w:color w:val="000000"/>
          <w:sz w:val="20"/>
          <w:szCs w:val="20"/>
          <w:lang w:val="en-US" w:eastAsia="en-PH"/>
        </w:rPr>
        <w:t xml:space="preserve"> </w:t>
      </w:r>
      <w:r w:rsidRPr="004C22BB">
        <w:rPr>
          <w:rFonts w:ascii="Arial" w:eastAsia="Times New Roman" w:hAnsi="Arial" w:cs="Arial"/>
          <w:i/>
          <w:color w:val="000000"/>
          <w:sz w:val="20"/>
          <w:szCs w:val="20"/>
          <w:lang w:val="en-US" w:eastAsia="en-PH"/>
        </w:rPr>
        <w:t>in the New Normal</w:t>
      </w:r>
    </w:p>
    <w:p w14:paraId="5CA18653"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3BAAF751" w14:textId="53629D5A" w:rsidR="00FA5D4B" w:rsidRPr="004C22BB" w:rsidRDefault="00FA5D4B" w:rsidP="009557B4">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 xml:space="preserve">Shown in Table </w:t>
      </w:r>
      <w:r w:rsidR="00FA3973">
        <w:rPr>
          <w:rFonts w:ascii="Arial" w:eastAsia="Times New Roman" w:hAnsi="Arial" w:cs="Arial"/>
          <w:color w:val="000000"/>
          <w:sz w:val="20"/>
          <w:szCs w:val="20"/>
          <w:lang w:val="en-US"/>
        </w:rPr>
        <w:t>5</w:t>
      </w:r>
      <w:r w:rsidRPr="004C22BB">
        <w:rPr>
          <w:rFonts w:ascii="Arial" w:eastAsia="Times New Roman" w:hAnsi="Arial" w:cs="Arial"/>
          <w:color w:val="000000"/>
          <w:sz w:val="20"/>
          <w:szCs w:val="20"/>
          <w:lang w:val="en-US"/>
        </w:rPr>
        <w:t xml:space="preserve"> the results of the second objective of this study, to determine the </w:t>
      </w:r>
      <w:r w:rsidRPr="004C22BB">
        <w:rPr>
          <w:rFonts w:ascii="Arial" w:eastAsia="Times New Roman" w:hAnsi="Arial" w:cs="Arial"/>
          <w:color w:val="000000"/>
          <w:sz w:val="20"/>
          <w:szCs w:val="20"/>
          <w:lang w:val="en-US" w:eastAsia="en-PH"/>
        </w:rPr>
        <w:t>extent of TLE teachers’ instructional module writing ability in the new normal in terms of content and style.</w:t>
      </w:r>
      <w:r w:rsidRPr="004C22BB">
        <w:rPr>
          <w:rFonts w:ascii="Arial" w:eastAsia="Times New Roman" w:hAnsi="Arial" w:cs="Arial"/>
          <w:color w:val="000000"/>
          <w:sz w:val="20"/>
          <w:szCs w:val="20"/>
          <w:lang w:val="en-US"/>
        </w:rPr>
        <w:t xml:space="preserve"> It is said that the said writing ability will provide m</w:t>
      </w:r>
      <w:r w:rsidRPr="004C22BB">
        <w:rPr>
          <w:rFonts w:ascii="Arial" w:eastAsia="Times New Roman" w:hAnsi="Arial" w:cs="Arial"/>
          <w:color w:val="000000"/>
          <w:sz w:val="20"/>
          <w:szCs w:val="20"/>
          <w:shd w:val="clear" w:color="auto" w:fill="FFFFFF"/>
          <w:lang w:val="en-US"/>
        </w:rPr>
        <w:t>aterials that will produce learning experiences and in a manner that results in the acquisition and</w:t>
      </w:r>
      <w:r w:rsidRPr="004C22BB">
        <w:rPr>
          <w:rFonts w:ascii="Arial" w:eastAsia="Times New Roman" w:hAnsi="Arial" w:cs="Arial"/>
          <w:i/>
          <w:iCs/>
          <w:color w:val="000000"/>
          <w:sz w:val="20"/>
          <w:szCs w:val="20"/>
          <w:shd w:val="clear" w:color="auto" w:fill="FFFFFF"/>
          <w:lang w:val="en-US"/>
        </w:rPr>
        <w:t xml:space="preserve"> </w:t>
      </w:r>
      <w:r w:rsidRPr="004C22BB">
        <w:rPr>
          <w:rFonts w:ascii="Arial" w:eastAsia="Times New Roman" w:hAnsi="Arial" w:cs="Arial"/>
          <w:color w:val="000000"/>
          <w:sz w:val="20"/>
          <w:szCs w:val="20"/>
          <w:shd w:val="clear" w:color="auto" w:fill="FFFFFF"/>
          <w:lang w:val="en-US"/>
        </w:rPr>
        <w:t>application of knowledge and skills (Kyei-Blankson, 2015).</w:t>
      </w:r>
    </w:p>
    <w:p w14:paraId="28DEBE1C"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shd w:val="clear" w:color="auto" w:fill="FFFFFF"/>
          <w:lang w:val="en-US"/>
        </w:rPr>
        <w:t>Based on the analysis, t</w:t>
      </w:r>
      <w:r w:rsidRPr="004C22BB">
        <w:rPr>
          <w:rFonts w:ascii="Arial" w:eastAsia="Times New Roman" w:hAnsi="Arial" w:cs="Arial"/>
          <w:color w:val="000000"/>
          <w:sz w:val="20"/>
          <w:szCs w:val="20"/>
          <w:lang w:val="en-US"/>
        </w:rPr>
        <w:t xml:space="preserve">he results of the extent of the TLE teachers’ </w:t>
      </w:r>
      <w:r w:rsidRPr="004C22BB">
        <w:rPr>
          <w:rFonts w:ascii="Arial" w:eastAsia="Times New Roman" w:hAnsi="Arial" w:cs="Arial"/>
          <w:color w:val="000000"/>
          <w:sz w:val="20"/>
          <w:szCs w:val="20"/>
          <w:lang w:val="en-US" w:eastAsia="en-PH"/>
        </w:rPr>
        <w:t>instructional module writing ability in the new normal in terms of content and style</w:t>
      </w:r>
      <w:r w:rsidRPr="004C22BB">
        <w:rPr>
          <w:rFonts w:ascii="Arial" w:eastAsia="Times New Roman" w:hAnsi="Arial" w:cs="Arial"/>
          <w:color w:val="000000"/>
          <w:sz w:val="20"/>
          <w:szCs w:val="20"/>
          <w:lang w:val="en-US"/>
        </w:rPr>
        <w:t xml:space="preserve"> garnered an overall mean level of 3.93 with a high descriptive level equivalent. This indicates that the </w:t>
      </w:r>
      <w:r w:rsidRPr="004C22BB">
        <w:rPr>
          <w:rFonts w:ascii="Arial" w:eastAsia="Arial" w:hAnsi="Arial" w:cs="Arial"/>
          <w:color w:val="000000"/>
          <w:sz w:val="20"/>
          <w:szCs w:val="20"/>
          <w:lang w:val="en-US"/>
        </w:rPr>
        <w:t xml:space="preserve">TLE teachers manifest a strong </w:t>
      </w:r>
      <w:r w:rsidRPr="004C22BB">
        <w:rPr>
          <w:rFonts w:ascii="Arial" w:eastAsia="Times New Roman" w:hAnsi="Arial" w:cs="Arial"/>
          <w:color w:val="000000"/>
          <w:sz w:val="20"/>
          <w:szCs w:val="20"/>
          <w:lang w:val="en-US" w:eastAsia="en-PH"/>
        </w:rPr>
        <w:t xml:space="preserve">instructional module writing ability </w:t>
      </w:r>
      <w:r w:rsidRPr="004C22BB">
        <w:rPr>
          <w:rFonts w:ascii="Arial" w:eastAsia="Times New Roman" w:hAnsi="Arial" w:cs="Arial"/>
          <w:color w:val="000000"/>
          <w:sz w:val="20"/>
          <w:szCs w:val="20"/>
          <w:lang w:val="en-US"/>
        </w:rPr>
        <w:t xml:space="preserve">in the new normal. This further means that TLE teachers were still proficient in writing instructional materials such as instructional module even though several issues about the quality of education were raised due the effect of the COVID-19 pandemic. These instructional modules develop were relative and in support to the </w:t>
      </w:r>
      <w:r w:rsidRPr="004C22BB">
        <w:rPr>
          <w:rFonts w:ascii="Arial" w:eastAsia="Times New Roman" w:hAnsi="Arial" w:cs="Arial"/>
          <w:color w:val="000000"/>
          <w:sz w:val="20"/>
          <w:szCs w:val="20"/>
          <w:shd w:val="clear" w:color="auto" w:fill="FFFFFF"/>
          <w:lang w:val="en-US"/>
        </w:rPr>
        <w:t>K to 12 curricula wherein the TLE integrate the mastery of knowledge and information, entrepreneurial concepts, work values, and skills for lifelong learning. DepEd adheres to the standards and principles of the K to 12 Basic Education Program (BEP) that empowers and allows schools, divisions, and regions to localize, indigenize and enhance the same based on their various instructional materials and social contexts (Hernandez, 2021).</w:t>
      </w:r>
    </w:p>
    <w:p w14:paraId="0430104B"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shd w:val="clear" w:color="auto" w:fill="FFFFFF"/>
          <w:lang w:val="en-US"/>
        </w:rPr>
      </w:pPr>
    </w:p>
    <w:p w14:paraId="42EDB1BC" w14:textId="48733DEC" w:rsidR="00FA5D4B" w:rsidRPr="004C22BB" w:rsidRDefault="00FA5D4B" w:rsidP="009557B4">
      <w:pPr>
        <w:widowControl w:val="0"/>
        <w:spacing w:after="0" w:line="240" w:lineRule="auto"/>
        <w:jc w:val="both"/>
        <w:rPr>
          <w:rFonts w:ascii="Arial" w:eastAsia="Times New Roman" w:hAnsi="Arial" w:cs="Arial"/>
          <w:b/>
          <w:color w:val="FF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5</w:t>
      </w:r>
      <w:r w:rsidRPr="004C22BB">
        <w:rPr>
          <w:rFonts w:ascii="Arial" w:eastAsia="Times New Roman" w:hAnsi="Arial" w:cs="Arial"/>
          <w:b/>
          <w:color w:val="000000"/>
          <w:sz w:val="20"/>
          <w:szCs w:val="20"/>
          <w:lang w:val="en-US"/>
        </w:rPr>
        <w:t xml:space="preserve">. </w:t>
      </w:r>
      <w:r w:rsidRPr="004C22BB">
        <w:rPr>
          <w:rFonts w:ascii="Arial" w:eastAsia="Times New Roman" w:hAnsi="Arial" w:cs="Arial"/>
          <w:b/>
          <w:color w:val="000000"/>
          <w:sz w:val="20"/>
          <w:szCs w:val="20"/>
          <w:lang w:val="en-US" w:eastAsia="en-PH"/>
        </w:rPr>
        <w:t>Extent of TLE Teachers’ Instructional Module Writing Ability in the New Normal</w:t>
      </w:r>
    </w:p>
    <w:p w14:paraId="33C864BF"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bl>
      <w:tblPr>
        <w:tblStyle w:val="TableGrid53"/>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2250"/>
        <w:gridCol w:w="2976"/>
      </w:tblGrid>
      <w:tr w:rsidR="00FA5D4B" w:rsidRPr="004C22BB" w14:paraId="53D8F6FC" w14:textId="77777777" w:rsidTr="00D654D6">
        <w:trPr>
          <w:trHeight w:val="791"/>
          <w:jc w:val="center"/>
        </w:trPr>
        <w:tc>
          <w:tcPr>
            <w:tcW w:w="2790" w:type="dxa"/>
            <w:tcBorders>
              <w:top w:val="single" w:sz="4" w:space="0" w:color="auto"/>
              <w:left w:val="nil"/>
              <w:bottom w:val="single" w:sz="4" w:space="0" w:color="auto"/>
              <w:right w:val="nil"/>
            </w:tcBorders>
            <w:vAlign w:val="center"/>
          </w:tcPr>
          <w:p w14:paraId="29CDB8FF"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Indicators</w:t>
            </w:r>
          </w:p>
        </w:tc>
        <w:tc>
          <w:tcPr>
            <w:tcW w:w="2250" w:type="dxa"/>
            <w:tcBorders>
              <w:top w:val="single" w:sz="4" w:space="0" w:color="auto"/>
              <w:left w:val="nil"/>
              <w:bottom w:val="single" w:sz="4" w:space="0" w:color="auto"/>
              <w:right w:val="nil"/>
            </w:tcBorders>
            <w:vAlign w:val="center"/>
          </w:tcPr>
          <w:p w14:paraId="543EDEA9"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2976" w:type="dxa"/>
            <w:tcBorders>
              <w:top w:val="single" w:sz="4" w:space="0" w:color="auto"/>
              <w:left w:val="nil"/>
              <w:bottom w:val="single" w:sz="4" w:space="0" w:color="auto"/>
              <w:right w:val="nil"/>
            </w:tcBorders>
            <w:vAlign w:val="center"/>
          </w:tcPr>
          <w:p w14:paraId="0AF0D2F0"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069E87EE" w14:textId="77777777" w:rsidTr="00D654D6">
        <w:trPr>
          <w:trHeight w:val="512"/>
          <w:jc w:val="center"/>
        </w:trPr>
        <w:tc>
          <w:tcPr>
            <w:tcW w:w="2790" w:type="dxa"/>
            <w:tcBorders>
              <w:top w:val="single" w:sz="4" w:space="0" w:color="auto"/>
              <w:left w:val="nil"/>
              <w:bottom w:val="nil"/>
              <w:right w:val="nil"/>
            </w:tcBorders>
            <w:vAlign w:val="center"/>
          </w:tcPr>
          <w:p w14:paraId="45880B6C"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Content</w:t>
            </w:r>
          </w:p>
        </w:tc>
        <w:tc>
          <w:tcPr>
            <w:tcW w:w="2250" w:type="dxa"/>
            <w:tcBorders>
              <w:top w:val="single" w:sz="4" w:space="0" w:color="auto"/>
              <w:left w:val="nil"/>
              <w:bottom w:val="nil"/>
              <w:right w:val="nil"/>
            </w:tcBorders>
            <w:vAlign w:val="center"/>
          </w:tcPr>
          <w:p w14:paraId="0F2AFAF7"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3.94</w:t>
            </w:r>
          </w:p>
        </w:tc>
        <w:tc>
          <w:tcPr>
            <w:tcW w:w="2976" w:type="dxa"/>
            <w:tcBorders>
              <w:top w:val="single" w:sz="4" w:space="0" w:color="auto"/>
              <w:left w:val="nil"/>
              <w:bottom w:val="nil"/>
              <w:right w:val="nil"/>
            </w:tcBorders>
            <w:vAlign w:val="center"/>
          </w:tcPr>
          <w:p w14:paraId="7EEA893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6DE877A" w14:textId="77777777" w:rsidTr="00D654D6">
        <w:trPr>
          <w:trHeight w:val="440"/>
          <w:jc w:val="center"/>
        </w:trPr>
        <w:tc>
          <w:tcPr>
            <w:tcW w:w="2790" w:type="dxa"/>
            <w:tcBorders>
              <w:top w:val="nil"/>
              <w:left w:val="nil"/>
              <w:bottom w:val="nil"/>
              <w:right w:val="nil"/>
            </w:tcBorders>
            <w:vAlign w:val="center"/>
          </w:tcPr>
          <w:p w14:paraId="0AD168A4"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Style</w:t>
            </w:r>
          </w:p>
        </w:tc>
        <w:tc>
          <w:tcPr>
            <w:tcW w:w="2250" w:type="dxa"/>
            <w:tcBorders>
              <w:top w:val="nil"/>
              <w:left w:val="nil"/>
              <w:bottom w:val="nil"/>
              <w:right w:val="nil"/>
            </w:tcBorders>
            <w:vAlign w:val="center"/>
          </w:tcPr>
          <w:p w14:paraId="1EA8116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3.87</w:t>
            </w:r>
          </w:p>
        </w:tc>
        <w:tc>
          <w:tcPr>
            <w:tcW w:w="2976" w:type="dxa"/>
            <w:tcBorders>
              <w:top w:val="nil"/>
              <w:left w:val="nil"/>
              <w:bottom w:val="nil"/>
              <w:right w:val="nil"/>
            </w:tcBorders>
            <w:vAlign w:val="center"/>
          </w:tcPr>
          <w:p w14:paraId="30AF79C0"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18412567" w14:textId="77777777" w:rsidTr="00D654D6">
        <w:trPr>
          <w:trHeight w:val="629"/>
          <w:jc w:val="center"/>
        </w:trPr>
        <w:tc>
          <w:tcPr>
            <w:tcW w:w="2790" w:type="dxa"/>
            <w:tcBorders>
              <w:top w:val="nil"/>
              <w:left w:val="nil"/>
              <w:bottom w:val="single" w:sz="4" w:space="0" w:color="auto"/>
              <w:right w:val="nil"/>
            </w:tcBorders>
            <w:vAlign w:val="center"/>
          </w:tcPr>
          <w:p w14:paraId="32002D29"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 xml:space="preserve">  Overall </w:t>
            </w:r>
          </w:p>
        </w:tc>
        <w:tc>
          <w:tcPr>
            <w:tcW w:w="2250" w:type="dxa"/>
            <w:tcBorders>
              <w:top w:val="nil"/>
              <w:left w:val="nil"/>
              <w:bottom w:val="single" w:sz="4" w:space="0" w:color="auto"/>
              <w:right w:val="nil"/>
            </w:tcBorders>
            <w:vAlign w:val="center"/>
          </w:tcPr>
          <w:p w14:paraId="4BD14F9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3.93</w:t>
            </w:r>
          </w:p>
        </w:tc>
        <w:tc>
          <w:tcPr>
            <w:tcW w:w="2976" w:type="dxa"/>
            <w:tcBorders>
              <w:top w:val="nil"/>
              <w:left w:val="nil"/>
              <w:bottom w:val="single" w:sz="4" w:space="0" w:color="auto"/>
              <w:right w:val="nil"/>
            </w:tcBorders>
            <w:vAlign w:val="center"/>
          </w:tcPr>
          <w:p w14:paraId="37E64711"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High</w:t>
            </w:r>
          </w:p>
        </w:tc>
      </w:tr>
    </w:tbl>
    <w:p w14:paraId="1644AC2C" w14:textId="77777777" w:rsidR="00FA5D4B" w:rsidRPr="004C22BB" w:rsidRDefault="00FA5D4B" w:rsidP="009557B4">
      <w:pPr>
        <w:widowControl w:val="0"/>
        <w:spacing w:after="0" w:line="240" w:lineRule="auto"/>
        <w:jc w:val="both"/>
        <w:rPr>
          <w:rFonts w:ascii="Arial" w:eastAsia="Times New Roman" w:hAnsi="Arial" w:cs="Arial"/>
          <w:color w:val="000000"/>
          <w:sz w:val="20"/>
          <w:szCs w:val="20"/>
          <w:shd w:val="clear" w:color="auto" w:fill="FFFFFF"/>
          <w:lang w:val="en-US"/>
        </w:rPr>
      </w:pPr>
    </w:p>
    <w:p w14:paraId="638DDFF6"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shd w:val="clear" w:color="auto" w:fill="FFFFFF"/>
          <w:lang w:val="en-US"/>
        </w:rPr>
        <w:t xml:space="preserve">In addition, quality of instructional modules was always given emphasis by TLE teachers which </w:t>
      </w:r>
      <w:r w:rsidRPr="004C22BB">
        <w:rPr>
          <w:rFonts w:ascii="Arial" w:eastAsia="Times New Roman" w:hAnsi="Arial" w:cs="Arial"/>
          <w:color w:val="000000"/>
          <w:sz w:val="20"/>
          <w:szCs w:val="20"/>
          <w:shd w:val="clear" w:color="auto" w:fill="FFFFFF"/>
          <w:lang w:val="en-US"/>
        </w:rPr>
        <w:lastRenderedPageBreak/>
        <w:t>includes content such as lessons, exercises and activities, evaluations, and style such as formal, informal, or conversational (</w:t>
      </w:r>
      <w:proofErr w:type="spellStart"/>
      <w:r w:rsidRPr="004C22BB">
        <w:rPr>
          <w:rFonts w:ascii="Arial" w:eastAsia="Times New Roman" w:hAnsi="Arial" w:cs="Arial"/>
          <w:color w:val="000000"/>
          <w:sz w:val="20"/>
          <w:szCs w:val="20"/>
          <w:shd w:val="clear" w:color="auto" w:fill="FFFFFF"/>
          <w:lang w:val="en-US"/>
        </w:rPr>
        <w:t>Albarico</w:t>
      </w:r>
      <w:proofErr w:type="spellEnd"/>
      <w:r w:rsidRPr="004C22BB">
        <w:rPr>
          <w:rFonts w:ascii="Arial" w:eastAsia="Times New Roman" w:hAnsi="Arial" w:cs="Arial"/>
          <w:color w:val="000000"/>
          <w:sz w:val="20"/>
          <w:szCs w:val="20"/>
          <w:shd w:val="clear" w:color="auto" w:fill="FFFFFF"/>
          <w:lang w:val="en-US"/>
        </w:rPr>
        <w:t xml:space="preserve"> et al., 2014). This is in support to Koszalka et al (2013) which notes that an instructional writer applies systematic methodology to design and develop content, experiences, and other solutions to support the acquisition of new knowledge or skills.</w:t>
      </w:r>
    </w:p>
    <w:p w14:paraId="54D5C140" w14:textId="77777777" w:rsidR="00FA5D4B" w:rsidRPr="004C22BB" w:rsidRDefault="00FA5D4B" w:rsidP="009557B4">
      <w:pPr>
        <w:widowControl w:val="0"/>
        <w:spacing w:after="0" w:line="240" w:lineRule="auto"/>
        <w:ind w:firstLine="720"/>
        <w:jc w:val="both"/>
        <w:rPr>
          <w:rFonts w:ascii="Arial" w:eastAsia="Times New Roman" w:hAnsi="Arial" w:cs="Arial"/>
          <w:color w:val="FF0000"/>
          <w:sz w:val="20"/>
          <w:szCs w:val="20"/>
          <w:lang w:val="en-US"/>
        </w:rPr>
      </w:pPr>
    </w:p>
    <w:p w14:paraId="276388C5" w14:textId="77777777" w:rsidR="00FA5D4B" w:rsidRPr="004C22BB" w:rsidRDefault="00FA5D4B" w:rsidP="009557B4">
      <w:pPr>
        <w:widowControl w:val="0"/>
        <w:spacing w:after="0" w:line="240" w:lineRule="auto"/>
        <w:jc w:val="center"/>
        <w:rPr>
          <w:rFonts w:ascii="Arial" w:eastAsia="Times New Roman" w:hAnsi="Arial" w:cs="Arial"/>
          <w:i/>
          <w:color w:val="000000"/>
          <w:sz w:val="20"/>
          <w:szCs w:val="20"/>
          <w:lang w:val="en-US"/>
        </w:rPr>
      </w:pPr>
      <w:r w:rsidRPr="004C22BB">
        <w:rPr>
          <w:rFonts w:ascii="Arial" w:eastAsia="Times New Roman" w:hAnsi="Arial" w:cs="Arial"/>
          <w:i/>
          <w:color w:val="000000"/>
          <w:sz w:val="20"/>
          <w:szCs w:val="20"/>
          <w:lang w:val="en-US"/>
        </w:rPr>
        <w:t xml:space="preserve">Significant Relationship between </w:t>
      </w:r>
      <w:r w:rsidRPr="004C22BB">
        <w:rPr>
          <w:rFonts w:ascii="Arial" w:eastAsia="Times New Roman" w:hAnsi="Arial" w:cs="Arial"/>
          <w:i/>
          <w:color w:val="000000"/>
          <w:sz w:val="20"/>
          <w:szCs w:val="20"/>
          <w:lang w:val="en-US" w:eastAsia="en-PH"/>
        </w:rPr>
        <w:t>Technology Proficiency and Instructional Module Writing Ability of TLE Teachers in the New Normal</w:t>
      </w:r>
    </w:p>
    <w:p w14:paraId="3082C336" w14:textId="77777777" w:rsidR="00FA5D4B" w:rsidRPr="004C22BB" w:rsidRDefault="00FA5D4B" w:rsidP="009557B4">
      <w:pPr>
        <w:widowControl w:val="0"/>
        <w:spacing w:after="0" w:line="240" w:lineRule="auto"/>
        <w:jc w:val="both"/>
        <w:rPr>
          <w:rFonts w:ascii="Arial" w:eastAsia="Times New Roman" w:hAnsi="Arial" w:cs="Arial"/>
          <w:i/>
          <w:color w:val="FF0000"/>
          <w:sz w:val="20"/>
          <w:szCs w:val="20"/>
          <w:lang w:val="en-US"/>
        </w:rPr>
      </w:pPr>
    </w:p>
    <w:p w14:paraId="2387B9B3" w14:textId="1B3E1122" w:rsidR="00FA5D4B" w:rsidRPr="004C22BB" w:rsidRDefault="00FA5D4B" w:rsidP="009557B4">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Shown in Table </w:t>
      </w:r>
      <w:r w:rsidR="00FA3973">
        <w:rPr>
          <w:rFonts w:ascii="Arial" w:eastAsia="Times New Roman" w:hAnsi="Arial" w:cs="Arial"/>
          <w:color w:val="000000"/>
          <w:sz w:val="20"/>
          <w:szCs w:val="20"/>
          <w:lang w:val="en-US"/>
        </w:rPr>
        <w:t>6</w:t>
      </w:r>
      <w:r w:rsidRPr="004C22BB">
        <w:rPr>
          <w:rFonts w:ascii="Arial" w:eastAsia="Times New Roman" w:hAnsi="Arial" w:cs="Arial"/>
          <w:color w:val="000000"/>
          <w:sz w:val="20"/>
          <w:szCs w:val="20"/>
          <w:lang w:val="en-US"/>
        </w:rPr>
        <w:t xml:space="preserve"> the significant relationship between the technology proficiency and instructional module writing ability of TLE teachers in the New Normal. It comprises the results of Pearson R, the decision on null hypothesis, probability value and its interpretation.</w:t>
      </w:r>
    </w:p>
    <w:p w14:paraId="28EBBBA8" w14:textId="79DFB0C1" w:rsidR="00FA5D4B" w:rsidRPr="004C22BB" w:rsidRDefault="00FA5D4B" w:rsidP="00C066BE">
      <w:pPr>
        <w:widowControl w:val="0"/>
        <w:spacing w:after="0" w:line="240" w:lineRule="auto"/>
        <w:jc w:val="both"/>
        <w:rPr>
          <w:rFonts w:ascii="Arial" w:eastAsia="Times New Roman" w:hAnsi="Arial" w:cs="Arial"/>
          <w:color w:val="000000"/>
          <w:sz w:val="20"/>
          <w:szCs w:val="20"/>
          <w:shd w:val="clear" w:color="auto" w:fill="FFFFFF"/>
          <w:lang w:val="en-US"/>
        </w:rPr>
      </w:pPr>
      <w:bookmarkStart w:id="2" w:name="_Hlk103375664"/>
      <w:r w:rsidRPr="004C22BB">
        <w:rPr>
          <w:rFonts w:ascii="Arial" w:eastAsia="Arial" w:hAnsi="Arial" w:cs="Arial"/>
          <w:color w:val="000000"/>
          <w:sz w:val="20"/>
          <w:szCs w:val="20"/>
          <w:lang w:val="en-US"/>
        </w:rPr>
        <w:t xml:space="preserve">Based on the analysis as presented in table </w:t>
      </w:r>
      <w:r w:rsidR="00FA3973">
        <w:rPr>
          <w:rFonts w:ascii="Arial" w:eastAsia="Arial" w:hAnsi="Arial" w:cs="Arial"/>
          <w:color w:val="000000"/>
          <w:sz w:val="20"/>
          <w:szCs w:val="20"/>
          <w:lang w:val="en-US"/>
        </w:rPr>
        <w:t>6</w:t>
      </w:r>
      <w:r w:rsidRPr="004C22BB">
        <w:rPr>
          <w:rFonts w:ascii="Arial" w:eastAsia="Arial" w:hAnsi="Arial" w:cs="Arial"/>
          <w:color w:val="000000"/>
          <w:sz w:val="20"/>
          <w:szCs w:val="20"/>
          <w:lang w:val="en-US"/>
        </w:rPr>
        <w:t xml:space="preserve">, the overall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is equal to 0.000 with an </w:t>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equal to 0.845. </w:t>
      </w:r>
      <w:r w:rsidRPr="004C22BB">
        <w:rPr>
          <w:rFonts w:ascii="Arial" w:eastAsia="Arial" w:hAnsi="Arial" w:cs="Arial"/>
          <w:color w:val="000000"/>
          <w:sz w:val="20"/>
          <w:szCs w:val="20"/>
          <w:lang w:val="en-US"/>
        </w:rPr>
        <w:t xml:space="preserve">This means that </w:t>
      </w:r>
      <w:r w:rsidRPr="004C22BB">
        <w:rPr>
          <w:rFonts w:ascii="Arial" w:eastAsia="Times New Roman" w:hAnsi="Arial" w:cs="Arial"/>
          <w:color w:val="000000"/>
          <w:sz w:val="20"/>
          <w:szCs w:val="20"/>
          <w:lang w:val="en-US"/>
        </w:rPr>
        <w:t>there is a strong significant positive correlation between the technology proficiency and instructional module writing ability of TLE teachers in the new normal learning environment</w:t>
      </w:r>
      <w:r w:rsidRPr="004C22BB">
        <w:rPr>
          <w:rFonts w:ascii="Arial" w:eastAsia="Arial" w:hAnsi="Arial" w:cs="Arial"/>
          <w:color w:val="000000"/>
          <w:sz w:val="20"/>
          <w:szCs w:val="20"/>
          <w:lang w:val="en-US"/>
        </w:rPr>
        <w:t>.</w:t>
      </w:r>
      <w:r w:rsidRPr="004C22BB">
        <w:rPr>
          <w:rFonts w:ascii="Arial" w:eastAsia="Times New Roman" w:hAnsi="Arial" w:cs="Arial"/>
          <w:color w:val="000000"/>
          <w:sz w:val="20"/>
          <w:szCs w:val="20"/>
          <w:lang w:val="en-US"/>
        </w:rPr>
        <w:t xml:space="preserve"> Hence, this study rejects its set null hypothesis.</w:t>
      </w:r>
      <w:r w:rsidRPr="004C22BB">
        <w:rPr>
          <w:rFonts w:ascii="Arial" w:eastAsia="Arial" w:hAnsi="Arial" w:cs="Arial"/>
          <w:color w:val="000000"/>
          <w:sz w:val="20"/>
          <w:szCs w:val="20"/>
          <w:lang w:val="en-US"/>
        </w:rPr>
        <w:t xml:space="preserve"> Further, the analysis </w:t>
      </w:r>
      <w:r w:rsidRPr="004C22BB">
        <w:rPr>
          <w:rFonts w:ascii="Arial" w:eastAsia="Times New Roman" w:hAnsi="Arial" w:cs="Arial"/>
          <w:color w:val="000000"/>
          <w:sz w:val="20"/>
          <w:szCs w:val="20"/>
          <w:lang w:val="en-US"/>
        </w:rPr>
        <w:t xml:space="preserve">shows that an increasing manifestations of teachers’ technology proficiency </w:t>
      </w:r>
      <w:r w:rsidRPr="004C22BB">
        <w:rPr>
          <w:rFonts w:ascii="Arial" w:eastAsia="Arial" w:hAnsi="Arial" w:cs="Arial"/>
          <w:color w:val="000000"/>
          <w:sz w:val="20"/>
          <w:szCs w:val="20"/>
          <w:lang w:val="en-US"/>
        </w:rPr>
        <w:t xml:space="preserve">leads to an increased </w:t>
      </w:r>
      <w:r w:rsidRPr="004C22BB">
        <w:rPr>
          <w:rFonts w:ascii="Arial" w:eastAsia="Times New Roman" w:hAnsi="Arial" w:cs="Arial"/>
          <w:color w:val="000000"/>
          <w:sz w:val="20"/>
          <w:szCs w:val="20"/>
          <w:lang w:val="en-US"/>
        </w:rPr>
        <w:t>instructional module writing ability of TLE teachers in the new normal learning environment</w:t>
      </w:r>
      <w:r w:rsidRPr="004C22BB">
        <w:rPr>
          <w:rFonts w:ascii="Arial" w:eastAsia="Arial" w:hAnsi="Arial" w:cs="Arial"/>
          <w:color w:val="000000"/>
          <w:sz w:val="20"/>
          <w:szCs w:val="20"/>
          <w:lang w:val="en-US"/>
        </w:rPr>
        <w:t>.</w:t>
      </w:r>
      <w:r w:rsidRPr="004C22BB">
        <w:rPr>
          <w:rFonts w:ascii="Arial" w:eastAsia="Times New Roman" w:hAnsi="Arial" w:cs="Arial"/>
          <w:color w:val="000000"/>
          <w:sz w:val="20"/>
          <w:szCs w:val="20"/>
          <w:shd w:val="clear" w:color="auto" w:fill="FFFFFF"/>
          <w:lang w:val="en-US"/>
        </w:rPr>
        <w:tab/>
      </w:r>
    </w:p>
    <w:p w14:paraId="768AD546" w14:textId="77777777" w:rsidR="00FA5D4B" w:rsidRPr="004C22BB" w:rsidRDefault="00FA5D4B" w:rsidP="00C066BE">
      <w:pPr>
        <w:autoSpaceDE w:val="0"/>
        <w:autoSpaceDN w:val="0"/>
        <w:adjustRightInd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Specifically, the analysis highlighted the relationship of between each indicator of TLE teachers’ technology proficiency and instructional module writing ability. As presented in the table, the</w:t>
      </w:r>
      <w:r w:rsidRPr="004C22BB">
        <w:rPr>
          <w:rFonts w:ascii="Arial" w:eastAsia="Calibri" w:hAnsi="Arial" w:cs="Arial"/>
          <w:color w:val="000000"/>
          <w:sz w:val="20"/>
          <w:szCs w:val="20"/>
          <w:lang w:val="en-US"/>
        </w:rPr>
        <w:t xml:space="preserve"> </w:t>
      </w:r>
      <w:r w:rsidRPr="004C22BB">
        <w:rPr>
          <w:rFonts w:ascii="Arial" w:eastAsia="Times New Roman" w:hAnsi="Arial" w:cs="Arial"/>
          <w:color w:val="000000"/>
          <w:sz w:val="20"/>
          <w:szCs w:val="20"/>
          <w:lang w:val="en-US"/>
        </w:rPr>
        <w:t>Knowledge Acquisition</w:t>
      </w:r>
      <w:r w:rsidRPr="004C22BB">
        <w:rPr>
          <w:rFonts w:ascii="Arial" w:eastAsia="Calibri" w:hAnsi="Arial" w:cs="Arial"/>
          <w:color w:val="000000"/>
          <w:sz w:val="20"/>
          <w:szCs w:val="20"/>
          <w:lang w:val="en-US"/>
        </w:rPr>
        <w:t xml:space="preserve"> indicator ranked as the top indicator of TLE </w:t>
      </w:r>
      <w:r w:rsidRPr="004C22BB">
        <w:rPr>
          <w:rFonts w:ascii="Arial" w:eastAsia="Times New Roman" w:hAnsi="Arial" w:cs="Arial"/>
          <w:color w:val="000000"/>
          <w:sz w:val="20"/>
          <w:szCs w:val="20"/>
          <w:lang w:val="en-US"/>
        </w:rPr>
        <w:t xml:space="preserve">teachers’ technology proficiency garnering a significant strong positive correlation with work commitment obtaining </w:t>
      </w:r>
      <w:r w:rsidRPr="004C22BB">
        <w:rPr>
          <w:rFonts w:ascii="Arial" w:eastAsia="Calibri" w:hAnsi="Arial" w:cs="Arial"/>
          <w:color w:val="000000"/>
          <w:sz w:val="20"/>
          <w:szCs w:val="20"/>
          <w:lang w:val="en-US"/>
        </w:rPr>
        <w:t xml:space="preserve">a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of 0.000 and </w:t>
      </w:r>
      <w:r w:rsidRPr="004C22BB">
        <w:rPr>
          <w:rFonts w:ascii="Arial" w:eastAsia="Times New Roman" w:hAnsi="Arial" w:cs="Arial"/>
          <w:color w:val="000000"/>
          <w:sz w:val="20"/>
          <w:szCs w:val="20"/>
          <w:lang w:val="en-US"/>
        </w:rPr>
        <w:softHyphen/>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of 0.807. This was followed by the Knowledge Deepening</w:t>
      </w:r>
      <w:r w:rsidRPr="004C22BB">
        <w:rPr>
          <w:rFonts w:ascii="Arial" w:eastAsia="Calibri" w:hAnsi="Arial" w:cs="Arial"/>
          <w:color w:val="000000"/>
          <w:sz w:val="20"/>
          <w:szCs w:val="20"/>
          <w:lang w:val="en-US"/>
        </w:rPr>
        <w:t xml:space="preserve"> indicator still </w:t>
      </w:r>
      <w:r w:rsidRPr="004C22BB">
        <w:rPr>
          <w:rFonts w:ascii="Arial" w:eastAsia="Times New Roman" w:hAnsi="Arial" w:cs="Arial"/>
          <w:color w:val="000000"/>
          <w:sz w:val="20"/>
          <w:szCs w:val="20"/>
          <w:lang w:val="en-US"/>
        </w:rPr>
        <w:t xml:space="preserve">garnering a significant strong positive correlation with work commitment obtaining </w:t>
      </w:r>
      <w:r w:rsidRPr="004C22BB">
        <w:rPr>
          <w:rFonts w:ascii="Arial" w:eastAsia="Calibri" w:hAnsi="Arial" w:cs="Arial"/>
          <w:color w:val="000000"/>
          <w:sz w:val="20"/>
          <w:szCs w:val="20"/>
          <w:lang w:val="en-US"/>
        </w:rPr>
        <w:t xml:space="preserve">a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of 0.000 and </w:t>
      </w:r>
      <w:r w:rsidRPr="004C22BB">
        <w:rPr>
          <w:rFonts w:ascii="Arial" w:eastAsia="Times New Roman" w:hAnsi="Arial" w:cs="Arial"/>
          <w:color w:val="000000"/>
          <w:sz w:val="20"/>
          <w:szCs w:val="20"/>
          <w:lang w:val="en-US"/>
        </w:rPr>
        <w:softHyphen/>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of 0.778. Lastly, the Knowledge Creation</w:t>
      </w:r>
      <w:r w:rsidRPr="004C22BB">
        <w:rPr>
          <w:rFonts w:ascii="Arial" w:eastAsia="Calibri" w:hAnsi="Arial" w:cs="Arial"/>
          <w:color w:val="000000"/>
          <w:sz w:val="20"/>
          <w:szCs w:val="20"/>
          <w:lang w:val="en-US"/>
        </w:rPr>
        <w:t xml:space="preserve"> indicator </w:t>
      </w:r>
      <w:r w:rsidRPr="004C22BB">
        <w:rPr>
          <w:rFonts w:ascii="Arial" w:eastAsia="Times New Roman" w:hAnsi="Arial" w:cs="Arial"/>
          <w:color w:val="000000"/>
          <w:sz w:val="20"/>
          <w:szCs w:val="20"/>
          <w:lang w:val="en-US"/>
        </w:rPr>
        <w:t>garnering a significant moderate positive correlation with work commitment obtaining</w:t>
      </w:r>
      <w:r w:rsidRPr="004C22BB">
        <w:rPr>
          <w:rFonts w:ascii="Arial" w:eastAsia="Calibri" w:hAnsi="Arial" w:cs="Arial"/>
          <w:color w:val="000000"/>
          <w:sz w:val="20"/>
          <w:szCs w:val="20"/>
          <w:lang w:val="en-US"/>
        </w:rPr>
        <w:t xml:space="preserve"> a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of 0.000 and </w:t>
      </w:r>
      <w:r w:rsidRPr="004C22BB">
        <w:rPr>
          <w:rFonts w:ascii="Arial" w:eastAsia="Times New Roman" w:hAnsi="Arial" w:cs="Arial"/>
          <w:color w:val="000000"/>
          <w:sz w:val="20"/>
          <w:szCs w:val="20"/>
          <w:lang w:val="en-US"/>
        </w:rPr>
        <w:softHyphen/>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of 0.607</w:t>
      </w:r>
      <w:r w:rsidRPr="004C22BB">
        <w:rPr>
          <w:rFonts w:ascii="Arial" w:eastAsia="Calibri" w:hAnsi="Arial" w:cs="Arial"/>
          <w:color w:val="000000"/>
          <w:sz w:val="20"/>
          <w:szCs w:val="20"/>
          <w:lang w:val="en-US"/>
        </w:rPr>
        <w:t xml:space="preserve">. </w:t>
      </w:r>
      <w:r w:rsidRPr="004C22BB">
        <w:rPr>
          <w:rFonts w:ascii="Arial" w:eastAsia="Times New Roman" w:hAnsi="Arial" w:cs="Arial"/>
          <w:color w:val="000000"/>
          <w:sz w:val="20"/>
          <w:szCs w:val="20"/>
          <w:lang w:val="en-US"/>
        </w:rPr>
        <w:t xml:space="preserve">Furthermore, all of the indicators of </w:t>
      </w:r>
      <w:r w:rsidRPr="004C22BB">
        <w:rPr>
          <w:rFonts w:ascii="Arial" w:eastAsia="Calibri" w:hAnsi="Arial" w:cs="Arial"/>
          <w:color w:val="000000"/>
          <w:sz w:val="20"/>
          <w:szCs w:val="20"/>
          <w:lang w:val="en-US"/>
        </w:rPr>
        <w:t xml:space="preserve">TLE </w:t>
      </w:r>
      <w:r w:rsidRPr="004C22BB">
        <w:rPr>
          <w:rFonts w:ascii="Arial" w:eastAsia="Times New Roman" w:hAnsi="Arial" w:cs="Arial"/>
          <w:color w:val="000000"/>
          <w:sz w:val="20"/>
          <w:szCs w:val="20"/>
          <w:lang w:val="en-US"/>
        </w:rPr>
        <w:t xml:space="preserve">teachers’ technology proficiency show positive direct relationship </w:t>
      </w:r>
      <w:r w:rsidRPr="004C22BB">
        <w:rPr>
          <w:rFonts w:ascii="Arial" w:eastAsia="Arial" w:hAnsi="Arial" w:cs="Arial"/>
          <w:color w:val="000000"/>
          <w:sz w:val="20"/>
          <w:szCs w:val="20"/>
          <w:lang w:val="en-US"/>
        </w:rPr>
        <w:t xml:space="preserve">to their </w:t>
      </w:r>
      <w:r w:rsidRPr="004C22BB">
        <w:rPr>
          <w:rFonts w:ascii="Arial" w:eastAsia="Times New Roman" w:hAnsi="Arial" w:cs="Arial"/>
          <w:color w:val="000000"/>
          <w:sz w:val="20"/>
          <w:szCs w:val="20"/>
          <w:lang w:val="en-US"/>
        </w:rPr>
        <w:t xml:space="preserve">instructional module writing ability. </w:t>
      </w:r>
      <w:r w:rsidRPr="004C22BB">
        <w:rPr>
          <w:rFonts w:ascii="Arial" w:eastAsia="Arial" w:hAnsi="Arial" w:cs="Arial"/>
          <w:color w:val="000000"/>
          <w:sz w:val="20"/>
          <w:szCs w:val="20"/>
          <w:lang w:val="en-US"/>
        </w:rPr>
        <w:t xml:space="preserve">This means that as the following indicators of </w:t>
      </w:r>
      <w:r w:rsidRPr="004C22BB">
        <w:rPr>
          <w:rFonts w:ascii="Arial" w:eastAsia="Times New Roman" w:hAnsi="Arial" w:cs="Arial"/>
          <w:color w:val="000000"/>
          <w:sz w:val="20"/>
          <w:szCs w:val="20"/>
          <w:lang w:val="en-US"/>
        </w:rPr>
        <w:t>technology proficiency</w:t>
      </w:r>
      <w:r w:rsidRPr="004C22BB">
        <w:rPr>
          <w:rFonts w:ascii="Arial" w:eastAsia="Arial" w:hAnsi="Arial" w:cs="Arial"/>
          <w:color w:val="000000"/>
          <w:sz w:val="20"/>
          <w:szCs w:val="20"/>
          <w:lang w:val="en-US"/>
        </w:rPr>
        <w:t xml:space="preserve"> were increasingly manifesting to the TLE teachers then </w:t>
      </w:r>
      <w:r w:rsidRPr="004C22BB">
        <w:rPr>
          <w:rFonts w:ascii="Arial" w:eastAsia="Times New Roman" w:hAnsi="Arial" w:cs="Arial"/>
          <w:color w:val="000000"/>
          <w:sz w:val="20"/>
          <w:szCs w:val="20"/>
          <w:lang w:val="en-US"/>
        </w:rPr>
        <w:t>their instructional module writing ability will also increase.</w:t>
      </w:r>
    </w:p>
    <w:p w14:paraId="4724D5F1" w14:textId="77777777" w:rsidR="00FA5D4B" w:rsidRPr="004C22BB" w:rsidRDefault="00FA5D4B" w:rsidP="009557B4">
      <w:pPr>
        <w:autoSpaceDE w:val="0"/>
        <w:autoSpaceDN w:val="0"/>
        <w:adjustRightInd w:val="0"/>
        <w:spacing w:after="0" w:line="240" w:lineRule="auto"/>
        <w:ind w:firstLine="720"/>
        <w:jc w:val="both"/>
        <w:rPr>
          <w:rFonts w:ascii="Arial" w:eastAsia="Times New Roman" w:hAnsi="Arial" w:cs="Arial"/>
          <w:color w:val="000000"/>
          <w:sz w:val="20"/>
          <w:szCs w:val="20"/>
          <w:lang w:val="en-US"/>
        </w:rPr>
      </w:pPr>
    </w:p>
    <w:p w14:paraId="6B304D99" w14:textId="563DB492"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6</w:t>
      </w:r>
      <w:r w:rsidRPr="004C22BB">
        <w:rPr>
          <w:rFonts w:ascii="Arial" w:eastAsia="Times New Roman" w:hAnsi="Arial" w:cs="Arial"/>
          <w:b/>
          <w:color w:val="000000"/>
          <w:sz w:val="20"/>
          <w:szCs w:val="20"/>
          <w:lang w:val="en-US"/>
        </w:rPr>
        <w:t xml:space="preserve">. Significant Relationship between </w:t>
      </w:r>
      <w:r w:rsidRPr="004C22BB">
        <w:rPr>
          <w:rFonts w:ascii="Arial" w:eastAsia="Times New Roman" w:hAnsi="Arial" w:cs="Arial"/>
          <w:b/>
          <w:color w:val="000000"/>
          <w:sz w:val="20"/>
          <w:szCs w:val="20"/>
          <w:lang w:val="en-US" w:eastAsia="en-PH"/>
        </w:rPr>
        <w:t>Technology Proficiency and Instructional Module Writing Ability of TLE Teachers in the New Normal</w:t>
      </w:r>
    </w:p>
    <w:p w14:paraId="371DD8A0" w14:textId="77777777" w:rsidR="00FA5D4B" w:rsidRPr="004C22BB" w:rsidRDefault="00FA5D4B" w:rsidP="009557B4">
      <w:pPr>
        <w:widowControl w:val="0"/>
        <w:spacing w:after="0" w:line="240" w:lineRule="auto"/>
        <w:jc w:val="both"/>
        <w:rPr>
          <w:rFonts w:ascii="Arial" w:eastAsia="Times New Roman" w:hAnsi="Arial" w:cs="Arial"/>
          <w:b/>
          <w:color w:val="FF0000"/>
          <w:sz w:val="20"/>
          <w:szCs w:val="20"/>
          <w:lang w:val="en-US"/>
        </w:rPr>
      </w:pPr>
    </w:p>
    <w:tbl>
      <w:tblPr>
        <w:tblStyle w:val="TableGrid1"/>
        <w:tblW w:w="86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80"/>
        <w:gridCol w:w="900"/>
        <w:gridCol w:w="1170"/>
        <w:gridCol w:w="1620"/>
        <w:gridCol w:w="3084"/>
      </w:tblGrid>
      <w:tr w:rsidR="00FA5D4B" w:rsidRPr="004C22BB" w14:paraId="56F062FC" w14:textId="77777777" w:rsidTr="00D654D6">
        <w:trPr>
          <w:trHeight w:val="402"/>
        </w:trPr>
        <w:tc>
          <w:tcPr>
            <w:tcW w:w="1710" w:type="dxa"/>
            <w:tcBorders>
              <w:top w:val="single" w:sz="4" w:space="0" w:color="auto"/>
              <w:bottom w:val="single" w:sz="4" w:space="0" w:color="auto"/>
            </w:tcBorders>
            <w:vAlign w:val="center"/>
          </w:tcPr>
          <w:p w14:paraId="0F0C374A" w14:textId="77777777" w:rsidR="00FA5D4B" w:rsidRPr="004C22BB" w:rsidRDefault="00FA5D4B" w:rsidP="009557B4">
            <w:pPr>
              <w:widowControl w:val="0"/>
              <w:jc w:val="center"/>
              <w:rPr>
                <w:rFonts w:ascii="Arial" w:eastAsia="Calibri" w:hAnsi="Arial" w:cs="Arial"/>
                <w:b/>
                <w:color w:val="FF0000"/>
              </w:rPr>
            </w:pPr>
          </w:p>
        </w:tc>
        <w:tc>
          <w:tcPr>
            <w:tcW w:w="6954" w:type="dxa"/>
            <w:gridSpan w:val="5"/>
            <w:tcBorders>
              <w:top w:val="single" w:sz="4" w:space="0" w:color="auto"/>
              <w:bottom w:val="single" w:sz="4" w:space="0" w:color="auto"/>
            </w:tcBorders>
            <w:vAlign w:val="center"/>
          </w:tcPr>
          <w:p w14:paraId="62B1B818" w14:textId="77777777" w:rsidR="00FA5D4B" w:rsidRPr="004C22BB" w:rsidRDefault="00FA5D4B" w:rsidP="009557B4">
            <w:pPr>
              <w:widowControl w:val="0"/>
              <w:jc w:val="center"/>
              <w:rPr>
                <w:rFonts w:ascii="Arial" w:eastAsia="Calibri" w:hAnsi="Arial" w:cs="Arial"/>
                <w:b/>
                <w:color w:val="FF0000"/>
              </w:rPr>
            </w:pPr>
            <w:r w:rsidRPr="004C22BB">
              <w:rPr>
                <w:rFonts w:ascii="Arial" w:eastAsia="Times New Roman" w:hAnsi="Arial" w:cs="Arial"/>
                <w:b/>
                <w:color w:val="000000"/>
              </w:rPr>
              <w:t>Instructional Module Writing Ability</w:t>
            </w:r>
          </w:p>
        </w:tc>
      </w:tr>
      <w:tr w:rsidR="00FA5D4B" w:rsidRPr="004C22BB" w14:paraId="1E298A7F" w14:textId="77777777" w:rsidTr="00D654D6">
        <w:trPr>
          <w:trHeight w:val="375"/>
        </w:trPr>
        <w:tc>
          <w:tcPr>
            <w:tcW w:w="1890" w:type="dxa"/>
            <w:gridSpan w:val="2"/>
            <w:vMerge w:val="restart"/>
            <w:tcBorders>
              <w:top w:val="single" w:sz="4" w:space="0" w:color="auto"/>
            </w:tcBorders>
            <w:vAlign w:val="center"/>
          </w:tcPr>
          <w:p w14:paraId="5F123776" w14:textId="77777777" w:rsidR="00FA5D4B" w:rsidRPr="004C22BB" w:rsidRDefault="00FA5D4B" w:rsidP="009557B4">
            <w:pPr>
              <w:widowControl w:val="0"/>
              <w:jc w:val="both"/>
              <w:rPr>
                <w:rFonts w:ascii="Arial" w:eastAsia="Calibri" w:hAnsi="Arial" w:cs="Arial"/>
                <w:b/>
                <w:bCs/>
                <w:iCs/>
                <w:color w:val="000000"/>
              </w:rPr>
            </w:pPr>
            <w:r w:rsidRPr="004C22BB">
              <w:rPr>
                <w:rFonts w:ascii="Arial" w:eastAsia="Times New Roman" w:hAnsi="Arial" w:cs="Arial"/>
                <w:b/>
                <w:color w:val="000000"/>
              </w:rPr>
              <w:t>Technology Proficiency</w:t>
            </w:r>
          </w:p>
        </w:tc>
        <w:tc>
          <w:tcPr>
            <w:tcW w:w="6774" w:type="dxa"/>
            <w:gridSpan w:val="4"/>
            <w:tcBorders>
              <w:top w:val="single" w:sz="4" w:space="0" w:color="auto"/>
            </w:tcBorders>
            <w:vAlign w:val="center"/>
          </w:tcPr>
          <w:p w14:paraId="58E68282" w14:textId="77777777" w:rsidR="00FA5D4B" w:rsidRPr="004C22BB" w:rsidRDefault="00FA5D4B" w:rsidP="009557B4">
            <w:pPr>
              <w:widowControl w:val="0"/>
              <w:jc w:val="both"/>
              <w:rPr>
                <w:rFonts w:ascii="Arial" w:eastAsia="Calibri" w:hAnsi="Arial" w:cs="Arial"/>
                <w:color w:val="000000"/>
              </w:rPr>
            </w:pPr>
          </w:p>
        </w:tc>
      </w:tr>
      <w:tr w:rsidR="00FA5D4B" w:rsidRPr="004C22BB" w14:paraId="5C497160" w14:textId="77777777" w:rsidTr="00D654D6">
        <w:trPr>
          <w:trHeight w:val="409"/>
        </w:trPr>
        <w:tc>
          <w:tcPr>
            <w:tcW w:w="1890" w:type="dxa"/>
            <w:gridSpan w:val="2"/>
            <w:vMerge/>
            <w:vAlign w:val="center"/>
          </w:tcPr>
          <w:p w14:paraId="3AB2F8BD" w14:textId="77777777" w:rsidR="00FA5D4B" w:rsidRPr="004C22BB" w:rsidRDefault="00FA5D4B" w:rsidP="009557B4">
            <w:pPr>
              <w:widowControl w:val="0"/>
              <w:rPr>
                <w:rFonts w:ascii="Arial" w:eastAsia="Calibri" w:hAnsi="Arial" w:cs="Arial"/>
                <w:b/>
                <w:bCs/>
                <w:iCs/>
                <w:color w:val="000000"/>
              </w:rPr>
            </w:pPr>
          </w:p>
        </w:tc>
        <w:tc>
          <w:tcPr>
            <w:tcW w:w="900" w:type="dxa"/>
            <w:vAlign w:val="center"/>
          </w:tcPr>
          <w:p w14:paraId="7EFD32E3" w14:textId="77777777" w:rsidR="00FA5D4B" w:rsidRPr="004C22BB" w:rsidRDefault="00FA5D4B" w:rsidP="009557B4">
            <w:pPr>
              <w:widowControl w:val="0"/>
              <w:jc w:val="center"/>
              <w:rPr>
                <w:rFonts w:ascii="Arial" w:eastAsia="Calibri" w:hAnsi="Arial" w:cs="Arial"/>
                <w:b/>
                <w:bCs/>
                <w:iCs/>
                <w:color w:val="000000"/>
              </w:rPr>
            </w:pPr>
            <w:r w:rsidRPr="004C22BB">
              <w:rPr>
                <w:rFonts w:ascii="Arial" w:eastAsia="Calibri" w:hAnsi="Arial" w:cs="Arial"/>
                <w:b/>
                <w:bCs/>
                <w:iCs/>
                <w:color w:val="000000"/>
              </w:rPr>
              <w:t>r</w:t>
            </w:r>
          </w:p>
        </w:tc>
        <w:tc>
          <w:tcPr>
            <w:tcW w:w="1170" w:type="dxa"/>
            <w:vAlign w:val="center"/>
          </w:tcPr>
          <w:p w14:paraId="52963290" w14:textId="77777777" w:rsidR="00FA5D4B" w:rsidRPr="004C22BB" w:rsidRDefault="00FA5D4B" w:rsidP="009557B4">
            <w:pPr>
              <w:widowControl w:val="0"/>
              <w:jc w:val="center"/>
              <w:rPr>
                <w:rFonts w:ascii="Arial" w:eastAsia="Calibri" w:hAnsi="Arial" w:cs="Arial"/>
                <w:b/>
                <w:bCs/>
                <w:iCs/>
                <w:color w:val="000000"/>
              </w:rPr>
            </w:pPr>
            <w:r w:rsidRPr="004C22BB">
              <w:rPr>
                <w:rFonts w:ascii="Arial" w:eastAsia="Calibri" w:hAnsi="Arial" w:cs="Arial"/>
                <w:b/>
                <w:bCs/>
                <w:iCs/>
                <w:color w:val="000000"/>
              </w:rPr>
              <w:t>p-value</w:t>
            </w:r>
          </w:p>
        </w:tc>
        <w:tc>
          <w:tcPr>
            <w:tcW w:w="1620" w:type="dxa"/>
            <w:vAlign w:val="center"/>
          </w:tcPr>
          <w:p w14:paraId="671EA124" w14:textId="77777777" w:rsidR="00FA5D4B" w:rsidRPr="004C22BB" w:rsidRDefault="00FA5D4B" w:rsidP="009557B4">
            <w:pPr>
              <w:widowControl w:val="0"/>
              <w:jc w:val="center"/>
              <w:rPr>
                <w:rFonts w:ascii="Arial" w:eastAsia="Calibri" w:hAnsi="Arial" w:cs="Arial"/>
                <w:b/>
                <w:bCs/>
                <w:iCs/>
                <w:color w:val="000000"/>
                <w:vertAlign w:val="subscript"/>
              </w:rPr>
            </w:pPr>
            <w:r w:rsidRPr="004C22BB">
              <w:rPr>
                <w:rFonts w:ascii="Arial" w:eastAsia="Calibri" w:hAnsi="Arial" w:cs="Arial"/>
                <w:b/>
                <w:bCs/>
                <w:iCs/>
                <w:color w:val="000000"/>
              </w:rPr>
              <w:t>Decision on H</w:t>
            </w:r>
            <w:r w:rsidRPr="004C22BB">
              <w:rPr>
                <w:rFonts w:ascii="Arial" w:eastAsia="Calibri" w:hAnsi="Arial" w:cs="Arial"/>
                <w:b/>
                <w:bCs/>
                <w:iCs/>
                <w:color w:val="000000"/>
                <w:vertAlign w:val="subscript"/>
              </w:rPr>
              <w:t>o</w:t>
            </w:r>
          </w:p>
        </w:tc>
        <w:tc>
          <w:tcPr>
            <w:tcW w:w="3084" w:type="dxa"/>
            <w:vAlign w:val="center"/>
          </w:tcPr>
          <w:p w14:paraId="1D18D253" w14:textId="77777777" w:rsidR="00FA5D4B" w:rsidRPr="004C22BB" w:rsidRDefault="00FA5D4B" w:rsidP="009557B4">
            <w:pPr>
              <w:widowControl w:val="0"/>
              <w:jc w:val="center"/>
              <w:rPr>
                <w:rFonts w:ascii="Arial" w:eastAsia="Calibri" w:hAnsi="Arial" w:cs="Arial"/>
                <w:b/>
                <w:bCs/>
                <w:iCs/>
                <w:color w:val="000000"/>
              </w:rPr>
            </w:pPr>
            <w:r w:rsidRPr="004C22BB">
              <w:rPr>
                <w:rFonts w:ascii="Arial" w:eastAsia="Calibri" w:hAnsi="Arial" w:cs="Arial"/>
                <w:b/>
                <w:bCs/>
                <w:iCs/>
                <w:color w:val="000000"/>
              </w:rPr>
              <w:t>Interpretation</w:t>
            </w:r>
          </w:p>
        </w:tc>
      </w:tr>
      <w:tr w:rsidR="00FA5D4B" w:rsidRPr="004C22BB" w14:paraId="7F50E89E" w14:textId="77777777" w:rsidTr="00D654D6">
        <w:trPr>
          <w:trHeight w:val="873"/>
        </w:trPr>
        <w:tc>
          <w:tcPr>
            <w:tcW w:w="1890" w:type="dxa"/>
            <w:gridSpan w:val="2"/>
            <w:vAlign w:val="center"/>
          </w:tcPr>
          <w:p w14:paraId="088F44B3"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Deepening</w:t>
            </w:r>
          </w:p>
        </w:tc>
        <w:tc>
          <w:tcPr>
            <w:tcW w:w="900" w:type="dxa"/>
            <w:vAlign w:val="center"/>
          </w:tcPr>
          <w:p w14:paraId="7B4B2BD0"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0.778</w:t>
            </w:r>
          </w:p>
        </w:tc>
        <w:tc>
          <w:tcPr>
            <w:tcW w:w="1170" w:type="dxa"/>
            <w:vAlign w:val="center"/>
          </w:tcPr>
          <w:p w14:paraId="0DDCD1E3"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.000</w:t>
            </w:r>
          </w:p>
        </w:tc>
        <w:tc>
          <w:tcPr>
            <w:tcW w:w="1620" w:type="dxa"/>
            <w:vAlign w:val="center"/>
          </w:tcPr>
          <w:p w14:paraId="6B6CA6BD"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Reject</w:t>
            </w:r>
          </w:p>
        </w:tc>
        <w:tc>
          <w:tcPr>
            <w:tcW w:w="3084" w:type="dxa"/>
            <w:vAlign w:val="center"/>
          </w:tcPr>
          <w:p w14:paraId="4245801E" w14:textId="77777777" w:rsidR="00FA5D4B" w:rsidRPr="004C22BB" w:rsidRDefault="00FA5D4B" w:rsidP="009557B4">
            <w:pPr>
              <w:widowControl w:val="0"/>
              <w:rPr>
                <w:rFonts w:ascii="Arial" w:eastAsia="Calibri" w:hAnsi="Arial" w:cs="Arial"/>
                <w:iCs/>
                <w:color w:val="000000"/>
              </w:rPr>
            </w:pPr>
            <w:r w:rsidRPr="004C22BB">
              <w:rPr>
                <w:rFonts w:ascii="Arial" w:eastAsia="Times New Roman" w:hAnsi="Arial" w:cs="Arial"/>
                <w:color w:val="000000"/>
              </w:rPr>
              <w:t>There is a significant strong positive correlation</w:t>
            </w:r>
          </w:p>
        </w:tc>
      </w:tr>
      <w:tr w:rsidR="00FA5D4B" w:rsidRPr="004C22BB" w14:paraId="7B73922F" w14:textId="77777777" w:rsidTr="00D654D6">
        <w:trPr>
          <w:trHeight w:val="873"/>
        </w:trPr>
        <w:tc>
          <w:tcPr>
            <w:tcW w:w="1890" w:type="dxa"/>
            <w:gridSpan w:val="2"/>
            <w:vAlign w:val="center"/>
          </w:tcPr>
          <w:p w14:paraId="5DF900EA"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Acquisition</w:t>
            </w:r>
          </w:p>
        </w:tc>
        <w:tc>
          <w:tcPr>
            <w:tcW w:w="900" w:type="dxa"/>
            <w:vAlign w:val="center"/>
          </w:tcPr>
          <w:p w14:paraId="34A4F33D"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0.807</w:t>
            </w:r>
          </w:p>
        </w:tc>
        <w:tc>
          <w:tcPr>
            <w:tcW w:w="1170" w:type="dxa"/>
            <w:vAlign w:val="center"/>
          </w:tcPr>
          <w:p w14:paraId="37144A05"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.000</w:t>
            </w:r>
          </w:p>
        </w:tc>
        <w:tc>
          <w:tcPr>
            <w:tcW w:w="1620" w:type="dxa"/>
            <w:vAlign w:val="center"/>
          </w:tcPr>
          <w:p w14:paraId="20687A02"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Reject</w:t>
            </w:r>
          </w:p>
        </w:tc>
        <w:tc>
          <w:tcPr>
            <w:tcW w:w="3084" w:type="dxa"/>
            <w:vAlign w:val="center"/>
          </w:tcPr>
          <w:p w14:paraId="631D708C" w14:textId="77777777" w:rsidR="00FA5D4B" w:rsidRPr="004C22BB" w:rsidRDefault="00FA5D4B" w:rsidP="009557B4">
            <w:pPr>
              <w:widowControl w:val="0"/>
              <w:rPr>
                <w:rFonts w:ascii="Arial" w:eastAsia="Calibri" w:hAnsi="Arial" w:cs="Arial"/>
                <w:iCs/>
                <w:color w:val="000000"/>
              </w:rPr>
            </w:pPr>
            <w:r w:rsidRPr="004C22BB">
              <w:rPr>
                <w:rFonts w:ascii="Arial" w:eastAsia="Times New Roman" w:hAnsi="Arial" w:cs="Arial"/>
                <w:color w:val="000000"/>
              </w:rPr>
              <w:t>There is a significant strong positive correlation</w:t>
            </w:r>
          </w:p>
        </w:tc>
      </w:tr>
      <w:tr w:rsidR="00FA5D4B" w:rsidRPr="004C22BB" w14:paraId="42C43844" w14:textId="77777777" w:rsidTr="00D654D6">
        <w:trPr>
          <w:trHeight w:val="873"/>
        </w:trPr>
        <w:tc>
          <w:tcPr>
            <w:tcW w:w="1890" w:type="dxa"/>
            <w:gridSpan w:val="2"/>
            <w:vAlign w:val="center"/>
          </w:tcPr>
          <w:p w14:paraId="1BBC016C"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Creation</w:t>
            </w:r>
          </w:p>
        </w:tc>
        <w:tc>
          <w:tcPr>
            <w:tcW w:w="900" w:type="dxa"/>
            <w:vAlign w:val="center"/>
          </w:tcPr>
          <w:p w14:paraId="168F58E4"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0.607</w:t>
            </w:r>
          </w:p>
        </w:tc>
        <w:tc>
          <w:tcPr>
            <w:tcW w:w="1170" w:type="dxa"/>
            <w:vAlign w:val="center"/>
          </w:tcPr>
          <w:p w14:paraId="1451CF57"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.000</w:t>
            </w:r>
          </w:p>
        </w:tc>
        <w:tc>
          <w:tcPr>
            <w:tcW w:w="1620" w:type="dxa"/>
            <w:vAlign w:val="center"/>
          </w:tcPr>
          <w:p w14:paraId="218BEC0A"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Reject</w:t>
            </w:r>
          </w:p>
        </w:tc>
        <w:tc>
          <w:tcPr>
            <w:tcW w:w="3084" w:type="dxa"/>
            <w:vAlign w:val="center"/>
          </w:tcPr>
          <w:p w14:paraId="0FEAEE4A" w14:textId="77777777" w:rsidR="00FA5D4B" w:rsidRPr="004C22BB" w:rsidRDefault="00FA5D4B" w:rsidP="009557B4">
            <w:pPr>
              <w:widowControl w:val="0"/>
              <w:rPr>
                <w:rFonts w:ascii="Arial" w:eastAsia="Calibri" w:hAnsi="Arial" w:cs="Arial"/>
                <w:iCs/>
                <w:color w:val="000000"/>
              </w:rPr>
            </w:pPr>
            <w:r w:rsidRPr="004C22BB">
              <w:rPr>
                <w:rFonts w:ascii="Arial" w:eastAsia="Times New Roman" w:hAnsi="Arial" w:cs="Arial"/>
                <w:color w:val="000000"/>
              </w:rPr>
              <w:t>There is a significant moderate positive correlation</w:t>
            </w:r>
          </w:p>
        </w:tc>
      </w:tr>
      <w:tr w:rsidR="00FA5D4B" w:rsidRPr="004C22BB" w14:paraId="69E89A83" w14:textId="77777777" w:rsidTr="00D654D6">
        <w:trPr>
          <w:trHeight w:val="873"/>
        </w:trPr>
        <w:tc>
          <w:tcPr>
            <w:tcW w:w="1890" w:type="dxa"/>
            <w:gridSpan w:val="2"/>
            <w:vAlign w:val="center"/>
          </w:tcPr>
          <w:p w14:paraId="7CAF690F"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 xml:space="preserve">  Overall </w:t>
            </w:r>
          </w:p>
        </w:tc>
        <w:tc>
          <w:tcPr>
            <w:tcW w:w="900" w:type="dxa"/>
            <w:vAlign w:val="center"/>
          </w:tcPr>
          <w:p w14:paraId="705E54EA" w14:textId="77777777" w:rsidR="00FA5D4B" w:rsidRPr="004C22BB" w:rsidRDefault="00FA5D4B" w:rsidP="009557B4">
            <w:pPr>
              <w:widowControl w:val="0"/>
              <w:jc w:val="center"/>
              <w:rPr>
                <w:rFonts w:ascii="Arial" w:eastAsia="Calibri" w:hAnsi="Arial" w:cs="Arial"/>
                <w:b/>
                <w:iCs/>
                <w:color w:val="000000"/>
              </w:rPr>
            </w:pPr>
            <w:r w:rsidRPr="004C22BB">
              <w:rPr>
                <w:rFonts w:ascii="Arial" w:eastAsia="Calibri" w:hAnsi="Arial" w:cs="Arial"/>
                <w:b/>
                <w:iCs/>
                <w:color w:val="000000"/>
              </w:rPr>
              <w:t>0.845</w:t>
            </w:r>
          </w:p>
        </w:tc>
        <w:tc>
          <w:tcPr>
            <w:tcW w:w="1170" w:type="dxa"/>
            <w:vAlign w:val="center"/>
          </w:tcPr>
          <w:p w14:paraId="6DEC8792" w14:textId="77777777" w:rsidR="00FA5D4B" w:rsidRPr="004C22BB" w:rsidRDefault="00FA5D4B" w:rsidP="009557B4">
            <w:pPr>
              <w:widowControl w:val="0"/>
              <w:jc w:val="center"/>
              <w:rPr>
                <w:rFonts w:ascii="Arial" w:eastAsia="Calibri" w:hAnsi="Arial" w:cs="Arial"/>
                <w:b/>
                <w:iCs/>
                <w:color w:val="000000"/>
              </w:rPr>
            </w:pPr>
            <w:r w:rsidRPr="004C22BB">
              <w:rPr>
                <w:rFonts w:ascii="Arial" w:eastAsia="Calibri" w:hAnsi="Arial" w:cs="Arial"/>
                <w:b/>
                <w:iCs/>
                <w:color w:val="000000"/>
              </w:rPr>
              <w:t>.000</w:t>
            </w:r>
          </w:p>
        </w:tc>
        <w:tc>
          <w:tcPr>
            <w:tcW w:w="1620" w:type="dxa"/>
            <w:vAlign w:val="center"/>
          </w:tcPr>
          <w:p w14:paraId="2619E1E7" w14:textId="77777777" w:rsidR="00FA5D4B" w:rsidRPr="004C22BB" w:rsidRDefault="00FA5D4B" w:rsidP="009557B4">
            <w:pPr>
              <w:widowControl w:val="0"/>
              <w:jc w:val="center"/>
              <w:rPr>
                <w:rFonts w:ascii="Arial" w:eastAsia="Calibri" w:hAnsi="Arial" w:cs="Arial"/>
                <w:b/>
                <w:iCs/>
                <w:color w:val="000000"/>
              </w:rPr>
            </w:pPr>
            <w:r w:rsidRPr="004C22BB">
              <w:rPr>
                <w:rFonts w:ascii="Arial" w:eastAsia="Calibri" w:hAnsi="Arial" w:cs="Arial"/>
                <w:b/>
                <w:iCs/>
                <w:color w:val="000000"/>
              </w:rPr>
              <w:t>Reject</w:t>
            </w:r>
          </w:p>
        </w:tc>
        <w:tc>
          <w:tcPr>
            <w:tcW w:w="3084" w:type="dxa"/>
            <w:vAlign w:val="center"/>
          </w:tcPr>
          <w:p w14:paraId="49FC2A1E" w14:textId="77777777" w:rsidR="00FA5D4B" w:rsidRPr="004C22BB" w:rsidRDefault="00FA5D4B" w:rsidP="009557B4">
            <w:pPr>
              <w:widowControl w:val="0"/>
              <w:rPr>
                <w:rFonts w:ascii="Arial" w:eastAsia="Calibri" w:hAnsi="Arial" w:cs="Arial"/>
                <w:b/>
                <w:iCs/>
                <w:color w:val="000000"/>
              </w:rPr>
            </w:pPr>
            <w:r w:rsidRPr="004C22BB">
              <w:rPr>
                <w:rFonts w:ascii="Arial" w:eastAsia="Times New Roman" w:hAnsi="Arial" w:cs="Arial"/>
                <w:b/>
                <w:color w:val="000000"/>
              </w:rPr>
              <w:t>There is a significant strong positive correlation</w:t>
            </w:r>
          </w:p>
        </w:tc>
      </w:tr>
    </w:tbl>
    <w:p w14:paraId="1B7C76B9" w14:textId="77777777" w:rsidR="00FA5D4B" w:rsidRPr="004C22BB" w:rsidRDefault="00FA5D4B" w:rsidP="009557B4">
      <w:pPr>
        <w:autoSpaceDE w:val="0"/>
        <w:autoSpaceDN w:val="0"/>
        <w:adjustRightInd w:val="0"/>
        <w:spacing w:after="0" w:line="240" w:lineRule="auto"/>
        <w:jc w:val="both"/>
        <w:rPr>
          <w:rFonts w:ascii="Arial" w:eastAsia="Times New Roman" w:hAnsi="Arial" w:cs="Arial"/>
          <w:color w:val="000000"/>
          <w:sz w:val="20"/>
          <w:szCs w:val="20"/>
          <w:lang w:val="en-US"/>
        </w:rPr>
      </w:pPr>
    </w:p>
    <w:p w14:paraId="10E35699" w14:textId="77777777" w:rsidR="00FA5D4B" w:rsidRPr="004C22BB" w:rsidRDefault="00FA5D4B" w:rsidP="00C066BE">
      <w:pPr>
        <w:autoSpaceDE w:val="0"/>
        <w:autoSpaceDN w:val="0"/>
        <w:adjustRightInd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shd w:val="clear" w:color="auto" w:fill="FFFFFF"/>
          <w:lang w:val="en-US"/>
        </w:rPr>
        <w:t xml:space="preserve">Consequently, technology proficiency is the ability to use technology to communicate effectively and professionally, organize information, produce high-quality products, and enhance thinking skills. In classroom settings, technology proficiency refers to the ability of teachers to integrate technology to teach and facilitate, as well as to improve learning, productivity, and performance. These abilities are needed to participate in a technological world (Saad and Sankaran, 2020). Technology proficiency </w:t>
      </w:r>
      <w:r w:rsidRPr="004C22BB">
        <w:rPr>
          <w:rFonts w:ascii="Arial" w:eastAsia="Times New Roman" w:hAnsi="Arial" w:cs="Arial"/>
          <w:color w:val="000000"/>
          <w:sz w:val="20"/>
          <w:szCs w:val="20"/>
          <w:shd w:val="clear" w:color="auto" w:fill="FFFFFF"/>
          <w:lang w:val="en-US"/>
        </w:rPr>
        <w:lastRenderedPageBreak/>
        <w:t>enables teachers to identify and explore a wide variety of technological tools and devices in order to determine and select those that best respond to teaching and learning contents (Boholano, 2017).</w:t>
      </w:r>
    </w:p>
    <w:p w14:paraId="7C7DF8AE"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bookmarkStart w:id="3" w:name="_Hlk102339284"/>
      <w:bookmarkEnd w:id="2"/>
    </w:p>
    <w:p w14:paraId="07BA27E5" w14:textId="77777777" w:rsidR="00FA5D4B" w:rsidRPr="004C22BB" w:rsidRDefault="00FA5D4B" w:rsidP="009557B4">
      <w:pPr>
        <w:widowControl w:val="0"/>
        <w:spacing w:after="0" w:line="240" w:lineRule="auto"/>
        <w:jc w:val="center"/>
        <w:rPr>
          <w:rFonts w:ascii="Arial" w:eastAsia="Times New Roman" w:hAnsi="Arial" w:cs="Arial"/>
          <w:i/>
          <w:color w:val="000000"/>
          <w:sz w:val="20"/>
          <w:szCs w:val="20"/>
          <w:lang w:val="en-US"/>
        </w:rPr>
      </w:pPr>
      <w:r w:rsidRPr="004C22BB">
        <w:rPr>
          <w:rFonts w:ascii="Arial" w:eastAsia="Times New Roman" w:hAnsi="Arial" w:cs="Arial"/>
          <w:i/>
          <w:color w:val="000000"/>
          <w:sz w:val="20"/>
          <w:szCs w:val="20"/>
          <w:lang w:val="en-US"/>
        </w:rPr>
        <w:t xml:space="preserve">Regression Analysis on the </w:t>
      </w:r>
      <w:bookmarkEnd w:id="3"/>
      <w:r w:rsidRPr="004C22BB">
        <w:rPr>
          <w:rFonts w:ascii="Arial" w:eastAsia="Times New Roman" w:hAnsi="Arial" w:cs="Arial"/>
          <w:i/>
          <w:color w:val="000000"/>
          <w:sz w:val="20"/>
          <w:szCs w:val="20"/>
          <w:lang w:val="en-US"/>
        </w:rPr>
        <w:t xml:space="preserve">Significant Influence of </w:t>
      </w:r>
      <w:r w:rsidRPr="004C22BB">
        <w:rPr>
          <w:rFonts w:ascii="Arial" w:eastAsia="Times New Roman" w:hAnsi="Arial" w:cs="Arial"/>
          <w:i/>
          <w:color w:val="000000"/>
          <w:sz w:val="20"/>
          <w:szCs w:val="20"/>
          <w:lang w:val="en-US" w:eastAsia="en-PH"/>
        </w:rPr>
        <w:t>Technology Proficiency on Instructional Module Writing Ability of TLE Teachers in the New Normal</w:t>
      </w:r>
    </w:p>
    <w:p w14:paraId="0B993943" w14:textId="77777777" w:rsidR="00FA5D4B" w:rsidRPr="004C22BB" w:rsidRDefault="00FA5D4B" w:rsidP="009557B4">
      <w:pPr>
        <w:widowControl w:val="0"/>
        <w:spacing w:after="0" w:line="240" w:lineRule="auto"/>
        <w:jc w:val="both"/>
        <w:rPr>
          <w:rFonts w:ascii="Arial" w:eastAsia="Times New Roman" w:hAnsi="Arial" w:cs="Arial"/>
          <w:color w:val="000000"/>
          <w:sz w:val="20"/>
          <w:szCs w:val="20"/>
          <w:lang w:val="en-US"/>
        </w:rPr>
      </w:pPr>
    </w:p>
    <w:p w14:paraId="1036743E" w14:textId="305F3CA9" w:rsidR="00FA5D4B" w:rsidRPr="004C22BB" w:rsidRDefault="00FA5D4B" w:rsidP="009557B4">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Shown in Table </w:t>
      </w:r>
      <w:r w:rsidR="00FA3973">
        <w:rPr>
          <w:rFonts w:ascii="Arial" w:eastAsia="Times New Roman" w:hAnsi="Arial" w:cs="Arial"/>
          <w:color w:val="000000"/>
          <w:sz w:val="20"/>
          <w:szCs w:val="20"/>
          <w:lang w:val="en-US"/>
        </w:rPr>
        <w:t>7</w:t>
      </w:r>
      <w:r w:rsidRPr="004C22BB">
        <w:rPr>
          <w:rFonts w:ascii="Arial" w:eastAsia="Times New Roman" w:hAnsi="Arial" w:cs="Arial"/>
          <w:color w:val="000000"/>
          <w:sz w:val="20"/>
          <w:szCs w:val="20"/>
          <w:lang w:val="en-US"/>
        </w:rPr>
        <w:t xml:space="preserve"> the regression analysis on the significant influence of technology proficiency on the </w:t>
      </w:r>
      <w:r w:rsidRPr="004C22BB">
        <w:rPr>
          <w:rFonts w:ascii="Arial" w:eastAsia="Times New Roman" w:hAnsi="Arial" w:cs="Arial"/>
          <w:color w:val="000000"/>
          <w:sz w:val="20"/>
          <w:szCs w:val="20"/>
          <w:lang w:val="en-US" w:eastAsia="en-PH"/>
        </w:rPr>
        <w:t>instructional module writing ability of TLE teachers in the new normal.</w:t>
      </w:r>
    </w:p>
    <w:p w14:paraId="14162B25"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According to the results of the overall study, which are displayed in the table, the p-value was found to be equal to 0.000, and the F-value was found to be equal to 91.562, indicating that there is a significant influence of technology proficiency on the ability of TLE teachers to write instructional modules in the new normal. This also suggests that the regression model that was utilized in the analysis of the study is beneficial, and that there is merit to the interpretation that is based on the assumption of the aforementioned impact.</w:t>
      </w:r>
    </w:p>
    <w:p w14:paraId="3181DBE5"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According to the regression analysis that was done on the data, every single one of the indicators of TLE teacher technological competency has a substantial effect on their capacity to write instructional modules in the new normal. In particular, the t-value for the indicator of </w:t>
      </w:r>
      <w:r w:rsidRPr="004C22BB">
        <w:rPr>
          <w:rFonts w:ascii="Arial" w:eastAsia="Times New Roman" w:hAnsi="Arial" w:cs="Arial"/>
          <w:i/>
          <w:color w:val="000000"/>
          <w:sz w:val="20"/>
          <w:szCs w:val="20"/>
          <w:lang w:val="en-US"/>
        </w:rPr>
        <w:t>Knowledge Deepening</w:t>
      </w:r>
      <w:r w:rsidRPr="004C22BB">
        <w:rPr>
          <w:rFonts w:ascii="Arial" w:eastAsia="Times New Roman" w:hAnsi="Arial" w:cs="Arial"/>
          <w:color w:val="000000"/>
          <w:sz w:val="20"/>
          <w:szCs w:val="20"/>
          <w:lang w:val="en-US"/>
        </w:rPr>
        <w:t xml:space="preserve"> was found to be 4.306, while the p-value for this indicator was found to be 0.000. The t-value for the indicator of </w:t>
      </w:r>
      <w:r w:rsidRPr="004C22BB">
        <w:rPr>
          <w:rFonts w:ascii="Arial" w:eastAsia="Times New Roman" w:hAnsi="Arial" w:cs="Arial"/>
          <w:i/>
          <w:color w:val="000000"/>
          <w:sz w:val="20"/>
          <w:szCs w:val="20"/>
          <w:lang w:val="en-US"/>
        </w:rPr>
        <w:t>Knowledge Acquisition</w:t>
      </w:r>
      <w:r w:rsidRPr="004C22BB">
        <w:rPr>
          <w:rFonts w:ascii="Arial" w:eastAsia="Times New Roman" w:hAnsi="Arial" w:cs="Arial"/>
          <w:color w:val="000000"/>
          <w:sz w:val="20"/>
          <w:szCs w:val="20"/>
          <w:lang w:val="en-US"/>
        </w:rPr>
        <w:t xml:space="preserve"> was found to be 5.893, while the p-value for this indicator was found to be 0.027. The t-value for the indicator of </w:t>
      </w:r>
      <w:r w:rsidRPr="004C22BB">
        <w:rPr>
          <w:rFonts w:ascii="Arial" w:eastAsia="Times New Roman" w:hAnsi="Arial" w:cs="Arial"/>
          <w:i/>
          <w:color w:val="000000"/>
          <w:sz w:val="20"/>
          <w:szCs w:val="20"/>
          <w:lang w:val="en-US"/>
        </w:rPr>
        <w:t>Knowledge Creation</w:t>
      </w:r>
      <w:r w:rsidRPr="004C22BB">
        <w:rPr>
          <w:rFonts w:ascii="Arial" w:eastAsia="Times New Roman" w:hAnsi="Arial" w:cs="Arial"/>
          <w:color w:val="000000"/>
          <w:sz w:val="20"/>
          <w:szCs w:val="20"/>
          <w:lang w:val="en-US"/>
        </w:rPr>
        <w:t xml:space="preserve"> was found to be 2.030, while the p-value for this indicator was found to be 0.045. The predefined null hypothesis of this study stating that that there are no indications of TLE teachers' technological competency that substantially impact their instructional module writing abilities in the new normal is rejected as a result of these findings. </w:t>
      </w:r>
    </w:p>
    <w:p w14:paraId="5DDDB589"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lang w:val="en-US"/>
        </w:rPr>
      </w:pPr>
    </w:p>
    <w:p w14:paraId="1D8A1E57" w14:textId="2D530B66"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7</w:t>
      </w:r>
      <w:r w:rsidRPr="004C22BB">
        <w:rPr>
          <w:rFonts w:ascii="Arial" w:eastAsia="Times New Roman" w:hAnsi="Arial" w:cs="Arial"/>
          <w:b/>
          <w:color w:val="000000"/>
          <w:sz w:val="20"/>
          <w:szCs w:val="20"/>
          <w:lang w:val="en-US"/>
        </w:rPr>
        <w:t xml:space="preserve">. </w:t>
      </w:r>
      <w:bookmarkStart w:id="4" w:name="_Hlk100576605"/>
      <w:r w:rsidRPr="004C22BB">
        <w:rPr>
          <w:rFonts w:ascii="Arial" w:eastAsia="Times New Roman" w:hAnsi="Arial" w:cs="Arial"/>
          <w:b/>
          <w:color w:val="000000"/>
          <w:sz w:val="20"/>
          <w:szCs w:val="20"/>
          <w:lang w:val="en-US"/>
        </w:rPr>
        <w:t xml:space="preserve">Regression Analysis on the Significant Influence of </w:t>
      </w:r>
      <w:r w:rsidRPr="004C22BB">
        <w:rPr>
          <w:rFonts w:ascii="Arial" w:eastAsia="Times New Roman" w:hAnsi="Arial" w:cs="Arial"/>
          <w:b/>
          <w:color w:val="000000"/>
          <w:sz w:val="20"/>
          <w:szCs w:val="20"/>
          <w:lang w:val="en-US" w:eastAsia="en-PH"/>
        </w:rPr>
        <w:t>Technology Proficiency on Instructional Module Writing Ability of TLE Teachers in the New Normal</w:t>
      </w:r>
    </w:p>
    <w:bookmarkEnd w:id="4"/>
    <w:p w14:paraId="56BAB3B7" w14:textId="77777777" w:rsidR="00FA5D4B" w:rsidRPr="004C22BB" w:rsidRDefault="00FA5D4B" w:rsidP="009557B4">
      <w:pPr>
        <w:widowControl w:val="0"/>
        <w:spacing w:after="0" w:line="240" w:lineRule="auto"/>
        <w:jc w:val="both"/>
        <w:rPr>
          <w:rFonts w:ascii="Arial" w:eastAsia="Times New Roman" w:hAnsi="Arial" w:cs="Arial"/>
          <w:b/>
          <w:color w:val="FF0000"/>
          <w:sz w:val="20"/>
          <w:szCs w:val="20"/>
          <w:lang w:val="en-US"/>
        </w:rPr>
      </w:pPr>
    </w:p>
    <w:tbl>
      <w:tblPr>
        <w:tblW w:w="5000" w:type="pct"/>
        <w:tblBorders>
          <w:top w:val="single" w:sz="4" w:space="0" w:color="auto"/>
          <w:bottom w:val="single" w:sz="4" w:space="0" w:color="auto"/>
        </w:tblBorders>
        <w:tblLook w:val="04A0" w:firstRow="1" w:lastRow="0" w:firstColumn="1" w:lastColumn="0" w:noHBand="0" w:noVBand="1"/>
      </w:tblPr>
      <w:tblGrid>
        <w:gridCol w:w="1880"/>
        <w:gridCol w:w="231"/>
        <w:gridCol w:w="747"/>
        <w:gridCol w:w="877"/>
        <w:gridCol w:w="556"/>
        <w:gridCol w:w="318"/>
        <w:gridCol w:w="921"/>
        <w:gridCol w:w="760"/>
        <w:gridCol w:w="453"/>
        <w:gridCol w:w="653"/>
        <w:gridCol w:w="357"/>
        <w:gridCol w:w="1273"/>
      </w:tblGrid>
      <w:tr w:rsidR="00FA5D4B" w:rsidRPr="004C22BB" w14:paraId="19B76007" w14:textId="77777777" w:rsidTr="00D654D6">
        <w:trPr>
          <w:trHeight w:val="575"/>
        </w:trPr>
        <w:tc>
          <w:tcPr>
            <w:tcW w:w="1041" w:type="pct"/>
            <w:tcBorders>
              <w:top w:val="single" w:sz="4" w:space="0" w:color="auto"/>
              <w:bottom w:val="single" w:sz="4" w:space="0" w:color="auto"/>
            </w:tcBorders>
            <w:vAlign w:val="center"/>
          </w:tcPr>
          <w:p w14:paraId="538D5197" w14:textId="77777777" w:rsidR="00FA5D4B" w:rsidRPr="004C22BB" w:rsidRDefault="00FA5D4B" w:rsidP="009557B4">
            <w:pPr>
              <w:widowControl w:val="0"/>
              <w:spacing w:after="0" w:line="240" w:lineRule="auto"/>
              <w:rPr>
                <w:rFonts w:ascii="Arial" w:eastAsia="Times New Roman" w:hAnsi="Arial" w:cs="Arial"/>
                <w:b/>
                <w:color w:val="000000"/>
                <w:sz w:val="20"/>
                <w:szCs w:val="20"/>
                <w:lang w:val="en-US"/>
              </w:rPr>
            </w:pPr>
          </w:p>
        </w:tc>
        <w:tc>
          <w:tcPr>
            <w:tcW w:w="3959" w:type="pct"/>
            <w:gridSpan w:val="11"/>
            <w:tcBorders>
              <w:top w:val="single" w:sz="4" w:space="0" w:color="auto"/>
              <w:bottom w:val="single" w:sz="4" w:space="0" w:color="auto"/>
            </w:tcBorders>
            <w:vAlign w:val="center"/>
          </w:tcPr>
          <w:p w14:paraId="6F7FED16"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Instructional Module Writing Ability</w:t>
            </w:r>
          </w:p>
        </w:tc>
      </w:tr>
      <w:tr w:rsidR="00FA5D4B" w:rsidRPr="004C22BB" w14:paraId="193B02AB" w14:textId="77777777" w:rsidTr="00D654D6">
        <w:trPr>
          <w:trHeight w:val="575"/>
        </w:trPr>
        <w:tc>
          <w:tcPr>
            <w:tcW w:w="1041" w:type="pct"/>
            <w:tcBorders>
              <w:top w:val="single" w:sz="4" w:space="0" w:color="auto"/>
              <w:bottom w:val="nil"/>
            </w:tcBorders>
            <w:vAlign w:val="center"/>
          </w:tcPr>
          <w:p w14:paraId="2AEBA9E9"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Technology Proficiency</w:t>
            </w:r>
          </w:p>
        </w:tc>
        <w:tc>
          <w:tcPr>
            <w:tcW w:w="128" w:type="pct"/>
            <w:tcBorders>
              <w:top w:val="single" w:sz="4" w:space="0" w:color="auto"/>
              <w:bottom w:val="nil"/>
            </w:tcBorders>
            <w:vAlign w:val="center"/>
          </w:tcPr>
          <w:p w14:paraId="2DE2206B"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c>
        <w:tc>
          <w:tcPr>
            <w:tcW w:w="1208" w:type="pct"/>
            <w:gridSpan w:val="3"/>
            <w:tcBorders>
              <w:top w:val="single" w:sz="4" w:space="0" w:color="auto"/>
              <w:bottom w:val="nil"/>
            </w:tcBorders>
            <w:vAlign w:val="center"/>
          </w:tcPr>
          <w:p w14:paraId="57027B5E"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Unstandardized</w:t>
            </w:r>
          </w:p>
          <w:p w14:paraId="15439E77"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Coefficients</w:t>
            </w:r>
          </w:p>
        </w:tc>
        <w:tc>
          <w:tcPr>
            <w:tcW w:w="1358" w:type="pct"/>
            <w:gridSpan w:val="4"/>
            <w:tcBorders>
              <w:top w:val="single" w:sz="4" w:space="0" w:color="auto"/>
              <w:bottom w:val="nil"/>
            </w:tcBorders>
            <w:vAlign w:val="center"/>
          </w:tcPr>
          <w:p w14:paraId="5E23027C"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Standardized Coefficients</w:t>
            </w:r>
          </w:p>
        </w:tc>
        <w:tc>
          <w:tcPr>
            <w:tcW w:w="560" w:type="pct"/>
            <w:gridSpan w:val="2"/>
            <w:tcBorders>
              <w:top w:val="single" w:sz="4" w:space="0" w:color="auto"/>
              <w:bottom w:val="nil"/>
            </w:tcBorders>
          </w:tcPr>
          <w:p w14:paraId="0023454A"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p>
        </w:tc>
        <w:tc>
          <w:tcPr>
            <w:tcW w:w="705" w:type="pct"/>
            <w:tcBorders>
              <w:top w:val="single" w:sz="4" w:space="0" w:color="auto"/>
              <w:bottom w:val="nil"/>
            </w:tcBorders>
          </w:tcPr>
          <w:p w14:paraId="6425CD1F"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p>
        </w:tc>
      </w:tr>
      <w:tr w:rsidR="00FA5D4B" w:rsidRPr="004C22BB" w14:paraId="4088C806" w14:textId="77777777" w:rsidTr="00D654D6">
        <w:trPr>
          <w:trHeight w:val="747"/>
        </w:trPr>
        <w:tc>
          <w:tcPr>
            <w:tcW w:w="1041" w:type="pct"/>
            <w:tcBorders>
              <w:top w:val="nil"/>
              <w:bottom w:val="nil"/>
            </w:tcBorders>
            <w:vAlign w:val="center"/>
          </w:tcPr>
          <w:p w14:paraId="07E22B46" w14:textId="77777777" w:rsidR="00FA5D4B" w:rsidRPr="004C22BB" w:rsidRDefault="00FA5D4B" w:rsidP="009557B4">
            <w:pPr>
              <w:widowControl w:val="0"/>
              <w:spacing w:after="0" w:line="240" w:lineRule="auto"/>
              <w:jc w:val="both"/>
              <w:rPr>
                <w:rFonts w:ascii="Arial" w:eastAsia="Times New Roman" w:hAnsi="Arial" w:cs="Arial"/>
                <w:color w:val="000000"/>
                <w:sz w:val="20"/>
                <w:szCs w:val="20"/>
                <w:lang w:val="en-US"/>
              </w:rPr>
            </w:pPr>
          </w:p>
        </w:tc>
        <w:tc>
          <w:tcPr>
            <w:tcW w:w="542" w:type="pct"/>
            <w:gridSpan w:val="2"/>
            <w:tcBorders>
              <w:top w:val="nil"/>
              <w:bottom w:val="nil"/>
            </w:tcBorders>
            <w:vAlign w:val="center"/>
          </w:tcPr>
          <w:p w14:paraId="0AA2C50B"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B</w:t>
            </w:r>
          </w:p>
        </w:tc>
        <w:tc>
          <w:tcPr>
            <w:tcW w:w="486" w:type="pct"/>
            <w:tcBorders>
              <w:top w:val="nil"/>
              <w:bottom w:val="nil"/>
            </w:tcBorders>
            <w:vAlign w:val="center"/>
          </w:tcPr>
          <w:p w14:paraId="216DFBB5"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Std. Error</w:t>
            </w:r>
          </w:p>
        </w:tc>
        <w:tc>
          <w:tcPr>
            <w:tcW w:w="484" w:type="pct"/>
            <w:gridSpan w:val="2"/>
            <w:tcBorders>
              <w:top w:val="nil"/>
              <w:bottom w:val="nil"/>
            </w:tcBorders>
            <w:vAlign w:val="center"/>
          </w:tcPr>
          <w:p w14:paraId="135E17E3"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Beta</w:t>
            </w:r>
          </w:p>
        </w:tc>
        <w:tc>
          <w:tcPr>
            <w:tcW w:w="510" w:type="pct"/>
            <w:tcBorders>
              <w:top w:val="nil"/>
              <w:bottom w:val="nil"/>
            </w:tcBorders>
            <w:vAlign w:val="center"/>
          </w:tcPr>
          <w:p w14:paraId="1BC71DBC"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t</w:t>
            </w:r>
          </w:p>
        </w:tc>
        <w:tc>
          <w:tcPr>
            <w:tcW w:w="421" w:type="pct"/>
            <w:tcBorders>
              <w:top w:val="nil"/>
              <w:bottom w:val="nil"/>
            </w:tcBorders>
            <w:vAlign w:val="center"/>
          </w:tcPr>
          <w:p w14:paraId="40CC669A"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w:t>
            </w:r>
          </w:p>
        </w:tc>
        <w:tc>
          <w:tcPr>
            <w:tcW w:w="613" w:type="pct"/>
            <w:gridSpan w:val="2"/>
            <w:tcBorders>
              <w:top w:val="nil"/>
              <w:bottom w:val="nil"/>
            </w:tcBorders>
          </w:tcPr>
          <w:p w14:paraId="7C88E959"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p w14:paraId="2B6CFF82"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vertAlign w:val="subscript"/>
                <w:lang w:val="en-US"/>
              </w:rPr>
            </w:pPr>
            <w:r w:rsidRPr="004C22BB">
              <w:rPr>
                <w:rFonts w:ascii="Arial" w:eastAsia="Times New Roman" w:hAnsi="Arial" w:cs="Arial"/>
                <w:color w:val="000000"/>
                <w:sz w:val="20"/>
                <w:szCs w:val="20"/>
                <w:lang w:val="en-US"/>
              </w:rPr>
              <w:t>Decision on H</w:t>
            </w:r>
            <w:r w:rsidRPr="004C22BB">
              <w:rPr>
                <w:rFonts w:ascii="Arial" w:eastAsia="Times New Roman" w:hAnsi="Arial" w:cs="Arial"/>
                <w:color w:val="000000"/>
                <w:sz w:val="20"/>
                <w:szCs w:val="20"/>
                <w:vertAlign w:val="subscript"/>
                <w:lang w:val="en-US"/>
              </w:rPr>
              <w:t>0</w:t>
            </w:r>
          </w:p>
        </w:tc>
        <w:tc>
          <w:tcPr>
            <w:tcW w:w="903" w:type="pct"/>
            <w:gridSpan w:val="2"/>
            <w:tcBorders>
              <w:top w:val="nil"/>
              <w:bottom w:val="nil"/>
            </w:tcBorders>
          </w:tcPr>
          <w:p w14:paraId="0F92E197"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p w14:paraId="10E51CA6"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Interpretation</w:t>
            </w:r>
          </w:p>
        </w:tc>
      </w:tr>
      <w:tr w:rsidR="00FA5D4B" w:rsidRPr="004C22BB" w14:paraId="66D2555E" w14:textId="77777777" w:rsidTr="00D654D6">
        <w:trPr>
          <w:trHeight w:val="440"/>
        </w:trPr>
        <w:tc>
          <w:tcPr>
            <w:tcW w:w="1041" w:type="pct"/>
            <w:tcBorders>
              <w:top w:val="nil"/>
            </w:tcBorders>
          </w:tcPr>
          <w:p w14:paraId="5A6E5F1A"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(Constant)</w:t>
            </w:r>
          </w:p>
        </w:tc>
        <w:tc>
          <w:tcPr>
            <w:tcW w:w="542" w:type="pct"/>
            <w:gridSpan w:val="2"/>
            <w:tcBorders>
              <w:top w:val="nil"/>
            </w:tcBorders>
            <w:vAlign w:val="center"/>
          </w:tcPr>
          <w:p w14:paraId="574348E0"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0.202</w:t>
            </w:r>
          </w:p>
        </w:tc>
        <w:tc>
          <w:tcPr>
            <w:tcW w:w="486" w:type="pct"/>
            <w:tcBorders>
              <w:top w:val="nil"/>
            </w:tcBorders>
            <w:vAlign w:val="center"/>
          </w:tcPr>
          <w:p w14:paraId="4B4FB0C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0.232</w:t>
            </w:r>
          </w:p>
        </w:tc>
        <w:tc>
          <w:tcPr>
            <w:tcW w:w="484" w:type="pct"/>
            <w:gridSpan w:val="2"/>
            <w:tcBorders>
              <w:top w:val="nil"/>
            </w:tcBorders>
            <w:vAlign w:val="center"/>
          </w:tcPr>
          <w:p w14:paraId="4B3EE391"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tc>
        <w:tc>
          <w:tcPr>
            <w:tcW w:w="510" w:type="pct"/>
            <w:tcBorders>
              <w:top w:val="nil"/>
            </w:tcBorders>
            <w:vAlign w:val="center"/>
          </w:tcPr>
          <w:p w14:paraId="46AD20D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0.868</w:t>
            </w:r>
          </w:p>
        </w:tc>
        <w:tc>
          <w:tcPr>
            <w:tcW w:w="421" w:type="pct"/>
            <w:tcBorders>
              <w:top w:val="nil"/>
            </w:tcBorders>
            <w:vAlign w:val="center"/>
          </w:tcPr>
          <w:p w14:paraId="7AD2D3C4"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.388</w:t>
            </w:r>
          </w:p>
        </w:tc>
        <w:tc>
          <w:tcPr>
            <w:tcW w:w="613" w:type="pct"/>
            <w:gridSpan w:val="2"/>
            <w:tcBorders>
              <w:top w:val="nil"/>
            </w:tcBorders>
            <w:vAlign w:val="center"/>
          </w:tcPr>
          <w:p w14:paraId="0512EE5B"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tc>
        <w:tc>
          <w:tcPr>
            <w:tcW w:w="903" w:type="pct"/>
            <w:gridSpan w:val="2"/>
            <w:tcBorders>
              <w:top w:val="nil"/>
            </w:tcBorders>
            <w:vAlign w:val="center"/>
          </w:tcPr>
          <w:p w14:paraId="424EDF1E"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tc>
      </w:tr>
      <w:tr w:rsidR="00FA5D4B" w:rsidRPr="004C22BB" w14:paraId="353173B4" w14:textId="77777777" w:rsidTr="00D654D6">
        <w:trPr>
          <w:trHeight w:val="540"/>
        </w:trPr>
        <w:tc>
          <w:tcPr>
            <w:tcW w:w="1041" w:type="pct"/>
            <w:vAlign w:val="center"/>
          </w:tcPr>
          <w:p w14:paraId="2E21DE53"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Knowledge Deepening</w:t>
            </w:r>
          </w:p>
        </w:tc>
        <w:tc>
          <w:tcPr>
            <w:tcW w:w="542" w:type="pct"/>
            <w:gridSpan w:val="2"/>
            <w:vAlign w:val="center"/>
          </w:tcPr>
          <w:p w14:paraId="645AF48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0.372</w:t>
            </w:r>
          </w:p>
        </w:tc>
        <w:tc>
          <w:tcPr>
            <w:tcW w:w="486" w:type="pct"/>
            <w:vAlign w:val="center"/>
          </w:tcPr>
          <w:p w14:paraId="10650D0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0.086</w:t>
            </w:r>
          </w:p>
        </w:tc>
        <w:tc>
          <w:tcPr>
            <w:tcW w:w="484" w:type="pct"/>
            <w:gridSpan w:val="2"/>
            <w:vAlign w:val="center"/>
          </w:tcPr>
          <w:p w14:paraId="0FB2BCA3"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.359</w:t>
            </w:r>
          </w:p>
        </w:tc>
        <w:tc>
          <w:tcPr>
            <w:tcW w:w="510" w:type="pct"/>
            <w:vAlign w:val="center"/>
          </w:tcPr>
          <w:p w14:paraId="56FB77EE"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4.306</w:t>
            </w:r>
          </w:p>
        </w:tc>
        <w:tc>
          <w:tcPr>
            <w:tcW w:w="421" w:type="pct"/>
            <w:vAlign w:val="center"/>
          </w:tcPr>
          <w:p w14:paraId="0834C094"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.000</w:t>
            </w:r>
          </w:p>
        </w:tc>
        <w:tc>
          <w:tcPr>
            <w:tcW w:w="613" w:type="pct"/>
            <w:gridSpan w:val="2"/>
            <w:vAlign w:val="center"/>
          </w:tcPr>
          <w:p w14:paraId="6ACC9C72"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Reject</w:t>
            </w:r>
          </w:p>
        </w:tc>
        <w:tc>
          <w:tcPr>
            <w:tcW w:w="903" w:type="pct"/>
            <w:gridSpan w:val="2"/>
            <w:vAlign w:val="center"/>
          </w:tcPr>
          <w:p w14:paraId="469AA179"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Significant</w:t>
            </w:r>
          </w:p>
        </w:tc>
      </w:tr>
      <w:tr w:rsidR="00FA5D4B" w:rsidRPr="004C22BB" w14:paraId="36611FF5" w14:textId="77777777" w:rsidTr="00D654D6">
        <w:trPr>
          <w:trHeight w:val="540"/>
        </w:trPr>
        <w:tc>
          <w:tcPr>
            <w:tcW w:w="1041" w:type="pct"/>
            <w:vAlign w:val="center"/>
          </w:tcPr>
          <w:p w14:paraId="45308493"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Knowledge Acquisition</w:t>
            </w:r>
          </w:p>
        </w:tc>
        <w:tc>
          <w:tcPr>
            <w:tcW w:w="542" w:type="pct"/>
            <w:gridSpan w:val="2"/>
            <w:vAlign w:val="center"/>
          </w:tcPr>
          <w:p w14:paraId="715AE07A"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0.449</w:t>
            </w:r>
          </w:p>
        </w:tc>
        <w:tc>
          <w:tcPr>
            <w:tcW w:w="486" w:type="pct"/>
            <w:vAlign w:val="center"/>
          </w:tcPr>
          <w:p w14:paraId="4662A9CC"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0.076</w:t>
            </w:r>
          </w:p>
        </w:tc>
        <w:tc>
          <w:tcPr>
            <w:tcW w:w="484" w:type="pct"/>
            <w:gridSpan w:val="2"/>
            <w:vAlign w:val="center"/>
          </w:tcPr>
          <w:p w14:paraId="5218CC27"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.466</w:t>
            </w:r>
          </w:p>
        </w:tc>
        <w:tc>
          <w:tcPr>
            <w:tcW w:w="510" w:type="pct"/>
            <w:vAlign w:val="center"/>
          </w:tcPr>
          <w:p w14:paraId="1C5CD43B"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5.893</w:t>
            </w:r>
          </w:p>
        </w:tc>
        <w:tc>
          <w:tcPr>
            <w:tcW w:w="421" w:type="pct"/>
            <w:vAlign w:val="center"/>
          </w:tcPr>
          <w:p w14:paraId="304689AA"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.000</w:t>
            </w:r>
          </w:p>
        </w:tc>
        <w:tc>
          <w:tcPr>
            <w:tcW w:w="613" w:type="pct"/>
            <w:gridSpan w:val="2"/>
            <w:vAlign w:val="center"/>
          </w:tcPr>
          <w:p w14:paraId="1D1C1B5F"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Reject</w:t>
            </w:r>
          </w:p>
        </w:tc>
        <w:tc>
          <w:tcPr>
            <w:tcW w:w="903" w:type="pct"/>
            <w:gridSpan w:val="2"/>
            <w:vAlign w:val="center"/>
          </w:tcPr>
          <w:p w14:paraId="5A52D278"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Significant</w:t>
            </w:r>
          </w:p>
        </w:tc>
      </w:tr>
      <w:tr w:rsidR="00FA5D4B" w:rsidRPr="004C22BB" w14:paraId="127DDBF2" w14:textId="77777777" w:rsidTr="00D654D6">
        <w:trPr>
          <w:trHeight w:val="540"/>
        </w:trPr>
        <w:tc>
          <w:tcPr>
            <w:tcW w:w="1041" w:type="pct"/>
          </w:tcPr>
          <w:p w14:paraId="4713D617"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Knowledge Creation</w:t>
            </w:r>
          </w:p>
        </w:tc>
        <w:tc>
          <w:tcPr>
            <w:tcW w:w="542" w:type="pct"/>
            <w:gridSpan w:val="2"/>
            <w:vAlign w:val="center"/>
          </w:tcPr>
          <w:p w14:paraId="5F091342"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0.132</w:t>
            </w:r>
          </w:p>
        </w:tc>
        <w:tc>
          <w:tcPr>
            <w:tcW w:w="486" w:type="pct"/>
            <w:vAlign w:val="center"/>
          </w:tcPr>
          <w:p w14:paraId="7A34C22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0.065</w:t>
            </w:r>
          </w:p>
        </w:tc>
        <w:tc>
          <w:tcPr>
            <w:tcW w:w="484" w:type="pct"/>
            <w:gridSpan w:val="2"/>
            <w:vAlign w:val="center"/>
          </w:tcPr>
          <w:p w14:paraId="550A84E7"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.4135</w:t>
            </w:r>
          </w:p>
        </w:tc>
        <w:tc>
          <w:tcPr>
            <w:tcW w:w="510" w:type="pct"/>
            <w:vAlign w:val="center"/>
          </w:tcPr>
          <w:p w14:paraId="0F996744"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2.030</w:t>
            </w:r>
          </w:p>
        </w:tc>
        <w:tc>
          <w:tcPr>
            <w:tcW w:w="421" w:type="pct"/>
            <w:vAlign w:val="center"/>
          </w:tcPr>
          <w:p w14:paraId="0B1B4AE9"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.045</w:t>
            </w:r>
          </w:p>
        </w:tc>
        <w:tc>
          <w:tcPr>
            <w:tcW w:w="613" w:type="pct"/>
            <w:gridSpan w:val="2"/>
            <w:vAlign w:val="center"/>
          </w:tcPr>
          <w:p w14:paraId="311590C1"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Reject</w:t>
            </w:r>
          </w:p>
        </w:tc>
        <w:tc>
          <w:tcPr>
            <w:tcW w:w="903" w:type="pct"/>
            <w:gridSpan w:val="2"/>
            <w:vAlign w:val="center"/>
          </w:tcPr>
          <w:p w14:paraId="235F1A3A"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Significant</w:t>
            </w:r>
          </w:p>
        </w:tc>
      </w:tr>
    </w:tbl>
    <w:p w14:paraId="016B8139"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r w:rsidRPr="004C22BB">
        <w:rPr>
          <w:rFonts w:ascii="Arial" w:eastAsia="Times New Roman" w:hAnsi="Arial" w:cs="Arial"/>
          <w:color w:val="FF0000"/>
          <w:sz w:val="20"/>
          <w:szCs w:val="20"/>
          <w:lang w:val="en-US"/>
        </w:rPr>
        <w:t xml:space="preserve"> </w:t>
      </w:r>
    </w:p>
    <w:p w14:paraId="144924ED"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r w:rsidRPr="004C22BB">
        <w:rPr>
          <w:rFonts w:ascii="Arial" w:eastAsia="Times New Roman" w:hAnsi="Arial" w:cs="Arial"/>
          <w:color w:val="FF0000"/>
          <w:sz w:val="20"/>
          <w:szCs w:val="20"/>
          <w:lang w:val="en-US"/>
        </w:rPr>
        <w:t xml:space="preserve"> </w:t>
      </w:r>
      <w:r w:rsidRPr="004C22BB">
        <w:rPr>
          <w:rFonts w:ascii="Arial" w:eastAsia="Times New Roman" w:hAnsi="Arial" w:cs="Arial"/>
          <w:color w:val="000000"/>
          <w:sz w:val="20"/>
          <w:szCs w:val="20"/>
          <w:lang w:val="en-US"/>
        </w:rPr>
        <w:t>R = 861; R</w:t>
      </w:r>
      <w:r w:rsidRPr="004C22BB">
        <w:rPr>
          <w:rFonts w:ascii="Arial" w:eastAsia="Times New Roman" w:hAnsi="Arial" w:cs="Arial"/>
          <w:color w:val="000000"/>
          <w:sz w:val="20"/>
          <w:szCs w:val="20"/>
          <w:vertAlign w:val="superscript"/>
          <w:lang w:val="en-US"/>
        </w:rPr>
        <w:t>2</w:t>
      </w:r>
      <w:r w:rsidRPr="004C22BB">
        <w:rPr>
          <w:rFonts w:ascii="Arial" w:eastAsia="Times New Roman" w:hAnsi="Arial" w:cs="Arial"/>
          <w:color w:val="000000"/>
          <w:sz w:val="20"/>
          <w:szCs w:val="20"/>
          <w:lang w:val="en-US"/>
        </w:rPr>
        <w:t xml:space="preserve"> = .741; F-value = 91.562; p-value = .000</w:t>
      </w:r>
    </w:p>
    <w:p w14:paraId="551A5AEF" w14:textId="77777777" w:rsidR="00FA5D4B" w:rsidRPr="004C22BB" w:rsidRDefault="00FA5D4B" w:rsidP="00C066BE">
      <w:pPr>
        <w:widowControl w:val="0"/>
        <w:spacing w:after="0" w:line="240" w:lineRule="auto"/>
        <w:jc w:val="both"/>
        <w:rPr>
          <w:rFonts w:ascii="Arial" w:eastAsia="Times New Roman" w:hAnsi="Arial" w:cs="Arial"/>
          <w:color w:val="FF0000"/>
          <w:sz w:val="20"/>
          <w:szCs w:val="20"/>
          <w:lang w:val="en-US"/>
        </w:rPr>
      </w:pPr>
      <w:r w:rsidRPr="004C22BB">
        <w:rPr>
          <w:rFonts w:ascii="Arial" w:eastAsia="Times New Roman" w:hAnsi="Arial" w:cs="Arial"/>
          <w:color w:val="000000"/>
          <w:sz w:val="20"/>
          <w:szCs w:val="20"/>
          <w:lang w:val="en-US"/>
        </w:rPr>
        <w:t>In a finding that should not be overlooked, the established outcomes of the regression analysis obtained an R</w:t>
      </w:r>
      <w:r w:rsidRPr="004C22BB">
        <w:rPr>
          <w:rFonts w:ascii="Arial" w:eastAsia="Times New Roman" w:hAnsi="Arial" w:cs="Arial"/>
          <w:color w:val="000000"/>
          <w:sz w:val="20"/>
          <w:szCs w:val="20"/>
          <w:vertAlign w:val="superscript"/>
          <w:lang w:val="en-US"/>
        </w:rPr>
        <w:t>2</w:t>
      </w:r>
      <w:r w:rsidRPr="004C22BB">
        <w:rPr>
          <w:rFonts w:ascii="Arial" w:eastAsia="Times New Roman" w:hAnsi="Arial" w:cs="Arial"/>
          <w:color w:val="000000"/>
          <w:sz w:val="20"/>
          <w:szCs w:val="20"/>
          <w:lang w:val="en-US"/>
        </w:rPr>
        <w:t xml:space="preserve"> equal to 0.741. This indicates that 74.10% of the significance effect assigned to the importance of TLE teachers' technological competence that substantially influenced their instructional module writing abilities in the new normal is ascribed to the fact that there was a new normal. Therefore, the remaining 25.90% can be attributed to the many additional variables that were not included in the research. Specifically, these indicators might be added to determine if they might have stipulated effect on the instructional module writing skill of TLE teachers in the new normal learning set-up. This would be done by determining whether or not they are included in the current new normal set-up.</w:t>
      </w:r>
      <w:r w:rsidRPr="004C22BB">
        <w:rPr>
          <w:rFonts w:ascii="Arial" w:eastAsia="Times New Roman" w:hAnsi="Arial" w:cs="Arial"/>
          <w:color w:val="FF0000"/>
          <w:sz w:val="20"/>
          <w:szCs w:val="20"/>
          <w:lang w:val="en-US"/>
        </w:rPr>
        <w:tab/>
      </w:r>
    </w:p>
    <w:p w14:paraId="6F1F6910"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rPr>
      </w:pPr>
      <w:r w:rsidRPr="004C22BB">
        <w:rPr>
          <w:rFonts w:ascii="Arial" w:eastAsia="Times New Roman" w:hAnsi="Arial" w:cs="Arial"/>
          <w:color w:val="000000"/>
          <w:sz w:val="20"/>
          <w:szCs w:val="20"/>
        </w:rPr>
        <w:t>As a teacher in the 21st century, it is very necessary to include technology into the instructional plan for a number of different reasons (</w:t>
      </w:r>
      <w:proofErr w:type="spellStart"/>
      <w:r w:rsidRPr="004C22BB">
        <w:rPr>
          <w:rFonts w:ascii="Arial" w:eastAsia="Times New Roman" w:hAnsi="Arial" w:cs="Arial"/>
          <w:color w:val="000000"/>
          <w:sz w:val="20"/>
          <w:szCs w:val="20"/>
        </w:rPr>
        <w:t>Ghavifekr</w:t>
      </w:r>
      <w:proofErr w:type="spellEnd"/>
      <w:r w:rsidRPr="004C22BB">
        <w:rPr>
          <w:rFonts w:ascii="Arial" w:eastAsia="Times New Roman" w:hAnsi="Arial" w:cs="Arial"/>
          <w:color w:val="000000"/>
          <w:sz w:val="20"/>
          <w:szCs w:val="20"/>
        </w:rPr>
        <w:t xml:space="preserve"> and </w:t>
      </w:r>
      <w:proofErr w:type="spellStart"/>
      <w:r w:rsidRPr="004C22BB">
        <w:rPr>
          <w:rFonts w:ascii="Arial" w:eastAsia="Times New Roman" w:hAnsi="Arial" w:cs="Arial"/>
          <w:color w:val="000000"/>
          <w:sz w:val="20"/>
          <w:szCs w:val="20"/>
        </w:rPr>
        <w:t>Rosdy</w:t>
      </w:r>
      <w:proofErr w:type="spellEnd"/>
      <w:r w:rsidRPr="004C22BB">
        <w:rPr>
          <w:rFonts w:ascii="Arial" w:eastAsia="Times New Roman" w:hAnsi="Arial" w:cs="Arial"/>
          <w:color w:val="000000"/>
          <w:sz w:val="20"/>
          <w:szCs w:val="20"/>
        </w:rPr>
        <w:t>, 2015). Being more efficient typically results in more time being made available to teachers, which in turn opens up greater opportunities for invention, planning, conversation, critical thinking, and creative endeavors. Teachers who want to become more knowledgeable, acquire more information, and generate new knowledge may all benefit from the use of technology in their professional lives (Saad and Sankaran, 2020).</w:t>
      </w:r>
    </w:p>
    <w:p w14:paraId="230E7211"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rPr>
      </w:pPr>
      <w:r w:rsidRPr="004C22BB">
        <w:rPr>
          <w:rFonts w:ascii="Arial" w:eastAsia="Times New Roman" w:hAnsi="Arial" w:cs="Arial"/>
          <w:color w:val="000000"/>
          <w:sz w:val="20"/>
          <w:szCs w:val="20"/>
        </w:rPr>
        <w:lastRenderedPageBreak/>
        <w:t>In addition, it seems that competence in using technology is crucial to many parts of the teaching profession, such as the production of instructional materials and the planning of lessons. Other factors that influence a teacher's decision to integrate technology into learning and teaching activities include the teacher's beliefs about the appropriate method for presenting the material, as well as the knowledge and abilities associated with the teacher's ability to effectively manage classroom activities while making use of various technological tools and devices (Minor et al, 2013). Therefore, in order for teachers to be successful in their jobs and provide the desired results, they need to have the technological knowledge and abilities necessary for the duties and responsibilities of professional jobs.</w:t>
      </w:r>
    </w:p>
    <w:p w14:paraId="7C3AB556" w14:textId="77777777" w:rsidR="00FA5D4B" w:rsidRPr="00FA5D4B" w:rsidRDefault="00FA5D4B" w:rsidP="009557B4">
      <w:pPr>
        <w:spacing w:after="0" w:line="240" w:lineRule="auto"/>
        <w:jc w:val="both"/>
        <w:rPr>
          <w:rFonts w:ascii="Times New Roman" w:eastAsia="Times New Roman" w:hAnsi="Times New Roman" w:cs="Times New Roman"/>
          <w:sz w:val="24"/>
          <w:szCs w:val="24"/>
          <w:lang w:eastAsia="en-PH"/>
        </w:rPr>
      </w:pPr>
    </w:p>
    <w:p w14:paraId="6464AE96" w14:textId="768D17D6" w:rsidR="00FA5D4B" w:rsidRPr="0034067B" w:rsidRDefault="0034067B" w:rsidP="0034067B">
      <w:pPr>
        <w:spacing w:after="0" w:line="240" w:lineRule="auto"/>
        <w:rPr>
          <w:rFonts w:ascii="Arial" w:eastAsia="Times New Roman" w:hAnsi="Arial" w:cs="Arial"/>
          <w:b/>
          <w:bCs/>
          <w:iCs/>
          <w:color w:val="000000"/>
          <w:lang w:val="en-US"/>
        </w:rPr>
      </w:pPr>
      <w:r w:rsidRPr="0034067B">
        <w:rPr>
          <w:rFonts w:ascii="Arial" w:eastAsia="Times New Roman" w:hAnsi="Arial" w:cs="Arial"/>
          <w:b/>
          <w:bCs/>
          <w:iCs/>
          <w:color w:val="000000"/>
          <w:lang w:val="en-US"/>
        </w:rPr>
        <w:t>CONCLUSIONS</w:t>
      </w:r>
    </w:p>
    <w:p w14:paraId="058AAF20" w14:textId="77777777" w:rsidR="00FA5D4B" w:rsidRPr="00FA5D4B" w:rsidRDefault="00FA5D4B" w:rsidP="009557B4">
      <w:pPr>
        <w:spacing w:after="0" w:line="240" w:lineRule="auto"/>
        <w:jc w:val="both"/>
        <w:rPr>
          <w:rFonts w:ascii="Arial" w:eastAsia="Times New Roman" w:hAnsi="Arial" w:cs="Arial"/>
          <w:color w:val="000000"/>
          <w:sz w:val="24"/>
          <w:szCs w:val="24"/>
          <w:lang w:val="en-US"/>
        </w:rPr>
      </w:pPr>
    </w:p>
    <w:p w14:paraId="346D110E" w14:textId="77777777" w:rsidR="00FA5D4B" w:rsidRPr="0034067B" w:rsidRDefault="00FA5D4B" w:rsidP="00D02C42">
      <w:pPr>
        <w:spacing w:after="0" w:line="240" w:lineRule="auto"/>
        <w:jc w:val="both"/>
        <w:rPr>
          <w:rFonts w:ascii="Arial" w:eastAsia="Times New Roman" w:hAnsi="Arial" w:cs="Arial"/>
          <w:color w:val="000000"/>
          <w:sz w:val="20"/>
          <w:szCs w:val="20"/>
          <w:lang w:val="en-US"/>
        </w:rPr>
      </w:pPr>
      <w:r w:rsidRPr="0034067B">
        <w:rPr>
          <w:rFonts w:ascii="Arial" w:eastAsia="Times New Roman" w:hAnsi="Arial" w:cs="Arial"/>
          <w:color w:val="000000"/>
          <w:sz w:val="20"/>
          <w:szCs w:val="20"/>
          <w:lang w:val="en-US"/>
        </w:rPr>
        <w:t>Based on the findings of this study, the following conclusions were offered:</w:t>
      </w:r>
    </w:p>
    <w:p w14:paraId="573402ED" w14:textId="77777777" w:rsidR="00FA5D4B" w:rsidRPr="0034067B" w:rsidRDefault="00FA5D4B" w:rsidP="00D02C42">
      <w:pPr>
        <w:spacing w:after="0" w:line="240" w:lineRule="auto"/>
        <w:jc w:val="both"/>
        <w:rPr>
          <w:rFonts w:ascii="Arial" w:eastAsia="Calibri" w:hAnsi="Arial" w:cs="Arial"/>
          <w:color w:val="000000"/>
          <w:sz w:val="20"/>
          <w:szCs w:val="20"/>
          <w:lang w:val="en-US"/>
        </w:rPr>
      </w:pPr>
      <w:r w:rsidRPr="0034067B">
        <w:rPr>
          <w:rFonts w:ascii="Arial" w:eastAsia="Calibri" w:hAnsi="Arial" w:cs="Arial"/>
          <w:color w:val="000000"/>
          <w:sz w:val="20"/>
          <w:szCs w:val="20"/>
          <w:lang w:val="en-US"/>
        </w:rPr>
        <w:t xml:space="preserve">The </w:t>
      </w:r>
      <w:r w:rsidRPr="0034067B">
        <w:rPr>
          <w:rFonts w:ascii="Arial" w:eastAsia="Arial" w:hAnsi="Arial" w:cs="Arial"/>
          <w:color w:val="000000"/>
          <w:sz w:val="20"/>
          <w:szCs w:val="20"/>
          <w:lang w:val="en-US"/>
        </w:rPr>
        <w:t xml:space="preserve">TLE teachers manifest a strong </w:t>
      </w:r>
      <w:r w:rsidRPr="0034067B">
        <w:rPr>
          <w:rFonts w:ascii="Arial" w:eastAsia="Calibri" w:hAnsi="Arial" w:cs="Arial"/>
          <w:color w:val="000000"/>
          <w:sz w:val="20"/>
          <w:szCs w:val="20"/>
          <w:lang w:val="en-US"/>
        </w:rPr>
        <w:t>technology proficiency in the new normal. In addition, this demonstrates that TLE teachers continued to be competent in their field of expertise despite worries that were raised about the level of instruction as a consequence of the COVID-19 outbreak. TLE teachers are still capable of building inclusive learning environments in which students from all walks of life are appreciated and encouraged to contribute. They are educated professionals who were formerly skilled in the independent application of skills that are essential to the process of teaching and learning, and they are able to demonstrate competence in the design, execution, and administration of learning programs. In addition, they are able to demonstrate competence in designing learning programs.</w:t>
      </w:r>
    </w:p>
    <w:p w14:paraId="01612AD3" w14:textId="77777777" w:rsidR="00FA5D4B" w:rsidRPr="0034067B" w:rsidRDefault="00FA5D4B" w:rsidP="005860C9">
      <w:pPr>
        <w:spacing w:after="0" w:line="240" w:lineRule="auto"/>
        <w:jc w:val="both"/>
        <w:rPr>
          <w:rFonts w:ascii="Arial" w:eastAsia="Calibri" w:hAnsi="Arial" w:cs="Arial"/>
          <w:color w:val="000000"/>
          <w:sz w:val="20"/>
          <w:szCs w:val="20"/>
          <w:lang w:val="en-US"/>
        </w:rPr>
      </w:pPr>
      <w:r w:rsidRPr="0034067B">
        <w:rPr>
          <w:rFonts w:ascii="Arial" w:eastAsia="Calibri" w:hAnsi="Arial" w:cs="Arial"/>
          <w:color w:val="000000"/>
          <w:sz w:val="20"/>
          <w:szCs w:val="20"/>
          <w:lang w:val="en-US"/>
        </w:rPr>
        <w:t xml:space="preserve">Accordingly, the </w:t>
      </w:r>
      <w:r w:rsidRPr="0034067B">
        <w:rPr>
          <w:rFonts w:ascii="Arial" w:eastAsia="Arial" w:hAnsi="Arial" w:cs="Arial"/>
          <w:color w:val="000000"/>
          <w:sz w:val="20"/>
          <w:szCs w:val="20"/>
          <w:lang w:val="en-US"/>
        </w:rPr>
        <w:t xml:space="preserve">TLE teachers manifest a strong </w:t>
      </w:r>
      <w:r w:rsidRPr="0034067B">
        <w:rPr>
          <w:rFonts w:ascii="Arial" w:eastAsia="Times New Roman" w:hAnsi="Arial" w:cs="Arial"/>
          <w:color w:val="000000"/>
          <w:sz w:val="20"/>
          <w:szCs w:val="20"/>
          <w:lang w:val="en-US" w:eastAsia="en-PH"/>
        </w:rPr>
        <w:t xml:space="preserve">instructional module writing ability </w:t>
      </w:r>
      <w:r w:rsidRPr="0034067B">
        <w:rPr>
          <w:rFonts w:ascii="Arial" w:eastAsia="Calibri" w:hAnsi="Arial" w:cs="Arial"/>
          <w:color w:val="000000"/>
          <w:sz w:val="20"/>
          <w:szCs w:val="20"/>
          <w:lang w:val="en-US"/>
        </w:rPr>
        <w:t>in the new normal. It also implies that TLE teachers continued to demonstrate proficiency in developing instructional materials such as instructional modules despite there being concerns made regarding the quality of teaching as a result of the COVID-19 epidemic. Specifically, it implies that these concerns were a direct result of the epidemic. The instructional modules that were produced were supposed to be used as a supplement for the K-12 curriculum, which includes the TLE's integration of knowledge and information mastery, entrepreneurship, work values, and lifelong learning skills. Localization, indigenization, and enhancement of the same are encouraged and supported by DepEd in accordance with the standards and principles of the K–12 Basic Education Program (BEP). Schools, divisions, and regions are free to adapt localization, indigenization, and enhancement of the same to their own uniquely crafted instructional materials and social contexts.</w:t>
      </w:r>
    </w:p>
    <w:p w14:paraId="07B48346" w14:textId="77777777" w:rsidR="00FA5D4B" w:rsidRPr="0034067B" w:rsidRDefault="00FA5D4B" w:rsidP="005860C9">
      <w:pPr>
        <w:spacing w:after="0" w:line="240" w:lineRule="auto"/>
        <w:jc w:val="both"/>
        <w:rPr>
          <w:rFonts w:ascii="Arial" w:eastAsia="Calibri" w:hAnsi="Arial" w:cs="Arial"/>
          <w:color w:val="000000"/>
          <w:sz w:val="20"/>
          <w:szCs w:val="20"/>
          <w:shd w:val="clear" w:color="auto" w:fill="FFFFFF"/>
          <w:lang w:val="en-US"/>
        </w:rPr>
      </w:pPr>
      <w:r w:rsidRPr="0034067B">
        <w:rPr>
          <w:rFonts w:ascii="Arial" w:eastAsia="Calibri" w:hAnsi="Arial" w:cs="Arial"/>
          <w:color w:val="000000"/>
          <w:sz w:val="20"/>
          <w:szCs w:val="20"/>
          <w:lang w:val="en-US"/>
        </w:rPr>
        <w:t>Furthermore, there is a strong significant positive correlation between the technology proficiency and instructional module writing ability of TLE teachers in the new normal learning environment</w:t>
      </w:r>
      <w:r w:rsidRPr="0034067B">
        <w:rPr>
          <w:rFonts w:ascii="Arial" w:eastAsia="Arial" w:hAnsi="Arial" w:cs="Arial"/>
          <w:color w:val="000000"/>
          <w:sz w:val="20"/>
          <w:szCs w:val="20"/>
          <w:lang w:val="en-US"/>
        </w:rPr>
        <w:t>. This shows that in the new standard learning environment, TLE teachers are better equipped to produce instructional modules as a consequence of their enhanced manifestations of their technical expertise. This is because the new standard learning environment is based on blended learning. TLE teachers who have a background in technology-enhanced learning will be in a prime position to identify and experiment with a wide range of technological tools and devices in the context of the new normal learning environment. They will then choose those that provide the most effective responses to the materials that are being taught.</w:t>
      </w:r>
    </w:p>
    <w:p w14:paraId="331CC4C3" w14:textId="77777777" w:rsidR="00FA5D4B" w:rsidRPr="0034067B" w:rsidRDefault="00FA5D4B" w:rsidP="005860C9">
      <w:pPr>
        <w:spacing w:after="0" w:line="240" w:lineRule="auto"/>
        <w:jc w:val="both"/>
        <w:rPr>
          <w:rFonts w:ascii="Arial" w:eastAsia="Calibri" w:hAnsi="Arial" w:cs="Arial"/>
          <w:b/>
          <w:color w:val="000000"/>
          <w:sz w:val="20"/>
          <w:szCs w:val="20"/>
          <w:lang w:val="en-US"/>
        </w:rPr>
      </w:pPr>
      <w:r w:rsidRPr="0034067B">
        <w:rPr>
          <w:rFonts w:ascii="Arial" w:eastAsia="Calibri" w:hAnsi="Arial" w:cs="Arial"/>
          <w:color w:val="000000"/>
          <w:sz w:val="20"/>
          <w:szCs w:val="20"/>
        </w:rPr>
        <w:t>T</w:t>
      </w:r>
      <w:r w:rsidRPr="0034067B">
        <w:rPr>
          <w:rFonts w:ascii="Arial" w:eastAsia="Arial" w:hAnsi="Arial" w:cs="Arial"/>
          <w:color w:val="000000"/>
          <w:sz w:val="20"/>
          <w:szCs w:val="20"/>
          <w:highlight w:val="white"/>
          <w:lang w:val="en-US"/>
        </w:rPr>
        <w:t xml:space="preserve">here is a </w:t>
      </w:r>
      <w:r w:rsidRPr="0034067B">
        <w:rPr>
          <w:rFonts w:ascii="Arial" w:eastAsia="Calibri" w:hAnsi="Arial" w:cs="Arial"/>
          <w:color w:val="000000"/>
          <w:sz w:val="20"/>
          <w:szCs w:val="20"/>
          <w:lang w:val="en-US"/>
        </w:rPr>
        <w:t xml:space="preserve">significant influence of technology proficiency on the ability of TLE teachers to write instructional modules in the new normal. Specifically, every single one of the indicators of TLE teacher technological competency has a substantial effect on their capacity to write instructional modules in the new normal. </w:t>
      </w:r>
      <w:r w:rsidRPr="0034067B">
        <w:rPr>
          <w:rFonts w:ascii="Arial" w:eastAsia="Calibri" w:hAnsi="Arial" w:cs="Arial"/>
          <w:color w:val="000000"/>
          <w:sz w:val="20"/>
          <w:szCs w:val="20"/>
        </w:rPr>
        <w:t>When teachers have more time on their hands as a result of improvements in efficiency, there is typically an increased likelihood of increased opportunities for innovation, planning, dialogue, critical thinking, and creative thinking. This is because teachers have more time to devote to these activities when they have more time on their hands. The use of technology into educational environments can make it simpler for instructors to increase the breadth and depth of their own bodies of knowledge, learn new skills, and conceive of innovative teaching strategies. It would appear that having a fundamental knowledge of technology is required for many elements of teaching, such as the development of curricular plans and the fabrication of educational materials.</w:t>
      </w:r>
    </w:p>
    <w:p w14:paraId="71B531E2" w14:textId="77777777" w:rsidR="00FA5D4B" w:rsidRPr="00FA5D4B" w:rsidRDefault="00FA5D4B" w:rsidP="009557B4">
      <w:pPr>
        <w:spacing w:after="0" w:line="240" w:lineRule="auto"/>
        <w:rPr>
          <w:rFonts w:ascii="Calibri" w:eastAsia="Times New Roman" w:hAnsi="Calibri" w:cs="Times New Roman"/>
          <w:color w:val="FF0000"/>
          <w:lang w:val="en-US"/>
        </w:rPr>
      </w:pPr>
    </w:p>
    <w:p w14:paraId="3E4D774C" w14:textId="77777777" w:rsidR="0034067B" w:rsidRPr="0034067B" w:rsidRDefault="0034067B" w:rsidP="009557B4">
      <w:pPr>
        <w:spacing w:after="0" w:line="240" w:lineRule="auto"/>
        <w:ind w:firstLine="720"/>
        <w:jc w:val="both"/>
        <w:rPr>
          <w:rFonts w:ascii="Arial" w:eastAsia="Times New Roman" w:hAnsi="Arial" w:cs="Arial"/>
          <w:sz w:val="20"/>
          <w:szCs w:val="20"/>
          <w:lang w:eastAsia="en-PH"/>
        </w:rPr>
      </w:pPr>
    </w:p>
    <w:p w14:paraId="57C4CFDC" w14:textId="77777777" w:rsidR="006952A4" w:rsidRPr="0034067B" w:rsidRDefault="006952A4" w:rsidP="009557B4">
      <w:pPr>
        <w:spacing w:after="0" w:line="240" w:lineRule="auto"/>
        <w:rPr>
          <w:rFonts w:ascii="Arial" w:eastAsia="Times New Roman" w:hAnsi="Arial" w:cs="Arial"/>
          <w:sz w:val="24"/>
          <w:szCs w:val="24"/>
          <w:lang w:eastAsia="en-PH"/>
        </w:rPr>
      </w:pPr>
    </w:p>
    <w:p w14:paraId="2812BDDC" w14:textId="7244016E" w:rsidR="006952A4" w:rsidRPr="005860C9" w:rsidRDefault="005860C9" w:rsidP="005860C9">
      <w:pPr>
        <w:spacing w:after="0" w:line="240" w:lineRule="auto"/>
        <w:ind w:left="720" w:hanging="720"/>
        <w:rPr>
          <w:rFonts w:ascii="Arial" w:eastAsia="Times New Roman" w:hAnsi="Arial" w:cs="Arial"/>
          <w:b/>
          <w:bCs/>
          <w:lang w:val="en-US"/>
        </w:rPr>
      </w:pPr>
      <w:r w:rsidRPr="005860C9">
        <w:rPr>
          <w:rFonts w:ascii="Arial" w:eastAsia="Times New Roman" w:hAnsi="Arial" w:cs="Arial"/>
          <w:b/>
          <w:bCs/>
          <w:lang w:val="en-US"/>
        </w:rPr>
        <w:t>REFERENCES</w:t>
      </w:r>
    </w:p>
    <w:p w14:paraId="134E87F8" w14:textId="77777777" w:rsidR="006952A4" w:rsidRPr="006952A4" w:rsidRDefault="006952A4" w:rsidP="00042DD2">
      <w:pPr>
        <w:spacing w:after="0" w:line="240" w:lineRule="auto"/>
        <w:jc w:val="both"/>
        <w:rPr>
          <w:rFonts w:ascii="Arial" w:eastAsia="Times New Roman" w:hAnsi="Arial" w:cs="Arial"/>
          <w:color w:val="FF0000"/>
          <w:sz w:val="24"/>
          <w:szCs w:val="24"/>
          <w:lang w:val="en-US"/>
        </w:rPr>
      </w:pPr>
    </w:p>
    <w:p w14:paraId="1329FDC5" w14:textId="77777777" w:rsidR="00E97795" w:rsidRDefault="006952A4" w:rsidP="00E97795">
      <w:pPr>
        <w:spacing w:after="0" w:line="240" w:lineRule="auto"/>
        <w:ind w:left="720" w:hanging="720"/>
        <w:rPr>
          <w:rFonts w:ascii="Arial" w:eastAsia="Times New Roman" w:hAnsi="Arial" w:cs="Arial"/>
          <w:color w:val="000000"/>
          <w:sz w:val="20"/>
          <w:szCs w:val="20"/>
          <w:lang w:val="en-US" w:eastAsia="ko-KR"/>
        </w:rPr>
      </w:pPr>
      <w:r w:rsidRPr="00747DB1">
        <w:rPr>
          <w:rFonts w:ascii="Arial" w:eastAsia="Times New Roman" w:hAnsi="Arial" w:cs="Arial"/>
          <w:color w:val="000000"/>
          <w:sz w:val="20"/>
          <w:szCs w:val="20"/>
          <w:lang w:val="en-US" w:eastAsia="ko-KR"/>
        </w:rPr>
        <w:t>Alvarez, A. Jr. (2020). The phenomenon of learning at a distance through emergency remote teaching</w:t>
      </w:r>
    </w:p>
    <w:p w14:paraId="7FEBF020" w14:textId="4CF931A0"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lang w:val="en-US" w:eastAsia="ko-KR"/>
        </w:rPr>
        <w:t xml:space="preserve">amidst the pandemic crisis. </w:t>
      </w:r>
      <w:r w:rsidRPr="00747DB1">
        <w:rPr>
          <w:rFonts w:ascii="Arial" w:eastAsia="Times New Roman" w:hAnsi="Arial" w:cs="Arial"/>
          <w:i/>
          <w:color w:val="000000"/>
          <w:sz w:val="20"/>
          <w:szCs w:val="20"/>
          <w:lang w:val="en-US" w:eastAsia="ko-KR"/>
        </w:rPr>
        <w:t>Asian Journal of Distance Education</w:t>
      </w:r>
      <w:r w:rsidRPr="00747DB1">
        <w:rPr>
          <w:rFonts w:ascii="Arial" w:eastAsia="Times New Roman" w:hAnsi="Arial" w:cs="Arial"/>
          <w:color w:val="000000"/>
          <w:sz w:val="20"/>
          <w:szCs w:val="20"/>
          <w:lang w:val="en-US" w:eastAsia="ko-KR"/>
        </w:rPr>
        <w:t>, 15(1), 144-153.</w:t>
      </w:r>
    </w:p>
    <w:p w14:paraId="1967FC0E" w14:textId="77777777" w:rsidR="006952A4" w:rsidRPr="00747DB1" w:rsidRDefault="006952A4" w:rsidP="00E97795">
      <w:pPr>
        <w:spacing w:after="0" w:line="240" w:lineRule="auto"/>
        <w:ind w:left="720" w:hanging="720"/>
        <w:rPr>
          <w:rFonts w:ascii="Arial" w:eastAsia="Times New Roman" w:hAnsi="Arial" w:cs="Arial"/>
          <w:color w:val="000000"/>
          <w:sz w:val="20"/>
          <w:szCs w:val="20"/>
          <w:lang w:val="en-US" w:eastAsia="ko-KR"/>
        </w:rPr>
      </w:pPr>
    </w:p>
    <w:p w14:paraId="453D6573" w14:textId="77777777" w:rsidR="006952A4" w:rsidRPr="00747DB1" w:rsidRDefault="006952A4" w:rsidP="00E97795">
      <w:pPr>
        <w:spacing w:after="0" w:line="240" w:lineRule="auto"/>
        <w:ind w:left="720" w:hanging="720"/>
        <w:rPr>
          <w:rFonts w:ascii="Arial" w:eastAsia="Times New Roman" w:hAnsi="Arial" w:cs="Arial"/>
          <w:color w:val="000000"/>
          <w:sz w:val="20"/>
          <w:szCs w:val="20"/>
          <w:lang w:val="en-US" w:eastAsia="ko-KR"/>
        </w:rPr>
      </w:pPr>
      <w:r w:rsidRPr="006D22E9">
        <w:rPr>
          <w:rFonts w:ascii="Arial" w:eastAsia="Times New Roman" w:hAnsi="Arial" w:cs="Arial"/>
          <w:color w:val="000000"/>
          <w:sz w:val="20"/>
          <w:szCs w:val="20"/>
          <w:lang w:val="de-DE" w:eastAsia="ko-KR"/>
        </w:rPr>
        <w:t xml:space="preserve">Amri, S., et.al. (2020). </w:t>
      </w:r>
      <w:r w:rsidRPr="006D22E9">
        <w:rPr>
          <w:rFonts w:ascii="Arial" w:eastAsia="Times New Roman" w:hAnsi="Arial" w:cs="Arial"/>
          <w:i/>
          <w:color w:val="000000"/>
          <w:sz w:val="20"/>
          <w:szCs w:val="20"/>
          <w:lang w:val="de-DE" w:eastAsia="ko-KR"/>
        </w:rPr>
        <w:t>Kontruksi Pengembangan Pembelajaran.</w:t>
      </w:r>
      <w:r w:rsidRPr="006D22E9">
        <w:rPr>
          <w:rFonts w:ascii="Arial" w:eastAsia="Times New Roman" w:hAnsi="Arial" w:cs="Arial"/>
          <w:color w:val="000000"/>
          <w:sz w:val="20"/>
          <w:szCs w:val="20"/>
          <w:lang w:val="de-DE" w:eastAsia="ko-KR"/>
        </w:rPr>
        <w:t xml:space="preserve"> </w:t>
      </w:r>
      <w:r w:rsidRPr="00747DB1">
        <w:rPr>
          <w:rFonts w:ascii="Arial" w:eastAsia="Times New Roman" w:hAnsi="Arial" w:cs="Arial"/>
          <w:color w:val="000000"/>
          <w:sz w:val="20"/>
          <w:szCs w:val="20"/>
          <w:lang w:val="en-US" w:eastAsia="ko-KR"/>
        </w:rPr>
        <w:t xml:space="preserve">Jakarta: </w:t>
      </w:r>
      <w:proofErr w:type="spellStart"/>
      <w:r w:rsidRPr="00747DB1">
        <w:rPr>
          <w:rFonts w:ascii="Arial" w:eastAsia="Times New Roman" w:hAnsi="Arial" w:cs="Arial"/>
          <w:color w:val="000000"/>
          <w:sz w:val="20"/>
          <w:szCs w:val="20"/>
          <w:lang w:val="en-US" w:eastAsia="ko-KR"/>
        </w:rPr>
        <w:t>Prestasi</w:t>
      </w:r>
      <w:proofErr w:type="spellEnd"/>
      <w:r w:rsidRPr="00747DB1">
        <w:rPr>
          <w:rFonts w:ascii="Arial" w:eastAsia="Times New Roman" w:hAnsi="Arial" w:cs="Arial"/>
          <w:color w:val="000000"/>
          <w:sz w:val="20"/>
          <w:szCs w:val="20"/>
          <w:lang w:val="en-US" w:eastAsia="ko-KR"/>
        </w:rPr>
        <w:t xml:space="preserve"> Pustaka. </w:t>
      </w:r>
    </w:p>
    <w:p w14:paraId="1386594B" w14:textId="77777777" w:rsidR="006952A4" w:rsidRPr="00747DB1" w:rsidRDefault="006952A4" w:rsidP="00E97795">
      <w:pPr>
        <w:spacing w:after="0" w:line="240" w:lineRule="auto"/>
        <w:rPr>
          <w:rFonts w:ascii="Arial" w:eastAsia="Times New Roman" w:hAnsi="Arial" w:cs="Arial"/>
          <w:sz w:val="20"/>
          <w:szCs w:val="20"/>
          <w:lang w:val="en-US"/>
        </w:rPr>
      </w:pPr>
    </w:p>
    <w:p w14:paraId="69FD6FC4" w14:textId="77777777" w:rsidR="00E97795" w:rsidRDefault="006952A4" w:rsidP="00E97795">
      <w:pPr>
        <w:spacing w:after="0" w:line="240" w:lineRule="auto"/>
        <w:ind w:left="720" w:hanging="720"/>
        <w:rPr>
          <w:rFonts w:ascii="Arial" w:eastAsia="Times New Roman" w:hAnsi="Arial" w:cs="Arial"/>
          <w:color w:val="000000"/>
          <w:sz w:val="20"/>
          <w:szCs w:val="20"/>
          <w:lang w:val="en-US" w:eastAsia="ko-KR"/>
        </w:rPr>
      </w:pPr>
      <w:r w:rsidRPr="00747DB1">
        <w:rPr>
          <w:rFonts w:ascii="Arial" w:eastAsia="Times New Roman" w:hAnsi="Arial" w:cs="Arial"/>
          <w:color w:val="000000"/>
          <w:sz w:val="20"/>
          <w:szCs w:val="20"/>
          <w:lang w:val="en-US" w:eastAsia="ko-KR"/>
        </w:rPr>
        <w:t xml:space="preserve">Barni, D., </w:t>
      </w:r>
      <w:proofErr w:type="spellStart"/>
      <w:r w:rsidRPr="00747DB1">
        <w:rPr>
          <w:rFonts w:ascii="Arial" w:eastAsia="Times New Roman" w:hAnsi="Arial" w:cs="Arial"/>
          <w:color w:val="000000"/>
          <w:sz w:val="20"/>
          <w:szCs w:val="20"/>
          <w:lang w:val="en-US" w:eastAsia="ko-KR"/>
        </w:rPr>
        <w:t>Danioni</w:t>
      </w:r>
      <w:proofErr w:type="spellEnd"/>
      <w:r w:rsidRPr="00747DB1">
        <w:rPr>
          <w:rFonts w:ascii="Arial" w:eastAsia="Times New Roman" w:hAnsi="Arial" w:cs="Arial"/>
          <w:color w:val="000000"/>
          <w:sz w:val="20"/>
          <w:szCs w:val="20"/>
          <w:lang w:val="en-US" w:eastAsia="ko-KR"/>
        </w:rPr>
        <w:t xml:space="preserve">, F., &amp; </w:t>
      </w:r>
      <w:proofErr w:type="spellStart"/>
      <w:r w:rsidRPr="00747DB1">
        <w:rPr>
          <w:rFonts w:ascii="Arial" w:eastAsia="Times New Roman" w:hAnsi="Arial" w:cs="Arial"/>
          <w:color w:val="000000"/>
          <w:sz w:val="20"/>
          <w:szCs w:val="20"/>
          <w:lang w:val="en-US" w:eastAsia="ko-KR"/>
        </w:rPr>
        <w:t>Benevene</w:t>
      </w:r>
      <w:proofErr w:type="spellEnd"/>
      <w:r w:rsidRPr="00747DB1">
        <w:rPr>
          <w:rFonts w:ascii="Arial" w:eastAsia="Times New Roman" w:hAnsi="Arial" w:cs="Arial"/>
          <w:color w:val="000000"/>
          <w:sz w:val="20"/>
          <w:szCs w:val="20"/>
          <w:lang w:val="en-US" w:eastAsia="ko-KR"/>
        </w:rPr>
        <w:t xml:space="preserve">., P.  (2019). </w:t>
      </w:r>
      <w:r w:rsidRPr="00747DB1">
        <w:rPr>
          <w:rFonts w:ascii="Arial" w:eastAsia="Times New Roman" w:hAnsi="Arial" w:cs="Arial"/>
          <w:i/>
          <w:color w:val="000000"/>
          <w:sz w:val="20"/>
          <w:szCs w:val="20"/>
          <w:lang w:val="en-US" w:eastAsia="ko-KR"/>
        </w:rPr>
        <w:t>Teachers’ Self-Efficacy:</w:t>
      </w:r>
      <w:r w:rsidRPr="00747DB1">
        <w:rPr>
          <w:rFonts w:ascii="Arial" w:eastAsia="Times New Roman" w:hAnsi="Arial" w:cs="Arial"/>
          <w:color w:val="000000"/>
          <w:sz w:val="20"/>
          <w:szCs w:val="20"/>
          <w:lang w:val="en-US" w:eastAsia="ko-KR"/>
        </w:rPr>
        <w:t xml:space="preserve"> The Role of Personal Values</w:t>
      </w:r>
    </w:p>
    <w:p w14:paraId="1900CA1B" w14:textId="3AB5A7FE" w:rsidR="006952A4" w:rsidRPr="00747DB1" w:rsidRDefault="006952A4" w:rsidP="00E97795">
      <w:pPr>
        <w:spacing w:after="0" w:line="240" w:lineRule="auto"/>
        <w:ind w:left="720" w:hanging="720"/>
        <w:rPr>
          <w:rFonts w:ascii="Arial" w:eastAsia="Times New Roman" w:hAnsi="Arial" w:cs="Arial"/>
          <w:color w:val="000000"/>
          <w:sz w:val="20"/>
          <w:szCs w:val="20"/>
          <w:lang w:val="en-US" w:eastAsia="ko-KR"/>
        </w:rPr>
      </w:pPr>
      <w:r w:rsidRPr="00747DB1">
        <w:rPr>
          <w:rFonts w:ascii="Arial" w:eastAsia="Times New Roman" w:hAnsi="Arial" w:cs="Arial"/>
          <w:color w:val="000000"/>
          <w:sz w:val="20"/>
          <w:szCs w:val="20"/>
          <w:lang w:val="en-US" w:eastAsia="ko-KR"/>
        </w:rPr>
        <w:t>and Motivations for Teaching.</w:t>
      </w:r>
    </w:p>
    <w:p w14:paraId="50238E81" w14:textId="71956725"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shd w:val="clear" w:color="auto" w:fill="FFFFFF"/>
          <w:lang w:val="en-US"/>
        </w:rPr>
        <w:t xml:space="preserve"> </w:t>
      </w:r>
    </w:p>
    <w:p w14:paraId="5690E9BA" w14:textId="77777777" w:rsidR="00E97795" w:rsidRDefault="006952A4" w:rsidP="00E97795">
      <w:pPr>
        <w:spacing w:after="0" w:line="240" w:lineRule="auto"/>
        <w:ind w:left="720" w:hanging="720"/>
        <w:rPr>
          <w:rFonts w:ascii="Arial" w:eastAsia="Times New Roman" w:hAnsi="Arial" w:cs="Arial"/>
          <w:color w:val="000000"/>
          <w:sz w:val="20"/>
          <w:szCs w:val="20"/>
          <w:lang w:val="en-US" w:eastAsia="ko-KR"/>
        </w:rPr>
      </w:pPr>
      <w:r w:rsidRPr="00747DB1">
        <w:rPr>
          <w:rFonts w:ascii="Arial" w:eastAsia="Times New Roman" w:hAnsi="Arial" w:cs="Arial"/>
          <w:color w:val="000000"/>
          <w:sz w:val="20"/>
          <w:szCs w:val="20"/>
          <w:lang w:val="en-US" w:eastAsia="ko-KR"/>
        </w:rPr>
        <w:t>De Villa, J., Manalo, F., &amp; Kevin B., (2020). Secondary Teachers'</w:t>
      </w:r>
      <w:r w:rsidRPr="00747DB1">
        <w:rPr>
          <w:rFonts w:ascii="Arial" w:eastAsia="Times New Roman" w:hAnsi="Arial" w:cs="Arial"/>
          <w:color w:val="000000"/>
          <w:sz w:val="20"/>
          <w:szCs w:val="20"/>
          <w:lang w:val="en-US" w:eastAsia="ko-KR"/>
        </w:rPr>
        <w:tab/>
        <w:t>Preparation, Challenges,</w:t>
      </w:r>
      <w:r w:rsidRPr="00747DB1">
        <w:rPr>
          <w:rFonts w:ascii="Arial" w:eastAsia="Times New Roman" w:hAnsi="Arial" w:cs="Arial"/>
          <w:color w:val="000000"/>
          <w:sz w:val="20"/>
          <w:szCs w:val="20"/>
          <w:lang w:val="en-US" w:eastAsia="ko-KR"/>
        </w:rPr>
        <w:tab/>
        <w:t>and</w:t>
      </w:r>
    </w:p>
    <w:p w14:paraId="01C02B4B" w14:textId="77777777" w:rsidR="00E97795" w:rsidRDefault="006952A4" w:rsidP="00E97795">
      <w:pPr>
        <w:spacing w:after="0" w:line="240" w:lineRule="auto"/>
        <w:ind w:left="720" w:hanging="720"/>
        <w:rPr>
          <w:rFonts w:ascii="Arial" w:eastAsia="Times New Roman" w:hAnsi="Arial" w:cs="Arial"/>
          <w:i/>
          <w:color w:val="000000"/>
          <w:sz w:val="20"/>
          <w:szCs w:val="20"/>
          <w:lang w:val="en-US" w:eastAsia="ko-KR"/>
        </w:rPr>
      </w:pPr>
      <w:r w:rsidRPr="00747DB1">
        <w:rPr>
          <w:rFonts w:ascii="Arial" w:eastAsia="Times New Roman" w:hAnsi="Arial" w:cs="Arial"/>
          <w:color w:val="000000"/>
          <w:sz w:val="20"/>
          <w:szCs w:val="20"/>
          <w:lang w:val="en-US" w:eastAsia="ko-KR"/>
        </w:rPr>
        <w:t>Coping</w:t>
      </w:r>
      <w:r w:rsidRPr="00747DB1">
        <w:rPr>
          <w:rFonts w:ascii="Arial" w:eastAsia="Times New Roman" w:hAnsi="Arial" w:cs="Arial"/>
          <w:color w:val="000000"/>
          <w:sz w:val="20"/>
          <w:szCs w:val="20"/>
          <w:lang w:val="en-US" w:eastAsia="ko-KR"/>
        </w:rPr>
        <w:tab/>
        <w:t xml:space="preserve">Mechanism in the </w:t>
      </w:r>
      <w:proofErr w:type="gramStart"/>
      <w:r w:rsidRPr="00747DB1">
        <w:rPr>
          <w:rFonts w:ascii="Arial" w:eastAsia="Times New Roman" w:hAnsi="Arial" w:cs="Arial"/>
          <w:color w:val="000000"/>
          <w:sz w:val="20"/>
          <w:szCs w:val="20"/>
          <w:lang w:val="en-US" w:eastAsia="ko-KR"/>
        </w:rPr>
        <w:t>Pre Implementation</w:t>
      </w:r>
      <w:proofErr w:type="gramEnd"/>
      <w:r w:rsidRPr="00747DB1">
        <w:rPr>
          <w:rFonts w:ascii="Arial" w:eastAsia="Times New Roman" w:hAnsi="Arial" w:cs="Arial"/>
          <w:color w:val="000000"/>
          <w:sz w:val="20"/>
          <w:szCs w:val="20"/>
          <w:lang w:val="en-US" w:eastAsia="ko-KR"/>
        </w:rPr>
        <w:t xml:space="preserve"> of Distance\Learning in the New Normal. </w:t>
      </w:r>
      <w:r w:rsidRPr="00747DB1">
        <w:rPr>
          <w:rFonts w:ascii="Arial" w:eastAsia="Times New Roman" w:hAnsi="Arial" w:cs="Arial"/>
          <w:i/>
          <w:color w:val="000000"/>
          <w:sz w:val="20"/>
          <w:szCs w:val="20"/>
          <w:lang w:val="en-US" w:eastAsia="ko-KR"/>
        </w:rPr>
        <w:t>IOER</w:t>
      </w:r>
    </w:p>
    <w:p w14:paraId="66A3976D" w14:textId="511DDD50" w:rsidR="006952A4" w:rsidRPr="00747DB1" w:rsidRDefault="006952A4" w:rsidP="00E97795">
      <w:pPr>
        <w:spacing w:after="0" w:line="240" w:lineRule="auto"/>
        <w:rPr>
          <w:rFonts w:ascii="Arial" w:eastAsia="Times New Roman" w:hAnsi="Arial" w:cs="Arial"/>
          <w:color w:val="000000"/>
          <w:sz w:val="20"/>
          <w:szCs w:val="20"/>
          <w:lang w:val="en-US" w:eastAsia="ko-KR"/>
        </w:rPr>
      </w:pPr>
      <w:r w:rsidRPr="00747DB1">
        <w:rPr>
          <w:rFonts w:ascii="Arial" w:eastAsia="Times New Roman" w:hAnsi="Arial" w:cs="Arial"/>
          <w:i/>
          <w:color w:val="000000"/>
          <w:sz w:val="20"/>
          <w:szCs w:val="20"/>
          <w:lang w:val="en-US" w:eastAsia="ko-KR"/>
        </w:rPr>
        <w:t xml:space="preserve"> International Multidisciplinary Research Journal</w:t>
      </w:r>
      <w:r w:rsidRPr="00747DB1">
        <w:rPr>
          <w:rFonts w:ascii="Arial" w:eastAsia="Times New Roman" w:hAnsi="Arial" w:cs="Arial"/>
          <w:color w:val="000000"/>
          <w:sz w:val="20"/>
          <w:szCs w:val="20"/>
          <w:lang w:val="en-US" w:eastAsia="ko-KR"/>
        </w:rPr>
        <w:t>, Volume 2(3): pp. 144 154,</w:t>
      </w:r>
    </w:p>
    <w:p w14:paraId="2CF516A7" w14:textId="77777777" w:rsidR="006952A4" w:rsidRPr="00747DB1" w:rsidRDefault="006952A4" w:rsidP="00E97795">
      <w:pPr>
        <w:spacing w:after="0" w:line="240" w:lineRule="auto"/>
        <w:ind w:left="720" w:hanging="720"/>
        <w:rPr>
          <w:rFonts w:ascii="Arial" w:eastAsia="Times New Roman" w:hAnsi="Arial" w:cs="Arial"/>
          <w:color w:val="000000"/>
          <w:sz w:val="20"/>
          <w:szCs w:val="20"/>
          <w:lang w:val="en-US" w:eastAsia="ko-KR"/>
        </w:rPr>
      </w:pPr>
    </w:p>
    <w:p w14:paraId="576303A1" w14:textId="77777777" w:rsidR="00E97795"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r w:rsidRPr="00747DB1">
        <w:rPr>
          <w:rFonts w:ascii="Arial" w:eastAsia="Times New Roman" w:hAnsi="Arial" w:cs="Arial"/>
          <w:color w:val="000000"/>
          <w:sz w:val="20"/>
          <w:szCs w:val="20"/>
          <w:shd w:val="clear" w:color="auto" w:fill="FFFFFF"/>
          <w:lang w:val="en-US"/>
        </w:rPr>
        <w:t>Elli, M. C. A., &amp; Ricafort, J. D. (2020). Competencies of Grade VI Teachers in Technology and</w:t>
      </w:r>
    </w:p>
    <w:p w14:paraId="111D7872" w14:textId="0C8F08F0" w:rsidR="006952A4" w:rsidRPr="00747DB1" w:rsidRDefault="006952A4" w:rsidP="00E97795">
      <w:pPr>
        <w:spacing w:after="0" w:line="240" w:lineRule="auto"/>
        <w:rPr>
          <w:rFonts w:ascii="Arial" w:eastAsia="Times New Roman" w:hAnsi="Arial" w:cs="Arial"/>
          <w:color w:val="000000"/>
          <w:sz w:val="20"/>
          <w:szCs w:val="20"/>
          <w:shd w:val="clear" w:color="auto" w:fill="FFFFFF"/>
          <w:lang w:val="en-US"/>
        </w:rPr>
      </w:pPr>
      <w:r w:rsidRPr="00747DB1">
        <w:rPr>
          <w:rFonts w:ascii="Arial" w:eastAsia="Times New Roman" w:hAnsi="Arial" w:cs="Arial"/>
          <w:color w:val="000000"/>
          <w:sz w:val="20"/>
          <w:szCs w:val="20"/>
          <w:shd w:val="clear" w:color="auto" w:fill="FFFFFF"/>
          <w:lang w:val="en-US"/>
        </w:rPr>
        <w:t>Livelihood Education (TLE). Online Submission, 10(4), 25425-25434.</w:t>
      </w:r>
    </w:p>
    <w:p w14:paraId="2BC689CA" w14:textId="77777777" w:rsidR="006952A4" w:rsidRPr="00747DB1" w:rsidRDefault="006952A4" w:rsidP="00E97795">
      <w:pPr>
        <w:spacing w:after="0" w:line="240" w:lineRule="auto"/>
        <w:ind w:left="720" w:hanging="720"/>
        <w:rPr>
          <w:rFonts w:ascii="Arial" w:eastAsia="Times New Roman" w:hAnsi="Arial" w:cs="Arial"/>
          <w:sz w:val="20"/>
          <w:szCs w:val="20"/>
          <w:lang w:val="en-US"/>
        </w:rPr>
      </w:pPr>
    </w:p>
    <w:p w14:paraId="3B6FE826" w14:textId="77777777" w:rsidR="00E97795" w:rsidRDefault="006952A4" w:rsidP="00E97795">
      <w:pPr>
        <w:spacing w:after="0" w:line="240" w:lineRule="auto"/>
        <w:ind w:left="720" w:hanging="720"/>
        <w:rPr>
          <w:rFonts w:ascii="Arial" w:eastAsia="Times New Roman" w:hAnsi="Arial" w:cs="Arial"/>
          <w:i/>
          <w:color w:val="000000"/>
          <w:sz w:val="20"/>
          <w:szCs w:val="20"/>
          <w:lang w:val="en-US"/>
        </w:rPr>
      </w:pPr>
      <w:proofErr w:type="spellStart"/>
      <w:r w:rsidRPr="00747DB1">
        <w:rPr>
          <w:rFonts w:ascii="Arial" w:eastAsia="Times New Roman" w:hAnsi="Arial" w:cs="Arial"/>
          <w:color w:val="000000"/>
          <w:sz w:val="20"/>
          <w:szCs w:val="20"/>
          <w:lang w:val="en-US"/>
        </w:rPr>
        <w:t>Guiamalon</w:t>
      </w:r>
      <w:proofErr w:type="spellEnd"/>
      <w:r w:rsidRPr="00747DB1">
        <w:rPr>
          <w:rFonts w:ascii="Arial" w:eastAsia="Times New Roman" w:hAnsi="Arial" w:cs="Arial"/>
          <w:color w:val="000000"/>
          <w:sz w:val="20"/>
          <w:szCs w:val="20"/>
          <w:lang w:val="en-US"/>
        </w:rPr>
        <w:t xml:space="preserve">, T., Alon, S.A., &amp; </w:t>
      </w:r>
      <w:proofErr w:type="spellStart"/>
      <w:r w:rsidRPr="00747DB1">
        <w:rPr>
          <w:rFonts w:ascii="Arial" w:eastAsia="Times New Roman" w:hAnsi="Arial" w:cs="Arial"/>
          <w:color w:val="000000"/>
          <w:sz w:val="20"/>
          <w:szCs w:val="20"/>
          <w:lang w:val="en-US"/>
        </w:rPr>
        <w:t>Camsa</w:t>
      </w:r>
      <w:proofErr w:type="spellEnd"/>
      <w:r w:rsidRPr="00747DB1">
        <w:rPr>
          <w:rFonts w:ascii="Arial" w:eastAsia="Times New Roman" w:hAnsi="Arial" w:cs="Arial"/>
          <w:color w:val="000000"/>
          <w:sz w:val="20"/>
          <w:szCs w:val="20"/>
          <w:lang w:val="en-US"/>
        </w:rPr>
        <w:t xml:space="preserve">, S. (2021). </w:t>
      </w:r>
      <w:r w:rsidRPr="00747DB1">
        <w:rPr>
          <w:rFonts w:ascii="Arial" w:eastAsia="Times New Roman" w:hAnsi="Arial" w:cs="Arial"/>
          <w:i/>
          <w:color w:val="000000"/>
          <w:sz w:val="20"/>
          <w:szCs w:val="20"/>
          <w:lang w:val="en-US"/>
        </w:rPr>
        <w:t>Teachers Issues and Concerns on the Use of</w:t>
      </w:r>
    </w:p>
    <w:p w14:paraId="07487AC0" w14:textId="4F29DDFC" w:rsidR="006952A4" w:rsidRPr="00747DB1" w:rsidRDefault="006952A4" w:rsidP="00E97795">
      <w:pPr>
        <w:spacing w:after="0" w:line="240" w:lineRule="auto"/>
        <w:ind w:left="720" w:hanging="720"/>
        <w:rPr>
          <w:rFonts w:ascii="Arial" w:eastAsia="Times New Roman" w:hAnsi="Arial" w:cs="Arial"/>
          <w:color w:val="000000"/>
          <w:sz w:val="20"/>
          <w:szCs w:val="20"/>
          <w:lang w:val="en-US"/>
        </w:rPr>
      </w:pPr>
      <w:r w:rsidRPr="00747DB1">
        <w:rPr>
          <w:rFonts w:ascii="Arial" w:eastAsia="Times New Roman" w:hAnsi="Arial" w:cs="Arial"/>
          <w:i/>
          <w:color w:val="000000"/>
          <w:sz w:val="20"/>
          <w:szCs w:val="20"/>
          <w:lang w:val="en-US"/>
        </w:rPr>
        <w:t>Modular Learning Modality</w:t>
      </w:r>
      <w:r w:rsidRPr="00747DB1">
        <w:rPr>
          <w:rFonts w:ascii="Arial" w:eastAsia="Times New Roman" w:hAnsi="Arial" w:cs="Arial"/>
          <w:color w:val="000000"/>
          <w:sz w:val="20"/>
          <w:szCs w:val="20"/>
          <w:lang w:val="en-US"/>
        </w:rPr>
        <w:t xml:space="preserve">. </w:t>
      </w:r>
    </w:p>
    <w:p w14:paraId="0299DD36" w14:textId="77777777" w:rsidR="006952A4" w:rsidRPr="00747DB1"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p>
    <w:p w14:paraId="71FC9F55" w14:textId="77777777" w:rsidR="00E97795"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r w:rsidRPr="00747DB1">
        <w:rPr>
          <w:rFonts w:ascii="Arial" w:eastAsia="Times New Roman" w:hAnsi="Arial" w:cs="Arial"/>
          <w:color w:val="000000"/>
          <w:sz w:val="20"/>
          <w:szCs w:val="20"/>
          <w:shd w:val="clear" w:color="auto" w:fill="FFFFFF"/>
          <w:lang w:val="en-US"/>
        </w:rPr>
        <w:t>Hernandez, M. F. M. (2021). LOCALIZED INSTRUCTIONAL TOOL IN SLIPPER MAKING: A</w:t>
      </w:r>
    </w:p>
    <w:p w14:paraId="30B767AE" w14:textId="037981CF"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shd w:val="clear" w:color="auto" w:fill="FFFFFF"/>
          <w:lang w:val="en-US"/>
        </w:rPr>
        <w:t xml:space="preserve">MODULE. </w:t>
      </w:r>
      <w:r w:rsidRPr="00747DB1">
        <w:rPr>
          <w:rFonts w:ascii="Arial" w:eastAsia="Times New Roman" w:hAnsi="Arial" w:cs="Arial"/>
          <w:i/>
          <w:iCs/>
          <w:color w:val="000000"/>
          <w:sz w:val="20"/>
          <w:szCs w:val="20"/>
          <w:shd w:val="clear" w:color="auto" w:fill="FFFFFF"/>
          <w:lang w:val="en-US"/>
        </w:rPr>
        <w:t>EPRA International Journal of Research &amp; Development (IJRD)</w:t>
      </w:r>
      <w:r w:rsidRPr="00747DB1">
        <w:rPr>
          <w:rFonts w:ascii="Arial" w:eastAsia="Times New Roman" w:hAnsi="Arial" w:cs="Arial"/>
          <w:color w:val="000000"/>
          <w:sz w:val="20"/>
          <w:szCs w:val="20"/>
          <w:shd w:val="clear" w:color="auto" w:fill="FFFFFF"/>
          <w:lang w:val="en-US"/>
        </w:rPr>
        <w:t xml:space="preserve">, </w:t>
      </w:r>
      <w:r w:rsidRPr="00747DB1">
        <w:rPr>
          <w:rFonts w:ascii="Arial" w:eastAsia="Times New Roman" w:hAnsi="Arial" w:cs="Arial"/>
          <w:i/>
          <w:iCs/>
          <w:color w:val="000000"/>
          <w:sz w:val="20"/>
          <w:szCs w:val="20"/>
          <w:shd w:val="clear" w:color="auto" w:fill="FFFFFF"/>
          <w:lang w:val="en-US"/>
        </w:rPr>
        <w:t>6</w:t>
      </w:r>
      <w:r w:rsidRPr="00747DB1">
        <w:rPr>
          <w:rFonts w:ascii="Arial" w:eastAsia="Times New Roman" w:hAnsi="Arial" w:cs="Arial"/>
          <w:color w:val="000000"/>
          <w:sz w:val="20"/>
          <w:szCs w:val="20"/>
          <w:shd w:val="clear" w:color="auto" w:fill="FFFFFF"/>
          <w:lang w:val="en-US"/>
        </w:rPr>
        <w:t>(7), 1-1.</w:t>
      </w:r>
    </w:p>
    <w:p w14:paraId="0711543B" w14:textId="77777777" w:rsidR="006952A4" w:rsidRPr="00747DB1"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p>
    <w:p w14:paraId="24CDE197" w14:textId="77777777" w:rsidR="00E97795"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r w:rsidRPr="006D22E9">
        <w:rPr>
          <w:rFonts w:ascii="Arial" w:eastAsia="Times New Roman" w:hAnsi="Arial" w:cs="Arial"/>
          <w:color w:val="000000"/>
          <w:sz w:val="20"/>
          <w:szCs w:val="20"/>
          <w:shd w:val="clear" w:color="auto" w:fill="FFFFFF"/>
          <w:lang w:val="de-DE"/>
        </w:rPr>
        <w:t xml:space="preserve">Ko, A., Vas, R., Kovacs, T., &amp; Szabo, I. (2019). </w:t>
      </w:r>
      <w:r w:rsidRPr="00747DB1">
        <w:rPr>
          <w:rFonts w:ascii="Arial" w:eastAsia="Times New Roman" w:hAnsi="Arial" w:cs="Arial"/>
          <w:color w:val="000000"/>
          <w:sz w:val="20"/>
          <w:szCs w:val="20"/>
          <w:shd w:val="clear" w:color="auto" w:fill="FFFFFF"/>
          <w:lang w:val="en-US"/>
        </w:rPr>
        <w:t>Knowledge Creation from the Perspective of the</w:t>
      </w:r>
    </w:p>
    <w:p w14:paraId="0BFCE585" w14:textId="09542C75"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shd w:val="clear" w:color="auto" w:fill="FFFFFF"/>
          <w:lang w:val="en-US"/>
        </w:rPr>
        <w:t xml:space="preserve">Supply Chain. The Role of ICT. </w:t>
      </w:r>
      <w:r w:rsidRPr="00747DB1">
        <w:rPr>
          <w:rFonts w:ascii="Arial" w:eastAsia="Times New Roman" w:hAnsi="Arial" w:cs="Arial"/>
          <w:i/>
          <w:iCs/>
          <w:color w:val="000000"/>
          <w:sz w:val="20"/>
          <w:szCs w:val="20"/>
          <w:shd w:val="clear" w:color="auto" w:fill="FFFFFF"/>
          <w:lang w:val="en-US"/>
        </w:rPr>
        <w:t>Society and Economy</w:t>
      </w:r>
      <w:r w:rsidRPr="00747DB1">
        <w:rPr>
          <w:rFonts w:ascii="Arial" w:eastAsia="Times New Roman" w:hAnsi="Arial" w:cs="Arial"/>
          <w:color w:val="000000"/>
          <w:sz w:val="20"/>
          <w:szCs w:val="20"/>
          <w:shd w:val="clear" w:color="auto" w:fill="FFFFFF"/>
          <w:lang w:val="en-US"/>
        </w:rPr>
        <w:t xml:space="preserve">, </w:t>
      </w:r>
      <w:r w:rsidRPr="00747DB1">
        <w:rPr>
          <w:rFonts w:ascii="Arial" w:eastAsia="Times New Roman" w:hAnsi="Arial" w:cs="Arial"/>
          <w:i/>
          <w:iCs/>
          <w:color w:val="000000"/>
          <w:sz w:val="20"/>
          <w:szCs w:val="20"/>
          <w:shd w:val="clear" w:color="auto" w:fill="FFFFFF"/>
          <w:lang w:val="en-US"/>
        </w:rPr>
        <w:t>41</w:t>
      </w:r>
      <w:r w:rsidRPr="00747DB1">
        <w:rPr>
          <w:rFonts w:ascii="Arial" w:eastAsia="Times New Roman" w:hAnsi="Arial" w:cs="Arial"/>
          <w:color w:val="000000"/>
          <w:sz w:val="20"/>
          <w:szCs w:val="20"/>
          <w:shd w:val="clear" w:color="auto" w:fill="FFFFFF"/>
          <w:lang w:val="en-US"/>
        </w:rPr>
        <w:t>(3), 311-329.</w:t>
      </w:r>
    </w:p>
    <w:p w14:paraId="63345E6A" w14:textId="77777777" w:rsidR="006952A4" w:rsidRPr="00747DB1" w:rsidRDefault="006952A4" w:rsidP="00E97795">
      <w:pPr>
        <w:spacing w:after="0" w:line="240" w:lineRule="auto"/>
        <w:rPr>
          <w:rFonts w:ascii="Arial" w:eastAsia="Times New Roman" w:hAnsi="Arial" w:cs="Arial"/>
          <w:color w:val="000000"/>
          <w:sz w:val="20"/>
          <w:szCs w:val="20"/>
          <w:shd w:val="clear" w:color="auto" w:fill="FFFFFF"/>
          <w:lang w:val="en-US"/>
        </w:rPr>
      </w:pPr>
    </w:p>
    <w:p w14:paraId="2EEAD1AA" w14:textId="47D9989A" w:rsidR="00543D82" w:rsidRDefault="006952A4" w:rsidP="00E97795">
      <w:pPr>
        <w:spacing w:after="0" w:line="240" w:lineRule="auto"/>
        <w:ind w:left="720" w:hanging="720"/>
        <w:rPr>
          <w:rFonts w:ascii="Arial" w:eastAsia="Times New Roman" w:hAnsi="Arial" w:cs="Arial"/>
          <w:i/>
          <w:iCs/>
          <w:color w:val="000000"/>
          <w:sz w:val="20"/>
          <w:szCs w:val="20"/>
          <w:shd w:val="clear" w:color="auto" w:fill="FFFFFF"/>
          <w:lang w:val="en-US"/>
        </w:rPr>
      </w:pPr>
      <w:r w:rsidRPr="00747DB1">
        <w:rPr>
          <w:rFonts w:ascii="Arial" w:eastAsia="Times New Roman" w:hAnsi="Arial" w:cs="Arial"/>
          <w:color w:val="000000"/>
          <w:sz w:val="20"/>
          <w:szCs w:val="20"/>
          <w:shd w:val="clear" w:color="auto" w:fill="FFFFFF"/>
          <w:lang w:val="en-US"/>
        </w:rPr>
        <w:t xml:space="preserve">Mazarin, J. (2021, September 9). </w:t>
      </w:r>
      <w:r w:rsidRPr="00747DB1">
        <w:rPr>
          <w:rFonts w:ascii="Arial" w:eastAsia="Times New Roman" w:hAnsi="Arial" w:cs="Arial"/>
          <w:i/>
          <w:iCs/>
          <w:color w:val="000000"/>
          <w:sz w:val="20"/>
          <w:szCs w:val="20"/>
          <w:shd w:val="clear" w:color="auto" w:fill="FFFFFF"/>
          <w:lang w:val="en-US"/>
        </w:rPr>
        <w:t xml:space="preserve">Pedagogical Content Knowledge | What is Content Pedagogy? </w:t>
      </w:r>
      <w:r w:rsidR="00543D82">
        <w:rPr>
          <w:rFonts w:ascii="Arial" w:eastAsia="Times New Roman" w:hAnsi="Arial" w:cs="Arial"/>
          <w:i/>
          <w:iCs/>
          <w:color w:val="000000"/>
          <w:sz w:val="20"/>
          <w:szCs w:val="20"/>
          <w:shd w:val="clear" w:color="auto" w:fill="FFFFFF"/>
          <w:lang w:val="en-US"/>
        </w:rPr>
        <w:t>–</w:t>
      </w:r>
      <w:r w:rsidRPr="00747DB1">
        <w:rPr>
          <w:rFonts w:ascii="Arial" w:eastAsia="Times New Roman" w:hAnsi="Arial" w:cs="Arial"/>
          <w:i/>
          <w:iCs/>
          <w:color w:val="000000"/>
          <w:sz w:val="20"/>
          <w:szCs w:val="20"/>
          <w:shd w:val="clear" w:color="auto" w:fill="FFFFFF"/>
          <w:lang w:val="en-US"/>
        </w:rPr>
        <w:t xml:space="preserve"> </w:t>
      </w:r>
    </w:p>
    <w:p w14:paraId="43B5AA4F" w14:textId="77777777" w:rsidR="00543D82"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r w:rsidRPr="00747DB1">
        <w:rPr>
          <w:rFonts w:ascii="Arial" w:eastAsia="Times New Roman" w:hAnsi="Arial" w:cs="Arial"/>
          <w:i/>
          <w:iCs/>
          <w:color w:val="000000"/>
          <w:sz w:val="20"/>
          <w:szCs w:val="20"/>
          <w:shd w:val="clear" w:color="auto" w:fill="FFFFFF"/>
          <w:lang w:val="en-US"/>
        </w:rPr>
        <w:t>Video &amp; Lesson Transcript</w:t>
      </w:r>
      <w:r w:rsidRPr="00747DB1">
        <w:rPr>
          <w:rFonts w:ascii="Arial" w:eastAsia="Times New Roman" w:hAnsi="Arial" w:cs="Arial"/>
          <w:color w:val="000000"/>
          <w:sz w:val="20"/>
          <w:szCs w:val="20"/>
          <w:shd w:val="clear" w:color="auto" w:fill="FFFFFF"/>
          <w:lang w:val="en-US"/>
        </w:rPr>
        <w:t xml:space="preserve">. Study.com. Retrieved September 10, 2022, from </w:t>
      </w:r>
    </w:p>
    <w:p w14:paraId="5F14AB0D" w14:textId="01C02770"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shd w:val="clear" w:color="auto" w:fill="FFFFFF"/>
          <w:lang w:val="en-US"/>
        </w:rPr>
        <w:t>https://study.com/learn/lesson/pedagogical-content-knowledge.html</w:t>
      </w:r>
    </w:p>
    <w:p w14:paraId="36F2F7DA" w14:textId="77777777" w:rsidR="006952A4" w:rsidRPr="00747DB1"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p>
    <w:p w14:paraId="3DC24543" w14:textId="77777777" w:rsidR="00543D82"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r w:rsidRPr="00747DB1">
        <w:rPr>
          <w:rFonts w:ascii="Arial" w:eastAsia="Times New Roman" w:hAnsi="Arial" w:cs="Arial"/>
          <w:color w:val="000000"/>
          <w:sz w:val="20"/>
          <w:szCs w:val="20"/>
          <w:shd w:val="clear" w:color="auto" w:fill="FFFFFF"/>
          <w:lang w:val="en-US"/>
        </w:rPr>
        <w:t xml:space="preserve">Visser, P., &amp; </w:t>
      </w:r>
      <w:proofErr w:type="spellStart"/>
      <w:r w:rsidRPr="00747DB1">
        <w:rPr>
          <w:rFonts w:ascii="Arial" w:eastAsia="Times New Roman" w:hAnsi="Arial" w:cs="Arial"/>
          <w:color w:val="000000"/>
          <w:sz w:val="20"/>
          <w:szCs w:val="20"/>
          <w:shd w:val="clear" w:color="auto" w:fill="FFFFFF"/>
          <w:lang w:val="en-US"/>
        </w:rPr>
        <w:t>Sukavatee</w:t>
      </w:r>
      <w:proofErr w:type="spellEnd"/>
      <w:r w:rsidRPr="00747DB1">
        <w:rPr>
          <w:rFonts w:ascii="Arial" w:eastAsia="Times New Roman" w:hAnsi="Arial" w:cs="Arial"/>
          <w:color w:val="000000"/>
          <w:sz w:val="20"/>
          <w:szCs w:val="20"/>
          <w:shd w:val="clear" w:color="auto" w:fill="FFFFFF"/>
          <w:lang w:val="en-US"/>
        </w:rPr>
        <w:t xml:space="preserve">, P. (2020). Effects of the genre-based writing instructional module in a </w:t>
      </w:r>
    </w:p>
    <w:p w14:paraId="5BF32F28" w14:textId="2B538280"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shd w:val="clear" w:color="auto" w:fill="FFFFFF"/>
          <w:lang w:val="en-US"/>
        </w:rPr>
        <w:t xml:space="preserve">blended learning environment. </w:t>
      </w:r>
      <w:r w:rsidRPr="00747DB1">
        <w:rPr>
          <w:rFonts w:ascii="Arial" w:eastAsia="Times New Roman" w:hAnsi="Arial" w:cs="Arial"/>
          <w:i/>
          <w:iCs/>
          <w:color w:val="000000"/>
          <w:sz w:val="20"/>
          <w:szCs w:val="20"/>
          <w:shd w:val="clear" w:color="auto" w:fill="FFFFFF"/>
          <w:lang w:val="en-US"/>
        </w:rPr>
        <w:t>Journal of Education Naresuan University</w:t>
      </w:r>
      <w:r w:rsidRPr="00747DB1">
        <w:rPr>
          <w:rFonts w:ascii="Arial" w:eastAsia="Times New Roman" w:hAnsi="Arial" w:cs="Arial"/>
          <w:color w:val="000000"/>
          <w:sz w:val="20"/>
          <w:szCs w:val="20"/>
          <w:shd w:val="clear" w:color="auto" w:fill="FFFFFF"/>
          <w:lang w:val="en-US"/>
        </w:rPr>
        <w:t xml:space="preserve">, </w:t>
      </w:r>
      <w:r w:rsidRPr="00747DB1">
        <w:rPr>
          <w:rFonts w:ascii="Arial" w:eastAsia="Times New Roman" w:hAnsi="Arial" w:cs="Arial"/>
          <w:i/>
          <w:iCs/>
          <w:color w:val="000000"/>
          <w:sz w:val="20"/>
          <w:szCs w:val="20"/>
          <w:shd w:val="clear" w:color="auto" w:fill="FFFFFF"/>
          <w:lang w:val="en-US"/>
        </w:rPr>
        <w:t>22</w:t>
      </w:r>
      <w:r w:rsidRPr="00747DB1">
        <w:rPr>
          <w:rFonts w:ascii="Arial" w:eastAsia="Times New Roman" w:hAnsi="Arial" w:cs="Arial"/>
          <w:color w:val="000000"/>
          <w:sz w:val="20"/>
          <w:szCs w:val="20"/>
          <w:shd w:val="clear" w:color="auto" w:fill="FFFFFF"/>
          <w:lang w:val="en-US"/>
        </w:rPr>
        <w:t>(2), 1-18.</w:t>
      </w:r>
    </w:p>
    <w:p w14:paraId="1B64F5CA" w14:textId="77777777" w:rsidR="006952A4" w:rsidRPr="00747DB1" w:rsidRDefault="006952A4" w:rsidP="00E97795">
      <w:pPr>
        <w:spacing w:after="0" w:line="240" w:lineRule="auto"/>
        <w:ind w:left="720" w:hanging="720"/>
        <w:rPr>
          <w:rFonts w:ascii="Arial" w:eastAsia="Times New Roman" w:hAnsi="Arial" w:cs="Arial"/>
          <w:color w:val="000000"/>
          <w:sz w:val="20"/>
          <w:szCs w:val="20"/>
          <w:lang w:val="en-US"/>
        </w:rPr>
      </w:pPr>
    </w:p>
    <w:sectPr w:rsidR="006952A4" w:rsidRPr="00747DB1" w:rsidSect="00896CF0">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B13E" w14:textId="77777777" w:rsidR="00896CF0" w:rsidRDefault="00896CF0" w:rsidP="006D22E9">
      <w:pPr>
        <w:spacing w:after="0" w:line="240" w:lineRule="auto"/>
      </w:pPr>
      <w:r>
        <w:separator/>
      </w:r>
    </w:p>
  </w:endnote>
  <w:endnote w:type="continuationSeparator" w:id="0">
    <w:p w14:paraId="5FB8F7D7" w14:textId="77777777" w:rsidR="00896CF0" w:rsidRDefault="00896CF0" w:rsidP="006D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BGaramond-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DCE1" w14:textId="77777777" w:rsidR="006D22E9" w:rsidRDefault="006D2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9D60" w14:textId="77777777" w:rsidR="006D22E9" w:rsidRDefault="006D2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EEDD" w14:textId="77777777" w:rsidR="006D22E9" w:rsidRDefault="006D2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77B3" w14:textId="77777777" w:rsidR="00896CF0" w:rsidRDefault="00896CF0" w:rsidP="006D22E9">
      <w:pPr>
        <w:spacing w:after="0" w:line="240" w:lineRule="auto"/>
      </w:pPr>
      <w:r>
        <w:separator/>
      </w:r>
    </w:p>
  </w:footnote>
  <w:footnote w:type="continuationSeparator" w:id="0">
    <w:p w14:paraId="5970AB38" w14:textId="77777777" w:rsidR="00896CF0" w:rsidRDefault="00896CF0" w:rsidP="006D2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FF10" w14:textId="04A88155" w:rsidR="006D22E9" w:rsidRDefault="006D22E9">
    <w:pPr>
      <w:pStyle w:val="Header"/>
    </w:pPr>
    <w:r>
      <w:rPr>
        <w:noProof/>
      </w:rPr>
      <w:pict w14:anchorId="58E5D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54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74EC" w14:textId="28278F6C" w:rsidR="006D22E9" w:rsidRDefault="006D22E9">
    <w:pPr>
      <w:pStyle w:val="Header"/>
    </w:pPr>
    <w:r>
      <w:rPr>
        <w:noProof/>
      </w:rPr>
      <w:pict w14:anchorId="51FE6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54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A303" w14:textId="0CCFCAA9" w:rsidR="006D22E9" w:rsidRDefault="006D22E9">
    <w:pPr>
      <w:pStyle w:val="Header"/>
    </w:pPr>
    <w:r>
      <w:rPr>
        <w:noProof/>
      </w:rPr>
      <w:pict w14:anchorId="05F46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54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934B4"/>
    <w:multiLevelType w:val="hybridMultilevel"/>
    <w:tmpl w:val="1912263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77024D82"/>
    <w:multiLevelType w:val="hybridMultilevel"/>
    <w:tmpl w:val="67CA3B9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774C6409"/>
    <w:multiLevelType w:val="hybridMultilevel"/>
    <w:tmpl w:val="E590769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123966458">
    <w:abstractNumId w:val="2"/>
  </w:num>
  <w:num w:numId="2" w16cid:durableId="1303265428">
    <w:abstractNumId w:val="1"/>
  </w:num>
  <w:num w:numId="3" w16cid:durableId="163016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8D"/>
    <w:rsid w:val="00042DD2"/>
    <w:rsid w:val="001102C9"/>
    <w:rsid w:val="00132CF0"/>
    <w:rsid w:val="00170FDF"/>
    <w:rsid w:val="0021557D"/>
    <w:rsid w:val="0030718D"/>
    <w:rsid w:val="0034067B"/>
    <w:rsid w:val="004C22BB"/>
    <w:rsid w:val="00543CFC"/>
    <w:rsid w:val="00543D82"/>
    <w:rsid w:val="00565E77"/>
    <w:rsid w:val="005860C9"/>
    <w:rsid w:val="006952A4"/>
    <w:rsid w:val="006D22E9"/>
    <w:rsid w:val="00741ACB"/>
    <w:rsid w:val="00747DB1"/>
    <w:rsid w:val="00896CF0"/>
    <w:rsid w:val="00953374"/>
    <w:rsid w:val="009557B4"/>
    <w:rsid w:val="00AC7C1E"/>
    <w:rsid w:val="00B85EAA"/>
    <w:rsid w:val="00B90C21"/>
    <w:rsid w:val="00C00E1E"/>
    <w:rsid w:val="00C066BE"/>
    <w:rsid w:val="00CD2AE1"/>
    <w:rsid w:val="00D02C42"/>
    <w:rsid w:val="00E97795"/>
    <w:rsid w:val="00EB6E86"/>
    <w:rsid w:val="00ED70AC"/>
    <w:rsid w:val="00F10DB0"/>
    <w:rsid w:val="00F42160"/>
    <w:rsid w:val="00F910B2"/>
    <w:rsid w:val="00FA3973"/>
    <w:rsid w:val="00FA5D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F53F"/>
  <w15:chartTrackingRefBased/>
  <w15:docId w15:val="{810C5EDC-8DDC-4CFB-AAA4-18754B9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3">
    <w:name w:val="Table Grid53"/>
    <w:basedOn w:val="TableNormal"/>
    <w:uiPriority w:val="39"/>
    <w:qFormat/>
    <w:rsid w:val="00FA5D4B"/>
    <w:pPr>
      <w:spacing w:after="0" w:line="240" w:lineRule="auto"/>
    </w:pPr>
    <w:rPr>
      <w:rFonts w:ascii="Calibri" w:eastAsia="Calibri" w:hAnsi="Calibri"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FA5D4B"/>
    <w:pPr>
      <w:spacing w:after="0" w:line="240" w:lineRule="auto"/>
    </w:pPr>
    <w:rPr>
      <w:rFonts w:ascii="Calibri" w:eastAsia="Calibri" w:hAnsi="Calibri"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FA5D4B"/>
    <w:pPr>
      <w:spacing w:after="0" w:line="240" w:lineRule="auto"/>
    </w:pPr>
    <w:rPr>
      <w:rFonts w:ascii="Calibri" w:eastAsia="Calibri" w:hAnsi="Calibri"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sid w:val="00FA5D4B"/>
    <w:pPr>
      <w:spacing w:after="0" w:line="240" w:lineRule="auto"/>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DB0"/>
    <w:rPr>
      <w:color w:val="0563C1" w:themeColor="hyperlink"/>
      <w:u w:val="single"/>
    </w:rPr>
  </w:style>
  <w:style w:type="character" w:styleId="UnresolvedMention">
    <w:name w:val="Unresolved Mention"/>
    <w:basedOn w:val="DefaultParagraphFont"/>
    <w:uiPriority w:val="99"/>
    <w:semiHidden/>
    <w:unhideWhenUsed/>
    <w:rsid w:val="00F10DB0"/>
    <w:rPr>
      <w:color w:val="605E5C"/>
      <w:shd w:val="clear" w:color="auto" w:fill="E1DFDD"/>
    </w:rPr>
  </w:style>
  <w:style w:type="paragraph" w:styleId="Header">
    <w:name w:val="header"/>
    <w:basedOn w:val="Normal"/>
    <w:link w:val="HeaderChar"/>
    <w:uiPriority w:val="99"/>
    <w:unhideWhenUsed/>
    <w:rsid w:val="006D2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E9"/>
  </w:style>
  <w:style w:type="paragraph" w:styleId="Footer">
    <w:name w:val="footer"/>
    <w:basedOn w:val="Normal"/>
    <w:link w:val="FooterChar"/>
    <w:uiPriority w:val="99"/>
    <w:unhideWhenUsed/>
    <w:rsid w:val="006D2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10</Pages>
  <Words>5468</Words>
  <Characters>31169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Ayen Alcaide</dc:creator>
  <cp:keywords/>
  <dc:description/>
  <cp:lastModifiedBy>Editor-23</cp:lastModifiedBy>
  <cp:revision>26</cp:revision>
  <dcterms:created xsi:type="dcterms:W3CDTF">2024-04-22T03:40:00Z</dcterms:created>
  <dcterms:modified xsi:type="dcterms:W3CDTF">2024-04-22T14:22:00Z</dcterms:modified>
</cp:coreProperties>
</file>