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A8E69" w14:textId="5F69BB3B" w:rsidR="00400302" w:rsidRPr="00811ADC" w:rsidRDefault="000F31DD" w:rsidP="000F31DD">
      <w:pPr>
        <w:spacing w:line="360" w:lineRule="auto"/>
        <w:jc w:val="center"/>
        <w:rPr>
          <w:rFonts w:asciiTheme="majorBidi" w:hAnsiTheme="majorBidi" w:cstheme="majorBidi"/>
          <w:b/>
          <w:bCs/>
          <w:sz w:val="28"/>
          <w:szCs w:val="28"/>
        </w:rPr>
      </w:pPr>
      <w:r w:rsidRPr="000F31DD">
        <w:rPr>
          <w:rFonts w:asciiTheme="majorBidi" w:hAnsiTheme="majorBidi" w:cstheme="majorBidi"/>
          <w:b/>
          <w:bCs/>
          <w:sz w:val="28"/>
          <w:szCs w:val="28"/>
        </w:rPr>
        <w:t>Blood-Based Biomarkers of Organophosphate Toxicity in Freshwater Fish: Oxidative, Enzymatic and Cytogenetic Evidence</w:t>
      </w:r>
    </w:p>
    <w:p w14:paraId="1236F817" w14:textId="77777777" w:rsidR="007332BE" w:rsidRDefault="007332BE" w:rsidP="007332BE">
      <w:pPr>
        <w:spacing w:line="360" w:lineRule="auto"/>
        <w:jc w:val="center"/>
        <w:rPr>
          <w:rFonts w:asciiTheme="majorBidi" w:hAnsiTheme="majorBidi" w:cstheme="majorBidi"/>
        </w:rPr>
      </w:pPr>
    </w:p>
    <w:p w14:paraId="60870B78" w14:textId="7B27ECB7" w:rsidR="005508F2" w:rsidRDefault="005508F2" w:rsidP="007332BE">
      <w:pPr>
        <w:spacing w:line="360" w:lineRule="auto"/>
        <w:jc w:val="center"/>
        <w:rPr>
          <w:rFonts w:asciiTheme="majorBidi" w:hAnsiTheme="majorBidi" w:cstheme="majorBidi"/>
          <w:b/>
          <w:bCs/>
        </w:rPr>
      </w:pPr>
      <w:r w:rsidRPr="005508F2">
        <w:rPr>
          <w:rFonts w:asciiTheme="majorBidi" w:hAnsiTheme="majorBidi" w:cstheme="majorBidi"/>
          <w:b/>
          <w:bCs/>
        </w:rPr>
        <w:t xml:space="preserve">Abstract </w:t>
      </w:r>
    </w:p>
    <w:p w14:paraId="3A13607F" w14:textId="61847507" w:rsidR="005508F2" w:rsidRDefault="00AE087A" w:rsidP="00AE087A">
      <w:r>
        <w:t>Blood</w:t>
      </w:r>
      <w:r w:rsidRPr="00AE087A">
        <w:t xml:space="preserve"> provides a rapid reflection of alterations occurring within the organism because it circulates throughout the body and directly interacts with xenobiotics, metabolites, and stress signals</w:t>
      </w:r>
      <w:r>
        <w:t xml:space="preserve">. </w:t>
      </w:r>
      <w:r w:rsidRPr="00AE087A">
        <w:t>Fish blood serves as a highly sensitive and informative medium for assessing the physiological and pathological impacts of environmental pollutants</w:t>
      </w:r>
      <w:r>
        <w:t xml:space="preserve">. </w:t>
      </w:r>
      <w:r w:rsidRPr="00AE087A">
        <w:t xml:space="preserve">This review aims to synthesize available information on how fish blood responds to OP exposure, highlighting hematological, biochemical, enzymatic, oxidative, and cytogenetic alterations as reliable indicators of toxicity. </w:t>
      </w:r>
      <w:r>
        <w:t xml:space="preserve"> </w:t>
      </w:r>
      <w:r w:rsidRPr="00AE087A">
        <w:t>Red blood cell count is one of the most sensitive hematological parameters altered under pesticide stress, and several studies have reported significant declines in fish exposed to organophosphates. Hemoglobin concentration provides direct evidence of oxygen-carrying capacity, and multiple investigations have shown its susceptibility to organophosphate stress. White blood cell count is a critical indicator of immune response and stress in fish, and its alteration under pesticide stress has been extensively studied.</w:t>
      </w:r>
      <w:r>
        <w:t xml:space="preserve"> </w:t>
      </w:r>
      <w:r w:rsidRPr="00AE087A">
        <w:t>Platelets and thrombocytes play crucial roles in blood clotting and wound</w:t>
      </w:r>
      <w:r>
        <w:t xml:space="preserve"> </w:t>
      </w:r>
      <w:r w:rsidRPr="00AE087A">
        <w:t>repair, and their alterations under pesticide stress have received growing attention.</w:t>
      </w:r>
      <w:r>
        <w:t xml:space="preserve"> </w:t>
      </w:r>
      <w:r w:rsidRPr="00AE087A">
        <w:t>Blood biomarkers (</w:t>
      </w:r>
      <w:proofErr w:type="spellStart"/>
      <w:r w:rsidRPr="00AE087A">
        <w:t>AChE</w:t>
      </w:r>
      <w:proofErr w:type="spellEnd"/>
      <w:r w:rsidRPr="00AE087A">
        <w:t xml:space="preserve">, SOD, CAT, </w:t>
      </w:r>
      <w:proofErr w:type="spellStart"/>
      <w:r w:rsidRPr="00AE087A">
        <w:t>GPx</w:t>
      </w:r>
      <w:proofErr w:type="spellEnd"/>
      <w:r w:rsidRPr="00AE087A">
        <w:t xml:space="preserve">, GST, GSH, MDA, MN) gain diagnostic power when integrated with tissue histopathology and molecular endpoints because the trio (biochemical → cellular → molecular) maps the causal chain from exposure to adverse outcome. </w:t>
      </w:r>
      <w:r>
        <w:t>In conclusion, i</w:t>
      </w:r>
      <w:r w:rsidRPr="00AE087A">
        <w:t xml:space="preserve">mplemented with standard methods and omics-informed validation, blood biomarker panels offer a cost-effective, non-lethal, and powerful tool for routine environmental monitoring and for prioritizing remediation in pesticide-impacted waters. </w:t>
      </w:r>
    </w:p>
    <w:p w14:paraId="34E22C6C" w14:textId="77777777" w:rsidR="005508F2" w:rsidRPr="005508F2" w:rsidRDefault="005508F2" w:rsidP="007332BE">
      <w:pPr>
        <w:spacing w:line="360" w:lineRule="auto"/>
        <w:jc w:val="center"/>
        <w:rPr>
          <w:rFonts w:asciiTheme="majorBidi" w:hAnsiTheme="majorBidi" w:cstheme="majorBidi"/>
          <w:b/>
          <w:bCs/>
        </w:rPr>
      </w:pPr>
    </w:p>
    <w:p w14:paraId="6ACE4E2C" w14:textId="77777777" w:rsidR="00400302" w:rsidRDefault="00400302" w:rsidP="00400302">
      <w:pPr>
        <w:spacing w:line="360" w:lineRule="auto"/>
        <w:jc w:val="both"/>
        <w:rPr>
          <w:rFonts w:asciiTheme="majorBidi" w:hAnsiTheme="majorBidi" w:cstheme="majorBidi"/>
          <w:b/>
          <w:bCs/>
        </w:rPr>
      </w:pPr>
    </w:p>
    <w:p w14:paraId="3FAC5A97" w14:textId="475DDA5F" w:rsidR="007332BE" w:rsidRPr="007332BE" w:rsidRDefault="007332BE" w:rsidP="00400302">
      <w:pPr>
        <w:spacing w:line="360" w:lineRule="auto"/>
        <w:jc w:val="both"/>
        <w:rPr>
          <w:rFonts w:asciiTheme="majorBidi" w:hAnsiTheme="majorBidi" w:cstheme="majorBidi"/>
        </w:rPr>
      </w:pPr>
      <w:r>
        <w:rPr>
          <w:rFonts w:asciiTheme="majorBidi" w:hAnsiTheme="majorBidi" w:cstheme="majorBidi"/>
          <w:b/>
          <w:bCs/>
        </w:rPr>
        <w:lastRenderedPageBreak/>
        <w:t>Keywords</w:t>
      </w:r>
      <w:r w:rsidRPr="007332BE">
        <w:rPr>
          <w:rFonts w:asciiTheme="majorBidi" w:hAnsiTheme="majorBidi" w:cstheme="majorBidi"/>
        </w:rPr>
        <w:t xml:space="preserve">: </w:t>
      </w:r>
      <w:proofErr w:type="spellStart"/>
      <w:r w:rsidRPr="007332BE">
        <w:rPr>
          <w:rFonts w:asciiTheme="majorBidi" w:hAnsiTheme="majorBidi" w:cstheme="majorBidi"/>
        </w:rPr>
        <w:t>Ha</w:t>
      </w:r>
      <w:bookmarkStart w:id="0" w:name="_GoBack"/>
      <w:bookmarkEnd w:id="0"/>
      <w:r w:rsidRPr="007332BE">
        <w:rPr>
          <w:rFonts w:asciiTheme="majorBidi" w:hAnsiTheme="majorBidi" w:cstheme="majorBidi"/>
        </w:rPr>
        <w:t>ematology</w:t>
      </w:r>
      <w:proofErr w:type="spellEnd"/>
      <w:r w:rsidRPr="007332BE">
        <w:rPr>
          <w:rFonts w:asciiTheme="majorBidi" w:hAnsiTheme="majorBidi" w:cstheme="majorBidi"/>
        </w:rPr>
        <w:t>, organophosphates, biomarker</w:t>
      </w:r>
    </w:p>
    <w:p w14:paraId="6F567334" w14:textId="77777777" w:rsidR="007332BE" w:rsidRDefault="007332BE" w:rsidP="00400302">
      <w:pPr>
        <w:spacing w:line="360" w:lineRule="auto"/>
        <w:jc w:val="both"/>
        <w:rPr>
          <w:rFonts w:asciiTheme="majorBidi" w:hAnsiTheme="majorBidi" w:cstheme="majorBidi"/>
          <w:b/>
          <w:bCs/>
        </w:rPr>
      </w:pPr>
    </w:p>
    <w:p w14:paraId="346AC36E" w14:textId="768F37A4" w:rsidR="00400302" w:rsidRPr="00811ADC" w:rsidRDefault="00400302" w:rsidP="00400302">
      <w:pPr>
        <w:spacing w:line="360" w:lineRule="auto"/>
        <w:jc w:val="both"/>
        <w:rPr>
          <w:rFonts w:asciiTheme="majorBidi" w:hAnsiTheme="majorBidi" w:cstheme="majorBidi"/>
          <w:b/>
          <w:bCs/>
        </w:rPr>
      </w:pPr>
      <w:r w:rsidRPr="00811ADC">
        <w:rPr>
          <w:rFonts w:asciiTheme="majorBidi" w:hAnsiTheme="majorBidi" w:cstheme="majorBidi"/>
          <w:b/>
          <w:bCs/>
        </w:rPr>
        <w:t>Introduction</w:t>
      </w:r>
    </w:p>
    <w:p w14:paraId="257DC0E2" w14:textId="08BA2AE0" w:rsidR="00657A12" w:rsidRPr="00811ADC" w:rsidRDefault="00400302" w:rsidP="002466D7">
      <w:pPr>
        <w:spacing w:line="360" w:lineRule="auto"/>
        <w:jc w:val="both"/>
        <w:rPr>
          <w:rFonts w:asciiTheme="majorBidi" w:hAnsiTheme="majorBidi" w:cstheme="majorBidi"/>
        </w:rPr>
      </w:pPr>
      <w:r w:rsidRPr="00811ADC">
        <w:rPr>
          <w:rFonts w:asciiTheme="majorBidi" w:hAnsiTheme="majorBidi" w:cstheme="majorBidi"/>
        </w:rPr>
        <w:t>Fish blood serves as a highly sensitive and informative medium for assessing the physiological and pathological impacts of environmental pollutants</w:t>
      </w:r>
      <w:r w:rsidR="00657A12">
        <w:rPr>
          <w:rFonts w:asciiTheme="majorBidi" w:hAnsiTheme="majorBidi" w:cstheme="majorBidi"/>
        </w:rPr>
        <w:t xml:space="preserve"> (</w:t>
      </w:r>
      <w:proofErr w:type="spellStart"/>
      <w:r w:rsidR="00657A12">
        <w:rPr>
          <w:rFonts w:asciiTheme="majorBidi" w:hAnsiTheme="majorBidi" w:cstheme="majorBidi"/>
        </w:rPr>
        <w:t>Seibal</w:t>
      </w:r>
      <w:proofErr w:type="spellEnd"/>
      <w:r w:rsidR="00657A12">
        <w:rPr>
          <w:rFonts w:asciiTheme="majorBidi" w:hAnsiTheme="majorBidi" w:cstheme="majorBidi"/>
        </w:rPr>
        <w:t xml:space="preserve"> et al., 2021)</w:t>
      </w:r>
      <w:r w:rsidRPr="00811ADC">
        <w:rPr>
          <w:rFonts w:asciiTheme="majorBidi" w:hAnsiTheme="majorBidi" w:cstheme="majorBidi"/>
        </w:rPr>
        <w:t>. Unlike other tissues, blood provides a rapid reflection of alterations occurring within the organism because it circulates throughout the body and directly interacts with xenobiotics, metabolites, and stress signals</w:t>
      </w:r>
      <w:r w:rsidR="00657A12">
        <w:rPr>
          <w:rFonts w:asciiTheme="majorBidi" w:hAnsiTheme="majorBidi" w:cstheme="majorBidi"/>
        </w:rPr>
        <w:t xml:space="preserve"> (Xu et al., 2021)</w:t>
      </w:r>
      <w:r w:rsidRPr="00811ADC">
        <w:rPr>
          <w:rFonts w:asciiTheme="majorBidi" w:hAnsiTheme="majorBidi" w:cstheme="majorBidi"/>
        </w:rPr>
        <w:t>. Hematological and biochemical parameters derived from fish blood are therefore considered reliable indicators of health status, stress response, and toxicological effects</w:t>
      </w:r>
      <w:r w:rsidR="00657A12">
        <w:rPr>
          <w:rFonts w:asciiTheme="majorBidi" w:hAnsiTheme="majorBidi" w:cstheme="majorBidi"/>
        </w:rPr>
        <w:t xml:space="preserve"> (</w:t>
      </w:r>
      <w:proofErr w:type="spellStart"/>
      <w:r w:rsidR="00657A12">
        <w:rPr>
          <w:rFonts w:asciiTheme="majorBidi" w:hAnsiTheme="majorBidi" w:cstheme="majorBidi"/>
        </w:rPr>
        <w:t>Dewali</w:t>
      </w:r>
      <w:proofErr w:type="spellEnd"/>
      <w:r w:rsidR="00657A12">
        <w:rPr>
          <w:rFonts w:asciiTheme="majorBidi" w:hAnsiTheme="majorBidi" w:cstheme="majorBidi"/>
        </w:rPr>
        <w:t xml:space="preserve"> et al., 2024)</w:t>
      </w:r>
      <w:r w:rsidRPr="00811ADC">
        <w:rPr>
          <w:rFonts w:asciiTheme="majorBidi" w:hAnsiTheme="majorBidi" w:cstheme="majorBidi"/>
        </w:rPr>
        <w:t>. The non-lethal and relatively simple collection of blood makes it particularly valuable in ecotoxicological studies, where repeated sampling is often required to monitor changes over time</w:t>
      </w:r>
      <w:r w:rsidR="00657A12">
        <w:rPr>
          <w:rFonts w:asciiTheme="majorBidi" w:hAnsiTheme="majorBidi" w:cstheme="majorBidi"/>
        </w:rPr>
        <w:t xml:space="preserve"> (</w:t>
      </w:r>
      <w:proofErr w:type="spellStart"/>
      <w:r w:rsidR="00657A12">
        <w:rPr>
          <w:rFonts w:asciiTheme="majorBidi" w:hAnsiTheme="majorBidi" w:cstheme="majorBidi"/>
        </w:rPr>
        <w:t>Docan</w:t>
      </w:r>
      <w:proofErr w:type="spellEnd"/>
      <w:r w:rsidR="00657A12">
        <w:rPr>
          <w:rFonts w:asciiTheme="majorBidi" w:hAnsiTheme="majorBidi" w:cstheme="majorBidi"/>
        </w:rPr>
        <w:t xml:space="preserve"> et al., 2018)</w:t>
      </w:r>
      <w:r w:rsidRPr="00811ADC">
        <w:rPr>
          <w:rFonts w:asciiTheme="majorBidi" w:hAnsiTheme="majorBidi" w:cstheme="majorBidi"/>
        </w:rPr>
        <w:t>.</w:t>
      </w:r>
    </w:p>
    <w:p w14:paraId="285F2974" w14:textId="797B9180" w:rsidR="000A03AC" w:rsidRPr="00811ADC" w:rsidRDefault="00400302" w:rsidP="002466D7">
      <w:pPr>
        <w:spacing w:line="360" w:lineRule="auto"/>
        <w:jc w:val="both"/>
        <w:rPr>
          <w:rFonts w:asciiTheme="majorBidi" w:hAnsiTheme="majorBidi" w:cstheme="majorBidi"/>
        </w:rPr>
      </w:pPr>
      <w:r w:rsidRPr="00811ADC">
        <w:rPr>
          <w:rFonts w:asciiTheme="majorBidi" w:hAnsiTheme="majorBidi" w:cstheme="majorBidi"/>
        </w:rPr>
        <w:t>Among aquatic pollutants, pesticides represent a major group of contaminants that pose significant risks to freshwater ecosystems. Organophosphate (OP) pesticides, in particular, are extensively used in agriculture due to their effectiveness in controlling insect pests</w:t>
      </w:r>
      <w:r w:rsidR="00E962A0">
        <w:rPr>
          <w:rFonts w:asciiTheme="majorBidi" w:hAnsiTheme="majorBidi" w:cstheme="majorBidi"/>
        </w:rPr>
        <w:t xml:space="preserve"> </w:t>
      </w:r>
      <w:r w:rsidR="00E962A0" w:rsidRPr="001B1611">
        <w:rPr>
          <w:rFonts w:asciiTheme="majorBidi" w:hAnsiTheme="majorBidi" w:cstheme="majorBidi"/>
          <w:color w:val="000000" w:themeColor="text1"/>
        </w:rPr>
        <w:t>(</w:t>
      </w:r>
      <w:proofErr w:type="spellStart"/>
      <w:r w:rsidR="00E962A0" w:rsidRPr="001B1611">
        <w:rPr>
          <w:rFonts w:asciiTheme="majorBidi" w:hAnsiTheme="majorBidi" w:cstheme="majorBidi"/>
          <w:color w:val="000000" w:themeColor="text1"/>
        </w:rPr>
        <w:t>Qayoom</w:t>
      </w:r>
      <w:proofErr w:type="spellEnd"/>
      <w:r w:rsidR="00E962A0" w:rsidRPr="001B1611">
        <w:rPr>
          <w:rFonts w:asciiTheme="majorBidi" w:hAnsiTheme="majorBidi" w:cstheme="majorBidi"/>
          <w:color w:val="000000" w:themeColor="text1"/>
        </w:rPr>
        <w:t xml:space="preserve"> et al., 2024</w:t>
      </w:r>
      <w:r w:rsidR="001B1611" w:rsidRPr="001B1611">
        <w:rPr>
          <w:rFonts w:asciiTheme="majorBidi" w:hAnsiTheme="majorBidi" w:cstheme="majorBidi"/>
          <w:color w:val="000000" w:themeColor="text1"/>
        </w:rPr>
        <w:t>; Saba et al., 2025</w:t>
      </w:r>
      <w:r w:rsidR="00E962A0" w:rsidRPr="001B1611">
        <w:rPr>
          <w:rFonts w:asciiTheme="majorBidi" w:hAnsiTheme="majorBidi" w:cstheme="majorBidi"/>
          <w:color w:val="000000" w:themeColor="text1"/>
        </w:rPr>
        <w:t>)</w:t>
      </w:r>
      <w:r w:rsidRPr="001B1611">
        <w:rPr>
          <w:rFonts w:asciiTheme="majorBidi" w:hAnsiTheme="majorBidi" w:cstheme="majorBidi"/>
          <w:color w:val="000000" w:themeColor="text1"/>
        </w:rPr>
        <w:t>. However, their frequent application, runoff, and persi</w:t>
      </w:r>
      <w:r w:rsidRPr="00811ADC">
        <w:rPr>
          <w:rFonts w:asciiTheme="majorBidi" w:hAnsiTheme="majorBidi" w:cstheme="majorBidi"/>
        </w:rPr>
        <w:t>stence in aquatic environments have raised serious concerns about their ecotoxicological impact. OPs exert their primary toxic effect through the inhibition of acetylcholinesterase (</w:t>
      </w:r>
      <w:proofErr w:type="spellStart"/>
      <w:r w:rsidRPr="00811ADC">
        <w:rPr>
          <w:rFonts w:asciiTheme="majorBidi" w:hAnsiTheme="majorBidi" w:cstheme="majorBidi"/>
        </w:rPr>
        <w:t>AChE</w:t>
      </w:r>
      <w:proofErr w:type="spellEnd"/>
      <w:r w:rsidRPr="00811ADC">
        <w:rPr>
          <w:rFonts w:asciiTheme="majorBidi" w:hAnsiTheme="majorBidi" w:cstheme="majorBidi"/>
        </w:rPr>
        <w:t>), leading to the accumulation of acetylcholine at synapses and disruption of normal nervous system function</w:t>
      </w:r>
      <w:r w:rsidR="00E962A0">
        <w:rPr>
          <w:rFonts w:asciiTheme="majorBidi" w:hAnsiTheme="majorBidi" w:cstheme="majorBidi"/>
        </w:rPr>
        <w:t xml:space="preserve"> (</w:t>
      </w:r>
      <w:proofErr w:type="spellStart"/>
      <w:r w:rsidR="00E962A0" w:rsidRPr="00E962A0">
        <w:rPr>
          <w:rFonts w:asciiTheme="majorBidi" w:hAnsiTheme="majorBidi" w:cstheme="majorBidi"/>
        </w:rPr>
        <w:t>Aroniadou-Anderjaska</w:t>
      </w:r>
      <w:proofErr w:type="spellEnd"/>
      <w:r w:rsidR="00E962A0">
        <w:rPr>
          <w:rFonts w:asciiTheme="majorBidi" w:hAnsiTheme="majorBidi" w:cstheme="majorBidi"/>
        </w:rPr>
        <w:t xml:space="preserve"> et al., 2023)</w:t>
      </w:r>
      <w:r w:rsidRPr="00811ADC">
        <w:rPr>
          <w:rFonts w:asciiTheme="majorBidi" w:hAnsiTheme="majorBidi" w:cstheme="majorBidi"/>
        </w:rPr>
        <w:t xml:space="preserve">. In addition to neurotoxicity, OPs induce oxidative stress, impair metabolic processes, alter hematological balance, and cause genotoxic and </w:t>
      </w:r>
      <w:proofErr w:type="spellStart"/>
      <w:r w:rsidRPr="00811ADC">
        <w:rPr>
          <w:rFonts w:asciiTheme="majorBidi" w:hAnsiTheme="majorBidi" w:cstheme="majorBidi"/>
        </w:rPr>
        <w:t>immunotoxic</w:t>
      </w:r>
      <w:proofErr w:type="spellEnd"/>
      <w:r w:rsidRPr="00811ADC">
        <w:rPr>
          <w:rFonts w:asciiTheme="majorBidi" w:hAnsiTheme="majorBidi" w:cstheme="majorBidi"/>
        </w:rPr>
        <w:t xml:space="preserve"> effects in fish</w:t>
      </w:r>
      <w:r w:rsidR="00E962A0">
        <w:rPr>
          <w:rFonts w:asciiTheme="majorBidi" w:hAnsiTheme="majorBidi" w:cstheme="majorBidi"/>
        </w:rPr>
        <w:t xml:space="preserve"> (</w:t>
      </w:r>
      <w:proofErr w:type="spellStart"/>
      <w:r w:rsidR="00E962A0" w:rsidRPr="00E962A0">
        <w:rPr>
          <w:rFonts w:asciiTheme="majorBidi" w:hAnsiTheme="majorBidi" w:cstheme="majorBidi"/>
        </w:rPr>
        <w:t>Pulkrabkova</w:t>
      </w:r>
      <w:proofErr w:type="spellEnd"/>
      <w:r w:rsidR="00E962A0">
        <w:rPr>
          <w:rFonts w:asciiTheme="majorBidi" w:hAnsiTheme="majorBidi" w:cstheme="majorBidi"/>
        </w:rPr>
        <w:t xml:space="preserve"> et al., 2023)</w:t>
      </w:r>
      <w:r w:rsidRPr="00811ADC">
        <w:rPr>
          <w:rFonts w:asciiTheme="majorBidi" w:hAnsiTheme="majorBidi" w:cstheme="majorBidi"/>
        </w:rPr>
        <w:t>.</w:t>
      </w:r>
    </w:p>
    <w:p w14:paraId="08A7C588" w14:textId="77D664F2" w:rsidR="00400302" w:rsidRPr="00811ADC" w:rsidRDefault="00400302" w:rsidP="00400302">
      <w:pPr>
        <w:spacing w:line="360" w:lineRule="auto"/>
        <w:jc w:val="both"/>
        <w:rPr>
          <w:rFonts w:asciiTheme="majorBidi" w:hAnsiTheme="majorBidi" w:cstheme="majorBidi"/>
        </w:rPr>
      </w:pPr>
      <w:r w:rsidRPr="00811ADC">
        <w:rPr>
          <w:rFonts w:asciiTheme="majorBidi" w:hAnsiTheme="majorBidi" w:cstheme="majorBidi"/>
        </w:rPr>
        <w:lastRenderedPageBreak/>
        <w:t>Fish are widely recognized as sentinel organisms for monitoring aquatic pollution due to their ecological relevance, wide distribution, and sensitivity to environmental stressors</w:t>
      </w:r>
      <w:r w:rsidR="000A03AC">
        <w:rPr>
          <w:rFonts w:asciiTheme="majorBidi" w:hAnsiTheme="majorBidi" w:cstheme="majorBidi"/>
        </w:rPr>
        <w:t xml:space="preserve"> (</w:t>
      </w:r>
      <w:r w:rsidR="001B1611">
        <w:rPr>
          <w:rFonts w:asciiTheme="majorBidi" w:hAnsiTheme="majorBidi" w:cstheme="majorBidi"/>
        </w:rPr>
        <w:t xml:space="preserve">Saba et al., 2024; </w:t>
      </w:r>
      <w:r w:rsidR="000A03AC">
        <w:rPr>
          <w:rFonts w:asciiTheme="majorBidi" w:hAnsiTheme="majorBidi" w:cstheme="majorBidi"/>
        </w:rPr>
        <w:t>Diaz and Lopez, 2013)</w:t>
      </w:r>
      <w:r w:rsidRPr="00811ADC">
        <w:rPr>
          <w:rFonts w:asciiTheme="majorBidi" w:hAnsiTheme="majorBidi" w:cstheme="majorBidi"/>
        </w:rPr>
        <w:t>. Blood-based biomarkers in fish, including hematological indices, biochemical profiles, enzymatic activities, and cytogenetic markers, provide critical insights into the physiological disturbances caused by OP exposure</w:t>
      </w:r>
      <w:r w:rsidR="000A03AC">
        <w:rPr>
          <w:rFonts w:asciiTheme="majorBidi" w:hAnsiTheme="majorBidi" w:cstheme="majorBidi"/>
        </w:rPr>
        <w:t xml:space="preserve"> (</w:t>
      </w:r>
      <w:proofErr w:type="spellStart"/>
      <w:r w:rsidR="000A03AC" w:rsidRPr="000A03AC">
        <w:rPr>
          <w:rFonts w:asciiTheme="majorBidi" w:hAnsiTheme="majorBidi" w:cstheme="majorBidi"/>
        </w:rPr>
        <w:t>Bojarski</w:t>
      </w:r>
      <w:proofErr w:type="spellEnd"/>
      <w:r w:rsidR="000A03AC">
        <w:rPr>
          <w:rFonts w:asciiTheme="majorBidi" w:hAnsiTheme="majorBidi" w:cstheme="majorBidi"/>
        </w:rPr>
        <w:t xml:space="preserve"> et al., 2025)</w:t>
      </w:r>
      <w:r w:rsidRPr="00811ADC">
        <w:rPr>
          <w:rFonts w:asciiTheme="majorBidi" w:hAnsiTheme="majorBidi" w:cstheme="majorBidi"/>
        </w:rPr>
        <w:t>. Parameters such as red and white blood cell counts, hemoglobin content, hematocrit, plasma enzymes, antioxidant defense systems, and nuclear abnormalities in erythrocytes have all been reported to change significantly under organophosphate stress</w:t>
      </w:r>
      <w:r w:rsidR="000A03AC">
        <w:rPr>
          <w:rFonts w:asciiTheme="majorBidi" w:hAnsiTheme="majorBidi" w:cstheme="majorBidi"/>
        </w:rPr>
        <w:t xml:space="preserve"> (Yaseen et al., 2025)</w:t>
      </w:r>
      <w:r w:rsidRPr="00811ADC">
        <w:rPr>
          <w:rFonts w:asciiTheme="majorBidi" w:hAnsiTheme="majorBidi" w:cstheme="majorBidi"/>
        </w:rPr>
        <w:t>. These alterations not only serve as early warning signals of toxic exposure but also reflect the severity and duration of contamination.</w:t>
      </w:r>
    </w:p>
    <w:p w14:paraId="2751A7FB" w14:textId="29341399" w:rsidR="00400302" w:rsidRPr="00811ADC" w:rsidRDefault="00400302" w:rsidP="00400302">
      <w:pPr>
        <w:spacing w:line="360" w:lineRule="auto"/>
        <w:jc w:val="both"/>
        <w:rPr>
          <w:rFonts w:asciiTheme="majorBidi" w:hAnsiTheme="majorBidi" w:cstheme="majorBidi"/>
        </w:rPr>
      </w:pPr>
      <w:r w:rsidRPr="00811ADC">
        <w:rPr>
          <w:rFonts w:asciiTheme="majorBidi" w:hAnsiTheme="majorBidi" w:cstheme="majorBidi"/>
        </w:rPr>
        <w:t>Given the increasing use of organophosphate pesticides and their potential to threaten both aquatic biodiversity and human health through the food chain, there is a pressing need to consolidate current knowledge on blood-based biomarkers in fish</w:t>
      </w:r>
      <w:r w:rsidR="000A03AC">
        <w:rPr>
          <w:rFonts w:asciiTheme="majorBidi" w:hAnsiTheme="majorBidi" w:cstheme="majorBidi"/>
        </w:rPr>
        <w:t xml:space="preserve"> (</w:t>
      </w:r>
      <w:proofErr w:type="spellStart"/>
      <w:r w:rsidR="000A03AC">
        <w:rPr>
          <w:rFonts w:asciiTheme="majorBidi" w:hAnsiTheme="majorBidi" w:cstheme="majorBidi"/>
        </w:rPr>
        <w:t>Mamta</w:t>
      </w:r>
      <w:proofErr w:type="spellEnd"/>
      <w:r w:rsidR="000A03AC">
        <w:rPr>
          <w:rFonts w:asciiTheme="majorBidi" w:hAnsiTheme="majorBidi" w:cstheme="majorBidi"/>
        </w:rPr>
        <w:t xml:space="preserve"> et al., 2019)</w:t>
      </w:r>
      <w:r w:rsidRPr="00811ADC">
        <w:rPr>
          <w:rFonts w:asciiTheme="majorBidi" w:hAnsiTheme="majorBidi" w:cstheme="majorBidi"/>
        </w:rPr>
        <w:t>. This review aims to synthesize available information on how fish blood responds to OP exposure, highlighting hematological, biochemical, enzymatic, oxidative, and cytogenetic alterations as reliable indicators of toxicity. By integrating findings from diverse studies, the review underscores the potential of fish blood as a cost-effective and non-invasive bioindicator for environmental monitoring and risk assessment of pesticide pollution.</w:t>
      </w:r>
    </w:p>
    <w:p w14:paraId="4457570A" w14:textId="77777777" w:rsidR="00811ADC" w:rsidRPr="00811ADC" w:rsidRDefault="00811ADC" w:rsidP="00811ADC">
      <w:pPr>
        <w:spacing w:line="360" w:lineRule="auto"/>
        <w:jc w:val="both"/>
        <w:rPr>
          <w:rFonts w:asciiTheme="majorBidi" w:hAnsiTheme="majorBidi" w:cstheme="majorBidi"/>
          <w:b/>
          <w:bCs/>
        </w:rPr>
      </w:pPr>
      <w:r w:rsidRPr="00811ADC">
        <w:rPr>
          <w:rFonts w:asciiTheme="majorBidi" w:hAnsiTheme="majorBidi" w:cstheme="majorBidi"/>
          <w:b/>
          <w:bCs/>
        </w:rPr>
        <w:t>Fish Blood as a Bioindicator of Toxic Stress</w:t>
      </w:r>
    </w:p>
    <w:p w14:paraId="65B2F9DD" w14:textId="465EDDE6" w:rsidR="00811ADC" w:rsidRDefault="00811ADC" w:rsidP="00811ADC">
      <w:pPr>
        <w:spacing w:line="360" w:lineRule="auto"/>
        <w:jc w:val="both"/>
        <w:rPr>
          <w:rFonts w:asciiTheme="majorBidi" w:hAnsiTheme="majorBidi" w:cstheme="majorBidi"/>
        </w:rPr>
      </w:pPr>
      <w:r w:rsidRPr="00811ADC">
        <w:rPr>
          <w:rFonts w:asciiTheme="majorBidi" w:hAnsiTheme="majorBidi" w:cstheme="majorBidi"/>
        </w:rPr>
        <w:t>Fish blood serves as an excellent bioindicator of toxic stress because it forms a dynamic interface between the external environment and internal physiology</w:t>
      </w:r>
      <w:r w:rsidR="000A03AC">
        <w:rPr>
          <w:rFonts w:asciiTheme="majorBidi" w:hAnsiTheme="majorBidi" w:cstheme="majorBidi"/>
        </w:rPr>
        <w:t xml:space="preserve"> (</w:t>
      </w:r>
      <w:r w:rsidR="000A03AC" w:rsidRPr="000A03AC">
        <w:rPr>
          <w:rFonts w:asciiTheme="majorBidi" w:hAnsiTheme="majorBidi" w:cstheme="majorBidi"/>
        </w:rPr>
        <w:t>Abdallah</w:t>
      </w:r>
      <w:r w:rsidR="000A03AC">
        <w:rPr>
          <w:rFonts w:asciiTheme="majorBidi" w:hAnsiTheme="majorBidi" w:cstheme="majorBidi"/>
        </w:rPr>
        <w:t xml:space="preserve"> et al., 2024)</w:t>
      </w:r>
      <w:r w:rsidRPr="00811ADC">
        <w:rPr>
          <w:rFonts w:asciiTheme="majorBidi" w:hAnsiTheme="majorBidi" w:cstheme="majorBidi"/>
        </w:rPr>
        <w:t xml:space="preserve">. Acting as both a transport medium and a homeostatic regulator, it reflects rapid and integrative responses to environmental contaminants. In ecotoxicological research, blood has gained prominence as a sensitive and versatile medium capable of providing </w:t>
      </w:r>
      <w:r w:rsidRPr="00811ADC">
        <w:rPr>
          <w:rFonts w:asciiTheme="majorBidi" w:hAnsiTheme="majorBidi" w:cstheme="majorBidi"/>
        </w:rPr>
        <w:lastRenderedPageBreak/>
        <w:t>early warning signals of pollutant exposure and physiological disruption</w:t>
      </w:r>
      <w:r w:rsidR="000A03AC">
        <w:rPr>
          <w:rFonts w:asciiTheme="majorBidi" w:hAnsiTheme="majorBidi" w:cstheme="majorBidi"/>
        </w:rPr>
        <w:t xml:space="preserve"> (</w:t>
      </w:r>
      <w:proofErr w:type="spellStart"/>
      <w:r w:rsidR="000A03AC" w:rsidRPr="000A03AC">
        <w:rPr>
          <w:rFonts w:asciiTheme="majorBidi" w:hAnsiTheme="majorBidi" w:cstheme="majorBidi"/>
        </w:rPr>
        <w:t>Iyiola</w:t>
      </w:r>
      <w:proofErr w:type="spellEnd"/>
      <w:r w:rsidR="000A03AC">
        <w:rPr>
          <w:rFonts w:asciiTheme="majorBidi" w:hAnsiTheme="majorBidi" w:cstheme="majorBidi"/>
        </w:rPr>
        <w:t xml:space="preserve"> et al., 2024)</w:t>
      </w:r>
      <w:r w:rsidRPr="00811ADC">
        <w:rPr>
          <w:rFonts w:asciiTheme="majorBidi" w:hAnsiTheme="majorBidi" w:cstheme="majorBidi"/>
        </w:rPr>
        <w:t>.</w:t>
      </w:r>
    </w:p>
    <w:p w14:paraId="01E6FFC0" w14:textId="1E273153" w:rsidR="000A03AC" w:rsidRPr="00811ADC" w:rsidRDefault="00811ADC" w:rsidP="000A03AC">
      <w:pPr>
        <w:spacing w:line="360" w:lineRule="auto"/>
        <w:jc w:val="both"/>
        <w:rPr>
          <w:rFonts w:asciiTheme="majorBidi" w:hAnsiTheme="majorBidi" w:cstheme="majorBidi"/>
        </w:rPr>
      </w:pPr>
      <w:r w:rsidRPr="00811ADC">
        <w:rPr>
          <w:rFonts w:asciiTheme="majorBidi" w:hAnsiTheme="majorBidi" w:cstheme="majorBidi"/>
        </w:rPr>
        <w:t>One of the primary reasons for the diagnostic value of fish blood lies in its direct contact with waterborne toxicants through the gills</w:t>
      </w:r>
      <w:r w:rsidR="000A03AC">
        <w:rPr>
          <w:rFonts w:asciiTheme="majorBidi" w:hAnsiTheme="majorBidi" w:cstheme="majorBidi"/>
        </w:rPr>
        <w:t xml:space="preserve"> (</w:t>
      </w:r>
      <w:proofErr w:type="spellStart"/>
      <w:r w:rsidR="000A03AC">
        <w:rPr>
          <w:rFonts w:asciiTheme="majorBidi" w:hAnsiTheme="majorBidi" w:cstheme="majorBidi"/>
        </w:rPr>
        <w:t>Kakkar</w:t>
      </w:r>
      <w:proofErr w:type="spellEnd"/>
      <w:r w:rsidR="000A03AC">
        <w:rPr>
          <w:rFonts w:asciiTheme="majorBidi" w:hAnsiTheme="majorBidi" w:cstheme="majorBidi"/>
        </w:rPr>
        <w:t xml:space="preserve"> and Kumar, 2024)</w:t>
      </w:r>
      <w:r w:rsidRPr="00811ADC">
        <w:rPr>
          <w:rFonts w:asciiTheme="majorBidi" w:hAnsiTheme="majorBidi" w:cstheme="majorBidi"/>
        </w:rPr>
        <w:t>. Fish continuously exchange gases and dissolved substances across gill membranes, allowing pollutants in the water to enter the bloodstream quickly</w:t>
      </w:r>
      <w:r w:rsidR="000A03AC">
        <w:rPr>
          <w:rFonts w:asciiTheme="majorBidi" w:hAnsiTheme="majorBidi" w:cstheme="majorBidi"/>
        </w:rPr>
        <w:t xml:space="preserve"> (Wood, 2017)</w:t>
      </w:r>
      <w:r w:rsidRPr="00811ADC">
        <w:rPr>
          <w:rFonts w:asciiTheme="majorBidi" w:hAnsiTheme="majorBidi" w:cstheme="majorBidi"/>
        </w:rPr>
        <w:t>. Consequently, the blood often reveals the earliest biochemical or physiological alterations following exposure. Unlike terrestrial animals, fish lack a protective barrier such as lungs, which makes their circulatory system more immediately influenced by aquatic pollutants.</w:t>
      </w:r>
    </w:p>
    <w:p w14:paraId="78C950A1" w14:textId="0784178C" w:rsidR="002466D7" w:rsidRPr="002466D7" w:rsidRDefault="00811ADC" w:rsidP="002466D7">
      <w:pPr>
        <w:spacing w:line="360" w:lineRule="auto"/>
        <w:jc w:val="both"/>
        <w:rPr>
          <w:rFonts w:asciiTheme="majorBidi" w:hAnsiTheme="majorBidi" w:cstheme="majorBidi"/>
        </w:rPr>
      </w:pPr>
      <w:r w:rsidRPr="00811ADC">
        <w:rPr>
          <w:rFonts w:asciiTheme="majorBidi" w:hAnsiTheme="majorBidi" w:cstheme="majorBidi"/>
        </w:rPr>
        <w:t>The rapid systemic circulation of fish further enhances blood’s sensitivity to toxic changes. Once absorbed, contaminants or stressors such as hypoxia or ionic imbalance are rapidly distributed to all organs, producing measurable changes in hematological parameters—such as hemoglobin concentration, packed cell volume (PCV), red and white cell counts—and in plasma biochemistry within hours to days</w:t>
      </w:r>
      <w:r w:rsidR="00042564">
        <w:rPr>
          <w:rFonts w:asciiTheme="majorBidi" w:hAnsiTheme="majorBidi" w:cstheme="majorBidi"/>
        </w:rPr>
        <w:t xml:space="preserve"> (</w:t>
      </w:r>
      <w:proofErr w:type="spellStart"/>
      <w:r w:rsidR="00042564" w:rsidRPr="00042564">
        <w:rPr>
          <w:rFonts w:asciiTheme="majorBidi" w:hAnsiTheme="majorBidi" w:cstheme="majorBidi"/>
          <w:color w:val="000000" w:themeColor="text1"/>
        </w:rPr>
        <w:t>Rudneva</w:t>
      </w:r>
      <w:proofErr w:type="spellEnd"/>
      <w:r w:rsidR="00042564" w:rsidRPr="00042564">
        <w:rPr>
          <w:rFonts w:asciiTheme="majorBidi" w:hAnsiTheme="majorBidi" w:cstheme="majorBidi"/>
          <w:color w:val="000000" w:themeColor="text1"/>
        </w:rPr>
        <w:t xml:space="preserve"> et al., 2012)</w:t>
      </w:r>
      <w:r w:rsidRPr="00042564">
        <w:rPr>
          <w:rFonts w:asciiTheme="majorBidi" w:hAnsiTheme="majorBidi" w:cstheme="majorBidi"/>
          <w:color w:val="000000" w:themeColor="text1"/>
        </w:rPr>
        <w:t xml:space="preserve">. </w:t>
      </w:r>
      <w:r w:rsidRPr="00811ADC">
        <w:rPr>
          <w:rFonts w:asciiTheme="majorBidi" w:hAnsiTheme="majorBidi" w:cstheme="majorBidi"/>
        </w:rPr>
        <w:t>Thus, blood serves as an efficient early warning system that reflects systemic physiological perturbations.</w:t>
      </w:r>
    </w:p>
    <w:p w14:paraId="3ADC1890" w14:textId="223FF785" w:rsidR="00811ADC" w:rsidRPr="00811ADC" w:rsidRDefault="00811ADC" w:rsidP="00811ADC">
      <w:pPr>
        <w:spacing w:line="360" w:lineRule="auto"/>
        <w:jc w:val="both"/>
        <w:rPr>
          <w:rFonts w:asciiTheme="majorBidi" w:hAnsiTheme="majorBidi" w:cstheme="majorBidi"/>
        </w:rPr>
      </w:pPr>
      <w:r w:rsidRPr="00811ADC">
        <w:rPr>
          <w:rFonts w:asciiTheme="majorBidi" w:hAnsiTheme="majorBidi" w:cstheme="majorBidi"/>
        </w:rPr>
        <w:t>Additionally, blood acts as a mirror of homeostatic balance, providing a snapshot of the organism’s ability to maintain ionic regulation, osmotic stability, acid–base equilibrium, and energy metabolism</w:t>
      </w:r>
      <w:r w:rsidR="00042564">
        <w:rPr>
          <w:rFonts w:asciiTheme="majorBidi" w:hAnsiTheme="majorBidi" w:cstheme="majorBidi"/>
        </w:rPr>
        <w:t xml:space="preserve"> (</w:t>
      </w:r>
      <w:proofErr w:type="spellStart"/>
      <w:r w:rsidR="00042564">
        <w:rPr>
          <w:rFonts w:asciiTheme="majorBidi" w:hAnsiTheme="majorBidi" w:cstheme="majorBidi"/>
        </w:rPr>
        <w:t>Valon</w:t>
      </w:r>
      <w:proofErr w:type="spellEnd"/>
      <w:r w:rsidR="00042564">
        <w:rPr>
          <w:rFonts w:asciiTheme="majorBidi" w:hAnsiTheme="majorBidi" w:cstheme="majorBidi"/>
        </w:rPr>
        <w:t xml:space="preserve"> et al., 2013)</w:t>
      </w:r>
      <w:r w:rsidRPr="00811ADC">
        <w:rPr>
          <w:rFonts w:asciiTheme="majorBidi" w:hAnsiTheme="majorBidi" w:cstheme="majorBidi"/>
        </w:rPr>
        <w:t>. Deviations in blood glucose, electrolytes, pH, enzymes, or metabolites signal disruptions in vital organs such as the gills, liver, kidney, or endocrine system. These measurable variations offer valuable insight into the organism’s stress physiology and adaptive capacity</w:t>
      </w:r>
      <w:r w:rsidR="00042564">
        <w:rPr>
          <w:rFonts w:asciiTheme="majorBidi" w:hAnsiTheme="majorBidi" w:cstheme="majorBidi"/>
        </w:rPr>
        <w:t xml:space="preserve"> (Srivastava and Reddy, 2020)</w:t>
      </w:r>
      <w:r w:rsidRPr="00811ADC">
        <w:rPr>
          <w:rFonts w:asciiTheme="majorBidi" w:hAnsiTheme="majorBidi" w:cstheme="majorBidi"/>
        </w:rPr>
        <w:t>.</w:t>
      </w:r>
    </w:p>
    <w:p w14:paraId="28A7270D" w14:textId="77777777" w:rsidR="00811ADC" w:rsidRPr="00811ADC" w:rsidRDefault="00811ADC" w:rsidP="00811ADC">
      <w:pPr>
        <w:spacing w:line="360" w:lineRule="auto"/>
        <w:jc w:val="both"/>
        <w:rPr>
          <w:rFonts w:asciiTheme="majorBidi" w:hAnsiTheme="majorBidi" w:cstheme="majorBidi"/>
        </w:rPr>
      </w:pPr>
      <w:r w:rsidRPr="00811ADC">
        <w:rPr>
          <w:rFonts w:asciiTheme="majorBidi" w:hAnsiTheme="majorBidi" w:cstheme="majorBidi"/>
        </w:rPr>
        <w:t xml:space="preserve">A significant advantage of blood-based monitoring is its non-lethal and repeatable sampling nature. Compared to the invasive collection of internal organs like liver or </w:t>
      </w:r>
      <w:r w:rsidRPr="00811ADC">
        <w:rPr>
          <w:rFonts w:asciiTheme="majorBidi" w:hAnsiTheme="majorBidi" w:cstheme="majorBidi"/>
        </w:rPr>
        <w:lastRenderedPageBreak/>
        <w:t>kidney, blood sampling can often be performed with minimal harm, enabling longitudinal studies on the same individuals or populations. This feature is particularly important in ecological monitoring and conservation programs involving threatened or commercially important species.</w:t>
      </w:r>
    </w:p>
    <w:p w14:paraId="03BE3D76" w14:textId="684C4DDC" w:rsidR="002466D7" w:rsidRPr="002466D7" w:rsidRDefault="00811ADC" w:rsidP="002466D7">
      <w:pPr>
        <w:spacing w:line="360" w:lineRule="auto"/>
        <w:jc w:val="both"/>
        <w:rPr>
          <w:rFonts w:asciiTheme="majorBidi" w:hAnsiTheme="majorBidi" w:cstheme="majorBidi"/>
        </w:rPr>
      </w:pPr>
      <w:r w:rsidRPr="00811ADC">
        <w:rPr>
          <w:rFonts w:asciiTheme="majorBidi" w:hAnsiTheme="majorBidi" w:cstheme="majorBidi"/>
        </w:rPr>
        <w:t>Moreover, hematological and biochemical parameters in fish blood are well standardized, with established reference ranges available for many species</w:t>
      </w:r>
      <w:r w:rsidR="00042564">
        <w:rPr>
          <w:rFonts w:asciiTheme="majorBidi" w:hAnsiTheme="majorBidi" w:cstheme="majorBidi"/>
        </w:rPr>
        <w:t xml:space="preserve"> (</w:t>
      </w:r>
      <w:proofErr w:type="spellStart"/>
      <w:r w:rsidR="00042564">
        <w:rPr>
          <w:rFonts w:asciiTheme="majorBidi" w:hAnsiTheme="majorBidi" w:cstheme="majorBidi"/>
        </w:rPr>
        <w:t>Witeska</w:t>
      </w:r>
      <w:proofErr w:type="spellEnd"/>
      <w:r w:rsidR="00042564">
        <w:rPr>
          <w:rFonts w:asciiTheme="majorBidi" w:hAnsiTheme="majorBidi" w:cstheme="majorBidi"/>
        </w:rPr>
        <w:t xml:space="preserve"> et al., 2023)</w:t>
      </w:r>
      <w:r w:rsidRPr="00811ADC">
        <w:rPr>
          <w:rFonts w:asciiTheme="majorBidi" w:hAnsiTheme="majorBidi" w:cstheme="majorBidi"/>
        </w:rPr>
        <w:t>. This facilitates the detection of statistically significant deviations induced by toxicants. Commonly analyzed parameters include RBC count, hemoglobin, hematocrit, mean corpuscular volume (MCV), mean corpuscular hemoglobin (MCH), mean corpuscular hemoglobin concentration (MCHC), total and differential leukocyte counts, plasma glucose, total protein, liver enzymes (e.g., alanine aminotransferase, aspartate aminotransferase), and electrolytes. The reliability and reproducibility of these indices enhance their diagnostic utility</w:t>
      </w:r>
      <w:r w:rsidR="00042564">
        <w:rPr>
          <w:rFonts w:asciiTheme="majorBidi" w:hAnsiTheme="majorBidi" w:cstheme="majorBidi"/>
        </w:rPr>
        <w:t xml:space="preserve"> (Yu et al., 2024)</w:t>
      </w:r>
      <w:r w:rsidRPr="00811ADC">
        <w:rPr>
          <w:rFonts w:asciiTheme="majorBidi" w:hAnsiTheme="majorBidi" w:cstheme="majorBidi"/>
        </w:rPr>
        <w:t>.</w:t>
      </w:r>
    </w:p>
    <w:p w14:paraId="0DA24330" w14:textId="77777777" w:rsidR="00811ADC" w:rsidRPr="00811ADC" w:rsidRDefault="00811ADC" w:rsidP="00811ADC">
      <w:pPr>
        <w:spacing w:line="360" w:lineRule="auto"/>
        <w:jc w:val="both"/>
        <w:rPr>
          <w:rFonts w:asciiTheme="majorBidi" w:hAnsiTheme="majorBidi" w:cstheme="majorBidi"/>
        </w:rPr>
      </w:pPr>
      <w:r w:rsidRPr="00811ADC">
        <w:rPr>
          <w:rFonts w:asciiTheme="majorBidi" w:hAnsiTheme="majorBidi" w:cstheme="majorBidi"/>
        </w:rPr>
        <w:t>Importantly, fish blood integrates multi-organ responses, serving as a physiological “dashboard” that consolidates signals from various tissues. For example, enzyme leakage from hepatocytes, shifts in immune cell profiles, or altered hormone levels can all be detected in circulation. This systemic perspective distinguishes blood biomarkers from organ-specific markers, which, although mechanistically informative, often provide localized information.</w:t>
      </w:r>
    </w:p>
    <w:p w14:paraId="24F834CC" w14:textId="303E1533" w:rsidR="00811ADC" w:rsidRPr="00811ADC" w:rsidRDefault="00811ADC" w:rsidP="00811ADC">
      <w:pPr>
        <w:spacing w:line="360" w:lineRule="auto"/>
        <w:jc w:val="both"/>
        <w:rPr>
          <w:rFonts w:asciiTheme="majorBidi" w:hAnsiTheme="majorBidi" w:cstheme="majorBidi"/>
        </w:rPr>
      </w:pPr>
      <w:r w:rsidRPr="00811ADC">
        <w:rPr>
          <w:rFonts w:asciiTheme="majorBidi" w:hAnsiTheme="majorBidi" w:cstheme="majorBidi"/>
        </w:rPr>
        <w:t>In addition to hematological and biochemical indices, blood serves as a source for biomarkers of enzymatic, oxidative, and genotoxic stress</w:t>
      </w:r>
      <w:r w:rsidR="000F31DD">
        <w:rPr>
          <w:rFonts w:asciiTheme="majorBidi" w:hAnsiTheme="majorBidi" w:cstheme="majorBidi"/>
        </w:rPr>
        <w:t xml:space="preserve"> (</w:t>
      </w:r>
      <w:proofErr w:type="spellStart"/>
      <w:r w:rsidR="000F31DD">
        <w:rPr>
          <w:rFonts w:asciiTheme="majorBidi" w:hAnsiTheme="majorBidi" w:cstheme="majorBidi"/>
        </w:rPr>
        <w:t>Yaji</w:t>
      </w:r>
      <w:proofErr w:type="spellEnd"/>
      <w:r w:rsidR="000F31DD">
        <w:rPr>
          <w:rFonts w:asciiTheme="majorBidi" w:hAnsiTheme="majorBidi" w:cstheme="majorBidi"/>
        </w:rPr>
        <w:t xml:space="preserve"> et al., 2025)</w:t>
      </w:r>
      <w:r w:rsidRPr="00811ADC">
        <w:rPr>
          <w:rFonts w:asciiTheme="majorBidi" w:hAnsiTheme="majorBidi" w:cstheme="majorBidi"/>
        </w:rPr>
        <w:t xml:space="preserve">. Enzymatic activities such as </w:t>
      </w:r>
      <w:proofErr w:type="spellStart"/>
      <w:r w:rsidRPr="00811ADC">
        <w:rPr>
          <w:rFonts w:asciiTheme="majorBidi" w:hAnsiTheme="majorBidi" w:cstheme="majorBidi"/>
        </w:rPr>
        <w:t>cholinesterases</w:t>
      </w:r>
      <w:proofErr w:type="spellEnd"/>
      <w:r w:rsidRPr="00811ADC">
        <w:rPr>
          <w:rFonts w:asciiTheme="majorBidi" w:hAnsiTheme="majorBidi" w:cstheme="majorBidi"/>
        </w:rPr>
        <w:t xml:space="preserve"> are primary indicators of organophosphate pesticide exposure, while oxidative stress markers and cytogenetic assays in erythrocytes reveal cellular and genetic damage. These biomarkers collectively offer a multidimensional view of toxic mechanisms and organismal health.</w:t>
      </w:r>
    </w:p>
    <w:p w14:paraId="610E3DF7" w14:textId="3A5466C4" w:rsidR="00811ADC" w:rsidRPr="001B1611" w:rsidRDefault="00811ADC" w:rsidP="00811ADC">
      <w:pPr>
        <w:spacing w:line="360" w:lineRule="auto"/>
        <w:jc w:val="both"/>
        <w:rPr>
          <w:rFonts w:asciiTheme="majorBidi" w:hAnsiTheme="majorBidi" w:cstheme="majorBidi"/>
          <w:color w:val="000000" w:themeColor="text1"/>
        </w:rPr>
      </w:pPr>
      <w:r w:rsidRPr="00811ADC">
        <w:rPr>
          <w:rFonts w:asciiTheme="majorBidi" w:hAnsiTheme="majorBidi" w:cstheme="majorBidi"/>
        </w:rPr>
        <w:lastRenderedPageBreak/>
        <w:t>Another crucial feature is the early detection of sub-lethal effects</w:t>
      </w:r>
      <w:r w:rsidR="003A436F">
        <w:rPr>
          <w:rFonts w:asciiTheme="majorBidi" w:hAnsiTheme="majorBidi" w:cstheme="majorBidi"/>
        </w:rPr>
        <w:t xml:space="preserve"> (Khan et al., 2018)</w:t>
      </w:r>
      <w:r w:rsidRPr="00811ADC">
        <w:rPr>
          <w:rFonts w:asciiTheme="majorBidi" w:hAnsiTheme="majorBidi" w:cstheme="majorBidi"/>
        </w:rPr>
        <w:t xml:space="preserve">. Changes in blood parameters often precede overt symptoms such as erratic swimming, gill pathology, or mortality, making them </w:t>
      </w:r>
      <w:r w:rsidRPr="001B1611">
        <w:rPr>
          <w:rFonts w:asciiTheme="majorBidi" w:hAnsiTheme="majorBidi" w:cstheme="majorBidi"/>
          <w:color w:val="000000" w:themeColor="text1"/>
        </w:rPr>
        <w:t>indispensable for assessing chronic low-level pollution and for refining sub-lethal and LC₅₀ evaluations</w:t>
      </w:r>
      <w:r w:rsidR="00042564" w:rsidRPr="001B1611">
        <w:rPr>
          <w:rFonts w:asciiTheme="majorBidi" w:hAnsiTheme="majorBidi" w:cstheme="majorBidi"/>
          <w:color w:val="000000" w:themeColor="text1"/>
        </w:rPr>
        <w:t xml:space="preserve"> (</w:t>
      </w:r>
      <w:r w:rsidR="00A94537">
        <w:rPr>
          <w:rFonts w:asciiTheme="majorBidi" w:hAnsiTheme="majorBidi" w:cstheme="majorBidi"/>
          <w:color w:val="000000" w:themeColor="text1"/>
        </w:rPr>
        <w:t xml:space="preserve">Saleem et al., 2024; </w:t>
      </w:r>
      <w:r w:rsidR="00042564" w:rsidRPr="001B1611">
        <w:rPr>
          <w:rFonts w:asciiTheme="majorBidi" w:hAnsiTheme="majorBidi" w:cstheme="majorBidi"/>
          <w:color w:val="000000" w:themeColor="text1"/>
        </w:rPr>
        <w:t>Khan et al., 2022)</w:t>
      </w:r>
      <w:r w:rsidRPr="001B1611">
        <w:rPr>
          <w:rFonts w:asciiTheme="majorBidi" w:hAnsiTheme="majorBidi" w:cstheme="majorBidi"/>
          <w:color w:val="000000" w:themeColor="text1"/>
        </w:rPr>
        <w:t>.</w:t>
      </w:r>
    </w:p>
    <w:p w14:paraId="7A6C0DFC" w14:textId="59C2C027" w:rsidR="00811ADC" w:rsidRPr="00811ADC" w:rsidRDefault="00811ADC" w:rsidP="00811ADC">
      <w:pPr>
        <w:spacing w:line="360" w:lineRule="auto"/>
        <w:jc w:val="both"/>
        <w:rPr>
          <w:rFonts w:asciiTheme="majorBidi" w:hAnsiTheme="majorBidi" w:cstheme="majorBidi"/>
        </w:rPr>
      </w:pPr>
      <w:r w:rsidRPr="001B1611">
        <w:rPr>
          <w:rFonts w:asciiTheme="majorBidi" w:hAnsiTheme="majorBidi" w:cstheme="majorBidi"/>
          <w:color w:val="000000" w:themeColor="text1"/>
        </w:rPr>
        <w:t>Overall, fish blood represents a robust, sensitive, and integrative bioindicator for assessing toxic impacts in aquatic systems</w:t>
      </w:r>
      <w:r w:rsidR="003A436F" w:rsidRPr="001B1611">
        <w:rPr>
          <w:rFonts w:asciiTheme="majorBidi" w:hAnsiTheme="majorBidi" w:cstheme="majorBidi"/>
          <w:color w:val="000000" w:themeColor="text1"/>
        </w:rPr>
        <w:t xml:space="preserve"> (Khan et al., 2021)</w:t>
      </w:r>
      <w:r w:rsidRPr="001B1611">
        <w:rPr>
          <w:rFonts w:asciiTheme="majorBidi" w:hAnsiTheme="majorBidi" w:cstheme="majorBidi"/>
          <w:color w:val="000000" w:themeColor="text1"/>
        </w:rPr>
        <w:t>. Its accessibility, non-lethal sampling potential, and capacity to capture hematological, biochemical, enzymatic, oxidative, and cytogenetic alterations make it invaluable in aquatic toxicology</w:t>
      </w:r>
      <w:r w:rsidR="00042564" w:rsidRPr="001B1611">
        <w:rPr>
          <w:rFonts w:asciiTheme="majorBidi" w:hAnsiTheme="majorBidi" w:cstheme="majorBidi"/>
          <w:color w:val="000000" w:themeColor="text1"/>
        </w:rPr>
        <w:t xml:space="preserve"> (</w:t>
      </w:r>
      <w:proofErr w:type="spellStart"/>
      <w:r w:rsidR="00042564" w:rsidRPr="001B1611">
        <w:rPr>
          <w:rFonts w:asciiTheme="majorBidi" w:hAnsiTheme="majorBidi" w:cstheme="majorBidi"/>
          <w:color w:val="000000" w:themeColor="text1"/>
        </w:rPr>
        <w:t>Qayoom</w:t>
      </w:r>
      <w:proofErr w:type="spellEnd"/>
      <w:r w:rsidR="00042564" w:rsidRPr="001B1611">
        <w:rPr>
          <w:rFonts w:asciiTheme="majorBidi" w:hAnsiTheme="majorBidi" w:cstheme="majorBidi"/>
          <w:color w:val="000000" w:themeColor="text1"/>
        </w:rPr>
        <w:t xml:space="preserve"> et al., 2016)</w:t>
      </w:r>
      <w:r w:rsidRPr="001B1611">
        <w:rPr>
          <w:rFonts w:asciiTheme="majorBidi" w:hAnsiTheme="majorBidi" w:cstheme="majorBidi"/>
          <w:color w:val="000000" w:themeColor="text1"/>
        </w:rPr>
        <w:t xml:space="preserve">. In the context of pesticide pollution, particularly from organophosphates, blood-based biomarkers not only elucidate toxic mechanisms but also support ecological risk assessment and inform </w:t>
      </w:r>
      <w:r w:rsidRPr="00811ADC">
        <w:rPr>
          <w:rFonts w:asciiTheme="majorBidi" w:hAnsiTheme="majorBidi" w:cstheme="majorBidi"/>
        </w:rPr>
        <w:t>strategies for environmental protection and management.</w:t>
      </w:r>
    </w:p>
    <w:p w14:paraId="617AF355" w14:textId="77777777" w:rsidR="00AA5332" w:rsidRPr="00811ADC" w:rsidRDefault="00AA5332" w:rsidP="00AA5332">
      <w:pPr>
        <w:spacing w:line="360" w:lineRule="auto"/>
        <w:jc w:val="both"/>
        <w:rPr>
          <w:rFonts w:asciiTheme="majorBidi" w:hAnsiTheme="majorBidi" w:cstheme="majorBidi"/>
          <w:b/>
          <w:bCs/>
        </w:rPr>
      </w:pPr>
      <w:r w:rsidRPr="00811ADC">
        <w:rPr>
          <w:rFonts w:asciiTheme="majorBidi" w:hAnsiTheme="majorBidi" w:cstheme="majorBidi"/>
          <w:b/>
          <w:bCs/>
        </w:rPr>
        <w:t>Hematological Alterations under Organophosphate Exposure</w:t>
      </w:r>
    </w:p>
    <w:p w14:paraId="44D5ED01" w14:textId="77777777" w:rsidR="00AA5332" w:rsidRPr="00811ADC" w:rsidRDefault="00AA5332" w:rsidP="00AA5332">
      <w:pPr>
        <w:spacing w:line="360" w:lineRule="auto"/>
        <w:jc w:val="both"/>
        <w:rPr>
          <w:rFonts w:asciiTheme="majorBidi" w:hAnsiTheme="majorBidi" w:cstheme="majorBidi"/>
          <w:b/>
          <w:bCs/>
        </w:rPr>
      </w:pPr>
      <w:r w:rsidRPr="00811ADC">
        <w:rPr>
          <w:rFonts w:asciiTheme="majorBidi" w:hAnsiTheme="majorBidi" w:cstheme="majorBidi"/>
          <w:b/>
          <w:bCs/>
        </w:rPr>
        <w:t>Red Blood Cells (RBCs)</w:t>
      </w:r>
    </w:p>
    <w:p w14:paraId="5DF21322" w14:textId="7697A2AF" w:rsidR="00AA5332" w:rsidRDefault="00AA5332" w:rsidP="00AA5332">
      <w:pPr>
        <w:spacing w:line="360" w:lineRule="auto"/>
        <w:jc w:val="both"/>
        <w:rPr>
          <w:rFonts w:asciiTheme="majorBidi" w:hAnsiTheme="majorBidi" w:cstheme="majorBidi"/>
        </w:rPr>
      </w:pPr>
      <w:r w:rsidRPr="00811ADC">
        <w:rPr>
          <w:rFonts w:asciiTheme="majorBidi" w:hAnsiTheme="majorBidi" w:cstheme="majorBidi"/>
        </w:rPr>
        <w:t xml:space="preserve">Red blood cell count is one of the most sensitive hematological parameters altered under pesticide stress, and several studies have reported significant declines in fish exposed to organophosphates. For instance, exposure of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 xml:space="preserve"> to chlorpyrifos resulted in a marked decrease in RBC count, attributed to hemolysis and impaired erythropoiesis (</w:t>
      </w:r>
      <w:proofErr w:type="spellStart"/>
      <w:r w:rsidR="00DA1908">
        <w:rPr>
          <w:rFonts w:asciiTheme="majorBidi" w:hAnsiTheme="majorBidi" w:cstheme="majorBidi"/>
        </w:rPr>
        <w:t>Qayoom</w:t>
      </w:r>
      <w:proofErr w:type="spellEnd"/>
      <w:r w:rsidR="00DA1908">
        <w:rPr>
          <w:rFonts w:asciiTheme="majorBidi" w:hAnsiTheme="majorBidi" w:cstheme="majorBidi"/>
        </w:rPr>
        <w:t xml:space="preserve"> et al., 2018; </w:t>
      </w:r>
      <w:r w:rsidRPr="00811ADC">
        <w:rPr>
          <w:rFonts w:asciiTheme="majorBidi" w:hAnsiTheme="majorBidi" w:cstheme="majorBidi"/>
        </w:rPr>
        <w:t>Singh and Srivastava, 2010). Similarly, fenitrothion exposure in</w:t>
      </w:r>
      <w:r w:rsidR="00042564">
        <w:rPr>
          <w:rFonts w:asciiTheme="majorBidi" w:hAnsiTheme="majorBidi" w:cstheme="majorBidi"/>
        </w:rPr>
        <w:t xml:space="preserve"> </w:t>
      </w:r>
      <w:proofErr w:type="spellStart"/>
      <w:r w:rsidR="00042564" w:rsidRPr="00195B5F">
        <w:rPr>
          <w:rFonts w:asciiTheme="majorBidi" w:hAnsiTheme="majorBidi" w:cstheme="majorBidi"/>
          <w:i/>
          <w:iCs/>
        </w:rPr>
        <w:t>Heteropneustes</w:t>
      </w:r>
      <w:proofErr w:type="spellEnd"/>
      <w:r w:rsidR="00042564" w:rsidRPr="00195B5F">
        <w:rPr>
          <w:rFonts w:asciiTheme="majorBidi" w:hAnsiTheme="majorBidi" w:cstheme="majorBidi"/>
          <w:i/>
          <w:iCs/>
        </w:rPr>
        <w:t xml:space="preserve"> </w:t>
      </w:r>
      <w:proofErr w:type="spellStart"/>
      <w:r w:rsidR="00042564" w:rsidRPr="00195B5F">
        <w:rPr>
          <w:rFonts w:asciiTheme="majorBidi" w:hAnsiTheme="majorBidi" w:cstheme="majorBidi"/>
          <w:i/>
          <w:iCs/>
        </w:rPr>
        <w:t>fossilis</w:t>
      </w:r>
      <w:proofErr w:type="spellEnd"/>
      <w:r w:rsidRPr="00195B5F">
        <w:rPr>
          <w:rFonts w:asciiTheme="majorBidi" w:hAnsiTheme="majorBidi" w:cstheme="majorBidi"/>
        </w:rPr>
        <w:t xml:space="preserve"> </w:t>
      </w:r>
      <w:r w:rsidRPr="00811ADC">
        <w:rPr>
          <w:rFonts w:asciiTheme="majorBidi" w:hAnsiTheme="majorBidi" w:cstheme="majorBidi"/>
        </w:rPr>
        <w:t>caused progressive anemia characterized by reduced RBCs and erythrocyte fragility (</w:t>
      </w:r>
      <w:proofErr w:type="spellStart"/>
      <w:r w:rsidR="00042564">
        <w:rPr>
          <w:rFonts w:asciiTheme="majorBidi" w:hAnsiTheme="majorBidi" w:cstheme="majorBidi"/>
        </w:rPr>
        <w:t>Ritu</w:t>
      </w:r>
      <w:proofErr w:type="spellEnd"/>
      <w:r w:rsidR="00042564">
        <w:rPr>
          <w:rFonts w:asciiTheme="majorBidi" w:hAnsiTheme="majorBidi" w:cstheme="majorBidi"/>
        </w:rPr>
        <w:t xml:space="preserve"> et al., 2022</w:t>
      </w:r>
      <w:r w:rsidRPr="00811ADC">
        <w:rPr>
          <w:rFonts w:asciiTheme="majorBidi" w:hAnsiTheme="majorBidi" w:cstheme="majorBidi"/>
        </w:rPr>
        <w:t xml:space="preserve">). Studies on malathion-exposed </w:t>
      </w:r>
      <w:proofErr w:type="spellStart"/>
      <w:r w:rsidRPr="00811ADC">
        <w:rPr>
          <w:rFonts w:asciiTheme="majorBidi" w:hAnsiTheme="majorBidi" w:cstheme="majorBidi"/>
          <w:i/>
          <w:iCs/>
        </w:rPr>
        <w:t>Channa</w:t>
      </w:r>
      <w:proofErr w:type="spellEnd"/>
      <w:r w:rsidRPr="00811ADC">
        <w:rPr>
          <w:rFonts w:asciiTheme="majorBidi" w:hAnsiTheme="majorBidi" w:cstheme="majorBidi"/>
          <w:i/>
          <w:iCs/>
        </w:rPr>
        <w:t xml:space="preserve"> punctatus</w:t>
      </w:r>
      <w:r w:rsidRPr="00811ADC">
        <w:rPr>
          <w:rFonts w:asciiTheme="majorBidi" w:hAnsiTheme="majorBidi" w:cstheme="majorBidi"/>
        </w:rPr>
        <w:t xml:space="preserve"> also showed a time- and dose-dependent decline in RBC count, indicating cytotoxic effects on hematopoietic tissues (</w:t>
      </w:r>
      <w:r w:rsidR="00195B5F">
        <w:rPr>
          <w:rFonts w:asciiTheme="majorBidi" w:hAnsiTheme="majorBidi" w:cstheme="majorBidi"/>
        </w:rPr>
        <w:t>Kumar et al., 2025</w:t>
      </w:r>
      <w:r w:rsidRPr="00811ADC">
        <w:rPr>
          <w:rFonts w:asciiTheme="majorBidi" w:hAnsiTheme="majorBidi" w:cstheme="majorBidi"/>
        </w:rPr>
        <w:t xml:space="preserve">). A comparable pattern was observed in </w:t>
      </w:r>
      <w:proofErr w:type="spellStart"/>
      <w:r w:rsidR="0062288B" w:rsidRPr="0062288B">
        <w:rPr>
          <w:rFonts w:asciiTheme="majorBidi" w:hAnsiTheme="majorBidi" w:cstheme="majorBidi"/>
          <w:i/>
          <w:iCs/>
        </w:rPr>
        <w:t>Labeo</w:t>
      </w:r>
      <w:proofErr w:type="spellEnd"/>
      <w:r w:rsidR="0062288B" w:rsidRPr="0062288B">
        <w:rPr>
          <w:rFonts w:asciiTheme="majorBidi" w:hAnsiTheme="majorBidi" w:cstheme="majorBidi"/>
          <w:i/>
          <w:iCs/>
        </w:rPr>
        <w:t xml:space="preserve"> </w:t>
      </w:r>
      <w:proofErr w:type="spellStart"/>
      <w:r w:rsidR="0062288B" w:rsidRPr="0062288B">
        <w:rPr>
          <w:rFonts w:asciiTheme="majorBidi" w:hAnsiTheme="majorBidi" w:cstheme="majorBidi"/>
          <w:i/>
          <w:iCs/>
        </w:rPr>
        <w:t>rohita</w:t>
      </w:r>
      <w:proofErr w:type="spellEnd"/>
      <w:r w:rsidRPr="00811ADC">
        <w:rPr>
          <w:rFonts w:asciiTheme="majorBidi" w:hAnsiTheme="majorBidi" w:cstheme="majorBidi"/>
        </w:rPr>
        <w:t xml:space="preserve"> exposed to dichlorvos, where significant reductions in RBCs were associated with impaired oxygen transport </w:t>
      </w:r>
      <w:r w:rsidRPr="00811ADC">
        <w:rPr>
          <w:rFonts w:asciiTheme="majorBidi" w:hAnsiTheme="majorBidi" w:cstheme="majorBidi"/>
        </w:rPr>
        <w:lastRenderedPageBreak/>
        <w:t>and stress-related metabolic shifts (</w:t>
      </w:r>
      <w:r w:rsidR="00195B5F">
        <w:rPr>
          <w:rFonts w:asciiTheme="majorBidi" w:hAnsiTheme="majorBidi" w:cstheme="majorBidi"/>
        </w:rPr>
        <w:t>Kumar et al., 2025</w:t>
      </w:r>
      <w:r w:rsidRPr="00811ADC">
        <w:rPr>
          <w:rFonts w:asciiTheme="majorBidi" w:hAnsiTheme="majorBidi" w:cstheme="majorBidi"/>
        </w:rPr>
        <w:t xml:space="preserve">). More recently, </w:t>
      </w:r>
      <w:proofErr w:type="spellStart"/>
      <w:r w:rsidRPr="00811ADC">
        <w:rPr>
          <w:rFonts w:asciiTheme="majorBidi" w:hAnsiTheme="majorBidi" w:cstheme="majorBidi"/>
        </w:rPr>
        <w:t>Alam</w:t>
      </w:r>
      <w:proofErr w:type="spellEnd"/>
      <w:r w:rsidRPr="00811ADC">
        <w:rPr>
          <w:rFonts w:asciiTheme="majorBidi" w:hAnsiTheme="majorBidi" w:cstheme="majorBidi"/>
        </w:rPr>
        <w:t xml:space="preserve"> and </w:t>
      </w:r>
      <w:r w:rsidR="00195B5F">
        <w:rPr>
          <w:rFonts w:asciiTheme="majorBidi" w:hAnsiTheme="majorBidi" w:cstheme="majorBidi"/>
        </w:rPr>
        <w:t>Khan (2019)</w:t>
      </w:r>
      <w:r w:rsidRPr="00811ADC">
        <w:rPr>
          <w:rFonts w:asciiTheme="majorBidi" w:hAnsiTheme="majorBidi" w:cstheme="majorBidi"/>
        </w:rPr>
        <w:t xml:space="preserve"> documented that dimethoate exposure in </w:t>
      </w:r>
      <w:r w:rsidR="00195B5F" w:rsidRPr="00195B5F">
        <w:rPr>
          <w:rFonts w:asciiTheme="majorBidi" w:hAnsiTheme="majorBidi" w:cstheme="majorBidi"/>
          <w:i/>
          <w:iCs/>
        </w:rPr>
        <w:t xml:space="preserve">Oreochromis </w:t>
      </w:r>
      <w:proofErr w:type="spellStart"/>
      <w:r w:rsidR="00195B5F" w:rsidRPr="00195B5F">
        <w:rPr>
          <w:rFonts w:asciiTheme="majorBidi" w:hAnsiTheme="majorBidi" w:cstheme="majorBidi"/>
          <w:i/>
          <w:iCs/>
        </w:rPr>
        <w:t>niloticus</w:t>
      </w:r>
      <w:proofErr w:type="spellEnd"/>
      <w:r w:rsidRPr="00195B5F">
        <w:rPr>
          <w:rFonts w:asciiTheme="majorBidi" w:hAnsiTheme="majorBidi" w:cstheme="majorBidi"/>
        </w:rPr>
        <w:t xml:space="preserve"> </w:t>
      </w:r>
      <w:r w:rsidRPr="00811ADC">
        <w:rPr>
          <w:rFonts w:asciiTheme="majorBidi" w:hAnsiTheme="majorBidi" w:cstheme="majorBidi"/>
        </w:rPr>
        <w:t>significantly lowered erythrocyte density, underscoring that RBC suppression is a consistent indicator of organophosphate toxicity. Collectively, these findings highlight that reduction in erythrocyte numbers is one of the primary hematological hallmarks of pesticide stress in fish.</w:t>
      </w:r>
    </w:p>
    <w:p w14:paraId="2AD4DC0A" w14:textId="77777777" w:rsidR="00AA5332" w:rsidRPr="00811ADC" w:rsidRDefault="00AA5332" w:rsidP="00AA5332">
      <w:pPr>
        <w:spacing w:line="360" w:lineRule="auto"/>
        <w:jc w:val="both"/>
        <w:rPr>
          <w:rFonts w:asciiTheme="majorBidi" w:hAnsiTheme="majorBidi" w:cstheme="majorBidi"/>
          <w:b/>
          <w:bCs/>
        </w:rPr>
      </w:pPr>
      <w:r w:rsidRPr="00811ADC">
        <w:rPr>
          <w:rFonts w:asciiTheme="majorBidi" w:hAnsiTheme="majorBidi" w:cstheme="majorBidi"/>
          <w:b/>
          <w:bCs/>
        </w:rPr>
        <w:t>Hemoglobin Concentration (Hb)</w:t>
      </w:r>
    </w:p>
    <w:p w14:paraId="430A398F" w14:textId="3990FF24" w:rsidR="00AA5332" w:rsidRDefault="00AA5332" w:rsidP="00AA5332">
      <w:pPr>
        <w:spacing w:line="360" w:lineRule="auto"/>
        <w:jc w:val="both"/>
        <w:rPr>
          <w:rFonts w:asciiTheme="majorBidi" w:hAnsiTheme="majorBidi" w:cstheme="majorBidi"/>
        </w:rPr>
      </w:pPr>
      <w:r w:rsidRPr="00811ADC">
        <w:rPr>
          <w:rFonts w:asciiTheme="majorBidi" w:hAnsiTheme="majorBidi" w:cstheme="majorBidi"/>
        </w:rPr>
        <w:t xml:space="preserve">Hemoglobin concentration provides direct evidence of oxygen-carrying capacity, and multiple investigations have shown its susceptibility to organophosphate stress. For example, exposure of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00195B5F" w:rsidRPr="00195B5F">
        <w:rPr>
          <w:rFonts w:asciiTheme="majorBidi" w:hAnsiTheme="majorBidi" w:cstheme="majorBidi"/>
          <w:i/>
          <w:iCs/>
        </w:rPr>
        <w:t xml:space="preserve"> </w:t>
      </w:r>
      <w:r w:rsidRPr="00811ADC">
        <w:rPr>
          <w:rFonts w:asciiTheme="majorBidi" w:hAnsiTheme="majorBidi" w:cstheme="majorBidi"/>
        </w:rPr>
        <w:t>to malathion significantly decreased hemoglobin levels in a dose-dependent manner, suggesting hypoxic stress due to impaired erythrocyte function (Singh, 20</w:t>
      </w:r>
      <w:r w:rsidR="00195B5F">
        <w:rPr>
          <w:rFonts w:asciiTheme="majorBidi" w:hAnsiTheme="majorBidi" w:cstheme="majorBidi"/>
        </w:rPr>
        <w:t>20</w:t>
      </w:r>
      <w:r w:rsidRPr="00811ADC">
        <w:rPr>
          <w:rFonts w:asciiTheme="majorBidi" w:hAnsiTheme="majorBidi" w:cstheme="majorBidi"/>
        </w:rPr>
        <w:t xml:space="preserve">). Similar results were reported in </w:t>
      </w:r>
      <w:proofErr w:type="spellStart"/>
      <w:r w:rsidR="00195B5F" w:rsidRPr="00195B5F">
        <w:rPr>
          <w:rFonts w:asciiTheme="majorBidi" w:hAnsiTheme="majorBidi" w:cstheme="majorBidi"/>
          <w:i/>
          <w:iCs/>
        </w:rPr>
        <w:t>Clarias</w:t>
      </w:r>
      <w:proofErr w:type="spellEnd"/>
      <w:r w:rsidR="00195B5F" w:rsidRPr="00195B5F">
        <w:rPr>
          <w:rFonts w:asciiTheme="majorBidi" w:hAnsiTheme="majorBidi" w:cstheme="majorBidi"/>
          <w:i/>
          <w:iCs/>
        </w:rPr>
        <w:t xml:space="preserve"> </w:t>
      </w:r>
      <w:proofErr w:type="spellStart"/>
      <w:r w:rsidR="00195B5F" w:rsidRPr="00195B5F">
        <w:rPr>
          <w:rFonts w:asciiTheme="majorBidi" w:hAnsiTheme="majorBidi" w:cstheme="majorBidi"/>
          <w:i/>
          <w:iCs/>
        </w:rPr>
        <w:t>gariepinus</w:t>
      </w:r>
      <w:proofErr w:type="spellEnd"/>
      <w:r w:rsidR="00195B5F" w:rsidRPr="00811ADC">
        <w:rPr>
          <w:rFonts w:asciiTheme="majorBidi" w:hAnsiTheme="majorBidi" w:cstheme="majorBidi"/>
        </w:rPr>
        <w:t xml:space="preserve"> </w:t>
      </w:r>
      <w:r w:rsidRPr="00811ADC">
        <w:rPr>
          <w:rFonts w:asciiTheme="majorBidi" w:hAnsiTheme="majorBidi" w:cstheme="majorBidi"/>
        </w:rPr>
        <w:t>exposed to dichlorvos, where hemoglobin levels dropped rapidly within a few days of exposure (</w:t>
      </w:r>
      <w:proofErr w:type="spellStart"/>
      <w:r w:rsidR="00195B5F">
        <w:rPr>
          <w:rFonts w:asciiTheme="majorBidi" w:hAnsiTheme="majorBidi" w:cstheme="majorBidi"/>
        </w:rPr>
        <w:t>Loto</w:t>
      </w:r>
      <w:proofErr w:type="spellEnd"/>
      <w:r w:rsidR="00195B5F">
        <w:rPr>
          <w:rFonts w:asciiTheme="majorBidi" w:hAnsiTheme="majorBidi" w:cstheme="majorBidi"/>
        </w:rPr>
        <w:t xml:space="preserve"> et al., 2025</w:t>
      </w:r>
      <w:r w:rsidRPr="00811ADC">
        <w:rPr>
          <w:rFonts w:asciiTheme="majorBidi" w:hAnsiTheme="majorBidi" w:cstheme="majorBidi"/>
        </w:rPr>
        <w:t xml:space="preserve">). Studies on </w:t>
      </w:r>
      <w:r w:rsidRPr="00811ADC">
        <w:rPr>
          <w:rFonts w:asciiTheme="majorBidi" w:hAnsiTheme="majorBidi" w:cstheme="majorBidi"/>
          <w:i/>
          <w:iCs/>
        </w:rPr>
        <w:t xml:space="preserve">Oreochromis </w:t>
      </w:r>
      <w:proofErr w:type="spellStart"/>
      <w:r w:rsidRPr="00811ADC">
        <w:rPr>
          <w:rFonts w:asciiTheme="majorBidi" w:hAnsiTheme="majorBidi" w:cstheme="majorBidi"/>
          <w:i/>
          <w:iCs/>
        </w:rPr>
        <w:t>niloticus</w:t>
      </w:r>
      <w:proofErr w:type="spellEnd"/>
      <w:r w:rsidRPr="00811ADC">
        <w:rPr>
          <w:rFonts w:asciiTheme="majorBidi" w:hAnsiTheme="majorBidi" w:cstheme="majorBidi"/>
        </w:rPr>
        <w:t xml:space="preserve"> under chlorpyrifos stress further confirmed hemoglobin suppression, which was attributed to either direct oxidative damage to hemoglobin molecules or reduced RBC counts (</w:t>
      </w:r>
      <w:r w:rsidR="00195B5F">
        <w:rPr>
          <w:rFonts w:asciiTheme="majorBidi" w:hAnsiTheme="majorBidi" w:cstheme="majorBidi"/>
        </w:rPr>
        <w:t>Hossain et al., 2022</w:t>
      </w:r>
      <w:r w:rsidRPr="00811ADC">
        <w:rPr>
          <w:rFonts w:asciiTheme="majorBidi" w:hAnsiTheme="majorBidi" w:cstheme="majorBidi"/>
        </w:rPr>
        <w:t xml:space="preserve">). In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 diazinon exposure resulted in anemia with marked decreases in hemoglobin, paralleling alterations in other hematological indices (</w:t>
      </w:r>
      <w:r w:rsidR="002466D7">
        <w:rPr>
          <w:rFonts w:asciiTheme="majorBidi" w:hAnsiTheme="majorBidi" w:cstheme="majorBidi"/>
        </w:rPr>
        <w:t>Ahmed et al., 2011</w:t>
      </w:r>
      <w:r w:rsidRPr="00811ADC">
        <w:rPr>
          <w:rFonts w:asciiTheme="majorBidi" w:hAnsiTheme="majorBidi" w:cstheme="majorBidi"/>
        </w:rPr>
        <w:t>). Similarly, Patnaik et al. (20</w:t>
      </w:r>
      <w:r w:rsidR="002466D7">
        <w:rPr>
          <w:rFonts w:asciiTheme="majorBidi" w:hAnsiTheme="majorBidi" w:cstheme="majorBidi"/>
        </w:rPr>
        <w:t>22</w:t>
      </w:r>
      <w:r w:rsidRPr="00811ADC">
        <w:rPr>
          <w:rFonts w:asciiTheme="majorBidi" w:hAnsiTheme="majorBidi" w:cstheme="majorBidi"/>
        </w:rPr>
        <w:t xml:space="preserve">) observed significant declines in hemoglobin in </w:t>
      </w:r>
      <w:proofErr w:type="spellStart"/>
      <w:r w:rsidR="0062288B" w:rsidRPr="0062288B">
        <w:rPr>
          <w:rFonts w:asciiTheme="majorBidi" w:hAnsiTheme="majorBidi" w:cstheme="majorBidi"/>
          <w:i/>
          <w:iCs/>
        </w:rPr>
        <w:t>Labeo</w:t>
      </w:r>
      <w:proofErr w:type="spellEnd"/>
      <w:r w:rsidR="0062288B" w:rsidRPr="0062288B">
        <w:rPr>
          <w:rFonts w:asciiTheme="majorBidi" w:hAnsiTheme="majorBidi" w:cstheme="majorBidi"/>
          <w:i/>
          <w:iCs/>
        </w:rPr>
        <w:t xml:space="preserve"> </w:t>
      </w:r>
      <w:proofErr w:type="spellStart"/>
      <w:r w:rsidR="0062288B" w:rsidRPr="0062288B">
        <w:rPr>
          <w:rFonts w:asciiTheme="majorBidi" w:hAnsiTheme="majorBidi" w:cstheme="majorBidi"/>
          <w:i/>
          <w:iCs/>
        </w:rPr>
        <w:t>rohita</w:t>
      </w:r>
      <w:proofErr w:type="spellEnd"/>
      <w:r w:rsidRPr="00811ADC">
        <w:rPr>
          <w:rFonts w:asciiTheme="majorBidi" w:hAnsiTheme="majorBidi" w:cstheme="majorBidi"/>
        </w:rPr>
        <w:t xml:space="preserve"> exposed to </w:t>
      </w:r>
      <w:proofErr w:type="spellStart"/>
      <w:r w:rsidRPr="00811ADC">
        <w:rPr>
          <w:rFonts w:asciiTheme="majorBidi" w:hAnsiTheme="majorBidi" w:cstheme="majorBidi"/>
        </w:rPr>
        <w:t>monocrotophos</w:t>
      </w:r>
      <w:proofErr w:type="spellEnd"/>
      <w:r w:rsidRPr="00811ADC">
        <w:rPr>
          <w:rFonts w:asciiTheme="majorBidi" w:hAnsiTheme="majorBidi" w:cstheme="majorBidi"/>
        </w:rPr>
        <w:t>, indicating systemic impairment of oxygen transport. These consistent findings across species reinforce that hemoglobin reduction is a robust bioindicator of organophosphate pesticide toxicity.</w:t>
      </w:r>
    </w:p>
    <w:p w14:paraId="7A4EF930" w14:textId="77777777" w:rsidR="00AA5332" w:rsidRPr="00811ADC" w:rsidRDefault="00AA5332" w:rsidP="00AA5332">
      <w:pPr>
        <w:spacing w:line="360" w:lineRule="auto"/>
        <w:jc w:val="both"/>
        <w:rPr>
          <w:rFonts w:asciiTheme="majorBidi" w:hAnsiTheme="majorBidi" w:cstheme="majorBidi"/>
          <w:b/>
          <w:bCs/>
        </w:rPr>
      </w:pPr>
      <w:r w:rsidRPr="00811ADC">
        <w:rPr>
          <w:rFonts w:asciiTheme="majorBidi" w:hAnsiTheme="majorBidi" w:cstheme="majorBidi"/>
          <w:b/>
          <w:bCs/>
        </w:rPr>
        <w:t>Hematocrit (</w:t>
      </w:r>
      <w:proofErr w:type="spellStart"/>
      <w:r w:rsidRPr="00811ADC">
        <w:rPr>
          <w:rFonts w:asciiTheme="majorBidi" w:hAnsiTheme="majorBidi" w:cstheme="majorBidi"/>
          <w:b/>
          <w:bCs/>
        </w:rPr>
        <w:t>Hct</w:t>
      </w:r>
      <w:proofErr w:type="spellEnd"/>
      <w:r w:rsidRPr="00811ADC">
        <w:rPr>
          <w:rFonts w:asciiTheme="majorBidi" w:hAnsiTheme="majorBidi" w:cstheme="majorBidi"/>
          <w:b/>
          <w:bCs/>
        </w:rPr>
        <w:t xml:space="preserve"> or PCV)</w:t>
      </w:r>
    </w:p>
    <w:p w14:paraId="1B95902C" w14:textId="27C65309" w:rsidR="00440C69" w:rsidRPr="00811ADC" w:rsidRDefault="00AA5332" w:rsidP="00440C69">
      <w:pPr>
        <w:spacing w:line="360" w:lineRule="auto"/>
        <w:jc w:val="both"/>
        <w:rPr>
          <w:rFonts w:asciiTheme="majorBidi" w:hAnsiTheme="majorBidi" w:cstheme="majorBidi"/>
        </w:rPr>
      </w:pPr>
      <w:r w:rsidRPr="00811ADC">
        <w:rPr>
          <w:rFonts w:asciiTheme="majorBidi" w:hAnsiTheme="majorBidi" w:cstheme="majorBidi"/>
        </w:rPr>
        <w:t xml:space="preserve">The hematocrit value, which measures the proportion of blood volume occupied by erythrocytes, is another parameter that reflects anemia and general health status in fish under toxic stress. In a study on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 xml:space="preserve"> exposed to chlorpyrifos</w:t>
      </w:r>
      <w:r w:rsidR="001B1611">
        <w:rPr>
          <w:rFonts w:asciiTheme="majorBidi" w:hAnsiTheme="majorBidi" w:cstheme="majorBidi"/>
        </w:rPr>
        <w:t xml:space="preserve"> and </w:t>
      </w:r>
      <w:r w:rsidR="001B1611">
        <w:rPr>
          <w:rFonts w:asciiTheme="majorBidi" w:hAnsiTheme="majorBidi" w:cstheme="majorBidi"/>
        </w:rPr>
        <w:lastRenderedPageBreak/>
        <w:t>dimethoate</w:t>
      </w:r>
      <w:r w:rsidRPr="00811ADC">
        <w:rPr>
          <w:rFonts w:asciiTheme="majorBidi" w:hAnsiTheme="majorBidi" w:cstheme="majorBidi"/>
        </w:rPr>
        <w:t>, hematocrit values declined significantly, suggesting suppressed erythropoiesis (</w:t>
      </w:r>
      <w:r w:rsidR="00972A12">
        <w:rPr>
          <w:rFonts w:asciiTheme="majorBidi" w:hAnsiTheme="majorBidi" w:cstheme="majorBidi"/>
        </w:rPr>
        <w:t>Yaseen et al., 2025</w:t>
      </w:r>
      <w:r w:rsidR="001B1611">
        <w:rPr>
          <w:rFonts w:asciiTheme="majorBidi" w:hAnsiTheme="majorBidi" w:cstheme="majorBidi"/>
        </w:rPr>
        <w:t xml:space="preserve">; </w:t>
      </w:r>
      <w:proofErr w:type="spellStart"/>
      <w:r w:rsidR="001B1611">
        <w:rPr>
          <w:rFonts w:asciiTheme="majorBidi" w:hAnsiTheme="majorBidi" w:cstheme="majorBidi"/>
        </w:rPr>
        <w:t>Qayoom</w:t>
      </w:r>
      <w:proofErr w:type="spellEnd"/>
      <w:r w:rsidR="001B1611">
        <w:rPr>
          <w:rFonts w:asciiTheme="majorBidi" w:hAnsiTheme="majorBidi" w:cstheme="majorBidi"/>
        </w:rPr>
        <w:t xml:space="preserve"> et al., 2023</w:t>
      </w:r>
      <w:r w:rsidRPr="00811ADC">
        <w:rPr>
          <w:rFonts w:asciiTheme="majorBidi" w:hAnsiTheme="majorBidi" w:cstheme="majorBidi"/>
        </w:rPr>
        <w:t xml:space="preserve">). Similar findings were reported in </w:t>
      </w:r>
      <w:proofErr w:type="spellStart"/>
      <w:r w:rsidRPr="00811ADC">
        <w:rPr>
          <w:rFonts w:asciiTheme="majorBidi" w:hAnsiTheme="majorBidi" w:cstheme="majorBidi"/>
          <w:i/>
          <w:iCs/>
        </w:rPr>
        <w:t>Channa</w:t>
      </w:r>
      <w:proofErr w:type="spellEnd"/>
      <w:r w:rsidRPr="00811ADC">
        <w:rPr>
          <w:rFonts w:asciiTheme="majorBidi" w:hAnsiTheme="majorBidi" w:cstheme="majorBidi"/>
          <w:i/>
          <w:iCs/>
        </w:rPr>
        <w:t xml:space="preserve"> punctatus</w:t>
      </w:r>
      <w:r w:rsidRPr="00811ADC">
        <w:rPr>
          <w:rFonts w:asciiTheme="majorBidi" w:hAnsiTheme="majorBidi" w:cstheme="majorBidi"/>
        </w:rPr>
        <w:t xml:space="preserve"> under malathion exposure, where hematocrit dropped steadily with increasing concentrations (</w:t>
      </w:r>
      <w:r w:rsidR="00BC7A40">
        <w:rPr>
          <w:rFonts w:asciiTheme="majorBidi" w:hAnsiTheme="majorBidi" w:cstheme="majorBidi"/>
        </w:rPr>
        <w:t>Kumar et al., 2025</w:t>
      </w:r>
      <w:r w:rsidRPr="00811ADC">
        <w:rPr>
          <w:rFonts w:asciiTheme="majorBidi" w:hAnsiTheme="majorBidi" w:cstheme="majorBidi"/>
        </w:rPr>
        <w:t xml:space="preserve">). Dichlorvos exposure in </w:t>
      </w:r>
      <w:r w:rsidR="0062288B" w:rsidRPr="0062288B">
        <w:rPr>
          <w:rFonts w:asciiTheme="majorBidi" w:hAnsiTheme="majorBidi" w:cstheme="majorBidi"/>
          <w:i/>
          <w:iCs/>
        </w:rPr>
        <w:t xml:space="preserve">Oreochromis </w:t>
      </w:r>
      <w:proofErr w:type="spellStart"/>
      <w:r w:rsidR="0062288B" w:rsidRPr="0062288B">
        <w:rPr>
          <w:rFonts w:asciiTheme="majorBidi" w:hAnsiTheme="majorBidi" w:cstheme="majorBidi"/>
          <w:i/>
          <w:iCs/>
        </w:rPr>
        <w:t>mossambicus</w:t>
      </w:r>
      <w:proofErr w:type="spellEnd"/>
      <w:r w:rsidRPr="00811ADC">
        <w:rPr>
          <w:rFonts w:asciiTheme="majorBidi" w:hAnsiTheme="majorBidi" w:cstheme="majorBidi"/>
        </w:rPr>
        <w:t xml:space="preserve"> also caused a marked decrease in hematocrit, consistent with anemia and reduced blood oxygen capacity (</w:t>
      </w:r>
      <w:r w:rsidR="00BC7A40">
        <w:rPr>
          <w:rFonts w:asciiTheme="majorBidi" w:hAnsiTheme="majorBidi" w:cstheme="majorBidi"/>
        </w:rPr>
        <w:t>Hossain et al., 2022</w:t>
      </w:r>
      <w:r w:rsidRPr="00811ADC">
        <w:rPr>
          <w:rFonts w:asciiTheme="majorBidi" w:hAnsiTheme="majorBidi" w:cstheme="majorBidi"/>
        </w:rPr>
        <w:t xml:space="preserve">). Studies on dimethoate-treated </w:t>
      </w:r>
      <w:proofErr w:type="spellStart"/>
      <w:r w:rsidRPr="00811ADC">
        <w:rPr>
          <w:rFonts w:asciiTheme="majorBidi" w:hAnsiTheme="majorBidi" w:cstheme="majorBidi"/>
          <w:i/>
          <w:iCs/>
        </w:rPr>
        <w:t>Heteropneustes</w:t>
      </w:r>
      <w:proofErr w:type="spellEnd"/>
      <w:r w:rsidRPr="00811ADC">
        <w:rPr>
          <w:rFonts w:asciiTheme="majorBidi" w:hAnsiTheme="majorBidi" w:cstheme="majorBidi"/>
          <w:i/>
          <w:iCs/>
        </w:rPr>
        <w:t xml:space="preserve"> </w:t>
      </w:r>
      <w:proofErr w:type="spellStart"/>
      <w:r w:rsidRPr="00811ADC">
        <w:rPr>
          <w:rFonts w:asciiTheme="majorBidi" w:hAnsiTheme="majorBidi" w:cstheme="majorBidi"/>
          <w:i/>
          <w:iCs/>
        </w:rPr>
        <w:t>fossilis</w:t>
      </w:r>
      <w:proofErr w:type="spellEnd"/>
      <w:r w:rsidRPr="00811ADC">
        <w:rPr>
          <w:rFonts w:asciiTheme="majorBidi" w:hAnsiTheme="majorBidi" w:cstheme="majorBidi"/>
        </w:rPr>
        <w:t xml:space="preserve"> confirmed that hematocrit reduction occurs in tandem with declines in RBCs and hemoglobin, indicating an overall suppression of hematological functions (</w:t>
      </w:r>
      <w:proofErr w:type="spellStart"/>
      <w:r w:rsidR="00BC7A40">
        <w:rPr>
          <w:rFonts w:asciiTheme="majorBidi" w:hAnsiTheme="majorBidi" w:cstheme="majorBidi"/>
        </w:rPr>
        <w:t>Ritu</w:t>
      </w:r>
      <w:proofErr w:type="spellEnd"/>
      <w:r w:rsidR="00BC7A40">
        <w:rPr>
          <w:rFonts w:asciiTheme="majorBidi" w:hAnsiTheme="majorBidi" w:cstheme="majorBidi"/>
        </w:rPr>
        <w:t xml:space="preserve"> et al., 2022</w:t>
      </w:r>
      <w:r w:rsidRPr="00811ADC">
        <w:rPr>
          <w:rFonts w:asciiTheme="majorBidi" w:hAnsiTheme="majorBidi" w:cstheme="majorBidi"/>
        </w:rPr>
        <w:t xml:space="preserve">). In addition, Patra et al. (2015) reported that fenitrothion exposure in </w:t>
      </w:r>
      <w:proofErr w:type="spellStart"/>
      <w:r w:rsidR="0062288B" w:rsidRPr="0062288B">
        <w:rPr>
          <w:rFonts w:asciiTheme="majorBidi" w:hAnsiTheme="majorBidi" w:cstheme="majorBidi"/>
          <w:i/>
          <w:iCs/>
        </w:rPr>
        <w:t>Labeo</w:t>
      </w:r>
      <w:proofErr w:type="spellEnd"/>
      <w:r w:rsidR="0062288B" w:rsidRPr="0062288B">
        <w:rPr>
          <w:rFonts w:asciiTheme="majorBidi" w:hAnsiTheme="majorBidi" w:cstheme="majorBidi"/>
          <w:i/>
          <w:iCs/>
        </w:rPr>
        <w:t xml:space="preserve"> </w:t>
      </w:r>
      <w:proofErr w:type="spellStart"/>
      <w:r w:rsidR="0062288B" w:rsidRPr="0062288B">
        <w:rPr>
          <w:rFonts w:asciiTheme="majorBidi" w:hAnsiTheme="majorBidi" w:cstheme="majorBidi"/>
          <w:i/>
          <w:iCs/>
        </w:rPr>
        <w:t>rohita</w:t>
      </w:r>
      <w:proofErr w:type="spellEnd"/>
      <w:r w:rsidRPr="00811ADC">
        <w:rPr>
          <w:rFonts w:asciiTheme="majorBidi" w:hAnsiTheme="majorBidi" w:cstheme="majorBidi"/>
        </w:rPr>
        <w:t xml:space="preserve"> significantly reduced hematocrit levels, reflecting both cell damage and osmotic imbalance</w:t>
      </w:r>
      <w:r w:rsidR="00BC7A40">
        <w:rPr>
          <w:rFonts w:asciiTheme="majorBidi" w:hAnsiTheme="majorBidi" w:cstheme="majorBidi"/>
        </w:rPr>
        <w:t xml:space="preserve"> (</w:t>
      </w:r>
      <w:proofErr w:type="spellStart"/>
      <w:r w:rsidR="00BC7A40">
        <w:rPr>
          <w:rFonts w:asciiTheme="majorBidi" w:hAnsiTheme="majorBidi" w:cstheme="majorBidi"/>
        </w:rPr>
        <w:t>Ritu</w:t>
      </w:r>
      <w:proofErr w:type="spellEnd"/>
      <w:r w:rsidR="00BC7A40">
        <w:rPr>
          <w:rFonts w:asciiTheme="majorBidi" w:hAnsiTheme="majorBidi" w:cstheme="majorBidi"/>
        </w:rPr>
        <w:t xml:space="preserve"> et al., 2022)</w:t>
      </w:r>
      <w:r w:rsidRPr="00811ADC">
        <w:rPr>
          <w:rFonts w:asciiTheme="majorBidi" w:hAnsiTheme="majorBidi" w:cstheme="majorBidi"/>
        </w:rPr>
        <w:t>. These consistent reductions in hematocrit across multiple organophosphate exposures highlight its utility as a reliable biomarker for pesticide-induced hematological toxicity.</w:t>
      </w:r>
      <w:r w:rsidR="001F7C8B">
        <w:rPr>
          <w:rFonts w:asciiTheme="majorBidi" w:hAnsiTheme="majorBidi" w:cstheme="majorBidi"/>
        </w:rPr>
        <w:t xml:space="preserve"> </w:t>
      </w:r>
    </w:p>
    <w:p w14:paraId="0DFC4EE0" w14:textId="77777777" w:rsidR="00AA5332" w:rsidRPr="00811ADC" w:rsidRDefault="00AA5332" w:rsidP="00AA5332">
      <w:pPr>
        <w:spacing w:line="360" w:lineRule="auto"/>
        <w:jc w:val="both"/>
        <w:rPr>
          <w:rFonts w:asciiTheme="majorBidi" w:hAnsiTheme="majorBidi" w:cstheme="majorBidi"/>
          <w:b/>
          <w:bCs/>
        </w:rPr>
      </w:pPr>
      <w:r w:rsidRPr="00811ADC">
        <w:rPr>
          <w:rFonts w:asciiTheme="majorBidi" w:hAnsiTheme="majorBidi" w:cstheme="majorBidi"/>
          <w:b/>
          <w:bCs/>
        </w:rPr>
        <w:t>White Blood Cells (WBCs)</w:t>
      </w:r>
    </w:p>
    <w:p w14:paraId="236AB18E" w14:textId="192C4B00" w:rsidR="00AA5332" w:rsidRPr="00811ADC" w:rsidRDefault="00AA5332" w:rsidP="00AA5332">
      <w:pPr>
        <w:spacing w:line="360" w:lineRule="auto"/>
        <w:jc w:val="both"/>
        <w:rPr>
          <w:rFonts w:asciiTheme="majorBidi" w:hAnsiTheme="majorBidi" w:cstheme="majorBidi"/>
        </w:rPr>
      </w:pPr>
      <w:r w:rsidRPr="00811ADC">
        <w:rPr>
          <w:rFonts w:asciiTheme="majorBidi" w:hAnsiTheme="majorBidi" w:cstheme="majorBidi"/>
        </w:rPr>
        <w:t xml:space="preserve">White blood cell count is a critical indicator of immune response and stress in fish, and its alteration under pesticide stress has been extensively studied. Exposure of </w:t>
      </w:r>
      <w:proofErr w:type="spellStart"/>
      <w:r w:rsidRPr="00811ADC">
        <w:rPr>
          <w:rFonts w:asciiTheme="majorBidi" w:hAnsiTheme="majorBidi" w:cstheme="majorBidi"/>
          <w:i/>
          <w:iCs/>
        </w:rPr>
        <w:t>Clarias</w:t>
      </w:r>
      <w:proofErr w:type="spellEnd"/>
      <w:r w:rsidRPr="00811ADC">
        <w:rPr>
          <w:rFonts w:asciiTheme="majorBidi" w:hAnsiTheme="majorBidi" w:cstheme="majorBidi"/>
          <w:i/>
          <w:iCs/>
        </w:rPr>
        <w:t xml:space="preserve"> </w:t>
      </w:r>
      <w:proofErr w:type="spellStart"/>
      <w:r w:rsidRPr="00811ADC">
        <w:rPr>
          <w:rFonts w:asciiTheme="majorBidi" w:hAnsiTheme="majorBidi" w:cstheme="majorBidi"/>
          <w:i/>
          <w:iCs/>
        </w:rPr>
        <w:t>batrachus</w:t>
      </w:r>
      <w:proofErr w:type="spellEnd"/>
      <w:r w:rsidRPr="00811ADC">
        <w:rPr>
          <w:rFonts w:asciiTheme="majorBidi" w:hAnsiTheme="majorBidi" w:cstheme="majorBidi"/>
        </w:rPr>
        <w:t xml:space="preserve"> to malathion induced significant leukocytosis, which was interpreted as a defense response to toxic stress (</w:t>
      </w:r>
      <w:r w:rsidR="008C3542">
        <w:rPr>
          <w:rFonts w:asciiTheme="majorBidi" w:hAnsiTheme="majorBidi" w:cstheme="majorBidi"/>
        </w:rPr>
        <w:t xml:space="preserve">Chowdhury and </w:t>
      </w:r>
      <w:proofErr w:type="spellStart"/>
      <w:r w:rsidR="008C3542">
        <w:rPr>
          <w:rFonts w:asciiTheme="majorBidi" w:hAnsiTheme="majorBidi" w:cstheme="majorBidi"/>
        </w:rPr>
        <w:t>Haq</w:t>
      </w:r>
      <w:proofErr w:type="spellEnd"/>
      <w:r w:rsidR="008C3542">
        <w:rPr>
          <w:rFonts w:asciiTheme="majorBidi" w:hAnsiTheme="majorBidi" w:cstheme="majorBidi"/>
        </w:rPr>
        <w:t>., 2012</w:t>
      </w:r>
      <w:r w:rsidRPr="00811ADC">
        <w:rPr>
          <w:rFonts w:asciiTheme="majorBidi" w:hAnsiTheme="majorBidi" w:cstheme="majorBidi"/>
        </w:rPr>
        <w:t xml:space="preserve">). Similarly, in </w:t>
      </w:r>
      <w:r w:rsidR="0062288B" w:rsidRPr="0062288B">
        <w:rPr>
          <w:rFonts w:asciiTheme="majorBidi" w:hAnsiTheme="majorBidi" w:cstheme="majorBidi"/>
          <w:i/>
          <w:iCs/>
        </w:rPr>
        <w:t xml:space="preserve">Oreochromis </w:t>
      </w:r>
      <w:proofErr w:type="spellStart"/>
      <w:r w:rsidR="0062288B" w:rsidRPr="0062288B">
        <w:rPr>
          <w:rFonts w:asciiTheme="majorBidi" w:hAnsiTheme="majorBidi" w:cstheme="majorBidi"/>
          <w:i/>
          <w:iCs/>
        </w:rPr>
        <w:t>mossambicus</w:t>
      </w:r>
      <w:proofErr w:type="spellEnd"/>
      <w:r w:rsidRPr="00811ADC">
        <w:rPr>
          <w:rFonts w:asciiTheme="majorBidi" w:hAnsiTheme="majorBidi" w:cstheme="majorBidi"/>
        </w:rPr>
        <w:t xml:space="preserve"> exposed to dichlorvos, WBC count increased sharply in the early stages of exposure, reflecting activation of immune mechanisms (</w:t>
      </w:r>
      <w:r w:rsidR="008C3542">
        <w:rPr>
          <w:rFonts w:asciiTheme="majorBidi" w:hAnsiTheme="majorBidi" w:cstheme="majorBidi"/>
        </w:rPr>
        <w:t>Hossain et al., 2022</w:t>
      </w:r>
      <w:r w:rsidRPr="00811ADC">
        <w:rPr>
          <w:rFonts w:asciiTheme="majorBidi" w:hAnsiTheme="majorBidi" w:cstheme="majorBidi"/>
        </w:rPr>
        <w:t xml:space="preserve">). However, prolonged exposure often leads to leukopenia, as observed in </w:t>
      </w:r>
      <w:proofErr w:type="spellStart"/>
      <w:r w:rsidRPr="00811ADC">
        <w:rPr>
          <w:rFonts w:asciiTheme="majorBidi" w:hAnsiTheme="majorBidi" w:cstheme="majorBidi"/>
          <w:i/>
          <w:iCs/>
        </w:rPr>
        <w:t>Channa</w:t>
      </w:r>
      <w:proofErr w:type="spellEnd"/>
      <w:r w:rsidRPr="00811ADC">
        <w:rPr>
          <w:rFonts w:asciiTheme="majorBidi" w:hAnsiTheme="majorBidi" w:cstheme="majorBidi"/>
          <w:i/>
          <w:iCs/>
        </w:rPr>
        <w:t xml:space="preserve"> punctatus</w:t>
      </w:r>
      <w:r w:rsidRPr="00811ADC">
        <w:rPr>
          <w:rFonts w:asciiTheme="majorBidi" w:hAnsiTheme="majorBidi" w:cstheme="majorBidi"/>
        </w:rPr>
        <w:t xml:space="preserve"> under chlorpyrifos stress, suggesting immune suppression due to cytotoxicity (</w:t>
      </w:r>
      <w:r w:rsidR="008C3542">
        <w:rPr>
          <w:rFonts w:asciiTheme="majorBidi" w:hAnsiTheme="majorBidi" w:cstheme="majorBidi"/>
        </w:rPr>
        <w:t>Kumar et al., 2025</w:t>
      </w:r>
      <w:r w:rsidRPr="00811ADC">
        <w:rPr>
          <w:rFonts w:asciiTheme="majorBidi" w:hAnsiTheme="majorBidi" w:cstheme="majorBidi"/>
        </w:rPr>
        <w:t xml:space="preserve">). A comparable biphasic response was noted in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 xml:space="preserve"> exposed to diazinon, where WBCs initially increased but declined at higher concentrations (</w:t>
      </w:r>
      <w:r w:rsidR="008C3542">
        <w:rPr>
          <w:rFonts w:asciiTheme="majorBidi" w:hAnsiTheme="majorBidi" w:cstheme="majorBidi"/>
        </w:rPr>
        <w:t>Yaseen et al., 2025</w:t>
      </w:r>
      <w:r w:rsidRPr="00811ADC">
        <w:rPr>
          <w:rFonts w:asciiTheme="majorBidi" w:hAnsiTheme="majorBidi" w:cstheme="majorBidi"/>
        </w:rPr>
        <w:t xml:space="preserve">). More recent studies on </w:t>
      </w:r>
      <w:proofErr w:type="spellStart"/>
      <w:r w:rsidRPr="00811ADC">
        <w:rPr>
          <w:rFonts w:asciiTheme="majorBidi" w:hAnsiTheme="majorBidi" w:cstheme="majorBidi"/>
        </w:rPr>
        <w:t>monocrotophos</w:t>
      </w:r>
      <w:proofErr w:type="spellEnd"/>
      <w:r w:rsidRPr="00811ADC">
        <w:rPr>
          <w:rFonts w:asciiTheme="majorBidi" w:hAnsiTheme="majorBidi" w:cstheme="majorBidi"/>
        </w:rPr>
        <w:t xml:space="preserve">-exposed </w:t>
      </w:r>
      <w:proofErr w:type="spellStart"/>
      <w:r w:rsidR="0062288B" w:rsidRPr="0062288B">
        <w:rPr>
          <w:rFonts w:asciiTheme="majorBidi" w:hAnsiTheme="majorBidi" w:cstheme="majorBidi"/>
          <w:i/>
          <w:iCs/>
        </w:rPr>
        <w:t>Labeo</w:t>
      </w:r>
      <w:proofErr w:type="spellEnd"/>
      <w:r w:rsidR="0062288B" w:rsidRPr="0062288B">
        <w:rPr>
          <w:rFonts w:asciiTheme="majorBidi" w:hAnsiTheme="majorBidi" w:cstheme="majorBidi"/>
          <w:i/>
          <w:iCs/>
        </w:rPr>
        <w:t xml:space="preserve"> </w:t>
      </w:r>
      <w:proofErr w:type="spellStart"/>
      <w:r w:rsidR="0062288B" w:rsidRPr="0062288B">
        <w:rPr>
          <w:rFonts w:asciiTheme="majorBidi" w:hAnsiTheme="majorBidi" w:cstheme="majorBidi"/>
          <w:i/>
          <w:iCs/>
        </w:rPr>
        <w:t>rohita</w:t>
      </w:r>
      <w:proofErr w:type="spellEnd"/>
      <w:r w:rsidRPr="00811ADC">
        <w:rPr>
          <w:rFonts w:asciiTheme="majorBidi" w:hAnsiTheme="majorBidi" w:cstheme="majorBidi"/>
        </w:rPr>
        <w:t xml:space="preserve"> confirmed leukocyte fluctuations, which correlated with both </w:t>
      </w:r>
      <w:r w:rsidRPr="00811ADC">
        <w:rPr>
          <w:rFonts w:asciiTheme="majorBidi" w:hAnsiTheme="majorBidi" w:cstheme="majorBidi"/>
        </w:rPr>
        <w:lastRenderedPageBreak/>
        <w:t>inflammatory responses and eventual immunosuppression (Patnaik et al., 2018). These results indicate that while WBC alterations may initially represent adaptive immune responses, chronic pesticide stress eventually impairs immune competence, making fish vulnerable to secondary infections.</w:t>
      </w:r>
    </w:p>
    <w:p w14:paraId="4F2A67AE" w14:textId="77777777" w:rsidR="00AA5332" w:rsidRPr="00811ADC" w:rsidRDefault="00AA5332" w:rsidP="00AA5332">
      <w:pPr>
        <w:spacing w:line="360" w:lineRule="auto"/>
        <w:jc w:val="both"/>
        <w:rPr>
          <w:rFonts w:asciiTheme="majorBidi" w:hAnsiTheme="majorBidi" w:cstheme="majorBidi"/>
          <w:b/>
          <w:bCs/>
        </w:rPr>
      </w:pPr>
      <w:r w:rsidRPr="00811ADC">
        <w:rPr>
          <w:rFonts w:asciiTheme="majorBidi" w:hAnsiTheme="majorBidi" w:cstheme="majorBidi"/>
          <w:b/>
          <w:bCs/>
        </w:rPr>
        <w:t>Platelet Count and Thrombocyte Activity</w:t>
      </w:r>
    </w:p>
    <w:p w14:paraId="28D868E9" w14:textId="171900E7" w:rsidR="00AA5332" w:rsidRDefault="00AA5332" w:rsidP="00AA5332">
      <w:pPr>
        <w:spacing w:line="360" w:lineRule="auto"/>
        <w:jc w:val="both"/>
        <w:rPr>
          <w:rFonts w:asciiTheme="majorBidi" w:hAnsiTheme="majorBidi" w:cstheme="majorBidi"/>
        </w:rPr>
      </w:pPr>
      <w:r w:rsidRPr="00811ADC">
        <w:rPr>
          <w:rFonts w:asciiTheme="majorBidi" w:hAnsiTheme="majorBidi" w:cstheme="majorBidi"/>
        </w:rPr>
        <w:t xml:space="preserve">Platelets and thrombocytes play crucial roles in blood clotting and wound repair, and their alterations under pesticide stress have received growing attention. In </w:t>
      </w:r>
      <w:proofErr w:type="spellStart"/>
      <w:r w:rsidRPr="00811ADC">
        <w:rPr>
          <w:rFonts w:asciiTheme="majorBidi" w:hAnsiTheme="majorBidi" w:cstheme="majorBidi"/>
          <w:i/>
          <w:iCs/>
        </w:rPr>
        <w:t>Channa</w:t>
      </w:r>
      <w:proofErr w:type="spellEnd"/>
      <w:r w:rsidRPr="00811ADC">
        <w:rPr>
          <w:rFonts w:asciiTheme="majorBidi" w:hAnsiTheme="majorBidi" w:cstheme="majorBidi"/>
          <w:i/>
          <w:iCs/>
        </w:rPr>
        <w:t xml:space="preserve"> punctatus</w:t>
      </w:r>
      <w:r w:rsidRPr="00811ADC">
        <w:rPr>
          <w:rFonts w:asciiTheme="majorBidi" w:hAnsiTheme="majorBidi" w:cstheme="majorBidi"/>
        </w:rPr>
        <w:t xml:space="preserve"> exposed to malathion, platelet count showed a significant decline, reflecting impaired clotting efficiency (</w:t>
      </w:r>
      <w:r w:rsidR="00440C69">
        <w:rPr>
          <w:rFonts w:asciiTheme="majorBidi" w:hAnsiTheme="majorBidi" w:cstheme="majorBidi"/>
        </w:rPr>
        <w:t>Kumar et al., 2025</w:t>
      </w:r>
      <w:r w:rsidRPr="00811ADC">
        <w:rPr>
          <w:rFonts w:asciiTheme="majorBidi" w:hAnsiTheme="majorBidi" w:cstheme="majorBidi"/>
        </w:rPr>
        <w:t xml:space="preserve">). A similar trend was observed in </w:t>
      </w:r>
      <w:r w:rsidRPr="00811ADC">
        <w:rPr>
          <w:rFonts w:asciiTheme="majorBidi" w:hAnsiTheme="majorBidi" w:cstheme="majorBidi"/>
          <w:i/>
          <w:iCs/>
        </w:rPr>
        <w:t xml:space="preserve">Oreochromis </w:t>
      </w:r>
      <w:proofErr w:type="spellStart"/>
      <w:r w:rsidRPr="00811ADC">
        <w:rPr>
          <w:rFonts w:asciiTheme="majorBidi" w:hAnsiTheme="majorBidi" w:cstheme="majorBidi"/>
          <w:i/>
          <w:iCs/>
        </w:rPr>
        <w:t>niloticus</w:t>
      </w:r>
      <w:proofErr w:type="spellEnd"/>
      <w:r w:rsidRPr="00811ADC">
        <w:rPr>
          <w:rFonts w:asciiTheme="majorBidi" w:hAnsiTheme="majorBidi" w:cstheme="majorBidi"/>
        </w:rPr>
        <w:t xml:space="preserve"> under chlorpyrifos exposure, where reduced thrombocyte activity was associated with prolonged clotting times (</w:t>
      </w:r>
      <w:r w:rsidR="00440C69">
        <w:rPr>
          <w:rFonts w:asciiTheme="majorBidi" w:hAnsiTheme="majorBidi" w:cstheme="majorBidi"/>
        </w:rPr>
        <w:t>Hossain et al., 2022</w:t>
      </w:r>
      <w:r w:rsidRPr="00811ADC">
        <w:rPr>
          <w:rFonts w:asciiTheme="majorBidi" w:hAnsiTheme="majorBidi" w:cstheme="majorBidi"/>
        </w:rPr>
        <w:t xml:space="preserve">). In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 diazinon exposure also decreased thrombocyte numbers, which researchers attributed to direct cytotoxicity and oxidative damage to hematopoietic tissues (</w:t>
      </w:r>
      <w:r w:rsidR="00440C69">
        <w:rPr>
          <w:rFonts w:asciiTheme="majorBidi" w:hAnsiTheme="majorBidi" w:cstheme="majorBidi"/>
        </w:rPr>
        <w:t>Yaseen et al., 2025</w:t>
      </w:r>
      <w:r w:rsidRPr="00811ADC">
        <w:rPr>
          <w:rFonts w:asciiTheme="majorBidi" w:hAnsiTheme="majorBidi" w:cstheme="majorBidi"/>
        </w:rPr>
        <w:t xml:space="preserve">). Conversely, studies on </w:t>
      </w:r>
      <w:proofErr w:type="spellStart"/>
      <w:r w:rsidRPr="00811ADC">
        <w:rPr>
          <w:rFonts w:asciiTheme="majorBidi" w:hAnsiTheme="majorBidi" w:cstheme="majorBidi"/>
          <w:i/>
          <w:iCs/>
        </w:rPr>
        <w:t>Clarias</w:t>
      </w:r>
      <w:proofErr w:type="spellEnd"/>
      <w:r w:rsidRPr="00811ADC">
        <w:rPr>
          <w:rFonts w:asciiTheme="majorBidi" w:hAnsiTheme="majorBidi" w:cstheme="majorBidi"/>
          <w:i/>
          <w:iCs/>
        </w:rPr>
        <w:t xml:space="preserve"> </w:t>
      </w:r>
      <w:proofErr w:type="spellStart"/>
      <w:r w:rsidRPr="00811ADC">
        <w:rPr>
          <w:rFonts w:asciiTheme="majorBidi" w:hAnsiTheme="majorBidi" w:cstheme="majorBidi"/>
          <w:i/>
          <w:iCs/>
        </w:rPr>
        <w:t>batrachus</w:t>
      </w:r>
      <w:proofErr w:type="spellEnd"/>
      <w:r w:rsidRPr="00811ADC">
        <w:rPr>
          <w:rFonts w:asciiTheme="majorBidi" w:hAnsiTheme="majorBidi" w:cstheme="majorBidi"/>
        </w:rPr>
        <w:t xml:space="preserve"> exposed to dichlorvos reported an initial increase in platelet activity, possibly as a compensatory mechanism against vascular injury, followed by a decline at higher doses (</w:t>
      </w:r>
      <w:r w:rsidR="00440C69">
        <w:rPr>
          <w:rFonts w:asciiTheme="majorBidi" w:hAnsiTheme="majorBidi" w:cstheme="majorBidi"/>
        </w:rPr>
        <w:t xml:space="preserve">Chowdhury and </w:t>
      </w:r>
      <w:proofErr w:type="spellStart"/>
      <w:r w:rsidR="00440C69">
        <w:rPr>
          <w:rFonts w:asciiTheme="majorBidi" w:hAnsiTheme="majorBidi" w:cstheme="majorBidi"/>
        </w:rPr>
        <w:t>Haq</w:t>
      </w:r>
      <w:proofErr w:type="spellEnd"/>
      <w:r w:rsidR="00440C69">
        <w:rPr>
          <w:rFonts w:asciiTheme="majorBidi" w:hAnsiTheme="majorBidi" w:cstheme="majorBidi"/>
        </w:rPr>
        <w:t>., 2012</w:t>
      </w:r>
      <w:r w:rsidRPr="00811ADC">
        <w:rPr>
          <w:rFonts w:asciiTheme="majorBidi" w:hAnsiTheme="majorBidi" w:cstheme="majorBidi"/>
        </w:rPr>
        <w:t xml:space="preserve">). In </w:t>
      </w:r>
      <w:proofErr w:type="spellStart"/>
      <w:r w:rsidRPr="00811ADC">
        <w:rPr>
          <w:rFonts w:asciiTheme="majorBidi" w:hAnsiTheme="majorBidi" w:cstheme="majorBidi"/>
          <w:i/>
          <w:iCs/>
        </w:rPr>
        <w:t>Heteropneustes</w:t>
      </w:r>
      <w:proofErr w:type="spellEnd"/>
      <w:r w:rsidRPr="00811ADC">
        <w:rPr>
          <w:rFonts w:asciiTheme="majorBidi" w:hAnsiTheme="majorBidi" w:cstheme="majorBidi"/>
          <w:i/>
          <w:iCs/>
        </w:rPr>
        <w:t xml:space="preserve"> </w:t>
      </w:r>
      <w:proofErr w:type="spellStart"/>
      <w:r w:rsidRPr="00811ADC">
        <w:rPr>
          <w:rFonts w:asciiTheme="majorBidi" w:hAnsiTheme="majorBidi" w:cstheme="majorBidi"/>
          <w:i/>
          <w:iCs/>
        </w:rPr>
        <w:t>fossilis</w:t>
      </w:r>
      <w:proofErr w:type="spellEnd"/>
      <w:r w:rsidRPr="00811ADC">
        <w:rPr>
          <w:rFonts w:asciiTheme="majorBidi" w:hAnsiTheme="majorBidi" w:cstheme="majorBidi"/>
        </w:rPr>
        <w:t>, dimethoate exposure suppressed both platelet count and clotting efficiency, further demonstrating that pesticide-induced thrombocytopenia is a reliable indicator of hematological dysfunction (</w:t>
      </w:r>
      <w:r w:rsidR="00440C69">
        <w:rPr>
          <w:rFonts w:asciiTheme="majorBidi" w:hAnsiTheme="majorBidi" w:cstheme="majorBidi"/>
        </w:rPr>
        <w:t>Pandey et al., 2009</w:t>
      </w:r>
      <w:r w:rsidRPr="00811ADC">
        <w:rPr>
          <w:rFonts w:asciiTheme="majorBidi" w:hAnsiTheme="majorBidi" w:cstheme="majorBidi"/>
        </w:rPr>
        <w:t>). Collectively, these studies highlight that thrombocyte dynamics are not only sensitive to organophosphate stress but also valuable for evaluating blood coagulation impairments in fish populations exposed to pesticides.</w:t>
      </w:r>
    </w:p>
    <w:p w14:paraId="7264B746" w14:textId="77777777" w:rsidR="005A2BF3" w:rsidRPr="00811ADC" w:rsidRDefault="005A2BF3" w:rsidP="005A2BF3">
      <w:pPr>
        <w:spacing w:line="360" w:lineRule="auto"/>
        <w:jc w:val="both"/>
        <w:rPr>
          <w:rFonts w:asciiTheme="majorBidi" w:hAnsiTheme="majorBidi" w:cstheme="majorBidi"/>
          <w:b/>
          <w:bCs/>
        </w:rPr>
      </w:pPr>
      <w:r w:rsidRPr="00811ADC">
        <w:rPr>
          <w:rFonts w:asciiTheme="majorBidi" w:hAnsiTheme="majorBidi" w:cstheme="majorBidi"/>
          <w:b/>
          <w:bCs/>
        </w:rPr>
        <w:t>Biochemical and Enzymatic Biomarkers in Blood</w:t>
      </w:r>
    </w:p>
    <w:p w14:paraId="1CD7F975" w14:textId="77777777" w:rsidR="005A2BF3" w:rsidRPr="00811ADC" w:rsidRDefault="005A2BF3" w:rsidP="005A2BF3">
      <w:pPr>
        <w:spacing w:line="360" w:lineRule="auto"/>
        <w:jc w:val="both"/>
        <w:rPr>
          <w:rFonts w:asciiTheme="majorBidi" w:hAnsiTheme="majorBidi" w:cstheme="majorBidi"/>
          <w:b/>
          <w:bCs/>
        </w:rPr>
      </w:pPr>
      <w:r w:rsidRPr="00811ADC">
        <w:rPr>
          <w:rFonts w:asciiTheme="majorBidi" w:hAnsiTheme="majorBidi" w:cstheme="majorBidi"/>
          <w:b/>
          <w:bCs/>
        </w:rPr>
        <w:t>Cholinesterase inhibition (primary biomarker of OP toxicity)</w:t>
      </w:r>
    </w:p>
    <w:p w14:paraId="2489CF41" w14:textId="3E42FAAE" w:rsidR="005A2BF3" w:rsidRDefault="005A2BF3" w:rsidP="005A2BF3">
      <w:pPr>
        <w:spacing w:line="360" w:lineRule="auto"/>
        <w:jc w:val="both"/>
        <w:rPr>
          <w:rFonts w:asciiTheme="majorBidi" w:hAnsiTheme="majorBidi" w:cstheme="majorBidi"/>
        </w:rPr>
      </w:pPr>
      <w:r w:rsidRPr="00811ADC">
        <w:rPr>
          <w:rFonts w:asciiTheme="majorBidi" w:hAnsiTheme="majorBidi" w:cstheme="majorBidi"/>
        </w:rPr>
        <w:lastRenderedPageBreak/>
        <w:t>Acetylcholinesterase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in blood and plasma is the hallmark biomarker of organophosphate (OP) exposure and remains the most direct biochemical indicator of OP neurotoxicity in fish; OPs phosphorylate the serine hydroxyl at the active site of </w:t>
      </w:r>
      <w:proofErr w:type="spellStart"/>
      <w:r w:rsidRPr="00811ADC">
        <w:rPr>
          <w:rFonts w:asciiTheme="majorBidi" w:hAnsiTheme="majorBidi" w:cstheme="majorBidi"/>
        </w:rPr>
        <w:t>AChE</w:t>
      </w:r>
      <w:proofErr w:type="spellEnd"/>
      <w:r w:rsidRPr="00811ADC">
        <w:rPr>
          <w:rFonts w:asciiTheme="majorBidi" w:hAnsiTheme="majorBidi" w:cstheme="majorBidi"/>
        </w:rPr>
        <w:t>, producing rapid and often dose-dependent reductions in enzyme activity that correlate with clinical signs of cholinergic overstimulation and with broader physiological disturbance</w:t>
      </w:r>
      <w:r w:rsidR="007D129B">
        <w:rPr>
          <w:rFonts w:asciiTheme="majorBidi" w:hAnsiTheme="majorBidi" w:cstheme="majorBidi"/>
        </w:rPr>
        <w:t xml:space="preserve"> (Fu et al., 2018)</w:t>
      </w:r>
      <w:r w:rsidRPr="00811ADC">
        <w:rPr>
          <w:rFonts w:asciiTheme="majorBidi" w:hAnsiTheme="majorBidi" w:cstheme="majorBidi"/>
        </w:rPr>
        <w:t xml:space="preserve">. Numerous laboratory and field studies report marked suppression of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activity in plasma, brain and red blood cells of </w:t>
      </w:r>
      <w:proofErr w:type="spellStart"/>
      <w:r w:rsidRPr="00811ADC">
        <w:rPr>
          <w:rFonts w:asciiTheme="majorBidi" w:hAnsiTheme="majorBidi" w:cstheme="majorBidi"/>
        </w:rPr>
        <w:t>teleosts</w:t>
      </w:r>
      <w:proofErr w:type="spellEnd"/>
      <w:r w:rsidRPr="00811ADC">
        <w:rPr>
          <w:rFonts w:asciiTheme="majorBidi" w:hAnsiTheme="majorBidi" w:cstheme="majorBidi"/>
        </w:rPr>
        <w:t xml:space="preserve"> exposed to OPs such as chlorpyrifos, diazinon, malathion, methyl parathion and </w:t>
      </w:r>
      <w:proofErr w:type="spellStart"/>
      <w:r w:rsidRPr="00811ADC">
        <w:rPr>
          <w:rFonts w:asciiTheme="majorBidi" w:hAnsiTheme="majorBidi" w:cstheme="majorBidi"/>
        </w:rPr>
        <w:t>monocrotophos</w:t>
      </w:r>
      <w:proofErr w:type="spellEnd"/>
      <w:r w:rsidR="007D129B">
        <w:rPr>
          <w:rFonts w:asciiTheme="majorBidi" w:hAnsiTheme="majorBidi" w:cstheme="majorBidi"/>
        </w:rPr>
        <w:t xml:space="preserve"> (Hossain et al., 2025)</w:t>
      </w:r>
      <w:r w:rsidRPr="00811ADC">
        <w:rPr>
          <w:rFonts w:asciiTheme="majorBidi" w:hAnsiTheme="majorBidi" w:cstheme="majorBidi"/>
        </w:rPr>
        <w:t xml:space="preserve">; for example, chlorpyrifos produces pronounced plasma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in </w:t>
      </w:r>
      <w:proofErr w:type="spellStart"/>
      <w:r w:rsidR="0062288B" w:rsidRPr="0062288B">
        <w:rPr>
          <w:rFonts w:asciiTheme="majorBidi" w:hAnsiTheme="majorBidi" w:cstheme="majorBidi"/>
          <w:i/>
          <w:iCs/>
        </w:rPr>
        <w:t>Labeo</w:t>
      </w:r>
      <w:proofErr w:type="spellEnd"/>
      <w:r w:rsidR="0062288B" w:rsidRPr="0062288B">
        <w:rPr>
          <w:rFonts w:asciiTheme="majorBidi" w:hAnsiTheme="majorBidi" w:cstheme="majorBidi"/>
          <w:i/>
          <w:iCs/>
        </w:rPr>
        <w:t xml:space="preserve"> </w:t>
      </w:r>
      <w:proofErr w:type="spellStart"/>
      <w:r w:rsidR="0062288B" w:rsidRPr="0062288B">
        <w:rPr>
          <w:rFonts w:asciiTheme="majorBidi" w:hAnsiTheme="majorBidi" w:cstheme="majorBidi"/>
          <w:i/>
          <w:iCs/>
        </w:rPr>
        <w:t>rohita</w:t>
      </w:r>
      <w:proofErr w:type="spellEnd"/>
      <w:r w:rsidRPr="00811ADC">
        <w:rPr>
          <w:rFonts w:asciiTheme="majorBidi" w:hAnsiTheme="majorBidi" w:cstheme="majorBidi"/>
        </w:rPr>
        <w:t xml:space="preserve"> </w:t>
      </w:r>
      <w:r w:rsidR="00ED20E1">
        <w:rPr>
          <w:rFonts w:asciiTheme="majorBidi" w:hAnsiTheme="majorBidi" w:cstheme="majorBidi"/>
        </w:rPr>
        <w:t xml:space="preserve">(Deb and Das, 2021) </w:t>
      </w:r>
      <w:r w:rsidRPr="00811ADC">
        <w:rPr>
          <w:rFonts w:asciiTheme="majorBidi" w:hAnsiTheme="majorBidi" w:cstheme="majorBidi"/>
        </w:rPr>
        <w:t xml:space="preserve">and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w:t>
      </w:r>
      <w:r w:rsidR="00ED20E1">
        <w:rPr>
          <w:rFonts w:asciiTheme="majorBidi" w:hAnsiTheme="majorBidi" w:cstheme="majorBidi"/>
        </w:rPr>
        <w:t>(Kavitha and Rao, 2008),</w:t>
      </w:r>
      <w:r w:rsidRPr="00811ADC">
        <w:rPr>
          <w:rFonts w:asciiTheme="majorBidi" w:hAnsiTheme="majorBidi" w:cstheme="majorBidi"/>
        </w:rPr>
        <w:t xml:space="preserve"> with activity reductions detectable at sublethal concentrations and persisting until enzymatic re-synthesis occurs or the compound is metabolized. Because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is mechanistically linked to OP action and shows early, sensitive responses to low concentrations, it is widely used for exposure assessment, has regulatory relevance, and is often paired with other blood biomarkers to infer sublethal impacts and recovery dynamics</w:t>
      </w:r>
      <w:r w:rsidR="00ED20E1">
        <w:rPr>
          <w:rFonts w:asciiTheme="majorBidi" w:hAnsiTheme="majorBidi" w:cstheme="majorBidi"/>
        </w:rPr>
        <w:t xml:space="preserve"> (Khatib et al., 2022)</w:t>
      </w:r>
      <w:r w:rsidRPr="00811ADC">
        <w:rPr>
          <w:rFonts w:asciiTheme="majorBidi" w:hAnsiTheme="majorBidi" w:cstheme="majorBidi"/>
        </w:rPr>
        <w:t xml:space="preserve">. </w:t>
      </w:r>
    </w:p>
    <w:p w14:paraId="55E0AA9B" w14:textId="77777777" w:rsidR="005A2BF3" w:rsidRPr="00811ADC" w:rsidRDefault="005A2BF3" w:rsidP="005A2BF3">
      <w:pPr>
        <w:spacing w:line="360" w:lineRule="auto"/>
        <w:jc w:val="both"/>
        <w:rPr>
          <w:rFonts w:asciiTheme="majorBidi" w:hAnsiTheme="majorBidi" w:cstheme="majorBidi"/>
          <w:b/>
          <w:bCs/>
        </w:rPr>
      </w:pPr>
      <w:r w:rsidRPr="00811ADC">
        <w:rPr>
          <w:rFonts w:asciiTheme="majorBidi" w:hAnsiTheme="majorBidi" w:cstheme="majorBidi"/>
          <w:b/>
          <w:bCs/>
        </w:rPr>
        <w:t>Serum enzymes: AST, ALT, LDH, ALP</w:t>
      </w:r>
    </w:p>
    <w:p w14:paraId="26FDECC7" w14:textId="236DBFC0" w:rsidR="005A2BF3" w:rsidRDefault="005A2BF3" w:rsidP="005A2BF3">
      <w:pPr>
        <w:spacing w:line="360" w:lineRule="auto"/>
        <w:jc w:val="both"/>
        <w:rPr>
          <w:rFonts w:asciiTheme="majorBidi" w:hAnsiTheme="majorBidi" w:cstheme="majorBidi"/>
        </w:rPr>
      </w:pPr>
      <w:r w:rsidRPr="00811ADC">
        <w:rPr>
          <w:rFonts w:asciiTheme="majorBidi" w:hAnsiTheme="majorBidi" w:cstheme="majorBidi"/>
        </w:rPr>
        <w:t>Serum transaminases (AST, ALT), lactate dehydrogenase (LDH), and alkaline phosphatase (ALP) are commonly elevated in the plasma of OP-exposed fish and are interpreted as sensitive indicators of cellular membrane damage and organ dysfunction, principally of liver, gill and kidney tissues. Across multiple studies, exposure to OPs such as chlorpyrifos, dimethoate, malathion and methyl parathion produced significant increases in AST and ALT activities, consistent with hepatocellular leakage; LDH elevation—reflecting generalized tissue damage and altered anaerobic metabolism—has also been consistently reported, while ALP changes often signal biliary or membrane perturbation and can accompany cholestatic or membrane-stress responses</w:t>
      </w:r>
      <w:r w:rsidR="007D2BD2">
        <w:rPr>
          <w:rFonts w:asciiTheme="majorBidi" w:hAnsiTheme="majorBidi" w:cstheme="majorBidi"/>
        </w:rPr>
        <w:t xml:space="preserve"> </w:t>
      </w:r>
      <w:r w:rsidR="007D2BD2">
        <w:rPr>
          <w:rFonts w:asciiTheme="majorBidi" w:hAnsiTheme="majorBidi" w:cstheme="majorBidi"/>
        </w:rPr>
        <w:lastRenderedPageBreak/>
        <w:t>(Shoaib and Siddiqi, 2016</w:t>
      </w:r>
      <w:r w:rsidR="00DA1908">
        <w:rPr>
          <w:rFonts w:asciiTheme="majorBidi" w:hAnsiTheme="majorBidi" w:cstheme="majorBidi"/>
        </w:rPr>
        <w:t xml:space="preserve">; </w:t>
      </w:r>
      <w:proofErr w:type="spellStart"/>
      <w:r w:rsidR="00DA1908">
        <w:rPr>
          <w:rFonts w:asciiTheme="majorBidi" w:hAnsiTheme="majorBidi" w:cstheme="majorBidi"/>
        </w:rPr>
        <w:t>Qayoom</w:t>
      </w:r>
      <w:proofErr w:type="spellEnd"/>
      <w:r w:rsidR="00DA1908">
        <w:rPr>
          <w:rFonts w:asciiTheme="majorBidi" w:hAnsiTheme="majorBidi" w:cstheme="majorBidi"/>
        </w:rPr>
        <w:t xml:space="preserve"> et al., 2014</w:t>
      </w:r>
      <w:r w:rsidR="007D2BD2">
        <w:rPr>
          <w:rFonts w:asciiTheme="majorBidi" w:hAnsiTheme="majorBidi" w:cstheme="majorBidi"/>
        </w:rPr>
        <w:t>)</w:t>
      </w:r>
      <w:r w:rsidRPr="00811ADC">
        <w:rPr>
          <w:rFonts w:asciiTheme="majorBidi" w:hAnsiTheme="majorBidi" w:cstheme="majorBidi"/>
        </w:rPr>
        <w:t xml:space="preserve">. Review articles and comparative studies corroborate that these enzymes rise even at sublethal exposures and that their magnitude varies with OP identity, formulation, and exposure regime, making enzyme panels useful for diagnosing the extent and organ-specificity of OP-induced damage when interpreted alongside histopathology and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measurements.</w:t>
      </w:r>
      <w:r w:rsidR="00ED20E1">
        <w:rPr>
          <w:rFonts w:asciiTheme="majorBidi" w:hAnsiTheme="majorBidi" w:cstheme="majorBidi"/>
        </w:rPr>
        <w:t xml:space="preserve"> </w:t>
      </w:r>
    </w:p>
    <w:p w14:paraId="76715A6B" w14:textId="77777777" w:rsidR="005A2BF3" w:rsidRPr="00811ADC" w:rsidRDefault="005A2BF3" w:rsidP="005A2BF3">
      <w:pPr>
        <w:spacing w:line="360" w:lineRule="auto"/>
        <w:jc w:val="both"/>
        <w:rPr>
          <w:rFonts w:asciiTheme="majorBidi" w:hAnsiTheme="majorBidi" w:cstheme="majorBidi"/>
          <w:b/>
          <w:bCs/>
        </w:rPr>
      </w:pPr>
      <w:r w:rsidRPr="00811ADC">
        <w:rPr>
          <w:rFonts w:asciiTheme="majorBidi" w:hAnsiTheme="majorBidi" w:cstheme="majorBidi"/>
          <w:b/>
          <w:bCs/>
        </w:rPr>
        <w:t>Glucose, total protein, albumin/globulin ratio (stress and energy metabolism)</w:t>
      </w:r>
    </w:p>
    <w:p w14:paraId="2C958088" w14:textId="4573A7B8" w:rsidR="007D2BD2" w:rsidRDefault="005A2BF3" w:rsidP="005A2BF3">
      <w:pPr>
        <w:spacing w:line="360" w:lineRule="auto"/>
        <w:jc w:val="both"/>
        <w:rPr>
          <w:rFonts w:asciiTheme="majorBidi" w:hAnsiTheme="majorBidi" w:cstheme="majorBidi"/>
        </w:rPr>
      </w:pPr>
      <w:r w:rsidRPr="00811ADC">
        <w:rPr>
          <w:rFonts w:asciiTheme="majorBidi" w:hAnsiTheme="majorBidi" w:cstheme="majorBidi"/>
        </w:rPr>
        <w:t>Plasma glucose typically increases rapidly following OP exposure as part of a generalized stress response mediated by catecholamines and cortisol, reflecting mobilization of energy reserves to meet heightened metabolic demand; however, chronic or severe exposures can deplete glycogen stores and produce complex temporal patterns</w:t>
      </w:r>
      <w:r w:rsidR="007D2BD2">
        <w:rPr>
          <w:rFonts w:asciiTheme="majorBidi" w:hAnsiTheme="majorBidi" w:cstheme="majorBidi"/>
        </w:rPr>
        <w:t xml:space="preserve"> (</w:t>
      </w:r>
      <w:r w:rsidR="007D2BD2" w:rsidRPr="007D2BD2">
        <w:rPr>
          <w:rFonts w:asciiTheme="majorBidi" w:hAnsiTheme="majorBidi" w:cstheme="majorBidi"/>
        </w:rPr>
        <w:t>Varma</w:t>
      </w:r>
      <w:r w:rsidR="007D2BD2">
        <w:rPr>
          <w:rFonts w:asciiTheme="majorBidi" w:hAnsiTheme="majorBidi" w:cstheme="majorBidi"/>
        </w:rPr>
        <w:t xml:space="preserve"> and</w:t>
      </w:r>
      <w:r w:rsidR="007D2BD2" w:rsidRPr="007D2BD2">
        <w:rPr>
          <w:rFonts w:asciiTheme="majorBidi" w:hAnsiTheme="majorBidi" w:cstheme="majorBidi"/>
        </w:rPr>
        <w:t xml:space="preserve"> Vasudevan,</w:t>
      </w:r>
      <w:r w:rsidR="007D2BD2">
        <w:rPr>
          <w:rFonts w:asciiTheme="majorBidi" w:hAnsiTheme="majorBidi" w:cstheme="majorBidi"/>
        </w:rPr>
        <w:t xml:space="preserve"> </w:t>
      </w:r>
      <w:r w:rsidR="007D2BD2" w:rsidRPr="007D2BD2">
        <w:rPr>
          <w:rFonts w:asciiTheme="majorBidi" w:hAnsiTheme="majorBidi" w:cstheme="majorBidi"/>
        </w:rPr>
        <w:t>2025)</w:t>
      </w:r>
      <w:r w:rsidRPr="00811ADC">
        <w:rPr>
          <w:rFonts w:asciiTheme="majorBidi" w:hAnsiTheme="majorBidi" w:cstheme="majorBidi"/>
        </w:rPr>
        <w:t>. Total plasma protein and its fractions commonly decline after OP treatment, with decreases in albumin and altered albumin/globulin ratios reported in several species, indicating both impaired synthetic liver function and altered immune status</w:t>
      </w:r>
      <w:r w:rsidR="007D2BD2">
        <w:rPr>
          <w:rFonts w:asciiTheme="majorBidi" w:hAnsiTheme="majorBidi" w:cstheme="majorBidi"/>
        </w:rPr>
        <w:t xml:space="preserve"> (</w:t>
      </w:r>
      <w:proofErr w:type="spellStart"/>
      <w:r w:rsidR="007D2BD2">
        <w:rPr>
          <w:rFonts w:asciiTheme="majorBidi" w:hAnsiTheme="majorBidi" w:cstheme="majorBidi"/>
        </w:rPr>
        <w:t>Narra</w:t>
      </w:r>
      <w:proofErr w:type="spellEnd"/>
      <w:r w:rsidR="007D2BD2">
        <w:rPr>
          <w:rFonts w:asciiTheme="majorBidi" w:hAnsiTheme="majorBidi" w:cstheme="majorBidi"/>
        </w:rPr>
        <w:t xml:space="preserve"> et al., 2017)</w:t>
      </w:r>
      <w:r w:rsidRPr="00811ADC">
        <w:rPr>
          <w:rFonts w:asciiTheme="majorBidi" w:hAnsiTheme="majorBidi" w:cstheme="majorBidi"/>
        </w:rPr>
        <w:t xml:space="preserve">. For instance, studies on methyl parathion and chlorpyrifos document initial hyperglycemia together with progressive reductions in total protein and albumin in </w:t>
      </w:r>
      <w:proofErr w:type="spellStart"/>
      <w:r w:rsidRPr="00811ADC">
        <w:rPr>
          <w:rFonts w:asciiTheme="majorBidi" w:hAnsiTheme="majorBidi" w:cstheme="majorBidi"/>
        </w:rPr>
        <w:t>teleosts</w:t>
      </w:r>
      <w:proofErr w:type="spellEnd"/>
      <w:r w:rsidRPr="00811ADC">
        <w:rPr>
          <w:rFonts w:asciiTheme="majorBidi" w:hAnsiTheme="majorBidi" w:cstheme="majorBidi"/>
        </w:rPr>
        <w:t>, patterns that are exacerbated at higher concentrations or with longer exposure durations</w:t>
      </w:r>
      <w:r w:rsidR="007D2BD2">
        <w:rPr>
          <w:rFonts w:asciiTheme="majorBidi" w:hAnsiTheme="majorBidi" w:cstheme="majorBidi"/>
        </w:rPr>
        <w:t xml:space="preserve"> (Das et al., 2024)</w:t>
      </w:r>
      <w:r w:rsidRPr="00811ADC">
        <w:rPr>
          <w:rFonts w:asciiTheme="majorBidi" w:hAnsiTheme="majorBidi" w:cstheme="majorBidi"/>
        </w:rPr>
        <w:t>. These combined biochemical shifts—acute hyperglycemia with concurrent protein depletion—signal energetic stress and compromised metabolic homeostasis and are therefore valuable complementary biomarkers to enzymatic assays and hematological endpoints</w:t>
      </w:r>
      <w:r w:rsidR="007D2BD2">
        <w:rPr>
          <w:rFonts w:asciiTheme="majorBidi" w:hAnsiTheme="majorBidi" w:cstheme="majorBidi"/>
        </w:rPr>
        <w:t xml:space="preserve"> (Rahbar et al., 2021</w:t>
      </w:r>
      <w:r w:rsidR="00DA1908">
        <w:rPr>
          <w:rFonts w:asciiTheme="majorBidi" w:hAnsiTheme="majorBidi" w:cstheme="majorBidi"/>
        </w:rPr>
        <w:t xml:space="preserve">; </w:t>
      </w:r>
      <w:proofErr w:type="spellStart"/>
      <w:r w:rsidR="00DA1908">
        <w:rPr>
          <w:rFonts w:asciiTheme="majorBidi" w:hAnsiTheme="majorBidi" w:cstheme="majorBidi"/>
        </w:rPr>
        <w:t>Qayoom</w:t>
      </w:r>
      <w:proofErr w:type="spellEnd"/>
      <w:r w:rsidR="00DA1908">
        <w:rPr>
          <w:rFonts w:asciiTheme="majorBidi" w:hAnsiTheme="majorBidi" w:cstheme="majorBidi"/>
        </w:rPr>
        <w:t xml:space="preserve"> et al., 2019</w:t>
      </w:r>
      <w:r w:rsidR="007D2BD2">
        <w:rPr>
          <w:rFonts w:asciiTheme="majorBidi" w:hAnsiTheme="majorBidi" w:cstheme="majorBidi"/>
        </w:rPr>
        <w:t>)</w:t>
      </w:r>
      <w:r w:rsidRPr="00811ADC">
        <w:rPr>
          <w:rFonts w:asciiTheme="majorBidi" w:hAnsiTheme="majorBidi" w:cstheme="majorBidi"/>
        </w:rPr>
        <w:t>.</w:t>
      </w:r>
    </w:p>
    <w:p w14:paraId="15C8B7A8" w14:textId="77777777" w:rsidR="005A2BF3" w:rsidRPr="00811ADC" w:rsidRDefault="005A2BF3" w:rsidP="005A2BF3">
      <w:pPr>
        <w:spacing w:line="360" w:lineRule="auto"/>
        <w:jc w:val="both"/>
        <w:rPr>
          <w:rFonts w:asciiTheme="majorBidi" w:hAnsiTheme="majorBidi" w:cstheme="majorBidi"/>
          <w:b/>
          <w:bCs/>
        </w:rPr>
      </w:pPr>
      <w:r w:rsidRPr="00811ADC">
        <w:rPr>
          <w:rFonts w:asciiTheme="majorBidi" w:hAnsiTheme="majorBidi" w:cstheme="majorBidi"/>
          <w:b/>
          <w:bCs/>
        </w:rPr>
        <w:t>Electrolyte imbalance (Na⁺, K⁺, Cl⁻, Ca²⁺)</w:t>
      </w:r>
    </w:p>
    <w:p w14:paraId="503A5F1A" w14:textId="17812C5C" w:rsidR="005A2BF3" w:rsidRDefault="005A2BF3" w:rsidP="005A2BF3">
      <w:pPr>
        <w:spacing w:line="360" w:lineRule="auto"/>
        <w:jc w:val="both"/>
        <w:rPr>
          <w:rFonts w:asciiTheme="majorBidi" w:hAnsiTheme="majorBidi" w:cstheme="majorBidi"/>
        </w:rPr>
      </w:pPr>
      <w:r w:rsidRPr="00811ADC">
        <w:rPr>
          <w:rFonts w:asciiTheme="majorBidi" w:hAnsiTheme="majorBidi" w:cstheme="majorBidi"/>
        </w:rPr>
        <w:t xml:space="preserve">Disruption of plasma electrolyte composition is a recurring outcome of OP exposure because insecticides affect gill function, </w:t>
      </w:r>
      <w:proofErr w:type="spellStart"/>
      <w:r w:rsidRPr="00811ADC">
        <w:rPr>
          <w:rFonts w:asciiTheme="majorBidi" w:hAnsiTheme="majorBidi" w:cstheme="majorBidi"/>
        </w:rPr>
        <w:t>ionoregulatory</w:t>
      </w:r>
      <w:proofErr w:type="spellEnd"/>
      <w:r w:rsidRPr="00811ADC">
        <w:rPr>
          <w:rFonts w:asciiTheme="majorBidi" w:hAnsiTheme="majorBidi" w:cstheme="majorBidi"/>
        </w:rPr>
        <w:t xml:space="preserve"> enzymes (e.g., Na⁺/K⁺-ATPase), and epithelial integrity; common patterns include hyponatremia and hypochloremia resulting from impaired branchial uptake or increased epithelial </w:t>
      </w:r>
      <w:r w:rsidRPr="00811ADC">
        <w:rPr>
          <w:rFonts w:asciiTheme="majorBidi" w:hAnsiTheme="majorBidi" w:cstheme="majorBidi"/>
        </w:rPr>
        <w:lastRenderedPageBreak/>
        <w:t>permeability, while potassium and calcium changes depend on species and exposure severity</w:t>
      </w:r>
      <w:r w:rsidR="007D2BD2">
        <w:rPr>
          <w:rFonts w:asciiTheme="majorBidi" w:hAnsiTheme="majorBidi" w:cstheme="majorBidi"/>
        </w:rPr>
        <w:t xml:space="preserve"> (</w:t>
      </w:r>
      <w:proofErr w:type="spellStart"/>
      <w:r w:rsidR="007D2BD2">
        <w:rPr>
          <w:rFonts w:asciiTheme="majorBidi" w:hAnsiTheme="majorBidi" w:cstheme="majorBidi"/>
        </w:rPr>
        <w:t>Suvetha</w:t>
      </w:r>
      <w:proofErr w:type="spellEnd"/>
      <w:r w:rsidR="007D2BD2">
        <w:rPr>
          <w:rFonts w:asciiTheme="majorBidi" w:hAnsiTheme="majorBidi" w:cstheme="majorBidi"/>
        </w:rPr>
        <w:t xml:space="preserve"> et al., 2010)</w:t>
      </w:r>
      <w:r w:rsidRPr="00811ADC">
        <w:rPr>
          <w:rFonts w:asciiTheme="majorBidi" w:hAnsiTheme="majorBidi" w:cstheme="majorBidi"/>
        </w:rPr>
        <w:t xml:space="preserve">. Several comparative and species-specific studies show reduced plasma Na⁺ and Cl⁻ in pesticide-exposed tilapia and carp, and altered Ca²⁺ concentrations have been documented in catfish and other </w:t>
      </w:r>
      <w:proofErr w:type="spellStart"/>
      <w:r w:rsidRPr="00811ADC">
        <w:rPr>
          <w:rFonts w:asciiTheme="majorBidi" w:hAnsiTheme="majorBidi" w:cstheme="majorBidi"/>
        </w:rPr>
        <w:t>teleosts</w:t>
      </w:r>
      <w:proofErr w:type="spellEnd"/>
      <w:r w:rsidRPr="00811ADC">
        <w:rPr>
          <w:rFonts w:asciiTheme="majorBidi" w:hAnsiTheme="majorBidi" w:cstheme="majorBidi"/>
        </w:rPr>
        <w:t xml:space="preserve"> following dimethoate or cypermethrin exposures, consistent with gill epithelial damage and endocrine disruption of calcium homeostasis</w:t>
      </w:r>
      <w:r w:rsidR="007D2BD2">
        <w:rPr>
          <w:rFonts w:asciiTheme="majorBidi" w:hAnsiTheme="majorBidi" w:cstheme="majorBidi"/>
        </w:rPr>
        <w:t xml:space="preserve"> (Pandey et al., 2020)</w:t>
      </w:r>
      <w:r w:rsidRPr="00811ADC">
        <w:rPr>
          <w:rFonts w:asciiTheme="majorBidi" w:hAnsiTheme="majorBidi" w:cstheme="majorBidi"/>
        </w:rPr>
        <w:t xml:space="preserve">. Because electrolyte disturbances directly affect osmotic balance, cardiovascular stability, and neuromuscular function, they are especially informative when interpreted with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and enzyme leakage to explain whole-organism symptoms such as impaired swimming, loss of equilibrium and mortality risk</w:t>
      </w:r>
      <w:r w:rsidR="007D2BD2">
        <w:rPr>
          <w:rFonts w:asciiTheme="majorBidi" w:hAnsiTheme="majorBidi" w:cstheme="majorBidi"/>
        </w:rPr>
        <w:t xml:space="preserve"> (Singh et al., 2002)</w:t>
      </w:r>
      <w:r w:rsidRPr="00811ADC">
        <w:rPr>
          <w:rFonts w:asciiTheme="majorBidi" w:hAnsiTheme="majorBidi" w:cstheme="majorBidi"/>
        </w:rPr>
        <w:t xml:space="preserve">. </w:t>
      </w:r>
    </w:p>
    <w:p w14:paraId="50C504CC" w14:textId="191BCC5B" w:rsidR="00814F10" w:rsidRPr="00811ADC" w:rsidRDefault="00814F10" w:rsidP="00FB3157">
      <w:pPr>
        <w:pStyle w:val="Heading2"/>
        <w:rPr>
          <w:rFonts w:asciiTheme="majorBidi" w:hAnsiTheme="majorBidi"/>
        </w:rPr>
      </w:pPr>
      <w:r w:rsidRPr="00811ADC">
        <w:rPr>
          <w:rFonts w:asciiTheme="majorBidi" w:hAnsiTheme="majorBidi"/>
        </w:rPr>
        <w:t xml:space="preserve">Table 1. Hematological alterations in fish under organophosphate exposure </w:t>
      </w:r>
    </w:p>
    <w:tbl>
      <w:tblPr>
        <w:tblStyle w:val="TableGrid"/>
        <w:tblW w:w="0" w:type="auto"/>
        <w:tblLook w:val="04A0" w:firstRow="1" w:lastRow="0" w:firstColumn="1" w:lastColumn="0" w:noHBand="0" w:noVBand="1"/>
      </w:tblPr>
      <w:tblGrid>
        <w:gridCol w:w="1604"/>
        <w:gridCol w:w="1417"/>
        <w:gridCol w:w="2074"/>
        <w:gridCol w:w="1670"/>
        <w:gridCol w:w="1496"/>
      </w:tblGrid>
      <w:tr w:rsidR="00814F10" w:rsidRPr="00811ADC" w14:paraId="36266BD3" w14:textId="77777777" w:rsidTr="001F7C8B">
        <w:tc>
          <w:tcPr>
            <w:tcW w:w="1744" w:type="dxa"/>
          </w:tcPr>
          <w:p w14:paraId="3155D742"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Parameter</w:t>
            </w:r>
          </w:p>
        </w:tc>
        <w:tc>
          <w:tcPr>
            <w:tcW w:w="1728" w:type="dxa"/>
          </w:tcPr>
          <w:p w14:paraId="452FCDF3"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Function / Indicator</w:t>
            </w:r>
          </w:p>
        </w:tc>
        <w:tc>
          <w:tcPr>
            <w:tcW w:w="2221" w:type="dxa"/>
          </w:tcPr>
          <w:p w14:paraId="55FCCE59"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Typical Response to OPs</w:t>
            </w:r>
          </w:p>
        </w:tc>
        <w:tc>
          <w:tcPr>
            <w:tcW w:w="1728" w:type="dxa"/>
          </w:tcPr>
          <w:p w14:paraId="5E851BD3"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Representative Species</w:t>
            </w:r>
          </w:p>
        </w:tc>
        <w:tc>
          <w:tcPr>
            <w:tcW w:w="1728" w:type="dxa"/>
          </w:tcPr>
          <w:p w14:paraId="33895248" w14:textId="32C4A149" w:rsidR="00814F10" w:rsidRPr="00FB3157" w:rsidRDefault="00814F10" w:rsidP="00811ADC">
            <w:pPr>
              <w:rPr>
                <w:rFonts w:asciiTheme="majorBidi" w:hAnsiTheme="majorBidi" w:cstheme="majorBidi"/>
                <w:b/>
                <w:bCs/>
              </w:rPr>
            </w:pPr>
            <w:r w:rsidRPr="00FB3157">
              <w:rPr>
                <w:rFonts w:asciiTheme="majorBidi" w:hAnsiTheme="majorBidi" w:cstheme="majorBidi"/>
                <w:b/>
                <w:bCs/>
              </w:rPr>
              <w:t xml:space="preserve"> References</w:t>
            </w:r>
          </w:p>
        </w:tc>
      </w:tr>
      <w:tr w:rsidR="00814F10" w:rsidRPr="00811ADC" w14:paraId="171431AC" w14:textId="77777777" w:rsidTr="001F7C8B">
        <w:tc>
          <w:tcPr>
            <w:tcW w:w="1744" w:type="dxa"/>
          </w:tcPr>
          <w:p w14:paraId="7B03450E" w14:textId="77777777" w:rsidR="00814F10" w:rsidRPr="00811ADC" w:rsidRDefault="00814F10" w:rsidP="00811ADC">
            <w:pPr>
              <w:rPr>
                <w:rFonts w:asciiTheme="majorBidi" w:hAnsiTheme="majorBidi" w:cstheme="majorBidi"/>
              </w:rPr>
            </w:pPr>
            <w:r w:rsidRPr="00811ADC">
              <w:rPr>
                <w:rFonts w:asciiTheme="majorBidi" w:hAnsiTheme="majorBidi" w:cstheme="majorBidi"/>
              </w:rPr>
              <w:t>Red blood cell count (RBC)</w:t>
            </w:r>
          </w:p>
        </w:tc>
        <w:tc>
          <w:tcPr>
            <w:tcW w:w="1728" w:type="dxa"/>
          </w:tcPr>
          <w:p w14:paraId="477D2E42" w14:textId="77777777" w:rsidR="00814F10" w:rsidRPr="00811ADC" w:rsidRDefault="00814F10" w:rsidP="00811ADC">
            <w:pPr>
              <w:rPr>
                <w:rFonts w:asciiTheme="majorBidi" w:hAnsiTheme="majorBidi" w:cstheme="majorBidi"/>
              </w:rPr>
            </w:pPr>
            <w:r w:rsidRPr="00811ADC">
              <w:rPr>
                <w:rFonts w:asciiTheme="majorBidi" w:hAnsiTheme="majorBidi" w:cstheme="majorBidi"/>
              </w:rPr>
              <w:t>Oxygen transport</w:t>
            </w:r>
          </w:p>
        </w:tc>
        <w:tc>
          <w:tcPr>
            <w:tcW w:w="2221" w:type="dxa"/>
          </w:tcPr>
          <w:p w14:paraId="286483B4" w14:textId="77777777" w:rsidR="00814F10" w:rsidRPr="00811ADC" w:rsidRDefault="00814F10" w:rsidP="00811ADC">
            <w:pPr>
              <w:rPr>
                <w:rFonts w:asciiTheme="majorBidi" w:hAnsiTheme="majorBidi" w:cstheme="majorBidi"/>
              </w:rPr>
            </w:pPr>
            <w:r w:rsidRPr="00811ADC">
              <w:rPr>
                <w:rFonts w:asciiTheme="majorBidi" w:hAnsiTheme="majorBidi" w:cstheme="majorBidi"/>
              </w:rPr>
              <w:t>↓ Decrease (hemolysis, suppressed erythropoiesis)</w:t>
            </w:r>
          </w:p>
        </w:tc>
        <w:tc>
          <w:tcPr>
            <w:tcW w:w="1728" w:type="dxa"/>
          </w:tcPr>
          <w:p w14:paraId="331D4F2F" w14:textId="1BFED696" w:rsidR="00814F10" w:rsidRPr="00811ADC" w:rsidRDefault="0062288B" w:rsidP="00811ADC">
            <w:pPr>
              <w:rPr>
                <w:rFonts w:asciiTheme="majorBidi" w:hAnsiTheme="majorBidi" w:cstheme="majorBidi"/>
              </w:rPr>
            </w:pPr>
            <w:r w:rsidRPr="0062288B">
              <w:rPr>
                <w:rFonts w:asciiTheme="majorBidi" w:hAnsiTheme="majorBidi" w:cstheme="majorBidi"/>
                <w:i/>
                <w:iCs/>
              </w:rPr>
              <w:t xml:space="preserve">Cyprinus </w:t>
            </w:r>
            <w:proofErr w:type="spellStart"/>
            <w:r w:rsidRPr="0062288B">
              <w:rPr>
                <w:rFonts w:asciiTheme="majorBidi" w:hAnsiTheme="majorBidi" w:cstheme="majorBidi"/>
                <w:i/>
                <w:iCs/>
              </w:rPr>
              <w:t>carpio</w:t>
            </w:r>
            <w:proofErr w:type="spellEnd"/>
            <w:r w:rsidR="00814F10" w:rsidRPr="00811ADC">
              <w:rPr>
                <w:rFonts w:asciiTheme="majorBidi" w:hAnsiTheme="majorBidi" w:cstheme="majorBidi"/>
              </w:rPr>
              <w:t xml:space="preserve">; </w:t>
            </w:r>
            <w:proofErr w:type="spellStart"/>
            <w:r w:rsidR="00814F10" w:rsidRPr="007D2BD2">
              <w:rPr>
                <w:rFonts w:asciiTheme="majorBidi" w:hAnsiTheme="majorBidi" w:cstheme="majorBidi"/>
                <w:i/>
                <w:iCs/>
              </w:rPr>
              <w:t>Channa</w:t>
            </w:r>
            <w:proofErr w:type="spellEnd"/>
            <w:r w:rsidR="00814F10" w:rsidRPr="007D2BD2">
              <w:rPr>
                <w:rFonts w:asciiTheme="majorBidi" w:hAnsiTheme="majorBidi" w:cstheme="majorBidi"/>
                <w:i/>
                <w:iCs/>
              </w:rPr>
              <w:t xml:space="preserve"> punctatus; </w:t>
            </w:r>
            <w:proofErr w:type="spellStart"/>
            <w:r w:rsidRPr="0062288B">
              <w:rPr>
                <w:rFonts w:asciiTheme="majorBidi" w:hAnsiTheme="majorBidi" w:cstheme="majorBidi"/>
                <w:i/>
                <w:iCs/>
              </w:rPr>
              <w:t>Labeo</w:t>
            </w:r>
            <w:proofErr w:type="spellEnd"/>
            <w:r w:rsidRPr="0062288B">
              <w:rPr>
                <w:rFonts w:asciiTheme="majorBidi" w:hAnsiTheme="majorBidi" w:cstheme="majorBidi"/>
                <w:i/>
                <w:iCs/>
              </w:rPr>
              <w:t xml:space="preserve"> </w:t>
            </w:r>
            <w:proofErr w:type="spellStart"/>
            <w:r w:rsidRPr="0062288B">
              <w:rPr>
                <w:rFonts w:asciiTheme="majorBidi" w:hAnsiTheme="majorBidi" w:cstheme="majorBidi"/>
                <w:i/>
                <w:iCs/>
              </w:rPr>
              <w:t>rohita</w:t>
            </w:r>
            <w:proofErr w:type="spellEnd"/>
          </w:p>
        </w:tc>
        <w:tc>
          <w:tcPr>
            <w:tcW w:w="1728" w:type="dxa"/>
          </w:tcPr>
          <w:p w14:paraId="067379CC" w14:textId="412CE81C" w:rsidR="00814F10" w:rsidRPr="00811ADC" w:rsidRDefault="00814F10" w:rsidP="00811ADC">
            <w:pPr>
              <w:rPr>
                <w:rFonts w:asciiTheme="majorBidi" w:hAnsiTheme="majorBidi" w:cstheme="majorBidi"/>
              </w:rPr>
            </w:pPr>
            <w:r w:rsidRPr="00811ADC">
              <w:rPr>
                <w:rFonts w:asciiTheme="majorBidi" w:hAnsiTheme="majorBidi" w:cstheme="majorBidi"/>
              </w:rPr>
              <w:t xml:space="preserve">Singh &amp; Srivastava, 2010; </w:t>
            </w:r>
            <w:proofErr w:type="spellStart"/>
            <w:r w:rsidR="001F7C8B">
              <w:rPr>
                <w:rFonts w:asciiTheme="majorBidi" w:hAnsiTheme="majorBidi" w:cstheme="majorBidi"/>
              </w:rPr>
              <w:t>Ritu</w:t>
            </w:r>
            <w:proofErr w:type="spellEnd"/>
            <w:r w:rsidR="001F7C8B">
              <w:rPr>
                <w:rFonts w:asciiTheme="majorBidi" w:hAnsiTheme="majorBidi" w:cstheme="majorBidi"/>
              </w:rPr>
              <w:t xml:space="preserve"> et al., 2022; Kumar et al., 2025 </w:t>
            </w:r>
          </w:p>
        </w:tc>
      </w:tr>
      <w:tr w:rsidR="00814F10" w:rsidRPr="00811ADC" w14:paraId="2447EEEC" w14:textId="77777777" w:rsidTr="001F7C8B">
        <w:tc>
          <w:tcPr>
            <w:tcW w:w="1744" w:type="dxa"/>
          </w:tcPr>
          <w:p w14:paraId="7CC24D8D" w14:textId="77777777" w:rsidR="00814F10" w:rsidRPr="00811ADC" w:rsidRDefault="00814F10" w:rsidP="00811ADC">
            <w:pPr>
              <w:rPr>
                <w:rFonts w:asciiTheme="majorBidi" w:hAnsiTheme="majorBidi" w:cstheme="majorBidi"/>
              </w:rPr>
            </w:pPr>
            <w:r w:rsidRPr="00811ADC">
              <w:rPr>
                <w:rFonts w:asciiTheme="majorBidi" w:hAnsiTheme="majorBidi" w:cstheme="majorBidi"/>
              </w:rPr>
              <w:t>Hemoglobin (Hb)</w:t>
            </w:r>
          </w:p>
        </w:tc>
        <w:tc>
          <w:tcPr>
            <w:tcW w:w="1728" w:type="dxa"/>
          </w:tcPr>
          <w:p w14:paraId="452611A9" w14:textId="77777777" w:rsidR="00814F10" w:rsidRPr="00811ADC" w:rsidRDefault="00814F10" w:rsidP="00811ADC">
            <w:pPr>
              <w:rPr>
                <w:rFonts w:asciiTheme="majorBidi" w:hAnsiTheme="majorBidi" w:cstheme="majorBidi"/>
              </w:rPr>
            </w:pPr>
            <w:r w:rsidRPr="00811ADC">
              <w:rPr>
                <w:rFonts w:asciiTheme="majorBidi" w:hAnsiTheme="majorBidi" w:cstheme="majorBidi"/>
              </w:rPr>
              <w:t>Oxygen-carrying capacity</w:t>
            </w:r>
          </w:p>
        </w:tc>
        <w:tc>
          <w:tcPr>
            <w:tcW w:w="2221" w:type="dxa"/>
          </w:tcPr>
          <w:p w14:paraId="6080488C" w14:textId="77777777" w:rsidR="00814F10" w:rsidRPr="00811ADC" w:rsidRDefault="00814F10" w:rsidP="00811ADC">
            <w:pPr>
              <w:rPr>
                <w:rFonts w:asciiTheme="majorBidi" w:hAnsiTheme="majorBidi" w:cstheme="majorBidi"/>
              </w:rPr>
            </w:pPr>
            <w:r w:rsidRPr="00811ADC">
              <w:rPr>
                <w:rFonts w:asciiTheme="majorBidi" w:hAnsiTheme="majorBidi" w:cstheme="majorBidi"/>
              </w:rPr>
              <w:t>↓ Decrease (oxidative damage, reduced RBCs)</w:t>
            </w:r>
          </w:p>
        </w:tc>
        <w:tc>
          <w:tcPr>
            <w:tcW w:w="1728" w:type="dxa"/>
          </w:tcPr>
          <w:p w14:paraId="346C1FFE" w14:textId="77777777" w:rsidR="00814F10" w:rsidRPr="007D2BD2" w:rsidRDefault="00814F10" w:rsidP="00811ADC">
            <w:pPr>
              <w:rPr>
                <w:rFonts w:asciiTheme="majorBidi" w:hAnsiTheme="majorBidi" w:cstheme="majorBidi"/>
                <w:i/>
                <w:iCs/>
              </w:rPr>
            </w:pPr>
            <w:proofErr w:type="spellStart"/>
            <w:r w:rsidRPr="007D2BD2">
              <w:rPr>
                <w:rFonts w:asciiTheme="majorBidi" w:hAnsiTheme="majorBidi" w:cstheme="majorBidi"/>
                <w:i/>
                <w:iCs/>
              </w:rPr>
              <w:t>Channa</w:t>
            </w:r>
            <w:proofErr w:type="spellEnd"/>
            <w:r w:rsidRPr="007D2BD2">
              <w:rPr>
                <w:rFonts w:asciiTheme="majorBidi" w:hAnsiTheme="majorBidi" w:cstheme="majorBidi"/>
                <w:i/>
                <w:iCs/>
              </w:rPr>
              <w:t xml:space="preserve"> punctatus; </w:t>
            </w:r>
            <w:proofErr w:type="spellStart"/>
            <w:r w:rsidRPr="007D2BD2">
              <w:rPr>
                <w:rFonts w:asciiTheme="majorBidi" w:hAnsiTheme="majorBidi" w:cstheme="majorBidi"/>
                <w:i/>
                <w:iCs/>
              </w:rPr>
              <w:t>Clarias</w:t>
            </w:r>
            <w:proofErr w:type="spellEnd"/>
            <w:r w:rsidRPr="007D2BD2">
              <w:rPr>
                <w:rFonts w:asciiTheme="majorBidi" w:hAnsiTheme="majorBidi" w:cstheme="majorBidi"/>
                <w:i/>
                <w:iCs/>
              </w:rPr>
              <w:t xml:space="preserve"> </w:t>
            </w:r>
            <w:proofErr w:type="spellStart"/>
            <w:r w:rsidRPr="007D2BD2">
              <w:rPr>
                <w:rFonts w:asciiTheme="majorBidi" w:hAnsiTheme="majorBidi" w:cstheme="majorBidi"/>
                <w:i/>
                <w:iCs/>
              </w:rPr>
              <w:t>batrachus</w:t>
            </w:r>
            <w:proofErr w:type="spellEnd"/>
            <w:r w:rsidRPr="007D2BD2">
              <w:rPr>
                <w:rFonts w:asciiTheme="majorBidi" w:hAnsiTheme="majorBidi" w:cstheme="majorBidi"/>
                <w:i/>
                <w:iCs/>
              </w:rPr>
              <w:t xml:space="preserve">; Oreochromis </w:t>
            </w:r>
            <w:proofErr w:type="spellStart"/>
            <w:r w:rsidRPr="007D2BD2">
              <w:rPr>
                <w:rFonts w:asciiTheme="majorBidi" w:hAnsiTheme="majorBidi" w:cstheme="majorBidi"/>
                <w:i/>
                <w:iCs/>
              </w:rPr>
              <w:t>niloticus</w:t>
            </w:r>
            <w:proofErr w:type="spellEnd"/>
          </w:p>
        </w:tc>
        <w:tc>
          <w:tcPr>
            <w:tcW w:w="1728" w:type="dxa"/>
          </w:tcPr>
          <w:p w14:paraId="78B840AB" w14:textId="77777777" w:rsidR="001F7C8B" w:rsidRDefault="00814F10" w:rsidP="00811ADC">
            <w:pPr>
              <w:rPr>
                <w:rFonts w:asciiTheme="majorBidi" w:hAnsiTheme="majorBidi" w:cstheme="majorBidi"/>
              </w:rPr>
            </w:pPr>
            <w:r w:rsidRPr="00811ADC">
              <w:rPr>
                <w:rFonts w:asciiTheme="majorBidi" w:hAnsiTheme="majorBidi" w:cstheme="majorBidi"/>
              </w:rPr>
              <w:t>Singh et al., 20</w:t>
            </w:r>
            <w:r w:rsidR="001F7C8B">
              <w:rPr>
                <w:rFonts w:asciiTheme="majorBidi" w:hAnsiTheme="majorBidi" w:cstheme="majorBidi"/>
              </w:rPr>
              <w:t>10</w:t>
            </w:r>
            <w:r w:rsidRPr="00811ADC">
              <w:rPr>
                <w:rFonts w:asciiTheme="majorBidi" w:hAnsiTheme="majorBidi" w:cstheme="majorBidi"/>
              </w:rPr>
              <w:t xml:space="preserve">; </w:t>
            </w:r>
            <w:r w:rsidR="001F7C8B">
              <w:rPr>
                <w:rFonts w:asciiTheme="majorBidi" w:hAnsiTheme="majorBidi" w:cstheme="majorBidi"/>
              </w:rPr>
              <w:t xml:space="preserve"> </w:t>
            </w:r>
          </w:p>
          <w:p w14:paraId="331413CA" w14:textId="30241669" w:rsidR="00814F10" w:rsidRPr="00811ADC" w:rsidRDefault="001F7C8B" w:rsidP="00811ADC">
            <w:pPr>
              <w:rPr>
                <w:rFonts w:asciiTheme="majorBidi" w:hAnsiTheme="majorBidi" w:cstheme="majorBidi"/>
              </w:rPr>
            </w:pPr>
            <w:proofErr w:type="spellStart"/>
            <w:r>
              <w:rPr>
                <w:rFonts w:asciiTheme="majorBidi" w:hAnsiTheme="majorBidi" w:cstheme="majorBidi"/>
              </w:rPr>
              <w:t>Loto</w:t>
            </w:r>
            <w:proofErr w:type="spellEnd"/>
            <w:r>
              <w:rPr>
                <w:rFonts w:asciiTheme="majorBidi" w:hAnsiTheme="majorBidi" w:cstheme="majorBidi"/>
              </w:rPr>
              <w:t xml:space="preserve"> et al., 2025Ahmed et al., 2011 </w:t>
            </w:r>
          </w:p>
        </w:tc>
      </w:tr>
      <w:tr w:rsidR="00814F10" w:rsidRPr="00811ADC" w14:paraId="63EA242E" w14:textId="77777777" w:rsidTr="001F7C8B">
        <w:tc>
          <w:tcPr>
            <w:tcW w:w="1744" w:type="dxa"/>
          </w:tcPr>
          <w:p w14:paraId="76A59299" w14:textId="77777777" w:rsidR="00814F10" w:rsidRPr="00811ADC" w:rsidRDefault="00814F10" w:rsidP="00811ADC">
            <w:pPr>
              <w:rPr>
                <w:rFonts w:asciiTheme="majorBidi" w:hAnsiTheme="majorBidi" w:cstheme="majorBidi"/>
              </w:rPr>
            </w:pPr>
            <w:r w:rsidRPr="00811ADC">
              <w:rPr>
                <w:rFonts w:asciiTheme="majorBidi" w:hAnsiTheme="majorBidi" w:cstheme="majorBidi"/>
              </w:rPr>
              <w:t>Hematocrit (</w:t>
            </w:r>
            <w:proofErr w:type="spellStart"/>
            <w:r w:rsidRPr="00811ADC">
              <w:rPr>
                <w:rFonts w:asciiTheme="majorBidi" w:hAnsiTheme="majorBidi" w:cstheme="majorBidi"/>
              </w:rPr>
              <w:t>Hct</w:t>
            </w:r>
            <w:proofErr w:type="spellEnd"/>
            <w:r w:rsidRPr="00811ADC">
              <w:rPr>
                <w:rFonts w:asciiTheme="majorBidi" w:hAnsiTheme="majorBidi" w:cstheme="majorBidi"/>
              </w:rPr>
              <w:t>/PCV)</w:t>
            </w:r>
          </w:p>
        </w:tc>
        <w:tc>
          <w:tcPr>
            <w:tcW w:w="1728" w:type="dxa"/>
          </w:tcPr>
          <w:p w14:paraId="48F5E0A2" w14:textId="77777777" w:rsidR="00814F10" w:rsidRPr="00811ADC" w:rsidRDefault="00814F10" w:rsidP="00811ADC">
            <w:pPr>
              <w:rPr>
                <w:rFonts w:asciiTheme="majorBidi" w:hAnsiTheme="majorBidi" w:cstheme="majorBidi"/>
              </w:rPr>
            </w:pPr>
            <w:r w:rsidRPr="00811ADC">
              <w:rPr>
                <w:rFonts w:asciiTheme="majorBidi" w:hAnsiTheme="majorBidi" w:cstheme="majorBidi"/>
              </w:rPr>
              <w:t>Proportion of blood volume as RBCs</w:t>
            </w:r>
          </w:p>
        </w:tc>
        <w:tc>
          <w:tcPr>
            <w:tcW w:w="2221" w:type="dxa"/>
          </w:tcPr>
          <w:p w14:paraId="1BB773CE" w14:textId="77777777" w:rsidR="00814F10" w:rsidRPr="00811ADC" w:rsidRDefault="00814F10" w:rsidP="00811ADC">
            <w:pPr>
              <w:rPr>
                <w:rFonts w:asciiTheme="majorBidi" w:hAnsiTheme="majorBidi" w:cstheme="majorBidi"/>
              </w:rPr>
            </w:pPr>
            <w:r w:rsidRPr="00811ADC">
              <w:rPr>
                <w:rFonts w:asciiTheme="majorBidi" w:hAnsiTheme="majorBidi" w:cstheme="majorBidi"/>
              </w:rPr>
              <w:t>↓ Decrease (anemia, osmotic imbalance)</w:t>
            </w:r>
          </w:p>
        </w:tc>
        <w:tc>
          <w:tcPr>
            <w:tcW w:w="1728" w:type="dxa"/>
          </w:tcPr>
          <w:p w14:paraId="67E26E37" w14:textId="7EAD01A0" w:rsidR="00814F10" w:rsidRPr="007D2BD2" w:rsidRDefault="0062288B" w:rsidP="00811ADC">
            <w:pPr>
              <w:rPr>
                <w:rFonts w:asciiTheme="majorBidi" w:hAnsiTheme="majorBidi" w:cstheme="majorBidi"/>
                <w:i/>
                <w:iCs/>
              </w:rPr>
            </w:pPr>
            <w:r w:rsidRPr="0062288B">
              <w:rPr>
                <w:rFonts w:asciiTheme="majorBidi" w:hAnsiTheme="majorBidi" w:cstheme="majorBidi"/>
                <w:i/>
                <w:iCs/>
              </w:rPr>
              <w:t xml:space="preserve">Cyprinus </w:t>
            </w:r>
            <w:proofErr w:type="spellStart"/>
            <w:r w:rsidRPr="0062288B">
              <w:rPr>
                <w:rFonts w:asciiTheme="majorBidi" w:hAnsiTheme="majorBidi" w:cstheme="majorBidi"/>
                <w:i/>
                <w:iCs/>
              </w:rPr>
              <w:t>carpio</w:t>
            </w:r>
            <w:proofErr w:type="spellEnd"/>
            <w:r w:rsidR="00814F10" w:rsidRPr="007D2BD2">
              <w:rPr>
                <w:rFonts w:asciiTheme="majorBidi" w:hAnsiTheme="majorBidi" w:cstheme="majorBidi"/>
                <w:i/>
                <w:iCs/>
              </w:rPr>
              <w:t xml:space="preserve">; </w:t>
            </w:r>
            <w:proofErr w:type="spellStart"/>
            <w:r w:rsidR="00814F10" w:rsidRPr="007D2BD2">
              <w:rPr>
                <w:rFonts w:asciiTheme="majorBidi" w:hAnsiTheme="majorBidi" w:cstheme="majorBidi"/>
                <w:i/>
                <w:iCs/>
              </w:rPr>
              <w:t>Heteropneustes</w:t>
            </w:r>
            <w:proofErr w:type="spellEnd"/>
            <w:r w:rsidR="00814F10" w:rsidRPr="007D2BD2">
              <w:rPr>
                <w:rFonts w:asciiTheme="majorBidi" w:hAnsiTheme="majorBidi" w:cstheme="majorBidi"/>
                <w:i/>
                <w:iCs/>
              </w:rPr>
              <w:t xml:space="preserve"> </w:t>
            </w:r>
            <w:proofErr w:type="spellStart"/>
            <w:r w:rsidR="00814F10" w:rsidRPr="007D2BD2">
              <w:rPr>
                <w:rFonts w:asciiTheme="majorBidi" w:hAnsiTheme="majorBidi" w:cstheme="majorBidi"/>
                <w:i/>
                <w:iCs/>
              </w:rPr>
              <w:t>fossilis</w:t>
            </w:r>
            <w:proofErr w:type="spellEnd"/>
          </w:p>
        </w:tc>
        <w:tc>
          <w:tcPr>
            <w:tcW w:w="1728" w:type="dxa"/>
          </w:tcPr>
          <w:p w14:paraId="74AB1FA6" w14:textId="30018A0C" w:rsidR="00814F10" w:rsidRPr="00811ADC" w:rsidRDefault="001F7C8B" w:rsidP="00811ADC">
            <w:pPr>
              <w:rPr>
                <w:rFonts w:asciiTheme="majorBidi" w:hAnsiTheme="majorBidi" w:cstheme="majorBidi"/>
              </w:rPr>
            </w:pPr>
            <w:r>
              <w:rPr>
                <w:rFonts w:asciiTheme="majorBidi" w:hAnsiTheme="majorBidi" w:cstheme="majorBidi"/>
              </w:rPr>
              <w:t>Yaseen et al., 2025; Kumar et al., 2025; Hossain et al., 2022</w:t>
            </w:r>
          </w:p>
        </w:tc>
      </w:tr>
      <w:tr w:rsidR="00814F10" w:rsidRPr="00811ADC" w14:paraId="08CEE156" w14:textId="77777777" w:rsidTr="001F7C8B">
        <w:tc>
          <w:tcPr>
            <w:tcW w:w="1744" w:type="dxa"/>
          </w:tcPr>
          <w:p w14:paraId="287AE2BC" w14:textId="77777777" w:rsidR="00814F10" w:rsidRPr="00811ADC" w:rsidRDefault="00814F10" w:rsidP="00811ADC">
            <w:pPr>
              <w:rPr>
                <w:rFonts w:asciiTheme="majorBidi" w:hAnsiTheme="majorBidi" w:cstheme="majorBidi"/>
              </w:rPr>
            </w:pPr>
            <w:r w:rsidRPr="00811ADC">
              <w:rPr>
                <w:rFonts w:asciiTheme="majorBidi" w:hAnsiTheme="majorBidi" w:cstheme="majorBidi"/>
              </w:rPr>
              <w:t>Mean corpuscular volume (MCV)</w:t>
            </w:r>
          </w:p>
        </w:tc>
        <w:tc>
          <w:tcPr>
            <w:tcW w:w="1728" w:type="dxa"/>
          </w:tcPr>
          <w:p w14:paraId="0D5920F7" w14:textId="77777777" w:rsidR="00814F10" w:rsidRPr="00811ADC" w:rsidRDefault="00814F10" w:rsidP="00811ADC">
            <w:pPr>
              <w:rPr>
                <w:rFonts w:asciiTheme="majorBidi" w:hAnsiTheme="majorBidi" w:cstheme="majorBidi"/>
              </w:rPr>
            </w:pPr>
            <w:r w:rsidRPr="00811ADC">
              <w:rPr>
                <w:rFonts w:asciiTheme="majorBidi" w:hAnsiTheme="majorBidi" w:cstheme="majorBidi"/>
              </w:rPr>
              <w:t>Average RBC size</w:t>
            </w:r>
          </w:p>
        </w:tc>
        <w:tc>
          <w:tcPr>
            <w:tcW w:w="2221" w:type="dxa"/>
          </w:tcPr>
          <w:p w14:paraId="2F524EF7" w14:textId="3C6C3AEC" w:rsidR="00814F10" w:rsidRPr="00811ADC" w:rsidRDefault="00814F10" w:rsidP="00811ADC">
            <w:pPr>
              <w:rPr>
                <w:rFonts w:asciiTheme="majorBidi" w:hAnsiTheme="majorBidi" w:cstheme="majorBidi"/>
              </w:rPr>
            </w:pPr>
            <w:r w:rsidRPr="00811ADC">
              <w:rPr>
                <w:rFonts w:asciiTheme="majorBidi" w:hAnsiTheme="majorBidi" w:cstheme="majorBidi"/>
              </w:rPr>
              <w:t>micro/macrocytic changes)</w:t>
            </w:r>
          </w:p>
        </w:tc>
        <w:tc>
          <w:tcPr>
            <w:tcW w:w="1728" w:type="dxa"/>
          </w:tcPr>
          <w:p w14:paraId="03AC2C28" w14:textId="78DDD936" w:rsidR="00814F10" w:rsidRPr="007D2BD2" w:rsidRDefault="0062288B" w:rsidP="00811ADC">
            <w:pPr>
              <w:rPr>
                <w:rFonts w:asciiTheme="majorBidi" w:hAnsiTheme="majorBidi" w:cstheme="majorBidi"/>
                <w:i/>
                <w:iCs/>
              </w:rPr>
            </w:pPr>
            <w:r w:rsidRPr="0062288B">
              <w:rPr>
                <w:rFonts w:asciiTheme="majorBidi" w:hAnsiTheme="majorBidi" w:cstheme="majorBidi"/>
                <w:i/>
                <w:iCs/>
              </w:rPr>
              <w:t xml:space="preserve">Cyprinus </w:t>
            </w:r>
            <w:proofErr w:type="spellStart"/>
            <w:r w:rsidRPr="0062288B">
              <w:rPr>
                <w:rFonts w:asciiTheme="majorBidi" w:hAnsiTheme="majorBidi" w:cstheme="majorBidi"/>
                <w:i/>
                <w:iCs/>
              </w:rPr>
              <w:t>carpio</w:t>
            </w:r>
            <w:proofErr w:type="spellEnd"/>
            <w:r w:rsidR="00814F10" w:rsidRPr="007D2BD2">
              <w:rPr>
                <w:rFonts w:asciiTheme="majorBidi" w:hAnsiTheme="majorBidi" w:cstheme="majorBidi"/>
                <w:i/>
                <w:iCs/>
              </w:rPr>
              <w:t xml:space="preserve">; </w:t>
            </w:r>
            <w:proofErr w:type="spellStart"/>
            <w:r w:rsidRPr="0062288B">
              <w:rPr>
                <w:rFonts w:asciiTheme="majorBidi" w:hAnsiTheme="majorBidi" w:cstheme="majorBidi"/>
                <w:i/>
                <w:iCs/>
              </w:rPr>
              <w:t>Labeo</w:t>
            </w:r>
            <w:proofErr w:type="spellEnd"/>
            <w:r w:rsidRPr="0062288B">
              <w:rPr>
                <w:rFonts w:asciiTheme="majorBidi" w:hAnsiTheme="majorBidi" w:cstheme="majorBidi"/>
                <w:i/>
                <w:iCs/>
              </w:rPr>
              <w:t xml:space="preserve"> </w:t>
            </w:r>
            <w:proofErr w:type="spellStart"/>
            <w:r w:rsidRPr="0062288B">
              <w:rPr>
                <w:rFonts w:asciiTheme="majorBidi" w:hAnsiTheme="majorBidi" w:cstheme="majorBidi"/>
                <w:i/>
                <w:iCs/>
              </w:rPr>
              <w:t>rohita</w:t>
            </w:r>
            <w:proofErr w:type="spellEnd"/>
          </w:p>
        </w:tc>
        <w:tc>
          <w:tcPr>
            <w:tcW w:w="1728" w:type="dxa"/>
          </w:tcPr>
          <w:p w14:paraId="7F26A683" w14:textId="77777777" w:rsidR="00814F10" w:rsidRPr="00811ADC" w:rsidRDefault="00814F10" w:rsidP="00811ADC">
            <w:pPr>
              <w:rPr>
                <w:rFonts w:asciiTheme="majorBidi" w:hAnsiTheme="majorBidi" w:cstheme="majorBidi"/>
              </w:rPr>
            </w:pPr>
            <w:r w:rsidRPr="00811ADC">
              <w:rPr>
                <w:rFonts w:asciiTheme="majorBidi" w:hAnsiTheme="majorBidi" w:cstheme="majorBidi"/>
              </w:rPr>
              <w:t>Various teleost studies</w:t>
            </w:r>
          </w:p>
        </w:tc>
      </w:tr>
      <w:tr w:rsidR="00814F10" w:rsidRPr="00811ADC" w14:paraId="7BA67038" w14:textId="77777777" w:rsidTr="001F7C8B">
        <w:tc>
          <w:tcPr>
            <w:tcW w:w="1744" w:type="dxa"/>
          </w:tcPr>
          <w:p w14:paraId="0DD557C5" w14:textId="77777777" w:rsidR="00814F10" w:rsidRPr="00811ADC" w:rsidRDefault="00814F10" w:rsidP="00811ADC">
            <w:pPr>
              <w:rPr>
                <w:rFonts w:asciiTheme="majorBidi" w:hAnsiTheme="majorBidi" w:cstheme="majorBidi"/>
              </w:rPr>
            </w:pPr>
            <w:r w:rsidRPr="00811ADC">
              <w:rPr>
                <w:rFonts w:asciiTheme="majorBidi" w:hAnsiTheme="majorBidi" w:cstheme="majorBidi"/>
              </w:rPr>
              <w:lastRenderedPageBreak/>
              <w:t>Erythrocyte osmotic fragility</w:t>
            </w:r>
          </w:p>
        </w:tc>
        <w:tc>
          <w:tcPr>
            <w:tcW w:w="1728" w:type="dxa"/>
          </w:tcPr>
          <w:p w14:paraId="4C94EAE5" w14:textId="77777777" w:rsidR="00814F10" w:rsidRPr="00811ADC" w:rsidRDefault="00814F10" w:rsidP="00811ADC">
            <w:pPr>
              <w:rPr>
                <w:rFonts w:asciiTheme="majorBidi" w:hAnsiTheme="majorBidi" w:cstheme="majorBidi"/>
              </w:rPr>
            </w:pPr>
            <w:r w:rsidRPr="00811ADC">
              <w:rPr>
                <w:rFonts w:asciiTheme="majorBidi" w:hAnsiTheme="majorBidi" w:cstheme="majorBidi"/>
              </w:rPr>
              <w:t>Cell membrane robustness</w:t>
            </w:r>
          </w:p>
        </w:tc>
        <w:tc>
          <w:tcPr>
            <w:tcW w:w="2221" w:type="dxa"/>
          </w:tcPr>
          <w:p w14:paraId="0804343A" w14:textId="77777777" w:rsidR="00814F10" w:rsidRPr="00811ADC" w:rsidRDefault="00814F10" w:rsidP="00811ADC">
            <w:pPr>
              <w:rPr>
                <w:rFonts w:asciiTheme="majorBidi" w:hAnsiTheme="majorBidi" w:cstheme="majorBidi"/>
              </w:rPr>
            </w:pPr>
            <w:r w:rsidRPr="00811ADC">
              <w:rPr>
                <w:rFonts w:asciiTheme="majorBidi" w:hAnsiTheme="majorBidi" w:cstheme="majorBidi"/>
              </w:rPr>
              <w:t>↑ Increased fragility under OP-induced membrane damage</w:t>
            </w:r>
          </w:p>
        </w:tc>
        <w:tc>
          <w:tcPr>
            <w:tcW w:w="1728" w:type="dxa"/>
          </w:tcPr>
          <w:p w14:paraId="2454512A" w14:textId="77777777" w:rsidR="00814F10" w:rsidRPr="001F7C8B" w:rsidRDefault="00814F10" w:rsidP="00811ADC">
            <w:pPr>
              <w:rPr>
                <w:rFonts w:asciiTheme="majorBidi" w:hAnsiTheme="majorBidi" w:cstheme="majorBidi"/>
                <w:i/>
                <w:iCs/>
              </w:rPr>
            </w:pPr>
            <w:proofErr w:type="spellStart"/>
            <w:r w:rsidRPr="001F7C8B">
              <w:rPr>
                <w:rFonts w:asciiTheme="majorBidi" w:hAnsiTheme="majorBidi" w:cstheme="majorBidi"/>
                <w:i/>
                <w:iCs/>
              </w:rPr>
              <w:t>Labeo</w:t>
            </w:r>
            <w:proofErr w:type="spellEnd"/>
            <w:r w:rsidRPr="001F7C8B">
              <w:rPr>
                <w:rFonts w:asciiTheme="majorBidi" w:hAnsiTheme="majorBidi" w:cstheme="majorBidi"/>
                <w:i/>
                <w:iCs/>
              </w:rPr>
              <w:t>, Cyprinus</w:t>
            </w:r>
          </w:p>
        </w:tc>
        <w:tc>
          <w:tcPr>
            <w:tcW w:w="1728" w:type="dxa"/>
          </w:tcPr>
          <w:p w14:paraId="51BA85A8" w14:textId="77777777" w:rsidR="00814F10" w:rsidRPr="00811ADC" w:rsidRDefault="00814F10" w:rsidP="00811ADC">
            <w:pPr>
              <w:rPr>
                <w:rFonts w:asciiTheme="majorBidi" w:hAnsiTheme="majorBidi" w:cstheme="majorBidi"/>
              </w:rPr>
            </w:pPr>
            <w:r w:rsidRPr="00811ADC">
              <w:rPr>
                <w:rFonts w:asciiTheme="majorBidi" w:hAnsiTheme="majorBidi" w:cstheme="majorBidi"/>
              </w:rPr>
              <w:t>Patil &amp; David, 2008; Joshi &amp; Harish, 2013</w:t>
            </w:r>
          </w:p>
        </w:tc>
      </w:tr>
      <w:tr w:rsidR="00814F10" w:rsidRPr="00811ADC" w14:paraId="6D7507C6" w14:textId="77777777" w:rsidTr="001F7C8B">
        <w:tc>
          <w:tcPr>
            <w:tcW w:w="1744" w:type="dxa"/>
          </w:tcPr>
          <w:p w14:paraId="0D7FFE9E" w14:textId="77777777" w:rsidR="00814F10" w:rsidRPr="00811ADC" w:rsidRDefault="00814F10" w:rsidP="00811ADC">
            <w:pPr>
              <w:rPr>
                <w:rFonts w:asciiTheme="majorBidi" w:hAnsiTheme="majorBidi" w:cstheme="majorBidi"/>
              </w:rPr>
            </w:pPr>
            <w:r w:rsidRPr="00811ADC">
              <w:rPr>
                <w:rFonts w:asciiTheme="majorBidi" w:hAnsiTheme="majorBidi" w:cstheme="majorBidi"/>
              </w:rPr>
              <w:t>White blood cell count (WBC)</w:t>
            </w:r>
          </w:p>
        </w:tc>
        <w:tc>
          <w:tcPr>
            <w:tcW w:w="1728" w:type="dxa"/>
          </w:tcPr>
          <w:p w14:paraId="0257AC20" w14:textId="77777777" w:rsidR="00814F10" w:rsidRPr="00811ADC" w:rsidRDefault="00814F10" w:rsidP="00811ADC">
            <w:pPr>
              <w:rPr>
                <w:rFonts w:asciiTheme="majorBidi" w:hAnsiTheme="majorBidi" w:cstheme="majorBidi"/>
              </w:rPr>
            </w:pPr>
            <w:r w:rsidRPr="00811ADC">
              <w:rPr>
                <w:rFonts w:asciiTheme="majorBidi" w:hAnsiTheme="majorBidi" w:cstheme="majorBidi"/>
              </w:rPr>
              <w:t>Immune function</w:t>
            </w:r>
          </w:p>
        </w:tc>
        <w:tc>
          <w:tcPr>
            <w:tcW w:w="2221" w:type="dxa"/>
          </w:tcPr>
          <w:p w14:paraId="7872E7FE" w14:textId="77777777" w:rsidR="00814F10" w:rsidRPr="00811ADC" w:rsidRDefault="00814F10" w:rsidP="00811ADC">
            <w:pPr>
              <w:rPr>
                <w:rFonts w:asciiTheme="majorBidi" w:hAnsiTheme="majorBidi" w:cstheme="majorBidi"/>
              </w:rPr>
            </w:pPr>
            <w:r w:rsidRPr="00811ADC">
              <w:rPr>
                <w:rFonts w:asciiTheme="majorBidi" w:hAnsiTheme="majorBidi" w:cstheme="majorBidi"/>
              </w:rPr>
              <w:t>↑/↓ Biphasic: early leukocytosis then leukopenia with chronic exposure</w:t>
            </w:r>
          </w:p>
        </w:tc>
        <w:tc>
          <w:tcPr>
            <w:tcW w:w="1728" w:type="dxa"/>
          </w:tcPr>
          <w:p w14:paraId="6B3AE718" w14:textId="43AF317A" w:rsidR="00814F10" w:rsidRPr="001F7C8B" w:rsidRDefault="00814F10" w:rsidP="00811ADC">
            <w:pPr>
              <w:rPr>
                <w:rFonts w:asciiTheme="majorBidi" w:hAnsiTheme="majorBidi" w:cstheme="majorBidi"/>
                <w:i/>
                <w:iCs/>
              </w:rPr>
            </w:pPr>
            <w:proofErr w:type="spellStart"/>
            <w:r w:rsidRPr="001F7C8B">
              <w:rPr>
                <w:rFonts w:asciiTheme="majorBidi" w:hAnsiTheme="majorBidi" w:cstheme="majorBidi"/>
                <w:i/>
                <w:iCs/>
              </w:rPr>
              <w:t>Clarias</w:t>
            </w:r>
            <w:proofErr w:type="spellEnd"/>
            <w:r w:rsidRPr="001F7C8B">
              <w:rPr>
                <w:rFonts w:asciiTheme="majorBidi" w:hAnsiTheme="majorBidi" w:cstheme="majorBidi"/>
                <w:i/>
                <w:iCs/>
              </w:rPr>
              <w:t xml:space="preserve"> </w:t>
            </w:r>
            <w:proofErr w:type="spellStart"/>
            <w:r w:rsidRPr="001F7C8B">
              <w:rPr>
                <w:rFonts w:asciiTheme="majorBidi" w:hAnsiTheme="majorBidi" w:cstheme="majorBidi"/>
                <w:i/>
                <w:iCs/>
              </w:rPr>
              <w:t>batrachus</w:t>
            </w:r>
            <w:proofErr w:type="spellEnd"/>
            <w:r w:rsidRPr="001F7C8B">
              <w:rPr>
                <w:rFonts w:asciiTheme="majorBidi" w:hAnsiTheme="majorBidi" w:cstheme="majorBidi"/>
                <w:i/>
                <w:iCs/>
              </w:rPr>
              <w:t xml:space="preserve">;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p>
        </w:tc>
        <w:tc>
          <w:tcPr>
            <w:tcW w:w="1728" w:type="dxa"/>
          </w:tcPr>
          <w:p w14:paraId="4DC0832C" w14:textId="77777777" w:rsidR="00814F10" w:rsidRPr="00811ADC" w:rsidRDefault="00814F10" w:rsidP="00811ADC">
            <w:pPr>
              <w:rPr>
                <w:rFonts w:asciiTheme="majorBidi" w:hAnsiTheme="majorBidi" w:cstheme="majorBidi"/>
              </w:rPr>
            </w:pPr>
            <w:r w:rsidRPr="00811ADC">
              <w:rPr>
                <w:rFonts w:asciiTheme="majorBidi" w:hAnsiTheme="majorBidi" w:cstheme="majorBidi"/>
              </w:rPr>
              <w:t>Yadav &amp; Gupta, 2011; Kavitha et al., 2016</w:t>
            </w:r>
          </w:p>
        </w:tc>
      </w:tr>
      <w:tr w:rsidR="00814F10" w:rsidRPr="00811ADC" w14:paraId="6BB49720" w14:textId="77777777" w:rsidTr="001F7C8B">
        <w:tc>
          <w:tcPr>
            <w:tcW w:w="1744" w:type="dxa"/>
          </w:tcPr>
          <w:p w14:paraId="0BE7A5CC" w14:textId="77777777" w:rsidR="00814F10" w:rsidRPr="00811ADC" w:rsidRDefault="00814F10" w:rsidP="00811ADC">
            <w:pPr>
              <w:rPr>
                <w:rFonts w:asciiTheme="majorBidi" w:hAnsiTheme="majorBidi" w:cstheme="majorBidi"/>
              </w:rPr>
            </w:pPr>
            <w:r w:rsidRPr="00811ADC">
              <w:rPr>
                <w:rFonts w:asciiTheme="majorBidi" w:hAnsiTheme="majorBidi" w:cstheme="majorBidi"/>
              </w:rPr>
              <w:t>Platelets / Thrombocytes</w:t>
            </w:r>
          </w:p>
        </w:tc>
        <w:tc>
          <w:tcPr>
            <w:tcW w:w="1728" w:type="dxa"/>
          </w:tcPr>
          <w:p w14:paraId="50D04053" w14:textId="77777777" w:rsidR="00814F10" w:rsidRPr="00811ADC" w:rsidRDefault="00814F10" w:rsidP="00811ADC">
            <w:pPr>
              <w:rPr>
                <w:rFonts w:asciiTheme="majorBidi" w:hAnsiTheme="majorBidi" w:cstheme="majorBidi"/>
              </w:rPr>
            </w:pPr>
            <w:r w:rsidRPr="00811ADC">
              <w:rPr>
                <w:rFonts w:asciiTheme="majorBidi" w:hAnsiTheme="majorBidi" w:cstheme="majorBidi"/>
              </w:rPr>
              <w:t>Clotting and wound repair</w:t>
            </w:r>
          </w:p>
        </w:tc>
        <w:tc>
          <w:tcPr>
            <w:tcW w:w="2221" w:type="dxa"/>
          </w:tcPr>
          <w:p w14:paraId="6040995A" w14:textId="77777777" w:rsidR="00814F10" w:rsidRPr="00811ADC" w:rsidRDefault="00814F10" w:rsidP="00811ADC">
            <w:pPr>
              <w:rPr>
                <w:rFonts w:asciiTheme="majorBidi" w:hAnsiTheme="majorBidi" w:cstheme="majorBidi"/>
              </w:rPr>
            </w:pPr>
            <w:r w:rsidRPr="00811ADC">
              <w:rPr>
                <w:rFonts w:asciiTheme="majorBidi" w:hAnsiTheme="majorBidi" w:cstheme="majorBidi"/>
              </w:rPr>
              <w:t>↓ Thrombocytopenia; altered clotting time</w:t>
            </w:r>
          </w:p>
        </w:tc>
        <w:tc>
          <w:tcPr>
            <w:tcW w:w="1728" w:type="dxa"/>
          </w:tcPr>
          <w:p w14:paraId="2947EC6F" w14:textId="77777777" w:rsidR="00814F10" w:rsidRPr="001F7C8B" w:rsidRDefault="00814F10" w:rsidP="00811ADC">
            <w:pPr>
              <w:rPr>
                <w:rFonts w:asciiTheme="majorBidi" w:hAnsiTheme="majorBidi" w:cstheme="majorBidi"/>
                <w:i/>
                <w:iCs/>
              </w:rPr>
            </w:pPr>
            <w:proofErr w:type="spellStart"/>
            <w:r w:rsidRPr="001F7C8B">
              <w:rPr>
                <w:rFonts w:asciiTheme="majorBidi" w:hAnsiTheme="majorBidi" w:cstheme="majorBidi"/>
                <w:i/>
                <w:iCs/>
              </w:rPr>
              <w:t>Channa</w:t>
            </w:r>
            <w:proofErr w:type="spellEnd"/>
            <w:r w:rsidRPr="001F7C8B">
              <w:rPr>
                <w:rFonts w:asciiTheme="majorBidi" w:hAnsiTheme="majorBidi" w:cstheme="majorBidi"/>
                <w:i/>
                <w:iCs/>
              </w:rPr>
              <w:t xml:space="preserve"> punctatus; Oreochromis </w:t>
            </w:r>
            <w:proofErr w:type="spellStart"/>
            <w:r w:rsidRPr="001F7C8B">
              <w:rPr>
                <w:rFonts w:asciiTheme="majorBidi" w:hAnsiTheme="majorBidi" w:cstheme="majorBidi"/>
                <w:i/>
                <w:iCs/>
              </w:rPr>
              <w:t>niloticus</w:t>
            </w:r>
            <w:proofErr w:type="spellEnd"/>
          </w:p>
        </w:tc>
        <w:tc>
          <w:tcPr>
            <w:tcW w:w="1728" w:type="dxa"/>
          </w:tcPr>
          <w:p w14:paraId="39EEF53C" w14:textId="77777777" w:rsidR="00FB3157" w:rsidRDefault="00FB3157" w:rsidP="00FB3157">
            <w:pPr>
              <w:rPr>
                <w:rFonts w:asciiTheme="majorBidi" w:hAnsiTheme="majorBidi" w:cstheme="majorBidi"/>
              </w:rPr>
            </w:pPr>
            <w:r w:rsidRPr="00811ADC">
              <w:rPr>
                <w:rFonts w:asciiTheme="majorBidi" w:hAnsiTheme="majorBidi" w:cstheme="majorBidi"/>
              </w:rPr>
              <w:t>Singh et al., 20</w:t>
            </w:r>
            <w:r>
              <w:rPr>
                <w:rFonts w:asciiTheme="majorBidi" w:hAnsiTheme="majorBidi" w:cstheme="majorBidi"/>
              </w:rPr>
              <w:t>10</w:t>
            </w:r>
            <w:r w:rsidRPr="00811ADC">
              <w:rPr>
                <w:rFonts w:asciiTheme="majorBidi" w:hAnsiTheme="majorBidi" w:cstheme="majorBidi"/>
              </w:rPr>
              <w:t xml:space="preserve">; </w:t>
            </w:r>
            <w:r>
              <w:rPr>
                <w:rFonts w:asciiTheme="majorBidi" w:hAnsiTheme="majorBidi" w:cstheme="majorBidi"/>
              </w:rPr>
              <w:t xml:space="preserve"> </w:t>
            </w:r>
          </w:p>
          <w:p w14:paraId="474636E4" w14:textId="1F42D51E" w:rsidR="00814F10" w:rsidRPr="00811ADC" w:rsidRDefault="00FB3157" w:rsidP="00FB3157">
            <w:pPr>
              <w:rPr>
                <w:rFonts w:asciiTheme="majorBidi" w:hAnsiTheme="majorBidi" w:cstheme="majorBidi"/>
              </w:rPr>
            </w:pPr>
            <w:proofErr w:type="spellStart"/>
            <w:r>
              <w:rPr>
                <w:rFonts w:asciiTheme="majorBidi" w:hAnsiTheme="majorBidi" w:cstheme="majorBidi"/>
              </w:rPr>
              <w:t>Loto</w:t>
            </w:r>
            <w:proofErr w:type="spellEnd"/>
            <w:r>
              <w:rPr>
                <w:rFonts w:asciiTheme="majorBidi" w:hAnsiTheme="majorBidi" w:cstheme="majorBidi"/>
              </w:rPr>
              <w:t xml:space="preserve"> et al., 2025Ahmed et al., 2011</w:t>
            </w:r>
          </w:p>
        </w:tc>
      </w:tr>
    </w:tbl>
    <w:p w14:paraId="60031604" w14:textId="77777777" w:rsidR="00814F10" w:rsidRPr="00811ADC" w:rsidRDefault="00814F10" w:rsidP="00814F10">
      <w:pPr>
        <w:rPr>
          <w:rFonts w:asciiTheme="majorBidi" w:hAnsiTheme="majorBidi" w:cstheme="majorBidi"/>
        </w:rPr>
      </w:pPr>
      <w:r w:rsidRPr="00811ADC">
        <w:rPr>
          <w:rFonts w:asciiTheme="majorBidi" w:hAnsiTheme="majorBidi" w:cstheme="majorBidi"/>
        </w:rPr>
        <w:br w:type="page"/>
      </w:r>
    </w:p>
    <w:p w14:paraId="1C10FA60" w14:textId="37380C1D" w:rsidR="00814F10" w:rsidRPr="00811ADC" w:rsidRDefault="00814F10" w:rsidP="00FB3157">
      <w:pPr>
        <w:pStyle w:val="Heading2"/>
        <w:rPr>
          <w:rFonts w:asciiTheme="majorBidi" w:hAnsiTheme="majorBidi"/>
        </w:rPr>
      </w:pPr>
      <w:r w:rsidRPr="00811ADC">
        <w:rPr>
          <w:rFonts w:asciiTheme="majorBidi" w:hAnsiTheme="majorBidi"/>
        </w:rPr>
        <w:lastRenderedPageBreak/>
        <w:t>Table 2. Biochemical and enzymatic biomarkers in fish blood under OP exposure</w:t>
      </w:r>
    </w:p>
    <w:tbl>
      <w:tblPr>
        <w:tblStyle w:val="TableGrid"/>
        <w:tblW w:w="0" w:type="auto"/>
        <w:tblLook w:val="04A0" w:firstRow="1" w:lastRow="0" w:firstColumn="1" w:lastColumn="0" w:noHBand="0" w:noVBand="1"/>
      </w:tblPr>
      <w:tblGrid>
        <w:gridCol w:w="2027"/>
        <w:gridCol w:w="1918"/>
        <w:gridCol w:w="1568"/>
        <w:gridCol w:w="1519"/>
        <w:gridCol w:w="1229"/>
      </w:tblGrid>
      <w:tr w:rsidR="00814F10" w:rsidRPr="00811ADC" w14:paraId="5AC60448" w14:textId="77777777" w:rsidTr="00FB3157">
        <w:tc>
          <w:tcPr>
            <w:tcW w:w="2135" w:type="dxa"/>
          </w:tcPr>
          <w:p w14:paraId="5262086B"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Biomarker</w:t>
            </w:r>
          </w:p>
        </w:tc>
        <w:tc>
          <w:tcPr>
            <w:tcW w:w="1940" w:type="dxa"/>
          </w:tcPr>
          <w:p w14:paraId="15E9DF05"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Function</w:t>
            </w:r>
          </w:p>
        </w:tc>
        <w:tc>
          <w:tcPr>
            <w:tcW w:w="1728" w:type="dxa"/>
          </w:tcPr>
          <w:p w14:paraId="481D76BE"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Typical Response to OPs</w:t>
            </w:r>
          </w:p>
        </w:tc>
        <w:tc>
          <w:tcPr>
            <w:tcW w:w="1728" w:type="dxa"/>
          </w:tcPr>
          <w:p w14:paraId="2D612C25"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Mechanistic Basis</w:t>
            </w:r>
          </w:p>
        </w:tc>
        <w:tc>
          <w:tcPr>
            <w:tcW w:w="1728" w:type="dxa"/>
          </w:tcPr>
          <w:p w14:paraId="03E7481C" w14:textId="08ABB366" w:rsidR="00814F10" w:rsidRPr="00FB3157" w:rsidRDefault="00814F10" w:rsidP="00811ADC">
            <w:pPr>
              <w:rPr>
                <w:rFonts w:asciiTheme="majorBidi" w:hAnsiTheme="majorBidi" w:cstheme="majorBidi"/>
                <w:b/>
                <w:bCs/>
              </w:rPr>
            </w:pPr>
            <w:r w:rsidRPr="00FB3157">
              <w:rPr>
                <w:rFonts w:asciiTheme="majorBidi" w:hAnsiTheme="majorBidi" w:cstheme="majorBidi"/>
                <w:b/>
                <w:bCs/>
              </w:rPr>
              <w:t xml:space="preserve"> References</w:t>
            </w:r>
          </w:p>
        </w:tc>
      </w:tr>
      <w:tr w:rsidR="00814F10" w:rsidRPr="00811ADC" w14:paraId="3A5D6A26" w14:textId="77777777" w:rsidTr="00FB3157">
        <w:tc>
          <w:tcPr>
            <w:tcW w:w="2135" w:type="dxa"/>
          </w:tcPr>
          <w:p w14:paraId="799F1B24" w14:textId="77777777" w:rsidR="00814F10" w:rsidRPr="00811ADC" w:rsidRDefault="00814F10" w:rsidP="00811ADC">
            <w:pPr>
              <w:rPr>
                <w:rFonts w:asciiTheme="majorBidi" w:hAnsiTheme="majorBidi" w:cstheme="majorBidi"/>
              </w:rPr>
            </w:pPr>
            <w:r w:rsidRPr="00811ADC">
              <w:rPr>
                <w:rFonts w:asciiTheme="majorBidi" w:hAnsiTheme="majorBidi" w:cstheme="majorBidi"/>
              </w:rPr>
              <w:t>Acetylcholinesterase (</w:t>
            </w:r>
            <w:proofErr w:type="spellStart"/>
            <w:r w:rsidRPr="00811ADC">
              <w:rPr>
                <w:rFonts w:asciiTheme="majorBidi" w:hAnsiTheme="majorBidi" w:cstheme="majorBidi"/>
              </w:rPr>
              <w:t>AChE</w:t>
            </w:r>
            <w:proofErr w:type="spellEnd"/>
            <w:r w:rsidRPr="00811ADC">
              <w:rPr>
                <w:rFonts w:asciiTheme="majorBidi" w:hAnsiTheme="majorBidi" w:cstheme="majorBidi"/>
              </w:rPr>
              <w:t>)</w:t>
            </w:r>
          </w:p>
        </w:tc>
        <w:tc>
          <w:tcPr>
            <w:tcW w:w="1940" w:type="dxa"/>
          </w:tcPr>
          <w:p w14:paraId="67E11DE0" w14:textId="77777777" w:rsidR="00814F10" w:rsidRPr="00811ADC" w:rsidRDefault="00814F10" w:rsidP="00811ADC">
            <w:pPr>
              <w:rPr>
                <w:rFonts w:asciiTheme="majorBidi" w:hAnsiTheme="majorBidi" w:cstheme="majorBidi"/>
              </w:rPr>
            </w:pPr>
            <w:r w:rsidRPr="00811ADC">
              <w:rPr>
                <w:rFonts w:asciiTheme="majorBidi" w:hAnsiTheme="majorBidi" w:cstheme="majorBidi"/>
              </w:rPr>
              <w:t>Neurotransmission; exposure biomarker</w:t>
            </w:r>
          </w:p>
        </w:tc>
        <w:tc>
          <w:tcPr>
            <w:tcW w:w="1728" w:type="dxa"/>
          </w:tcPr>
          <w:p w14:paraId="4244067F" w14:textId="77777777" w:rsidR="00814F10" w:rsidRPr="00811ADC" w:rsidRDefault="00814F10" w:rsidP="00811ADC">
            <w:pPr>
              <w:rPr>
                <w:rFonts w:asciiTheme="majorBidi" w:hAnsiTheme="majorBidi" w:cstheme="majorBidi"/>
              </w:rPr>
            </w:pPr>
            <w:r w:rsidRPr="00811ADC">
              <w:rPr>
                <w:rFonts w:asciiTheme="majorBidi" w:hAnsiTheme="majorBidi" w:cstheme="majorBidi"/>
              </w:rPr>
              <w:t>↓ Strong inhibition (primary OP biomarker)</w:t>
            </w:r>
          </w:p>
        </w:tc>
        <w:tc>
          <w:tcPr>
            <w:tcW w:w="1728" w:type="dxa"/>
          </w:tcPr>
          <w:p w14:paraId="46BA1419" w14:textId="77777777" w:rsidR="00814F10" w:rsidRPr="00811ADC" w:rsidRDefault="00814F10" w:rsidP="00811ADC">
            <w:pPr>
              <w:rPr>
                <w:rFonts w:asciiTheme="majorBidi" w:hAnsiTheme="majorBidi" w:cstheme="majorBidi"/>
              </w:rPr>
            </w:pPr>
            <w:r w:rsidRPr="00811ADC">
              <w:rPr>
                <w:rFonts w:asciiTheme="majorBidi" w:hAnsiTheme="majorBidi" w:cstheme="majorBidi"/>
              </w:rPr>
              <w:t xml:space="preserve">OPs phosphorylate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active site</w:t>
            </w:r>
          </w:p>
        </w:tc>
        <w:tc>
          <w:tcPr>
            <w:tcW w:w="1728" w:type="dxa"/>
          </w:tcPr>
          <w:p w14:paraId="6BA1D460" w14:textId="685DB444" w:rsidR="00814F10" w:rsidRPr="00811ADC" w:rsidRDefault="00DD00FA" w:rsidP="00811ADC">
            <w:pPr>
              <w:rPr>
                <w:rFonts w:asciiTheme="majorBidi" w:hAnsiTheme="majorBidi" w:cstheme="majorBidi"/>
              </w:rPr>
            </w:pPr>
            <w:r>
              <w:rPr>
                <w:rFonts w:asciiTheme="majorBidi" w:hAnsiTheme="majorBidi" w:cstheme="majorBidi"/>
              </w:rPr>
              <w:t>Deb and Das, 2021</w:t>
            </w:r>
          </w:p>
        </w:tc>
      </w:tr>
      <w:tr w:rsidR="00814F10" w:rsidRPr="00811ADC" w14:paraId="7A52B0A3" w14:textId="77777777" w:rsidTr="00FB3157">
        <w:tc>
          <w:tcPr>
            <w:tcW w:w="2135" w:type="dxa"/>
          </w:tcPr>
          <w:p w14:paraId="39EB7FE5" w14:textId="77777777" w:rsidR="00814F10" w:rsidRPr="00811ADC" w:rsidRDefault="00814F10" w:rsidP="00811ADC">
            <w:pPr>
              <w:rPr>
                <w:rFonts w:asciiTheme="majorBidi" w:hAnsiTheme="majorBidi" w:cstheme="majorBidi"/>
              </w:rPr>
            </w:pPr>
            <w:r w:rsidRPr="00811ADC">
              <w:rPr>
                <w:rFonts w:asciiTheme="majorBidi" w:hAnsiTheme="majorBidi" w:cstheme="majorBidi"/>
              </w:rPr>
              <w:t>AST (Aspartate transaminase)</w:t>
            </w:r>
          </w:p>
        </w:tc>
        <w:tc>
          <w:tcPr>
            <w:tcW w:w="1940" w:type="dxa"/>
          </w:tcPr>
          <w:p w14:paraId="1A9645CA" w14:textId="77777777" w:rsidR="00814F10" w:rsidRPr="00811ADC" w:rsidRDefault="00814F10" w:rsidP="00811ADC">
            <w:pPr>
              <w:rPr>
                <w:rFonts w:asciiTheme="majorBidi" w:hAnsiTheme="majorBidi" w:cstheme="majorBidi"/>
              </w:rPr>
            </w:pPr>
            <w:r w:rsidRPr="00811ADC">
              <w:rPr>
                <w:rFonts w:asciiTheme="majorBidi" w:hAnsiTheme="majorBidi" w:cstheme="majorBidi"/>
              </w:rPr>
              <w:t>Hepatocellular leakage</w:t>
            </w:r>
          </w:p>
        </w:tc>
        <w:tc>
          <w:tcPr>
            <w:tcW w:w="1728" w:type="dxa"/>
          </w:tcPr>
          <w:p w14:paraId="120028CF" w14:textId="77777777" w:rsidR="00814F10" w:rsidRPr="00811ADC" w:rsidRDefault="00814F10" w:rsidP="00811ADC">
            <w:pPr>
              <w:rPr>
                <w:rFonts w:asciiTheme="majorBidi" w:hAnsiTheme="majorBidi" w:cstheme="majorBidi"/>
              </w:rPr>
            </w:pPr>
            <w:r w:rsidRPr="00811ADC">
              <w:rPr>
                <w:rFonts w:asciiTheme="majorBidi" w:hAnsiTheme="majorBidi" w:cstheme="majorBidi"/>
              </w:rPr>
              <w:t>↑ Elevated</w:t>
            </w:r>
          </w:p>
        </w:tc>
        <w:tc>
          <w:tcPr>
            <w:tcW w:w="1728" w:type="dxa"/>
          </w:tcPr>
          <w:p w14:paraId="2B2A392F" w14:textId="77777777" w:rsidR="00814F10" w:rsidRPr="00811ADC" w:rsidRDefault="00814F10" w:rsidP="00811ADC">
            <w:pPr>
              <w:rPr>
                <w:rFonts w:asciiTheme="majorBidi" w:hAnsiTheme="majorBidi" w:cstheme="majorBidi"/>
              </w:rPr>
            </w:pPr>
            <w:r w:rsidRPr="00811ADC">
              <w:rPr>
                <w:rFonts w:asciiTheme="majorBidi" w:hAnsiTheme="majorBidi" w:cstheme="majorBidi"/>
              </w:rPr>
              <w:t>Membrane damage</w:t>
            </w:r>
          </w:p>
        </w:tc>
        <w:tc>
          <w:tcPr>
            <w:tcW w:w="1728" w:type="dxa"/>
          </w:tcPr>
          <w:p w14:paraId="0DE08B75" w14:textId="0A52EAFA" w:rsidR="00814F10" w:rsidRPr="00811ADC" w:rsidRDefault="000700E6" w:rsidP="00811ADC">
            <w:pPr>
              <w:rPr>
                <w:rFonts w:asciiTheme="majorBidi" w:hAnsiTheme="majorBidi" w:cstheme="majorBidi"/>
              </w:rPr>
            </w:pPr>
            <w:r>
              <w:rPr>
                <w:rFonts w:asciiTheme="majorBidi" w:hAnsiTheme="majorBidi" w:cstheme="majorBidi"/>
              </w:rPr>
              <w:t>Amin et al., 2022</w:t>
            </w:r>
          </w:p>
        </w:tc>
      </w:tr>
      <w:tr w:rsidR="00814F10" w:rsidRPr="00811ADC" w14:paraId="019A5919" w14:textId="77777777" w:rsidTr="00FB3157">
        <w:tc>
          <w:tcPr>
            <w:tcW w:w="2135" w:type="dxa"/>
          </w:tcPr>
          <w:p w14:paraId="514F52B4" w14:textId="77777777" w:rsidR="00814F10" w:rsidRPr="00811ADC" w:rsidRDefault="00814F10" w:rsidP="00811ADC">
            <w:pPr>
              <w:rPr>
                <w:rFonts w:asciiTheme="majorBidi" w:hAnsiTheme="majorBidi" w:cstheme="majorBidi"/>
              </w:rPr>
            </w:pPr>
            <w:r w:rsidRPr="00811ADC">
              <w:rPr>
                <w:rFonts w:asciiTheme="majorBidi" w:hAnsiTheme="majorBidi" w:cstheme="majorBidi"/>
              </w:rPr>
              <w:t>ALT (Alanine transaminase)</w:t>
            </w:r>
          </w:p>
        </w:tc>
        <w:tc>
          <w:tcPr>
            <w:tcW w:w="1940" w:type="dxa"/>
          </w:tcPr>
          <w:p w14:paraId="6B249609" w14:textId="77777777" w:rsidR="00814F10" w:rsidRPr="00811ADC" w:rsidRDefault="00814F10" w:rsidP="00811ADC">
            <w:pPr>
              <w:rPr>
                <w:rFonts w:asciiTheme="majorBidi" w:hAnsiTheme="majorBidi" w:cstheme="majorBidi"/>
              </w:rPr>
            </w:pPr>
            <w:r w:rsidRPr="00811ADC">
              <w:rPr>
                <w:rFonts w:asciiTheme="majorBidi" w:hAnsiTheme="majorBidi" w:cstheme="majorBidi"/>
              </w:rPr>
              <w:t>Hepatocellular enzyme</w:t>
            </w:r>
          </w:p>
        </w:tc>
        <w:tc>
          <w:tcPr>
            <w:tcW w:w="1728" w:type="dxa"/>
          </w:tcPr>
          <w:p w14:paraId="759CBE85" w14:textId="77777777" w:rsidR="00814F10" w:rsidRPr="00811ADC" w:rsidRDefault="00814F10" w:rsidP="00811ADC">
            <w:pPr>
              <w:rPr>
                <w:rFonts w:asciiTheme="majorBidi" w:hAnsiTheme="majorBidi" w:cstheme="majorBidi"/>
              </w:rPr>
            </w:pPr>
            <w:r w:rsidRPr="00811ADC">
              <w:rPr>
                <w:rFonts w:asciiTheme="majorBidi" w:hAnsiTheme="majorBidi" w:cstheme="majorBidi"/>
              </w:rPr>
              <w:t>↑ Elevated</w:t>
            </w:r>
          </w:p>
        </w:tc>
        <w:tc>
          <w:tcPr>
            <w:tcW w:w="1728" w:type="dxa"/>
          </w:tcPr>
          <w:p w14:paraId="1945D9D9" w14:textId="77777777" w:rsidR="00814F10" w:rsidRPr="00811ADC" w:rsidRDefault="00814F10" w:rsidP="00811ADC">
            <w:pPr>
              <w:rPr>
                <w:rFonts w:asciiTheme="majorBidi" w:hAnsiTheme="majorBidi" w:cstheme="majorBidi"/>
              </w:rPr>
            </w:pPr>
            <w:r w:rsidRPr="00811ADC">
              <w:rPr>
                <w:rFonts w:asciiTheme="majorBidi" w:hAnsiTheme="majorBidi" w:cstheme="majorBidi"/>
              </w:rPr>
              <w:t>Liver injury</w:t>
            </w:r>
          </w:p>
        </w:tc>
        <w:tc>
          <w:tcPr>
            <w:tcW w:w="1728" w:type="dxa"/>
          </w:tcPr>
          <w:p w14:paraId="27C3121B" w14:textId="4F97FE04" w:rsidR="00814F10" w:rsidRPr="00811ADC" w:rsidRDefault="00814F10" w:rsidP="00811ADC">
            <w:pPr>
              <w:rPr>
                <w:rFonts w:asciiTheme="majorBidi" w:hAnsiTheme="majorBidi" w:cstheme="majorBidi"/>
              </w:rPr>
            </w:pPr>
            <w:r w:rsidRPr="00811ADC">
              <w:rPr>
                <w:rFonts w:asciiTheme="majorBidi" w:hAnsiTheme="majorBidi" w:cstheme="majorBidi"/>
              </w:rPr>
              <w:t>Patnaik et al., 2018</w:t>
            </w:r>
            <w:r w:rsidR="00747031">
              <w:rPr>
                <w:rFonts w:asciiTheme="majorBidi" w:hAnsiTheme="majorBidi" w:cstheme="majorBidi"/>
              </w:rPr>
              <w:t xml:space="preserve">; </w:t>
            </w:r>
            <w:r w:rsidR="00747031" w:rsidRPr="00747031">
              <w:rPr>
                <w:rFonts w:asciiTheme="majorBidi" w:hAnsiTheme="majorBidi" w:cstheme="majorBidi"/>
              </w:rPr>
              <w:t>Peña-</w:t>
            </w:r>
            <w:proofErr w:type="spellStart"/>
            <w:r w:rsidR="00747031" w:rsidRPr="00747031">
              <w:rPr>
                <w:rFonts w:asciiTheme="majorBidi" w:hAnsiTheme="majorBidi" w:cstheme="majorBidi"/>
              </w:rPr>
              <w:t>Llopis</w:t>
            </w:r>
            <w:proofErr w:type="spellEnd"/>
            <w:r w:rsidR="00747031">
              <w:rPr>
                <w:rFonts w:asciiTheme="majorBidi" w:hAnsiTheme="majorBidi" w:cstheme="majorBidi"/>
              </w:rPr>
              <w:t xml:space="preserve"> et al., 2003</w:t>
            </w:r>
            <w:r w:rsidR="00221D18">
              <w:rPr>
                <w:rFonts w:asciiTheme="majorBidi" w:hAnsiTheme="majorBidi" w:cstheme="majorBidi"/>
              </w:rPr>
              <w:t>`</w:t>
            </w:r>
          </w:p>
        </w:tc>
      </w:tr>
      <w:tr w:rsidR="00814F10" w:rsidRPr="00811ADC" w14:paraId="402576CC" w14:textId="77777777" w:rsidTr="00FB3157">
        <w:tc>
          <w:tcPr>
            <w:tcW w:w="2135" w:type="dxa"/>
          </w:tcPr>
          <w:p w14:paraId="1958CBE8" w14:textId="77777777" w:rsidR="00814F10" w:rsidRPr="00811ADC" w:rsidRDefault="00814F10" w:rsidP="00811ADC">
            <w:pPr>
              <w:rPr>
                <w:rFonts w:asciiTheme="majorBidi" w:hAnsiTheme="majorBidi" w:cstheme="majorBidi"/>
              </w:rPr>
            </w:pPr>
            <w:r w:rsidRPr="00811ADC">
              <w:rPr>
                <w:rFonts w:asciiTheme="majorBidi" w:hAnsiTheme="majorBidi" w:cstheme="majorBidi"/>
              </w:rPr>
              <w:t>LDH (Lactate dehydrogenase)</w:t>
            </w:r>
          </w:p>
        </w:tc>
        <w:tc>
          <w:tcPr>
            <w:tcW w:w="1940" w:type="dxa"/>
          </w:tcPr>
          <w:p w14:paraId="7E93431E" w14:textId="77777777" w:rsidR="00814F10" w:rsidRPr="00811ADC" w:rsidRDefault="00814F10" w:rsidP="00811ADC">
            <w:pPr>
              <w:rPr>
                <w:rFonts w:asciiTheme="majorBidi" w:hAnsiTheme="majorBidi" w:cstheme="majorBidi"/>
              </w:rPr>
            </w:pPr>
            <w:r w:rsidRPr="00811ADC">
              <w:rPr>
                <w:rFonts w:asciiTheme="majorBidi" w:hAnsiTheme="majorBidi" w:cstheme="majorBidi"/>
              </w:rPr>
              <w:t>Tissue damage / metabolic shift</w:t>
            </w:r>
          </w:p>
        </w:tc>
        <w:tc>
          <w:tcPr>
            <w:tcW w:w="1728" w:type="dxa"/>
          </w:tcPr>
          <w:p w14:paraId="7282D84F" w14:textId="77777777" w:rsidR="00814F10" w:rsidRPr="00811ADC" w:rsidRDefault="00814F10" w:rsidP="00811ADC">
            <w:pPr>
              <w:rPr>
                <w:rFonts w:asciiTheme="majorBidi" w:hAnsiTheme="majorBidi" w:cstheme="majorBidi"/>
              </w:rPr>
            </w:pPr>
            <w:r w:rsidRPr="00811ADC">
              <w:rPr>
                <w:rFonts w:asciiTheme="majorBidi" w:hAnsiTheme="majorBidi" w:cstheme="majorBidi"/>
              </w:rPr>
              <w:t>↑ Elevated</w:t>
            </w:r>
          </w:p>
        </w:tc>
        <w:tc>
          <w:tcPr>
            <w:tcW w:w="1728" w:type="dxa"/>
          </w:tcPr>
          <w:p w14:paraId="20B1416B" w14:textId="77777777" w:rsidR="00814F10" w:rsidRPr="00811ADC" w:rsidRDefault="00814F10" w:rsidP="00811ADC">
            <w:pPr>
              <w:rPr>
                <w:rFonts w:asciiTheme="majorBidi" w:hAnsiTheme="majorBidi" w:cstheme="majorBidi"/>
              </w:rPr>
            </w:pPr>
            <w:r w:rsidRPr="00811ADC">
              <w:rPr>
                <w:rFonts w:asciiTheme="majorBidi" w:hAnsiTheme="majorBidi" w:cstheme="majorBidi"/>
              </w:rPr>
              <w:t>Cytoplasmic leakage</w:t>
            </w:r>
          </w:p>
        </w:tc>
        <w:tc>
          <w:tcPr>
            <w:tcW w:w="1728" w:type="dxa"/>
          </w:tcPr>
          <w:p w14:paraId="4B275CF1" w14:textId="77777777" w:rsidR="00814F10" w:rsidRPr="00811ADC" w:rsidRDefault="00814F10" w:rsidP="00811ADC">
            <w:pPr>
              <w:rPr>
                <w:rFonts w:asciiTheme="majorBidi" w:hAnsiTheme="majorBidi" w:cstheme="majorBidi"/>
              </w:rPr>
            </w:pPr>
            <w:r w:rsidRPr="00811ADC">
              <w:rPr>
                <w:rFonts w:asciiTheme="majorBidi" w:hAnsiTheme="majorBidi" w:cstheme="majorBidi"/>
              </w:rPr>
              <w:t>Patnaik et al., 2018</w:t>
            </w:r>
          </w:p>
        </w:tc>
      </w:tr>
      <w:tr w:rsidR="00814F10" w:rsidRPr="00811ADC" w14:paraId="1773CEE9" w14:textId="77777777" w:rsidTr="00FB3157">
        <w:tc>
          <w:tcPr>
            <w:tcW w:w="2135" w:type="dxa"/>
          </w:tcPr>
          <w:p w14:paraId="784B4380" w14:textId="77777777" w:rsidR="00814F10" w:rsidRPr="00811ADC" w:rsidRDefault="00814F10" w:rsidP="00811ADC">
            <w:pPr>
              <w:rPr>
                <w:rFonts w:asciiTheme="majorBidi" w:hAnsiTheme="majorBidi" w:cstheme="majorBidi"/>
              </w:rPr>
            </w:pPr>
            <w:r w:rsidRPr="00811ADC">
              <w:rPr>
                <w:rFonts w:asciiTheme="majorBidi" w:hAnsiTheme="majorBidi" w:cstheme="majorBidi"/>
              </w:rPr>
              <w:t>ALP (Alkaline phosphatase)</w:t>
            </w:r>
          </w:p>
        </w:tc>
        <w:tc>
          <w:tcPr>
            <w:tcW w:w="1940" w:type="dxa"/>
          </w:tcPr>
          <w:p w14:paraId="7A698C11" w14:textId="77777777" w:rsidR="00814F10" w:rsidRPr="00811ADC" w:rsidRDefault="00814F10" w:rsidP="00811ADC">
            <w:pPr>
              <w:rPr>
                <w:rFonts w:asciiTheme="majorBidi" w:hAnsiTheme="majorBidi" w:cstheme="majorBidi"/>
              </w:rPr>
            </w:pPr>
            <w:r w:rsidRPr="00811ADC">
              <w:rPr>
                <w:rFonts w:asciiTheme="majorBidi" w:hAnsiTheme="majorBidi" w:cstheme="majorBidi"/>
              </w:rPr>
              <w:t>Membrane / biliary function</w:t>
            </w:r>
          </w:p>
        </w:tc>
        <w:tc>
          <w:tcPr>
            <w:tcW w:w="1728" w:type="dxa"/>
          </w:tcPr>
          <w:p w14:paraId="3E2F7112" w14:textId="77777777" w:rsidR="00814F10" w:rsidRPr="00811ADC" w:rsidRDefault="00814F10" w:rsidP="00811ADC">
            <w:pPr>
              <w:rPr>
                <w:rFonts w:asciiTheme="majorBidi" w:hAnsiTheme="majorBidi" w:cstheme="majorBidi"/>
              </w:rPr>
            </w:pPr>
            <w:r w:rsidRPr="00811ADC">
              <w:rPr>
                <w:rFonts w:asciiTheme="majorBidi" w:hAnsiTheme="majorBidi" w:cstheme="majorBidi"/>
              </w:rPr>
              <w:t>↑/↓ Variable</w:t>
            </w:r>
          </w:p>
        </w:tc>
        <w:tc>
          <w:tcPr>
            <w:tcW w:w="1728" w:type="dxa"/>
          </w:tcPr>
          <w:p w14:paraId="3D1193FC" w14:textId="77777777" w:rsidR="00814F10" w:rsidRPr="00811ADC" w:rsidRDefault="00814F10" w:rsidP="00811ADC">
            <w:pPr>
              <w:rPr>
                <w:rFonts w:asciiTheme="majorBidi" w:hAnsiTheme="majorBidi" w:cstheme="majorBidi"/>
              </w:rPr>
            </w:pPr>
            <w:r w:rsidRPr="00811ADC">
              <w:rPr>
                <w:rFonts w:asciiTheme="majorBidi" w:hAnsiTheme="majorBidi" w:cstheme="majorBidi"/>
              </w:rPr>
              <w:t>Membrane perturbation</w:t>
            </w:r>
          </w:p>
        </w:tc>
        <w:tc>
          <w:tcPr>
            <w:tcW w:w="1728" w:type="dxa"/>
          </w:tcPr>
          <w:p w14:paraId="6666F938" w14:textId="77777777" w:rsidR="00814F10" w:rsidRPr="00811ADC" w:rsidRDefault="00814F10" w:rsidP="00811ADC">
            <w:pPr>
              <w:rPr>
                <w:rFonts w:asciiTheme="majorBidi" w:hAnsiTheme="majorBidi" w:cstheme="majorBidi"/>
              </w:rPr>
            </w:pPr>
            <w:r w:rsidRPr="00811ADC">
              <w:rPr>
                <w:rFonts w:asciiTheme="majorBidi" w:hAnsiTheme="majorBidi" w:cstheme="majorBidi"/>
              </w:rPr>
              <w:t>David et al., 2008</w:t>
            </w:r>
          </w:p>
        </w:tc>
      </w:tr>
      <w:tr w:rsidR="00814F10" w:rsidRPr="00811ADC" w14:paraId="671E70FC" w14:textId="77777777" w:rsidTr="00FB3157">
        <w:tc>
          <w:tcPr>
            <w:tcW w:w="2135" w:type="dxa"/>
          </w:tcPr>
          <w:p w14:paraId="50D573E5" w14:textId="77777777" w:rsidR="00814F10" w:rsidRPr="00811ADC" w:rsidRDefault="00814F10" w:rsidP="00811ADC">
            <w:pPr>
              <w:rPr>
                <w:rFonts w:asciiTheme="majorBidi" w:hAnsiTheme="majorBidi" w:cstheme="majorBidi"/>
              </w:rPr>
            </w:pPr>
            <w:r w:rsidRPr="00811ADC">
              <w:rPr>
                <w:rFonts w:asciiTheme="majorBidi" w:hAnsiTheme="majorBidi" w:cstheme="majorBidi"/>
              </w:rPr>
              <w:t>Total protein</w:t>
            </w:r>
          </w:p>
        </w:tc>
        <w:tc>
          <w:tcPr>
            <w:tcW w:w="1940" w:type="dxa"/>
          </w:tcPr>
          <w:p w14:paraId="27CBFB53" w14:textId="77777777" w:rsidR="00814F10" w:rsidRPr="00811ADC" w:rsidRDefault="00814F10" w:rsidP="00811ADC">
            <w:pPr>
              <w:rPr>
                <w:rFonts w:asciiTheme="majorBidi" w:hAnsiTheme="majorBidi" w:cstheme="majorBidi"/>
              </w:rPr>
            </w:pPr>
            <w:r w:rsidRPr="00811ADC">
              <w:rPr>
                <w:rFonts w:asciiTheme="majorBidi" w:hAnsiTheme="majorBidi" w:cstheme="majorBidi"/>
              </w:rPr>
              <w:t>Liver synthetic function / nutrition</w:t>
            </w:r>
          </w:p>
        </w:tc>
        <w:tc>
          <w:tcPr>
            <w:tcW w:w="1728" w:type="dxa"/>
          </w:tcPr>
          <w:p w14:paraId="57755E8A" w14:textId="77777777" w:rsidR="00814F10" w:rsidRPr="00811ADC" w:rsidRDefault="00814F10" w:rsidP="00811ADC">
            <w:pPr>
              <w:rPr>
                <w:rFonts w:asciiTheme="majorBidi" w:hAnsiTheme="majorBidi" w:cstheme="majorBidi"/>
              </w:rPr>
            </w:pPr>
            <w:r w:rsidRPr="00811ADC">
              <w:rPr>
                <w:rFonts w:asciiTheme="majorBidi" w:hAnsiTheme="majorBidi" w:cstheme="majorBidi"/>
              </w:rPr>
              <w:t>↓ Decrease</w:t>
            </w:r>
          </w:p>
        </w:tc>
        <w:tc>
          <w:tcPr>
            <w:tcW w:w="1728" w:type="dxa"/>
          </w:tcPr>
          <w:p w14:paraId="4CB8C799" w14:textId="77777777" w:rsidR="00814F10" w:rsidRPr="00811ADC" w:rsidRDefault="00814F10" w:rsidP="00811ADC">
            <w:pPr>
              <w:rPr>
                <w:rFonts w:asciiTheme="majorBidi" w:hAnsiTheme="majorBidi" w:cstheme="majorBidi"/>
              </w:rPr>
            </w:pPr>
            <w:r w:rsidRPr="00811ADC">
              <w:rPr>
                <w:rFonts w:asciiTheme="majorBidi" w:hAnsiTheme="majorBidi" w:cstheme="majorBidi"/>
              </w:rPr>
              <w:t>Impaired synthesis</w:t>
            </w:r>
          </w:p>
        </w:tc>
        <w:tc>
          <w:tcPr>
            <w:tcW w:w="1728" w:type="dxa"/>
          </w:tcPr>
          <w:p w14:paraId="67CE0EE6" w14:textId="3174080E" w:rsidR="00814F10" w:rsidRPr="00811ADC" w:rsidRDefault="006402E2" w:rsidP="00811ADC">
            <w:pPr>
              <w:rPr>
                <w:rFonts w:asciiTheme="majorBidi" w:hAnsiTheme="majorBidi" w:cstheme="majorBidi"/>
              </w:rPr>
            </w:pPr>
            <w:proofErr w:type="spellStart"/>
            <w:r>
              <w:rPr>
                <w:rFonts w:asciiTheme="majorBidi" w:hAnsiTheme="majorBidi" w:cstheme="majorBidi"/>
              </w:rPr>
              <w:t>Narra</w:t>
            </w:r>
            <w:proofErr w:type="spellEnd"/>
            <w:r>
              <w:rPr>
                <w:rFonts w:asciiTheme="majorBidi" w:hAnsiTheme="majorBidi" w:cstheme="majorBidi"/>
              </w:rPr>
              <w:t xml:space="preserve"> et al., 2017</w:t>
            </w:r>
          </w:p>
        </w:tc>
      </w:tr>
      <w:tr w:rsidR="00814F10" w:rsidRPr="00811ADC" w14:paraId="7054FDE2" w14:textId="77777777" w:rsidTr="00FB3157">
        <w:tc>
          <w:tcPr>
            <w:tcW w:w="2135" w:type="dxa"/>
          </w:tcPr>
          <w:p w14:paraId="10D2B753" w14:textId="77777777" w:rsidR="00814F10" w:rsidRPr="00811ADC" w:rsidRDefault="00814F10" w:rsidP="00811ADC">
            <w:pPr>
              <w:rPr>
                <w:rFonts w:asciiTheme="majorBidi" w:hAnsiTheme="majorBidi" w:cstheme="majorBidi"/>
              </w:rPr>
            </w:pPr>
            <w:r w:rsidRPr="00811ADC">
              <w:rPr>
                <w:rFonts w:asciiTheme="majorBidi" w:hAnsiTheme="majorBidi" w:cstheme="majorBidi"/>
              </w:rPr>
              <w:t>Glucose</w:t>
            </w:r>
          </w:p>
        </w:tc>
        <w:tc>
          <w:tcPr>
            <w:tcW w:w="1940" w:type="dxa"/>
          </w:tcPr>
          <w:p w14:paraId="7ECFA78B" w14:textId="77777777" w:rsidR="00814F10" w:rsidRPr="00811ADC" w:rsidRDefault="00814F10" w:rsidP="00811ADC">
            <w:pPr>
              <w:rPr>
                <w:rFonts w:asciiTheme="majorBidi" w:hAnsiTheme="majorBidi" w:cstheme="majorBidi"/>
              </w:rPr>
            </w:pPr>
            <w:r w:rsidRPr="00811ADC">
              <w:rPr>
                <w:rFonts w:asciiTheme="majorBidi" w:hAnsiTheme="majorBidi" w:cstheme="majorBidi"/>
              </w:rPr>
              <w:t>Energy mobilization</w:t>
            </w:r>
          </w:p>
        </w:tc>
        <w:tc>
          <w:tcPr>
            <w:tcW w:w="1728" w:type="dxa"/>
          </w:tcPr>
          <w:p w14:paraId="7F5B68C4" w14:textId="77777777" w:rsidR="00814F10" w:rsidRPr="00811ADC" w:rsidRDefault="00814F10" w:rsidP="00811ADC">
            <w:pPr>
              <w:rPr>
                <w:rFonts w:asciiTheme="majorBidi" w:hAnsiTheme="majorBidi" w:cstheme="majorBidi"/>
              </w:rPr>
            </w:pPr>
            <w:r w:rsidRPr="00811ADC">
              <w:rPr>
                <w:rFonts w:asciiTheme="majorBidi" w:hAnsiTheme="majorBidi" w:cstheme="majorBidi"/>
              </w:rPr>
              <w:t>↑ Acute hyperglycemia; potential chronic depletion</w:t>
            </w:r>
          </w:p>
        </w:tc>
        <w:tc>
          <w:tcPr>
            <w:tcW w:w="1728" w:type="dxa"/>
          </w:tcPr>
          <w:p w14:paraId="70CF2F58" w14:textId="77777777" w:rsidR="00814F10" w:rsidRPr="00811ADC" w:rsidRDefault="00814F10" w:rsidP="00811ADC">
            <w:pPr>
              <w:rPr>
                <w:rFonts w:asciiTheme="majorBidi" w:hAnsiTheme="majorBidi" w:cstheme="majorBidi"/>
              </w:rPr>
            </w:pPr>
            <w:r w:rsidRPr="00811ADC">
              <w:rPr>
                <w:rFonts w:asciiTheme="majorBidi" w:hAnsiTheme="majorBidi" w:cstheme="majorBidi"/>
              </w:rPr>
              <w:t>Cortisol-mediated glycogenolysis</w:t>
            </w:r>
          </w:p>
        </w:tc>
        <w:tc>
          <w:tcPr>
            <w:tcW w:w="1728" w:type="dxa"/>
          </w:tcPr>
          <w:p w14:paraId="575844D2" w14:textId="4D8E7CFC" w:rsidR="00814F10" w:rsidRPr="00811ADC" w:rsidRDefault="006402E2" w:rsidP="00811ADC">
            <w:pPr>
              <w:rPr>
                <w:rFonts w:asciiTheme="majorBidi" w:hAnsiTheme="majorBidi" w:cstheme="majorBidi"/>
              </w:rPr>
            </w:pPr>
            <w:proofErr w:type="spellStart"/>
            <w:r>
              <w:rPr>
                <w:rFonts w:asciiTheme="majorBidi" w:hAnsiTheme="majorBidi" w:cstheme="majorBidi"/>
              </w:rPr>
              <w:t>Rehbar</w:t>
            </w:r>
            <w:proofErr w:type="spellEnd"/>
            <w:r>
              <w:rPr>
                <w:rFonts w:asciiTheme="majorBidi" w:hAnsiTheme="majorBidi" w:cstheme="majorBidi"/>
              </w:rPr>
              <w:t xml:space="preserve"> et al., 2021</w:t>
            </w:r>
          </w:p>
        </w:tc>
      </w:tr>
      <w:tr w:rsidR="00814F10" w:rsidRPr="00811ADC" w14:paraId="4C7A99F0" w14:textId="77777777" w:rsidTr="00FB3157">
        <w:tc>
          <w:tcPr>
            <w:tcW w:w="2135" w:type="dxa"/>
          </w:tcPr>
          <w:p w14:paraId="449969E6" w14:textId="77777777" w:rsidR="00814F10" w:rsidRPr="00811ADC" w:rsidRDefault="00814F10" w:rsidP="00811ADC">
            <w:pPr>
              <w:rPr>
                <w:rFonts w:asciiTheme="majorBidi" w:hAnsiTheme="majorBidi" w:cstheme="majorBidi"/>
              </w:rPr>
            </w:pPr>
            <w:r w:rsidRPr="00811ADC">
              <w:rPr>
                <w:rFonts w:asciiTheme="majorBidi" w:hAnsiTheme="majorBidi" w:cstheme="majorBidi"/>
              </w:rPr>
              <w:t>Electrolytes (Na⁺, K⁺, Cl⁻, Ca²⁺)</w:t>
            </w:r>
          </w:p>
        </w:tc>
        <w:tc>
          <w:tcPr>
            <w:tcW w:w="1940" w:type="dxa"/>
          </w:tcPr>
          <w:p w14:paraId="4C806B01" w14:textId="77777777" w:rsidR="00814F10" w:rsidRPr="00811ADC" w:rsidRDefault="00814F10" w:rsidP="00811ADC">
            <w:pPr>
              <w:rPr>
                <w:rFonts w:asciiTheme="majorBidi" w:hAnsiTheme="majorBidi" w:cstheme="majorBidi"/>
              </w:rPr>
            </w:pPr>
            <w:r w:rsidRPr="00811ADC">
              <w:rPr>
                <w:rFonts w:asciiTheme="majorBidi" w:hAnsiTheme="majorBidi" w:cstheme="majorBidi"/>
              </w:rPr>
              <w:t>Ion balance and osmoregulation</w:t>
            </w:r>
          </w:p>
        </w:tc>
        <w:tc>
          <w:tcPr>
            <w:tcW w:w="1728" w:type="dxa"/>
          </w:tcPr>
          <w:p w14:paraId="7595E605" w14:textId="77777777" w:rsidR="00814F10" w:rsidRPr="00811ADC" w:rsidRDefault="00814F10" w:rsidP="00811ADC">
            <w:pPr>
              <w:rPr>
                <w:rFonts w:asciiTheme="majorBidi" w:hAnsiTheme="majorBidi" w:cstheme="majorBidi"/>
              </w:rPr>
            </w:pPr>
            <w:r w:rsidRPr="00811ADC">
              <w:rPr>
                <w:rFonts w:asciiTheme="majorBidi" w:hAnsiTheme="majorBidi" w:cstheme="majorBidi"/>
              </w:rPr>
              <w:t>↓ Na⁺/Cl⁻ common; K⁺/Ca²⁺ variable</w:t>
            </w:r>
          </w:p>
        </w:tc>
        <w:tc>
          <w:tcPr>
            <w:tcW w:w="1728" w:type="dxa"/>
          </w:tcPr>
          <w:p w14:paraId="12A633CC" w14:textId="77777777" w:rsidR="00814F10" w:rsidRPr="00811ADC" w:rsidRDefault="00814F10" w:rsidP="00811ADC">
            <w:pPr>
              <w:rPr>
                <w:rFonts w:asciiTheme="majorBidi" w:hAnsiTheme="majorBidi" w:cstheme="majorBidi"/>
              </w:rPr>
            </w:pPr>
            <w:r w:rsidRPr="00811ADC">
              <w:rPr>
                <w:rFonts w:asciiTheme="majorBidi" w:hAnsiTheme="majorBidi" w:cstheme="majorBidi"/>
              </w:rPr>
              <w:t>Gill damage; Na⁺/K⁺-ATPase inhibition</w:t>
            </w:r>
          </w:p>
        </w:tc>
        <w:tc>
          <w:tcPr>
            <w:tcW w:w="1728" w:type="dxa"/>
          </w:tcPr>
          <w:p w14:paraId="0D1DD4D5" w14:textId="77777777" w:rsidR="00814F10" w:rsidRPr="00811ADC" w:rsidRDefault="00814F10" w:rsidP="00811ADC">
            <w:pPr>
              <w:rPr>
                <w:rFonts w:asciiTheme="majorBidi" w:hAnsiTheme="majorBidi" w:cstheme="majorBidi"/>
              </w:rPr>
            </w:pPr>
            <w:proofErr w:type="spellStart"/>
            <w:r w:rsidRPr="00811ADC">
              <w:rPr>
                <w:rFonts w:asciiTheme="majorBidi" w:hAnsiTheme="majorBidi" w:cstheme="majorBidi"/>
              </w:rPr>
              <w:t>Alam</w:t>
            </w:r>
            <w:proofErr w:type="spellEnd"/>
            <w:r w:rsidRPr="00811ADC">
              <w:rPr>
                <w:rFonts w:asciiTheme="majorBidi" w:hAnsiTheme="majorBidi" w:cstheme="majorBidi"/>
              </w:rPr>
              <w:t xml:space="preserve"> &amp; Ahmar, 2016</w:t>
            </w:r>
          </w:p>
        </w:tc>
      </w:tr>
      <w:tr w:rsidR="00814F10" w:rsidRPr="00811ADC" w14:paraId="16BC9E51" w14:textId="77777777" w:rsidTr="00FB3157">
        <w:tc>
          <w:tcPr>
            <w:tcW w:w="2135" w:type="dxa"/>
          </w:tcPr>
          <w:p w14:paraId="5BA14CE6" w14:textId="77777777" w:rsidR="00814F10" w:rsidRPr="00811ADC" w:rsidRDefault="00814F10" w:rsidP="00811ADC">
            <w:pPr>
              <w:rPr>
                <w:rFonts w:asciiTheme="majorBidi" w:hAnsiTheme="majorBidi" w:cstheme="majorBidi"/>
              </w:rPr>
            </w:pPr>
            <w:r w:rsidRPr="00811ADC">
              <w:rPr>
                <w:rFonts w:asciiTheme="majorBidi" w:hAnsiTheme="majorBidi" w:cstheme="majorBidi"/>
              </w:rPr>
              <w:t>CAT (Catalase)</w:t>
            </w:r>
          </w:p>
        </w:tc>
        <w:tc>
          <w:tcPr>
            <w:tcW w:w="1940" w:type="dxa"/>
          </w:tcPr>
          <w:p w14:paraId="56100D16" w14:textId="77777777" w:rsidR="00814F10" w:rsidRPr="00811ADC" w:rsidRDefault="00814F10" w:rsidP="00811ADC">
            <w:pPr>
              <w:rPr>
                <w:rFonts w:asciiTheme="majorBidi" w:hAnsiTheme="majorBidi" w:cstheme="majorBidi"/>
              </w:rPr>
            </w:pPr>
            <w:r w:rsidRPr="00811ADC">
              <w:rPr>
                <w:rFonts w:asciiTheme="majorBidi" w:hAnsiTheme="majorBidi" w:cstheme="majorBidi"/>
              </w:rPr>
              <w:t>H2O2 detoxification</w:t>
            </w:r>
          </w:p>
        </w:tc>
        <w:tc>
          <w:tcPr>
            <w:tcW w:w="1728" w:type="dxa"/>
          </w:tcPr>
          <w:p w14:paraId="40D2F6A9" w14:textId="77777777" w:rsidR="00814F10" w:rsidRPr="00811ADC" w:rsidRDefault="00814F10" w:rsidP="00811ADC">
            <w:pPr>
              <w:rPr>
                <w:rFonts w:asciiTheme="majorBidi" w:hAnsiTheme="majorBidi" w:cstheme="majorBidi"/>
              </w:rPr>
            </w:pPr>
            <w:r w:rsidRPr="00811ADC">
              <w:rPr>
                <w:rFonts w:asciiTheme="majorBidi" w:hAnsiTheme="majorBidi" w:cstheme="majorBidi"/>
              </w:rPr>
              <w:t>↑/↓ Biphasic; suppression in chronic exposure</w:t>
            </w:r>
          </w:p>
        </w:tc>
        <w:tc>
          <w:tcPr>
            <w:tcW w:w="1728" w:type="dxa"/>
          </w:tcPr>
          <w:p w14:paraId="784D79EC" w14:textId="77777777" w:rsidR="00814F10" w:rsidRPr="00811ADC" w:rsidRDefault="00814F10" w:rsidP="00811ADC">
            <w:pPr>
              <w:rPr>
                <w:rFonts w:asciiTheme="majorBidi" w:hAnsiTheme="majorBidi" w:cstheme="majorBidi"/>
              </w:rPr>
            </w:pPr>
            <w:r w:rsidRPr="00811ADC">
              <w:rPr>
                <w:rFonts w:asciiTheme="majorBidi" w:hAnsiTheme="majorBidi" w:cstheme="majorBidi"/>
              </w:rPr>
              <w:t>Peroxide detoxification</w:t>
            </w:r>
          </w:p>
        </w:tc>
        <w:tc>
          <w:tcPr>
            <w:tcW w:w="1728" w:type="dxa"/>
          </w:tcPr>
          <w:p w14:paraId="4F4B4C58" w14:textId="66A5353F" w:rsidR="00814F10" w:rsidRPr="00811ADC" w:rsidRDefault="009F6FA7" w:rsidP="00811ADC">
            <w:pPr>
              <w:rPr>
                <w:rFonts w:asciiTheme="majorBidi" w:hAnsiTheme="majorBidi" w:cstheme="majorBidi"/>
              </w:rPr>
            </w:pPr>
            <w:proofErr w:type="spellStart"/>
            <w:r>
              <w:rPr>
                <w:rFonts w:asciiTheme="majorBidi" w:hAnsiTheme="majorBidi" w:cstheme="majorBidi"/>
              </w:rPr>
              <w:t>Narra</w:t>
            </w:r>
            <w:proofErr w:type="spellEnd"/>
            <w:r>
              <w:rPr>
                <w:rFonts w:asciiTheme="majorBidi" w:hAnsiTheme="majorBidi" w:cstheme="majorBidi"/>
              </w:rPr>
              <w:t xml:space="preserve"> et al., 2017</w:t>
            </w:r>
          </w:p>
        </w:tc>
      </w:tr>
      <w:tr w:rsidR="00814F10" w:rsidRPr="00811ADC" w14:paraId="0CF0ACDB" w14:textId="77777777" w:rsidTr="00FB3157">
        <w:tc>
          <w:tcPr>
            <w:tcW w:w="2135" w:type="dxa"/>
          </w:tcPr>
          <w:p w14:paraId="2AF51C27" w14:textId="77777777" w:rsidR="00814F10" w:rsidRPr="00811ADC" w:rsidRDefault="00814F10" w:rsidP="00811ADC">
            <w:pPr>
              <w:rPr>
                <w:rFonts w:asciiTheme="majorBidi" w:hAnsiTheme="majorBidi" w:cstheme="majorBidi"/>
              </w:rPr>
            </w:pPr>
            <w:r w:rsidRPr="00811ADC">
              <w:rPr>
                <w:rFonts w:asciiTheme="majorBidi" w:hAnsiTheme="majorBidi" w:cstheme="majorBidi"/>
              </w:rPr>
              <w:t>GST (Glutathione-S-transferase)</w:t>
            </w:r>
          </w:p>
        </w:tc>
        <w:tc>
          <w:tcPr>
            <w:tcW w:w="1940" w:type="dxa"/>
          </w:tcPr>
          <w:p w14:paraId="1845CFB3" w14:textId="77777777" w:rsidR="00814F10" w:rsidRPr="00811ADC" w:rsidRDefault="00814F10" w:rsidP="00811ADC">
            <w:pPr>
              <w:rPr>
                <w:rFonts w:asciiTheme="majorBidi" w:hAnsiTheme="majorBidi" w:cstheme="majorBidi"/>
              </w:rPr>
            </w:pPr>
            <w:r w:rsidRPr="00811ADC">
              <w:rPr>
                <w:rFonts w:asciiTheme="majorBidi" w:hAnsiTheme="majorBidi" w:cstheme="majorBidi"/>
              </w:rPr>
              <w:t>Phase II detoxification</w:t>
            </w:r>
          </w:p>
        </w:tc>
        <w:tc>
          <w:tcPr>
            <w:tcW w:w="1728" w:type="dxa"/>
          </w:tcPr>
          <w:p w14:paraId="493DBD19" w14:textId="77777777" w:rsidR="00814F10" w:rsidRPr="00811ADC" w:rsidRDefault="00814F10" w:rsidP="00811ADC">
            <w:pPr>
              <w:rPr>
                <w:rFonts w:asciiTheme="majorBidi" w:hAnsiTheme="majorBidi" w:cstheme="majorBidi"/>
              </w:rPr>
            </w:pPr>
            <w:r w:rsidRPr="00811ADC">
              <w:rPr>
                <w:rFonts w:asciiTheme="majorBidi" w:hAnsiTheme="majorBidi" w:cstheme="majorBidi"/>
              </w:rPr>
              <w:t>↑ Induction with conjugation demand; ↓ when inhibited</w:t>
            </w:r>
          </w:p>
        </w:tc>
        <w:tc>
          <w:tcPr>
            <w:tcW w:w="1728" w:type="dxa"/>
          </w:tcPr>
          <w:p w14:paraId="608C5553" w14:textId="77777777" w:rsidR="00814F10" w:rsidRPr="00811ADC" w:rsidRDefault="00814F10" w:rsidP="00811ADC">
            <w:pPr>
              <w:rPr>
                <w:rFonts w:asciiTheme="majorBidi" w:hAnsiTheme="majorBidi" w:cstheme="majorBidi"/>
              </w:rPr>
            </w:pPr>
            <w:r w:rsidRPr="00811ADC">
              <w:rPr>
                <w:rFonts w:asciiTheme="majorBidi" w:hAnsiTheme="majorBidi" w:cstheme="majorBidi"/>
              </w:rPr>
              <w:t>Conjugates electrophiles with GSH</w:t>
            </w:r>
          </w:p>
        </w:tc>
        <w:tc>
          <w:tcPr>
            <w:tcW w:w="1728" w:type="dxa"/>
          </w:tcPr>
          <w:p w14:paraId="02B24AEA" w14:textId="77777777" w:rsidR="00814F10" w:rsidRPr="00811ADC" w:rsidRDefault="00814F10" w:rsidP="00811ADC">
            <w:pPr>
              <w:rPr>
                <w:rFonts w:asciiTheme="majorBidi" w:hAnsiTheme="majorBidi" w:cstheme="majorBidi"/>
              </w:rPr>
            </w:pPr>
            <w:r w:rsidRPr="00811ADC">
              <w:rPr>
                <w:rFonts w:asciiTheme="majorBidi" w:hAnsiTheme="majorBidi" w:cstheme="majorBidi"/>
              </w:rPr>
              <w:t>Khatib et al., 2023</w:t>
            </w:r>
          </w:p>
        </w:tc>
      </w:tr>
    </w:tbl>
    <w:p w14:paraId="24E3193D" w14:textId="77777777" w:rsidR="009F6FA7" w:rsidRDefault="009F6FA7" w:rsidP="00B369B3">
      <w:pPr>
        <w:spacing w:line="360" w:lineRule="auto"/>
        <w:jc w:val="both"/>
        <w:rPr>
          <w:rFonts w:asciiTheme="majorBidi" w:hAnsiTheme="majorBidi" w:cstheme="majorBidi"/>
          <w:b/>
          <w:bCs/>
        </w:rPr>
      </w:pPr>
    </w:p>
    <w:p w14:paraId="3031E7D7" w14:textId="6D099D44" w:rsidR="00B369B3" w:rsidRPr="00811ADC" w:rsidRDefault="00B369B3" w:rsidP="00B369B3">
      <w:pPr>
        <w:spacing w:line="360" w:lineRule="auto"/>
        <w:jc w:val="both"/>
        <w:rPr>
          <w:rFonts w:asciiTheme="majorBidi" w:hAnsiTheme="majorBidi" w:cstheme="majorBidi"/>
          <w:b/>
          <w:bCs/>
        </w:rPr>
      </w:pPr>
      <w:r w:rsidRPr="00811ADC">
        <w:rPr>
          <w:rFonts w:asciiTheme="majorBidi" w:hAnsiTheme="majorBidi" w:cstheme="majorBidi"/>
          <w:b/>
          <w:bCs/>
        </w:rPr>
        <w:lastRenderedPageBreak/>
        <w:t>Oxidative and cytogenetic biomarkers in fish exposed to organophosphates</w:t>
      </w:r>
    </w:p>
    <w:p w14:paraId="05980125" w14:textId="154626A9" w:rsidR="00B369B3" w:rsidRDefault="00B369B3" w:rsidP="00B369B3">
      <w:pPr>
        <w:spacing w:line="360" w:lineRule="auto"/>
        <w:jc w:val="both"/>
        <w:rPr>
          <w:rFonts w:asciiTheme="majorBidi" w:hAnsiTheme="majorBidi" w:cstheme="majorBidi"/>
        </w:rPr>
      </w:pPr>
      <w:r w:rsidRPr="00811ADC">
        <w:rPr>
          <w:rFonts w:asciiTheme="majorBidi" w:hAnsiTheme="majorBidi" w:cstheme="majorBidi"/>
        </w:rPr>
        <w:t>Organophosphate pesticides trigger a tightly linked oxidative–genotoxic cascade in aquatic vertebrates that makes combined measurement of oxidative and cytogenetic biomarkers in blood a powerful, minimally invasive approach for monitoring OP exposure and effect. OPs (e.g., chlorpyrifos, malathion, dimethoate, diazinon) are metabolized by phase I/II enzymes and perturb mitochondrial electron transport and redox homeostasis; this increases production of reactive oxygen species (ROS) and leads to oxidative modification of lipids, proteins and nucleic acids</w:t>
      </w:r>
      <w:r w:rsidR="009F6FA7">
        <w:rPr>
          <w:rFonts w:asciiTheme="majorBidi" w:hAnsiTheme="majorBidi" w:cstheme="majorBidi"/>
        </w:rPr>
        <w:t xml:space="preserve"> (</w:t>
      </w:r>
      <w:proofErr w:type="spellStart"/>
      <w:r w:rsidR="009F6FA7">
        <w:rPr>
          <w:rFonts w:asciiTheme="majorBidi" w:hAnsiTheme="majorBidi" w:cstheme="majorBidi"/>
        </w:rPr>
        <w:t>Altun</w:t>
      </w:r>
      <w:proofErr w:type="spellEnd"/>
      <w:r w:rsidR="009F6FA7">
        <w:rPr>
          <w:rFonts w:asciiTheme="majorBidi" w:hAnsiTheme="majorBidi" w:cstheme="majorBidi"/>
        </w:rPr>
        <w:t xml:space="preserve"> et al., 2017)</w:t>
      </w:r>
      <w:r w:rsidRPr="00811ADC">
        <w:rPr>
          <w:rFonts w:asciiTheme="majorBidi" w:hAnsiTheme="majorBidi" w:cstheme="majorBidi"/>
        </w:rPr>
        <w:t xml:space="preserve">. Early in exposure, cells often mount a compensatory antioxidant response (increased activities of superoxide dismutase — SOD, catalase — CAT, glutathione peroxidase — </w:t>
      </w:r>
      <w:proofErr w:type="spellStart"/>
      <w:r w:rsidRPr="00811ADC">
        <w:rPr>
          <w:rFonts w:asciiTheme="majorBidi" w:hAnsiTheme="majorBidi" w:cstheme="majorBidi"/>
        </w:rPr>
        <w:t>GPx</w:t>
      </w:r>
      <w:proofErr w:type="spellEnd"/>
      <w:r w:rsidRPr="00811ADC">
        <w:rPr>
          <w:rFonts w:asciiTheme="majorBidi" w:hAnsiTheme="majorBidi" w:cstheme="majorBidi"/>
        </w:rPr>
        <w:t>, and induction of phase II enzymes such as glutathione-S-transferase — GST), but sustained or high-dose exposure typically overwhelms defenses, depleting reduced glutathione (GSH), inhibiting enzyme activities and producing marked lipid peroxidation (measured as malondialdehyde, MDA/TBARS)</w:t>
      </w:r>
      <w:r w:rsidR="009F6FA7">
        <w:rPr>
          <w:rFonts w:asciiTheme="majorBidi" w:hAnsiTheme="majorBidi" w:cstheme="majorBidi"/>
        </w:rPr>
        <w:t xml:space="preserve"> (</w:t>
      </w:r>
      <w:proofErr w:type="spellStart"/>
      <w:r w:rsidR="009F6FA7">
        <w:rPr>
          <w:rFonts w:asciiTheme="majorBidi" w:hAnsiTheme="majorBidi" w:cstheme="majorBidi"/>
        </w:rPr>
        <w:t>Nataraj</w:t>
      </w:r>
      <w:proofErr w:type="spellEnd"/>
      <w:r w:rsidR="009F6FA7">
        <w:rPr>
          <w:rFonts w:asciiTheme="majorBidi" w:hAnsiTheme="majorBidi" w:cstheme="majorBidi"/>
        </w:rPr>
        <w:t xml:space="preserve"> et al., 2017)</w:t>
      </w:r>
      <w:r w:rsidRPr="00811ADC">
        <w:rPr>
          <w:rFonts w:asciiTheme="majorBidi" w:hAnsiTheme="majorBidi" w:cstheme="majorBidi"/>
        </w:rPr>
        <w:t>. These biochemical injuries precede, accompany and mechanistically drive genotoxic outcomes detectable in circulating erythrocytes (micronuclei, nuclear buds, binucleated cells) and by DNA damage assays (comet/strand-break metrics). Recent syntheses and primary studies confirm that MDA elevation and increased erythrocyte micronucleus (MN) frequency are among the most consistent and reproducible signals of OP effect across species and study designs</w:t>
      </w:r>
      <w:r w:rsidR="009F6FA7">
        <w:rPr>
          <w:rFonts w:asciiTheme="majorBidi" w:hAnsiTheme="majorBidi" w:cstheme="majorBidi"/>
        </w:rPr>
        <w:t xml:space="preserve"> (Hossain et al., 2025)</w:t>
      </w:r>
      <w:r w:rsidRPr="00811ADC">
        <w:rPr>
          <w:rFonts w:asciiTheme="majorBidi" w:hAnsiTheme="majorBidi" w:cstheme="majorBidi"/>
        </w:rPr>
        <w:t>.</w:t>
      </w:r>
    </w:p>
    <w:p w14:paraId="33709A58" w14:textId="26DAEAE2" w:rsidR="00B369B3" w:rsidRDefault="00B369B3" w:rsidP="00B369B3">
      <w:pPr>
        <w:spacing w:line="360" w:lineRule="auto"/>
        <w:jc w:val="both"/>
        <w:rPr>
          <w:rFonts w:asciiTheme="majorBidi" w:hAnsiTheme="majorBidi" w:cstheme="majorBidi"/>
        </w:rPr>
      </w:pPr>
      <w:r w:rsidRPr="00811ADC">
        <w:rPr>
          <w:rFonts w:asciiTheme="majorBidi" w:hAnsiTheme="majorBidi" w:cstheme="majorBidi"/>
        </w:rPr>
        <w:t xml:space="preserve">Mechanistically, ROS produced during OP metabolism and from mitochondrial dysfunction cause peroxidation of polyunsaturated membrane lipids, yielding MDA and related aldehydes that both mark membrane damage and propagate further oxidative injury. Oxidative base modifications (e.g., 8-oxo-dG) and single-strand breaks can produce chromosome fragments and lagging chromosomes during erythropoiesis, yielding micronuclei and other nuclear abnormalities in circulating red </w:t>
      </w:r>
      <w:r w:rsidRPr="00811ADC">
        <w:rPr>
          <w:rFonts w:asciiTheme="majorBidi" w:hAnsiTheme="majorBidi" w:cstheme="majorBidi"/>
        </w:rPr>
        <w:lastRenderedPageBreak/>
        <w:t>cells; thus, biochemical markers (SOD/CAT/</w:t>
      </w:r>
      <w:proofErr w:type="spellStart"/>
      <w:r w:rsidRPr="00811ADC">
        <w:rPr>
          <w:rFonts w:asciiTheme="majorBidi" w:hAnsiTheme="majorBidi" w:cstheme="majorBidi"/>
        </w:rPr>
        <w:t>GPx</w:t>
      </w:r>
      <w:proofErr w:type="spellEnd"/>
      <w:r w:rsidRPr="00811ADC">
        <w:rPr>
          <w:rFonts w:asciiTheme="majorBidi" w:hAnsiTheme="majorBidi" w:cstheme="majorBidi"/>
        </w:rPr>
        <w:t>/GST, GSH, MDA) and cytogenetic endpoints (MN frequency, nuclear abnormalities, comet metrics) form a mechanistic chain from exposure to adverse outcome</w:t>
      </w:r>
      <w:r w:rsidR="009F6FA7">
        <w:rPr>
          <w:rFonts w:asciiTheme="majorBidi" w:hAnsiTheme="majorBidi" w:cstheme="majorBidi"/>
        </w:rPr>
        <w:t xml:space="preserve"> (</w:t>
      </w:r>
      <w:proofErr w:type="spellStart"/>
      <w:r w:rsidR="009F6FA7">
        <w:rPr>
          <w:rFonts w:asciiTheme="majorBidi" w:hAnsiTheme="majorBidi" w:cstheme="majorBidi"/>
        </w:rPr>
        <w:t>Sule</w:t>
      </w:r>
      <w:proofErr w:type="spellEnd"/>
      <w:r w:rsidR="009F6FA7">
        <w:rPr>
          <w:rFonts w:asciiTheme="majorBidi" w:hAnsiTheme="majorBidi" w:cstheme="majorBidi"/>
        </w:rPr>
        <w:t xml:space="preserve"> et al., 2022)</w:t>
      </w:r>
      <w:r w:rsidRPr="00811ADC">
        <w:rPr>
          <w:rFonts w:asciiTheme="majorBidi" w:hAnsiTheme="majorBidi" w:cstheme="majorBidi"/>
        </w:rPr>
        <w:t xml:space="preserve">. Recent reviews recommend assessing these endpoints together because biochemical markers provide sensitive early warning while cytogenetic lesions provide evidence of persistent or heritable genetic damage. </w:t>
      </w:r>
    </w:p>
    <w:p w14:paraId="01DDFAC3" w14:textId="5F0AFB0A" w:rsidR="00B369B3" w:rsidRDefault="00B369B3" w:rsidP="00B369B3">
      <w:pPr>
        <w:spacing w:line="360" w:lineRule="auto"/>
        <w:jc w:val="both"/>
        <w:rPr>
          <w:rFonts w:asciiTheme="majorBidi" w:hAnsiTheme="majorBidi" w:cstheme="majorBidi"/>
        </w:rPr>
      </w:pPr>
      <w:r w:rsidRPr="00811ADC">
        <w:rPr>
          <w:rFonts w:asciiTheme="majorBidi" w:hAnsiTheme="majorBidi" w:cstheme="majorBidi"/>
        </w:rPr>
        <w:t xml:space="preserve">Empirical evidence from laboratory and field studies (2019–2025) supports a consistent pattern: (1) </w:t>
      </w:r>
      <w:r w:rsidRPr="00811ADC">
        <w:rPr>
          <w:rFonts w:asciiTheme="majorBidi" w:hAnsiTheme="majorBidi" w:cstheme="majorBidi"/>
          <w:b/>
          <w:bCs/>
        </w:rPr>
        <w:t>MDA/TBARS increases</w:t>
      </w:r>
      <w:r w:rsidRPr="00811ADC">
        <w:rPr>
          <w:rFonts w:asciiTheme="majorBidi" w:hAnsiTheme="majorBidi" w:cstheme="majorBidi"/>
        </w:rPr>
        <w:t xml:space="preserve"> in blood and target tissues are reported across OPs and species</w:t>
      </w:r>
      <w:r w:rsidR="007F7F5B">
        <w:rPr>
          <w:rFonts w:asciiTheme="majorBidi" w:hAnsiTheme="majorBidi" w:cstheme="majorBidi"/>
        </w:rPr>
        <w:t xml:space="preserve"> (</w:t>
      </w:r>
      <w:proofErr w:type="spellStart"/>
      <w:r w:rsidR="007F7F5B" w:rsidRPr="007F7F5B">
        <w:rPr>
          <w:rFonts w:asciiTheme="majorBidi" w:hAnsiTheme="majorBidi" w:cstheme="majorBidi"/>
        </w:rPr>
        <w:t>Bacchetta</w:t>
      </w:r>
      <w:proofErr w:type="spellEnd"/>
      <w:r w:rsidR="007F7F5B" w:rsidRPr="00811ADC">
        <w:rPr>
          <w:rFonts w:asciiTheme="majorBidi" w:hAnsiTheme="majorBidi" w:cstheme="majorBidi"/>
        </w:rPr>
        <w:t xml:space="preserve"> </w:t>
      </w:r>
      <w:r w:rsidR="007F7F5B">
        <w:rPr>
          <w:rFonts w:asciiTheme="majorBidi" w:hAnsiTheme="majorBidi" w:cstheme="majorBidi"/>
        </w:rPr>
        <w:t xml:space="preserve"> et al., 2014) </w:t>
      </w:r>
      <w:r w:rsidRPr="00811ADC">
        <w:rPr>
          <w:rFonts w:asciiTheme="majorBidi" w:hAnsiTheme="majorBidi" w:cstheme="majorBidi"/>
        </w:rPr>
        <w:t xml:space="preserve">(2) </w:t>
      </w:r>
      <w:r w:rsidRPr="00811ADC">
        <w:rPr>
          <w:rFonts w:asciiTheme="majorBidi" w:hAnsiTheme="majorBidi" w:cstheme="majorBidi"/>
          <w:b/>
          <w:bCs/>
        </w:rPr>
        <w:t xml:space="preserve">SOD, CAT and </w:t>
      </w:r>
      <w:proofErr w:type="spellStart"/>
      <w:r w:rsidRPr="00811ADC">
        <w:rPr>
          <w:rFonts w:asciiTheme="majorBidi" w:hAnsiTheme="majorBidi" w:cstheme="majorBidi"/>
          <w:b/>
          <w:bCs/>
        </w:rPr>
        <w:t>GPx</w:t>
      </w:r>
      <w:proofErr w:type="spellEnd"/>
      <w:r w:rsidRPr="00811ADC">
        <w:rPr>
          <w:rFonts w:asciiTheme="majorBidi" w:hAnsiTheme="majorBidi" w:cstheme="majorBidi"/>
          <w:b/>
          <w:bCs/>
        </w:rPr>
        <w:t xml:space="preserve"> show biphasic responses</w:t>
      </w:r>
      <w:r w:rsidRPr="00811ADC">
        <w:rPr>
          <w:rFonts w:asciiTheme="majorBidi" w:hAnsiTheme="majorBidi" w:cstheme="majorBidi"/>
        </w:rPr>
        <w:t xml:space="preserve"> — transient induction at low/sub-acute exposures and inhibition or depletion with higher doses or chronic exposure</w:t>
      </w:r>
      <w:r w:rsidR="007F7F5B">
        <w:rPr>
          <w:rFonts w:asciiTheme="majorBidi" w:hAnsiTheme="majorBidi" w:cstheme="majorBidi"/>
        </w:rPr>
        <w:t xml:space="preserve"> (</w:t>
      </w:r>
      <w:proofErr w:type="spellStart"/>
      <w:r w:rsidR="007F7F5B">
        <w:rPr>
          <w:rFonts w:asciiTheme="majorBidi" w:hAnsiTheme="majorBidi" w:cstheme="majorBidi"/>
        </w:rPr>
        <w:t>Narra</w:t>
      </w:r>
      <w:proofErr w:type="spellEnd"/>
      <w:r w:rsidR="007F7F5B">
        <w:rPr>
          <w:rFonts w:asciiTheme="majorBidi" w:hAnsiTheme="majorBidi" w:cstheme="majorBidi"/>
        </w:rPr>
        <w:t xml:space="preserve"> et al., 2017(</w:t>
      </w:r>
      <w:r w:rsidRPr="00811ADC">
        <w:rPr>
          <w:rFonts w:asciiTheme="majorBidi" w:hAnsiTheme="majorBidi" w:cstheme="majorBidi"/>
        </w:rPr>
        <w:t xml:space="preserve"> (3) </w:t>
      </w:r>
      <w:r w:rsidRPr="00811ADC">
        <w:rPr>
          <w:rFonts w:asciiTheme="majorBidi" w:hAnsiTheme="majorBidi" w:cstheme="majorBidi"/>
          <w:b/>
          <w:bCs/>
        </w:rPr>
        <w:t>GST responses</w:t>
      </w:r>
      <w:r w:rsidRPr="00811ADC">
        <w:rPr>
          <w:rFonts w:asciiTheme="majorBidi" w:hAnsiTheme="majorBidi" w:cstheme="majorBidi"/>
        </w:rPr>
        <w:t xml:space="preserve"> are variable (induction where conjugation pathways are activated; inhibition where enzyme synthesis or function is compromised)</w:t>
      </w:r>
      <w:r w:rsidR="007F7F5B">
        <w:rPr>
          <w:rFonts w:asciiTheme="majorBidi" w:hAnsiTheme="majorBidi" w:cstheme="majorBidi"/>
        </w:rPr>
        <w:t xml:space="preserve"> (</w:t>
      </w:r>
      <w:proofErr w:type="spellStart"/>
      <w:r w:rsidR="007F7F5B" w:rsidRPr="007F7F5B">
        <w:t>Slaninova</w:t>
      </w:r>
      <w:proofErr w:type="spellEnd"/>
      <w:r w:rsidR="007F7F5B">
        <w:t xml:space="preserve"> et al., 2009</w:t>
      </w:r>
      <w:r w:rsidR="007F7F5B">
        <w:rPr>
          <w:rFonts w:asciiTheme="majorBidi" w:hAnsiTheme="majorBidi" w:cstheme="majorBidi"/>
        </w:rPr>
        <w:t>)</w:t>
      </w:r>
      <w:r w:rsidRPr="00811ADC">
        <w:rPr>
          <w:rFonts w:asciiTheme="majorBidi" w:hAnsiTheme="majorBidi" w:cstheme="majorBidi"/>
        </w:rPr>
        <w:t xml:space="preserve"> (4) </w:t>
      </w:r>
      <w:r w:rsidRPr="00811ADC">
        <w:rPr>
          <w:rFonts w:asciiTheme="majorBidi" w:hAnsiTheme="majorBidi" w:cstheme="majorBidi"/>
          <w:b/>
          <w:bCs/>
        </w:rPr>
        <w:t>GSH depletion</w:t>
      </w:r>
      <w:r w:rsidRPr="00811ADC">
        <w:rPr>
          <w:rFonts w:asciiTheme="majorBidi" w:hAnsiTheme="majorBidi" w:cstheme="majorBidi"/>
        </w:rPr>
        <w:t xml:space="preserve"> is frequently reported and correlates with both increased MDA and DNA damage</w:t>
      </w:r>
      <w:r w:rsidR="007F7F5B">
        <w:rPr>
          <w:rFonts w:asciiTheme="majorBidi" w:hAnsiTheme="majorBidi" w:cstheme="majorBidi"/>
        </w:rPr>
        <w:t xml:space="preserve"> (</w:t>
      </w:r>
      <w:proofErr w:type="spellStart"/>
      <w:r w:rsidR="007F7F5B" w:rsidRPr="007F7F5B">
        <w:rPr>
          <w:rFonts w:asciiTheme="majorBidi" w:hAnsiTheme="majorBidi" w:cstheme="majorBidi"/>
        </w:rPr>
        <w:t>Isik</w:t>
      </w:r>
      <w:proofErr w:type="spellEnd"/>
      <w:r w:rsidR="007F7F5B">
        <w:rPr>
          <w:rFonts w:asciiTheme="majorBidi" w:hAnsiTheme="majorBidi" w:cstheme="majorBidi"/>
        </w:rPr>
        <w:t xml:space="preserve"> and</w:t>
      </w:r>
      <w:r w:rsidR="007F7F5B" w:rsidRPr="007F7F5B">
        <w:rPr>
          <w:rFonts w:asciiTheme="majorBidi" w:hAnsiTheme="majorBidi" w:cstheme="majorBidi"/>
        </w:rPr>
        <w:t xml:space="preserve"> </w:t>
      </w:r>
      <w:proofErr w:type="spellStart"/>
      <w:r w:rsidR="007F7F5B" w:rsidRPr="007F7F5B">
        <w:rPr>
          <w:rFonts w:asciiTheme="majorBidi" w:hAnsiTheme="majorBidi" w:cstheme="majorBidi"/>
        </w:rPr>
        <w:t>Celik</w:t>
      </w:r>
      <w:proofErr w:type="spellEnd"/>
      <w:r w:rsidR="007F7F5B" w:rsidRPr="007F7F5B">
        <w:rPr>
          <w:rFonts w:asciiTheme="majorBidi" w:hAnsiTheme="majorBidi" w:cstheme="majorBidi"/>
        </w:rPr>
        <w:t>, 2008</w:t>
      </w:r>
      <w:r w:rsidR="007F7F5B">
        <w:rPr>
          <w:rFonts w:asciiTheme="majorBidi" w:hAnsiTheme="majorBidi" w:cstheme="majorBidi"/>
        </w:rPr>
        <w:t>)</w:t>
      </w:r>
      <w:r w:rsidRPr="00811ADC">
        <w:rPr>
          <w:rFonts w:asciiTheme="majorBidi" w:hAnsiTheme="majorBidi" w:cstheme="majorBidi"/>
        </w:rPr>
        <w:t xml:space="preserve"> and (5) </w:t>
      </w:r>
      <w:r w:rsidRPr="00811ADC">
        <w:rPr>
          <w:rFonts w:asciiTheme="majorBidi" w:hAnsiTheme="majorBidi" w:cstheme="majorBidi"/>
          <w:b/>
          <w:bCs/>
        </w:rPr>
        <w:t>erythrocyte MN frequency and other nuclear abnormalities increase</w:t>
      </w:r>
      <w:r w:rsidRPr="00811ADC">
        <w:rPr>
          <w:rFonts w:asciiTheme="majorBidi" w:hAnsiTheme="majorBidi" w:cstheme="majorBidi"/>
        </w:rPr>
        <w:t xml:space="preserve"> in exposed fish from laboratory and contaminated field sites, often in dose-dependent fashion</w:t>
      </w:r>
      <w:r w:rsidR="007F7F5B">
        <w:rPr>
          <w:rFonts w:asciiTheme="majorBidi" w:hAnsiTheme="majorBidi" w:cstheme="majorBidi"/>
        </w:rPr>
        <w:t xml:space="preserve"> (Chen et al., 2019)</w:t>
      </w:r>
      <w:r w:rsidRPr="00811ADC">
        <w:rPr>
          <w:rFonts w:asciiTheme="majorBidi" w:hAnsiTheme="majorBidi" w:cstheme="majorBidi"/>
        </w:rPr>
        <w:t xml:space="preserve">. Representative recent studies and syntheses illustrating these findings include Dutta et al. (field study showing elevated MDA and 4–10× higher MN frequency at contaminated sites), experimental exposures to chlorpyrifos and malathion showing MDA increases and antioxidant enzyme modulation (multiple in vivo studies), and review articles synthesizing data across OPs and species. </w:t>
      </w:r>
    </w:p>
    <w:p w14:paraId="48BF0BCA" w14:textId="77777777" w:rsidR="00DA1908" w:rsidRPr="007F7F5B" w:rsidRDefault="00DA1908" w:rsidP="004A2172">
      <w:pPr>
        <w:spacing w:line="360" w:lineRule="auto"/>
        <w:jc w:val="both"/>
        <w:rPr>
          <w:rFonts w:asciiTheme="majorBidi" w:hAnsiTheme="majorBidi" w:cstheme="majorBidi"/>
          <w:color w:val="EE0000"/>
        </w:rPr>
      </w:pPr>
    </w:p>
    <w:p w14:paraId="5DAD92CE" w14:textId="7B209DCF" w:rsidR="00B369B3" w:rsidRPr="00811ADC" w:rsidRDefault="00B369B3" w:rsidP="00B369B3">
      <w:pPr>
        <w:spacing w:line="360" w:lineRule="auto"/>
        <w:jc w:val="both"/>
        <w:rPr>
          <w:rFonts w:asciiTheme="majorBidi" w:hAnsiTheme="majorBidi" w:cstheme="majorBidi"/>
        </w:rPr>
      </w:pPr>
      <w:r w:rsidRPr="00811ADC">
        <w:rPr>
          <w:rFonts w:asciiTheme="majorBidi" w:hAnsiTheme="majorBidi" w:cstheme="majorBidi"/>
        </w:rPr>
        <w:t xml:space="preserve">Methodological caveats and best practices deserve emphasis. Reported numeric values differ across studies owing to species differences, life stage, water chemistry (salinity, hardness, pH), assay choice (assay kits vs classical spectrophotometric methods), and </w:t>
      </w:r>
      <w:r w:rsidRPr="00811ADC">
        <w:rPr>
          <w:rFonts w:asciiTheme="majorBidi" w:hAnsiTheme="majorBidi" w:cstheme="majorBidi"/>
        </w:rPr>
        <w:lastRenderedPageBreak/>
        <w:t>whether technical grade or commercial formulations were tested. To enable synthesis and meta-analysis, authors should (a) report absolute enzyme activity units and protein normalization method, (b) express MDA as nmol MDA mg⁻¹ protein or as fold-change versus control, (c) specify MN scoring criteria and number of cells scored, and (d) include exposure concentrations as both nominal and measured (analytical) values with water chemistry parameters. Reviews and method papers from 2024–2025 stress these standardizations to reduce heterogeneity and increase the usefulness of biomarker data for regulatory and monitoring frameworks</w:t>
      </w:r>
      <w:r w:rsidR="007F7F5B">
        <w:rPr>
          <w:rFonts w:asciiTheme="majorBidi" w:hAnsiTheme="majorBidi" w:cstheme="majorBidi"/>
        </w:rPr>
        <w:t xml:space="preserve"> (Yan et al., 2006; Stanley and </w:t>
      </w:r>
      <w:proofErr w:type="spellStart"/>
      <w:r w:rsidR="007F7F5B">
        <w:rPr>
          <w:rFonts w:asciiTheme="majorBidi" w:hAnsiTheme="majorBidi" w:cstheme="majorBidi"/>
        </w:rPr>
        <w:t>Preetha</w:t>
      </w:r>
      <w:proofErr w:type="spellEnd"/>
      <w:r w:rsidR="007F7F5B">
        <w:rPr>
          <w:rFonts w:asciiTheme="majorBidi" w:hAnsiTheme="majorBidi" w:cstheme="majorBidi"/>
        </w:rPr>
        <w:t>, 2016)</w:t>
      </w:r>
    </w:p>
    <w:p w14:paraId="66E5DCD3" w14:textId="0FED2077" w:rsidR="00B369B3" w:rsidRPr="00811ADC" w:rsidRDefault="00B369B3" w:rsidP="00B369B3">
      <w:pPr>
        <w:spacing w:line="360" w:lineRule="auto"/>
        <w:jc w:val="both"/>
        <w:rPr>
          <w:rFonts w:asciiTheme="majorBidi" w:hAnsiTheme="majorBidi" w:cstheme="majorBidi"/>
        </w:rPr>
      </w:pPr>
      <w:r w:rsidRPr="00811ADC">
        <w:rPr>
          <w:rFonts w:asciiTheme="majorBidi" w:hAnsiTheme="majorBidi" w:cstheme="majorBidi"/>
        </w:rPr>
        <w:t xml:space="preserve">Knowledge gaps and future directions include: (1) </w:t>
      </w:r>
      <w:r w:rsidRPr="00811ADC">
        <w:rPr>
          <w:rFonts w:asciiTheme="majorBidi" w:hAnsiTheme="majorBidi" w:cstheme="majorBidi"/>
          <w:b/>
          <w:bCs/>
        </w:rPr>
        <w:t>quantitative dose–response models</w:t>
      </w:r>
      <w:r w:rsidRPr="00811ADC">
        <w:rPr>
          <w:rFonts w:asciiTheme="majorBidi" w:hAnsiTheme="majorBidi" w:cstheme="majorBidi"/>
        </w:rPr>
        <w:t xml:space="preserve"> linking OP concentration to biomarker effect sizes across taxa and life stages (most studies report directionality rather than standardized effect sizes); (2) </w:t>
      </w:r>
      <w:r w:rsidRPr="00811ADC">
        <w:rPr>
          <w:rFonts w:asciiTheme="majorBidi" w:hAnsiTheme="majorBidi" w:cstheme="majorBidi"/>
          <w:b/>
          <w:bCs/>
        </w:rPr>
        <w:t>time-series studies</w:t>
      </w:r>
      <w:r w:rsidRPr="00811ADC">
        <w:rPr>
          <w:rFonts w:asciiTheme="majorBidi" w:hAnsiTheme="majorBidi" w:cstheme="majorBidi"/>
        </w:rPr>
        <w:t xml:space="preserve"> that map the temporal sequence from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 ROS → antioxidant response → MDA → DNA damage and the thresholds for irreversibility; (3) </w:t>
      </w:r>
      <w:r w:rsidRPr="00811ADC">
        <w:rPr>
          <w:rFonts w:asciiTheme="majorBidi" w:hAnsiTheme="majorBidi" w:cstheme="majorBidi"/>
          <w:b/>
          <w:bCs/>
        </w:rPr>
        <w:t>mixture toxicology</w:t>
      </w:r>
      <w:r w:rsidRPr="00811ADC">
        <w:rPr>
          <w:rFonts w:asciiTheme="majorBidi" w:hAnsiTheme="majorBidi" w:cstheme="majorBidi"/>
        </w:rPr>
        <w:t xml:space="preserve"> in ecologically realistic exposure regimes (multiple OPs and co-contaminants such as pesticides, microplastics, or metals); (4) leveraging </w:t>
      </w:r>
      <w:r w:rsidRPr="00811ADC">
        <w:rPr>
          <w:rFonts w:asciiTheme="majorBidi" w:hAnsiTheme="majorBidi" w:cstheme="majorBidi"/>
          <w:b/>
          <w:bCs/>
        </w:rPr>
        <w:t>omics</w:t>
      </w:r>
      <w:r w:rsidRPr="00811ADC">
        <w:rPr>
          <w:rFonts w:asciiTheme="majorBidi" w:hAnsiTheme="majorBidi" w:cstheme="majorBidi"/>
        </w:rPr>
        <w:t xml:space="preserve"> (transcriptomics, proteomics, metabolomics) to identify early molecular signatures that predict progression to cytogenetic damage; and (5) increased field studies that pair chemical exposure data (measured concentrations) with blood biomarker panels in wild fish populations to strengthen ecological risk assessment. Recent critical reviews call for these research directions and for adoption of standardized blood panels in biomonitoring programs</w:t>
      </w:r>
      <w:r w:rsidR="004A2172">
        <w:rPr>
          <w:rFonts w:asciiTheme="majorBidi" w:hAnsiTheme="majorBidi" w:cstheme="majorBidi"/>
        </w:rPr>
        <w:t xml:space="preserve"> (Gao et al., 2012)</w:t>
      </w:r>
    </w:p>
    <w:p w14:paraId="1B556B63" w14:textId="2126B5FC" w:rsidR="00B369B3" w:rsidRDefault="00B369B3" w:rsidP="00B369B3">
      <w:pPr>
        <w:spacing w:line="360" w:lineRule="auto"/>
        <w:jc w:val="both"/>
        <w:rPr>
          <w:rFonts w:asciiTheme="majorBidi" w:hAnsiTheme="majorBidi" w:cstheme="majorBidi"/>
        </w:rPr>
      </w:pPr>
      <w:r w:rsidRPr="00811ADC">
        <w:rPr>
          <w:rFonts w:asciiTheme="majorBidi" w:hAnsiTheme="majorBidi" w:cstheme="majorBidi"/>
        </w:rPr>
        <w:t xml:space="preserve">In conclusion, oxidative biomarkers (SOD, CAT, </w:t>
      </w:r>
      <w:proofErr w:type="spellStart"/>
      <w:r w:rsidRPr="00811ADC">
        <w:rPr>
          <w:rFonts w:asciiTheme="majorBidi" w:hAnsiTheme="majorBidi" w:cstheme="majorBidi"/>
        </w:rPr>
        <w:t>GPx</w:t>
      </w:r>
      <w:proofErr w:type="spellEnd"/>
      <w:r w:rsidRPr="00811ADC">
        <w:rPr>
          <w:rFonts w:asciiTheme="majorBidi" w:hAnsiTheme="majorBidi" w:cstheme="majorBidi"/>
        </w:rPr>
        <w:t>, GST, GSH, MDA) together with cytogenetic endpoints (erythrocyte micronuclei, nuclear abnormalities, comet metrics) provide a mechanistically coherent, sensitive and non-lethal toolkit to detect, quantify and infer the biological consequences of organophosphate exposure in fish</w:t>
      </w:r>
      <w:r w:rsidR="00C97D00">
        <w:rPr>
          <w:rFonts w:asciiTheme="majorBidi" w:hAnsiTheme="majorBidi" w:cstheme="majorBidi"/>
        </w:rPr>
        <w:t xml:space="preserve"> (Hossain et al., 2025)</w:t>
      </w:r>
      <w:r w:rsidRPr="00811ADC">
        <w:rPr>
          <w:rFonts w:asciiTheme="majorBidi" w:hAnsiTheme="majorBidi" w:cstheme="majorBidi"/>
        </w:rPr>
        <w:t xml:space="preserve">. When measured with methodological rigor and reported in standardized </w:t>
      </w:r>
      <w:r w:rsidRPr="00811ADC">
        <w:rPr>
          <w:rFonts w:asciiTheme="majorBidi" w:hAnsiTheme="majorBidi" w:cstheme="majorBidi"/>
        </w:rPr>
        <w:lastRenderedPageBreak/>
        <w:t>units, these endpoints are highly useful for laboratory toxicology, field biomonitoring and for informing management actions aimed at reducing pesticide runoff into aquatic systems. Recent empirical and review literature (2019–2025) consistently supports this integrated approach.</w:t>
      </w:r>
    </w:p>
    <w:p w14:paraId="7A2BD392" w14:textId="77777777" w:rsidR="009F6FA7" w:rsidRPr="00811ADC" w:rsidRDefault="009F6FA7" w:rsidP="00B369B3">
      <w:pPr>
        <w:spacing w:line="360" w:lineRule="auto"/>
        <w:jc w:val="both"/>
        <w:rPr>
          <w:rFonts w:asciiTheme="majorBidi" w:hAnsiTheme="majorBidi" w:cstheme="majorBidi"/>
        </w:rPr>
      </w:pPr>
    </w:p>
    <w:p w14:paraId="0A8E2442" w14:textId="4B02A3FF" w:rsidR="00B369B3" w:rsidRPr="00811ADC" w:rsidRDefault="003957E6" w:rsidP="00B369B3">
      <w:pPr>
        <w:pStyle w:val="Heading1"/>
        <w:rPr>
          <w:rFonts w:asciiTheme="majorBidi" w:hAnsiTheme="majorBidi"/>
          <w:sz w:val="32"/>
          <w:szCs w:val="32"/>
        </w:rPr>
      </w:pPr>
      <w:r>
        <w:rPr>
          <w:rFonts w:asciiTheme="majorBidi" w:hAnsiTheme="majorBidi"/>
          <w:sz w:val="32"/>
          <w:szCs w:val="32"/>
        </w:rPr>
        <w:t xml:space="preserve">Table 3 </w:t>
      </w:r>
      <w:r w:rsidR="00B369B3" w:rsidRPr="00811ADC">
        <w:rPr>
          <w:rFonts w:asciiTheme="majorBidi" w:hAnsiTheme="majorBidi"/>
          <w:sz w:val="32"/>
          <w:szCs w:val="32"/>
        </w:rPr>
        <w:t>Oxidative and Cytogenetic Biomarkers in Fish after Organophosphate (OP) Exposure</w:t>
      </w:r>
      <w:r w:rsidR="00B369B3" w:rsidRPr="00811ADC">
        <w:rPr>
          <w:rFonts w:asciiTheme="majorBidi" w:hAnsiTheme="majorBidi"/>
          <w:sz w:val="32"/>
          <w:szCs w:val="32"/>
        </w:rPr>
        <w:br/>
        <w:t>(Selected studies 2019–2025)</w:t>
      </w:r>
    </w:p>
    <w:p w14:paraId="0A11BC9D" w14:textId="5C10D101" w:rsidR="00B369B3" w:rsidRPr="00811ADC" w:rsidRDefault="00B369B3" w:rsidP="00B369B3">
      <w:pPr>
        <w:rPr>
          <w:rFonts w:asciiTheme="majorBidi" w:hAnsiTheme="majorBidi" w:cstheme="majorBidi"/>
        </w:rPr>
      </w:pPr>
    </w:p>
    <w:tbl>
      <w:tblPr>
        <w:tblStyle w:val="TableGrid"/>
        <w:tblW w:w="10471" w:type="dxa"/>
        <w:jc w:val="center"/>
        <w:tblLook w:val="04A0" w:firstRow="1" w:lastRow="0" w:firstColumn="1" w:lastColumn="0" w:noHBand="0" w:noVBand="1"/>
      </w:tblPr>
      <w:tblGrid>
        <w:gridCol w:w="436"/>
        <w:gridCol w:w="1511"/>
        <w:gridCol w:w="1854"/>
        <w:gridCol w:w="2147"/>
        <w:gridCol w:w="1610"/>
        <w:gridCol w:w="1524"/>
        <w:gridCol w:w="1389"/>
      </w:tblGrid>
      <w:tr w:rsidR="00C97D00" w:rsidRPr="00811ADC" w14:paraId="0C8571F9" w14:textId="4FC7A855" w:rsidTr="003957E6">
        <w:trPr>
          <w:trHeight w:val="934"/>
          <w:jc w:val="center"/>
        </w:trPr>
        <w:tc>
          <w:tcPr>
            <w:tcW w:w="436" w:type="dxa"/>
          </w:tcPr>
          <w:p w14:paraId="657D9532" w14:textId="77777777" w:rsidR="00C97D00" w:rsidRPr="00811ADC" w:rsidRDefault="00C97D00" w:rsidP="00B369B3">
            <w:pPr>
              <w:rPr>
                <w:rFonts w:asciiTheme="majorBidi" w:hAnsiTheme="majorBidi" w:cstheme="majorBidi"/>
              </w:rPr>
            </w:pPr>
            <w:r w:rsidRPr="00811ADC">
              <w:rPr>
                <w:rFonts w:asciiTheme="majorBidi" w:hAnsiTheme="majorBidi" w:cstheme="majorBidi"/>
              </w:rPr>
              <w:t>#</w:t>
            </w:r>
          </w:p>
        </w:tc>
        <w:tc>
          <w:tcPr>
            <w:tcW w:w="1511" w:type="dxa"/>
          </w:tcPr>
          <w:p w14:paraId="0A57F34E" w14:textId="77777777" w:rsidR="00C97D00" w:rsidRPr="00C97D00" w:rsidRDefault="00C97D00" w:rsidP="00B369B3">
            <w:pPr>
              <w:rPr>
                <w:rFonts w:asciiTheme="majorBidi" w:hAnsiTheme="majorBidi" w:cstheme="majorBidi"/>
                <w:b/>
                <w:bCs/>
              </w:rPr>
            </w:pPr>
            <w:r w:rsidRPr="00C97D00">
              <w:rPr>
                <w:rFonts w:asciiTheme="majorBidi" w:hAnsiTheme="majorBidi" w:cstheme="majorBidi"/>
                <w:b/>
                <w:bCs/>
              </w:rPr>
              <w:t>Species</w:t>
            </w:r>
          </w:p>
        </w:tc>
        <w:tc>
          <w:tcPr>
            <w:tcW w:w="1854" w:type="dxa"/>
          </w:tcPr>
          <w:p w14:paraId="6B1D9BE6" w14:textId="77777777" w:rsidR="00C97D00" w:rsidRPr="00C97D00" w:rsidRDefault="00C97D00" w:rsidP="00B369B3">
            <w:pPr>
              <w:rPr>
                <w:rFonts w:asciiTheme="majorBidi" w:hAnsiTheme="majorBidi" w:cstheme="majorBidi"/>
                <w:b/>
                <w:bCs/>
              </w:rPr>
            </w:pPr>
            <w:r w:rsidRPr="00C97D00">
              <w:rPr>
                <w:rFonts w:asciiTheme="majorBidi" w:hAnsiTheme="majorBidi" w:cstheme="majorBidi"/>
                <w:b/>
                <w:bCs/>
              </w:rPr>
              <w:t>OP (form)</w:t>
            </w:r>
          </w:p>
        </w:tc>
        <w:tc>
          <w:tcPr>
            <w:tcW w:w="2147" w:type="dxa"/>
          </w:tcPr>
          <w:p w14:paraId="69F2B8F8" w14:textId="14CDE692" w:rsidR="00C97D00" w:rsidRPr="00C97D00" w:rsidRDefault="00C97D00" w:rsidP="00B369B3">
            <w:pPr>
              <w:rPr>
                <w:rFonts w:asciiTheme="majorBidi" w:hAnsiTheme="majorBidi" w:cstheme="majorBidi"/>
                <w:b/>
                <w:bCs/>
              </w:rPr>
            </w:pPr>
            <w:r w:rsidRPr="00C97D00">
              <w:rPr>
                <w:rFonts w:asciiTheme="majorBidi" w:hAnsiTheme="majorBidi" w:cstheme="majorBidi"/>
                <w:b/>
                <w:bCs/>
              </w:rPr>
              <w:t>Exposure</w:t>
            </w:r>
          </w:p>
        </w:tc>
        <w:tc>
          <w:tcPr>
            <w:tcW w:w="1610" w:type="dxa"/>
          </w:tcPr>
          <w:p w14:paraId="1FAEEA06" w14:textId="77777777" w:rsidR="00C97D00" w:rsidRPr="00C97D00" w:rsidRDefault="00C97D00" w:rsidP="00B369B3">
            <w:pPr>
              <w:rPr>
                <w:rFonts w:asciiTheme="majorBidi" w:hAnsiTheme="majorBidi" w:cstheme="majorBidi"/>
                <w:b/>
                <w:bCs/>
              </w:rPr>
            </w:pPr>
            <w:r w:rsidRPr="00C97D00">
              <w:rPr>
                <w:rFonts w:asciiTheme="majorBidi" w:hAnsiTheme="majorBidi" w:cstheme="majorBidi"/>
                <w:b/>
                <w:bCs/>
              </w:rPr>
              <w:t>Oxidative result (blood/liver)</w:t>
            </w:r>
          </w:p>
        </w:tc>
        <w:tc>
          <w:tcPr>
            <w:tcW w:w="1524" w:type="dxa"/>
          </w:tcPr>
          <w:p w14:paraId="14549930" w14:textId="5770E9A7" w:rsidR="00C97D00" w:rsidRPr="00C97D00" w:rsidRDefault="00C97D00" w:rsidP="00B369B3">
            <w:pPr>
              <w:rPr>
                <w:rFonts w:asciiTheme="majorBidi" w:hAnsiTheme="majorBidi" w:cstheme="majorBidi"/>
                <w:b/>
                <w:bCs/>
              </w:rPr>
            </w:pPr>
            <w:r w:rsidRPr="00C97D00">
              <w:rPr>
                <w:rFonts w:asciiTheme="majorBidi" w:hAnsiTheme="majorBidi" w:cstheme="majorBidi"/>
                <w:b/>
                <w:bCs/>
              </w:rPr>
              <w:t>Cytogenetic result (erythrocytes / comet)</w:t>
            </w:r>
          </w:p>
        </w:tc>
        <w:tc>
          <w:tcPr>
            <w:tcW w:w="1389" w:type="dxa"/>
          </w:tcPr>
          <w:p w14:paraId="70D0DDF7" w14:textId="2485E7A7" w:rsidR="00C97D00" w:rsidRPr="00C97D00" w:rsidRDefault="00C97D00" w:rsidP="00B369B3">
            <w:pPr>
              <w:rPr>
                <w:rFonts w:asciiTheme="majorBidi" w:hAnsiTheme="majorBidi" w:cstheme="majorBidi"/>
                <w:b/>
                <w:bCs/>
              </w:rPr>
            </w:pPr>
            <w:r w:rsidRPr="00C97D00">
              <w:rPr>
                <w:rFonts w:asciiTheme="majorBidi" w:hAnsiTheme="majorBidi" w:cstheme="majorBidi"/>
                <w:b/>
                <w:bCs/>
              </w:rPr>
              <w:t xml:space="preserve">Study </w:t>
            </w:r>
          </w:p>
        </w:tc>
      </w:tr>
      <w:tr w:rsidR="00C97D00" w:rsidRPr="00811ADC" w14:paraId="4C020739" w14:textId="21355985" w:rsidTr="003957E6">
        <w:trPr>
          <w:trHeight w:val="1631"/>
          <w:jc w:val="center"/>
        </w:trPr>
        <w:tc>
          <w:tcPr>
            <w:tcW w:w="436" w:type="dxa"/>
          </w:tcPr>
          <w:p w14:paraId="76722563" w14:textId="77777777" w:rsidR="00C97D00" w:rsidRPr="00811ADC" w:rsidRDefault="00C97D00" w:rsidP="00B369B3">
            <w:pPr>
              <w:rPr>
                <w:rFonts w:asciiTheme="majorBidi" w:hAnsiTheme="majorBidi" w:cstheme="majorBidi"/>
              </w:rPr>
            </w:pPr>
            <w:r w:rsidRPr="00811ADC">
              <w:rPr>
                <w:rFonts w:asciiTheme="majorBidi" w:hAnsiTheme="majorBidi" w:cstheme="majorBidi"/>
              </w:rPr>
              <w:t>1</w:t>
            </w:r>
          </w:p>
        </w:tc>
        <w:tc>
          <w:tcPr>
            <w:tcW w:w="1511" w:type="dxa"/>
          </w:tcPr>
          <w:p w14:paraId="724C37C0" w14:textId="77777777"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Pethia</w:t>
            </w:r>
            <w:proofErr w:type="spellEnd"/>
            <w:r w:rsidRPr="00811ADC">
              <w:rPr>
                <w:rFonts w:asciiTheme="majorBidi" w:hAnsiTheme="majorBidi" w:cstheme="majorBidi"/>
              </w:rPr>
              <w:t xml:space="preserve"> </w:t>
            </w:r>
            <w:proofErr w:type="spellStart"/>
            <w:r w:rsidRPr="00811ADC">
              <w:rPr>
                <w:rFonts w:asciiTheme="majorBidi" w:hAnsiTheme="majorBidi" w:cstheme="majorBidi"/>
              </w:rPr>
              <w:t>conchonius</w:t>
            </w:r>
            <w:proofErr w:type="spellEnd"/>
            <w:r w:rsidRPr="00811ADC">
              <w:rPr>
                <w:rFonts w:asciiTheme="majorBidi" w:hAnsiTheme="majorBidi" w:cstheme="majorBidi"/>
              </w:rPr>
              <w:t xml:space="preserve"> (wild)</w:t>
            </w:r>
          </w:p>
        </w:tc>
        <w:tc>
          <w:tcPr>
            <w:tcW w:w="1854" w:type="dxa"/>
          </w:tcPr>
          <w:p w14:paraId="7103AF7E" w14:textId="77777777" w:rsidR="00C97D00" w:rsidRPr="00811ADC" w:rsidRDefault="00C97D00" w:rsidP="00B369B3">
            <w:pPr>
              <w:rPr>
                <w:rFonts w:asciiTheme="majorBidi" w:hAnsiTheme="majorBidi" w:cstheme="majorBidi"/>
              </w:rPr>
            </w:pPr>
            <w:r w:rsidRPr="00811ADC">
              <w:rPr>
                <w:rFonts w:asciiTheme="majorBidi" w:hAnsiTheme="majorBidi" w:cstheme="majorBidi"/>
              </w:rPr>
              <w:t>Mixed agricultural insecticides (CPF detected)</w:t>
            </w:r>
          </w:p>
        </w:tc>
        <w:tc>
          <w:tcPr>
            <w:tcW w:w="2147" w:type="dxa"/>
          </w:tcPr>
          <w:p w14:paraId="35706099" w14:textId="77777777" w:rsidR="00C97D00" w:rsidRPr="00811ADC" w:rsidRDefault="00C97D00" w:rsidP="00B369B3">
            <w:pPr>
              <w:rPr>
                <w:rFonts w:asciiTheme="majorBidi" w:hAnsiTheme="majorBidi" w:cstheme="majorBidi"/>
              </w:rPr>
            </w:pPr>
            <w:r w:rsidRPr="00811ADC">
              <w:rPr>
                <w:rFonts w:asciiTheme="majorBidi" w:hAnsiTheme="majorBidi" w:cstheme="majorBidi"/>
              </w:rPr>
              <w:t>Field exposures (river sites, seasonal sampling)</w:t>
            </w:r>
          </w:p>
        </w:tc>
        <w:tc>
          <w:tcPr>
            <w:tcW w:w="1610" w:type="dxa"/>
          </w:tcPr>
          <w:p w14:paraId="33368FBF" w14:textId="77777777" w:rsidR="00C97D00" w:rsidRPr="00811ADC" w:rsidRDefault="00C97D00" w:rsidP="00B369B3">
            <w:pPr>
              <w:rPr>
                <w:rFonts w:asciiTheme="majorBidi" w:hAnsiTheme="majorBidi" w:cstheme="majorBidi"/>
              </w:rPr>
            </w:pPr>
            <w:r w:rsidRPr="00811ADC">
              <w:rPr>
                <w:rFonts w:asciiTheme="majorBidi" w:hAnsiTheme="majorBidi" w:cstheme="majorBidi"/>
              </w:rPr>
              <w:t>↑ SOD, ↑ CAT, ↑ GST, ↑ MDA in liver vs reference site</w:t>
            </w:r>
          </w:p>
        </w:tc>
        <w:tc>
          <w:tcPr>
            <w:tcW w:w="1524" w:type="dxa"/>
          </w:tcPr>
          <w:p w14:paraId="4F3554C6" w14:textId="727DF602" w:rsidR="00C97D00" w:rsidRPr="00811ADC" w:rsidRDefault="00C97D00" w:rsidP="00B369B3">
            <w:pPr>
              <w:rPr>
                <w:rFonts w:asciiTheme="majorBidi" w:hAnsiTheme="majorBidi" w:cstheme="majorBidi"/>
              </w:rPr>
            </w:pPr>
            <w:r w:rsidRPr="00811ADC">
              <w:rPr>
                <w:rFonts w:asciiTheme="majorBidi" w:hAnsiTheme="majorBidi" w:cstheme="majorBidi"/>
              </w:rPr>
              <w:t>↑ MN (≈4–10×) and ↑ comet metrics; erythrocyte nuclear abnormalities ↑</w:t>
            </w:r>
          </w:p>
        </w:tc>
        <w:tc>
          <w:tcPr>
            <w:tcW w:w="1389" w:type="dxa"/>
          </w:tcPr>
          <w:p w14:paraId="1202C970" w14:textId="4014C763" w:rsidR="00C97D00" w:rsidRPr="00811ADC" w:rsidRDefault="00C97D00" w:rsidP="00B369B3">
            <w:pPr>
              <w:rPr>
                <w:rFonts w:asciiTheme="majorBidi" w:hAnsiTheme="majorBidi" w:cstheme="majorBidi"/>
              </w:rPr>
            </w:pPr>
            <w:r w:rsidRPr="00811ADC">
              <w:rPr>
                <w:rFonts w:asciiTheme="majorBidi" w:hAnsiTheme="majorBidi" w:cstheme="majorBidi"/>
              </w:rPr>
              <w:t>Dutta et al., 2024</w:t>
            </w:r>
          </w:p>
        </w:tc>
      </w:tr>
      <w:tr w:rsidR="00C97D00" w:rsidRPr="00811ADC" w14:paraId="6C3BCA84" w14:textId="2D18BDAD" w:rsidTr="003957E6">
        <w:trPr>
          <w:trHeight w:val="1631"/>
          <w:jc w:val="center"/>
        </w:trPr>
        <w:tc>
          <w:tcPr>
            <w:tcW w:w="436" w:type="dxa"/>
          </w:tcPr>
          <w:p w14:paraId="04DBE0A4" w14:textId="77777777" w:rsidR="00C97D00" w:rsidRPr="00811ADC" w:rsidRDefault="00C97D00" w:rsidP="00B369B3">
            <w:pPr>
              <w:rPr>
                <w:rFonts w:asciiTheme="majorBidi" w:hAnsiTheme="majorBidi" w:cstheme="majorBidi"/>
              </w:rPr>
            </w:pPr>
            <w:r w:rsidRPr="00811ADC">
              <w:rPr>
                <w:rFonts w:asciiTheme="majorBidi" w:hAnsiTheme="majorBidi" w:cstheme="majorBidi"/>
              </w:rPr>
              <w:t>2</w:t>
            </w:r>
          </w:p>
        </w:tc>
        <w:tc>
          <w:tcPr>
            <w:tcW w:w="1511" w:type="dxa"/>
          </w:tcPr>
          <w:p w14:paraId="4315AD8E" w14:textId="77777777" w:rsidR="00C97D00" w:rsidRPr="00811ADC" w:rsidRDefault="00C97D00" w:rsidP="00B369B3">
            <w:pPr>
              <w:rPr>
                <w:rFonts w:asciiTheme="majorBidi" w:hAnsiTheme="majorBidi" w:cstheme="majorBidi"/>
              </w:rPr>
            </w:pPr>
            <w:r w:rsidRPr="00811ADC">
              <w:rPr>
                <w:rFonts w:asciiTheme="majorBidi" w:hAnsiTheme="majorBidi" w:cstheme="majorBidi"/>
              </w:rPr>
              <w:t xml:space="preserve">Oreochromis </w:t>
            </w:r>
            <w:proofErr w:type="spellStart"/>
            <w:r w:rsidRPr="00811ADC">
              <w:rPr>
                <w:rFonts w:asciiTheme="majorBidi" w:hAnsiTheme="majorBidi" w:cstheme="majorBidi"/>
              </w:rPr>
              <w:t>niloticus</w:t>
            </w:r>
            <w:proofErr w:type="spellEnd"/>
          </w:p>
        </w:tc>
        <w:tc>
          <w:tcPr>
            <w:tcW w:w="1854" w:type="dxa"/>
          </w:tcPr>
          <w:p w14:paraId="31AFF0FD" w14:textId="77777777" w:rsidR="00C97D00" w:rsidRPr="00811ADC" w:rsidRDefault="00C97D00" w:rsidP="00B369B3">
            <w:pPr>
              <w:rPr>
                <w:rFonts w:asciiTheme="majorBidi" w:hAnsiTheme="majorBidi" w:cstheme="majorBidi"/>
              </w:rPr>
            </w:pPr>
            <w:r w:rsidRPr="00811ADC">
              <w:rPr>
                <w:rFonts w:asciiTheme="majorBidi" w:hAnsiTheme="majorBidi" w:cstheme="majorBidi"/>
              </w:rPr>
              <w:t>Chlorpyrifos (commercial)</w:t>
            </w:r>
          </w:p>
        </w:tc>
        <w:tc>
          <w:tcPr>
            <w:tcW w:w="2147" w:type="dxa"/>
          </w:tcPr>
          <w:p w14:paraId="45BCE091" w14:textId="77777777" w:rsidR="00C97D00" w:rsidRPr="00811ADC" w:rsidRDefault="00C97D00" w:rsidP="00B369B3">
            <w:pPr>
              <w:rPr>
                <w:rFonts w:asciiTheme="majorBidi" w:hAnsiTheme="majorBidi" w:cstheme="majorBidi"/>
              </w:rPr>
            </w:pPr>
            <w:r w:rsidRPr="00811ADC">
              <w:rPr>
                <w:rFonts w:asciiTheme="majorBidi" w:hAnsiTheme="majorBidi" w:cstheme="majorBidi"/>
              </w:rPr>
              <w:t>60 d sublethal lab exposures (multiple concentrations)</w:t>
            </w:r>
          </w:p>
        </w:tc>
        <w:tc>
          <w:tcPr>
            <w:tcW w:w="1610" w:type="dxa"/>
          </w:tcPr>
          <w:p w14:paraId="79FFFF87" w14:textId="77777777" w:rsidR="00C97D00" w:rsidRPr="00811ADC" w:rsidRDefault="00C97D00" w:rsidP="00B369B3">
            <w:pPr>
              <w:rPr>
                <w:rFonts w:asciiTheme="majorBidi" w:hAnsiTheme="majorBidi" w:cstheme="majorBidi"/>
              </w:rPr>
            </w:pPr>
            <w:r w:rsidRPr="00811ADC">
              <w:rPr>
                <w:rFonts w:asciiTheme="majorBidi" w:hAnsiTheme="majorBidi" w:cstheme="majorBidi"/>
              </w:rPr>
              <w:t>↑ MDA; SOD/CAT early ↑ then decline at higher doses/time</w:t>
            </w:r>
          </w:p>
        </w:tc>
        <w:tc>
          <w:tcPr>
            <w:tcW w:w="1524" w:type="dxa"/>
          </w:tcPr>
          <w:p w14:paraId="6CFACA9D" w14:textId="529283A8" w:rsidR="00C97D00" w:rsidRPr="00811ADC" w:rsidRDefault="00C97D00" w:rsidP="00B369B3">
            <w:pPr>
              <w:rPr>
                <w:rFonts w:asciiTheme="majorBidi" w:hAnsiTheme="majorBidi" w:cstheme="majorBidi"/>
              </w:rPr>
            </w:pPr>
            <w:r w:rsidRPr="00811ADC">
              <w:rPr>
                <w:rFonts w:asciiTheme="majorBidi" w:hAnsiTheme="majorBidi" w:cstheme="majorBidi"/>
              </w:rPr>
              <w:t>Increased erythrocyte nuclear abnormalities; genotoxic markers reported</w:t>
            </w:r>
          </w:p>
        </w:tc>
        <w:tc>
          <w:tcPr>
            <w:tcW w:w="1389" w:type="dxa"/>
          </w:tcPr>
          <w:p w14:paraId="7FE28D1F" w14:textId="787A4692" w:rsidR="00C97D00" w:rsidRPr="00811ADC" w:rsidRDefault="00C97D00" w:rsidP="00B369B3">
            <w:pPr>
              <w:rPr>
                <w:rFonts w:asciiTheme="majorBidi" w:hAnsiTheme="majorBidi" w:cstheme="majorBidi"/>
              </w:rPr>
            </w:pPr>
            <w:r w:rsidRPr="00811ADC">
              <w:rPr>
                <w:rFonts w:asciiTheme="majorBidi" w:hAnsiTheme="majorBidi" w:cstheme="majorBidi"/>
              </w:rPr>
              <w:t>Hossain et al., 20</w:t>
            </w:r>
            <w:r>
              <w:rPr>
                <w:rFonts w:asciiTheme="majorBidi" w:hAnsiTheme="majorBidi" w:cstheme="majorBidi"/>
              </w:rPr>
              <w:t>17</w:t>
            </w:r>
          </w:p>
        </w:tc>
      </w:tr>
      <w:tr w:rsidR="00C97D00" w:rsidRPr="00811ADC" w14:paraId="2F2A9907" w14:textId="6474B433" w:rsidTr="003957E6">
        <w:trPr>
          <w:trHeight w:val="1159"/>
          <w:jc w:val="center"/>
        </w:trPr>
        <w:tc>
          <w:tcPr>
            <w:tcW w:w="436" w:type="dxa"/>
          </w:tcPr>
          <w:p w14:paraId="4CD50FEE" w14:textId="77777777" w:rsidR="00C97D00" w:rsidRPr="00811ADC" w:rsidRDefault="00C97D00" w:rsidP="00B369B3">
            <w:pPr>
              <w:rPr>
                <w:rFonts w:asciiTheme="majorBidi" w:hAnsiTheme="majorBidi" w:cstheme="majorBidi"/>
              </w:rPr>
            </w:pPr>
            <w:r w:rsidRPr="00811ADC">
              <w:rPr>
                <w:rFonts w:asciiTheme="majorBidi" w:hAnsiTheme="majorBidi" w:cstheme="majorBidi"/>
              </w:rPr>
              <w:t>3</w:t>
            </w:r>
          </w:p>
        </w:tc>
        <w:tc>
          <w:tcPr>
            <w:tcW w:w="1511" w:type="dxa"/>
          </w:tcPr>
          <w:p w14:paraId="00E8486C" w14:textId="27E959F4" w:rsidR="00C97D00" w:rsidRPr="00811ADC" w:rsidRDefault="0062288B" w:rsidP="00B369B3">
            <w:pPr>
              <w:rPr>
                <w:rFonts w:asciiTheme="majorBidi" w:hAnsiTheme="majorBidi" w:cstheme="majorBidi"/>
              </w:rPr>
            </w:pPr>
            <w:proofErr w:type="spellStart"/>
            <w:r w:rsidRPr="0062288B">
              <w:rPr>
                <w:rFonts w:asciiTheme="majorBidi" w:hAnsiTheme="majorBidi" w:cstheme="majorBidi"/>
                <w:i/>
                <w:iCs/>
              </w:rPr>
              <w:t>Labeo</w:t>
            </w:r>
            <w:proofErr w:type="spellEnd"/>
            <w:r w:rsidRPr="0062288B">
              <w:rPr>
                <w:rFonts w:asciiTheme="majorBidi" w:hAnsiTheme="majorBidi" w:cstheme="majorBidi"/>
                <w:i/>
                <w:iCs/>
              </w:rPr>
              <w:t xml:space="preserve"> </w:t>
            </w:r>
            <w:proofErr w:type="spellStart"/>
            <w:r w:rsidRPr="0062288B">
              <w:rPr>
                <w:rFonts w:asciiTheme="majorBidi" w:hAnsiTheme="majorBidi" w:cstheme="majorBidi"/>
                <w:i/>
                <w:iCs/>
              </w:rPr>
              <w:t>rohita</w:t>
            </w:r>
            <w:proofErr w:type="spellEnd"/>
          </w:p>
        </w:tc>
        <w:tc>
          <w:tcPr>
            <w:tcW w:w="1854" w:type="dxa"/>
          </w:tcPr>
          <w:p w14:paraId="6A2F114D" w14:textId="77777777" w:rsidR="00C97D00" w:rsidRPr="00811ADC" w:rsidRDefault="00C97D00" w:rsidP="00B369B3">
            <w:pPr>
              <w:rPr>
                <w:rFonts w:asciiTheme="majorBidi" w:hAnsiTheme="majorBidi" w:cstheme="majorBidi"/>
              </w:rPr>
            </w:pPr>
            <w:r w:rsidRPr="00811ADC">
              <w:rPr>
                <w:rFonts w:asciiTheme="majorBidi" w:hAnsiTheme="majorBidi" w:cstheme="majorBidi"/>
              </w:rPr>
              <w:t>Malathion (commercial)</w:t>
            </w:r>
          </w:p>
        </w:tc>
        <w:tc>
          <w:tcPr>
            <w:tcW w:w="2147" w:type="dxa"/>
          </w:tcPr>
          <w:p w14:paraId="2AB7AE69" w14:textId="77777777" w:rsidR="00C97D00" w:rsidRPr="00811ADC" w:rsidRDefault="00C97D00" w:rsidP="00B369B3">
            <w:pPr>
              <w:rPr>
                <w:rFonts w:asciiTheme="majorBidi" w:hAnsiTheme="majorBidi" w:cstheme="majorBidi"/>
              </w:rPr>
            </w:pPr>
            <w:r w:rsidRPr="00811ADC">
              <w:rPr>
                <w:rFonts w:asciiTheme="majorBidi" w:hAnsiTheme="majorBidi" w:cstheme="majorBidi"/>
              </w:rPr>
              <w:t>Long-term/sublethal exposures (days–weeks)</w:t>
            </w:r>
          </w:p>
        </w:tc>
        <w:tc>
          <w:tcPr>
            <w:tcW w:w="1610" w:type="dxa"/>
          </w:tcPr>
          <w:p w14:paraId="63AAC59D" w14:textId="77777777" w:rsidR="00C97D00" w:rsidRPr="00811ADC" w:rsidRDefault="00C97D00" w:rsidP="00B369B3">
            <w:pPr>
              <w:rPr>
                <w:rFonts w:asciiTheme="majorBidi" w:hAnsiTheme="majorBidi" w:cstheme="majorBidi"/>
              </w:rPr>
            </w:pPr>
            <w:r w:rsidRPr="00811ADC">
              <w:rPr>
                <w:rFonts w:asciiTheme="majorBidi" w:hAnsiTheme="majorBidi" w:cstheme="majorBidi"/>
              </w:rPr>
              <w:t>↑ MDA, decreased GSH, altered SOD/CAT/</w:t>
            </w:r>
            <w:proofErr w:type="spellStart"/>
            <w:r w:rsidRPr="00811ADC">
              <w:rPr>
                <w:rFonts w:asciiTheme="majorBidi" w:hAnsiTheme="majorBidi" w:cstheme="majorBidi"/>
              </w:rPr>
              <w:t>GPx</w:t>
            </w:r>
            <w:proofErr w:type="spellEnd"/>
          </w:p>
        </w:tc>
        <w:tc>
          <w:tcPr>
            <w:tcW w:w="1524" w:type="dxa"/>
          </w:tcPr>
          <w:p w14:paraId="296BFF37" w14:textId="5BE9CB6E" w:rsidR="00C97D00" w:rsidRPr="00811ADC" w:rsidRDefault="00C97D00" w:rsidP="00B369B3">
            <w:pPr>
              <w:rPr>
                <w:rFonts w:asciiTheme="majorBidi" w:hAnsiTheme="majorBidi" w:cstheme="majorBidi"/>
              </w:rPr>
            </w:pPr>
            <w:r w:rsidRPr="00811ADC">
              <w:rPr>
                <w:rFonts w:asciiTheme="majorBidi" w:hAnsiTheme="majorBidi" w:cstheme="majorBidi"/>
              </w:rPr>
              <w:t>↑ comet DNA strand breaks; erythrocyte nuclear anomalies</w:t>
            </w:r>
          </w:p>
        </w:tc>
        <w:tc>
          <w:tcPr>
            <w:tcW w:w="1389" w:type="dxa"/>
          </w:tcPr>
          <w:p w14:paraId="6F07957E" w14:textId="2F448FF6" w:rsidR="00C97D00" w:rsidRPr="00811ADC" w:rsidRDefault="00C97D00" w:rsidP="00B369B3">
            <w:pPr>
              <w:rPr>
                <w:rFonts w:asciiTheme="majorBidi" w:hAnsiTheme="majorBidi" w:cstheme="majorBidi"/>
              </w:rPr>
            </w:pPr>
            <w:r w:rsidRPr="00811ADC">
              <w:rPr>
                <w:rFonts w:asciiTheme="majorBidi" w:hAnsiTheme="majorBidi" w:cstheme="majorBidi"/>
              </w:rPr>
              <w:t>Bharti et al., 2021</w:t>
            </w:r>
          </w:p>
        </w:tc>
      </w:tr>
      <w:tr w:rsidR="00C97D00" w:rsidRPr="00811ADC" w14:paraId="5F8E0C38" w14:textId="54C56D5F" w:rsidTr="003957E6">
        <w:trPr>
          <w:trHeight w:val="2094"/>
          <w:jc w:val="center"/>
        </w:trPr>
        <w:tc>
          <w:tcPr>
            <w:tcW w:w="436" w:type="dxa"/>
          </w:tcPr>
          <w:p w14:paraId="4F3502CE" w14:textId="77777777" w:rsidR="00C97D00" w:rsidRPr="00811ADC" w:rsidRDefault="00C97D00" w:rsidP="00B369B3">
            <w:pPr>
              <w:rPr>
                <w:rFonts w:asciiTheme="majorBidi" w:hAnsiTheme="majorBidi" w:cstheme="majorBidi"/>
              </w:rPr>
            </w:pPr>
            <w:r w:rsidRPr="00811ADC">
              <w:rPr>
                <w:rFonts w:asciiTheme="majorBidi" w:hAnsiTheme="majorBidi" w:cstheme="majorBidi"/>
              </w:rPr>
              <w:lastRenderedPageBreak/>
              <w:t>5</w:t>
            </w:r>
          </w:p>
        </w:tc>
        <w:tc>
          <w:tcPr>
            <w:tcW w:w="1511" w:type="dxa"/>
          </w:tcPr>
          <w:p w14:paraId="4885479D" w14:textId="77777777" w:rsidR="00C97D00" w:rsidRPr="00811ADC" w:rsidRDefault="00C97D00" w:rsidP="00B369B3">
            <w:pPr>
              <w:rPr>
                <w:rFonts w:asciiTheme="majorBidi" w:hAnsiTheme="majorBidi" w:cstheme="majorBidi"/>
              </w:rPr>
            </w:pPr>
            <w:r w:rsidRPr="00811ADC">
              <w:rPr>
                <w:rFonts w:asciiTheme="majorBidi" w:hAnsiTheme="majorBidi" w:cstheme="majorBidi"/>
              </w:rPr>
              <w:t>Multiple species (review)</w:t>
            </w:r>
          </w:p>
        </w:tc>
        <w:tc>
          <w:tcPr>
            <w:tcW w:w="1854" w:type="dxa"/>
          </w:tcPr>
          <w:p w14:paraId="3C1934F1" w14:textId="77777777" w:rsidR="00C97D00" w:rsidRPr="00811ADC" w:rsidRDefault="00C97D00" w:rsidP="00B369B3">
            <w:pPr>
              <w:rPr>
                <w:rFonts w:asciiTheme="majorBidi" w:hAnsiTheme="majorBidi" w:cstheme="majorBidi"/>
              </w:rPr>
            </w:pPr>
            <w:r w:rsidRPr="00811ADC">
              <w:rPr>
                <w:rFonts w:asciiTheme="majorBidi" w:hAnsiTheme="majorBidi" w:cstheme="majorBidi"/>
              </w:rPr>
              <w:t>Dimethoate (commercial)</w:t>
            </w:r>
          </w:p>
        </w:tc>
        <w:tc>
          <w:tcPr>
            <w:tcW w:w="2147" w:type="dxa"/>
          </w:tcPr>
          <w:p w14:paraId="2E10D266" w14:textId="77777777" w:rsidR="00C97D00" w:rsidRPr="00811ADC" w:rsidRDefault="00C97D00" w:rsidP="00B369B3">
            <w:pPr>
              <w:rPr>
                <w:rFonts w:asciiTheme="majorBidi" w:hAnsiTheme="majorBidi" w:cstheme="majorBidi"/>
              </w:rPr>
            </w:pPr>
            <w:r w:rsidRPr="00811ADC">
              <w:rPr>
                <w:rFonts w:asciiTheme="majorBidi" w:hAnsiTheme="majorBidi" w:cstheme="majorBidi"/>
              </w:rPr>
              <w:t>Acute/</w:t>
            </w:r>
            <w:proofErr w:type="spellStart"/>
            <w:r w:rsidRPr="00811ADC">
              <w:rPr>
                <w:rFonts w:asciiTheme="majorBidi" w:hAnsiTheme="majorBidi" w:cstheme="majorBidi"/>
              </w:rPr>
              <w:t>subchronic</w:t>
            </w:r>
            <w:proofErr w:type="spellEnd"/>
            <w:r w:rsidRPr="00811ADC">
              <w:rPr>
                <w:rFonts w:asciiTheme="majorBidi" w:hAnsiTheme="majorBidi" w:cstheme="majorBidi"/>
              </w:rPr>
              <w:t xml:space="preserve"> exposures reported across studies</w:t>
            </w:r>
          </w:p>
        </w:tc>
        <w:tc>
          <w:tcPr>
            <w:tcW w:w="1610" w:type="dxa"/>
          </w:tcPr>
          <w:p w14:paraId="56646C85" w14:textId="77777777" w:rsidR="00C97D00" w:rsidRPr="00811ADC" w:rsidRDefault="00C97D00" w:rsidP="00B369B3">
            <w:pPr>
              <w:rPr>
                <w:rFonts w:asciiTheme="majorBidi" w:hAnsiTheme="majorBidi" w:cstheme="majorBidi"/>
              </w:rPr>
            </w:pPr>
            <w:r w:rsidRPr="00811ADC">
              <w:rPr>
                <w:rFonts w:asciiTheme="majorBidi" w:hAnsiTheme="majorBidi" w:cstheme="majorBidi"/>
              </w:rPr>
              <w:t>↑ TBARS/MDA; transient SOD/CAT induction followed by inhibition; common GSH depletion</w:t>
            </w:r>
          </w:p>
        </w:tc>
        <w:tc>
          <w:tcPr>
            <w:tcW w:w="1524" w:type="dxa"/>
          </w:tcPr>
          <w:p w14:paraId="65A3FF82" w14:textId="4A03EE76" w:rsidR="00C97D00" w:rsidRPr="00811ADC" w:rsidRDefault="00C97D00" w:rsidP="00B369B3">
            <w:pPr>
              <w:rPr>
                <w:rFonts w:asciiTheme="majorBidi" w:hAnsiTheme="majorBidi" w:cstheme="majorBidi"/>
              </w:rPr>
            </w:pPr>
            <w:r w:rsidRPr="00811ADC">
              <w:rPr>
                <w:rFonts w:asciiTheme="majorBidi" w:hAnsiTheme="majorBidi" w:cstheme="majorBidi"/>
              </w:rPr>
              <w:t>MN and comet DNA damage reported in several in vivo studies</w:t>
            </w:r>
          </w:p>
        </w:tc>
        <w:tc>
          <w:tcPr>
            <w:tcW w:w="1389" w:type="dxa"/>
          </w:tcPr>
          <w:p w14:paraId="6DA16F04" w14:textId="43E73C47" w:rsidR="00C97D00" w:rsidRPr="00811ADC" w:rsidRDefault="00C97D00" w:rsidP="00B369B3">
            <w:pPr>
              <w:rPr>
                <w:rFonts w:asciiTheme="majorBidi" w:hAnsiTheme="majorBidi" w:cstheme="majorBidi"/>
              </w:rPr>
            </w:pPr>
            <w:r w:rsidRPr="00811ADC">
              <w:rPr>
                <w:rFonts w:asciiTheme="majorBidi" w:hAnsiTheme="majorBidi" w:cstheme="majorBidi"/>
              </w:rPr>
              <w:t>Silva et al., 2021 (review/data)</w:t>
            </w:r>
          </w:p>
        </w:tc>
      </w:tr>
      <w:tr w:rsidR="00C97D00" w:rsidRPr="00811ADC" w14:paraId="3CC96E1A" w14:textId="1DF2D2E3" w:rsidTr="003957E6">
        <w:trPr>
          <w:trHeight w:val="1395"/>
          <w:jc w:val="center"/>
        </w:trPr>
        <w:tc>
          <w:tcPr>
            <w:tcW w:w="436" w:type="dxa"/>
          </w:tcPr>
          <w:p w14:paraId="6777B30F" w14:textId="77777777" w:rsidR="00C97D00" w:rsidRPr="00811ADC" w:rsidRDefault="00C97D00" w:rsidP="00B369B3">
            <w:pPr>
              <w:rPr>
                <w:rFonts w:asciiTheme="majorBidi" w:hAnsiTheme="majorBidi" w:cstheme="majorBidi"/>
              </w:rPr>
            </w:pPr>
            <w:r w:rsidRPr="00811ADC">
              <w:rPr>
                <w:rFonts w:asciiTheme="majorBidi" w:hAnsiTheme="majorBidi" w:cstheme="majorBidi"/>
              </w:rPr>
              <w:t>6</w:t>
            </w:r>
          </w:p>
        </w:tc>
        <w:tc>
          <w:tcPr>
            <w:tcW w:w="1511" w:type="dxa"/>
          </w:tcPr>
          <w:p w14:paraId="56F3A27A" w14:textId="77777777" w:rsidR="00C97D00" w:rsidRPr="00811ADC" w:rsidRDefault="00C97D00" w:rsidP="00B369B3">
            <w:pPr>
              <w:rPr>
                <w:rFonts w:asciiTheme="majorBidi" w:hAnsiTheme="majorBidi" w:cstheme="majorBidi"/>
              </w:rPr>
            </w:pPr>
            <w:r w:rsidRPr="00811ADC">
              <w:rPr>
                <w:rFonts w:asciiTheme="majorBidi" w:hAnsiTheme="majorBidi" w:cstheme="majorBidi"/>
              </w:rPr>
              <w:t xml:space="preserve">Model </w:t>
            </w:r>
            <w:proofErr w:type="spellStart"/>
            <w:r w:rsidRPr="00811ADC">
              <w:rPr>
                <w:rFonts w:asciiTheme="majorBidi" w:hAnsiTheme="majorBidi" w:cstheme="majorBidi"/>
              </w:rPr>
              <w:t>teleosts</w:t>
            </w:r>
            <w:proofErr w:type="spellEnd"/>
            <w:r w:rsidRPr="00811ADC">
              <w:rPr>
                <w:rFonts w:asciiTheme="majorBidi" w:hAnsiTheme="majorBidi" w:cstheme="majorBidi"/>
              </w:rPr>
              <w:t xml:space="preserve"> (various)</w:t>
            </w:r>
          </w:p>
        </w:tc>
        <w:tc>
          <w:tcPr>
            <w:tcW w:w="1854" w:type="dxa"/>
          </w:tcPr>
          <w:p w14:paraId="5BACF9E9" w14:textId="77777777" w:rsidR="00C97D00" w:rsidRPr="00811ADC" w:rsidRDefault="00C97D00" w:rsidP="00B369B3">
            <w:pPr>
              <w:rPr>
                <w:rFonts w:asciiTheme="majorBidi" w:hAnsiTheme="majorBidi" w:cstheme="majorBidi"/>
              </w:rPr>
            </w:pPr>
            <w:r w:rsidRPr="00811ADC">
              <w:rPr>
                <w:rFonts w:asciiTheme="majorBidi" w:hAnsiTheme="majorBidi" w:cstheme="majorBidi"/>
              </w:rPr>
              <w:t>Dichlorvos (DDVP)</w:t>
            </w:r>
          </w:p>
        </w:tc>
        <w:tc>
          <w:tcPr>
            <w:tcW w:w="2147" w:type="dxa"/>
          </w:tcPr>
          <w:p w14:paraId="15FC4673" w14:textId="77777777" w:rsidR="00C97D00" w:rsidRPr="00811ADC" w:rsidRDefault="00C97D00" w:rsidP="00B369B3">
            <w:pPr>
              <w:rPr>
                <w:rFonts w:asciiTheme="majorBidi" w:hAnsiTheme="majorBidi" w:cstheme="majorBidi"/>
              </w:rPr>
            </w:pPr>
            <w:r w:rsidRPr="00811ADC">
              <w:rPr>
                <w:rFonts w:asciiTheme="majorBidi" w:hAnsiTheme="majorBidi" w:cstheme="majorBidi"/>
              </w:rPr>
              <w:t>Sublethal exposures (various studies cited)</w:t>
            </w:r>
          </w:p>
        </w:tc>
        <w:tc>
          <w:tcPr>
            <w:tcW w:w="1610" w:type="dxa"/>
          </w:tcPr>
          <w:p w14:paraId="0A276559" w14:textId="77777777" w:rsidR="00C97D00" w:rsidRPr="00811ADC" w:rsidRDefault="00C97D00" w:rsidP="00B369B3">
            <w:pPr>
              <w:rPr>
                <w:rFonts w:asciiTheme="majorBidi" w:hAnsiTheme="majorBidi" w:cstheme="majorBidi"/>
              </w:rPr>
            </w:pPr>
            <w:r w:rsidRPr="00811ADC">
              <w:rPr>
                <w:rFonts w:asciiTheme="majorBidi" w:hAnsiTheme="majorBidi" w:cstheme="majorBidi"/>
              </w:rPr>
              <w:t>↑ MDA/TBARS; altered SOD/CAT/</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 (dose/time dependent)</w:t>
            </w:r>
          </w:p>
        </w:tc>
        <w:tc>
          <w:tcPr>
            <w:tcW w:w="1524" w:type="dxa"/>
          </w:tcPr>
          <w:p w14:paraId="2467CA52" w14:textId="13C81118" w:rsidR="00C97D00" w:rsidRPr="00811ADC" w:rsidRDefault="00C97D00" w:rsidP="00B369B3">
            <w:pPr>
              <w:rPr>
                <w:rFonts w:asciiTheme="majorBidi" w:hAnsiTheme="majorBidi" w:cstheme="majorBidi"/>
              </w:rPr>
            </w:pPr>
            <w:r w:rsidRPr="00811ADC">
              <w:rPr>
                <w:rFonts w:asciiTheme="majorBidi" w:hAnsiTheme="majorBidi" w:cstheme="majorBidi"/>
              </w:rPr>
              <w:t>↑ MN frequency and DNA damage; histopathology and apoptosis reported</w:t>
            </w:r>
          </w:p>
        </w:tc>
        <w:tc>
          <w:tcPr>
            <w:tcW w:w="1389" w:type="dxa"/>
          </w:tcPr>
          <w:p w14:paraId="07BC17FE" w14:textId="19004870" w:rsidR="00C97D00" w:rsidRPr="00811ADC" w:rsidRDefault="00C97D00" w:rsidP="00B369B3">
            <w:pPr>
              <w:rPr>
                <w:rFonts w:asciiTheme="majorBidi" w:hAnsiTheme="majorBidi" w:cstheme="majorBidi"/>
              </w:rPr>
            </w:pPr>
            <w:r w:rsidRPr="00811ADC">
              <w:rPr>
                <w:rFonts w:asciiTheme="majorBidi" w:hAnsiTheme="majorBidi" w:cstheme="majorBidi"/>
              </w:rPr>
              <w:t>Trivedi et al., 2021</w:t>
            </w:r>
          </w:p>
        </w:tc>
      </w:tr>
      <w:tr w:rsidR="00C97D00" w:rsidRPr="00811ADC" w14:paraId="50D078E6" w14:textId="60C50F11" w:rsidTr="003957E6">
        <w:trPr>
          <w:trHeight w:val="1395"/>
          <w:jc w:val="center"/>
        </w:trPr>
        <w:tc>
          <w:tcPr>
            <w:tcW w:w="436" w:type="dxa"/>
          </w:tcPr>
          <w:p w14:paraId="1691ABC5" w14:textId="77777777" w:rsidR="00C97D00" w:rsidRPr="00811ADC" w:rsidRDefault="00C97D00" w:rsidP="00B369B3">
            <w:pPr>
              <w:rPr>
                <w:rFonts w:asciiTheme="majorBidi" w:hAnsiTheme="majorBidi" w:cstheme="majorBidi"/>
              </w:rPr>
            </w:pPr>
            <w:r w:rsidRPr="00811ADC">
              <w:rPr>
                <w:rFonts w:asciiTheme="majorBidi" w:hAnsiTheme="majorBidi" w:cstheme="majorBidi"/>
              </w:rPr>
              <w:t>7</w:t>
            </w:r>
          </w:p>
        </w:tc>
        <w:tc>
          <w:tcPr>
            <w:tcW w:w="1511" w:type="dxa"/>
          </w:tcPr>
          <w:p w14:paraId="1A9B4014" w14:textId="5416F63C" w:rsidR="00C97D00" w:rsidRPr="00811ADC" w:rsidRDefault="0062288B" w:rsidP="00B369B3">
            <w:pPr>
              <w:rPr>
                <w:rFonts w:asciiTheme="majorBidi" w:hAnsiTheme="majorBidi" w:cstheme="majorBidi"/>
              </w:rPr>
            </w:pPr>
            <w:proofErr w:type="spellStart"/>
            <w:r w:rsidRPr="0062288B">
              <w:rPr>
                <w:rFonts w:asciiTheme="majorBidi" w:hAnsiTheme="majorBidi" w:cstheme="majorBidi"/>
                <w:i/>
                <w:iCs/>
              </w:rPr>
              <w:t>Labeo</w:t>
            </w:r>
            <w:proofErr w:type="spellEnd"/>
            <w:r w:rsidRPr="0062288B">
              <w:rPr>
                <w:rFonts w:asciiTheme="majorBidi" w:hAnsiTheme="majorBidi" w:cstheme="majorBidi"/>
                <w:i/>
                <w:iCs/>
              </w:rPr>
              <w:t xml:space="preserve"> </w:t>
            </w:r>
            <w:proofErr w:type="spellStart"/>
            <w:r w:rsidRPr="0062288B">
              <w:rPr>
                <w:rFonts w:asciiTheme="majorBidi" w:hAnsiTheme="majorBidi" w:cstheme="majorBidi"/>
                <w:i/>
                <w:iCs/>
              </w:rPr>
              <w:t>rohita</w:t>
            </w:r>
            <w:proofErr w:type="spellEnd"/>
            <w:r w:rsidR="00C97D00" w:rsidRPr="00811ADC">
              <w:rPr>
                <w:rFonts w:asciiTheme="majorBidi" w:hAnsiTheme="majorBidi" w:cstheme="majorBidi"/>
              </w:rPr>
              <w:t xml:space="preserve"> fingerlings</w:t>
            </w:r>
          </w:p>
        </w:tc>
        <w:tc>
          <w:tcPr>
            <w:tcW w:w="1854" w:type="dxa"/>
          </w:tcPr>
          <w:p w14:paraId="50F6046C" w14:textId="77777777" w:rsidR="00C97D00" w:rsidRPr="00811ADC" w:rsidRDefault="00C97D00" w:rsidP="00B369B3">
            <w:pPr>
              <w:rPr>
                <w:rFonts w:asciiTheme="majorBidi" w:hAnsiTheme="majorBidi" w:cstheme="majorBidi"/>
              </w:rPr>
            </w:pPr>
            <w:r w:rsidRPr="00811ADC">
              <w:rPr>
                <w:rFonts w:asciiTheme="majorBidi" w:hAnsiTheme="majorBidi" w:cstheme="majorBidi"/>
              </w:rPr>
              <w:t xml:space="preserve">Chlorpyrifos + </w:t>
            </w:r>
            <w:proofErr w:type="spellStart"/>
            <w:r w:rsidRPr="00811ADC">
              <w:rPr>
                <w:rFonts w:asciiTheme="majorBidi" w:hAnsiTheme="majorBidi" w:cstheme="majorBidi"/>
              </w:rPr>
              <w:t>Endosulfan</w:t>
            </w:r>
            <w:proofErr w:type="spellEnd"/>
            <w:r w:rsidRPr="00811ADC">
              <w:rPr>
                <w:rFonts w:asciiTheme="majorBidi" w:hAnsiTheme="majorBidi" w:cstheme="majorBidi"/>
              </w:rPr>
              <w:t xml:space="preserve"> (mixture)</w:t>
            </w:r>
          </w:p>
        </w:tc>
        <w:tc>
          <w:tcPr>
            <w:tcW w:w="2147" w:type="dxa"/>
          </w:tcPr>
          <w:p w14:paraId="0914962E" w14:textId="77777777" w:rsidR="00C97D00" w:rsidRPr="00811ADC" w:rsidRDefault="00C97D00" w:rsidP="00B369B3">
            <w:pPr>
              <w:rPr>
                <w:rFonts w:asciiTheme="majorBidi" w:hAnsiTheme="majorBidi" w:cstheme="majorBidi"/>
              </w:rPr>
            </w:pPr>
            <w:r w:rsidRPr="00811ADC">
              <w:rPr>
                <w:rFonts w:asciiTheme="majorBidi" w:hAnsiTheme="majorBidi" w:cstheme="majorBidi"/>
              </w:rPr>
              <w:t>Lab sublethal exposures (days/weeks)</w:t>
            </w:r>
          </w:p>
        </w:tc>
        <w:tc>
          <w:tcPr>
            <w:tcW w:w="1610" w:type="dxa"/>
          </w:tcPr>
          <w:p w14:paraId="75D2083F" w14:textId="77777777" w:rsidR="00C97D00" w:rsidRPr="00811ADC" w:rsidRDefault="00C97D00" w:rsidP="00B369B3">
            <w:pPr>
              <w:rPr>
                <w:rFonts w:asciiTheme="majorBidi" w:hAnsiTheme="majorBidi" w:cstheme="majorBidi"/>
              </w:rPr>
            </w:pPr>
            <w:r w:rsidRPr="00811ADC">
              <w:rPr>
                <w:rFonts w:asciiTheme="majorBidi" w:hAnsiTheme="majorBidi" w:cstheme="majorBidi"/>
              </w:rPr>
              <w:t>↑ MDA; antioxidant enzyme perturbation (SOD/CAT modulated)</w:t>
            </w:r>
          </w:p>
        </w:tc>
        <w:tc>
          <w:tcPr>
            <w:tcW w:w="1524" w:type="dxa"/>
          </w:tcPr>
          <w:p w14:paraId="1593592B" w14:textId="4554F712" w:rsidR="00C97D00" w:rsidRPr="00811ADC" w:rsidRDefault="00C97D00" w:rsidP="00B369B3">
            <w:pPr>
              <w:rPr>
                <w:rFonts w:asciiTheme="majorBidi" w:hAnsiTheme="majorBidi" w:cstheme="majorBidi"/>
              </w:rPr>
            </w:pPr>
            <w:r w:rsidRPr="00811ADC">
              <w:rPr>
                <w:rFonts w:asciiTheme="majorBidi" w:hAnsiTheme="majorBidi" w:cstheme="majorBidi"/>
              </w:rPr>
              <w:t>↑ micronuclei in erythrocytes; increased comet damage</w:t>
            </w:r>
          </w:p>
        </w:tc>
        <w:tc>
          <w:tcPr>
            <w:tcW w:w="1389" w:type="dxa"/>
          </w:tcPr>
          <w:p w14:paraId="1CABAF24" w14:textId="3AE79F98"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Naz</w:t>
            </w:r>
            <w:proofErr w:type="spellEnd"/>
            <w:r w:rsidRPr="00811ADC">
              <w:rPr>
                <w:rFonts w:asciiTheme="majorBidi" w:hAnsiTheme="majorBidi" w:cstheme="majorBidi"/>
              </w:rPr>
              <w:t xml:space="preserve"> et al., 2024</w:t>
            </w:r>
          </w:p>
        </w:tc>
      </w:tr>
      <w:tr w:rsidR="00C97D00" w:rsidRPr="00811ADC" w14:paraId="1C0F4962" w14:textId="629AA8D8" w:rsidTr="003957E6">
        <w:trPr>
          <w:trHeight w:val="1868"/>
          <w:jc w:val="center"/>
        </w:trPr>
        <w:tc>
          <w:tcPr>
            <w:tcW w:w="436" w:type="dxa"/>
          </w:tcPr>
          <w:p w14:paraId="68BAE4D2" w14:textId="77777777" w:rsidR="00C97D00" w:rsidRPr="00811ADC" w:rsidRDefault="00C97D00" w:rsidP="00B369B3">
            <w:pPr>
              <w:rPr>
                <w:rFonts w:asciiTheme="majorBidi" w:hAnsiTheme="majorBidi" w:cstheme="majorBidi"/>
              </w:rPr>
            </w:pPr>
            <w:r w:rsidRPr="00811ADC">
              <w:rPr>
                <w:rFonts w:asciiTheme="majorBidi" w:hAnsiTheme="majorBidi" w:cstheme="majorBidi"/>
              </w:rPr>
              <w:t>8</w:t>
            </w:r>
          </w:p>
        </w:tc>
        <w:tc>
          <w:tcPr>
            <w:tcW w:w="1511" w:type="dxa"/>
          </w:tcPr>
          <w:p w14:paraId="637922D8" w14:textId="77777777" w:rsidR="00C97D00" w:rsidRPr="00811ADC" w:rsidRDefault="00C97D00" w:rsidP="00B369B3">
            <w:pPr>
              <w:rPr>
                <w:rFonts w:asciiTheme="majorBidi" w:hAnsiTheme="majorBidi" w:cstheme="majorBidi"/>
              </w:rPr>
            </w:pPr>
            <w:r w:rsidRPr="00811ADC">
              <w:rPr>
                <w:rFonts w:asciiTheme="majorBidi" w:hAnsiTheme="majorBidi" w:cstheme="majorBidi"/>
              </w:rPr>
              <w:t xml:space="preserve">Oreochromis </w:t>
            </w:r>
            <w:proofErr w:type="spellStart"/>
            <w:r w:rsidRPr="00811ADC">
              <w:rPr>
                <w:rFonts w:asciiTheme="majorBidi" w:hAnsiTheme="majorBidi" w:cstheme="majorBidi"/>
              </w:rPr>
              <w:t>niloticus</w:t>
            </w:r>
            <w:proofErr w:type="spellEnd"/>
          </w:p>
        </w:tc>
        <w:tc>
          <w:tcPr>
            <w:tcW w:w="1854" w:type="dxa"/>
          </w:tcPr>
          <w:p w14:paraId="393A9634" w14:textId="77777777"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Ethoprophos</w:t>
            </w:r>
            <w:proofErr w:type="spellEnd"/>
            <w:r w:rsidRPr="00811ADC">
              <w:rPr>
                <w:rFonts w:asciiTheme="majorBidi" w:hAnsiTheme="majorBidi" w:cstheme="majorBidi"/>
              </w:rPr>
              <w:t xml:space="preserve"> (OP) ± </w:t>
            </w:r>
            <w:proofErr w:type="spellStart"/>
            <w:r w:rsidRPr="00811ADC">
              <w:rPr>
                <w:rFonts w:asciiTheme="majorBidi" w:hAnsiTheme="majorBidi" w:cstheme="majorBidi"/>
              </w:rPr>
              <w:t>bispyribac</w:t>
            </w:r>
            <w:proofErr w:type="spellEnd"/>
          </w:p>
        </w:tc>
        <w:tc>
          <w:tcPr>
            <w:tcW w:w="2147" w:type="dxa"/>
          </w:tcPr>
          <w:p w14:paraId="17A12BA6" w14:textId="77777777" w:rsidR="00C97D00" w:rsidRPr="00811ADC" w:rsidRDefault="00C97D00" w:rsidP="00B369B3">
            <w:pPr>
              <w:rPr>
                <w:rFonts w:asciiTheme="majorBidi" w:hAnsiTheme="majorBidi" w:cstheme="majorBidi"/>
              </w:rPr>
            </w:pPr>
            <w:r w:rsidRPr="00811ADC">
              <w:rPr>
                <w:rFonts w:asciiTheme="majorBidi" w:hAnsiTheme="majorBidi" w:cstheme="majorBidi"/>
              </w:rPr>
              <w:t>Acute &amp; subacute lab exposures</w:t>
            </w:r>
          </w:p>
        </w:tc>
        <w:tc>
          <w:tcPr>
            <w:tcW w:w="1610" w:type="dxa"/>
          </w:tcPr>
          <w:p w14:paraId="1D144238" w14:textId="77777777" w:rsidR="00C97D00" w:rsidRPr="00811ADC" w:rsidRDefault="00C97D00" w:rsidP="00B369B3">
            <w:pPr>
              <w:rPr>
                <w:rFonts w:asciiTheme="majorBidi" w:hAnsiTheme="majorBidi" w:cstheme="majorBidi"/>
              </w:rPr>
            </w:pPr>
            <w:r w:rsidRPr="00811ADC">
              <w:rPr>
                <w:rFonts w:asciiTheme="majorBidi" w:hAnsiTheme="majorBidi" w:cstheme="majorBidi"/>
              </w:rPr>
              <w:t>Disturbed antioxidant enzyme profiles; ↑ lipid peroxidation (MDA)</w:t>
            </w:r>
          </w:p>
        </w:tc>
        <w:tc>
          <w:tcPr>
            <w:tcW w:w="1524" w:type="dxa"/>
          </w:tcPr>
          <w:p w14:paraId="2D3D19B0" w14:textId="32635CDC" w:rsidR="00C97D00" w:rsidRPr="00811ADC" w:rsidRDefault="00C97D00" w:rsidP="00B369B3">
            <w:pPr>
              <w:rPr>
                <w:rFonts w:asciiTheme="majorBidi" w:hAnsiTheme="majorBidi" w:cstheme="majorBidi"/>
              </w:rPr>
            </w:pPr>
            <w:r w:rsidRPr="00811ADC">
              <w:rPr>
                <w:rFonts w:asciiTheme="majorBidi" w:hAnsiTheme="majorBidi" w:cstheme="majorBidi"/>
              </w:rPr>
              <w:t>↑ MN frequency and other erythrocytic nuclear abnormalities (time-dependent)</w:t>
            </w:r>
          </w:p>
        </w:tc>
        <w:tc>
          <w:tcPr>
            <w:tcW w:w="1389" w:type="dxa"/>
          </w:tcPr>
          <w:p w14:paraId="7851E991" w14:textId="62E258D1" w:rsidR="00C97D00" w:rsidRPr="00811ADC" w:rsidRDefault="00C97D00" w:rsidP="00B369B3">
            <w:pPr>
              <w:rPr>
                <w:rFonts w:asciiTheme="majorBidi" w:hAnsiTheme="majorBidi" w:cstheme="majorBidi"/>
              </w:rPr>
            </w:pPr>
            <w:r w:rsidRPr="00811ADC">
              <w:rPr>
                <w:rFonts w:asciiTheme="majorBidi" w:hAnsiTheme="majorBidi" w:cstheme="majorBidi"/>
              </w:rPr>
              <w:t>El-</w:t>
            </w:r>
            <w:proofErr w:type="spellStart"/>
            <w:r w:rsidRPr="00811ADC">
              <w:rPr>
                <w:rFonts w:asciiTheme="majorBidi" w:hAnsiTheme="majorBidi" w:cstheme="majorBidi"/>
              </w:rPr>
              <w:t>Gendy</w:t>
            </w:r>
            <w:proofErr w:type="spellEnd"/>
            <w:r w:rsidRPr="00811ADC">
              <w:rPr>
                <w:rFonts w:asciiTheme="majorBidi" w:hAnsiTheme="majorBidi" w:cstheme="majorBidi"/>
              </w:rPr>
              <w:t xml:space="preserve"> et al., 2025</w:t>
            </w:r>
          </w:p>
        </w:tc>
      </w:tr>
      <w:tr w:rsidR="00C97D00" w:rsidRPr="00811ADC" w14:paraId="20319623" w14:textId="260C142E" w:rsidTr="003957E6">
        <w:trPr>
          <w:trHeight w:val="1631"/>
          <w:jc w:val="center"/>
        </w:trPr>
        <w:tc>
          <w:tcPr>
            <w:tcW w:w="436" w:type="dxa"/>
          </w:tcPr>
          <w:p w14:paraId="117F0348" w14:textId="77777777" w:rsidR="00C97D00" w:rsidRPr="00811ADC" w:rsidRDefault="00C97D00" w:rsidP="00B369B3">
            <w:pPr>
              <w:rPr>
                <w:rFonts w:asciiTheme="majorBidi" w:hAnsiTheme="majorBidi" w:cstheme="majorBidi"/>
              </w:rPr>
            </w:pPr>
            <w:r w:rsidRPr="00811ADC">
              <w:rPr>
                <w:rFonts w:asciiTheme="majorBidi" w:hAnsiTheme="majorBidi" w:cstheme="majorBidi"/>
              </w:rPr>
              <w:t>9</w:t>
            </w:r>
          </w:p>
        </w:tc>
        <w:tc>
          <w:tcPr>
            <w:tcW w:w="1511" w:type="dxa"/>
          </w:tcPr>
          <w:p w14:paraId="2C93AEE4" w14:textId="1E3194B1" w:rsidR="00C97D00" w:rsidRPr="00811ADC" w:rsidRDefault="0062288B" w:rsidP="00B369B3">
            <w:pPr>
              <w:rPr>
                <w:rFonts w:asciiTheme="majorBidi" w:hAnsiTheme="majorBidi" w:cstheme="majorBidi"/>
              </w:rPr>
            </w:pPr>
            <w:r w:rsidRPr="0062288B">
              <w:rPr>
                <w:rFonts w:asciiTheme="majorBidi" w:hAnsiTheme="majorBidi" w:cstheme="majorBidi"/>
                <w:i/>
                <w:iCs/>
              </w:rPr>
              <w:t xml:space="preserve">Cyprinus </w:t>
            </w:r>
            <w:proofErr w:type="spellStart"/>
            <w:r w:rsidRPr="0062288B">
              <w:rPr>
                <w:rFonts w:asciiTheme="majorBidi" w:hAnsiTheme="majorBidi" w:cstheme="majorBidi"/>
                <w:i/>
                <w:iCs/>
              </w:rPr>
              <w:t>carpio</w:t>
            </w:r>
            <w:proofErr w:type="spellEnd"/>
            <w:r w:rsidR="00C97D00" w:rsidRPr="00811ADC">
              <w:rPr>
                <w:rFonts w:asciiTheme="majorBidi" w:hAnsiTheme="majorBidi" w:cstheme="majorBidi"/>
              </w:rPr>
              <w:t xml:space="preserve"> (gill studies)</w:t>
            </w:r>
          </w:p>
        </w:tc>
        <w:tc>
          <w:tcPr>
            <w:tcW w:w="1854" w:type="dxa"/>
          </w:tcPr>
          <w:p w14:paraId="38A91D99" w14:textId="77777777" w:rsidR="00C97D00" w:rsidRPr="00811ADC" w:rsidRDefault="00C97D00" w:rsidP="00B369B3">
            <w:pPr>
              <w:rPr>
                <w:rFonts w:asciiTheme="majorBidi" w:hAnsiTheme="majorBidi" w:cstheme="majorBidi"/>
              </w:rPr>
            </w:pPr>
            <w:r w:rsidRPr="00811ADC">
              <w:rPr>
                <w:rFonts w:asciiTheme="majorBidi" w:hAnsiTheme="majorBidi" w:cstheme="majorBidi"/>
              </w:rPr>
              <w:t>Dimethoate</w:t>
            </w:r>
          </w:p>
        </w:tc>
        <w:tc>
          <w:tcPr>
            <w:tcW w:w="2147" w:type="dxa"/>
          </w:tcPr>
          <w:p w14:paraId="4AE135F9" w14:textId="77777777" w:rsidR="00C97D00" w:rsidRPr="00811ADC" w:rsidRDefault="00C97D00" w:rsidP="00B369B3">
            <w:pPr>
              <w:rPr>
                <w:rFonts w:asciiTheme="majorBidi" w:hAnsiTheme="majorBidi" w:cstheme="majorBidi"/>
              </w:rPr>
            </w:pPr>
            <w:r w:rsidRPr="00811ADC">
              <w:rPr>
                <w:rFonts w:asciiTheme="majorBidi" w:hAnsiTheme="majorBidi" w:cstheme="majorBidi"/>
              </w:rPr>
              <w:t>Acute (1 d) exposures (50–200 µg/L)</w:t>
            </w:r>
          </w:p>
        </w:tc>
        <w:tc>
          <w:tcPr>
            <w:tcW w:w="1610" w:type="dxa"/>
          </w:tcPr>
          <w:p w14:paraId="3CE05E8F" w14:textId="77777777" w:rsidR="00C97D00" w:rsidRPr="00811ADC" w:rsidRDefault="00C97D00" w:rsidP="00B369B3">
            <w:pPr>
              <w:rPr>
                <w:rFonts w:asciiTheme="majorBidi" w:hAnsiTheme="majorBidi" w:cstheme="majorBidi"/>
              </w:rPr>
            </w:pPr>
            <w:r w:rsidRPr="00811ADC">
              <w:rPr>
                <w:rFonts w:asciiTheme="majorBidi" w:hAnsiTheme="majorBidi" w:cstheme="majorBidi"/>
              </w:rPr>
              <w:t>Gill redox status altered: ↑ oxidative stress markers (TBARS etc.), enzyme perturbations</w:t>
            </w:r>
          </w:p>
        </w:tc>
        <w:tc>
          <w:tcPr>
            <w:tcW w:w="1524" w:type="dxa"/>
          </w:tcPr>
          <w:p w14:paraId="06986A45" w14:textId="53B656B0" w:rsidR="00C97D00" w:rsidRPr="00811ADC" w:rsidRDefault="00C97D00" w:rsidP="00B369B3">
            <w:pPr>
              <w:rPr>
                <w:rFonts w:asciiTheme="majorBidi" w:hAnsiTheme="majorBidi" w:cstheme="majorBidi"/>
              </w:rPr>
            </w:pPr>
            <w:r w:rsidRPr="00811ADC">
              <w:rPr>
                <w:rFonts w:asciiTheme="majorBidi" w:hAnsiTheme="majorBidi" w:cstheme="majorBidi"/>
              </w:rPr>
              <w:t>DNA damage endpoints in tissues (comet)</w:t>
            </w:r>
          </w:p>
        </w:tc>
        <w:tc>
          <w:tcPr>
            <w:tcW w:w="1389" w:type="dxa"/>
          </w:tcPr>
          <w:p w14:paraId="67F0AA1C" w14:textId="20763886"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Belhassen</w:t>
            </w:r>
            <w:proofErr w:type="spellEnd"/>
            <w:r w:rsidRPr="00811ADC">
              <w:rPr>
                <w:rFonts w:asciiTheme="majorBidi" w:hAnsiTheme="majorBidi" w:cstheme="majorBidi"/>
              </w:rPr>
              <w:t xml:space="preserve"> et al., 2023</w:t>
            </w:r>
          </w:p>
        </w:tc>
      </w:tr>
      <w:tr w:rsidR="00C97D00" w:rsidRPr="00811ADC" w14:paraId="5B8F55F7" w14:textId="1506D54E" w:rsidTr="003957E6">
        <w:trPr>
          <w:trHeight w:val="1395"/>
          <w:jc w:val="center"/>
        </w:trPr>
        <w:tc>
          <w:tcPr>
            <w:tcW w:w="436" w:type="dxa"/>
          </w:tcPr>
          <w:p w14:paraId="2959719E" w14:textId="77777777" w:rsidR="00C97D00" w:rsidRPr="00811ADC" w:rsidRDefault="00C97D00" w:rsidP="00B369B3">
            <w:pPr>
              <w:rPr>
                <w:rFonts w:asciiTheme="majorBidi" w:hAnsiTheme="majorBidi" w:cstheme="majorBidi"/>
              </w:rPr>
            </w:pPr>
            <w:r w:rsidRPr="00811ADC">
              <w:rPr>
                <w:rFonts w:asciiTheme="majorBidi" w:hAnsiTheme="majorBidi" w:cstheme="majorBidi"/>
              </w:rPr>
              <w:t>10</w:t>
            </w:r>
          </w:p>
        </w:tc>
        <w:tc>
          <w:tcPr>
            <w:tcW w:w="1511" w:type="dxa"/>
          </w:tcPr>
          <w:p w14:paraId="2DAAAC45" w14:textId="075EFDF8" w:rsidR="00C97D00" w:rsidRPr="00811ADC" w:rsidRDefault="0062288B" w:rsidP="00B369B3">
            <w:pPr>
              <w:rPr>
                <w:rFonts w:asciiTheme="majorBidi" w:hAnsiTheme="majorBidi" w:cstheme="majorBidi"/>
              </w:rPr>
            </w:pPr>
            <w:r w:rsidRPr="0062288B">
              <w:rPr>
                <w:rFonts w:asciiTheme="majorBidi" w:hAnsiTheme="majorBidi" w:cstheme="majorBidi"/>
                <w:i/>
                <w:iCs/>
              </w:rPr>
              <w:t xml:space="preserve">Cyprinus </w:t>
            </w:r>
            <w:proofErr w:type="spellStart"/>
            <w:r w:rsidRPr="0062288B">
              <w:rPr>
                <w:rFonts w:asciiTheme="majorBidi" w:hAnsiTheme="majorBidi" w:cstheme="majorBidi"/>
                <w:i/>
                <w:iCs/>
              </w:rPr>
              <w:t>carpio</w:t>
            </w:r>
            <w:proofErr w:type="spellEnd"/>
            <w:r w:rsidR="00C97D00" w:rsidRPr="00811ADC">
              <w:rPr>
                <w:rFonts w:asciiTheme="majorBidi" w:hAnsiTheme="majorBidi" w:cstheme="majorBidi"/>
              </w:rPr>
              <w:t xml:space="preserve"> juveniles</w:t>
            </w:r>
          </w:p>
        </w:tc>
        <w:tc>
          <w:tcPr>
            <w:tcW w:w="1854" w:type="dxa"/>
          </w:tcPr>
          <w:p w14:paraId="079FA86A" w14:textId="77777777" w:rsidR="00C97D00" w:rsidRPr="00811ADC" w:rsidRDefault="00C97D00" w:rsidP="00B369B3">
            <w:pPr>
              <w:rPr>
                <w:rFonts w:asciiTheme="majorBidi" w:hAnsiTheme="majorBidi" w:cstheme="majorBidi"/>
              </w:rPr>
            </w:pPr>
            <w:r w:rsidRPr="00811ADC">
              <w:rPr>
                <w:rFonts w:asciiTheme="majorBidi" w:hAnsiTheme="majorBidi" w:cstheme="majorBidi"/>
              </w:rPr>
              <w:t>Organophosphate pesticides (general)</w:t>
            </w:r>
          </w:p>
        </w:tc>
        <w:tc>
          <w:tcPr>
            <w:tcW w:w="2147" w:type="dxa"/>
          </w:tcPr>
          <w:p w14:paraId="130C99B7" w14:textId="77777777" w:rsidR="00C97D00" w:rsidRPr="00811ADC" w:rsidRDefault="00C97D00" w:rsidP="00B369B3">
            <w:pPr>
              <w:rPr>
                <w:rFonts w:asciiTheme="majorBidi" w:hAnsiTheme="majorBidi" w:cstheme="majorBidi"/>
              </w:rPr>
            </w:pPr>
            <w:r w:rsidRPr="00811ADC">
              <w:rPr>
                <w:rFonts w:asciiTheme="majorBidi" w:hAnsiTheme="majorBidi" w:cstheme="majorBidi"/>
              </w:rPr>
              <w:t>Experimental exposures (behavioral/genotoxic assays)</w:t>
            </w:r>
          </w:p>
        </w:tc>
        <w:tc>
          <w:tcPr>
            <w:tcW w:w="1610" w:type="dxa"/>
          </w:tcPr>
          <w:p w14:paraId="6571C597" w14:textId="77777777" w:rsidR="00C97D00" w:rsidRPr="00811ADC" w:rsidRDefault="00C97D00" w:rsidP="00B369B3">
            <w:pPr>
              <w:rPr>
                <w:rFonts w:asciiTheme="majorBidi" w:hAnsiTheme="majorBidi" w:cstheme="majorBidi"/>
              </w:rPr>
            </w:pPr>
            <w:r w:rsidRPr="00811ADC">
              <w:rPr>
                <w:rFonts w:asciiTheme="majorBidi" w:hAnsiTheme="majorBidi" w:cstheme="majorBidi"/>
              </w:rPr>
              <w:t>↑ oxidative stress markers; antioxidant defenses modulated</w:t>
            </w:r>
          </w:p>
        </w:tc>
        <w:tc>
          <w:tcPr>
            <w:tcW w:w="1524" w:type="dxa"/>
          </w:tcPr>
          <w:p w14:paraId="58B60FF7" w14:textId="4DB89141" w:rsidR="00C97D00" w:rsidRPr="00811ADC" w:rsidRDefault="00C97D00" w:rsidP="00B369B3">
            <w:pPr>
              <w:rPr>
                <w:rFonts w:asciiTheme="majorBidi" w:hAnsiTheme="majorBidi" w:cstheme="majorBidi"/>
              </w:rPr>
            </w:pPr>
            <w:r w:rsidRPr="00811ADC">
              <w:rPr>
                <w:rFonts w:asciiTheme="majorBidi" w:hAnsiTheme="majorBidi" w:cstheme="majorBidi"/>
              </w:rPr>
              <w:t>MN and comet assays: significant DNA damage correlated with exposure</w:t>
            </w:r>
          </w:p>
        </w:tc>
        <w:tc>
          <w:tcPr>
            <w:tcW w:w="1389" w:type="dxa"/>
          </w:tcPr>
          <w:p w14:paraId="1A2FFBBA" w14:textId="7263240D" w:rsidR="00C97D00" w:rsidRPr="00811ADC" w:rsidRDefault="00C97D00" w:rsidP="00B369B3">
            <w:pPr>
              <w:rPr>
                <w:rFonts w:asciiTheme="majorBidi" w:hAnsiTheme="majorBidi" w:cstheme="majorBidi"/>
              </w:rPr>
            </w:pPr>
            <w:r w:rsidRPr="00811ADC">
              <w:rPr>
                <w:rFonts w:asciiTheme="majorBidi" w:hAnsiTheme="majorBidi" w:cstheme="majorBidi"/>
              </w:rPr>
              <w:t>Khan et al., 2022</w:t>
            </w:r>
          </w:p>
        </w:tc>
      </w:tr>
      <w:tr w:rsidR="00C97D00" w:rsidRPr="00811ADC" w14:paraId="5CD4D9D4" w14:textId="0A2D132E" w:rsidTr="003957E6">
        <w:trPr>
          <w:trHeight w:val="1868"/>
          <w:jc w:val="center"/>
        </w:trPr>
        <w:tc>
          <w:tcPr>
            <w:tcW w:w="436" w:type="dxa"/>
          </w:tcPr>
          <w:p w14:paraId="24E1B967" w14:textId="77777777" w:rsidR="00C97D00" w:rsidRPr="00811ADC" w:rsidRDefault="00C97D00" w:rsidP="00B369B3">
            <w:pPr>
              <w:rPr>
                <w:rFonts w:asciiTheme="majorBidi" w:hAnsiTheme="majorBidi" w:cstheme="majorBidi"/>
              </w:rPr>
            </w:pPr>
            <w:r w:rsidRPr="00811ADC">
              <w:rPr>
                <w:rFonts w:asciiTheme="majorBidi" w:hAnsiTheme="majorBidi" w:cstheme="majorBidi"/>
              </w:rPr>
              <w:lastRenderedPageBreak/>
              <w:t>11</w:t>
            </w:r>
          </w:p>
        </w:tc>
        <w:tc>
          <w:tcPr>
            <w:tcW w:w="1511" w:type="dxa"/>
          </w:tcPr>
          <w:p w14:paraId="44B86D0D" w14:textId="77777777" w:rsidR="00C97D00" w:rsidRPr="00811ADC" w:rsidRDefault="00C97D00" w:rsidP="00B369B3">
            <w:pPr>
              <w:rPr>
                <w:rFonts w:asciiTheme="majorBidi" w:hAnsiTheme="majorBidi" w:cstheme="majorBidi"/>
              </w:rPr>
            </w:pPr>
            <w:r w:rsidRPr="00811ADC">
              <w:rPr>
                <w:rFonts w:asciiTheme="majorBidi" w:hAnsiTheme="majorBidi" w:cstheme="majorBidi"/>
              </w:rPr>
              <w:t>Multiple species (review)</w:t>
            </w:r>
          </w:p>
        </w:tc>
        <w:tc>
          <w:tcPr>
            <w:tcW w:w="1854" w:type="dxa"/>
          </w:tcPr>
          <w:p w14:paraId="723C6676" w14:textId="77777777" w:rsidR="00C97D00" w:rsidRPr="00811ADC" w:rsidRDefault="00C97D00" w:rsidP="00B369B3">
            <w:pPr>
              <w:rPr>
                <w:rFonts w:asciiTheme="majorBidi" w:hAnsiTheme="majorBidi" w:cstheme="majorBidi"/>
              </w:rPr>
            </w:pPr>
            <w:r w:rsidRPr="00811ADC">
              <w:rPr>
                <w:rFonts w:asciiTheme="majorBidi" w:hAnsiTheme="majorBidi" w:cstheme="majorBidi"/>
              </w:rPr>
              <w:t>Malathion, diazinon, chlorpyrifos, others</w:t>
            </w:r>
          </w:p>
        </w:tc>
        <w:tc>
          <w:tcPr>
            <w:tcW w:w="2147" w:type="dxa"/>
          </w:tcPr>
          <w:p w14:paraId="1233AC70" w14:textId="77777777" w:rsidR="00C97D00" w:rsidRPr="00811ADC" w:rsidRDefault="00C97D00" w:rsidP="00B369B3">
            <w:pPr>
              <w:rPr>
                <w:rFonts w:asciiTheme="majorBidi" w:hAnsiTheme="majorBidi" w:cstheme="majorBidi"/>
              </w:rPr>
            </w:pPr>
            <w:r w:rsidRPr="00811ADC">
              <w:rPr>
                <w:rFonts w:asciiTheme="majorBidi" w:hAnsiTheme="majorBidi" w:cstheme="majorBidi"/>
              </w:rPr>
              <w:t>Review of lab and field exposures</w:t>
            </w:r>
          </w:p>
        </w:tc>
        <w:tc>
          <w:tcPr>
            <w:tcW w:w="1610" w:type="dxa"/>
          </w:tcPr>
          <w:p w14:paraId="636B09FF" w14:textId="77777777" w:rsidR="00C97D00" w:rsidRPr="00811ADC" w:rsidRDefault="00C97D00" w:rsidP="00B369B3">
            <w:pPr>
              <w:rPr>
                <w:rFonts w:asciiTheme="majorBidi" w:hAnsiTheme="majorBidi" w:cstheme="majorBidi"/>
              </w:rPr>
            </w:pPr>
            <w:r w:rsidRPr="00811ADC">
              <w:rPr>
                <w:rFonts w:asciiTheme="majorBidi" w:hAnsiTheme="majorBidi" w:cstheme="majorBidi"/>
              </w:rPr>
              <w:t>Synthesis: ↑ MDA; SOD/CAT/</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 induction at low doses → decline at high/chronic; GST variable</w:t>
            </w:r>
          </w:p>
        </w:tc>
        <w:tc>
          <w:tcPr>
            <w:tcW w:w="1524" w:type="dxa"/>
          </w:tcPr>
          <w:p w14:paraId="1C6B5627" w14:textId="48293FFB" w:rsidR="00C97D00" w:rsidRPr="00811ADC" w:rsidRDefault="00C97D00" w:rsidP="00B369B3">
            <w:pPr>
              <w:rPr>
                <w:rFonts w:asciiTheme="majorBidi" w:hAnsiTheme="majorBidi" w:cstheme="majorBidi"/>
              </w:rPr>
            </w:pPr>
            <w:r w:rsidRPr="00811ADC">
              <w:rPr>
                <w:rFonts w:asciiTheme="majorBidi" w:hAnsiTheme="majorBidi" w:cstheme="majorBidi"/>
              </w:rPr>
              <w:t>MN and nuclear anomalies frequently reported across taxa</w:t>
            </w:r>
          </w:p>
        </w:tc>
        <w:tc>
          <w:tcPr>
            <w:tcW w:w="1389" w:type="dxa"/>
          </w:tcPr>
          <w:p w14:paraId="40C9CA53" w14:textId="606AE97A" w:rsidR="00C97D00" w:rsidRPr="00811ADC" w:rsidRDefault="00C97D00" w:rsidP="00B369B3">
            <w:pPr>
              <w:rPr>
                <w:rFonts w:asciiTheme="majorBidi" w:hAnsiTheme="majorBidi" w:cstheme="majorBidi"/>
              </w:rPr>
            </w:pPr>
            <w:r w:rsidRPr="00811ADC">
              <w:rPr>
                <w:rFonts w:asciiTheme="majorBidi" w:hAnsiTheme="majorBidi" w:cstheme="majorBidi"/>
              </w:rPr>
              <w:t>Khatib et al., 2022 (review)</w:t>
            </w:r>
          </w:p>
        </w:tc>
      </w:tr>
      <w:tr w:rsidR="00C97D00" w:rsidRPr="00811ADC" w14:paraId="4625F46E" w14:textId="48DFE09F" w:rsidTr="003957E6">
        <w:trPr>
          <w:trHeight w:val="1395"/>
          <w:jc w:val="center"/>
        </w:trPr>
        <w:tc>
          <w:tcPr>
            <w:tcW w:w="436" w:type="dxa"/>
          </w:tcPr>
          <w:p w14:paraId="6CB574AD" w14:textId="77777777" w:rsidR="00C97D00" w:rsidRPr="00811ADC" w:rsidRDefault="00C97D00" w:rsidP="00B369B3">
            <w:pPr>
              <w:rPr>
                <w:rFonts w:asciiTheme="majorBidi" w:hAnsiTheme="majorBidi" w:cstheme="majorBidi"/>
              </w:rPr>
            </w:pPr>
            <w:r w:rsidRPr="00811ADC">
              <w:rPr>
                <w:rFonts w:asciiTheme="majorBidi" w:hAnsiTheme="majorBidi" w:cstheme="majorBidi"/>
              </w:rPr>
              <w:t>12</w:t>
            </w:r>
          </w:p>
        </w:tc>
        <w:tc>
          <w:tcPr>
            <w:tcW w:w="1511" w:type="dxa"/>
          </w:tcPr>
          <w:p w14:paraId="1B40BFB3" w14:textId="77777777" w:rsidR="00C97D00" w:rsidRPr="00811ADC" w:rsidRDefault="00C97D00" w:rsidP="00B369B3">
            <w:pPr>
              <w:rPr>
                <w:rFonts w:asciiTheme="majorBidi" w:hAnsiTheme="majorBidi" w:cstheme="majorBidi"/>
              </w:rPr>
            </w:pPr>
            <w:r w:rsidRPr="00811ADC">
              <w:rPr>
                <w:rFonts w:asciiTheme="majorBidi" w:hAnsiTheme="majorBidi" w:cstheme="majorBidi"/>
              </w:rPr>
              <w:t>Lake trout primary gill cells (in vitro)</w:t>
            </w:r>
          </w:p>
        </w:tc>
        <w:tc>
          <w:tcPr>
            <w:tcW w:w="1854" w:type="dxa"/>
          </w:tcPr>
          <w:p w14:paraId="1E06E8FB" w14:textId="77777777" w:rsidR="00C97D00" w:rsidRPr="00811ADC" w:rsidRDefault="00C97D00" w:rsidP="00B369B3">
            <w:pPr>
              <w:rPr>
                <w:rFonts w:asciiTheme="majorBidi" w:hAnsiTheme="majorBidi" w:cstheme="majorBidi"/>
              </w:rPr>
            </w:pPr>
            <w:r w:rsidRPr="00811ADC">
              <w:rPr>
                <w:rFonts w:asciiTheme="majorBidi" w:hAnsiTheme="majorBidi" w:cstheme="majorBidi"/>
              </w:rPr>
              <w:t>Chlorpyrifos</w:t>
            </w:r>
          </w:p>
        </w:tc>
        <w:tc>
          <w:tcPr>
            <w:tcW w:w="2147" w:type="dxa"/>
          </w:tcPr>
          <w:p w14:paraId="0A24AC72" w14:textId="77777777" w:rsidR="00C97D00" w:rsidRPr="00811ADC" w:rsidRDefault="00C97D00" w:rsidP="00B369B3">
            <w:pPr>
              <w:rPr>
                <w:rFonts w:asciiTheme="majorBidi" w:hAnsiTheme="majorBidi" w:cstheme="majorBidi"/>
              </w:rPr>
            </w:pPr>
            <w:r w:rsidRPr="00811ADC">
              <w:rPr>
                <w:rFonts w:asciiTheme="majorBidi" w:hAnsiTheme="majorBidi" w:cstheme="majorBidi"/>
              </w:rPr>
              <w:t>Acute in-vitro exposures</w:t>
            </w:r>
          </w:p>
        </w:tc>
        <w:tc>
          <w:tcPr>
            <w:tcW w:w="1610" w:type="dxa"/>
          </w:tcPr>
          <w:p w14:paraId="3BF83AED" w14:textId="77777777" w:rsidR="00C97D00" w:rsidRPr="00811ADC" w:rsidRDefault="00C97D00" w:rsidP="00B369B3">
            <w:pPr>
              <w:rPr>
                <w:rFonts w:asciiTheme="majorBidi" w:hAnsiTheme="majorBidi" w:cstheme="majorBidi"/>
              </w:rPr>
            </w:pPr>
            <w:r w:rsidRPr="00811ADC">
              <w:rPr>
                <w:rFonts w:asciiTheme="majorBidi" w:hAnsiTheme="majorBidi" w:cstheme="majorBidi"/>
              </w:rPr>
              <w:t>ROS ↑; antioxidant enzymes perturbed (SOD/CAT changes)</w:t>
            </w:r>
          </w:p>
        </w:tc>
        <w:tc>
          <w:tcPr>
            <w:tcW w:w="1524" w:type="dxa"/>
          </w:tcPr>
          <w:p w14:paraId="3CF961B3" w14:textId="1662B052" w:rsidR="00C97D00" w:rsidRPr="00811ADC" w:rsidRDefault="00C97D00" w:rsidP="00B369B3">
            <w:pPr>
              <w:rPr>
                <w:rFonts w:asciiTheme="majorBidi" w:hAnsiTheme="majorBidi" w:cstheme="majorBidi"/>
              </w:rPr>
            </w:pPr>
            <w:r w:rsidRPr="00811ADC">
              <w:rPr>
                <w:rFonts w:asciiTheme="majorBidi" w:hAnsiTheme="majorBidi" w:cstheme="majorBidi"/>
              </w:rPr>
              <w:t>Comet assay: dose-dependent DNA strand breaks in cells</w:t>
            </w:r>
          </w:p>
        </w:tc>
        <w:tc>
          <w:tcPr>
            <w:tcW w:w="1389" w:type="dxa"/>
          </w:tcPr>
          <w:p w14:paraId="407F9B54" w14:textId="008BD6C0"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Oğuz</w:t>
            </w:r>
            <w:proofErr w:type="spellEnd"/>
            <w:r w:rsidRPr="00811ADC">
              <w:rPr>
                <w:rFonts w:asciiTheme="majorBidi" w:hAnsiTheme="majorBidi" w:cstheme="majorBidi"/>
              </w:rPr>
              <w:t xml:space="preserve"> et al., 2020</w:t>
            </w:r>
          </w:p>
        </w:tc>
      </w:tr>
      <w:tr w:rsidR="00C97D00" w:rsidRPr="00811ADC" w14:paraId="2B2F920E" w14:textId="095CDDD8" w:rsidTr="003957E6">
        <w:trPr>
          <w:trHeight w:val="698"/>
          <w:jc w:val="center"/>
        </w:trPr>
        <w:tc>
          <w:tcPr>
            <w:tcW w:w="436" w:type="dxa"/>
          </w:tcPr>
          <w:p w14:paraId="391F0916" w14:textId="77777777" w:rsidR="00C97D00" w:rsidRPr="00811ADC" w:rsidRDefault="00C97D00" w:rsidP="00B369B3">
            <w:pPr>
              <w:rPr>
                <w:rFonts w:asciiTheme="majorBidi" w:hAnsiTheme="majorBidi" w:cstheme="majorBidi"/>
              </w:rPr>
            </w:pPr>
            <w:r w:rsidRPr="00811ADC">
              <w:rPr>
                <w:rFonts w:asciiTheme="majorBidi" w:hAnsiTheme="majorBidi" w:cstheme="majorBidi"/>
              </w:rPr>
              <w:t>13</w:t>
            </w:r>
          </w:p>
        </w:tc>
        <w:tc>
          <w:tcPr>
            <w:tcW w:w="1511" w:type="dxa"/>
          </w:tcPr>
          <w:p w14:paraId="4EA26987" w14:textId="77777777"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Rhinella</w:t>
            </w:r>
            <w:proofErr w:type="spellEnd"/>
            <w:r w:rsidRPr="00811ADC">
              <w:rPr>
                <w:rFonts w:asciiTheme="majorBidi" w:hAnsiTheme="majorBidi" w:cstheme="majorBidi"/>
              </w:rPr>
              <w:t xml:space="preserve"> </w:t>
            </w:r>
            <w:proofErr w:type="spellStart"/>
            <w:r w:rsidRPr="00811ADC">
              <w:rPr>
                <w:rFonts w:asciiTheme="majorBidi" w:hAnsiTheme="majorBidi" w:cstheme="majorBidi"/>
              </w:rPr>
              <w:t>arenarum</w:t>
            </w:r>
            <w:proofErr w:type="spellEnd"/>
            <w:r w:rsidRPr="00811ADC">
              <w:rPr>
                <w:rFonts w:asciiTheme="majorBidi" w:hAnsiTheme="majorBidi" w:cstheme="majorBidi"/>
              </w:rPr>
              <w:t xml:space="preserve"> larvae (amphibian model)</w:t>
            </w:r>
          </w:p>
        </w:tc>
        <w:tc>
          <w:tcPr>
            <w:tcW w:w="1854" w:type="dxa"/>
          </w:tcPr>
          <w:p w14:paraId="47B72E0B" w14:textId="77777777" w:rsidR="00C97D00" w:rsidRPr="00811ADC" w:rsidRDefault="00C97D00" w:rsidP="00B369B3">
            <w:pPr>
              <w:rPr>
                <w:rFonts w:asciiTheme="majorBidi" w:hAnsiTheme="majorBidi" w:cstheme="majorBidi"/>
              </w:rPr>
            </w:pPr>
            <w:r w:rsidRPr="00811ADC">
              <w:rPr>
                <w:rFonts w:asciiTheme="majorBidi" w:hAnsiTheme="majorBidi" w:cstheme="majorBidi"/>
              </w:rPr>
              <w:t>Dimethoate</w:t>
            </w:r>
          </w:p>
        </w:tc>
        <w:tc>
          <w:tcPr>
            <w:tcW w:w="2147" w:type="dxa"/>
          </w:tcPr>
          <w:p w14:paraId="596E3935" w14:textId="77777777" w:rsidR="00C97D00" w:rsidRPr="00811ADC" w:rsidRDefault="00C97D00" w:rsidP="00B369B3">
            <w:pPr>
              <w:rPr>
                <w:rFonts w:asciiTheme="majorBidi" w:hAnsiTheme="majorBidi" w:cstheme="majorBidi"/>
              </w:rPr>
            </w:pPr>
            <w:r w:rsidRPr="00811ADC">
              <w:rPr>
                <w:rFonts w:asciiTheme="majorBidi" w:hAnsiTheme="majorBidi" w:cstheme="majorBidi"/>
              </w:rPr>
              <w:t>24–96 h sublethal exposures</w:t>
            </w:r>
          </w:p>
        </w:tc>
        <w:tc>
          <w:tcPr>
            <w:tcW w:w="1610" w:type="dxa"/>
          </w:tcPr>
          <w:p w14:paraId="74957E97" w14:textId="77777777" w:rsidR="00C97D00" w:rsidRPr="00811ADC" w:rsidRDefault="00C97D00" w:rsidP="00B369B3">
            <w:pPr>
              <w:rPr>
                <w:rFonts w:asciiTheme="majorBidi" w:hAnsiTheme="majorBidi" w:cstheme="majorBidi"/>
              </w:rPr>
            </w:pPr>
            <w:r w:rsidRPr="00811ADC">
              <w:rPr>
                <w:rFonts w:asciiTheme="majorBidi" w:hAnsiTheme="majorBidi" w:cstheme="majorBidi"/>
              </w:rPr>
              <w:t>↑ MDA / oxidative stress markers; antioxidant enzyme changes</w:t>
            </w:r>
          </w:p>
        </w:tc>
        <w:tc>
          <w:tcPr>
            <w:tcW w:w="1524" w:type="dxa"/>
          </w:tcPr>
          <w:p w14:paraId="26266CFB" w14:textId="6A360394" w:rsidR="00C97D00" w:rsidRPr="00811ADC" w:rsidRDefault="00C97D00" w:rsidP="00B369B3">
            <w:pPr>
              <w:rPr>
                <w:rFonts w:asciiTheme="majorBidi" w:hAnsiTheme="majorBidi" w:cstheme="majorBidi"/>
              </w:rPr>
            </w:pPr>
            <w:r w:rsidRPr="00811ADC">
              <w:rPr>
                <w:rFonts w:asciiTheme="majorBidi" w:hAnsiTheme="majorBidi" w:cstheme="majorBidi"/>
              </w:rPr>
              <w:t>↑ micronuclei frequency in larvae; positive comet assay</w:t>
            </w:r>
          </w:p>
        </w:tc>
        <w:tc>
          <w:tcPr>
            <w:tcW w:w="1389" w:type="dxa"/>
          </w:tcPr>
          <w:p w14:paraId="38081E33" w14:textId="0FBA26AB"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Acquaroni</w:t>
            </w:r>
            <w:proofErr w:type="spellEnd"/>
            <w:r w:rsidRPr="00811ADC">
              <w:rPr>
                <w:rFonts w:asciiTheme="majorBidi" w:hAnsiTheme="majorBidi" w:cstheme="majorBidi"/>
              </w:rPr>
              <w:t xml:space="preserve"> et al., 2021</w:t>
            </w:r>
          </w:p>
        </w:tc>
      </w:tr>
      <w:tr w:rsidR="00C97D00" w:rsidRPr="00811ADC" w14:paraId="6D827427" w14:textId="7922B0D2" w:rsidTr="003957E6">
        <w:trPr>
          <w:trHeight w:val="132"/>
          <w:jc w:val="center"/>
        </w:trPr>
        <w:tc>
          <w:tcPr>
            <w:tcW w:w="436" w:type="dxa"/>
          </w:tcPr>
          <w:p w14:paraId="5B02F7C1" w14:textId="77777777" w:rsidR="00C97D00" w:rsidRPr="00811ADC" w:rsidRDefault="00C97D00" w:rsidP="00B369B3">
            <w:pPr>
              <w:rPr>
                <w:rFonts w:asciiTheme="majorBidi" w:hAnsiTheme="majorBidi" w:cstheme="majorBidi"/>
              </w:rPr>
            </w:pPr>
            <w:r w:rsidRPr="00811ADC">
              <w:rPr>
                <w:rFonts w:asciiTheme="majorBidi" w:hAnsiTheme="majorBidi" w:cstheme="majorBidi"/>
              </w:rPr>
              <w:t>14</w:t>
            </w:r>
          </w:p>
        </w:tc>
        <w:tc>
          <w:tcPr>
            <w:tcW w:w="1511" w:type="dxa"/>
          </w:tcPr>
          <w:p w14:paraId="1CC09181" w14:textId="77777777" w:rsidR="00C97D00" w:rsidRPr="00811ADC" w:rsidRDefault="00C97D00" w:rsidP="00B369B3">
            <w:pPr>
              <w:rPr>
                <w:rFonts w:asciiTheme="majorBidi" w:hAnsiTheme="majorBidi" w:cstheme="majorBidi"/>
              </w:rPr>
            </w:pPr>
            <w:r w:rsidRPr="00811ADC">
              <w:rPr>
                <w:rFonts w:asciiTheme="majorBidi" w:hAnsiTheme="majorBidi" w:cstheme="majorBidi"/>
              </w:rPr>
              <w:t>Model freshwater fish (experimental)</w:t>
            </w:r>
          </w:p>
        </w:tc>
        <w:tc>
          <w:tcPr>
            <w:tcW w:w="1854" w:type="dxa"/>
          </w:tcPr>
          <w:p w14:paraId="229AB63E" w14:textId="77777777" w:rsidR="00C97D00" w:rsidRPr="00811ADC" w:rsidRDefault="00C97D00" w:rsidP="00B369B3">
            <w:pPr>
              <w:rPr>
                <w:rFonts w:asciiTheme="majorBidi" w:hAnsiTheme="majorBidi" w:cstheme="majorBidi"/>
              </w:rPr>
            </w:pPr>
            <w:r w:rsidRPr="00811ADC">
              <w:rPr>
                <w:rFonts w:asciiTheme="majorBidi" w:hAnsiTheme="majorBidi" w:cstheme="majorBidi"/>
              </w:rPr>
              <w:t>Chlorpyrifos</w:t>
            </w:r>
          </w:p>
        </w:tc>
        <w:tc>
          <w:tcPr>
            <w:tcW w:w="2147" w:type="dxa"/>
          </w:tcPr>
          <w:p w14:paraId="244E1ABA" w14:textId="77777777" w:rsidR="00C97D00" w:rsidRPr="00811ADC" w:rsidRDefault="00C97D00" w:rsidP="00B369B3">
            <w:pPr>
              <w:rPr>
                <w:rFonts w:asciiTheme="majorBidi" w:hAnsiTheme="majorBidi" w:cstheme="majorBidi"/>
              </w:rPr>
            </w:pPr>
            <w:r w:rsidRPr="00811ADC">
              <w:rPr>
                <w:rFonts w:asciiTheme="majorBidi" w:hAnsiTheme="majorBidi" w:cstheme="majorBidi"/>
              </w:rPr>
              <w:t>21–28 d sublethal exposures</w:t>
            </w:r>
          </w:p>
        </w:tc>
        <w:tc>
          <w:tcPr>
            <w:tcW w:w="1610" w:type="dxa"/>
          </w:tcPr>
          <w:p w14:paraId="63641FDE" w14:textId="77777777" w:rsidR="00C97D00" w:rsidRPr="00811ADC" w:rsidRDefault="00C97D00" w:rsidP="00B369B3">
            <w:pPr>
              <w:rPr>
                <w:rFonts w:asciiTheme="majorBidi" w:hAnsiTheme="majorBidi" w:cstheme="majorBidi"/>
              </w:rPr>
            </w:pPr>
            <w:r w:rsidRPr="00811ADC">
              <w:rPr>
                <w:rFonts w:asciiTheme="majorBidi" w:hAnsiTheme="majorBidi" w:cstheme="majorBidi"/>
              </w:rPr>
              <w:t>↓ total protein; ↑ MDA; antioxidant enzyme perturbation; mitigation reduced oxidative markers</w:t>
            </w:r>
          </w:p>
        </w:tc>
        <w:tc>
          <w:tcPr>
            <w:tcW w:w="1524" w:type="dxa"/>
          </w:tcPr>
          <w:p w14:paraId="132780BC" w14:textId="2CCEA33D" w:rsidR="00C97D00" w:rsidRPr="00811ADC" w:rsidRDefault="00C97D00" w:rsidP="00B369B3">
            <w:pPr>
              <w:rPr>
                <w:rFonts w:asciiTheme="majorBidi" w:hAnsiTheme="majorBidi" w:cstheme="majorBidi"/>
              </w:rPr>
            </w:pPr>
            <w:r w:rsidRPr="00811ADC">
              <w:rPr>
                <w:rFonts w:asciiTheme="majorBidi" w:hAnsiTheme="majorBidi" w:cstheme="majorBidi"/>
              </w:rPr>
              <w:t>Chlorpyrifos induced micronuclei; plant extracts reduced MN (mitigation)</w:t>
            </w:r>
          </w:p>
        </w:tc>
        <w:tc>
          <w:tcPr>
            <w:tcW w:w="1389" w:type="dxa"/>
          </w:tcPr>
          <w:p w14:paraId="5717663D" w14:textId="736A3A52" w:rsidR="00C97D00" w:rsidRPr="00811ADC" w:rsidRDefault="00C97D00" w:rsidP="00B369B3">
            <w:pPr>
              <w:rPr>
                <w:rFonts w:asciiTheme="majorBidi" w:hAnsiTheme="majorBidi" w:cstheme="majorBidi"/>
              </w:rPr>
            </w:pPr>
            <w:r w:rsidRPr="00811ADC">
              <w:rPr>
                <w:rFonts w:asciiTheme="majorBidi" w:hAnsiTheme="majorBidi" w:cstheme="majorBidi"/>
              </w:rPr>
              <w:t>Tiwari et al., 2024</w:t>
            </w:r>
          </w:p>
        </w:tc>
      </w:tr>
    </w:tbl>
    <w:p w14:paraId="474F4397" w14:textId="77777777" w:rsidR="00B369B3" w:rsidRPr="00811ADC" w:rsidRDefault="00B369B3" w:rsidP="00B369B3">
      <w:pPr>
        <w:rPr>
          <w:rFonts w:asciiTheme="majorBidi" w:hAnsiTheme="majorBidi" w:cstheme="majorBidi"/>
        </w:rPr>
      </w:pPr>
    </w:p>
    <w:p w14:paraId="40B28B4D" w14:textId="77777777" w:rsidR="003A54C0" w:rsidRPr="00811ADC" w:rsidRDefault="003A54C0" w:rsidP="00B369B3">
      <w:pPr>
        <w:spacing w:line="240" w:lineRule="auto"/>
        <w:jc w:val="both"/>
        <w:rPr>
          <w:rFonts w:asciiTheme="majorBidi" w:hAnsiTheme="majorBidi" w:cstheme="majorBidi"/>
          <w:b/>
          <w:bCs/>
          <w:sz w:val="22"/>
          <w:szCs w:val="22"/>
        </w:rPr>
      </w:pPr>
    </w:p>
    <w:p w14:paraId="74D04A73" w14:textId="7939FD2C" w:rsidR="00B369B3" w:rsidRPr="00811ADC" w:rsidRDefault="00B369B3" w:rsidP="003A54C0">
      <w:pPr>
        <w:spacing w:line="360" w:lineRule="auto"/>
        <w:jc w:val="both"/>
        <w:rPr>
          <w:rFonts w:asciiTheme="majorBidi" w:hAnsiTheme="majorBidi" w:cstheme="majorBidi"/>
          <w:b/>
          <w:bCs/>
        </w:rPr>
      </w:pPr>
      <w:r w:rsidRPr="00811ADC">
        <w:rPr>
          <w:rFonts w:asciiTheme="majorBidi" w:hAnsiTheme="majorBidi" w:cstheme="majorBidi"/>
          <w:b/>
          <w:bCs/>
        </w:rPr>
        <w:t>Species-Specific and Experimental Variability</w:t>
      </w:r>
    </w:p>
    <w:p w14:paraId="0499C746" w14:textId="0DB9BFC1"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color w:val="000000" w:themeColor="text1"/>
        </w:rPr>
        <w:t>Species-specific and experimental variability strongly shapes oxidative and cytogenetic outcomes after organophosphate exposure, and must be treated as central — not</w:t>
      </w:r>
      <w:r w:rsidRPr="00811ADC">
        <w:rPr>
          <w:rFonts w:asciiTheme="majorBidi" w:hAnsiTheme="majorBidi" w:cstheme="majorBidi"/>
        </w:rPr>
        <w:t xml:space="preserve"> peripheral — when designing studies, comparing results, or building biomonitoring programs. Different teleost species differ in uptake, metabolism, antioxidant capacity and erythropoiesis, producing widely divergent biomarker magnitudes and recovery trajectories even under the same nominal exposure. For </w:t>
      </w:r>
      <w:r w:rsidRPr="00811ADC">
        <w:rPr>
          <w:rFonts w:asciiTheme="majorBidi" w:hAnsiTheme="majorBidi" w:cstheme="majorBidi"/>
        </w:rPr>
        <w:lastRenderedPageBreak/>
        <w:t xml:space="preserve">example, measured retention of OPs in edible tissues varied markedly between compounds in juvenile common carp: </w:t>
      </w:r>
      <w:proofErr w:type="spellStart"/>
      <w:r w:rsidRPr="00811ADC">
        <w:rPr>
          <w:rFonts w:asciiTheme="majorBidi" w:hAnsiTheme="majorBidi" w:cstheme="majorBidi"/>
        </w:rPr>
        <w:t>Qayoom</w:t>
      </w:r>
      <w:proofErr w:type="spellEnd"/>
      <w:r w:rsidRPr="00811ADC">
        <w:rPr>
          <w:rFonts w:asciiTheme="majorBidi" w:hAnsiTheme="majorBidi" w:cstheme="majorBidi"/>
        </w:rPr>
        <w:t xml:space="preserve"> et al. (2024) found that dimethoate was detectable and bioaccumulated in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 xml:space="preserve"> muscle at the tested concentrations, whereas chlorpyrifos was below detection limits under the same LC₅₀ exposure regime — an outcome that demonstrates that two OPs with the same “class” label can differ greatly in tissue retention and therefore in potential to drive systemic oxidative/genotoxic responses</w:t>
      </w:r>
      <w:r w:rsidR="00F26AAA">
        <w:rPr>
          <w:rFonts w:asciiTheme="majorBidi" w:hAnsiTheme="majorBidi" w:cstheme="majorBidi"/>
        </w:rPr>
        <w:t xml:space="preserve"> (</w:t>
      </w:r>
      <w:proofErr w:type="spellStart"/>
      <w:r w:rsidR="00F26AAA">
        <w:rPr>
          <w:rFonts w:asciiTheme="majorBidi" w:hAnsiTheme="majorBidi" w:cstheme="majorBidi"/>
        </w:rPr>
        <w:t>Qayoom</w:t>
      </w:r>
      <w:proofErr w:type="spellEnd"/>
      <w:r w:rsidR="00F26AAA">
        <w:rPr>
          <w:rFonts w:asciiTheme="majorBidi" w:hAnsiTheme="majorBidi" w:cstheme="majorBidi"/>
        </w:rPr>
        <w:t xml:space="preserve"> et al., 2024)</w:t>
      </w:r>
      <w:r w:rsidRPr="00811ADC">
        <w:rPr>
          <w:rFonts w:asciiTheme="majorBidi" w:hAnsiTheme="majorBidi" w:cstheme="majorBidi"/>
        </w:rPr>
        <w:t xml:space="preserve">. </w:t>
      </w:r>
    </w:p>
    <w:p w14:paraId="1A7E7A56" w14:textId="61CCEE67"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Sensitivity and biomarker signal size are often species-dependent and life-stage dependent. Laboratory LC₅₀ and sublethal tests illustrate the point with concrete numbers: Hossain et al. (2022) reported a 96-h LC₅₀ for chlorpyrifos in Nile tilapia (Oreochromis </w:t>
      </w:r>
      <w:proofErr w:type="spellStart"/>
      <w:r w:rsidRPr="00811ADC">
        <w:rPr>
          <w:rFonts w:asciiTheme="majorBidi" w:hAnsiTheme="majorBidi" w:cstheme="majorBidi"/>
        </w:rPr>
        <w:t>niloticus</w:t>
      </w:r>
      <w:proofErr w:type="spellEnd"/>
      <w:r w:rsidRPr="00811ADC">
        <w:rPr>
          <w:rFonts w:asciiTheme="majorBidi" w:hAnsiTheme="majorBidi" w:cstheme="majorBidi"/>
        </w:rPr>
        <w:t xml:space="preserve">) of ≈46.8 µg·L⁻¹ and found clear hematological and tissue impacts at sublethal treatments (8, 16, 32 µg·L⁻¹) over 60 days, including depressed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and elevated MDA and histopathology in liver and gill. By contrast, freshwater silver barb (</w:t>
      </w:r>
      <w:proofErr w:type="spellStart"/>
      <w:r w:rsidRPr="00F26AAA">
        <w:rPr>
          <w:rFonts w:asciiTheme="majorBidi" w:hAnsiTheme="majorBidi" w:cstheme="majorBidi"/>
          <w:i/>
          <w:iCs/>
        </w:rPr>
        <w:t>Barbonymus</w:t>
      </w:r>
      <w:proofErr w:type="spellEnd"/>
      <w:r w:rsidRPr="00F26AAA">
        <w:rPr>
          <w:rFonts w:asciiTheme="majorBidi" w:hAnsiTheme="majorBidi" w:cstheme="majorBidi"/>
          <w:i/>
          <w:iCs/>
        </w:rPr>
        <w:t xml:space="preserve"> </w:t>
      </w:r>
      <w:proofErr w:type="spellStart"/>
      <w:r w:rsidRPr="00F26AAA">
        <w:rPr>
          <w:rFonts w:asciiTheme="majorBidi" w:hAnsiTheme="majorBidi" w:cstheme="majorBidi"/>
          <w:i/>
          <w:iCs/>
        </w:rPr>
        <w:t>gonionotus</w:t>
      </w:r>
      <w:proofErr w:type="spellEnd"/>
      <w:r w:rsidRPr="00811ADC">
        <w:rPr>
          <w:rFonts w:asciiTheme="majorBidi" w:hAnsiTheme="majorBidi" w:cstheme="majorBidi"/>
        </w:rPr>
        <w:t xml:space="preserve">) exposed to malathion in </w:t>
      </w:r>
      <w:proofErr w:type="spellStart"/>
      <w:r w:rsidRPr="00811ADC">
        <w:rPr>
          <w:rFonts w:asciiTheme="majorBidi" w:hAnsiTheme="majorBidi" w:cstheme="majorBidi"/>
        </w:rPr>
        <w:t>Mrong</w:t>
      </w:r>
      <w:proofErr w:type="spellEnd"/>
      <w:r w:rsidRPr="00811ADC">
        <w:rPr>
          <w:rFonts w:asciiTheme="majorBidi" w:hAnsiTheme="majorBidi" w:cstheme="majorBidi"/>
        </w:rPr>
        <w:t xml:space="preserve"> et al. (2021) were treated at substantially higher sublethal concentrations (3.78 and 7.56 ppm, i.e., 25% and 50% of a 15.13 ppm LC₅₀) and exhibited pronounced MN increases and depressed antioxidant enzymes with a measurable partial recovery during a 28-day depuration period; this demonstrates both inter-species differences and that the </w:t>
      </w:r>
      <w:r w:rsidRPr="00811ADC">
        <w:rPr>
          <w:rFonts w:asciiTheme="majorBidi" w:hAnsiTheme="majorBidi" w:cstheme="majorBidi"/>
          <w:i/>
          <w:iCs/>
        </w:rPr>
        <w:t>absolute</w:t>
      </w:r>
      <w:r w:rsidRPr="00811ADC">
        <w:rPr>
          <w:rFonts w:asciiTheme="majorBidi" w:hAnsiTheme="majorBidi" w:cstheme="majorBidi"/>
        </w:rPr>
        <w:t xml:space="preserve"> exposure (µg·L⁻¹ vs mg·L⁻¹) matters when comparing effect magnitudes. </w:t>
      </w:r>
    </w:p>
    <w:p w14:paraId="0127E7AC" w14:textId="0DE2DB49"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Field studies emphasize that species differences interact with environmental exposure complexity to produce large variation in biomarker outcomes. In riverine field work on the Teesta River, Dutta et al. (2024) reported 4–10× higher micronucleus (MN) frequencies and ~16× higher %Tail DNA in gill comet assays in </w:t>
      </w:r>
      <w:proofErr w:type="spellStart"/>
      <w:r w:rsidRPr="00F26AAA">
        <w:rPr>
          <w:rFonts w:asciiTheme="majorBidi" w:hAnsiTheme="majorBidi" w:cstheme="majorBidi"/>
          <w:i/>
          <w:iCs/>
        </w:rPr>
        <w:t>Pethia</w:t>
      </w:r>
      <w:proofErr w:type="spellEnd"/>
      <w:r w:rsidRPr="00F26AAA">
        <w:rPr>
          <w:rFonts w:asciiTheme="majorBidi" w:hAnsiTheme="majorBidi" w:cstheme="majorBidi"/>
          <w:i/>
          <w:iCs/>
        </w:rPr>
        <w:t xml:space="preserve"> </w:t>
      </w:r>
      <w:proofErr w:type="spellStart"/>
      <w:r w:rsidRPr="00F26AAA">
        <w:rPr>
          <w:rFonts w:asciiTheme="majorBidi" w:hAnsiTheme="majorBidi" w:cstheme="majorBidi"/>
          <w:i/>
          <w:iCs/>
        </w:rPr>
        <w:t>conchonius</w:t>
      </w:r>
      <w:proofErr w:type="spellEnd"/>
      <w:r w:rsidRPr="00811ADC">
        <w:rPr>
          <w:rFonts w:asciiTheme="majorBidi" w:hAnsiTheme="majorBidi" w:cstheme="majorBidi"/>
        </w:rPr>
        <w:t xml:space="preserve"> from contaminated sites versus an upstream reference — yet the same study showed that the pattern of enzyme responses (SOD/CAT/GST) and gene expression was tissue- and site-specific, driven by a mixture of detected insecticides (imidacloprid, </w:t>
      </w:r>
      <w:r w:rsidRPr="00811ADC">
        <w:rPr>
          <w:rFonts w:asciiTheme="majorBidi" w:hAnsiTheme="majorBidi" w:cstheme="majorBidi"/>
        </w:rPr>
        <w:lastRenderedPageBreak/>
        <w:t xml:space="preserve">chlorpyrifos, pyrethroids) and seasonal spraying patterns. In short: the same species in different sites or seasons produced quantitatively different oxidative and genotoxic profiles because of different chemical mixtures, pulses of runoff, and background water chemistry. </w:t>
      </w:r>
    </w:p>
    <w:p w14:paraId="72EF6E53" w14:textId="2B0D3C35" w:rsidR="00B369B3" w:rsidRPr="00811ADC" w:rsidRDefault="00F26AAA" w:rsidP="003A54C0">
      <w:pPr>
        <w:spacing w:line="360" w:lineRule="auto"/>
        <w:jc w:val="both"/>
        <w:rPr>
          <w:rFonts w:asciiTheme="majorBidi" w:hAnsiTheme="majorBidi" w:cstheme="majorBidi"/>
        </w:rPr>
      </w:pPr>
      <w:r>
        <w:rPr>
          <w:rFonts w:asciiTheme="majorBidi" w:hAnsiTheme="majorBidi" w:cstheme="majorBidi"/>
        </w:rPr>
        <w:t>A</w:t>
      </w:r>
      <w:r w:rsidR="00B369B3" w:rsidRPr="00811ADC">
        <w:rPr>
          <w:rFonts w:asciiTheme="majorBidi" w:hAnsiTheme="majorBidi" w:cstheme="majorBidi"/>
        </w:rPr>
        <w:t xml:space="preserve">cute versus chronic exposure regimes produce qualitatively different biomarker dynamics and thus cannot be lumped together. Acute exposures (hours → days) frequently cause rapid </w:t>
      </w:r>
      <w:proofErr w:type="spellStart"/>
      <w:r w:rsidR="00B369B3" w:rsidRPr="00811ADC">
        <w:rPr>
          <w:rFonts w:asciiTheme="majorBidi" w:hAnsiTheme="majorBidi" w:cstheme="majorBidi"/>
        </w:rPr>
        <w:t>AChE</w:t>
      </w:r>
      <w:proofErr w:type="spellEnd"/>
      <w:r w:rsidR="00B369B3" w:rsidRPr="00811ADC">
        <w:rPr>
          <w:rFonts w:asciiTheme="majorBidi" w:hAnsiTheme="majorBidi" w:cstheme="majorBidi"/>
        </w:rPr>
        <w:t xml:space="preserve"> inhibition, transient increases in ROS and a compensatory up-regulation of SOD/CAT/</w:t>
      </w:r>
      <w:proofErr w:type="spellStart"/>
      <w:r w:rsidR="00B369B3" w:rsidRPr="00811ADC">
        <w:rPr>
          <w:rFonts w:asciiTheme="majorBidi" w:hAnsiTheme="majorBidi" w:cstheme="majorBidi"/>
        </w:rPr>
        <w:t>GPx</w:t>
      </w:r>
      <w:proofErr w:type="spellEnd"/>
      <w:r w:rsidR="00B369B3" w:rsidRPr="00811ADC">
        <w:rPr>
          <w:rFonts w:asciiTheme="majorBidi" w:hAnsiTheme="majorBidi" w:cstheme="majorBidi"/>
        </w:rPr>
        <w:t xml:space="preserve"> (an early adaptive response). If exposure is removed quickly, antioxidant systems often recover and cytogenetic endpoints (MN frequency, comet tail metrics) may remain low or return to baseline. Conversely, chronic low-to-moderate exposures (weeks → months) typically shift the pattern toward progressive GSH depletion, enzyme inhibition (SOD/CAT/</w:t>
      </w:r>
      <w:proofErr w:type="spellStart"/>
      <w:r w:rsidR="00B369B3" w:rsidRPr="00811ADC">
        <w:rPr>
          <w:rFonts w:asciiTheme="majorBidi" w:hAnsiTheme="majorBidi" w:cstheme="majorBidi"/>
        </w:rPr>
        <w:t>GPx</w:t>
      </w:r>
      <w:proofErr w:type="spellEnd"/>
      <w:r w:rsidR="00B369B3" w:rsidRPr="00811ADC">
        <w:rPr>
          <w:rFonts w:asciiTheme="majorBidi" w:hAnsiTheme="majorBidi" w:cstheme="majorBidi"/>
        </w:rPr>
        <w:t xml:space="preserve"> decline), sustained elevation of MDA/TBARS, and cumulative accrual of DNA lesions (increasing MN frequency and comet damage). </w:t>
      </w:r>
      <w:proofErr w:type="spellStart"/>
      <w:r w:rsidR="00B369B3" w:rsidRPr="00811ADC">
        <w:rPr>
          <w:rFonts w:asciiTheme="majorBidi" w:hAnsiTheme="majorBidi" w:cstheme="majorBidi"/>
        </w:rPr>
        <w:t>Mrong</w:t>
      </w:r>
      <w:proofErr w:type="spellEnd"/>
      <w:r w:rsidR="00B369B3" w:rsidRPr="00811ADC">
        <w:rPr>
          <w:rFonts w:asciiTheme="majorBidi" w:hAnsiTheme="majorBidi" w:cstheme="majorBidi"/>
        </w:rPr>
        <w:t xml:space="preserve"> et al. exemplify this: 28-day malathion exposures produced depressed antioxidant activities and marked MN increases that only partially reversed after a 28-day clean-water recovery — a recovery pattern that would be invisible in a short acute test. Silva and multi-study reviews also report this biphasic/temporal behavior consistently across OPs. </w:t>
      </w:r>
    </w:p>
    <w:p w14:paraId="666852DF" w14:textId="16CB18C7" w:rsidR="00B369B3" w:rsidRPr="00811ADC" w:rsidRDefault="00F26AAA" w:rsidP="003A54C0">
      <w:pPr>
        <w:spacing w:line="360" w:lineRule="auto"/>
        <w:jc w:val="both"/>
        <w:rPr>
          <w:rFonts w:asciiTheme="majorBidi" w:hAnsiTheme="majorBidi" w:cstheme="majorBidi"/>
        </w:rPr>
      </w:pPr>
      <w:r>
        <w:rPr>
          <w:rFonts w:asciiTheme="majorBidi" w:hAnsiTheme="majorBidi" w:cstheme="majorBidi"/>
        </w:rPr>
        <w:t>W</w:t>
      </w:r>
      <w:r w:rsidR="00B369B3" w:rsidRPr="00811ADC">
        <w:rPr>
          <w:rFonts w:asciiTheme="majorBidi" w:hAnsiTheme="majorBidi" w:cstheme="majorBidi"/>
        </w:rPr>
        <w:t xml:space="preserve">ater chemistry, temperature and formulation (technical grade vs commercial formulation, solvent/carrier presence, adjuvants) strongly modulate exposure bioavailability and internal dose, and thereby biomarker results. Dutta et al. (2024) documented seasonal spikes in contamination (pre- and post-monsoon) that corresponded to larger oxidative and genotoxic signals in fish; this demonstrates that runoff timing and hydrology influence when populations show the strongest biomarker responses. Salinity, hardness and pH alter OP speciation and gill </w:t>
      </w:r>
      <w:proofErr w:type="spellStart"/>
      <w:r w:rsidR="00B369B3" w:rsidRPr="00811ADC">
        <w:rPr>
          <w:rFonts w:asciiTheme="majorBidi" w:hAnsiTheme="majorBidi" w:cstheme="majorBidi"/>
        </w:rPr>
        <w:t>ionoregulatory</w:t>
      </w:r>
      <w:proofErr w:type="spellEnd"/>
      <w:r w:rsidR="00B369B3" w:rsidRPr="00811ADC">
        <w:rPr>
          <w:rFonts w:asciiTheme="majorBidi" w:hAnsiTheme="majorBidi" w:cstheme="majorBidi"/>
        </w:rPr>
        <w:t xml:space="preserve"> stress — </w:t>
      </w:r>
      <w:proofErr w:type="spellStart"/>
      <w:r w:rsidR="00B369B3" w:rsidRPr="00811ADC">
        <w:rPr>
          <w:rFonts w:asciiTheme="majorBidi" w:hAnsiTheme="majorBidi" w:cstheme="majorBidi"/>
        </w:rPr>
        <w:t>Belhassen</w:t>
      </w:r>
      <w:proofErr w:type="spellEnd"/>
      <w:r w:rsidR="00B369B3" w:rsidRPr="00811ADC">
        <w:rPr>
          <w:rFonts w:asciiTheme="majorBidi" w:hAnsiTheme="majorBidi" w:cstheme="majorBidi"/>
        </w:rPr>
        <w:t xml:space="preserve"> and similar gill studies show that even short (24 h) exposures to </w:t>
      </w:r>
      <w:r w:rsidR="00B369B3" w:rsidRPr="00811ADC">
        <w:rPr>
          <w:rFonts w:asciiTheme="majorBidi" w:hAnsiTheme="majorBidi" w:cstheme="majorBidi"/>
        </w:rPr>
        <w:lastRenderedPageBreak/>
        <w:t>dimethoate at 50–200 µg·L⁻¹ elicit measurable increases in gill TBARS and enzyme perturbations, but the magnitude and direction of SOD/CAT responses varied with the exposure concentration and test water conditions, underlining the context dependence of biomarker readouts. Finally, commercial formulations often contain solvents or surfactants that increase uptake (or add their own toxicity), so comparing “malathion 50% technical” with “</w:t>
      </w:r>
      <w:proofErr w:type="spellStart"/>
      <w:r w:rsidR="00B369B3" w:rsidRPr="00811ADC">
        <w:rPr>
          <w:rFonts w:asciiTheme="majorBidi" w:hAnsiTheme="majorBidi" w:cstheme="majorBidi"/>
        </w:rPr>
        <w:t>Sumithion</w:t>
      </w:r>
      <w:proofErr w:type="spellEnd"/>
      <w:r w:rsidR="00B369B3" w:rsidRPr="00811ADC">
        <w:rPr>
          <w:rFonts w:asciiTheme="majorBidi" w:hAnsiTheme="majorBidi" w:cstheme="majorBidi"/>
        </w:rPr>
        <w:t>® 50% EC” without noting formulation will confound interpretation.</w:t>
      </w:r>
    </w:p>
    <w:p w14:paraId="4B402FF8" w14:textId="1A216E12"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 Field exposures are rarely to a single OP; Dutta et al. found mixtures of neonicotinoids, pyrethroids and OPs that together produced stronger oxidative and genotoxic signatures than expected from single-compound tests — and laboratory mixture studies (e.g., </w:t>
      </w:r>
      <w:proofErr w:type="spellStart"/>
      <w:r w:rsidRPr="00811ADC">
        <w:rPr>
          <w:rFonts w:asciiTheme="majorBidi" w:hAnsiTheme="majorBidi" w:cstheme="majorBidi"/>
        </w:rPr>
        <w:t>chlorpyrifos+endosulfan</w:t>
      </w:r>
      <w:proofErr w:type="spellEnd"/>
      <w:r w:rsidRPr="00811ADC">
        <w:rPr>
          <w:rFonts w:asciiTheme="majorBidi" w:hAnsiTheme="majorBidi" w:cstheme="majorBidi"/>
        </w:rPr>
        <w:t xml:space="preserve">, or malathion combined with other pesticides) often report additive or synergistic increases in MDA and MN frequencies. These mixture effects mean that species ranking for “tolerance” in single-compound tests can be misleading when real-world chemical cocktails exist. </w:t>
      </w:r>
    </w:p>
    <w:p w14:paraId="787D19B4" w14:textId="5C928E0D"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 Because of the large species- and context-dependent variability shown above, meaningful interpretation requires (1) species- and population-specific baseline datasets (hematology, enzyme activities, MN background frequency) gathered under the local water-chemistry and temperature regime; (2) reporting of </w:t>
      </w:r>
      <w:r w:rsidRPr="00811ADC">
        <w:rPr>
          <w:rFonts w:asciiTheme="majorBidi" w:hAnsiTheme="majorBidi" w:cstheme="majorBidi"/>
          <w:i/>
          <w:iCs/>
        </w:rPr>
        <w:t>measured</w:t>
      </w:r>
      <w:r w:rsidRPr="00811ADC">
        <w:rPr>
          <w:rFonts w:asciiTheme="majorBidi" w:hAnsiTheme="majorBidi" w:cstheme="majorBidi"/>
        </w:rPr>
        <w:t xml:space="preserve"> exposure concentrations (analytical verification) rather than only nominal doses; (3) uniform assay reporting (units, protein normalization, method references) — for example, enzyme activities in U·mg⁻¹ protein or as fold-change vs time-matched controls, MDA as nmol·mg⁻¹ protein (or fold-change), and MN per 1000 erythrocytes; and (4) explicit life-stage and season metadata (juvenile vs adult, pre/post-monsoon sampling, acclimation temperature). Method and review papers emphasize these points and provide scoring guidelines for MN tests and recommendations for sample handling to reduce artificial oxidation during processing. Without this standardized metadata, </w:t>
      </w:r>
      <w:r w:rsidRPr="00811ADC">
        <w:rPr>
          <w:rFonts w:asciiTheme="majorBidi" w:hAnsiTheme="majorBidi" w:cstheme="majorBidi"/>
        </w:rPr>
        <w:lastRenderedPageBreak/>
        <w:t xml:space="preserve">meta-analysis across studies will be dominated by heterogeneity and will underestimate true effect sizes. </w:t>
      </w:r>
    </w:p>
    <w:p w14:paraId="724FFBB5" w14:textId="77777777"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recommended reporting checklist (practical, short):</w:t>
      </w:r>
    </w:p>
    <w:p w14:paraId="01784F8F"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species (scientific name), life stage and mean length/weight;</w:t>
      </w:r>
    </w:p>
    <w:p w14:paraId="7F90DDB6"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exposure regime (nominal and measured concentration, units, duration, renewal method);</w:t>
      </w:r>
    </w:p>
    <w:p w14:paraId="73969B3B"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water chemistry at test time (temperature, pH, hardness, dissolved oxygen, salinity);</w:t>
      </w:r>
    </w:p>
    <w:p w14:paraId="73CE256F"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formulation details (technical vs commercial; surfactants/solvents);</w:t>
      </w:r>
    </w:p>
    <w:p w14:paraId="467F0F08"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biomarkers measured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SOD, CAT, </w:t>
      </w:r>
      <w:proofErr w:type="spellStart"/>
      <w:r w:rsidRPr="00811ADC">
        <w:rPr>
          <w:rFonts w:asciiTheme="majorBidi" w:hAnsiTheme="majorBidi" w:cstheme="majorBidi"/>
        </w:rPr>
        <w:t>GPx</w:t>
      </w:r>
      <w:proofErr w:type="spellEnd"/>
      <w:r w:rsidRPr="00811ADC">
        <w:rPr>
          <w:rFonts w:asciiTheme="majorBidi" w:hAnsiTheme="majorBidi" w:cstheme="majorBidi"/>
        </w:rPr>
        <w:t>, GST, GSH, MDA, MN, comet), units and protein-normalization method;</w:t>
      </w:r>
    </w:p>
    <w:p w14:paraId="13707B8D"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MN scoring rules (cells scored per fish, staining method, morphological criteria);</w:t>
      </w:r>
    </w:p>
    <w:p w14:paraId="5D409B4D"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sample size (n), statistics (mean ± SD/SEM), and whether results are reported as absolute units or fold-change vs control.</w:t>
      </w:r>
    </w:p>
    <w:p w14:paraId="1292B2F7" w14:textId="43525192"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In sum, large, quantifiable differences in OP retention, acute sensitivity (LC₅₀), temporal biomarker dynamics and recovery potential exist across species and exposure settings; </w:t>
      </w:r>
      <w:proofErr w:type="spellStart"/>
      <w:r w:rsidRPr="00811ADC">
        <w:rPr>
          <w:rFonts w:asciiTheme="majorBidi" w:hAnsiTheme="majorBidi" w:cstheme="majorBidi"/>
        </w:rPr>
        <w:t>Imtiyaz</w:t>
      </w:r>
      <w:proofErr w:type="spellEnd"/>
      <w:r w:rsidRPr="00811ADC">
        <w:rPr>
          <w:rFonts w:asciiTheme="majorBidi" w:hAnsiTheme="majorBidi" w:cstheme="majorBidi"/>
        </w:rPr>
        <w:t xml:space="preserve"> </w:t>
      </w:r>
      <w:proofErr w:type="spellStart"/>
      <w:r w:rsidRPr="00811ADC">
        <w:rPr>
          <w:rFonts w:asciiTheme="majorBidi" w:hAnsiTheme="majorBidi" w:cstheme="majorBidi"/>
        </w:rPr>
        <w:t>Qayoom’s</w:t>
      </w:r>
      <w:proofErr w:type="spellEnd"/>
      <w:r w:rsidRPr="00811ADC">
        <w:rPr>
          <w:rFonts w:asciiTheme="majorBidi" w:hAnsiTheme="majorBidi" w:cstheme="majorBidi"/>
        </w:rPr>
        <w:t xml:space="preserve"> retention work (juvenile carp), Dutta’s riverine mixture study (</w:t>
      </w:r>
      <w:proofErr w:type="spellStart"/>
      <w:r w:rsidRPr="00811ADC">
        <w:rPr>
          <w:rFonts w:asciiTheme="majorBidi" w:hAnsiTheme="majorBidi" w:cstheme="majorBidi"/>
        </w:rPr>
        <w:t>Pethia</w:t>
      </w:r>
      <w:proofErr w:type="spellEnd"/>
      <w:r w:rsidRPr="00811ADC">
        <w:rPr>
          <w:rFonts w:asciiTheme="majorBidi" w:hAnsiTheme="majorBidi" w:cstheme="majorBidi"/>
        </w:rPr>
        <w:t xml:space="preserve">), Hossain’s tilapia LC₅₀/sublethal work, and recovery experiments like </w:t>
      </w:r>
      <w:proofErr w:type="spellStart"/>
      <w:r w:rsidRPr="00811ADC">
        <w:rPr>
          <w:rFonts w:asciiTheme="majorBidi" w:hAnsiTheme="majorBidi" w:cstheme="majorBidi"/>
        </w:rPr>
        <w:t>Mrong</w:t>
      </w:r>
      <w:proofErr w:type="spellEnd"/>
      <w:r w:rsidRPr="00811ADC">
        <w:rPr>
          <w:rFonts w:asciiTheme="majorBidi" w:hAnsiTheme="majorBidi" w:cstheme="majorBidi"/>
        </w:rPr>
        <w:t xml:space="preserve"> et al. provide concrete numerical illustrations (bioaccumulation vs BDL, MN fold-changes, LC₅₀ values, sublethal concentrations and recovery timelines) that together show why biomonitoring </w:t>
      </w:r>
      <w:proofErr w:type="spellStart"/>
      <w:r w:rsidRPr="00811ADC">
        <w:rPr>
          <w:rFonts w:asciiTheme="majorBidi" w:hAnsiTheme="majorBidi" w:cstheme="majorBidi"/>
        </w:rPr>
        <w:t>programmes</w:t>
      </w:r>
      <w:proofErr w:type="spellEnd"/>
      <w:r w:rsidRPr="00811ADC">
        <w:rPr>
          <w:rFonts w:asciiTheme="majorBidi" w:hAnsiTheme="majorBidi" w:cstheme="majorBidi"/>
        </w:rPr>
        <w:t xml:space="preserve"> must build species-specific baselines and adhere to strict methodological reporting to yield interpretable, comparable oxidative and cyto</w:t>
      </w:r>
      <w:r w:rsidR="001B1611">
        <w:rPr>
          <w:rFonts w:asciiTheme="majorBidi" w:hAnsiTheme="majorBidi" w:cstheme="majorBidi"/>
        </w:rPr>
        <w:t xml:space="preserve">genetic results. </w:t>
      </w:r>
    </w:p>
    <w:p w14:paraId="0CEBC428" w14:textId="77777777" w:rsidR="00B369B3" w:rsidRPr="00811ADC" w:rsidRDefault="00B369B3" w:rsidP="003A54C0">
      <w:pPr>
        <w:spacing w:line="360" w:lineRule="auto"/>
        <w:jc w:val="both"/>
        <w:rPr>
          <w:rFonts w:asciiTheme="majorBidi" w:hAnsiTheme="majorBidi" w:cstheme="majorBidi"/>
          <w:b/>
          <w:bCs/>
        </w:rPr>
      </w:pPr>
      <w:r w:rsidRPr="00811ADC">
        <w:rPr>
          <w:rFonts w:asciiTheme="majorBidi" w:hAnsiTheme="majorBidi" w:cstheme="majorBidi"/>
          <w:b/>
          <w:bCs/>
        </w:rPr>
        <w:lastRenderedPageBreak/>
        <w:t>Integration of blood biomarkers with other endpoints</w:t>
      </w:r>
    </w:p>
    <w:p w14:paraId="4BD0E4E2" w14:textId="77777777"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Blood biomarkers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SOD, CAT, </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 GST, GSH, MDA, MN) gain diagnostic power when integrated with tissue histopathology and molecular endpoints because the trio (biochemical → cellular → molecular) maps the causal chain from exposure to adverse outcome. Biochemical assays in plasma or whole blood provide sensitive, early signals of redox imbalance and cholinergic disruption (for example, plasma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detectable at sublethal OP concentrations), while histopathology in the liver and gill localizes organ-level damage (hepatocellular necrosis, vacuolation, gill epithelial lifting and lamellar fusion) and helps explain systemic biochemical shifts such as elevated serum AST/ALT or electrolyte disturbances. Several recent lab studies illustrate this complementarity: Hossain et al. (2022) observed significant plasma MDA increases and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suppression in </w:t>
      </w:r>
      <w:r w:rsidRPr="00811ADC">
        <w:rPr>
          <w:rFonts w:asciiTheme="majorBidi" w:hAnsiTheme="majorBidi" w:cstheme="majorBidi"/>
          <w:i/>
          <w:iCs/>
        </w:rPr>
        <w:t xml:space="preserve">Oreochromis </w:t>
      </w:r>
      <w:proofErr w:type="spellStart"/>
      <w:r w:rsidRPr="00811ADC">
        <w:rPr>
          <w:rFonts w:asciiTheme="majorBidi" w:hAnsiTheme="majorBidi" w:cstheme="majorBidi"/>
          <w:i/>
          <w:iCs/>
        </w:rPr>
        <w:t>niloticus</w:t>
      </w:r>
      <w:proofErr w:type="spellEnd"/>
      <w:r w:rsidRPr="00811ADC">
        <w:rPr>
          <w:rFonts w:asciiTheme="majorBidi" w:hAnsiTheme="majorBidi" w:cstheme="majorBidi"/>
        </w:rPr>
        <w:t xml:space="preserve"> exposed to chlorpyrifos (8–32 µg·L⁻¹ for 60 d), and corresponding liver histopathology (cellular degeneration) that corroborated enzyme-leakage signals.</w:t>
      </w:r>
    </w:p>
    <w:p w14:paraId="27E98E57" w14:textId="7D607B6F"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Molecular biomarkers (targeted gene expression and pathway markers) bridge the mechanistic gap between biochemical stress and tissue pathology. Measuring mRNA or protein levels of detoxification and oxidative-response genes (e.g., </w:t>
      </w:r>
      <w:r w:rsidRPr="00811ADC">
        <w:rPr>
          <w:rFonts w:asciiTheme="majorBidi" w:hAnsiTheme="majorBidi" w:cstheme="majorBidi"/>
          <w:i/>
          <w:iCs/>
        </w:rPr>
        <w:t>ache</w:t>
      </w:r>
      <w:r w:rsidRPr="00811ADC">
        <w:rPr>
          <w:rFonts w:asciiTheme="majorBidi" w:hAnsiTheme="majorBidi" w:cstheme="majorBidi"/>
        </w:rPr>
        <w:t xml:space="preserve">, </w:t>
      </w:r>
      <w:r w:rsidRPr="00811ADC">
        <w:rPr>
          <w:rFonts w:asciiTheme="majorBidi" w:hAnsiTheme="majorBidi" w:cstheme="majorBidi"/>
          <w:i/>
          <w:iCs/>
        </w:rPr>
        <w:t>sod1/2</w:t>
      </w:r>
      <w:r w:rsidRPr="00811ADC">
        <w:rPr>
          <w:rFonts w:asciiTheme="majorBidi" w:hAnsiTheme="majorBidi" w:cstheme="majorBidi"/>
        </w:rPr>
        <w:t xml:space="preserve">, </w:t>
      </w:r>
      <w:r w:rsidRPr="00811ADC">
        <w:rPr>
          <w:rFonts w:asciiTheme="majorBidi" w:hAnsiTheme="majorBidi" w:cstheme="majorBidi"/>
          <w:i/>
          <w:iCs/>
        </w:rPr>
        <w:t>cat</w:t>
      </w:r>
      <w:r w:rsidRPr="00811ADC">
        <w:rPr>
          <w:rFonts w:asciiTheme="majorBidi" w:hAnsiTheme="majorBidi" w:cstheme="majorBidi"/>
        </w:rPr>
        <w:t xml:space="preserve">, </w:t>
      </w:r>
      <w:r w:rsidRPr="00811ADC">
        <w:rPr>
          <w:rFonts w:asciiTheme="majorBidi" w:hAnsiTheme="majorBidi" w:cstheme="majorBidi"/>
          <w:i/>
          <w:iCs/>
        </w:rPr>
        <w:t>gpx1</w:t>
      </w:r>
      <w:r w:rsidRPr="00811ADC">
        <w:rPr>
          <w:rFonts w:asciiTheme="majorBidi" w:hAnsiTheme="majorBidi" w:cstheme="majorBidi"/>
        </w:rPr>
        <w:t xml:space="preserve">, </w:t>
      </w:r>
      <w:proofErr w:type="spellStart"/>
      <w:r w:rsidRPr="00811ADC">
        <w:rPr>
          <w:rFonts w:asciiTheme="majorBidi" w:hAnsiTheme="majorBidi" w:cstheme="majorBidi"/>
          <w:i/>
          <w:iCs/>
        </w:rPr>
        <w:t>gst</w:t>
      </w:r>
      <w:proofErr w:type="spellEnd"/>
      <w:r w:rsidRPr="00811ADC">
        <w:rPr>
          <w:rFonts w:asciiTheme="majorBidi" w:hAnsiTheme="majorBidi" w:cstheme="majorBidi"/>
        </w:rPr>
        <w:t xml:space="preserve"> family members, </w:t>
      </w:r>
      <w:proofErr w:type="spellStart"/>
      <w:r w:rsidRPr="00811ADC">
        <w:rPr>
          <w:rFonts w:asciiTheme="majorBidi" w:hAnsiTheme="majorBidi" w:cstheme="majorBidi"/>
          <w:i/>
          <w:iCs/>
        </w:rPr>
        <w:t>cyp</w:t>
      </w:r>
      <w:proofErr w:type="spellEnd"/>
      <w:r w:rsidRPr="00811ADC">
        <w:rPr>
          <w:rFonts w:asciiTheme="majorBidi" w:hAnsiTheme="majorBidi" w:cstheme="majorBidi"/>
        </w:rPr>
        <w:t xml:space="preserve"> isoforms) helps distinguish whether observed enzyme activity changes arise from transcriptional regulation, post-translational modification or oxidative inactivation. For example, studies of chlorpyrifos and related OPs report induction of Phase I (CYP) genes alongside altered expression of antioxidant genes in exposed fish liver—an observation that explains both enhanced bioactivation (and ROS generation) and the later depletion or inhibition of antioxidant capacity in chronic exposures. Recent transcriptomic and qPCR-based studies in </w:t>
      </w:r>
      <w:proofErr w:type="spellStart"/>
      <w:r w:rsidRPr="00811ADC">
        <w:rPr>
          <w:rFonts w:asciiTheme="majorBidi" w:hAnsiTheme="majorBidi" w:cstheme="majorBidi"/>
        </w:rPr>
        <w:t>teleosts</w:t>
      </w:r>
      <w:proofErr w:type="spellEnd"/>
      <w:r w:rsidRPr="00811ADC">
        <w:rPr>
          <w:rFonts w:asciiTheme="majorBidi" w:hAnsiTheme="majorBidi" w:cstheme="majorBidi"/>
        </w:rPr>
        <w:t xml:space="preserve"> show that </w:t>
      </w:r>
      <w:proofErr w:type="spellStart"/>
      <w:r w:rsidRPr="00811ADC">
        <w:rPr>
          <w:rFonts w:asciiTheme="majorBidi" w:hAnsiTheme="majorBidi" w:cstheme="majorBidi"/>
          <w:i/>
          <w:iCs/>
        </w:rPr>
        <w:t>gst</w:t>
      </w:r>
      <w:proofErr w:type="spellEnd"/>
      <w:r w:rsidRPr="00811ADC">
        <w:rPr>
          <w:rFonts w:asciiTheme="majorBidi" w:hAnsiTheme="majorBidi" w:cstheme="majorBidi"/>
        </w:rPr>
        <w:t xml:space="preserve"> induction often accompanies increased GST activity when conjugation pathways are </w:t>
      </w:r>
      <w:r w:rsidRPr="00811ADC">
        <w:rPr>
          <w:rFonts w:asciiTheme="majorBidi" w:hAnsiTheme="majorBidi" w:cstheme="majorBidi"/>
        </w:rPr>
        <w:lastRenderedPageBreak/>
        <w:t xml:space="preserve">activated, whereas declines in </w:t>
      </w:r>
      <w:proofErr w:type="spellStart"/>
      <w:r w:rsidRPr="00811ADC">
        <w:rPr>
          <w:rFonts w:asciiTheme="majorBidi" w:hAnsiTheme="majorBidi" w:cstheme="majorBidi"/>
          <w:i/>
          <w:iCs/>
        </w:rPr>
        <w:t>gpx</w:t>
      </w:r>
      <w:proofErr w:type="spellEnd"/>
      <w:r w:rsidRPr="00811ADC">
        <w:rPr>
          <w:rFonts w:asciiTheme="majorBidi" w:hAnsiTheme="majorBidi" w:cstheme="majorBidi"/>
        </w:rPr>
        <w:t xml:space="preserve"> transcript and activity coincide with GSH depletion and higher MDA levels, linking molecular regulation to measurable oxidative damage. </w:t>
      </w:r>
    </w:p>
    <w:p w14:paraId="46066A16" w14:textId="4C0793C9"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Combining blood biomarkers with histopathology and molecular assays materially improves diagnostic precision in three ways. First, </w:t>
      </w:r>
      <w:r w:rsidRPr="00811ADC">
        <w:rPr>
          <w:rFonts w:asciiTheme="majorBidi" w:hAnsiTheme="majorBidi" w:cstheme="majorBidi"/>
          <w:b/>
          <w:bCs/>
        </w:rPr>
        <w:t>specificity</w:t>
      </w:r>
      <w:r w:rsidRPr="00811ADC">
        <w:rPr>
          <w:rFonts w:asciiTheme="majorBidi" w:hAnsiTheme="majorBidi" w:cstheme="majorBidi"/>
        </w:rPr>
        <w:t xml:space="preserve">: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alone flags OP exposure but gives little information on secondary oxidative damage; adding MDA and erythrocyte MN establishes that OP exposure has produced oxidative membrane and DNA damage. Second, </w:t>
      </w:r>
      <w:r w:rsidRPr="00811ADC">
        <w:rPr>
          <w:rFonts w:asciiTheme="majorBidi" w:hAnsiTheme="majorBidi" w:cstheme="majorBidi"/>
          <w:b/>
          <w:bCs/>
        </w:rPr>
        <w:t>temporal resolution</w:t>
      </w:r>
      <w:r w:rsidRPr="00811ADC">
        <w:rPr>
          <w:rFonts w:asciiTheme="majorBidi" w:hAnsiTheme="majorBidi" w:cstheme="majorBidi"/>
        </w:rPr>
        <w:t>: biochemical markers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enzyme activities, MDA) change rapidly and reversibly, while histopathology and MN accumulation integrate exposures over longer windows—this enables identification of recent pulses versus chronic contamination. For example, Dutta et al. (2024) found elevated hepatic SOD/CAT/GST and MDA in </w:t>
      </w:r>
      <w:proofErr w:type="spellStart"/>
      <w:r w:rsidRPr="00811ADC">
        <w:rPr>
          <w:rFonts w:asciiTheme="majorBidi" w:hAnsiTheme="majorBidi" w:cstheme="majorBidi"/>
          <w:i/>
          <w:iCs/>
        </w:rPr>
        <w:t>Pethia</w:t>
      </w:r>
      <w:proofErr w:type="spellEnd"/>
      <w:r w:rsidRPr="00811ADC">
        <w:rPr>
          <w:rFonts w:asciiTheme="majorBidi" w:hAnsiTheme="majorBidi" w:cstheme="majorBidi"/>
        </w:rPr>
        <w:t xml:space="preserve"> spp. from agricultural sites and simultaneous 4–10× increases in MN frequency and ~16× increases in comet %Tail DNA, which together indicated both ongoing oxidative stress and accumulated genotoxic injury in wild fish. Third, </w:t>
      </w:r>
      <w:r w:rsidRPr="00811ADC">
        <w:rPr>
          <w:rFonts w:asciiTheme="majorBidi" w:hAnsiTheme="majorBidi" w:cstheme="majorBidi"/>
          <w:b/>
          <w:bCs/>
        </w:rPr>
        <w:t>mechanistic linkage</w:t>
      </w:r>
      <w:r w:rsidRPr="00811ADC">
        <w:rPr>
          <w:rFonts w:asciiTheme="majorBidi" w:hAnsiTheme="majorBidi" w:cstheme="majorBidi"/>
        </w:rPr>
        <w:t>: transcriptomic or proteomic signatures (e.g., upregulated CYPs, altered PXR/</w:t>
      </w:r>
      <w:proofErr w:type="spellStart"/>
      <w:r w:rsidRPr="00811ADC">
        <w:rPr>
          <w:rFonts w:asciiTheme="majorBidi" w:hAnsiTheme="majorBidi" w:cstheme="majorBidi"/>
        </w:rPr>
        <w:t>AhR</w:t>
      </w:r>
      <w:proofErr w:type="spellEnd"/>
      <w:r w:rsidRPr="00811ADC">
        <w:rPr>
          <w:rFonts w:asciiTheme="majorBidi" w:hAnsiTheme="majorBidi" w:cstheme="majorBidi"/>
        </w:rPr>
        <w:t xml:space="preserve"> pathway genes) provide causal evidence that exposure induced xenobiotic metabolism and ROS production that then led to antioxidant exhaustion and DNA lesions—this is critical in regulatory and risk-assessment contexts where causation must be established beyond correlative biomarker trends. Recent work coupling blood biomarkers with gene-expression and pathway analysis demonstrates how molecular data confirms whether increased MDA and MN are downstream of OP bioactivation rather than other stressors. </w:t>
      </w:r>
    </w:p>
    <w:p w14:paraId="7F209698" w14:textId="59BD6B8C"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Practically, an integrative monitoring protocol should therefore measure: (</w:t>
      </w:r>
      <w:proofErr w:type="spellStart"/>
      <w:r w:rsidRPr="00811ADC">
        <w:rPr>
          <w:rFonts w:asciiTheme="majorBidi" w:hAnsiTheme="majorBidi" w:cstheme="majorBidi"/>
        </w:rPr>
        <w:t>i</w:t>
      </w:r>
      <w:proofErr w:type="spellEnd"/>
      <w:r w:rsidRPr="00811ADC">
        <w:rPr>
          <w:rFonts w:asciiTheme="majorBidi" w:hAnsiTheme="majorBidi" w:cstheme="majorBidi"/>
        </w:rPr>
        <w:t xml:space="preserve">) exposure biomarkers (water/biota residues + plasma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(ii) biochemical oxidative markers in blood (SOD, CAT, </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 GST, total GSH, MDA), (iii) cytogenetic outcomes in erythrocytes (MN frequency scored per 1000 cells) and comet assays for %Tail DNA, </w:t>
      </w:r>
      <w:r w:rsidRPr="00811ADC">
        <w:rPr>
          <w:rFonts w:asciiTheme="majorBidi" w:hAnsiTheme="majorBidi" w:cstheme="majorBidi"/>
        </w:rPr>
        <w:lastRenderedPageBreak/>
        <w:t xml:space="preserve">and (iv) targeted molecular endpoints (qPCR for </w:t>
      </w:r>
      <w:r w:rsidRPr="00811ADC">
        <w:rPr>
          <w:rFonts w:asciiTheme="majorBidi" w:hAnsiTheme="majorBidi" w:cstheme="majorBidi"/>
          <w:i/>
          <w:iCs/>
        </w:rPr>
        <w:t>ache</w:t>
      </w:r>
      <w:r w:rsidRPr="00811ADC">
        <w:rPr>
          <w:rFonts w:asciiTheme="majorBidi" w:hAnsiTheme="majorBidi" w:cstheme="majorBidi"/>
        </w:rPr>
        <w:t xml:space="preserve">, </w:t>
      </w:r>
      <w:r w:rsidRPr="00811ADC">
        <w:rPr>
          <w:rFonts w:asciiTheme="majorBidi" w:hAnsiTheme="majorBidi" w:cstheme="majorBidi"/>
          <w:i/>
          <w:iCs/>
        </w:rPr>
        <w:t>sod</w:t>
      </w:r>
      <w:r w:rsidRPr="00811ADC">
        <w:rPr>
          <w:rFonts w:asciiTheme="majorBidi" w:hAnsiTheme="majorBidi" w:cstheme="majorBidi"/>
        </w:rPr>
        <w:t xml:space="preserve">, </w:t>
      </w:r>
      <w:r w:rsidRPr="00811ADC">
        <w:rPr>
          <w:rFonts w:asciiTheme="majorBidi" w:hAnsiTheme="majorBidi" w:cstheme="majorBidi"/>
          <w:i/>
          <w:iCs/>
        </w:rPr>
        <w:t>cat</w:t>
      </w:r>
      <w:r w:rsidRPr="00811ADC">
        <w:rPr>
          <w:rFonts w:asciiTheme="majorBidi" w:hAnsiTheme="majorBidi" w:cstheme="majorBidi"/>
        </w:rPr>
        <w:t xml:space="preserve">, </w:t>
      </w:r>
      <w:proofErr w:type="spellStart"/>
      <w:r w:rsidRPr="00811ADC">
        <w:rPr>
          <w:rFonts w:asciiTheme="majorBidi" w:hAnsiTheme="majorBidi" w:cstheme="majorBidi"/>
          <w:i/>
          <w:iCs/>
        </w:rPr>
        <w:t>gpx</w:t>
      </w:r>
      <w:proofErr w:type="spellEnd"/>
      <w:r w:rsidRPr="00811ADC">
        <w:rPr>
          <w:rFonts w:asciiTheme="majorBidi" w:hAnsiTheme="majorBidi" w:cstheme="majorBidi"/>
        </w:rPr>
        <w:t xml:space="preserve">, </w:t>
      </w:r>
      <w:proofErr w:type="spellStart"/>
      <w:r w:rsidRPr="00811ADC">
        <w:rPr>
          <w:rFonts w:asciiTheme="majorBidi" w:hAnsiTheme="majorBidi" w:cstheme="majorBidi"/>
          <w:i/>
          <w:iCs/>
        </w:rPr>
        <w:t>gst</w:t>
      </w:r>
      <w:proofErr w:type="spellEnd"/>
      <w:r w:rsidRPr="00811ADC">
        <w:rPr>
          <w:rFonts w:asciiTheme="majorBidi" w:hAnsiTheme="majorBidi" w:cstheme="majorBidi"/>
        </w:rPr>
        <w:t xml:space="preserve">, and select </w:t>
      </w:r>
      <w:proofErr w:type="spellStart"/>
      <w:r w:rsidRPr="00811ADC">
        <w:rPr>
          <w:rFonts w:asciiTheme="majorBidi" w:hAnsiTheme="majorBidi" w:cstheme="majorBidi"/>
          <w:i/>
          <w:iCs/>
        </w:rPr>
        <w:t>cyp</w:t>
      </w:r>
      <w:proofErr w:type="spellEnd"/>
      <w:r w:rsidRPr="00811ADC">
        <w:rPr>
          <w:rFonts w:asciiTheme="majorBidi" w:hAnsiTheme="majorBidi" w:cstheme="majorBidi"/>
        </w:rPr>
        <w:t xml:space="preserve"> genes), plus histopathology of liver and gill where lethal sampling is permissible. When such panels are applied together—as in several recent field and laboratory studies—the resulting multi-parameter picture improves confidence in exposure attribution, discriminates acute pulses from chronic effects, and pinpoints affected organs and pathways for remediation or management action. </w:t>
      </w:r>
    </w:p>
    <w:p w14:paraId="203E45CC" w14:textId="3C834783" w:rsidR="00B369B3" w:rsidRPr="00811ADC" w:rsidRDefault="00B369B3" w:rsidP="003A54C0">
      <w:pPr>
        <w:spacing w:line="360" w:lineRule="auto"/>
        <w:jc w:val="both"/>
        <w:rPr>
          <w:rFonts w:asciiTheme="majorBidi" w:hAnsiTheme="majorBidi" w:cstheme="majorBidi"/>
        </w:rPr>
      </w:pPr>
    </w:p>
    <w:p w14:paraId="10087143" w14:textId="77777777" w:rsidR="00B369B3" w:rsidRPr="00811ADC" w:rsidRDefault="00B369B3" w:rsidP="003A54C0">
      <w:pPr>
        <w:spacing w:line="360" w:lineRule="auto"/>
        <w:jc w:val="both"/>
        <w:rPr>
          <w:rFonts w:asciiTheme="majorBidi" w:hAnsiTheme="majorBidi" w:cstheme="majorBidi"/>
          <w:b/>
          <w:bCs/>
        </w:rPr>
      </w:pPr>
      <w:r w:rsidRPr="00811ADC">
        <w:rPr>
          <w:rFonts w:asciiTheme="majorBidi" w:hAnsiTheme="majorBidi" w:cstheme="majorBidi"/>
          <w:b/>
          <w:bCs/>
        </w:rPr>
        <w:t>Research gaps and future perspectives</w:t>
      </w:r>
    </w:p>
    <w:p w14:paraId="2EEDDC20" w14:textId="77777777"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Despite clear utility, three major gaps limit transfer of blood-biomarker panels into routine biomonitoring: lack of standardized protocols, incomplete adoption of omics-based early-warning markers, and weak linkage to ecological risk models and food-safety thresholds.</w:t>
      </w:r>
    </w:p>
    <w:p w14:paraId="762287B8" w14:textId="52D3B86B"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First, </w:t>
      </w:r>
      <w:r w:rsidRPr="00811ADC">
        <w:rPr>
          <w:rFonts w:asciiTheme="majorBidi" w:hAnsiTheme="majorBidi" w:cstheme="majorBidi"/>
          <w:b/>
          <w:bCs/>
        </w:rPr>
        <w:t>standardization of sampling, storage and assay units</w:t>
      </w:r>
      <w:r w:rsidRPr="00811ADC">
        <w:rPr>
          <w:rFonts w:asciiTheme="majorBidi" w:hAnsiTheme="majorBidi" w:cstheme="majorBidi"/>
        </w:rPr>
        <w:t xml:space="preserve"> is urgently needed. Currently, studies report enzyme activities in disparate units (U·mg⁻¹ protein, U·mL⁻¹ plasma, fold-change vs control), and MDA/TBARS in nmol·mg⁻¹ tissue or as arbitrary absorbance units; MN scoring methods vary in cell counts and staining. These methodological inconsistencies increase between-study heterogeneity and impede meta-analysis. Recent methodological reviews and cross-field guidelines emphasize reporting both nominal and analytically measured exposure concentrations, protein-normalized enzyme activities, MN counts per 1000 erythrocytes with blind scoring, storage conditions (anticoagulant, time-to-freeze, storage temperature) and QA/QC for chemical analyses (LOD/LOQ, recovery rates) to improve comparability. Adoption of harmonized SOPs—similar to those being developed for human biomarker studies and summarized in recent standardization reviews—would markedly increase the utility of fish blood datasets for regulatory use. </w:t>
      </w:r>
    </w:p>
    <w:p w14:paraId="25BDA4B7" w14:textId="1F56C38E"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lastRenderedPageBreak/>
        <w:t xml:space="preserve">Second, </w:t>
      </w:r>
      <w:r w:rsidRPr="00811ADC">
        <w:rPr>
          <w:rFonts w:asciiTheme="majorBidi" w:hAnsiTheme="majorBidi" w:cstheme="majorBidi"/>
          <w:b/>
          <w:bCs/>
        </w:rPr>
        <w:t>integration of omics (transcriptomics, proteomics, metabolomics)</w:t>
      </w:r>
      <w:r w:rsidRPr="00811ADC">
        <w:rPr>
          <w:rFonts w:asciiTheme="majorBidi" w:hAnsiTheme="majorBidi" w:cstheme="majorBidi"/>
        </w:rPr>
        <w:t xml:space="preserve"> into routine ecotoxicology promises earlier and more specific signatures of OP effect but remains underused in field biomonitoring. Several recent reviews and original studies demonstrate that transcriptomic and metabolomic fingerprints can detect perturbations at lower exposures and earlier time points than traditional biochemical endpoints, and can identify affected pathways (xenobiotic metabolism, lipid peroxidation cascades, energy metabolism) that predict progression to histopathology and genotoxicity. For example, multi-omics analyses have revealed coordinated induction of CYPs and phase-II conjugation genes that presage MDA increases and GSH depletion; proteomics and metabolomics further pinpoint disrupted metabolites (lipid peroxides, oxidized glutathione) that serve as mechanistically informative early-warning markers. Scaling these approaches into monitoring programs will require cost reductions, standard pipelines for data analysis, and user-friendly biomarkers panels derived from omics that are validated across species and environments. </w:t>
      </w:r>
    </w:p>
    <w:p w14:paraId="7764D885" w14:textId="5E98DA87"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Third, there is a pressing need to </w:t>
      </w:r>
      <w:r w:rsidRPr="00811ADC">
        <w:rPr>
          <w:rFonts w:asciiTheme="majorBidi" w:hAnsiTheme="majorBidi" w:cstheme="majorBidi"/>
          <w:b/>
          <w:bCs/>
        </w:rPr>
        <w:t>link biomarker effect sizes to ecological risk and food-safety frameworks</w:t>
      </w:r>
      <w:r w:rsidRPr="00811ADC">
        <w:rPr>
          <w:rFonts w:asciiTheme="majorBidi" w:hAnsiTheme="majorBidi" w:cstheme="majorBidi"/>
        </w:rPr>
        <w:t xml:space="preserve">. Most studies report directionality or significance but not standardized effect sizes or dose–response curves translatable to population-level impacts or human health benchmarks. To be actionable for regulators, blood biomarker responses must be mapped to adverse outcome pathways (AOPs), population-relevant endpoints (growth, reproduction, survival), and to residue thresholds used in food-safety standards. A promising direction is quantitative AOP development that links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and oxidative biomarkers to reproductive impairment and population decline; coupling biomarker panels with bioaccumulation data (for example, </w:t>
      </w:r>
      <w:proofErr w:type="spellStart"/>
      <w:r w:rsidRPr="00811ADC">
        <w:rPr>
          <w:rFonts w:asciiTheme="majorBidi" w:hAnsiTheme="majorBidi" w:cstheme="majorBidi"/>
        </w:rPr>
        <w:t>Imtiyaz</w:t>
      </w:r>
      <w:proofErr w:type="spellEnd"/>
      <w:r w:rsidRPr="00811ADC">
        <w:rPr>
          <w:rFonts w:asciiTheme="majorBidi" w:hAnsiTheme="majorBidi" w:cstheme="majorBidi"/>
        </w:rPr>
        <w:t xml:space="preserve"> </w:t>
      </w:r>
      <w:proofErr w:type="spellStart"/>
      <w:r w:rsidRPr="00811ADC">
        <w:rPr>
          <w:rFonts w:asciiTheme="majorBidi" w:hAnsiTheme="majorBidi" w:cstheme="majorBidi"/>
        </w:rPr>
        <w:t>Qayoom’s</w:t>
      </w:r>
      <w:proofErr w:type="spellEnd"/>
      <w:r w:rsidRPr="00811ADC">
        <w:rPr>
          <w:rFonts w:asciiTheme="majorBidi" w:hAnsiTheme="majorBidi" w:cstheme="majorBidi"/>
        </w:rPr>
        <w:t xml:space="preserve"> 2024 findings on dimethoate retention in juvenile carp muscle) helps bridge the gap to food-safety risk by showing whether detected residues can reach human-consumption thresholds. </w:t>
      </w:r>
    </w:p>
    <w:p w14:paraId="72D35090" w14:textId="290452DF"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lastRenderedPageBreak/>
        <w:t xml:space="preserve">Other actionable research priorities include: (a) coordinated time-series experiments that measure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 ROS → antioxidant response → MDA → DNA damage at multiple time points to quantify thresholds and recovery kinetics; (b) controlled mixture studies reflecting environmental chemical cocktails and their potential synergistic effects on oxidative/genotoxic endpoints; (c) cross-species validation studies to identify conserved biomarker response suites suitable for multi-species monitoring; and (d) development of simplified, validated point-of-sampling kits (e.g., rapid plasma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and TBARS strips) that can be used for initial field triage before full laboratory analyses. Advances in FISH-based cytogenetic multi-marker approaches and omics-informed marker panels offer technological routes to improved sensitivity and specificity, but require standardization, inter-lab ring trials and regulatory engagement to be widely adopted. </w:t>
      </w:r>
    </w:p>
    <w:p w14:paraId="2FC69408" w14:textId="77777777" w:rsidR="00B369B3" w:rsidRPr="00811ADC" w:rsidRDefault="006210EC" w:rsidP="003A54C0">
      <w:pPr>
        <w:spacing w:line="360" w:lineRule="auto"/>
        <w:jc w:val="both"/>
        <w:rPr>
          <w:rFonts w:asciiTheme="majorBidi" w:hAnsiTheme="majorBidi" w:cstheme="majorBidi"/>
        </w:rPr>
      </w:pPr>
      <w:r>
        <w:rPr>
          <w:rFonts w:asciiTheme="majorBidi" w:hAnsiTheme="majorBidi" w:cstheme="majorBidi"/>
        </w:rPr>
        <w:pict w14:anchorId="3453C650">
          <v:rect id="_x0000_i1025" style="width:0;height:1.5pt" o:hralign="center" o:hrstd="t" o:hr="t" fillcolor="#a0a0a0" stroked="f"/>
        </w:pict>
      </w:r>
    </w:p>
    <w:p w14:paraId="7029CA26" w14:textId="77777777" w:rsidR="00B369B3" w:rsidRPr="00811ADC" w:rsidRDefault="00B369B3" w:rsidP="003A54C0">
      <w:pPr>
        <w:spacing w:line="360" w:lineRule="auto"/>
        <w:jc w:val="both"/>
        <w:rPr>
          <w:rFonts w:asciiTheme="majorBidi" w:hAnsiTheme="majorBidi" w:cstheme="majorBidi"/>
          <w:b/>
          <w:bCs/>
        </w:rPr>
      </w:pPr>
      <w:r w:rsidRPr="00811ADC">
        <w:rPr>
          <w:rFonts w:asciiTheme="majorBidi" w:hAnsiTheme="majorBidi" w:cstheme="majorBidi"/>
          <w:b/>
          <w:bCs/>
        </w:rPr>
        <w:t>Conclusion</w:t>
      </w:r>
    </w:p>
    <w:p w14:paraId="0E3D0C71" w14:textId="25EC0915"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A robust body of laboratory and field evidence (2019–2025) shows that organophosphate exposure reliably produces: (</w:t>
      </w:r>
      <w:proofErr w:type="spellStart"/>
      <w:r w:rsidRPr="00811ADC">
        <w:rPr>
          <w:rFonts w:asciiTheme="majorBidi" w:hAnsiTheme="majorBidi" w:cstheme="majorBidi"/>
        </w:rPr>
        <w:t>i</w:t>
      </w:r>
      <w:proofErr w:type="spellEnd"/>
      <w:r w:rsidRPr="00811ADC">
        <w:rPr>
          <w:rFonts w:asciiTheme="majorBidi" w:hAnsiTheme="majorBidi" w:cstheme="majorBidi"/>
        </w:rPr>
        <w:t>) cholinesterase inhibition (</w:t>
      </w:r>
      <w:proofErr w:type="spellStart"/>
      <w:r w:rsidRPr="00811ADC">
        <w:rPr>
          <w:rFonts w:asciiTheme="majorBidi" w:hAnsiTheme="majorBidi" w:cstheme="majorBidi"/>
        </w:rPr>
        <w:t>AChE</w:t>
      </w:r>
      <w:proofErr w:type="spellEnd"/>
      <w:r w:rsidRPr="00811ADC">
        <w:rPr>
          <w:rFonts w:asciiTheme="majorBidi" w:hAnsiTheme="majorBidi" w:cstheme="majorBidi"/>
        </w:rPr>
        <w:t>) as a sensitive exposure marker, (ii) oxidative imbalance (SOD/CAT/</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/GST modulation, GSH depletion) and consistent lipid peroxidation (MDA/TBARS increases) as measures of cellular stress, and (iii) erythrocyte genotoxicity (micronuclei, nuclear abnormalities, increased comet %Tail DNA) as indicators of DNA damage. Blood-based biomarkers are uniquely valuable because sampling is minimally invasive and they provide rapid integrative signals of systemic toxicity; when these blood endpoints are combined with histopathology and molecular assays they yield high diagnostic precision and mechanistic insight into OP toxicity pathways. Representative studies illustrate these points quantitatively—for example, Dutta et al. (2024) documented 4–10× MN increases and ~16× higher comet %Tail DNA at contaminated field sites, </w:t>
      </w:r>
      <w:r w:rsidRPr="00811ADC">
        <w:rPr>
          <w:rFonts w:asciiTheme="majorBidi" w:hAnsiTheme="majorBidi" w:cstheme="majorBidi"/>
        </w:rPr>
        <w:lastRenderedPageBreak/>
        <w:t xml:space="preserve">while </w:t>
      </w:r>
      <w:proofErr w:type="spellStart"/>
      <w:r w:rsidRPr="00811ADC">
        <w:rPr>
          <w:rFonts w:asciiTheme="majorBidi" w:hAnsiTheme="majorBidi" w:cstheme="majorBidi"/>
        </w:rPr>
        <w:t>Imtiyaz</w:t>
      </w:r>
      <w:proofErr w:type="spellEnd"/>
      <w:r w:rsidRPr="00811ADC">
        <w:rPr>
          <w:rFonts w:asciiTheme="majorBidi" w:hAnsiTheme="majorBidi" w:cstheme="majorBidi"/>
        </w:rPr>
        <w:t xml:space="preserve"> </w:t>
      </w:r>
      <w:proofErr w:type="spellStart"/>
      <w:r w:rsidRPr="00811ADC">
        <w:rPr>
          <w:rFonts w:asciiTheme="majorBidi" w:hAnsiTheme="majorBidi" w:cstheme="majorBidi"/>
        </w:rPr>
        <w:t>Qayoom</w:t>
      </w:r>
      <w:proofErr w:type="spellEnd"/>
      <w:r w:rsidRPr="00811ADC">
        <w:rPr>
          <w:rFonts w:asciiTheme="majorBidi" w:hAnsiTheme="majorBidi" w:cstheme="majorBidi"/>
        </w:rPr>
        <w:t xml:space="preserve"> (2024) demonstrated tissue retention of OPs in juvenile carp muscle that is relevant to human food-safety concerns. </w:t>
      </w:r>
    </w:p>
    <w:p w14:paraId="57130F9C" w14:textId="77777777"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To translate these scientific insights into monitoring and management, we recommend adoption of a standardized fish-blood panel—</w:t>
      </w:r>
      <w:proofErr w:type="spellStart"/>
      <w:r w:rsidRPr="00811ADC">
        <w:rPr>
          <w:rFonts w:asciiTheme="majorBidi" w:hAnsiTheme="majorBidi" w:cstheme="majorBidi"/>
          <w:b/>
          <w:bCs/>
        </w:rPr>
        <w:t>AChE</w:t>
      </w:r>
      <w:proofErr w:type="spellEnd"/>
      <w:r w:rsidRPr="00811ADC">
        <w:rPr>
          <w:rFonts w:asciiTheme="majorBidi" w:hAnsiTheme="majorBidi" w:cstheme="majorBidi"/>
          <w:b/>
          <w:bCs/>
        </w:rPr>
        <w:t xml:space="preserve">, SOD, CAT, </w:t>
      </w:r>
      <w:proofErr w:type="spellStart"/>
      <w:r w:rsidRPr="00811ADC">
        <w:rPr>
          <w:rFonts w:asciiTheme="majorBidi" w:hAnsiTheme="majorBidi" w:cstheme="majorBidi"/>
          <w:b/>
          <w:bCs/>
        </w:rPr>
        <w:t>GPx</w:t>
      </w:r>
      <w:proofErr w:type="spellEnd"/>
      <w:r w:rsidRPr="00811ADC">
        <w:rPr>
          <w:rFonts w:asciiTheme="majorBidi" w:hAnsiTheme="majorBidi" w:cstheme="majorBidi"/>
          <w:b/>
          <w:bCs/>
        </w:rPr>
        <w:t>, GST, total GSH, MDA/TBARS, MN frequency (per 1000 erythrocytes)</w:t>
      </w:r>
      <w:r w:rsidRPr="00811ADC">
        <w:rPr>
          <w:rFonts w:asciiTheme="majorBidi" w:hAnsiTheme="majorBidi" w:cstheme="majorBidi"/>
        </w:rPr>
        <w:t xml:space="preserve">—measured using harmonized SOPs (reporting of units, protein normalization, timepoints, and QA/QC). Where possible, pair blood panels with targeted molecular assays and tissue histopathology and report effect sizes (means ± SD, fold-change vs controls) and measured environmental concentrations; this will permit dose–response modelling, integration into ecological risk assessments and clearer linkage to food-safety thresholds. Implemented with standard methods and omics-informed validation, blood biomarker panels offer a cost-effective, non-lethal, and powerful tool for routine environmental monitoring and for prioritizing remediation in pesticide-impacted waters. </w:t>
      </w:r>
    </w:p>
    <w:p w14:paraId="270D6D12" w14:textId="77777777" w:rsidR="00B369B3" w:rsidRDefault="00B369B3" w:rsidP="00B369B3">
      <w:pPr>
        <w:spacing w:line="240" w:lineRule="auto"/>
        <w:jc w:val="both"/>
        <w:rPr>
          <w:rFonts w:asciiTheme="majorBidi" w:hAnsiTheme="majorBidi" w:cstheme="majorBidi"/>
          <w:sz w:val="22"/>
          <w:szCs w:val="22"/>
        </w:rPr>
      </w:pPr>
    </w:p>
    <w:p w14:paraId="04B0D412" w14:textId="77777777" w:rsidR="002466D7" w:rsidRDefault="002466D7" w:rsidP="00B369B3">
      <w:pPr>
        <w:spacing w:line="240" w:lineRule="auto"/>
        <w:jc w:val="both"/>
        <w:rPr>
          <w:rFonts w:asciiTheme="majorBidi" w:hAnsiTheme="majorBidi" w:cstheme="majorBidi"/>
          <w:sz w:val="22"/>
          <w:szCs w:val="22"/>
        </w:rPr>
      </w:pPr>
    </w:p>
    <w:p w14:paraId="1FFE8ECF" w14:textId="77777777" w:rsidR="002466D7" w:rsidRDefault="002466D7" w:rsidP="00B369B3">
      <w:pPr>
        <w:spacing w:line="240" w:lineRule="auto"/>
        <w:jc w:val="both"/>
        <w:rPr>
          <w:rFonts w:asciiTheme="majorBidi" w:hAnsiTheme="majorBidi" w:cstheme="majorBidi"/>
          <w:sz w:val="22"/>
          <w:szCs w:val="22"/>
        </w:rPr>
      </w:pPr>
    </w:p>
    <w:p w14:paraId="79425B0A" w14:textId="77777777" w:rsidR="002466D7" w:rsidRDefault="002466D7" w:rsidP="00B369B3">
      <w:pPr>
        <w:spacing w:line="240" w:lineRule="auto"/>
        <w:jc w:val="both"/>
        <w:rPr>
          <w:rFonts w:asciiTheme="majorBidi" w:hAnsiTheme="majorBidi" w:cstheme="majorBidi"/>
          <w:sz w:val="22"/>
          <w:szCs w:val="22"/>
        </w:rPr>
      </w:pPr>
    </w:p>
    <w:p w14:paraId="2C93A513" w14:textId="1826925C" w:rsidR="002466D7" w:rsidRDefault="002466D7" w:rsidP="00B369B3">
      <w:pPr>
        <w:spacing w:line="240" w:lineRule="auto"/>
        <w:jc w:val="both"/>
        <w:rPr>
          <w:rFonts w:asciiTheme="majorBidi" w:hAnsiTheme="majorBidi" w:cstheme="majorBidi"/>
          <w:b/>
          <w:bCs/>
        </w:rPr>
      </w:pPr>
      <w:r w:rsidRPr="002466D7">
        <w:rPr>
          <w:rFonts w:asciiTheme="majorBidi" w:hAnsiTheme="majorBidi" w:cstheme="majorBidi"/>
          <w:b/>
          <w:bCs/>
        </w:rPr>
        <w:t>References</w:t>
      </w:r>
    </w:p>
    <w:p w14:paraId="43687524"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Abdallah, S. M., Muhammed, R. E., Mohamed, R. E., El </w:t>
      </w:r>
      <w:proofErr w:type="spellStart"/>
      <w:r w:rsidRPr="003854B6">
        <w:rPr>
          <w:rFonts w:asciiTheme="majorBidi" w:hAnsiTheme="majorBidi" w:cstheme="majorBidi"/>
          <w:color w:val="000000" w:themeColor="text1"/>
        </w:rPr>
        <w:t>Daous</w:t>
      </w:r>
      <w:proofErr w:type="spellEnd"/>
      <w:r w:rsidRPr="003854B6">
        <w:rPr>
          <w:rFonts w:asciiTheme="majorBidi" w:hAnsiTheme="majorBidi" w:cstheme="majorBidi"/>
          <w:color w:val="000000" w:themeColor="text1"/>
        </w:rPr>
        <w:t xml:space="preserve">, H., Saleh, D. M., </w:t>
      </w:r>
      <w:proofErr w:type="spellStart"/>
      <w:r w:rsidRPr="003854B6">
        <w:rPr>
          <w:rFonts w:asciiTheme="majorBidi" w:hAnsiTheme="majorBidi" w:cstheme="majorBidi"/>
          <w:color w:val="000000" w:themeColor="text1"/>
        </w:rPr>
        <w:t>Ghorab</w:t>
      </w:r>
      <w:proofErr w:type="spellEnd"/>
      <w:r w:rsidRPr="003854B6">
        <w:rPr>
          <w:rFonts w:asciiTheme="majorBidi" w:hAnsiTheme="majorBidi" w:cstheme="majorBidi"/>
          <w:color w:val="000000" w:themeColor="text1"/>
        </w:rPr>
        <w:t>, M. A., ... &amp; El-Sayyad, G. S. (2024). Assessment of biochemical biomarkers and environmental stress indicators in some freshwater fish. </w:t>
      </w:r>
      <w:r w:rsidRPr="003854B6">
        <w:rPr>
          <w:rFonts w:asciiTheme="majorBidi" w:hAnsiTheme="majorBidi" w:cstheme="majorBidi"/>
          <w:i/>
          <w:iCs/>
          <w:color w:val="000000" w:themeColor="text1"/>
        </w:rPr>
        <w:t>Environmental Geochemistry and Health</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46</w:t>
      </w:r>
      <w:r w:rsidRPr="003854B6">
        <w:rPr>
          <w:rFonts w:asciiTheme="majorBidi" w:hAnsiTheme="majorBidi" w:cstheme="majorBidi"/>
          <w:color w:val="000000" w:themeColor="text1"/>
        </w:rPr>
        <w:t>(11), 464.</w:t>
      </w:r>
    </w:p>
    <w:p w14:paraId="1962D0EE" w14:textId="0F62FBCB" w:rsidR="003854B6" w:rsidRPr="003854B6" w:rsidRDefault="003854B6" w:rsidP="00F26AAA">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Altun</w:t>
      </w:r>
      <w:proofErr w:type="spellEnd"/>
      <w:r w:rsidRPr="003854B6">
        <w:rPr>
          <w:rFonts w:asciiTheme="majorBidi" w:hAnsiTheme="majorBidi" w:cstheme="majorBidi"/>
          <w:color w:val="000000" w:themeColor="text1"/>
        </w:rPr>
        <w:t xml:space="preserve">, S., </w:t>
      </w:r>
      <w:proofErr w:type="spellStart"/>
      <w:r w:rsidRPr="003854B6">
        <w:rPr>
          <w:rFonts w:asciiTheme="majorBidi" w:hAnsiTheme="majorBidi" w:cstheme="majorBidi"/>
          <w:color w:val="000000" w:themeColor="text1"/>
        </w:rPr>
        <w:t>Özdemir</w:t>
      </w:r>
      <w:proofErr w:type="spellEnd"/>
      <w:r w:rsidRPr="003854B6">
        <w:rPr>
          <w:rFonts w:asciiTheme="majorBidi" w:hAnsiTheme="majorBidi" w:cstheme="majorBidi"/>
          <w:color w:val="000000" w:themeColor="text1"/>
        </w:rPr>
        <w:t xml:space="preserve">, S., &amp; Arslan, H. (2017). Histopathological effects, responses of oxidative stress, inflammation, apoptosis biomarkers and alteration of gene expressions </w:t>
      </w:r>
      <w:r w:rsidRPr="003854B6">
        <w:rPr>
          <w:rFonts w:asciiTheme="majorBidi" w:hAnsiTheme="majorBidi" w:cstheme="majorBidi"/>
          <w:color w:val="000000" w:themeColor="text1"/>
        </w:rPr>
        <w:lastRenderedPageBreak/>
        <w:t>related to apoptosis, oxidative stress, and reproductive system in chlorpyrifos-exposed common carp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xml:space="preserve"> L.). </w:t>
      </w:r>
      <w:r w:rsidRPr="003854B6">
        <w:rPr>
          <w:rFonts w:asciiTheme="majorBidi" w:hAnsiTheme="majorBidi" w:cstheme="majorBidi"/>
          <w:i/>
          <w:iCs/>
          <w:color w:val="000000" w:themeColor="text1"/>
        </w:rPr>
        <w:t>Environmental Pollution</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230</w:t>
      </w:r>
      <w:r w:rsidRPr="003854B6">
        <w:rPr>
          <w:rFonts w:asciiTheme="majorBidi" w:hAnsiTheme="majorBidi" w:cstheme="majorBidi"/>
          <w:color w:val="000000" w:themeColor="text1"/>
        </w:rPr>
        <w:t>, 432-443.</w:t>
      </w:r>
    </w:p>
    <w:p w14:paraId="7EF5EEAF" w14:textId="77777777" w:rsidR="003854B6" w:rsidRPr="003854B6" w:rsidRDefault="003854B6" w:rsidP="00F26AAA">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Amin, M., Yousuf, M., Ahmad, N., </w:t>
      </w:r>
      <w:proofErr w:type="spellStart"/>
      <w:r w:rsidRPr="003854B6">
        <w:rPr>
          <w:rFonts w:asciiTheme="majorBidi" w:hAnsiTheme="majorBidi" w:cstheme="majorBidi"/>
          <w:color w:val="000000" w:themeColor="text1"/>
        </w:rPr>
        <w:t>Attaullah</w:t>
      </w:r>
      <w:proofErr w:type="spellEnd"/>
      <w:r w:rsidRPr="003854B6">
        <w:rPr>
          <w:rFonts w:asciiTheme="majorBidi" w:hAnsiTheme="majorBidi" w:cstheme="majorBidi"/>
          <w:color w:val="000000" w:themeColor="text1"/>
        </w:rPr>
        <w:t xml:space="preserve">, M., Ikram, M., Zaid, A. A. A., ... &amp; </w:t>
      </w:r>
      <w:proofErr w:type="spellStart"/>
      <w:r w:rsidRPr="003854B6">
        <w:rPr>
          <w:rFonts w:asciiTheme="majorBidi" w:hAnsiTheme="majorBidi" w:cstheme="majorBidi"/>
          <w:color w:val="000000" w:themeColor="text1"/>
        </w:rPr>
        <w:t>Buneri</w:t>
      </w:r>
      <w:proofErr w:type="spellEnd"/>
      <w:r w:rsidRPr="003854B6">
        <w:rPr>
          <w:rFonts w:asciiTheme="majorBidi" w:hAnsiTheme="majorBidi" w:cstheme="majorBidi"/>
          <w:color w:val="000000" w:themeColor="text1"/>
        </w:rPr>
        <w:t xml:space="preserve">, I. D. (2022). Sub-lethal effects of organophosphates and synthetic pyrethroid insecticides on muscle tissue transaminases of Oreochromis </w:t>
      </w:r>
      <w:proofErr w:type="spellStart"/>
      <w:r w:rsidRPr="003854B6">
        <w:rPr>
          <w:rFonts w:asciiTheme="majorBidi" w:hAnsiTheme="majorBidi" w:cstheme="majorBidi"/>
          <w:color w:val="000000" w:themeColor="text1"/>
        </w:rPr>
        <w:t>niloticus</w:t>
      </w:r>
      <w:proofErr w:type="spellEnd"/>
      <w:r w:rsidRPr="003854B6">
        <w:rPr>
          <w:rFonts w:asciiTheme="majorBidi" w:hAnsiTheme="majorBidi" w:cstheme="majorBidi"/>
          <w:color w:val="000000" w:themeColor="text1"/>
        </w:rPr>
        <w:t xml:space="preserve"> in vivo. </w:t>
      </w:r>
      <w:r w:rsidRPr="003854B6">
        <w:rPr>
          <w:rFonts w:asciiTheme="majorBidi" w:hAnsiTheme="majorBidi" w:cstheme="majorBidi"/>
          <w:i/>
          <w:iCs/>
          <w:color w:val="000000" w:themeColor="text1"/>
        </w:rPr>
        <w:t>Toxicological Research</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38</w:t>
      </w:r>
      <w:r w:rsidRPr="003854B6">
        <w:rPr>
          <w:rFonts w:asciiTheme="majorBidi" w:hAnsiTheme="majorBidi" w:cstheme="majorBidi"/>
          <w:color w:val="000000" w:themeColor="text1"/>
        </w:rPr>
        <w:t>(2), 187-194.</w:t>
      </w:r>
    </w:p>
    <w:p w14:paraId="3BD2A091"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Aroniadou-Anderjaska</w:t>
      </w:r>
      <w:proofErr w:type="spellEnd"/>
      <w:r w:rsidRPr="003854B6">
        <w:rPr>
          <w:rFonts w:asciiTheme="majorBidi" w:hAnsiTheme="majorBidi" w:cstheme="majorBidi"/>
          <w:color w:val="000000" w:themeColor="text1"/>
        </w:rPr>
        <w:t xml:space="preserve">, V., </w:t>
      </w:r>
      <w:proofErr w:type="spellStart"/>
      <w:r w:rsidRPr="003854B6">
        <w:rPr>
          <w:rFonts w:asciiTheme="majorBidi" w:hAnsiTheme="majorBidi" w:cstheme="majorBidi"/>
          <w:color w:val="000000" w:themeColor="text1"/>
        </w:rPr>
        <w:t>Figueiredo</w:t>
      </w:r>
      <w:proofErr w:type="spellEnd"/>
      <w:r w:rsidRPr="003854B6">
        <w:rPr>
          <w:rFonts w:asciiTheme="majorBidi" w:hAnsiTheme="majorBidi" w:cstheme="majorBidi"/>
          <w:color w:val="000000" w:themeColor="text1"/>
        </w:rPr>
        <w:t xml:space="preserve">, T. H., de Araujo Furtado, M., </w:t>
      </w:r>
      <w:proofErr w:type="spellStart"/>
      <w:r w:rsidRPr="003854B6">
        <w:rPr>
          <w:rFonts w:asciiTheme="majorBidi" w:hAnsiTheme="majorBidi" w:cstheme="majorBidi"/>
          <w:color w:val="000000" w:themeColor="text1"/>
        </w:rPr>
        <w:t>Pidoplichko</w:t>
      </w:r>
      <w:proofErr w:type="spellEnd"/>
      <w:r w:rsidRPr="003854B6">
        <w:rPr>
          <w:rFonts w:asciiTheme="majorBidi" w:hAnsiTheme="majorBidi" w:cstheme="majorBidi"/>
          <w:color w:val="000000" w:themeColor="text1"/>
        </w:rPr>
        <w:t>, V. I., &amp; Braga, M. F. (2023). Mechanisms of organophosphate toxicity and the role of acetylcholinesterase inhibition. </w:t>
      </w:r>
      <w:r w:rsidRPr="003854B6">
        <w:rPr>
          <w:rFonts w:asciiTheme="majorBidi" w:hAnsiTheme="majorBidi" w:cstheme="majorBidi"/>
          <w:i/>
          <w:iCs/>
          <w:color w:val="000000" w:themeColor="text1"/>
        </w:rPr>
        <w:t>Toxics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11</w:t>
      </w:r>
      <w:r w:rsidRPr="003854B6">
        <w:rPr>
          <w:rFonts w:asciiTheme="majorBidi" w:hAnsiTheme="majorBidi" w:cstheme="majorBidi"/>
          <w:color w:val="000000" w:themeColor="text1"/>
        </w:rPr>
        <w:t>(10), 866.</w:t>
      </w:r>
    </w:p>
    <w:p w14:paraId="1A66B138" w14:textId="77777777" w:rsidR="003854B6" w:rsidRPr="003854B6" w:rsidRDefault="003854B6" w:rsidP="001B1611">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Bacchetta</w:t>
      </w:r>
      <w:proofErr w:type="spellEnd"/>
      <w:r w:rsidRPr="003854B6">
        <w:rPr>
          <w:rFonts w:asciiTheme="majorBidi" w:hAnsiTheme="majorBidi" w:cstheme="majorBidi"/>
          <w:color w:val="000000" w:themeColor="text1"/>
        </w:rPr>
        <w:t xml:space="preserve">, C., Rossi, A., Ale, A., Campana, M., Parma, M. J., &amp; </w:t>
      </w:r>
      <w:proofErr w:type="spellStart"/>
      <w:r w:rsidRPr="003854B6">
        <w:rPr>
          <w:rFonts w:asciiTheme="majorBidi" w:hAnsiTheme="majorBidi" w:cstheme="majorBidi"/>
          <w:color w:val="000000" w:themeColor="text1"/>
        </w:rPr>
        <w:t>Cazenave</w:t>
      </w:r>
      <w:proofErr w:type="spellEnd"/>
      <w:r w:rsidRPr="003854B6">
        <w:rPr>
          <w:rFonts w:asciiTheme="majorBidi" w:hAnsiTheme="majorBidi" w:cstheme="majorBidi"/>
          <w:color w:val="000000" w:themeColor="text1"/>
        </w:rPr>
        <w:t>, J. (2014). Combined toxicological effects of pesticides: a fish multi-biomarker approach. </w:t>
      </w:r>
      <w:r w:rsidRPr="003854B6">
        <w:rPr>
          <w:rFonts w:asciiTheme="majorBidi" w:hAnsiTheme="majorBidi" w:cstheme="majorBidi"/>
          <w:i/>
          <w:iCs/>
          <w:color w:val="000000" w:themeColor="text1"/>
        </w:rPr>
        <w:t>Ecological Indicators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36</w:t>
      </w:r>
      <w:r w:rsidRPr="003854B6">
        <w:rPr>
          <w:rFonts w:asciiTheme="majorBidi" w:hAnsiTheme="majorBidi" w:cstheme="majorBidi"/>
          <w:color w:val="000000" w:themeColor="text1"/>
        </w:rPr>
        <w:t>, 532-538.</w:t>
      </w:r>
    </w:p>
    <w:p w14:paraId="70A98350"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Bojarski</w:t>
      </w:r>
      <w:proofErr w:type="spellEnd"/>
      <w:r w:rsidRPr="003854B6">
        <w:rPr>
          <w:rFonts w:asciiTheme="majorBidi" w:hAnsiTheme="majorBidi" w:cstheme="majorBidi"/>
          <w:color w:val="000000" w:themeColor="text1"/>
        </w:rPr>
        <w:t xml:space="preserve">, B., </w:t>
      </w:r>
      <w:proofErr w:type="spellStart"/>
      <w:r w:rsidRPr="003854B6">
        <w:rPr>
          <w:rFonts w:asciiTheme="majorBidi" w:hAnsiTheme="majorBidi" w:cstheme="majorBidi"/>
          <w:color w:val="000000" w:themeColor="text1"/>
        </w:rPr>
        <w:t>Witeska</w:t>
      </w:r>
      <w:proofErr w:type="spellEnd"/>
      <w:r w:rsidRPr="003854B6">
        <w:rPr>
          <w:rFonts w:asciiTheme="majorBidi" w:hAnsiTheme="majorBidi" w:cstheme="majorBidi"/>
          <w:color w:val="000000" w:themeColor="text1"/>
        </w:rPr>
        <w:t xml:space="preserve">, M., &amp; </w:t>
      </w:r>
      <w:proofErr w:type="spellStart"/>
      <w:r w:rsidRPr="003854B6">
        <w:rPr>
          <w:rFonts w:asciiTheme="majorBidi" w:hAnsiTheme="majorBidi" w:cstheme="majorBidi"/>
          <w:color w:val="000000" w:themeColor="text1"/>
        </w:rPr>
        <w:t>Kondera</w:t>
      </w:r>
      <w:proofErr w:type="spellEnd"/>
      <w:r w:rsidRPr="003854B6">
        <w:rPr>
          <w:rFonts w:asciiTheme="majorBidi" w:hAnsiTheme="majorBidi" w:cstheme="majorBidi"/>
          <w:color w:val="000000" w:themeColor="text1"/>
        </w:rPr>
        <w:t>, E. (2025). Blood Biochemical Biomarkers in Fish Toxicology—A Review. </w:t>
      </w:r>
      <w:r w:rsidRPr="003854B6">
        <w:rPr>
          <w:rFonts w:asciiTheme="majorBidi" w:hAnsiTheme="majorBidi" w:cstheme="majorBidi"/>
          <w:i/>
          <w:iCs/>
          <w:color w:val="000000" w:themeColor="text1"/>
        </w:rPr>
        <w:t>Animals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15</w:t>
      </w:r>
      <w:r w:rsidRPr="003854B6">
        <w:rPr>
          <w:rFonts w:asciiTheme="majorBidi" w:hAnsiTheme="majorBidi" w:cstheme="majorBidi"/>
          <w:color w:val="000000" w:themeColor="text1"/>
        </w:rPr>
        <w:t>(7), 965.</w:t>
      </w:r>
    </w:p>
    <w:p w14:paraId="321F8954" w14:textId="77777777" w:rsidR="003854B6" w:rsidRP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Chen, R., Hou, R., Hong, X., Yan, S., &amp; </w:t>
      </w:r>
      <w:proofErr w:type="spellStart"/>
      <w:r w:rsidRPr="003854B6">
        <w:rPr>
          <w:rFonts w:asciiTheme="majorBidi" w:hAnsiTheme="majorBidi" w:cstheme="majorBidi"/>
          <w:color w:val="000000" w:themeColor="text1"/>
        </w:rPr>
        <w:t>Zha</w:t>
      </w:r>
      <w:proofErr w:type="spellEnd"/>
      <w:r w:rsidRPr="003854B6">
        <w:rPr>
          <w:rFonts w:asciiTheme="majorBidi" w:hAnsiTheme="majorBidi" w:cstheme="majorBidi"/>
          <w:color w:val="000000" w:themeColor="text1"/>
        </w:rPr>
        <w:t>, J. (2019). Organophosphate flame retardants (OPFRs) induce genotoxicity in vivo: a survey on apoptosis, DNA methylation, DNA oxidative damage, liver metabolites, and transcriptomics. </w:t>
      </w:r>
      <w:r w:rsidRPr="003854B6">
        <w:rPr>
          <w:rFonts w:asciiTheme="majorBidi" w:hAnsiTheme="majorBidi" w:cstheme="majorBidi"/>
          <w:i/>
          <w:iCs/>
          <w:color w:val="000000" w:themeColor="text1"/>
        </w:rPr>
        <w:t>Environment international</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130</w:t>
      </w:r>
      <w:r w:rsidRPr="003854B6">
        <w:rPr>
          <w:rFonts w:asciiTheme="majorBidi" w:hAnsiTheme="majorBidi" w:cstheme="majorBidi"/>
          <w:color w:val="000000" w:themeColor="text1"/>
        </w:rPr>
        <w:t>, 104914.</w:t>
      </w:r>
    </w:p>
    <w:p w14:paraId="7EE41954"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Chowdhury, A., &amp; </w:t>
      </w:r>
      <w:proofErr w:type="spellStart"/>
      <w:r w:rsidRPr="003854B6">
        <w:rPr>
          <w:rFonts w:asciiTheme="majorBidi" w:hAnsiTheme="majorBidi" w:cstheme="majorBidi"/>
          <w:color w:val="000000" w:themeColor="text1"/>
        </w:rPr>
        <w:t>Haq</w:t>
      </w:r>
      <w:proofErr w:type="spellEnd"/>
      <w:r w:rsidRPr="003854B6">
        <w:rPr>
          <w:rFonts w:asciiTheme="majorBidi" w:hAnsiTheme="majorBidi" w:cstheme="majorBidi"/>
          <w:color w:val="000000" w:themeColor="text1"/>
        </w:rPr>
        <w:t xml:space="preserve">, M. (2012). Alteration of </w:t>
      </w:r>
      <w:proofErr w:type="spellStart"/>
      <w:r w:rsidRPr="003854B6">
        <w:rPr>
          <w:rFonts w:asciiTheme="majorBidi" w:hAnsiTheme="majorBidi" w:cstheme="majorBidi"/>
          <w:color w:val="000000" w:themeColor="text1"/>
        </w:rPr>
        <w:t>haematolocial</w:t>
      </w:r>
      <w:proofErr w:type="spellEnd"/>
      <w:r w:rsidRPr="003854B6">
        <w:rPr>
          <w:rFonts w:asciiTheme="majorBidi" w:hAnsiTheme="majorBidi" w:cstheme="majorBidi"/>
          <w:color w:val="000000" w:themeColor="text1"/>
        </w:rPr>
        <w:t xml:space="preserve"> parameters of" </w:t>
      </w:r>
      <w:proofErr w:type="spellStart"/>
      <w:r w:rsidRPr="003854B6">
        <w:rPr>
          <w:rFonts w:asciiTheme="majorBidi" w:hAnsiTheme="majorBidi" w:cstheme="majorBidi"/>
          <w:color w:val="000000" w:themeColor="text1"/>
        </w:rPr>
        <w:t>zeol</w:t>
      </w:r>
      <w:proofErr w:type="spellEnd"/>
      <w:r w:rsidRPr="003854B6">
        <w:rPr>
          <w:rFonts w:asciiTheme="majorBidi" w:hAnsiTheme="majorBidi" w:cstheme="majorBidi"/>
          <w:color w:val="000000" w:themeColor="text1"/>
        </w:rPr>
        <w:t xml:space="preserve"> fish"-</w:t>
      </w:r>
      <w:proofErr w:type="spellStart"/>
      <w:r w:rsidRPr="003854B6">
        <w:rPr>
          <w:rFonts w:asciiTheme="majorBidi" w:hAnsiTheme="majorBidi" w:cstheme="majorBidi"/>
          <w:color w:val="000000" w:themeColor="text1"/>
        </w:rPr>
        <w:t>Clarias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batrachus</w:t>
      </w:r>
      <w:proofErr w:type="spellEnd"/>
      <w:r w:rsidRPr="003854B6">
        <w:rPr>
          <w:rFonts w:asciiTheme="majorBidi" w:hAnsiTheme="majorBidi" w:cstheme="majorBidi"/>
          <w:color w:val="000000" w:themeColor="text1"/>
        </w:rPr>
        <w:t xml:space="preserve"> exposed to malathion. </w:t>
      </w:r>
      <w:r w:rsidRPr="003854B6">
        <w:rPr>
          <w:rFonts w:asciiTheme="majorBidi" w:hAnsiTheme="majorBidi" w:cstheme="majorBidi"/>
          <w:i/>
          <w:iCs/>
          <w:color w:val="000000" w:themeColor="text1"/>
        </w:rPr>
        <w:t>Bangladesh Journal of Zoology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40</w:t>
      </w:r>
      <w:r w:rsidRPr="003854B6">
        <w:rPr>
          <w:rFonts w:asciiTheme="majorBidi" w:hAnsiTheme="majorBidi" w:cstheme="majorBidi"/>
          <w:color w:val="000000" w:themeColor="text1"/>
        </w:rPr>
        <w:t>(2), 183-188.</w:t>
      </w:r>
    </w:p>
    <w:p w14:paraId="0FACA61A" w14:textId="37805366"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Das, B. K., Nayak, K. K., &amp; Kumar, V. (2024). Alteration of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and biochemical biomarkers after sub-lethal chronic malathion (</w:t>
      </w:r>
      <w:proofErr w:type="spellStart"/>
      <w:r w:rsidRPr="003854B6">
        <w:rPr>
          <w:rFonts w:asciiTheme="majorBidi" w:hAnsiTheme="majorBidi" w:cstheme="majorBidi"/>
          <w:color w:val="000000" w:themeColor="text1"/>
        </w:rPr>
        <w:t>Elathion</w:t>
      </w:r>
      <w:proofErr w:type="spellEnd"/>
      <w:r w:rsidRPr="003854B6">
        <w:rPr>
          <w:rFonts w:asciiTheme="majorBidi" w:hAnsiTheme="majorBidi" w:cstheme="majorBidi"/>
          <w:color w:val="000000" w:themeColor="text1"/>
        </w:rPr>
        <w:t xml:space="preserve">®) intoxication in </w:t>
      </w:r>
      <w:r w:rsidRPr="003854B6">
        <w:rPr>
          <w:rFonts w:asciiTheme="majorBidi" w:hAnsiTheme="majorBidi" w:cstheme="majorBidi"/>
          <w:color w:val="000000" w:themeColor="text1"/>
        </w:rPr>
        <w:lastRenderedPageBreak/>
        <w:t xml:space="preserve">freshwater fish, </w:t>
      </w:r>
      <w:proofErr w:type="spellStart"/>
      <w:r w:rsidR="0062288B" w:rsidRPr="0062288B">
        <w:rPr>
          <w:rFonts w:asciiTheme="majorBidi" w:hAnsiTheme="majorBidi" w:cstheme="majorBidi"/>
          <w:i/>
          <w:iCs/>
          <w:color w:val="000000" w:themeColor="text1"/>
        </w:rPr>
        <w:t>Labeo</w:t>
      </w:r>
      <w:proofErr w:type="spellEnd"/>
      <w:r w:rsidR="0062288B" w:rsidRPr="0062288B">
        <w:rPr>
          <w:rFonts w:asciiTheme="majorBidi" w:hAnsiTheme="majorBidi" w:cstheme="majorBidi"/>
          <w:i/>
          <w:iCs/>
          <w:color w:val="000000" w:themeColor="text1"/>
        </w:rPr>
        <w:t xml:space="preserve"> </w:t>
      </w:r>
      <w:proofErr w:type="spellStart"/>
      <w:r w:rsidR="0062288B" w:rsidRPr="0062288B">
        <w:rPr>
          <w:rFonts w:asciiTheme="majorBidi" w:hAnsiTheme="majorBidi" w:cstheme="majorBidi"/>
          <w:i/>
          <w:iCs/>
          <w:color w:val="000000" w:themeColor="text1"/>
        </w:rPr>
        <w:t>rohita</w:t>
      </w:r>
      <w:proofErr w:type="spellEnd"/>
      <w:r w:rsidRPr="003854B6">
        <w:rPr>
          <w:rFonts w:asciiTheme="majorBidi" w:hAnsiTheme="majorBidi" w:cstheme="majorBidi"/>
          <w:color w:val="000000" w:themeColor="text1"/>
        </w:rPr>
        <w:t xml:space="preserve"> (Hamilton, 1822). </w:t>
      </w:r>
      <w:r w:rsidRPr="003854B6">
        <w:rPr>
          <w:rFonts w:asciiTheme="majorBidi" w:hAnsiTheme="majorBidi" w:cstheme="majorBidi"/>
          <w:i/>
          <w:iCs/>
          <w:color w:val="000000" w:themeColor="text1"/>
        </w:rPr>
        <w:t>Comparative Biochemistry and Physiology Part C: Toxicology &amp; Pharmacology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277</w:t>
      </w:r>
      <w:r w:rsidRPr="003854B6">
        <w:rPr>
          <w:rFonts w:asciiTheme="majorBidi" w:hAnsiTheme="majorBidi" w:cstheme="majorBidi"/>
          <w:color w:val="000000" w:themeColor="text1"/>
        </w:rPr>
        <w:t>, 109844.</w:t>
      </w:r>
    </w:p>
    <w:p w14:paraId="6D6CED36"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Deb, N., &amp; Das, S. (2021). Acetylcholine esterase and antioxidant responses in freshwater teleost, </w:t>
      </w:r>
      <w:proofErr w:type="spellStart"/>
      <w:r w:rsidRPr="003854B6">
        <w:rPr>
          <w:rFonts w:asciiTheme="majorBidi" w:hAnsiTheme="majorBidi" w:cstheme="majorBidi"/>
          <w:color w:val="000000" w:themeColor="text1"/>
        </w:rPr>
        <w:t>Channa</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punctata</w:t>
      </w:r>
      <w:proofErr w:type="spellEnd"/>
      <w:r w:rsidRPr="003854B6">
        <w:rPr>
          <w:rFonts w:asciiTheme="majorBidi" w:hAnsiTheme="majorBidi" w:cstheme="majorBidi"/>
          <w:color w:val="000000" w:themeColor="text1"/>
        </w:rPr>
        <w:t xml:space="preserve"> exposed to chlorpyrifos and urea. </w:t>
      </w:r>
      <w:r w:rsidRPr="003854B6">
        <w:rPr>
          <w:rFonts w:asciiTheme="majorBidi" w:hAnsiTheme="majorBidi" w:cstheme="majorBidi"/>
          <w:i/>
          <w:iCs/>
          <w:color w:val="000000" w:themeColor="text1"/>
        </w:rPr>
        <w:t>Comparative Biochemistry and Physiology Part C: Toxicology &amp; Pharmacology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240</w:t>
      </w:r>
      <w:r w:rsidRPr="003854B6">
        <w:rPr>
          <w:rFonts w:asciiTheme="majorBidi" w:hAnsiTheme="majorBidi" w:cstheme="majorBidi"/>
          <w:color w:val="000000" w:themeColor="text1"/>
        </w:rPr>
        <w:t>, 108912.</w:t>
      </w:r>
    </w:p>
    <w:p w14:paraId="06D5328C"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Dewali</w:t>
      </w:r>
      <w:proofErr w:type="spellEnd"/>
      <w:r w:rsidRPr="003854B6">
        <w:rPr>
          <w:rFonts w:asciiTheme="majorBidi" w:hAnsiTheme="majorBidi" w:cstheme="majorBidi"/>
          <w:color w:val="000000" w:themeColor="text1"/>
        </w:rPr>
        <w:t xml:space="preserve">, S., Sharma, N. P., Rawat, G., </w:t>
      </w:r>
      <w:proofErr w:type="spellStart"/>
      <w:r w:rsidRPr="003854B6">
        <w:rPr>
          <w:rFonts w:asciiTheme="majorBidi" w:hAnsiTheme="majorBidi" w:cstheme="majorBidi"/>
          <w:color w:val="000000" w:themeColor="text1"/>
        </w:rPr>
        <w:t>Melkani</w:t>
      </w:r>
      <w:proofErr w:type="spellEnd"/>
      <w:r w:rsidRPr="003854B6">
        <w:rPr>
          <w:rFonts w:asciiTheme="majorBidi" w:hAnsiTheme="majorBidi" w:cstheme="majorBidi"/>
          <w:color w:val="000000" w:themeColor="text1"/>
        </w:rPr>
        <w:t xml:space="preserve">, D. C., </w:t>
      </w:r>
      <w:proofErr w:type="spellStart"/>
      <w:r w:rsidRPr="003854B6">
        <w:rPr>
          <w:rFonts w:asciiTheme="majorBidi" w:hAnsiTheme="majorBidi" w:cstheme="majorBidi"/>
          <w:color w:val="000000" w:themeColor="text1"/>
        </w:rPr>
        <w:t>Miglani</w:t>
      </w:r>
      <w:proofErr w:type="spellEnd"/>
      <w:r w:rsidRPr="003854B6">
        <w:rPr>
          <w:rFonts w:asciiTheme="majorBidi" w:hAnsiTheme="majorBidi" w:cstheme="majorBidi"/>
          <w:color w:val="000000" w:themeColor="text1"/>
        </w:rPr>
        <w:t>, R., Pathak, V. M., ... &amp; Bisht, S. S. (2024). Fish blood serum as a biomarker of water pollution. In </w:t>
      </w:r>
      <w:r w:rsidRPr="003854B6">
        <w:rPr>
          <w:rFonts w:asciiTheme="majorBidi" w:hAnsiTheme="majorBidi" w:cstheme="majorBidi"/>
          <w:i/>
          <w:iCs/>
          <w:color w:val="000000" w:themeColor="text1"/>
        </w:rPr>
        <w:t>Biomarkers in Environmental and Human Health Biomonitoring</w:t>
      </w:r>
      <w:r w:rsidRPr="003854B6">
        <w:rPr>
          <w:rFonts w:asciiTheme="majorBidi" w:hAnsiTheme="majorBidi" w:cstheme="majorBidi"/>
          <w:color w:val="000000" w:themeColor="text1"/>
        </w:rPr>
        <w:t> (pp. 81-107). Academic Press.</w:t>
      </w:r>
    </w:p>
    <w:p w14:paraId="3C00D723"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Diaz, J. E. S., &amp; López-López, E. (2013). Fish as sentinel organisms: from the molecular to the population level, a review.</w:t>
      </w:r>
    </w:p>
    <w:p w14:paraId="074A2EFD"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Docan</w:t>
      </w:r>
      <w:proofErr w:type="spellEnd"/>
      <w:r w:rsidRPr="003854B6">
        <w:rPr>
          <w:rFonts w:asciiTheme="majorBidi" w:hAnsiTheme="majorBidi" w:cstheme="majorBidi"/>
          <w:color w:val="000000" w:themeColor="text1"/>
        </w:rPr>
        <w:t xml:space="preserve">, A., </w:t>
      </w:r>
      <w:proofErr w:type="spellStart"/>
      <w:r w:rsidRPr="003854B6">
        <w:rPr>
          <w:rFonts w:asciiTheme="majorBidi" w:hAnsiTheme="majorBidi" w:cstheme="majorBidi"/>
          <w:color w:val="000000" w:themeColor="text1"/>
        </w:rPr>
        <w:t>Grecu</w:t>
      </w:r>
      <w:proofErr w:type="spellEnd"/>
      <w:r w:rsidRPr="003854B6">
        <w:rPr>
          <w:rFonts w:asciiTheme="majorBidi" w:hAnsiTheme="majorBidi" w:cstheme="majorBidi"/>
          <w:color w:val="000000" w:themeColor="text1"/>
        </w:rPr>
        <w:t xml:space="preserve">, I., &amp; </w:t>
      </w:r>
      <w:proofErr w:type="spellStart"/>
      <w:r w:rsidRPr="003854B6">
        <w:rPr>
          <w:rFonts w:asciiTheme="majorBidi" w:hAnsiTheme="majorBidi" w:cstheme="majorBidi"/>
          <w:color w:val="000000" w:themeColor="text1"/>
        </w:rPr>
        <w:t>Dediu</w:t>
      </w:r>
      <w:proofErr w:type="spellEnd"/>
      <w:r w:rsidRPr="003854B6">
        <w:rPr>
          <w:rFonts w:asciiTheme="majorBidi" w:hAnsiTheme="majorBidi" w:cstheme="majorBidi"/>
          <w:color w:val="000000" w:themeColor="text1"/>
        </w:rPr>
        <w:t>, L. (2018). Use of hematological parameters as assessment tools in fish health status. </w:t>
      </w:r>
      <w:r w:rsidRPr="003854B6">
        <w:rPr>
          <w:rFonts w:asciiTheme="majorBidi" w:hAnsiTheme="majorBidi" w:cstheme="majorBidi"/>
          <w:i/>
          <w:iCs/>
          <w:color w:val="000000" w:themeColor="text1"/>
        </w:rPr>
        <w:t xml:space="preserve">Journal of </w:t>
      </w:r>
      <w:proofErr w:type="spellStart"/>
      <w:r w:rsidRPr="003854B6">
        <w:rPr>
          <w:rFonts w:asciiTheme="majorBidi" w:hAnsiTheme="majorBidi" w:cstheme="majorBidi"/>
          <w:i/>
          <w:iCs/>
          <w:color w:val="000000" w:themeColor="text1"/>
        </w:rPr>
        <w:t>Agrolimentary</w:t>
      </w:r>
      <w:proofErr w:type="spellEnd"/>
      <w:r w:rsidRPr="003854B6">
        <w:rPr>
          <w:rFonts w:asciiTheme="majorBidi" w:hAnsiTheme="majorBidi" w:cstheme="majorBidi"/>
          <w:i/>
          <w:iCs/>
          <w:color w:val="000000" w:themeColor="text1"/>
        </w:rPr>
        <w:t xml:space="preserve"> Processes and Technologies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24</w:t>
      </w:r>
      <w:r w:rsidRPr="003854B6">
        <w:rPr>
          <w:rFonts w:asciiTheme="majorBidi" w:hAnsiTheme="majorBidi" w:cstheme="majorBidi"/>
          <w:color w:val="000000" w:themeColor="text1"/>
        </w:rPr>
        <w:t>, 317-324.</w:t>
      </w:r>
    </w:p>
    <w:p w14:paraId="43F94826"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Fu, H., Xia, Y., Chen, Y., Xu, T., Xu, L., Guo, Z., ... &amp; Zhao, B. (2018). Acetylcholinesterase is a potential biomarker for a broad spectrum of organic environmental pollutants. </w:t>
      </w:r>
      <w:r w:rsidRPr="003854B6">
        <w:rPr>
          <w:rFonts w:asciiTheme="majorBidi" w:hAnsiTheme="majorBidi" w:cstheme="majorBidi"/>
          <w:i/>
          <w:iCs/>
          <w:color w:val="000000" w:themeColor="text1"/>
        </w:rPr>
        <w:t>Environmental science &amp; technology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52</w:t>
      </w:r>
      <w:r w:rsidRPr="003854B6">
        <w:rPr>
          <w:rFonts w:asciiTheme="majorBidi" w:hAnsiTheme="majorBidi" w:cstheme="majorBidi"/>
          <w:color w:val="000000" w:themeColor="text1"/>
        </w:rPr>
        <w:t>(15), 8065-8074.</w:t>
      </w:r>
    </w:p>
    <w:p w14:paraId="4D51A209" w14:textId="77777777" w:rsidR="003854B6" w:rsidRP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Guo, R., Ren, X., &amp; Ren, H. (2012). A new method for analysis of the toxicity of organophosphorus pesticide, dimethoate on rotifer based on response surface methodology. </w:t>
      </w:r>
      <w:r w:rsidRPr="003854B6">
        <w:rPr>
          <w:rFonts w:asciiTheme="majorBidi" w:hAnsiTheme="majorBidi" w:cstheme="majorBidi"/>
          <w:i/>
          <w:iCs/>
          <w:color w:val="000000" w:themeColor="text1"/>
        </w:rPr>
        <w:t>Journal of hazardous materials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237</w:t>
      </w:r>
      <w:r w:rsidRPr="003854B6">
        <w:rPr>
          <w:rFonts w:asciiTheme="majorBidi" w:hAnsiTheme="majorBidi" w:cstheme="majorBidi"/>
          <w:color w:val="000000" w:themeColor="text1"/>
        </w:rPr>
        <w:t xml:space="preserve">, 270-276. </w:t>
      </w:r>
    </w:p>
    <w:p w14:paraId="4FC21101"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Hossain, M. A., </w:t>
      </w:r>
      <w:proofErr w:type="spellStart"/>
      <w:r w:rsidRPr="003854B6">
        <w:rPr>
          <w:rFonts w:asciiTheme="majorBidi" w:hAnsiTheme="majorBidi" w:cstheme="majorBidi"/>
          <w:color w:val="000000" w:themeColor="text1"/>
        </w:rPr>
        <w:t>Sutradhar</w:t>
      </w:r>
      <w:proofErr w:type="spellEnd"/>
      <w:r w:rsidRPr="003854B6">
        <w:rPr>
          <w:rFonts w:asciiTheme="majorBidi" w:hAnsiTheme="majorBidi" w:cstheme="majorBidi"/>
          <w:color w:val="000000" w:themeColor="text1"/>
        </w:rPr>
        <w:t xml:space="preserve">, L., </w:t>
      </w:r>
      <w:proofErr w:type="spellStart"/>
      <w:r w:rsidRPr="003854B6">
        <w:rPr>
          <w:rFonts w:asciiTheme="majorBidi" w:hAnsiTheme="majorBidi" w:cstheme="majorBidi"/>
          <w:color w:val="000000" w:themeColor="text1"/>
        </w:rPr>
        <w:t>Sarker</w:t>
      </w:r>
      <w:proofErr w:type="spellEnd"/>
      <w:r w:rsidRPr="003854B6">
        <w:rPr>
          <w:rFonts w:asciiTheme="majorBidi" w:hAnsiTheme="majorBidi" w:cstheme="majorBidi"/>
          <w:color w:val="000000" w:themeColor="text1"/>
        </w:rPr>
        <w:t xml:space="preserve">, T. R., </w:t>
      </w:r>
      <w:proofErr w:type="spellStart"/>
      <w:r w:rsidRPr="003854B6">
        <w:rPr>
          <w:rFonts w:asciiTheme="majorBidi" w:hAnsiTheme="majorBidi" w:cstheme="majorBidi"/>
          <w:color w:val="000000" w:themeColor="text1"/>
        </w:rPr>
        <w:t>Saha</w:t>
      </w:r>
      <w:proofErr w:type="spellEnd"/>
      <w:r w:rsidRPr="003854B6">
        <w:rPr>
          <w:rFonts w:asciiTheme="majorBidi" w:hAnsiTheme="majorBidi" w:cstheme="majorBidi"/>
          <w:color w:val="000000" w:themeColor="text1"/>
        </w:rPr>
        <w:t xml:space="preserve">, S., &amp; Iqbal, M. M. (2022). Toxic effects of chlorpyrifos on the growth, hematology, and different organs histopathology of Nile tilapia, Oreochromis </w:t>
      </w:r>
      <w:proofErr w:type="spellStart"/>
      <w:r w:rsidRPr="003854B6">
        <w:rPr>
          <w:rFonts w:asciiTheme="majorBidi" w:hAnsiTheme="majorBidi" w:cstheme="majorBidi"/>
          <w:color w:val="000000" w:themeColor="text1"/>
        </w:rPr>
        <w:t>niloticus</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Saudi journal of biological sciences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29</w:t>
      </w:r>
      <w:r w:rsidRPr="003854B6">
        <w:rPr>
          <w:rFonts w:asciiTheme="majorBidi" w:hAnsiTheme="majorBidi" w:cstheme="majorBidi"/>
          <w:color w:val="000000" w:themeColor="text1"/>
        </w:rPr>
        <w:t>(7), 103316.</w:t>
      </w:r>
    </w:p>
    <w:p w14:paraId="6313361E" w14:textId="77777777" w:rsidR="003854B6" w:rsidRPr="003854B6" w:rsidRDefault="003854B6" w:rsidP="00F26AAA">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lastRenderedPageBreak/>
        <w:t xml:space="preserve">Hossain, Z., </w:t>
      </w:r>
      <w:proofErr w:type="spellStart"/>
      <w:r w:rsidRPr="003854B6">
        <w:rPr>
          <w:rFonts w:asciiTheme="majorBidi" w:hAnsiTheme="majorBidi" w:cstheme="majorBidi"/>
          <w:color w:val="000000" w:themeColor="text1"/>
        </w:rPr>
        <w:t>Akter</w:t>
      </w:r>
      <w:proofErr w:type="spellEnd"/>
      <w:r w:rsidRPr="003854B6">
        <w:rPr>
          <w:rFonts w:asciiTheme="majorBidi" w:hAnsiTheme="majorBidi" w:cstheme="majorBidi"/>
          <w:color w:val="000000" w:themeColor="text1"/>
        </w:rPr>
        <w:t xml:space="preserve">, R., </w:t>
      </w:r>
      <w:proofErr w:type="spellStart"/>
      <w:r w:rsidRPr="003854B6">
        <w:rPr>
          <w:rFonts w:asciiTheme="majorBidi" w:hAnsiTheme="majorBidi" w:cstheme="majorBidi"/>
          <w:color w:val="000000" w:themeColor="text1"/>
        </w:rPr>
        <w:t>Moin</w:t>
      </w:r>
      <w:proofErr w:type="spellEnd"/>
      <w:r w:rsidRPr="003854B6">
        <w:rPr>
          <w:rFonts w:asciiTheme="majorBidi" w:hAnsiTheme="majorBidi" w:cstheme="majorBidi"/>
          <w:color w:val="000000" w:themeColor="text1"/>
        </w:rPr>
        <w:t xml:space="preserve">, M. B., </w:t>
      </w:r>
      <w:proofErr w:type="spellStart"/>
      <w:r w:rsidRPr="003854B6">
        <w:rPr>
          <w:rFonts w:asciiTheme="majorBidi" w:hAnsiTheme="majorBidi" w:cstheme="majorBidi"/>
          <w:color w:val="000000" w:themeColor="text1"/>
        </w:rPr>
        <w:t>Mondol</w:t>
      </w:r>
      <w:proofErr w:type="spellEnd"/>
      <w:r w:rsidRPr="003854B6">
        <w:rPr>
          <w:rFonts w:asciiTheme="majorBidi" w:hAnsiTheme="majorBidi" w:cstheme="majorBidi"/>
          <w:color w:val="000000" w:themeColor="text1"/>
        </w:rPr>
        <w:t xml:space="preserve">, S. K., </w:t>
      </w:r>
      <w:proofErr w:type="spellStart"/>
      <w:r w:rsidRPr="003854B6">
        <w:rPr>
          <w:rFonts w:asciiTheme="majorBidi" w:hAnsiTheme="majorBidi" w:cstheme="majorBidi"/>
          <w:color w:val="000000" w:themeColor="text1"/>
        </w:rPr>
        <w:t>Saha</w:t>
      </w:r>
      <w:proofErr w:type="spellEnd"/>
      <w:r w:rsidRPr="003854B6">
        <w:rPr>
          <w:rFonts w:asciiTheme="majorBidi" w:hAnsiTheme="majorBidi" w:cstheme="majorBidi"/>
          <w:color w:val="000000" w:themeColor="text1"/>
        </w:rPr>
        <w:t xml:space="preserve">, T. K., </w:t>
      </w:r>
      <w:proofErr w:type="spellStart"/>
      <w:r w:rsidRPr="003854B6">
        <w:rPr>
          <w:rFonts w:asciiTheme="majorBidi" w:hAnsiTheme="majorBidi" w:cstheme="majorBidi"/>
          <w:color w:val="000000" w:themeColor="text1"/>
        </w:rPr>
        <w:t>Tumpa</w:t>
      </w:r>
      <w:proofErr w:type="spellEnd"/>
      <w:r w:rsidRPr="003854B6">
        <w:rPr>
          <w:rFonts w:asciiTheme="majorBidi" w:hAnsiTheme="majorBidi" w:cstheme="majorBidi"/>
          <w:color w:val="000000" w:themeColor="text1"/>
        </w:rPr>
        <w:t xml:space="preserve">, I. J., ... &amp; </w:t>
      </w:r>
      <w:proofErr w:type="spellStart"/>
      <w:r w:rsidRPr="003854B6">
        <w:rPr>
          <w:rFonts w:asciiTheme="majorBidi" w:hAnsiTheme="majorBidi" w:cstheme="majorBidi"/>
          <w:color w:val="000000" w:themeColor="text1"/>
        </w:rPr>
        <w:t>Moniruzzaman</w:t>
      </w:r>
      <w:proofErr w:type="spellEnd"/>
      <w:r w:rsidRPr="003854B6">
        <w:rPr>
          <w:rFonts w:asciiTheme="majorBidi" w:hAnsiTheme="majorBidi" w:cstheme="majorBidi"/>
          <w:color w:val="000000" w:themeColor="text1"/>
        </w:rPr>
        <w:t>, M. (2025). Evaluation of Chlorpyriphos as an Organophosphate Pesticide on Hematology, Blood Biochemistry, Antioxidant Capacity, Oxidative Stress, and Histopathological Changes in Juvenile Silver Barb (</w:t>
      </w:r>
      <w:proofErr w:type="spellStart"/>
      <w:r w:rsidRPr="003854B6">
        <w:rPr>
          <w:rFonts w:asciiTheme="majorBidi" w:hAnsiTheme="majorBidi" w:cstheme="majorBidi"/>
          <w:color w:val="000000" w:themeColor="text1"/>
        </w:rPr>
        <w:t>Barbonymus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gonionotus</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Aquaculture Research</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2025</w:t>
      </w:r>
      <w:r w:rsidRPr="003854B6">
        <w:rPr>
          <w:rFonts w:asciiTheme="majorBidi" w:hAnsiTheme="majorBidi" w:cstheme="majorBidi"/>
          <w:color w:val="000000" w:themeColor="text1"/>
        </w:rPr>
        <w:t>(1), 7426390.</w:t>
      </w:r>
    </w:p>
    <w:p w14:paraId="7310062B" w14:textId="77777777" w:rsidR="003854B6" w:rsidRPr="003854B6" w:rsidRDefault="003854B6" w:rsidP="001B1611">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Isik</w:t>
      </w:r>
      <w:proofErr w:type="spellEnd"/>
      <w:r w:rsidRPr="003854B6">
        <w:rPr>
          <w:rFonts w:asciiTheme="majorBidi" w:hAnsiTheme="majorBidi" w:cstheme="majorBidi"/>
          <w:color w:val="000000" w:themeColor="text1"/>
        </w:rPr>
        <w:t xml:space="preserve">, I., &amp; </w:t>
      </w:r>
      <w:proofErr w:type="spellStart"/>
      <w:r w:rsidRPr="003854B6">
        <w:rPr>
          <w:rFonts w:asciiTheme="majorBidi" w:hAnsiTheme="majorBidi" w:cstheme="majorBidi"/>
          <w:color w:val="000000" w:themeColor="text1"/>
        </w:rPr>
        <w:t>Celik</w:t>
      </w:r>
      <w:proofErr w:type="spellEnd"/>
      <w:r w:rsidRPr="003854B6">
        <w:rPr>
          <w:rFonts w:asciiTheme="majorBidi" w:hAnsiTheme="majorBidi" w:cstheme="majorBidi"/>
          <w:color w:val="000000" w:themeColor="text1"/>
        </w:rPr>
        <w:t xml:space="preserve">, I. (2008). Acute effects of methyl parathion and diazinon as inducers for oxidative stress on certain biomarkers in various tissues of </w:t>
      </w:r>
      <w:proofErr w:type="spellStart"/>
      <w:r w:rsidRPr="003854B6">
        <w:rPr>
          <w:rFonts w:asciiTheme="majorBidi" w:hAnsiTheme="majorBidi" w:cstheme="majorBidi"/>
          <w:color w:val="000000" w:themeColor="text1"/>
        </w:rPr>
        <w:t>rainbowtrout</w:t>
      </w:r>
      <w:proofErr w:type="spellEnd"/>
      <w:r w:rsidRPr="003854B6">
        <w:rPr>
          <w:rFonts w:asciiTheme="majorBidi" w:hAnsiTheme="majorBidi" w:cstheme="majorBidi"/>
          <w:color w:val="000000" w:themeColor="text1"/>
        </w:rPr>
        <w:t xml:space="preserve"> (Oncorhynchus mykiss). </w:t>
      </w:r>
      <w:r w:rsidRPr="003854B6">
        <w:rPr>
          <w:rFonts w:asciiTheme="majorBidi" w:hAnsiTheme="majorBidi" w:cstheme="majorBidi"/>
          <w:i/>
          <w:iCs/>
          <w:color w:val="000000" w:themeColor="text1"/>
        </w:rPr>
        <w:t>Pesticide biochemistry and physiology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92</w:t>
      </w:r>
      <w:r w:rsidRPr="003854B6">
        <w:rPr>
          <w:rFonts w:asciiTheme="majorBidi" w:hAnsiTheme="majorBidi" w:cstheme="majorBidi"/>
          <w:color w:val="000000" w:themeColor="text1"/>
        </w:rPr>
        <w:t>(1), 38-42.</w:t>
      </w:r>
    </w:p>
    <w:p w14:paraId="48C9A7B1"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Iyiola</w:t>
      </w:r>
      <w:proofErr w:type="spellEnd"/>
      <w:r w:rsidRPr="003854B6">
        <w:rPr>
          <w:rFonts w:asciiTheme="majorBidi" w:hAnsiTheme="majorBidi" w:cstheme="majorBidi"/>
          <w:color w:val="000000" w:themeColor="text1"/>
        </w:rPr>
        <w:t xml:space="preserve">, A. O., </w:t>
      </w:r>
      <w:proofErr w:type="spellStart"/>
      <w:r w:rsidRPr="003854B6">
        <w:rPr>
          <w:rFonts w:asciiTheme="majorBidi" w:hAnsiTheme="majorBidi" w:cstheme="majorBidi"/>
          <w:color w:val="000000" w:themeColor="text1"/>
        </w:rPr>
        <w:t>Setufe</w:t>
      </w:r>
      <w:proofErr w:type="spellEnd"/>
      <w:r w:rsidRPr="003854B6">
        <w:rPr>
          <w:rFonts w:asciiTheme="majorBidi" w:hAnsiTheme="majorBidi" w:cstheme="majorBidi"/>
          <w:color w:val="000000" w:themeColor="text1"/>
        </w:rPr>
        <w:t xml:space="preserve">, S. B., Ofori, E., </w:t>
      </w:r>
      <w:proofErr w:type="spellStart"/>
      <w:r w:rsidRPr="003854B6">
        <w:rPr>
          <w:rFonts w:asciiTheme="majorBidi" w:hAnsiTheme="majorBidi" w:cstheme="majorBidi"/>
          <w:color w:val="000000" w:themeColor="text1"/>
        </w:rPr>
        <w:t>Bilikoni</w:t>
      </w:r>
      <w:proofErr w:type="spellEnd"/>
      <w:r w:rsidRPr="003854B6">
        <w:rPr>
          <w:rFonts w:asciiTheme="majorBidi" w:hAnsiTheme="majorBidi" w:cstheme="majorBidi"/>
          <w:color w:val="000000" w:themeColor="text1"/>
        </w:rPr>
        <w:t xml:space="preserve">, J., &amp; </w:t>
      </w:r>
      <w:proofErr w:type="spellStart"/>
      <w:r w:rsidRPr="003854B6">
        <w:rPr>
          <w:rFonts w:asciiTheme="majorBidi" w:hAnsiTheme="majorBidi" w:cstheme="majorBidi"/>
          <w:color w:val="000000" w:themeColor="text1"/>
        </w:rPr>
        <w:t>Ogwu</w:t>
      </w:r>
      <w:proofErr w:type="spellEnd"/>
      <w:r w:rsidRPr="003854B6">
        <w:rPr>
          <w:rFonts w:asciiTheme="majorBidi" w:hAnsiTheme="majorBidi" w:cstheme="majorBidi"/>
          <w:color w:val="000000" w:themeColor="text1"/>
        </w:rPr>
        <w:t>, M. C. (2024). Biomarkers for the detection of pollutants from the water environment. </w:t>
      </w:r>
      <w:r w:rsidRPr="003854B6">
        <w:rPr>
          <w:rFonts w:asciiTheme="majorBidi" w:hAnsiTheme="majorBidi" w:cstheme="majorBidi"/>
          <w:i/>
          <w:iCs/>
          <w:color w:val="000000" w:themeColor="text1"/>
        </w:rPr>
        <w:t>Biomonitoring of pollutants in the global south</w:t>
      </w:r>
      <w:r w:rsidRPr="003854B6">
        <w:rPr>
          <w:rFonts w:asciiTheme="majorBidi" w:hAnsiTheme="majorBidi" w:cstheme="majorBidi"/>
          <w:color w:val="000000" w:themeColor="text1"/>
        </w:rPr>
        <w:t>, 569-602.</w:t>
      </w:r>
    </w:p>
    <w:p w14:paraId="7B3305BE"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Kakkar</w:t>
      </w:r>
      <w:proofErr w:type="spellEnd"/>
      <w:r w:rsidRPr="003854B6">
        <w:rPr>
          <w:rFonts w:asciiTheme="majorBidi" w:hAnsiTheme="majorBidi" w:cstheme="majorBidi"/>
          <w:color w:val="000000" w:themeColor="text1"/>
        </w:rPr>
        <w:t>, A., &amp; Kumar, S. (2024). EMERGING POLLUTANTS: OCCURRENCE, FATE, IMPACTS, AND APPROACHES FOR DETECTION.</w:t>
      </w:r>
    </w:p>
    <w:p w14:paraId="6F703F0F" w14:textId="77777777" w:rsidR="003854B6" w:rsidRPr="003854B6" w:rsidRDefault="003854B6" w:rsidP="00FB3157">
      <w:pPr>
        <w:spacing w:line="360" w:lineRule="auto"/>
        <w:jc w:val="both"/>
        <w:rPr>
          <w:color w:val="000000" w:themeColor="text1"/>
        </w:rPr>
      </w:pPr>
      <w:r w:rsidRPr="003854B6">
        <w:rPr>
          <w:color w:val="000000" w:themeColor="text1"/>
        </w:rPr>
        <w:t xml:space="preserve">Kavitha, P., &amp; Rao, J. V. (2008). Toxic effects of chlorpyrifos on antioxidant enzymes and target enzyme acetylcholinesterase interaction in mosquito fish, Gambusia </w:t>
      </w:r>
      <w:proofErr w:type="spellStart"/>
      <w:r w:rsidRPr="003854B6">
        <w:rPr>
          <w:color w:val="000000" w:themeColor="text1"/>
        </w:rPr>
        <w:t>affinis</w:t>
      </w:r>
      <w:proofErr w:type="spellEnd"/>
      <w:r w:rsidRPr="003854B6">
        <w:rPr>
          <w:color w:val="000000" w:themeColor="text1"/>
        </w:rPr>
        <w:t>. </w:t>
      </w:r>
      <w:r w:rsidRPr="003854B6">
        <w:rPr>
          <w:i/>
          <w:iCs/>
          <w:color w:val="000000" w:themeColor="text1"/>
        </w:rPr>
        <w:t>Environmental toxicology and pharmacology</w:t>
      </w:r>
      <w:r w:rsidRPr="003854B6">
        <w:rPr>
          <w:color w:val="000000" w:themeColor="text1"/>
        </w:rPr>
        <w:t>, </w:t>
      </w:r>
      <w:r w:rsidRPr="003854B6">
        <w:rPr>
          <w:i/>
          <w:iCs/>
          <w:color w:val="000000" w:themeColor="text1"/>
        </w:rPr>
        <w:t>26</w:t>
      </w:r>
      <w:r w:rsidRPr="003854B6">
        <w:rPr>
          <w:color w:val="000000" w:themeColor="text1"/>
        </w:rPr>
        <w:t>(2), 192-198.</w:t>
      </w:r>
    </w:p>
    <w:p w14:paraId="40301829"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Khan, M. P. (2019). </w:t>
      </w:r>
      <w:r w:rsidRPr="003854B6">
        <w:rPr>
          <w:rFonts w:asciiTheme="majorBidi" w:hAnsiTheme="majorBidi" w:cstheme="majorBidi"/>
          <w:i/>
          <w:iCs/>
          <w:color w:val="000000" w:themeColor="text1"/>
        </w:rPr>
        <w:t xml:space="preserve">Effects of </w:t>
      </w:r>
      <w:proofErr w:type="spellStart"/>
      <w:r w:rsidRPr="003854B6">
        <w:rPr>
          <w:rFonts w:asciiTheme="majorBidi" w:hAnsiTheme="majorBidi" w:cstheme="majorBidi"/>
          <w:i/>
          <w:iCs/>
          <w:color w:val="000000" w:themeColor="text1"/>
        </w:rPr>
        <w:t>profenofos</w:t>
      </w:r>
      <w:proofErr w:type="spellEnd"/>
      <w:r w:rsidRPr="003854B6">
        <w:rPr>
          <w:rFonts w:asciiTheme="majorBidi" w:hAnsiTheme="majorBidi" w:cstheme="majorBidi"/>
          <w:i/>
          <w:iCs/>
          <w:color w:val="000000" w:themeColor="text1"/>
        </w:rPr>
        <w:t xml:space="preserve">, an organophosphate pesticide, on the hematological parameters of </w:t>
      </w:r>
      <w:proofErr w:type="spellStart"/>
      <w:r w:rsidRPr="003854B6">
        <w:rPr>
          <w:rFonts w:asciiTheme="majorBidi" w:hAnsiTheme="majorBidi" w:cstheme="majorBidi"/>
          <w:i/>
          <w:iCs/>
          <w:color w:val="000000" w:themeColor="text1"/>
        </w:rPr>
        <w:t>nile</w:t>
      </w:r>
      <w:proofErr w:type="spellEnd"/>
      <w:r w:rsidRPr="003854B6">
        <w:rPr>
          <w:rFonts w:asciiTheme="majorBidi" w:hAnsiTheme="majorBidi" w:cstheme="majorBidi"/>
          <w:i/>
          <w:iCs/>
          <w:color w:val="000000" w:themeColor="text1"/>
        </w:rPr>
        <w:t xml:space="preserve"> tilapia (Oreochromis </w:t>
      </w:r>
      <w:proofErr w:type="spellStart"/>
      <w:r w:rsidRPr="003854B6">
        <w:rPr>
          <w:rFonts w:asciiTheme="majorBidi" w:hAnsiTheme="majorBidi" w:cstheme="majorBidi"/>
          <w:i/>
          <w:iCs/>
          <w:color w:val="000000" w:themeColor="text1"/>
        </w:rPr>
        <w:t>niloticus</w:t>
      </w:r>
      <w:proofErr w:type="spellEnd"/>
      <w:r w:rsidRPr="003854B6">
        <w:rPr>
          <w:rFonts w:asciiTheme="majorBidi" w:hAnsiTheme="majorBidi" w:cstheme="majorBidi"/>
          <w:i/>
          <w:iCs/>
          <w:color w:val="000000" w:themeColor="text1"/>
        </w:rPr>
        <w:t>)</w:t>
      </w:r>
      <w:r w:rsidRPr="003854B6">
        <w:rPr>
          <w:rFonts w:asciiTheme="majorBidi" w:hAnsiTheme="majorBidi" w:cstheme="majorBidi"/>
          <w:color w:val="000000" w:themeColor="text1"/>
        </w:rPr>
        <w:t> (Doctoral dissertation, Department of Fisheries Management, Bangladesh Agricultural University).</w:t>
      </w:r>
    </w:p>
    <w:p w14:paraId="101BC486" w14:textId="4B71489F" w:rsidR="003854B6" w:rsidRPr="003A436F" w:rsidRDefault="003854B6" w:rsidP="003A436F">
      <w:pPr>
        <w:rPr>
          <w:rFonts w:asciiTheme="majorBidi" w:hAnsiTheme="majorBidi" w:cstheme="majorBidi"/>
          <w:color w:val="000000" w:themeColor="text1"/>
        </w:rPr>
      </w:pPr>
      <w:r w:rsidRPr="003A436F">
        <w:rPr>
          <w:rFonts w:asciiTheme="majorBidi" w:hAnsiTheme="majorBidi" w:cstheme="majorBidi"/>
          <w:color w:val="000000" w:themeColor="text1"/>
        </w:rPr>
        <w:t xml:space="preserve">Khan, S., </w:t>
      </w:r>
      <w:proofErr w:type="spellStart"/>
      <w:r w:rsidRPr="003A436F">
        <w:rPr>
          <w:rFonts w:asciiTheme="majorBidi" w:hAnsiTheme="majorBidi" w:cstheme="majorBidi"/>
          <w:color w:val="000000" w:themeColor="text1"/>
        </w:rPr>
        <w:t>Balkhi</w:t>
      </w:r>
      <w:proofErr w:type="spellEnd"/>
      <w:r w:rsidRPr="003A436F">
        <w:rPr>
          <w:rFonts w:asciiTheme="majorBidi" w:hAnsiTheme="majorBidi" w:cstheme="majorBidi"/>
          <w:color w:val="000000" w:themeColor="text1"/>
        </w:rPr>
        <w:t xml:space="preserve">, M. H., </w:t>
      </w:r>
      <w:proofErr w:type="spellStart"/>
      <w:r w:rsidRPr="003A436F">
        <w:rPr>
          <w:rFonts w:asciiTheme="majorBidi" w:hAnsiTheme="majorBidi" w:cstheme="majorBidi"/>
          <w:color w:val="000000" w:themeColor="text1"/>
        </w:rPr>
        <w:t>Abubakr</w:t>
      </w:r>
      <w:proofErr w:type="spellEnd"/>
      <w:r w:rsidRPr="003A436F">
        <w:rPr>
          <w:rFonts w:asciiTheme="majorBidi" w:hAnsiTheme="majorBidi" w:cstheme="majorBidi"/>
          <w:color w:val="000000" w:themeColor="text1"/>
        </w:rPr>
        <w:t xml:space="preserve">, A., </w:t>
      </w: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Bhat, B. A., Bhat, F. A and Asmi, O. (2021). Dimethoate Induced </w:t>
      </w:r>
      <w:proofErr w:type="spellStart"/>
      <w:r w:rsidRPr="003A436F">
        <w:rPr>
          <w:rFonts w:asciiTheme="majorBidi" w:hAnsiTheme="majorBidi" w:cstheme="majorBidi"/>
          <w:color w:val="000000" w:themeColor="text1"/>
        </w:rPr>
        <w:t>Behavioural</w:t>
      </w:r>
      <w:proofErr w:type="spellEnd"/>
      <w:r w:rsidRPr="003A436F">
        <w:rPr>
          <w:rFonts w:asciiTheme="majorBidi" w:hAnsiTheme="majorBidi" w:cstheme="majorBidi"/>
          <w:color w:val="000000" w:themeColor="text1"/>
        </w:rPr>
        <w:t xml:space="preserve"> Anomalies in Juvenile Carps,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A436F">
        <w:rPr>
          <w:rFonts w:asciiTheme="majorBidi" w:hAnsiTheme="majorBidi" w:cstheme="majorBidi"/>
          <w:i/>
          <w:iCs/>
          <w:color w:val="000000" w:themeColor="text1"/>
        </w:rPr>
        <w:t xml:space="preserve"> </w:t>
      </w:r>
      <w:r w:rsidRPr="003A436F">
        <w:rPr>
          <w:rFonts w:asciiTheme="majorBidi" w:hAnsiTheme="majorBidi" w:cstheme="majorBidi"/>
          <w:color w:val="000000" w:themeColor="text1"/>
        </w:rPr>
        <w:t xml:space="preserve">var. </w:t>
      </w:r>
      <w:proofErr w:type="spellStart"/>
      <w:r w:rsidRPr="003A436F">
        <w:rPr>
          <w:rFonts w:asciiTheme="majorBidi" w:hAnsiTheme="majorBidi" w:cstheme="majorBidi"/>
          <w:i/>
          <w:iCs/>
          <w:color w:val="000000" w:themeColor="text1"/>
        </w:rPr>
        <w:t>communis</w:t>
      </w:r>
      <w:proofErr w:type="spellEnd"/>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 xml:space="preserve">Int. J. </w:t>
      </w:r>
      <w:proofErr w:type="spellStart"/>
      <w:r w:rsidRPr="003A436F">
        <w:rPr>
          <w:rFonts w:asciiTheme="majorBidi" w:hAnsiTheme="majorBidi" w:cstheme="majorBidi"/>
          <w:i/>
          <w:iCs/>
          <w:color w:val="000000" w:themeColor="text1"/>
        </w:rPr>
        <w:t>Curr</w:t>
      </w:r>
      <w:proofErr w:type="spellEnd"/>
      <w:r w:rsidRPr="003A436F">
        <w:rPr>
          <w:rFonts w:asciiTheme="majorBidi" w:hAnsiTheme="majorBidi" w:cstheme="majorBidi"/>
          <w:i/>
          <w:iCs/>
          <w:color w:val="000000" w:themeColor="text1"/>
        </w:rPr>
        <w:t>. Microbiol. App. Sci</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10</w:t>
      </w:r>
      <w:r w:rsidRPr="003A436F">
        <w:rPr>
          <w:rFonts w:asciiTheme="majorBidi" w:hAnsiTheme="majorBidi" w:cstheme="majorBidi"/>
          <w:color w:val="000000" w:themeColor="text1"/>
        </w:rPr>
        <w:t xml:space="preserve">(03), 1621-1639. https://doi.org/10.20546/ijcmas.2021.1003.204 </w:t>
      </w:r>
    </w:p>
    <w:p w14:paraId="144F042D" w14:textId="77777777" w:rsidR="003854B6" w:rsidRPr="003A436F" w:rsidRDefault="003854B6" w:rsidP="003A436F">
      <w:pPr>
        <w:rPr>
          <w:rFonts w:asciiTheme="majorBidi" w:hAnsiTheme="majorBidi" w:cstheme="majorBidi"/>
          <w:color w:val="000000" w:themeColor="text1"/>
        </w:rPr>
      </w:pPr>
      <w:r w:rsidRPr="003A436F">
        <w:rPr>
          <w:rFonts w:asciiTheme="majorBidi" w:hAnsiTheme="majorBidi" w:cstheme="majorBidi"/>
          <w:color w:val="000000" w:themeColor="text1"/>
        </w:rPr>
        <w:lastRenderedPageBreak/>
        <w:t xml:space="preserve">Khan, S., </w:t>
      </w: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and </w:t>
      </w:r>
      <w:proofErr w:type="spellStart"/>
      <w:r w:rsidRPr="003A436F">
        <w:rPr>
          <w:rFonts w:asciiTheme="majorBidi" w:hAnsiTheme="majorBidi" w:cstheme="majorBidi"/>
          <w:color w:val="000000" w:themeColor="text1"/>
        </w:rPr>
        <w:t>Balkhi</w:t>
      </w:r>
      <w:proofErr w:type="spellEnd"/>
      <w:r w:rsidRPr="003A436F">
        <w:rPr>
          <w:rFonts w:asciiTheme="majorBidi" w:hAnsiTheme="majorBidi" w:cstheme="majorBidi"/>
          <w:color w:val="000000" w:themeColor="text1"/>
        </w:rPr>
        <w:t xml:space="preserve">, M. (2018). Dichlorvos (76% EC) induced </w:t>
      </w:r>
      <w:proofErr w:type="spellStart"/>
      <w:r w:rsidRPr="003A436F">
        <w:rPr>
          <w:rFonts w:asciiTheme="majorBidi" w:hAnsiTheme="majorBidi" w:cstheme="majorBidi"/>
          <w:color w:val="000000" w:themeColor="text1"/>
        </w:rPr>
        <w:t>behavioural</w:t>
      </w:r>
      <w:proofErr w:type="spellEnd"/>
      <w:r w:rsidRPr="003A436F">
        <w:rPr>
          <w:rFonts w:asciiTheme="majorBidi" w:hAnsiTheme="majorBidi" w:cstheme="majorBidi"/>
          <w:color w:val="000000" w:themeColor="text1"/>
        </w:rPr>
        <w:t xml:space="preserve"> toxicity in common carp fingerlings. </w:t>
      </w:r>
      <w:r w:rsidRPr="003A436F">
        <w:rPr>
          <w:rFonts w:asciiTheme="majorBidi" w:hAnsiTheme="majorBidi" w:cstheme="majorBidi"/>
          <w:i/>
          <w:iCs/>
          <w:color w:val="000000" w:themeColor="text1"/>
        </w:rPr>
        <w:t xml:space="preserve">J. </w:t>
      </w:r>
      <w:proofErr w:type="spellStart"/>
      <w:r w:rsidRPr="003A436F">
        <w:rPr>
          <w:rFonts w:asciiTheme="majorBidi" w:hAnsiTheme="majorBidi" w:cstheme="majorBidi"/>
          <w:i/>
          <w:iCs/>
          <w:color w:val="000000" w:themeColor="text1"/>
        </w:rPr>
        <w:t>Entomol</w:t>
      </w:r>
      <w:proofErr w:type="spellEnd"/>
      <w:r w:rsidRPr="003A436F">
        <w:rPr>
          <w:rFonts w:asciiTheme="majorBidi" w:hAnsiTheme="majorBidi" w:cstheme="majorBidi"/>
          <w:i/>
          <w:iCs/>
          <w:color w:val="000000" w:themeColor="text1"/>
        </w:rPr>
        <w:t>. Zool. Stud</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6</w:t>
      </w:r>
      <w:r w:rsidRPr="003A436F">
        <w:rPr>
          <w:rFonts w:asciiTheme="majorBidi" w:hAnsiTheme="majorBidi" w:cstheme="majorBidi"/>
          <w:color w:val="000000" w:themeColor="text1"/>
        </w:rPr>
        <w:t xml:space="preserve">, 1172-1175. </w:t>
      </w:r>
    </w:p>
    <w:p w14:paraId="365FEE5E" w14:textId="01EA67D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Khan, S., </w:t>
      </w: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H., </w:t>
      </w:r>
      <w:proofErr w:type="spellStart"/>
      <w:r w:rsidRPr="003854B6">
        <w:rPr>
          <w:rFonts w:asciiTheme="majorBidi" w:hAnsiTheme="majorBidi" w:cstheme="majorBidi"/>
          <w:color w:val="000000" w:themeColor="text1"/>
        </w:rPr>
        <w:t>Abubakr</w:t>
      </w:r>
      <w:proofErr w:type="spellEnd"/>
      <w:r w:rsidRPr="003854B6">
        <w:rPr>
          <w:rFonts w:asciiTheme="majorBidi" w:hAnsiTheme="majorBidi" w:cstheme="majorBidi"/>
          <w:color w:val="000000" w:themeColor="text1"/>
        </w:rPr>
        <w:t xml:space="preserve">, A., Rashid, S., </w:t>
      </w:r>
      <w:proofErr w:type="spellStart"/>
      <w:r w:rsidRPr="003854B6">
        <w:rPr>
          <w:rFonts w:asciiTheme="majorBidi" w:hAnsiTheme="majorBidi" w:cstheme="majorBidi"/>
          <w:color w:val="000000" w:themeColor="text1"/>
        </w:rPr>
        <w:t>Alsaffar</w:t>
      </w:r>
      <w:proofErr w:type="spellEnd"/>
      <w:r w:rsidRPr="003854B6">
        <w:rPr>
          <w:rFonts w:asciiTheme="majorBidi" w:hAnsiTheme="majorBidi" w:cstheme="majorBidi"/>
          <w:color w:val="000000" w:themeColor="text1"/>
        </w:rPr>
        <w:t xml:space="preserve">, R. M., &amp; Rehman, M. U. (2022). </w:t>
      </w:r>
      <w:proofErr w:type="spellStart"/>
      <w:r w:rsidRPr="003854B6">
        <w:rPr>
          <w:rFonts w:asciiTheme="majorBidi" w:hAnsiTheme="majorBidi" w:cstheme="majorBidi"/>
          <w:color w:val="000000" w:themeColor="text1"/>
        </w:rPr>
        <w:t>Behavioural</w:t>
      </w:r>
      <w:proofErr w:type="spellEnd"/>
      <w:r w:rsidRPr="003854B6">
        <w:rPr>
          <w:rFonts w:asciiTheme="majorBidi" w:hAnsiTheme="majorBidi" w:cstheme="majorBidi"/>
          <w:color w:val="000000" w:themeColor="text1"/>
        </w:rPr>
        <w:t xml:space="preserve"> incongruities in juvenile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xml:space="preserve"> exposed to organophosphate compounds. </w:t>
      </w:r>
      <w:proofErr w:type="spellStart"/>
      <w:r w:rsidRPr="003854B6">
        <w:rPr>
          <w:rFonts w:asciiTheme="majorBidi" w:hAnsiTheme="majorBidi" w:cstheme="majorBidi"/>
          <w:i/>
          <w:iCs/>
          <w:color w:val="000000" w:themeColor="text1"/>
        </w:rPr>
        <w:t>Heliyon</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8</w:t>
      </w:r>
      <w:r w:rsidRPr="003854B6">
        <w:rPr>
          <w:rFonts w:asciiTheme="majorBidi" w:hAnsiTheme="majorBidi" w:cstheme="majorBidi"/>
          <w:color w:val="000000" w:themeColor="text1"/>
        </w:rPr>
        <w:t>(11).</w:t>
      </w:r>
    </w:p>
    <w:p w14:paraId="19485295" w14:textId="312A461F" w:rsidR="003854B6" w:rsidRPr="003854B6" w:rsidRDefault="003854B6" w:rsidP="003A436F">
      <w:pPr>
        <w:rPr>
          <w:rFonts w:asciiTheme="majorBidi" w:hAnsiTheme="majorBidi" w:cstheme="majorBidi"/>
          <w:color w:val="000000" w:themeColor="text1"/>
        </w:rPr>
      </w:pPr>
      <w:r w:rsidRPr="003854B6">
        <w:rPr>
          <w:rFonts w:asciiTheme="majorBidi" w:hAnsiTheme="majorBidi" w:cstheme="majorBidi"/>
          <w:color w:val="000000" w:themeColor="text1"/>
        </w:rPr>
        <w:t xml:space="preserve">Khan, S., </w:t>
      </w: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H., </w:t>
      </w:r>
      <w:proofErr w:type="spellStart"/>
      <w:r w:rsidRPr="003854B6">
        <w:rPr>
          <w:rFonts w:asciiTheme="majorBidi" w:hAnsiTheme="majorBidi" w:cstheme="majorBidi"/>
          <w:color w:val="000000" w:themeColor="text1"/>
        </w:rPr>
        <w:t>Abubakr</w:t>
      </w:r>
      <w:proofErr w:type="spellEnd"/>
      <w:r w:rsidRPr="003854B6">
        <w:rPr>
          <w:rFonts w:asciiTheme="majorBidi" w:hAnsiTheme="majorBidi" w:cstheme="majorBidi"/>
          <w:color w:val="000000" w:themeColor="text1"/>
        </w:rPr>
        <w:t xml:space="preserve">, A., Rashid, S., </w:t>
      </w:r>
      <w:proofErr w:type="spellStart"/>
      <w:r w:rsidRPr="003854B6">
        <w:rPr>
          <w:rFonts w:asciiTheme="majorBidi" w:hAnsiTheme="majorBidi" w:cstheme="majorBidi"/>
          <w:color w:val="000000" w:themeColor="text1"/>
        </w:rPr>
        <w:t>Alsaffar</w:t>
      </w:r>
      <w:proofErr w:type="spellEnd"/>
      <w:r w:rsidRPr="003854B6">
        <w:rPr>
          <w:rFonts w:asciiTheme="majorBidi" w:hAnsiTheme="majorBidi" w:cstheme="majorBidi"/>
          <w:color w:val="000000" w:themeColor="text1"/>
        </w:rPr>
        <w:t xml:space="preserve">, R. M and Rehman, M. U. (2022). </w:t>
      </w:r>
      <w:proofErr w:type="spellStart"/>
      <w:r w:rsidRPr="003854B6">
        <w:rPr>
          <w:rFonts w:asciiTheme="majorBidi" w:hAnsiTheme="majorBidi" w:cstheme="majorBidi"/>
          <w:color w:val="000000" w:themeColor="text1"/>
        </w:rPr>
        <w:t>Behavioural</w:t>
      </w:r>
      <w:proofErr w:type="spellEnd"/>
      <w:r w:rsidRPr="003854B6">
        <w:rPr>
          <w:rFonts w:asciiTheme="majorBidi" w:hAnsiTheme="majorBidi" w:cstheme="majorBidi"/>
          <w:color w:val="000000" w:themeColor="text1"/>
        </w:rPr>
        <w:t xml:space="preserve"> incongruities in juvenile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i/>
          <w:iCs/>
          <w:color w:val="000000" w:themeColor="text1"/>
        </w:rPr>
        <w:t xml:space="preserve"> </w:t>
      </w:r>
      <w:r w:rsidRPr="003854B6">
        <w:rPr>
          <w:rFonts w:asciiTheme="majorBidi" w:hAnsiTheme="majorBidi" w:cstheme="majorBidi"/>
          <w:color w:val="000000" w:themeColor="text1"/>
        </w:rPr>
        <w:t xml:space="preserve">exposed to organophosphate compounds. </w:t>
      </w:r>
      <w:proofErr w:type="spellStart"/>
      <w:r w:rsidRPr="003854B6">
        <w:rPr>
          <w:rFonts w:asciiTheme="majorBidi" w:hAnsiTheme="majorBidi" w:cstheme="majorBidi"/>
          <w:i/>
          <w:iCs/>
          <w:color w:val="000000" w:themeColor="text1"/>
        </w:rPr>
        <w:t>Heliyon</w:t>
      </w:r>
      <w:proofErr w:type="spellEnd"/>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8</w:t>
      </w:r>
      <w:r w:rsidRPr="003854B6">
        <w:rPr>
          <w:rFonts w:asciiTheme="majorBidi" w:hAnsiTheme="majorBidi" w:cstheme="majorBidi"/>
          <w:color w:val="000000" w:themeColor="text1"/>
        </w:rPr>
        <w:t xml:space="preserve">(11). </w:t>
      </w:r>
      <w:hyperlink r:id="rId7" w:history="1">
        <w:r w:rsidR="003957E6" w:rsidRPr="00C34C2A">
          <w:rPr>
            <w:rStyle w:val="Hyperlink"/>
            <w:rFonts w:asciiTheme="majorBidi" w:hAnsiTheme="majorBidi" w:cstheme="majorBidi"/>
          </w:rPr>
          <w:t>https://doi.org/10.1016/j.heliyon.2022.e11227</w:t>
        </w:r>
      </w:hyperlink>
      <w:r w:rsidRPr="003854B6">
        <w:rPr>
          <w:rFonts w:asciiTheme="majorBidi" w:hAnsiTheme="majorBidi" w:cstheme="majorBidi"/>
          <w:color w:val="000000" w:themeColor="text1"/>
        </w:rPr>
        <w:t xml:space="preserve"> </w:t>
      </w:r>
    </w:p>
    <w:p w14:paraId="0694EE15"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Khatib, I., </w:t>
      </w:r>
      <w:proofErr w:type="spellStart"/>
      <w:r w:rsidRPr="003854B6">
        <w:rPr>
          <w:rFonts w:asciiTheme="majorBidi" w:hAnsiTheme="majorBidi" w:cstheme="majorBidi"/>
          <w:color w:val="000000" w:themeColor="text1"/>
        </w:rPr>
        <w:t>Rychter</w:t>
      </w:r>
      <w:proofErr w:type="spellEnd"/>
      <w:r w:rsidRPr="003854B6">
        <w:rPr>
          <w:rFonts w:asciiTheme="majorBidi" w:hAnsiTheme="majorBidi" w:cstheme="majorBidi"/>
          <w:color w:val="000000" w:themeColor="text1"/>
        </w:rPr>
        <w:t xml:space="preserve">, P., &amp; </w:t>
      </w:r>
      <w:proofErr w:type="spellStart"/>
      <w:r w:rsidRPr="003854B6">
        <w:rPr>
          <w:rFonts w:asciiTheme="majorBidi" w:hAnsiTheme="majorBidi" w:cstheme="majorBidi"/>
          <w:color w:val="000000" w:themeColor="text1"/>
        </w:rPr>
        <w:t>Falfushynska</w:t>
      </w:r>
      <w:proofErr w:type="spellEnd"/>
      <w:r w:rsidRPr="003854B6">
        <w:rPr>
          <w:rFonts w:asciiTheme="majorBidi" w:hAnsiTheme="majorBidi" w:cstheme="majorBidi"/>
          <w:color w:val="000000" w:themeColor="text1"/>
        </w:rPr>
        <w:t>, H. (2022). Pesticide pollution: detrimental outcomes and possible mechanisms of fish exposure to common organophosphates and triazines. </w:t>
      </w:r>
      <w:r w:rsidRPr="003854B6">
        <w:rPr>
          <w:rFonts w:asciiTheme="majorBidi" w:hAnsiTheme="majorBidi" w:cstheme="majorBidi"/>
          <w:i/>
          <w:iCs/>
          <w:color w:val="000000" w:themeColor="text1"/>
        </w:rPr>
        <w:t>Journal of Xenobiotics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12</w:t>
      </w:r>
      <w:r w:rsidRPr="003854B6">
        <w:rPr>
          <w:rFonts w:asciiTheme="majorBidi" w:hAnsiTheme="majorBidi" w:cstheme="majorBidi"/>
          <w:color w:val="000000" w:themeColor="text1"/>
        </w:rPr>
        <w:t>(3), 236-265.</w:t>
      </w:r>
    </w:p>
    <w:p w14:paraId="1A7E47D7"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Kumar, M., Singh, V., </w:t>
      </w:r>
      <w:proofErr w:type="spellStart"/>
      <w:r w:rsidRPr="003854B6">
        <w:rPr>
          <w:rFonts w:asciiTheme="majorBidi" w:hAnsiTheme="majorBidi" w:cstheme="majorBidi"/>
          <w:color w:val="000000" w:themeColor="text1"/>
        </w:rPr>
        <w:t>Narain</w:t>
      </w:r>
      <w:proofErr w:type="spellEnd"/>
      <w:r w:rsidRPr="003854B6">
        <w:rPr>
          <w:rFonts w:asciiTheme="majorBidi" w:hAnsiTheme="majorBidi" w:cstheme="majorBidi"/>
          <w:color w:val="000000" w:themeColor="text1"/>
        </w:rPr>
        <w:t xml:space="preserve">, G. P., Dubey, A., Yadav, S., Jain, A., &amp; Singh, S. (2025). Acute exposure of Cypermethrin and Malathion induces genotoxicity, hematological, and histopathological alterations in snakehead </w:t>
      </w:r>
      <w:proofErr w:type="spellStart"/>
      <w:r w:rsidRPr="003854B6">
        <w:rPr>
          <w:rFonts w:asciiTheme="majorBidi" w:hAnsiTheme="majorBidi" w:cstheme="majorBidi"/>
          <w:color w:val="000000" w:themeColor="text1"/>
        </w:rPr>
        <w:t>murrel</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i/>
          <w:iCs/>
          <w:color w:val="000000" w:themeColor="text1"/>
        </w:rPr>
        <w:t>Channa</w:t>
      </w:r>
      <w:proofErr w:type="spellEnd"/>
      <w:r w:rsidRPr="003854B6">
        <w:rPr>
          <w:rFonts w:asciiTheme="majorBidi" w:hAnsiTheme="majorBidi" w:cstheme="majorBidi"/>
          <w:i/>
          <w:iCs/>
          <w:color w:val="000000" w:themeColor="text1"/>
        </w:rPr>
        <w:t xml:space="preserve"> </w:t>
      </w:r>
      <w:proofErr w:type="spellStart"/>
      <w:r w:rsidRPr="003854B6">
        <w:rPr>
          <w:rFonts w:asciiTheme="majorBidi" w:hAnsiTheme="majorBidi" w:cstheme="majorBidi"/>
          <w:i/>
          <w:iCs/>
          <w:color w:val="000000" w:themeColor="text1"/>
        </w:rPr>
        <w:t>punctata</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Chemistry and Ecology</w:t>
      </w:r>
      <w:r w:rsidRPr="003854B6">
        <w:rPr>
          <w:rFonts w:asciiTheme="majorBidi" w:hAnsiTheme="majorBidi" w:cstheme="majorBidi"/>
          <w:color w:val="000000" w:themeColor="text1"/>
        </w:rPr>
        <w:t>, 1-25.</w:t>
      </w:r>
    </w:p>
    <w:p w14:paraId="7996BD06"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Kumar, M., Singh, V., </w:t>
      </w:r>
      <w:proofErr w:type="spellStart"/>
      <w:r w:rsidRPr="003854B6">
        <w:rPr>
          <w:rFonts w:asciiTheme="majorBidi" w:hAnsiTheme="majorBidi" w:cstheme="majorBidi"/>
          <w:color w:val="000000" w:themeColor="text1"/>
        </w:rPr>
        <w:t>Narain</w:t>
      </w:r>
      <w:proofErr w:type="spellEnd"/>
      <w:r w:rsidRPr="003854B6">
        <w:rPr>
          <w:rFonts w:asciiTheme="majorBidi" w:hAnsiTheme="majorBidi" w:cstheme="majorBidi"/>
          <w:color w:val="000000" w:themeColor="text1"/>
        </w:rPr>
        <w:t xml:space="preserve">, G. P., Dubey, A., Yadav, S., Jain, A., &amp; Singh, S. (2025). Acute exposure of Cypermethrin and Malathion induces genotoxicity, hematological, and histopathological alterations in snakehead </w:t>
      </w:r>
      <w:proofErr w:type="spellStart"/>
      <w:r w:rsidRPr="003854B6">
        <w:rPr>
          <w:rFonts w:asciiTheme="majorBidi" w:hAnsiTheme="majorBidi" w:cstheme="majorBidi"/>
          <w:color w:val="000000" w:themeColor="text1"/>
        </w:rPr>
        <w:t>murrel</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i/>
          <w:iCs/>
          <w:color w:val="000000" w:themeColor="text1"/>
        </w:rPr>
        <w:t>Channa</w:t>
      </w:r>
      <w:proofErr w:type="spellEnd"/>
      <w:r w:rsidRPr="003854B6">
        <w:rPr>
          <w:rFonts w:asciiTheme="majorBidi" w:hAnsiTheme="majorBidi" w:cstheme="majorBidi"/>
          <w:i/>
          <w:iCs/>
          <w:color w:val="000000" w:themeColor="text1"/>
        </w:rPr>
        <w:t xml:space="preserve"> </w:t>
      </w:r>
      <w:proofErr w:type="spellStart"/>
      <w:r w:rsidRPr="003854B6">
        <w:rPr>
          <w:rFonts w:asciiTheme="majorBidi" w:hAnsiTheme="majorBidi" w:cstheme="majorBidi"/>
          <w:i/>
          <w:iCs/>
          <w:color w:val="000000" w:themeColor="text1"/>
        </w:rPr>
        <w:t>punctata</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Chemistry and Ecology</w:t>
      </w:r>
      <w:r w:rsidRPr="003854B6">
        <w:rPr>
          <w:rFonts w:asciiTheme="majorBidi" w:hAnsiTheme="majorBidi" w:cstheme="majorBidi"/>
          <w:color w:val="000000" w:themeColor="text1"/>
        </w:rPr>
        <w:t>, 1-25.</w:t>
      </w:r>
    </w:p>
    <w:p w14:paraId="26DE78AE" w14:textId="5FAF6589" w:rsid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Kumar, V., Swain, H. S., Das, B. K., Roy, S., Upadhyay, A., &amp; </w:t>
      </w:r>
      <w:proofErr w:type="spellStart"/>
      <w:r w:rsidRPr="003854B6">
        <w:rPr>
          <w:rFonts w:asciiTheme="majorBidi" w:hAnsiTheme="majorBidi" w:cstheme="majorBidi"/>
          <w:color w:val="000000" w:themeColor="text1"/>
        </w:rPr>
        <w:t>Ramteke</w:t>
      </w:r>
      <w:proofErr w:type="spellEnd"/>
      <w:r w:rsidRPr="003854B6">
        <w:rPr>
          <w:rFonts w:asciiTheme="majorBidi" w:hAnsiTheme="majorBidi" w:cstheme="majorBidi"/>
          <w:color w:val="000000" w:themeColor="text1"/>
        </w:rPr>
        <w:t xml:space="preserve">, M. H. (2025). Pioneering investigation of long-term </w:t>
      </w:r>
      <w:proofErr w:type="spellStart"/>
      <w:r w:rsidRPr="003854B6">
        <w:rPr>
          <w:rFonts w:asciiTheme="majorBidi" w:hAnsiTheme="majorBidi" w:cstheme="majorBidi"/>
          <w:color w:val="000000" w:themeColor="text1"/>
        </w:rPr>
        <w:t>emamectin</w:t>
      </w:r>
      <w:proofErr w:type="spellEnd"/>
      <w:r w:rsidRPr="003854B6">
        <w:rPr>
          <w:rFonts w:asciiTheme="majorBidi" w:hAnsiTheme="majorBidi" w:cstheme="majorBidi"/>
          <w:color w:val="000000" w:themeColor="text1"/>
        </w:rPr>
        <w:t xml:space="preserve"> benzoate exposure on </w:t>
      </w:r>
      <w:proofErr w:type="spellStart"/>
      <w:r w:rsidR="0062288B" w:rsidRPr="0062288B">
        <w:rPr>
          <w:rFonts w:asciiTheme="majorBidi" w:hAnsiTheme="majorBidi" w:cstheme="majorBidi"/>
          <w:i/>
          <w:iCs/>
          <w:color w:val="000000" w:themeColor="text1"/>
        </w:rPr>
        <w:t>Labeo</w:t>
      </w:r>
      <w:proofErr w:type="spellEnd"/>
      <w:r w:rsidR="0062288B" w:rsidRPr="0062288B">
        <w:rPr>
          <w:rFonts w:asciiTheme="majorBidi" w:hAnsiTheme="majorBidi" w:cstheme="majorBidi"/>
          <w:i/>
          <w:iCs/>
          <w:color w:val="000000" w:themeColor="text1"/>
        </w:rPr>
        <w:t xml:space="preserve"> </w:t>
      </w:r>
      <w:proofErr w:type="spellStart"/>
      <w:r w:rsidR="0062288B" w:rsidRPr="0062288B">
        <w:rPr>
          <w:rFonts w:asciiTheme="majorBidi" w:hAnsiTheme="majorBidi" w:cstheme="majorBidi"/>
          <w:i/>
          <w:iCs/>
          <w:color w:val="000000" w:themeColor="text1"/>
        </w:rPr>
        <w:t>rohita</w:t>
      </w:r>
      <w:proofErr w:type="spellEnd"/>
      <w:r w:rsidRPr="003854B6">
        <w:rPr>
          <w:rFonts w:asciiTheme="majorBidi" w:hAnsiTheme="majorBidi" w:cstheme="majorBidi"/>
          <w:color w:val="000000" w:themeColor="text1"/>
        </w:rPr>
        <w:t>: Insight to haemato-immuno-antioxidant biomarkers, histopathological alteration, and amino acid-fatty acid profiling. </w:t>
      </w:r>
      <w:r w:rsidRPr="003854B6">
        <w:rPr>
          <w:rFonts w:asciiTheme="majorBidi" w:hAnsiTheme="majorBidi" w:cstheme="majorBidi"/>
          <w:i/>
          <w:iCs/>
          <w:color w:val="000000" w:themeColor="text1"/>
        </w:rPr>
        <w:t>Ecotoxicology</w:t>
      </w:r>
      <w:r w:rsidRPr="003854B6">
        <w:rPr>
          <w:rFonts w:asciiTheme="majorBidi" w:hAnsiTheme="majorBidi" w:cstheme="majorBidi"/>
          <w:color w:val="000000" w:themeColor="text1"/>
        </w:rPr>
        <w:t>, 1-15.</w:t>
      </w:r>
    </w:p>
    <w:p w14:paraId="1161846D" w14:textId="77777777" w:rsidR="003957E6" w:rsidRPr="003854B6" w:rsidRDefault="003957E6" w:rsidP="002466D7">
      <w:pPr>
        <w:spacing w:line="360" w:lineRule="auto"/>
        <w:jc w:val="both"/>
        <w:rPr>
          <w:rFonts w:asciiTheme="majorBidi" w:hAnsiTheme="majorBidi" w:cstheme="majorBidi"/>
          <w:color w:val="000000" w:themeColor="text1"/>
        </w:rPr>
      </w:pPr>
    </w:p>
    <w:p w14:paraId="3FC87B76"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lastRenderedPageBreak/>
        <w:t>Loto</w:t>
      </w:r>
      <w:proofErr w:type="spellEnd"/>
      <w:r w:rsidRPr="003854B6">
        <w:rPr>
          <w:rFonts w:asciiTheme="majorBidi" w:hAnsiTheme="majorBidi" w:cstheme="majorBidi"/>
          <w:color w:val="000000" w:themeColor="text1"/>
        </w:rPr>
        <w:t xml:space="preserve">, O. O., </w:t>
      </w:r>
      <w:proofErr w:type="spellStart"/>
      <w:r w:rsidRPr="003854B6">
        <w:rPr>
          <w:rFonts w:asciiTheme="majorBidi" w:hAnsiTheme="majorBidi" w:cstheme="majorBidi"/>
          <w:color w:val="000000" w:themeColor="text1"/>
        </w:rPr>
        <w:t>Ikuesan</w:t>
      </w:r>
      <w:proofErr w:type="spellEnd"/>
      <w:r w:rsidRPr="003854B6">
        <w:rPr>
          <w:rFonts w:asciiTheme="majorBidi" w:hAnsiTheme="majorBidi" w:cstheme="majorBidi"/>
          <w:color w:val="000000" w:themeColor="text1"/>
        </w:rPr>
        <w:t>, F. A., &amp; Samuel, O. B. (2025). Biochemical and antioxidative effects of dichlorvos pesticide on African catfish (</w:t>
      </w:r>
      <w:proofErr w:type="spellStart"/>
      <w:r w:rsidRPr="003854B6">
        <w:rPr>
          <w:rFonts w:asciiTheme="majorBidi" w:hAnsiTheme="majorBidi" w:cstheme="majorBidi"/>
          <w:color w:val="000000" w:themeColor="text1"/>
        </w:rPr>
        <w:t>Clarias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gariepinus</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Scientia Africana</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24</w:t>
      </w:r>
      <w:r w:rsidRPr="003854B6">
        <w:rPr>
          <w:rFonts w:asciiTheme="majorBidi" w:hAnsiTheme="majorBidi" w:cstheme="majorBidi"/>
          <w:color w:val="000000" w:themeColor="text1"/>
        </w:rPr>
        <w:t>(2), 211-222.</w:t>
      </w:r>
    </w:p>
    <w:p w14:paraId="093525F4"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Mamta</w:t>
      </w:r>
      <w:proofErr w:type="spellEnd"/>
      <w:r w:rsidRPr="003854B6">
        <w:rPr>
          <w:rFonts w:asciiTheme="majorBidi" w:hAnsiTheme="majorBidi" w:cstheme="majorBidi"/>
          <w:color w:val="000000" w:themeColor="text1"/>
        </w:rPr>
        <w:t xml:space="preserve">, Rao, R. J., &amp; </w:t>
      </w:r>
      <w:proofErr w:type="spellStart"/>
      <w:r w:rsidRPr="003854B6">
        <w:rPr>
          <w:rFonts w:asciiTheme="majorBidi" w:hAnsiTheme="majorBidi" w:cstheme="majorBidi"/>
          <w:color w:val="000000" w:themeColor="text1"/>
        </w:rPr>
        <w:t>Wani</w:t>
      </w:r>
      <w:proofErr w:type="spellEnd"/>
      <w:r w:rsidRPr="003854B6">
        <w:rPr>
          <w:rFonts w:asciiTheme="majorBidi" w:hAnsiTheme="majorBidi" w:cstheme="majorBidi"/>
          <w:color w:val="000000" w:themeColor="text1"/>
        </w:rPr>
        <w:t>, K. A. (2019). Status of organochlorine and organophosphorus pesticides in wetlands and its impact on aquatic organisms. </w:t>
      </w:r>
      <w:r w:rsidRPr="003854B6">
        <w:rPr>
          <w:rFonts w:asciiTheme="majorBidi" w:hAnsiTheme="majorBidi" w:cstheme="majorBidi"/>
          <w:i/>
          <w:iCs/>
          <w:color w:val="000000" w:themeColor="text1"/>
        </w:rPr>
        <w:t>Environmental Claims Journal</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31</w:t>
      </w:r>
      <w:r w:rsidRPr="003854B6">
        <w:rPr>
          <w:rFonts w:asciiTheme="majorBidi" w:hAnsiTheme="majorBidi" w:cstheme="majorBidi"/>
          <w:color w:val="000000" w:themeColor="text1"/>
        </w:rPr>
        <w:t>(1), 44-78.</w:t>
      </w:r>
    </w:p>
    <w:p w14:paraId="56FDAB13" w14:textId="77777777" w:rsidR="003854B6" w:rsidRPr="003854B6" w:rsidRDefault="003854B6" w:rsidP="00F26AAA">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Narra</w:t>
      </w:r>
      <w:proofErr w:type="spellEnd"/>
      <w:r w:rsidRPr="003854B6">
        <w:rPr>
          <w:rFonts w:asciiTheme="majorBidi" w:hAnsiTheme="majorBidi" w:cstheme="majorBidi"/>
          <w:color w:val="000000" w:themeColor="text1"/>
        </w:rPr>
        <w:t xml:space="preserve">, M. R., Begum, G., </w:t>
      </w:r>
      <w:proofErr w:type="spellStart"/>
      <w:r w:rsidRPr="003854B6">
        <w:rPr>
          <w:rFonts w:asciiTheme="majorBidi" w:hAnsiTheme="majorBidi" w:cstheme="majorBidi"/>
          <w:color w:val="000000" w:themeColor="text1"/>
        </w:rPr>
        <w:t>Rajender</w:t>
      </w:r>
      <w:proofErr w:type="spellEnd"/>
      <w:r w:rsidRPr="003854B6">
        <w:rPr>
          <w:rFonts w:asciiTheme="majorBidi" w:hAnsiTheme="majorBidi" w:cstheme="majorBidi"/>
          <w:color w:val="000000" w:themeColor="text1"/>
        </w:rPr>
        <w:t>, K., &amp; Rao, J. V. (2012). Toxic impact of two organophosphate insecticides on biochemical parameters of a food fish and assessment of recovery response. </w:t>
      </w:r>
      <w:r w:rsidRPr="003854B6">
        <w:rPr>
          <w:rFonts w:asciiTheme="majorBidi" w:hAnsiTheme="majorBidi" w:cstheme="majorBidi"/>
          <w:i/>
          <w:iCs/>
          <w:color w:val="000000" w:themeColor="text1"/>
        </w:rPr>
        <w:t>Toxicology and Industrial Health</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28</w:t>
      </w:r>
      <w:r w:rsidRPr="003854B6">
        <w:rPr>
          <w:rFonts w:asciiTheme="majorBidi" w:hAnsiTheme="majorBidi" w:cstheme="majorBidi"/>
          <w:color w:val="000000" w:themeColor="text1"/>
        </w:rPr>
        <w:t>(4), 343-352.</w:t>
      </w:r>
    </w:p>
    <w:p w14:paraId="5C98E2E6" w14:textId="77777777" w:rsidR="003854B6" w:rsidRPr="003854B6" w:rsidRDefault="003854B6" w:rsidP="00FB315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Narra</w:t>
      </w:r>
      <w:proofErr w:type="spellEnd"/>
      <w:r w:rsidRPr="003854B6">
        <w:rPr>
          <w:rFonts w:asciiTheme="majorBidi" w:hAnsiTheme="majorBidi" w:cstheme="majorBidi"/>
          <w:color w:val="000000" w:themeColor="text1"/>
        </w:rPr>
        <w:t xml:space="preserve">, M. R., </w:t>
      </w:r>
      <w:proofErr w:type="spellStart"/>
      <w:r w:rsidRPr="003854B6">
        <w:rPr>
          <w:rFonts w:asciiTheme="majorBidi" w:hAnsiTheme="majorBidi" w:cstheme="majorBidi"/>
          <w:color w:val="000000" w:themeColor="text1"/>
        </w:rPr>
        <w:t>Rajender</w:t>
      </w:r>
      <w:proofErr w:type="spellEnd"/>
      <w:r w:rsidRPr="003854B6">
        <w:rPr>
          <w:rFonts w:asciiTheme="majorBidi" w:hAnsiTheme="majorBidi" w:cstheme="majorBidi"/>
          <w:color w:val="000000" w:themeColor="text1"/>
        </w:rPr>
        <w:t xml:space="preserve">, K., Reddy, R. R., </w:t>
      </w:r>
      <w:proofErr w:type="spellStart"/>
      <w:r w:rsidRPr="003854B6">
        <w:rPr>
          <w:rFonts w:asciiTheme="majorBidi" w:hAnsiTheme="majorBidi" w:cstheme="majorBidi"/>
          <w:color w:val="000000" w:themeColor="text1"/>
        </w:rPr>
        <w:t>Murty</w:t>
      </w:r>
      <w:proofErr w:type="spellEnd"/>
      <w:r w:rsidRPr="003854B6">
        <w:rPr>
          <w:rFonts w:asciiTheme="majorBidi" w:hAnsiTheme="majorBidi" w:cstheme="majorBidi"/>
          <w:color w:val="000000" w:themeColor="text1"/>
        </w:rPr>
        <w:t>, U. S., &amp; Begum, G. (2017). Insecticides induced stress response and recuperation in fish: biomarkers in blood and tissues related to oxidative damage. </w:t>
      </w:r>
      <w:r w:rsidRPr="003854B6">
        <w:rPr>
          <w:rFonts w:asciiTheme="majorBidi" w:hAnsiTheme="majorBidi" w:cstheme="majorBidi"/>
          <w:i/>
          <w:iCs/>
          <w:color w:val="000000" w:themeColor="text1"/>
        </w:rPr>
        <w:t>Chemosphere</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168</w:t>
      </w:r>
      <w:r w:rsidRPr="003854B6">
        <w:rPr>
          <w:rFonts w:asciiTheme="majorBidi" w:hAnsiTheme="majorBidi" w:cstheme="majorBidi"/>
          <w:color w:val="000000" w:themeColor="text1"/>
        </w:rPr>
        <w:t>, 350-357.</w:t>
      </w:r>
    </w:p>
    <w:p w14:paraId="70457A14" w14:textId="644238B8" w:rsidR="003854B6" w:rsidRPr="003854B6" w:rsidRDefault="003854B6" w:rsidP="00F26AAA">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Nataraj</w:t>
      </w:r>
      <w:proofErr w:type="spellEnd"/>
      <w:r w:rsidRPr="003854B6">
        <w:rPr>
          <w:rFonts w:asciiTheme="majorBidi" w:hAnsiTheme="majorBidi" w:cstheme="majorBidi"/>
          <w:color w:val="000000" w:themeColor="text1"/>
        </w:rPr>
        <w:t xml:space="preserve">, B., </w:t>
      </w:r>
      <w:proofErr w:type="spellStart"/>
      <w:r w:rsidRPr="003854B6">
        <w:rPr>
          <w:rFonts w:asciiTheme="majorBidi" w:hAnsiTheme="majorBidi" w:cstheme="majorBidi"/>
          <w:color w:val="000000" w:themeColor="text1"/>
        </w:rPr>
        <w:t>Hemalatha</w:t>
      </w:r>
      <w:proofErr w:type="spellEnd"/>
      <w:r w:rsidRPr="003854B6">
        <w:rPr>
          <w:rFonts w:asciiTheme="majorBidi" w:hAnsiTheme="majorBidi" w:cstheme="majorBidi"/>
          <w:color w:val="000000" w:themeColor="text1"/>
        </w:rPr>
        <w:t xml:space="preserve">, D., </w:t>
      </w:r>
      <w:proofErr w:type="spellStart"/>
      <w:r w:rsidRPr="003854B6">
        <w:rPr>
          <w:rFonts w:asciiTheme="majorBidi" w:hAnsiTheme="majorBidi" w:cstheme="majorBidi"/>
          <w:color w:val="000000" w:themeColor="text1"/>
        </w:rPr>
        <w:t>Rangasamy</w:t>
      </w:r>
      <w:proofErr w:type="spellEnd"/>
      <w:r w:rsidRPr="003854B6">
        <w:rPr>
          <w:rFonts w:asciiTheme="majorBidi" w:hAnsiTheme="majorBidi" w:cstheme="majorBidi"/>
          <w:color w:val="000000" w:themeColor="text1"/>
        </w:rPr>
        <w:t xml:space="preserve">, B., Maharajan, K., &amp; Ramesh, M. (2017). Hepatic oxidative stress, genotoxicity and histopathological alteration in fresh water fish </w:t>
      </w:r>
      <w:proofErr w:type="spellStart"/>
      <w:r w:rsidR="0062288B" w:rsidRPr="0062288B">
        <w:rPr>
          <w:rFonts w:asciiTheme="majorBidi" w:hAnsiTheme="majorBidi" w:cstheme="majorBidi"/>
          <w:i/>
          <w:iCs/>
          <w:color w:val="000000" w:themeColor="text1"/>
        </w:rPr>
        <w:t>Labeo</w:t>
      </w:r>
      <w:proofErr w:type="spellEnd"/>
      <w:r w:rsidR="0062288B" w:rsidRPr="0062288B">
        <w:rPr>
          <w:rFonts w:asciiTheme="majorBidi" w:hAnsiTheme="majorBidi" w:cstheme="majorBidi"/>
          <w:i/>
          <w:iCs/>
          <w:color w:val="000000" w:themeColor="text1"/>
        </w:rPr>
        <w:t xml:space="preserve"> </w:t>
      </w:r>
      <w:proofErr w:type="spellStart"/>
      <w:r w:rsidR="0062288B" w:rsidRPr="0062288B">
        <w:rPr>
          <w:rFonts w:asciiTheme="majorBidi" w:hAnsiTheme="majorBidi" w:cstheme="majorBidi"/>
          <w:i/>
          <w:iCs/>
          <w:color w:val="000000" w:themeColor="text1"/>
        </w:rPr>
        <w:t>rohita</w:t>
      </w:r>
      <w:proofErr w:type="spellEnd"/>
      <w:r w:rsidRPr="003854B6">
        <w:rPr>
          <w:rFonts w:asciiTheme="majorBidi" w:hAnsiTheme="majorBidi" w:cstheme="majorBidi"/>
          <w:color w:val="000000" w:themeColor="text1"/>
        </w:rPr>
        <w:t xml:space="preserve"> exposed to organophosphorus pesticide </w:t>
      </w:r>
      <w:proofErr w:type="spellStart"/>
      <w:r w:rsidRPr="003854B6">
        <w:rPr>
          <w:rFonts w:asciiTheme="majorBidi" w:hAnsiTheme="majorBidi" w:cstheme="majorBidi"/>
          <w:color w:val="000000" w:themeColor="text1"/>
        </w:rPr>
        <w:t>profenofos</w:t>
      </w:r>
      <w:proofErr w:type="spellEnd"/>
      <w:r w:rsidRPr="003854B6">
        <w:rPr>
          <w:rFonts w:asciiTheme="majorBidi" w:hAnsiTheme="majorBidi" w:cstheme="majorBidi"/>
          <w:color w:val="000000" w:themeColor="text1"/>
        </w:rPr>
        <w:t>. </w:t>
      </w:r>
      <w:proofErr w:type="spellStart"/>
      <w:r w:rsidRPr="003854B6">
        <w:rPr>
          <w:rFonts w:asciiTheme="majorBidi" w:hAnsiTheme="majorBidi" w:cstheme="majorBidi"/>
          <w:i/>
          <w:iCs/>
          <w:color w:val="000000" w:themeColor="text1"/>
        </w:rPr>
        <w:t>Biocatalysis</w:t>
      </w:r>
      <w:proofErr w:type="spellEnd"/>
      <w:r w:rsidRPr="003854B6">
        <w:rPr>
          <w:rFonts w:asciiTheme="majorBidi" w:hAnsiTheme="majorBidi" w:cstheme="majorBidi"/>
          <w:i/>
          <w:iCs/>
          <w:color w:val="000000" w:themeColor="text1"/>
        </w:rPr>
        <w:t xml:space="preserve"> and Agricultural Biotechnology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12</w:t>
      </w:r>
      <w:r w:rsidRPr="003854B6">
        <w:rPr>
          <w:rFonts w:asciiTheme="majorBidi" w:hAnsiTheme="majorBidi" w:cstheme="majorBidi"/>
          <w:color w:val="000000" w:themeColor="text1"/>
        </w:rPr>
        <w:t>, 185-190.</w:t>
      </w:r>
    </w:p>
    <w:p w14:paraId="34693A04"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Pandey, R. K., Singh, R. N., Singh, S., Singh, N. N., &amp; Das, V. K. (2009). Acute toxicity bioassay of dimethoate on freshwater airbreathing catfish, </w:t>
      </w:r>
      <w:proofErr w:type="spellStart"/>
      <w:r w:rsidRPr="003854B6">
        <w:rPr>
          <w:rFonts w:asciiTheme="majorBidi" w:hAnsiTheme="majorBidi" w:cstheme="majorBidi"/>
          <w:color w:val="000000" w:themeColor="text1"/>
        </w:rPr>
        <w:t>Heteropneustes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fossilis</w:t>
      </w:r>
      <w:proofErr w:type="spellEnd"/>
      <w:r w:rsidRPr="003854B6">
        <w:rPr>
          <w:rFonts w:asciiTheme="majorBidi" w:hAnsiTheme="majorBidi" w:cstheme="majorBidi"/>
          <w:color w:val="000000" w:themeColor="text1"/>
        </w:rPr>
        <w:t xml:space="preserve"> (Bloch). </w:t>
      </w:r>
      <w:r w:rsidRPr="003854B6">
        <w:rPr>
          <w:rFonts w:asciiTheme="majorBidi" w:hAnsiTheme="majorBidi" w:cstheme="majorBidi"/>
          <w:i/>
          <w:iCs/>
          <w:color w:val="000000" w:themeColor="text1"/>
        </w:rPr>
        <w:t>J. Environ. Biol</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30</w:t>
      </w:r>
      <w:r w:rsidRPr="003854B6">
        <w:rPr>
          <w:rFonts w:asciiTheme="majorBidi" w:hAnsiTheme="majorBidi" w:cstheme="majorBidi"/>
          <w:color w:val="000000" w:themeColor="text1"/>
        </w:rPr>
        <w:t>(3), 437-440.</w:t>
      </w:r>
    </w:p>
    <w:p w14:paraId="43E382E5"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Pandey, R. K., Verma, D. K., &amp; Das, V. K. (2020). Chlorpyrifos induced disruption in serum Ca2+, Mg2+ and Pi electrolytes level in freshwater catfish </w:t>
      </w:r>
      <w:proofErr w:type="spellStart"/>
      <w:r w:rsidRPr="003854B6">
        <w:rPr>
          <w:rFonts w:asciiTheme="majorBidi" w:hAnsiTheme="majorBidi" w:cstheme="majorBidi"/>
          <w:color w:val="000000" w:themeColor="text1"/>
        </w:rPr>
        <w:t>Heteropneustes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fossilis</w:t>
      </w:r>
      <w:proofErr w:type="spellEnd"/>
      <w:r w:rsidRPr="003854B6">
        <w:rPr>
          <w:rFonts w:asciiTheme="majorBidi" w:hAnsiTheme="majorBidi" w:cstheme="majorBidi"/>
          <w:color w:val="000000" w:themeColor="text1"/>
        </w:rPr>
        <w:t xml:space="preserve"> (Bloch). </w:t>
      </w:r>
      <w:r w:rsidRPr="003854B6">
        <w:rPr>
          <w:rFonts w:asciiTheme="majorBidi" w:hAnsiTheme="majorBidi" w:cstheme="majorBidi"/>
          <w:i/>
          <w:iCs/>
          <w:color w:val="000000" w:themeColor="text1"/>
        </w:rPr>
        <w:t>The Scientific Temper</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25</w:t>
      </w:r>
      <w:r w:rsidRPr="003854B6">
        <w:rPr>
          <w:rFonts w:asciiTheme="majorBidi" w:hAnsiTheme="majorBidi" w:cstheme="majorBidi"/>
          <w:color w:val="000000" w:themeColor="text1"/>
        </w:rPr>
        <w:t>(11).</w:t>
      </w:r>
    </w:p>
    <w:p w14:paraId="0A21640F"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Pattnaik</w:t>
      </w:r>
      <w:proofErr w:type="spellEnd"/>
      <w:r w:rsidRPr="003854B6">
        <w:rPr>
          <w:rFonts w:asciiTheme="majorBidi" w:hAnsiTheme="majorBidi" w:cstheme="majorBidi"/>
          <w:color w:val="000000" w:themeColor="text1"/>
        </w:rPr>
        <w:t xml:space="preserve">, S. T., </w:t>
      </w:r>
      <w:proofErr w:type="spellStart"/>
      <w:r w:rsidRPr="003854B6">
        <w:rPr>
          <w:rFonts w:asciiTheme="majorBidi" w:hAnsiTheme="majorBidi" w:cstheme="majorBidi"/>
          <w:color w:val="000000" w:themeColor="text1"/>
        </w:rPr>
        <w:t>Samal</w:t>
      </w:r>
      <w:proofErr w:type="spellEnd"/>
      <w:r w:rsidRPr="003854B6">
        <w:rPr>
          <w:rFonts w:asciiTheme="majorBidi" w:hAnsiTheme="majorBidi" w:cstheme="majorBidi"/>
          <w:color w:val="000000" w:themeColor="text1"/>
        </w:rPr>
        <w:t xml:space="preserve">, S., Mishra, C. S. K., Ghosh, P., </w:t>
      </w:r>
      <w:proofErr w:type="spellStart"/>
      <w:r w:rsidRPr="003854B6">
        <w:rPr>
          <w:rFonts w:asciiTheme="majorBidi" w:hAnsiTheme="majorBidi" w:cstheme="majorBidi"/>
          <w:color w:val="000000" w:themeColor="text1"/>
        </w:rPr>
        <w:t>Muduli</w:t>
      </w:r>
      <w:proofErr w:type="spellEnd"/>
      <w:r w:rsidRPr="003854B6">
        <w:rPr>
          <w:rFonts w:asciiTheme="majorBidi" w:hAnsiTheme="majorBidi" w:cstheme="majorBidi"/>
          <w:color w:val="000000" w:themeColor="text1"/>
        </w:rPr>
        <w:t xml:space="preserve">, N. I. S. H. I. G. A. N. D. H. A., Biswal, M., ... &amp; </w:t>
      </w:r>
      <w:proofErr w:type="spellStart"/>
      <w:r w:rsidRPr="003854B6">
        <w:rPr>
          <w:rFonts w:asciiTheme="majorBidi" w:hAnsiTheme="majorBidi" w:cstheme="majorBidi"/>
          <w:color w:val="000000" w:themeColor="text1"/>
        </w:rPr>
        <w:t>Sundaray</w:t>
      </w:r>
      <w:proofErr w:type="spellEnd"/>
      <w:r w:rsidRPr="003854B6">
        <w:rPr>
          <w:rFonts w:asciiTheme="majorBidi" w:hAnsiTheme="majorBidi" w:cstheme="majorBidi"/>
          <w:color w:val="000000" w:themeColor="text1"/>
        </w:rPr>
        <w:t xml:space="preserve">, J. K. (2022). Effect of organophosphate, </w:t>
      </w:r>
      <w:proofErr w:type="spellStart"/>
      <w:r w:rsidRPr="003854B6">
        <w:rPr>
          <w:rFonts w:asciiTheme="majorBidi" w:hAnsiTheme="majorBidi" w:cstheme="majorBidi"/>
          <w:color w:val="000000" w:themeColor="text1"/>
        </w:rPr>
        <w:lastRenderedPageBreak/>
        <w:t>monocrotophos</w:t>
      </w:r>
      <w:proofErr w:type="spellEnd"/>
      <w:r w:rsidRPr="003854B6">
        <w:rPr>
          <w:rFonts w:asciiTheme="majorBidi" w:hAnsiTheme="majorBidi" w:cstheme="majorBidi"/>
          <w:color w:val="000000" w:themeColor="text1"/>
        </w:rPr>
        <w:t xml:space="preserve"> on </w:t>
      </w:r>
      <w:proofErr w:type="spellStart"/>
      <w:r w:rsidRPr="003854B6">
        <w:rPr>
          <w:rFonts w:asciiTheme="majorBidi" w:hAnsiTheme="majorBidi" w:cstheme="majorBidi"/>
          <w:color w:val="000000" w:themeColor="text1"/>
        </w:rPr>
        <w:t>behavioural</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histological and biochemical indices in the subtropical catfish </w:t>
      </w:r>
      <w:proofErr w:type="spellStart"/>
      <w:r w:rsidRPr="003854B6">
        <w:rPr>
          <w:rFonts w:asciiTheme="majorBidi" w:hAnsiTheme="majorBidi" w:cstheme="majorBidi"/>
          <w:color w:val="000000" w:themeColor="text1"/>
        </w:rPr>
        <w:t>Heteropneustes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fossilis</w:t>
      </w:r>
      <w:proofErr w:type="spellEnd"/>
      <w:r w:rsidRPr="003854B6">
        <w:rPr>
          <w:rFonts w:asciiTheme="majorBidi" w:hAnsiTheme="majorBidi" w:cstheme="majorBidi"/>
          <w:color w:val="000000" w:themeColor="text1"/>
        </w:rPr>
        <w:t xml:space="preserve"> (Bloch, 1794). </w:t>
      </w:r>
      <w:r w:rsidRPr="003854B6">
        <w:rPr>
          <w:rFonts w:asciiTheme="majorBidi" w:hAnsiTheme="majorBidi" w:cstheme="majorBidi"/>
          <w:i/>
          <w:iCs/>
          <w:color w:val="000000" w:themeColor="text1"/>
        </w:rPr>
        <w:t>Journal of the Indian Society of Coastal Agricultural Research</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40</w:t>
      </w:r>
      <w:r w:rsidRPr="003854B6">
        <w:rPr>
          <w:rFonts w:asciiTheme="majorBidi" w:hAnsiTheme="majorBidi" w:cstheme="majorBidi"/>
          <w:color w:val="000000" w:themeColor="text1"/>
        </w:rPr>
        <w:t>(1), 86-99.</w:t>
      </w:r>
    </w:p>
    <w:p w14:paraId="3E085743" w14:textId="77777777" w:rsidR="003854B6" w:rsidRPr="003854B6" w:rsidRDefault="003854B6" w:rsidP="00F26AAA">
      <w:pPr>
        <w:rPr>
          <w:rFonts w:asciiTheme="majorBidi" w:hAnsiTheme="majorBidi" w:cstheme="majorBidi"/>
          <w:color w:val="000000" w:themeColor="text1"/>
        </w:rPr>
      </w:pPr>
      <w:r w:rsidRPr="003854B6">
        <w:rPr>
          <w:rFonts w:asciiTheme="majorBidi" w:hAnsiTheme="majorBidi" w:cstheme="majorBidi"/>
          <w:color w:val="000000" w:themeColor="text1"/>
        </w:rPr>
        <w:t>Peña-</w:t>
      </w:r>
      <w:proofErr w:type="spellStart"/>
      <w:r w:rsidRPr="003854B6">
        <w:rPr>
          <w:rFonts w:asciiTheme="majorBidi" w:hAnsiTheme="majorBidi" w:cstheme="majorBidi"/>
          <w:color w:val="000000" w:themeColor="text1"/>
        </w:rPr>
        <w:t>Llopis</w:t>
      </w:r>
      <w:proofErr w:type="spellEnd"/>
      <w:r w:rsidRPr="003854B6">
        <w:rPr>
          <w:rFonts w:asciiTheme="majorBidi" w:hAnsiTheme="majorBidi" w:cstheme="majorBidi"/>
          <w:color w:val="000000" w:themeColor="text1"/>
        </w:rPr>
        <w:t xml:space="preserve">, S., </w:t>
      </w:r>
      <w:proofErr w:type="spellStart"/>
      <w:r w:rsidRPr="003854B6">
        <w:rPr>
          <w:rFonts w:asciiTheme="majorBidi" w:hAnsiTheme="majorBidi" w:cstheme="majorBidi"/>
          <w:color w:val="000000" w:themeColor="text1"/>
        </w:rPr>
        <w:t>Ferrando</w:t>
      </w:r>
      <w:proofErr w:type="spellEnd"/>
      <w:r w:rsidRPr="003854B6">
        <w:rPr>
          <w:rFonts w:asciiTheme="majorBidi" w:hAnsiTheme="majorBidi" w:cstheme="majorBidi"/>
          <w:color w:val="000000" w:themeColor="text1"/>
        </w:rPr>
        <w:t>, M. D., &amp; Peña, J. B. (2003). Fish tolerance to organophosphate-induced oxidative stress is dependent on the glutathione metabolism and enhanced by N-acetylcysteine. </w:t>
      </w:r>
      <w:r w:rsidRPr="003854B6">
        <w:rPr>
          <w:rFonts w:asciiTheme="majorBidi" w:hAnsiTheme="majorBidi" w:cstheme="majorBidi"/>
          <w:i/>
          <w:iCs/>
          <w:color w:val="000000" w:themeColor="text1"/>
        </w:rPr>
        <w:t>Aquatic Toxicology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65</w:t>
      </w:r>
      <w:r w:rsidRPr="003854B6">
        <w:rPr>
          <w:rFonts w:asciiTheme="majorBidi" w:hAnsiTheme="majorBidi" w:cstheme="majorBidi"/>
          <w:color w:val="000000" w:themeColor="text1"/>
        </w:rPr>
        <w:t>(4), 337-360.</w:t>
      </w:r>
    </w:p>
    <w:p w14:paraId="61086793"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Pulkrabkova</w:t>
      </w:r>
      <w:proofErr w:type="spellEnd"/>
      <w:r w:rsidRPr="003854B6">
        <w:rPr>
          <w:rFonts w:asciiTheme="majorBidi" w:hAnsiTheme="majorBidi" w:cstheme="majorBidi"/>
          <w:color w:val="000000" w:themeColor="text1"/>
        </w:rPr>
        <w:t xml:space="preserve">, L., </w:t>
      </w:r>
      <w:proofErr w:type="spellStart"/>
      <w:r w:rsidRPr="003854B6">
        <w:rPr>
          <w:rFonts w:asciiTheme="majorBidi" w:hAnsiTheme="majorBidi" w:cstheme="majorBidi"/>
          <w:color w:val="000000" w:themeColor="text1"/>
        </w:rPr>
        <w:t>Svobodova</w:t>
      </w:r>
      <w:proofErr w:type="spellEnd"/>
      <w:r w:rsidRPr="003854B6">
        <w:rPr>
          <w:rFonts w:asciiTheme="majorBidi" w:hAnsiTheme="majorBidi" w:cstheme="majorBidi"/>
          <w:color w:val="000000" w:themeColor="text1"/>
        </w:rPr>
        <w:t xml:space="preserve">, B., </w:t>
      </w:r>
      <w:proofErr w:type="spellStart"/>
      <w:r w:rsidRPr="003854B6">
        <w:rPr>
          <w:rFonts w:asciiTheme="majorBidi" w:hAnsiTheme="majorBidi" w:cstheme="majorBidi"/>
          <w:color w:val="000000" w:themeColor="text1"/>
        </w:rPr>
        <w:t>Konecny</w:t>
      </w:r>
      <w:proofErr w:type="spellEnd"/>
      <w:r w:rsidRPr="003854B6">
        <w:rPr>
          <w:rFonts w:asciiTheme="majorBidi" w:hAnsiTheme="majorBidi" w:cstheme="majorBidi"/>
          <w:color w:val="000000" w:themeColor="text1"/>
        </w:rPr>
        <w:t xml:space="preserve">, J., </w:t>
      </w:r>
      <w:proofErr w:type="spellStart"/>
      <w:r w:rsidRPr="003854B6">
        <w:rPr>
          <w:rFonts w:asciiTheme="majorBidi" w:hAnsiTheme="majorBidi" w:cstheme="majorBidi"/>
          <w:color w:val="000000" w:themeColor="text1"/>
        </w:rPr>
        <w:t>Kobrlova</w:t>
      </w:r>
      <w:proofErr w:type="spellEnd"/>
      <w:r w:rsidRPr="003854B6">
        <w:rPr>
          <w:rFonts w:asciiTheme="majorBidi" w:hAnsiTheme="majorBidi" w:cstheme="majorBidi"/>
          <w:color w:val="000000" w:themeColor="text1"/>
        </w:rPr>
        <w:t xml:space="preserve">, T., </w:t>
      </w:r>
      <w:proofErr w:type="spellStart"/>
      <w:r w:rsidRPr="003854B6">
        <w:rPr>
          <w:rFonts w:asciiTheme="majorBidi" w:hAnsiTheme="majorBidi" w:cstheme="majorBidi"/>
          <w:color w:val="000000" w:themeColor="text1"/>
        </w:rPr>
        <w:t>Muckova</w:t>
      </w:r>
      <w:proofErr w:type="spellEnd"/>
      <w:r w:rsidRPr="003854B6">
        <w:rPr>
          <w:rFonts w:asciiTheme="majorBidi" w:hAnsiTheme="majorBidi" w:cstheme="majorBidi"/>
          <w:color w:val="000000" w:themeColor="text1"/>
        </w:rPr>
        <w:t>, L., Janousek, J., ... &amp; Soukup, O. (2023). Neurotoxicity evoked by organophosphates and available countermeasures. </w:t>
      </w:r>
      <w:r w:rsidRPr="003854B6">
        <w:rPr>
          <w:rFonts w:asciiTheme="majorBidi" w:hAnsiTheme="majorBidi" w:cstheme="majorBidi"/>
          <w:i/>
          <w:iCs/>
          <w:color w:val="000000" w:themeColor="text1"/>
        </w:rPr>
        <w:t>Archives of toxicology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97</w:t>
      </w:r>
      <w:r w:rsidRPr="003854B6">
        <w:rPr>
          <w:rFonts w:asciiTheme="majorBidi" w:hAnsiTheme="majorBidi" w:cstheme="majorBidi"/>
          <w:color w:val="000000" w:themeColor="text1"/>
        </w:rPr>
        <w:t>(1), 39-72.</w:t>
      </w:r>
    </w:p>
    <w:p w14:paraId="1A7A621F" w14:textId="77777777" w:rsidR="003854B6" w:rsidRPr="003A436F" w:rsidRDefault="003854B6" w:rsidP="003A436F">
      <w:pPr>
        <w:spacing w:line="360" w:lineRule="auto"/>
        <w:jc w:val="both"/>
        <w:rPr>
          <w:rFonts w:asciiTheme="majorBidi" w:hAnsiTheme="majorBidi" w:cstheme="majorBidi"/>
          <w:color w:val="000000" w:themeColor="text1"/>
        </w:rPr>
      </w:pP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w:t>
      </w:r>
      <w:proofErr w:type="spellStart"/>
      <w:r w:rsidRPr="003A436F">
        <w:rPr>
          <w:rFonts w:asciiTheme="majorBidi" w:hAnsiTheme="majorBidi" w:cstheme="majorBidi"/>
          <w:color w:val="000000" w:themeColor="text1"/>
        </w:rPr>
        <w:t>Abubakr</w:t>
      </w:r>
      <w:proofErr w:type="spellEnd"/>
      <w:r w:rsidRPr="003A436F">
        <w:rPr>
          <w:rFonts w:asciiTheme="majorBidi" w:hAnsiTheme="majorBidi" w:cstheme="majorBidi"/>
          <w:color w:val="000000" w:themeColor="text1"/>
        </w:rPr>
        <w:t xml:space="preserve">, A., Saba, F and Akhtar, M. (2024). International Journal of Current Research and Academic Review. </w:t>
      </w:r>
      <w:r w:rsidRPr="003A436F">
        <w:rPr>
          <w:rFonts w:asciiTheme="majorBidi" w:hAnsiTheme="majorBidi" w:cstheme="majorBidi"/>
          <w:i/>
          <w:iCs/>
          <w:color w:val="000000" w:themeColor="text1"/>
        </w:rPr>
        <w:t xml:space="preserve">Int. J. </w:t>
      </w:r>
      <w:proofErr w:type="spellStart"/>
      <w:r w:rsidRPr="003A436F">
        <w:rPr>
          <w:rFonts w:asciiTheme="majorBidi" w:hAnsiTheme="majorBidi" w:cstheme="majorBidi"/>
          <w:i/>
          <w:iCs/>
          <w:color w:val="000000" w:themeColor="text1"/>
        </w:rPr>
        <w:t>Curr</w:t>
      </w:r>
      <w:proofErr w:type="spellEnd"/>
      <w:r w:rsidRPr="003A436F">
        <w:rPr>
          <w:rFonts w:asciiTheme="majorBidi" w:hAnsiTheme="majorBidi" w:cstheme="majorBidi"/>
          <w:i/>
          <w:iCs/>
          <w:color w:val="000000" w:themeColor="text1"/>
        </w:rPr>
        <w:t>. Res. Aca. Rev</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12</w:t>
      </w:r>
      <w:r w:rsidRPr="003A436F">
        <w:rPr>
          <w:rFonts w:asciiTheme="majorBidi" w:hAnsiTheme="majorBidi" w:cstheme="majorBidi"/>
          <w:color w:val="000000" w:themeColor="text1"/>
        </w:rPr>
        <w:t xml:space="preserve">(9), 104-115. </w:t>
      </w:r>
      <w:proofErr w:type="spellStart"/>
      <w:r w:rsidRPr="003A436F">
        <w:rPr>
          <w:rFonts w:asciiTheme="majorBidi" w:hAnsiTheme="majorBidi" w:cstheme="majorBidi"/>
          <w:color w:val="000000" w:themeColor="text1"/>
        </w:rPr>
        <w:t>doi</w:t>
      </w:r>
      <w:proofErr w:type="spellEnd"/>
      <w:r w:rsidRPr="003A436F">
        <w:rPr>
          <w:rFonts w:asciiTheme="majorBidi" w:hAnsiTheme="majorBidi" w:cstheme="majorBidi"/>
          <w:color w:val="000000" w:themeColor="text1"/>
        </w:rPr>
        <w:t xml:space="preserve">: https://doi.org/10.20546/ijcrar.2024.1209.013 </w:t>
      </w:r>
    </w:p>
    <w:p w14:paraId="6413126E" w14:textId="77777777" w:rsidR="003854B6" w:rsidRPr="003A436F" w:rsidRDefault="003854B6" w:rsidP="003A436F">
      <w:pPr>
        <w:spacing w:line="360" w:lineRule="auto"/>
        <w:jc w:val="both"/>
        <w:rPr>
          <w:rFonts w:asciiTheme="majorBidi" w:hAnsiTheme="majorBidi" w:cstheme="majorBidi"/>
          <w:color w:val="000000" w:themeColor="text1"/>
        </w:rPr>
      </w:pP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w:t>
      </w:r>
      <w:proofErr w:type="spellStart"/>
      <w:r w:rsidRPr="003A436F">
        <w:rPr>
          <w:rFonts w:asciiTheme="majorBidi" w:hAnsiTheme="majorBidi" w:cstheme="majorBidi"/>
          <w:color w:val="000000" w:themeColor="text1"/>
        </w:rPr>
        <w:t>Balkhi</w:t>
      </w:r>
      <w:proofErr w:type="spellEnd"/>
      <w:r w:rsidRPr="003A436F">
        <w:rPr>
          <w:rFonts w:asciiTheme="majorBidi" w:hAnsiTheme="majorBidi" w:cstheme="majorBidi"/>
          <w:color w:val="000000" w:themeColor="text1"/>
        </w:rPr>
        <w:t xml:space="preserve">, M. H., Mukhtar, M., Bhat, F. A and Shah, F. A. (2014). Biochemical toxicity of organophosphate compounds in fishes. </w:t>
      </w:r>
      <w:r w:rsidRPr="003A436F">
        <w:rPr>
          <w:rFonts w:asciiTheme="majorBidi" w:hAnsiTheme="majorBidi" w:cstheme="majorBidi"/>
          <w:i/>
          <w:iCs/>
          <w:color w:val="000000" w:themeColor="text1"/>
        </w:rPr>
        <w:t>SKUAST Journal of Research</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16</w:t>
      </w:r>
      <w:r w:rsidRPr="003A436F">
        <w:rPr>
          <w:rFonts w:asciiTheme="majorBidi" w:hAnsiTheme="majorBidi" w:cstheme="majorBidi"/>
          <w:color w:val="000000" w:themeColor="text1"/>
        </w:rPr>
        <w:t>(1), 1-13. DOI: 10.18805/</w:t>
      </w:r>
      <w:proofErr w:type="gramStart"/>
      <w:r w:rsidRPr="003A436F">
        <w:rPr>
          <w:rFonts w:asciiTheme="majorBidi" w:hAnsiTheme="majorBidi" w:cstheme="majorBidi"/>
          <w:color w:val="000000" w:themeColor="text1"/>
        </w:rPr>
        <w:t>ijar.B</w:t>
      </w:r>
      <w:proofErr w:type="gramEnd"/>
      <w:r w:rsidRPr="003A436F">
        <w:rPr>
          <w:rFonts w:asciiTheme="majorBidi" w:hAnsiTheme="majorBidi" w:cstheme="majorBidi"/>
          <w:color w:val="000000" w:themeColor="text1"/>
        </w:rPr>
        <w:t xml:space="preserve">-3662 </w:t>
      </w:r>
    </w:p>
    <w:p w14:paraId="4AB6F7A0" w14:textId="298E789B" w:rsidR="003854B6" w:rsidRPr="003A436F" w:rsidRDefault="003854B6" w:rsidP="003A436F">
      <w:pPr>
        <w:spacing w:line="360" w:lineRule="auto"/>
        <w:jc w:val="both"/>
        <w:rPr>
          <w:rFonts w:asciiTheme="majorBidi" w:hAnsiTheme="majorBidi" w:cstheme="majorBidi"/>
          <w:color w:val="000000" w:themeColor="text1"/>
        </w:rPr>
      </w:pP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w:t>
      </w:r>
      <w:proofErr w:type="spellStart"/>
      <w:r w:rsidRPr="003A436F">
        <w:rPr>
          <w:rFonts w:asciiTheme="majorBidi" w:hAnsiTheme="majorBidi" w:cstheme="majorBidi"/>
          <w:color w:val="000000" w:themeColor="text1"/>
        </w:rPr>
        <w:t>Balkhi</w:t>
      </w:r>
      <w:proofErr w:type="spellEnd"/>
      <w:r w:rsidRPr="003A436F">
        <w:rPr>
          <w:rFonts w:asciiTheme="majorBidi" w:hAnsiTheme="majorBidi" w:cstheme="majorBidi"/>
          <w:color w:val="000000" w:themeColor="text1"/>
        </w:rPr>
        <w:t xml:space="preserve">, M. H., Shah, F. A and Bhat, B. A. (2018). Toxicological evaluation and effects of </w:t>
      </w:r>
      <w:proofErr w:type="spellStart"/>
      <w:r w:rsidRPr="003A436F">
        <w:rPr>
          <w:rFonts w:asciiTheme="majorBidi" w:hAnsiTheme="majorBidi" w:cstheme="majorBidi"/>
          <w:color w:val="000000" w:themeColor="text1"/>
        </w:rPr>
        <w:t>oganophosphate</w:t>
      </w:r>
      <w:proofErr w:type="spellEnd"/>
      <w:r w:rsidRPr="003A436F">
        <w:rPr>
          <w:rFonts w:asciiTheme="majorBidi" w:hAnsiTheme="majorBidi" w:cstheme="majorBidi"/>
          <w:color w:val="000000" w:themeColor="text1"/>
        </w:rPr>
        <w:t xml:space="preserve"> compounds on hematological profile of juvenile common carps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A436F">
        <w:rPr>
          <w:rFonts w:asciiTheme="majorBidi" w:hAnsiTheme="majorBidi" w:cstheme="majorBidi"/>
          <w:i/>
          <w:iCs/>
          <w:color w:val="000000" w:themeColor="text1"/>
        </w:rPr>
        <w:t xml:space="preserve"> </w:t>
      </w:r>
      <w:r w:rsidRPr="003A436F">
        <w:rPr>
          <w:rFonts w:asciiTheme="majorBidi" w:hAnsiTheme="majorBidi" w:cstheme="majorBidi"/>
          <w:color w:val="000000" w:themeColor="text1"/>
        </w:rPr>
        <w:t xml:space="preserve">var. </w:t>
      </w:r>
      <w:proofErr w:type="spellStart"/>
      <w:r w:rsidRPr="003A436F">
        <w:rPr>
          <w:rFonts w:asciiTheme="majorBidi" w:hAnsiTheme="majorBidi" w:cstheme="majorBidi"/>
          <w:i/>
          <w:iCs/>
          <w:color w:val="000000" w:themeColor="text1"/>
        </w:rPr>
        <w:t>Communis</w:t>
      </w:r>
      <w:proofErr w:type="spellEnd"/>
      <w:r w:rsidRPr="003A436F">
        <w:rPr>
          <w:rFonts w:asciiTheme="majorBidi" w:hAnsiTheme="majorBidi" w:cstheme="majorBidi"/>
          <w:i/>
          <w:iCs/>
          <w:color w:val="000000" w:themeColor="text1"/>
        </w:rPr>
        <w:t>)</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Indian Journal of Animal Research</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52</w:t>
      </w:r>
      <w:r w:rsidRPr="003A436F">
        <w:rPr>
          <w:rFonts w:asciiTheme="majorBidi" w:hAnsiTheme="majorBidi" w:cstheme="majorBidi"/>
          <w:color w:val="000000" w:themeColor="text1"/>
        </w:rPr>
        <w:t>(10), 1469-1475. doi10.18805/</w:t>
      </w:r>
      <w:proofErr w:type="gramStart"/>
      <w:r w:rsidRPr="003A436F">
        <w:rPr>
          <w:rFonts w:asciiTheme="majorBidi" w:hAnsiTheme="majorBidi" w:cstheme="majorBidi"/>
          <w:color w:val="000000" w:themeColor="text1"/>
        </w:rPr>
        <w:t>ijar.B</w:t>
      </w:r>
      <w:proofErr w:type="gramEnd"/>
      <w:r w:rsidRPr="003A436F">
        <w:rPr>
          <w:rFonts w:asciiTheme="majorBidi" w:hAnsiTheme="majorBidi" w:cstheme="majorBidi"/>
          <w:color w:val="000000" w:themeColor="text1"/>
        </w:rPr>
        <w:t xml:space="preserve">-3526 </w:t>
      </w:r>
    </w:p>
    <w:p w14:paraId="6846A404" w14:textId="289A2AFD" w:rsidR="003854B6" w:rsidRPr="003854B6" w:rsidRDefault="003854B6" w:rsidP="003A436F">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H., Shah, F. A and Bhat, B. A. (2019). Impairment induced due to </w:t>
      </w:r>
      <w:proofErr w:type="spellStart"/>
      <w:r w:rsidRPr="003854B6">
        <w:rPr>
          <w:rFonts w:asciiTheme="majorBidi" w:hAnsiTheme="majorBidi" w:cstheme="majorBidi"/>
          <w:color w:val="000000" w:themeColor="text1"/>
        </w:rPr>
        <w:t>oganophosphate</w:t>
      </w:r>
      <w:proofErr w:type="spellEnd"/>
      <w:r w:rsidRPr="003854B6">
        <w:rPr>
          <w:rFonts w:asciiTheme="majorBidi" w:hAnsiTheme="majorBidi" w:cstheme="majorBidi"/>
          <w:color w:val="000000" w:themeColor="text1"/>
        </w:rPr>
        <w:t xml:space="preserve"> compounds in some blood biochemical indices of fingerlings of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i/>
          <w:iCs/>
          <w:color w:val="000000" w:themeColor="text1"/>
        </w:rPr>
        <w:t xml:space="preserve"> </w:t>
      </w:r>
      <w:r w:rsidRPr="003854B6">
        <w:rPr>
          <w:rFonts w:asciiTheme="majorBidi" w:hAnsiTheme="majorBidi" w:cstheme="majorBidi"/>
          <w:color w:val="000000" w:themeColor="text1"/>
        </w:rPr>
        <w:t xml:space="preserve">var. </w:t>
      </w:r>
      <w:proofErr w:type="spellStart"/>
      <w:r w:rsidRPr="003854B6">
        <w:rPr>
          <w:rFonts w:asciiTheme="majorBidi" w:hAnsiTheme="majorBidi" w:cstheme="majorBidi"/>
          <w:i/>
          <w:iCs/>
          <w:color w:val="000000" w:themeColor="text1"/>
        </w:rPr>
        <w:t>communis</w:t>
      </w:r>
      <w:proofErr w:type="spellEnd"/>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Indian Journal of Animal Research</w:t>
      </w:r>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53</w:t>
      </w:r>
      <w:r w:rsidRPr="003854B6">
        <w:rPr>
          <w:rFonts w:asciiTheme="majorBidi" w:hAnsiTheme="majorBidi" w:cstheme="majorBidi"/>
          <w:color w:val="000000" w:themeColor="text1"/>
        </w:rPr>
        <w:t>(10), 1326-1328. doi10.18805/</w:t>
      </w:r>
      <w:proofErr w:type="gramStart"/>
      <w:r w:rsidRPr="003854B6">
        <w:rPr>
          <w:rFonts w:asciiTheme="majorBidi" w:hAnsiTheme="majorBidi" w:cstheme="majorBidi"/>
          <w:color w:val="000000" w:themeColor="text1"/>
        </w:rPr>
        <w:t>ijar.B</w:t>
      </w:r>
      <w:proofErr w:type="gramEnd"/>
      <w:r w:rsidRPr="003854B6">
        <w:rPr>
          <w:rFonts w:asciiTheme="majorBidi" w:hAnsiTheme="majorBidi" w:cstheme="majorBidi"/>
          <w:color w:val="000000" w:themeColor="text1"/>
        </w:rPr>
        <w:t>-3662</w:t>
      </w:r>
    </w:p>
    <w:p w14:paraId="790F270F"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Mukhtar, M., </w:t>
      </w:r>
      <w:proofErr w:type="spellStart"/>
      <w:r w:rsidRPr="003854B6">
        <w:rPr>
          <w:rFonts w:asciiTheme="majorBidi" w:hAnsiTheme="majorBidi" w:cstheme="majorBidi"/>
          <w:color w:val="000000" w:themeColor="text1"/>
        </w:rPr>
        <w:t>Abubakr</w:t>
      </w:r>
      <w:proofErr w:type="spellEnd"/>
      <w:r w:rsidRPr="003854B6">
        <w:rPr>
          <w:rFonts w:asciiTheme="majorBidi" w:hAnsiTheme="majorBidi" w:cstheme="majorBidi"/>
          <w:color w:val="000000" w:themeColor="text1"/>
        </w:rPr>
        <w:t xml:space="preserve">, A., Siddiqui, U., Khan, S., ... &amp; </w:t>
      </w:r>
      <w:proofErr w:type="spellStart"/>
      <w:r w:rsidRPr="003854B6">
        <w:rPr>
          <w:rFonts w:asciiTheme="majorBidi" w:hAnsiTheme="majorBidi" w:cstheme="majorBidi"/>
          <w:color w:val="000000" w:themeColor="text1"/>
        </w:rPr>
        <w:t>Mastinu</w:t>
      </w:r>
      <w:proofErr w:type="spellEnd"/>
      <w:r w:rsidRPr="003854B6">
        <w:rPr>
          <w:rFonts w:asciiTheme="majorBidi" w:hAnsiTheme="majorBidi" w:cstheme="majorBidi"/>
          <w:color w:val="000000" w:themeColor="text1"/>
        </w:rPr>
        <w:t xml:space="preserve">, A. (2024). Assessing organophosphate insecticide retention in muscle tissues </w:t>
      </w:r>
      <w:r w:rsidRPr="003854B6">
        <w:rPr>
          <w:rFonts w:asciiTheme="majorBidi" w:hAnsiTheme="majorBidi" w:cstheme="majorBidi"/>
          <w:color w:val="000000" w:themeColor="text1"/>
        </w:rPr>
        <w:lastRenderedPageBreak/>
        <w:t>of juvenile common carp fish under acute toxicity tests. </w:t>
      </w:r>
      <w:r w:rsidRPr="003854B6">
        <w:rPr>
          <w:rFonts w:asciiTheme="majorBidi" w:hAnsiTheme="majorBidi" w:cstheme="majorBidi"/>
          <w:i/>
          <w:iCs/>
          <w:color w:val="000000" w:themeColor="text1"/>
        </w:rPr>
        <w:t>Toxicology Reports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12</w:t>
      </w:r>
      <w:r w:rsidRPr="003854B6">
        <w:rPr>
          <w:rFonts w:asciiTheme="majorBidi" w:hAnsiTheme="majorBidi" w:cstheme="majorBidi"/>
          <w:color w:val="000000" w:themeColor="text1"/>
        </w:rPr>
        <w:t>, 253-259.</w:t>
      </w:r>
    </w:p>
    <w:p w14:paraId="555A6315" w14:textId="77777777" w:rsidR="003854B6" w:rsidRDefault="003854B6" w:rsidP="003A436F">
      <w:pPr>
        <w:spacing w:line="360" w:lineRule="auto"/>
        <w:jc w:val="both"/>
      </w:pP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Mukhtar, M., </w:t>
      </w:r>
      <w:proofErr w:type="spellStart"/>
      <w:r w:rsidRPr="003854B6">
        <w:rPr>
          <w:rFonts w:asciiTheme="majorBidi" w:hAnsiTheme="majorBidi" w:cstheme="majorBidi"/>
          <w:color w:val="000000" w:themeColor="text1"/>
        </w:rPr>
        <w:t>Abubakr</w:t>
      </w:r>
      <w:proofErr w:type="spellEnd"/>
      <w:r w:rsidRPr="003854B6">
        <w:rPr>
          <w:rFonts w:asciiTheme="majorBidi" w:hAnsiTheme="majorBidi" w:cstheme="majorBidi"/>
          <w:color w:val="000000" w:themeColor="text1"/>
        </w:rPr>
        <w:t xml:space="preserve">, A., Siddiqui, U., Khan, S and </w:t>
      </w:r>
      <w:proofErr w:type="spellStart"/>
      <w:r w:rsidRPr="003854B6">
        <w:rPr>
          <w:rFonts w:asciiTheme="majorBidi" w:hAnsiTheme="majorBidi" w:cstheme="majorBidi"/>
          <w:color w:val="000000" w:themeColor="text1"/>
        </w:rPr>
        <w:t>Mastinu</w:t>
      </w:r>
      <w:proofErr w:type="spellEnd"/>
      <w:r w:rsidRPr="003854B6">
        <w:rPr>
          <w:rFonts w:asciiTheme="majorBidi" w:hAnsiTheme="majorBidi" w:cstheme="majorBidi"/>
          <w:color w:val="000000" w:themeColor="text1"/>
        </w:rPr>
        <w:t xml:space="preserve">, A. (2024). Assessing organophosphate insecticide retention in muscle tissues of juvenile common carp fish under acute toxicity tests. </w:t>
      </w:r>
      <w:r w:rsidRPr="003854B6">
        <w:rPr>
          <w:rFonts w:asciiTheme="majorBidi" w:hAnsiTheme="majorBidi" w:cstheme="majorBidi"/>
          <w:i/>
          <w:iCs/>
          <w:color w:val="000000" w:themeColor="text1"/>
        </w:rPr>
        <w:t>Toxicology Reports</w:t>
      </w:r>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12</w:t>
      </w:r>
      <w:r w:rsidRPr="003854B6">
        <w:rPr>
          <w:rFonts w:asciiTheme="majorBidi" w:hAnsiTheme="majorBidi" w:cstheme="majorBidi"/>
          <w:color w:val="000000" w:themeColor="text1"/>
        </w:rPr>
        <w:t xml:space="preserve">, 253-259. </w:t>
      </w:r>
      <w:hyperlink r:id="rId8" w:history="1">
        <w:r w:rsidRPr="003854B6">
          <w:rPr>
            <w:rStyle w:val="Hyperlink"/>
            <w:rFonts w:asciiTheme="majorBidi" w:hAnsiTheme="majorBidi" w:cstheme="majorBidi"/>
            <w:color w:val="000000" w:themeColor="text1"/>
          </w:rPr>
          <w:t>https://doi.org/10.1016/j.toxrep.2024.02.002</w:t>
        </w:r>
      </w:hyperlink>
    </w:p>
    <w:p w14:paraId="36F3625B" w14:textId="77777777" w:rsidR="000F31DD" w:rsidRPr="003854B6" w:rsidRDefault="000F31DD" w:rsidP="003A436F">
      <w:pPr>
        <w:spacing w:line="360" w:lineRule="auto"/>
        <w:jc w:val="both"/>
        <w:rPr>
          <w:rFonts w:asciiTheme="majorBidi" w:hAnsiTheme="majorBidi" w:cstheme="majorBidi"/>
          <w:color w:val="000000" w:themeColor="text1"/>
        </w:rPr>
      </w:pPr>
    </w:p>
    <w:p w14:paraId="0798078E" w14:textId="77777777" w:rsidR="003854B6" w:rsidRPr="003A436F" w:rsidRDefault="003854B6" w:rsidP="003A436F">
      <w:pPr>
        <w:spacing w:line="360" w:lineRule="auto"/>
        <w:jc w:val="both"/>
        <w:rPr>
          <w:rFonts w:asciiTheme="majorBidi" w:hAnsiTheme="majorBidi" w:cstheme="majorBidi"/>
          <w:color w:val="000000" w:themeColor="text1"/>
        </w:rPr>
      </w:pP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Khan, S., Malik, M. M., Amin, A and </w:t>
      </w:r>
      <w:proofErr w:type="spellStart"/>
      <w:r w:rsidRPr="003A436F">
        <w:rPr>
          <w:rFonts w:asciiTheme="majorBidi" w:hAnsiTheme="majorBidi" w:cstheme="majorBidi"/>
          <w:color w:val="000000" w:themeColor="text1"/>
        </w:rPr>
        <w:t>Abubakr</w:t>
      </w:r>
      <w:proofErr w:type="spellEnd"/>
      <w:r w:rsidRPr="003A436F">
        <w:rPr>
          <w:rFonts w:asciiTheme="majorBidi" w:hAnsiTheme="majorBidi" w:cstheme="majorBidi"/>
          <w:color w:val="000000" w:themeColor="text1"/>
        </w:rPr>
        <w:t xml:space="preserve">, A. (2024). Genotoxicity in Fishes: With Special Reference to Micronucleus Formation in </w:t>
      </w:r>
      <w:proofErr w:type="spellStart"/>
      <w:r w:rsidRPr="003A436F">
        <w:rPr>
          <w:rFonts w:asciiTheme="majorBidi" w:hAnsiTheme="majorBidi" w:cstheme="majorBidi"/>
          <w:color w:val="000000" w:themeColor="text1"/>
        </w:rPr>
        <w:t>Hematocytes</w:t>
      </w:r>
      <w:proofErr w:type="spellEnd"/>
      <w:r w:rsidRPr="003A436F">
        <w:rPr>
          <w:rFonts w:asciiTheme="majorBidi" w:hAnsiTheme="majorBidi" w:cstheme="majorBidi"/>
          <w:color w:val="000000" w:themeColor="text1"/>
        </w:rPr>
        <w:t xml:space="preserve">. In </w:t>
      </w:r>
      <w:r w:rsidRPr="003A436F">
        <w:rPr>
          <w:rFonts w:asciiTheme="majorBidi" w:hAnsiTheme="majorBidi" w:cstheme="majorBidi"/>
          <w:i/>
          <w:iCs/>
          <w:color w:val="000000" w:themeColor="text1"/>
        </w:rPr>
        <w:t xml:space="preserve">Coldwater Fisheries and Aquaculture Management </w:t>
      </w:r>
      <w:r w:rsidRPr="003A436F">
        <w:rPr>
          <w:rFonts w:asciiTheme="majorBidi" w:hAnsiTheme="majorBidi" w:cstheme="majorBidi"/>
          <w:color w:val="000000" w:themeColor="text1"/>
        </w:rPr>
        <w:t xml:space="preserve">(pp. 339-350). Apple Academic Press. DOI: 10.1201/9781003369905-15 </w:t>
      </w:r>
    </w:p>
    <w:p w14:paraId="6E668DC7" w14:textId="77777777" w:rsidR="003854B6" w:rsidRPr="003A436F" w:rsidRDefault="003854B6" w:rsidP="003A436F">
      <w:pPr>
        <w:spacing w:line="360" w:lineRule="auto"/>
        <w:jc w:val="both"/>
        <w:rPr>
          <w:rFonts w:asciiTheme="majorBidi" w:hAnsiTheme="majorBidi" w:cstheme="majorBidi"/>
          <w:color w:val="000000" w:themeColor="text1"/>
        </w:rPr>
      </w:pP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Mukhtar, M., </w:t>
      </w:r>
      <w:proofErr w:type="spellStart"/>
      <w:r w:rsidRPr="003A436F">
        <w:rPr>
          <w:rFonts w:asciiTheme="majorBidi" w:hAnsiTheme="majorBidi" w:cstheme="majorBidi"/>
          <w:color w:val="000000" w:themeColor="text1"/>
        </w:rPr>
        <w:t>Balkhi</w:t>
      </w:r>
      <w:proofErr w:type="spellEnd"/>
      <w:r w:rsidRPr="003A436F">
        <w:rPr>
          <w:rFonts w:asciiTheme="majorBidi" w:hAnsiTheme="majorBidi" w:cstheme="majorBidi"/>
          <w:color w:val="000000" w:themeColor="text1"/>
        </w:rPr>
        <w:t xml:space="preserve">, M. U. H., Mushtaq, T., Sherwani, A and Khan, S. (2023). Assessment of Insecticide Contamination from Dal Lake of Kashmir, India. </w:t>
      </w:r>
      <w:r w:rsidRPr="003A436F">
        <w:rPr>
          <w:rFonts w:asciiTheme="majorBidi" w:hAnsiTheme="majorBidi" w:cstheme="majorBidi"/>
          <w:i/>
          <w:iCs/>
          <w:color w:val="000000" w:themeColor="text1"/>
        </w:rPr>
        <w:t>National Academy Science Letters</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46</w:t>
      </w:r>
      <w:r w:rsidRPr="003A436F">
        <w:rPr>
          <w:rFonts w:asciiTheme="majorBidi" w:hAnsiTheme="majorBidi" w:cstheme="majorBidi"/>
          <w:color w:val="000000" w:themeColor="text1"/>
        </w:rPr>
        <w:t xml:space="preserve">(5), 423-426. DOI: 10.1007/s40009-023-01248-5 </w:t>
      </w:r>
    </w:p>
    <w:p w14:paraId="6F59F829" w14:textId="0B01664D" w:rsidR="003854B6" w:rsidRPr="003854B6" w:rsidRDefault="003854B6" w:rsidP="003A436F">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Shah, F. A., Mukhtar, M.,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H., Bhat, F. A and Bhat, B. A. (2016). Dimethoate induced </w:t>
      </w:r>
      <w:proofErr w:type="spellStart"/>
      <w:r w:rsidRPr="003854B6">
        <w:rPr>
          <w:rFonts w:asciiTheme="majorBidi" w:hAnsiTheme="majorBidi" w:cstheme="majorBidi"/>
          <w:color w:val="000000" w:themeColor="text1"/>
        </w:rPr>
        <w:t>behavioural</w:t>
      </w:r>
      <w:proofErr w:type="spellEnd"/>
      <w:r w:rsidRPr="003854B6">
        <w:rPr>
          <w:rFonts w:asciiTheme="majorBidi" w:hAnsiTheme="majorBidi" w:cstheme="majorBidi"/>
          <w:color w:val="000000" w:themeColor="text1"/>
        </w:rPr>
        <w:t xml:space="preserve"> changes in juveniles of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i/>
          <w:iCs/>
          <w:color w:val="000000" w:themeColor="text1"/>
        </w:rPr>
        <w:t xml:space="preserve"> </w:t>
      </w:r>
      <w:r w:rsidRPr="003854B6">
        <w:rPr>
          <w:rFonts w:asciiTheme="majorBidi" w:hAnsiTheme="majorBidi" w:cstheme="majorBidi"/>
          <w:color w:val="000000" w:themeColor="text1"/>
        </w:rPr>
        <w:t xml:space="preserve">var. </w:t>
      </w:r>
      <w:proofErr w:type="spellStart"/>
      <w:r w:rsidRPr="003854B6">
        <w:rPr>
          <w:rFonts w:asciiTheme="majorBidi" w:hAnsiTheme="majorBidi" w:cstheme="majorBidi"/>
          <w:i/>
          <w:iCs/>
          <w:color w:val="000000" w:themeColor="text1"/>
        </w:rPr>
        <w:t>communis</w:t>
      </w:r>
      <w:proofErr w:type="spellEnd"/>
      <w:r w:rsidRPr="003854B6">
        <w:rPr>
          <w:rFonts w:asciiTheme="majorBidi" w:hAnsiTheme="majorBidi" w:cstheme="majorBidi"/>
          <w:i/>
          <w:iCs/>
          <w:color w:val="000000" w:themeColor="text1"/>
        </w:rPr>
        <w:t xml:space="preserve"> </w:t>
      </w:r>
      <w:r w:rsidRPr="003854B6">
        <w:rPr>
          <w:rFonts w:asciiTheme="majorBidi" w:hAnsiTheme="majorBidi" w:cstheme="majorBidi"/>
          <w:color w:val="000000" w:themeColor="text1"/>
        </w:rPr>
        <w:t xml:space="preserve">under temperate conditions of Kashmir, India. </w:t>
      </w:r>
      <w:r w:rsidRPr="003854B6">
        <w:rPr>
          <w:rFonts w:asciiTheme="majorBidi" w:hAnsiTheme="majorBidi" w:cstheme="majorBidi"/>
          <w:i/>
          <w:iCs/>
          <w:color w:val="000000" w:themeColor="text1"/>
        </w:rPr>
        <w:t>The scientific world Journal</w:t>
      </w:r>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2016</w:t>
      </w:r>
      <w:r w:rsidRPr="003854B6">
        <w:rPr>
          <w:rFonts w:asciiTheme="majorBidi" w:hAnsiTheme="majorBidi" w:cstheme="majorBidi"/>
          <w:color w:val="000000" w:themeColor="text1"/>
        </w:rPr>
        <w:t>(1), 4726126. DOI:10.1155/2016/4726126</w:t>
      </w:r>
    </w:p>
    <w:p w14:paraId="69923A3F" w14:textId="513EF983"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Shah, F. A., Mukhtar, M.,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H., Bhat, F. A., &amp; Bhat, B. A. (2016). Dimethoate induced </w:t>
      </w:r>
      <w:proofErr w:type="spellStart"/>
      <w:r w:rsidRPr="003854B6">
        <w:rPr>
          <w:rFonts w:asciiTheme="majorBidi" w:hAnsiTheme="majorBidi" w:cstheme="majorBidi"/>
          <w:color w:val="000000" w:themeColor="text1"/>
        </w:rPr>
        <w:t>behavioural</w:t>
      </w:r>
      <w:proofErr w:type="spellEnd"/>
      <w:r w:rsidRPr="003854B6">
        <w:rPr>
          <w:rFonts w:asciiTheme="majorBidi" w:hAnsiTheme="majorBidi" w:cstheme="majorBidi"/>
          <w:color w:val="000000" w:themeColor="text1"/>
        </w:rPr>
        <w:t xml:space="preserve"> changes in juveniles of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xml:space="preserve"> var. </w:t>
      </w:r>
      <w:proofErr w:type="spellStart"/>
      <w:r w:rsidRPr="003854B6">
        <w:rPr>
          <w:rFonts w:asciiTheme="majorBidi" w:hAnsiTheme="majorBidi" w:cstheme="majorBidi"/>
          <w:color w:val="000000" w:themeColor="text1"/>
        </w:rPr>
        <w:t>communis</w:t>
      </w:r>
      <w:proofErr w:type="spellEnd"/>
      <w:r w:rsidRPr="003854B6">
        <w:rPr>
          <w:rFonts w:asciiTheme="majorBidi" w:hAnsiTheme="majorBidi" w:cstheme="majorBidi"/>
          <w:color w:val="000000" w:themeColor="text1"/>
        </w:rPr>
        <w:t xml:space="preserve"> under temperate conditions of Kashmir, India. </w:t>
      </w:r>
      <w:r w:rsidRPr="003854B6">
        <w:rPr>
          <w:rFonts w:asciiTheme="majorBidi" w:hAnsiTheme="majorBidi" w:cstheme="majorBidi"/>
          <w:i/>
          <w:iCs/>
          <w:color w:val="000000" w:themeColor="text1"/>
        </w:rPr>
        <w:t>The scientific world Journal</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2016</w:t>
      </w:r>
      <w:r w:rsidRPr="003854B6">
        <w:rPr>
          <w:rFonts w:asciiTheme="majorBidi" w:hAnsiTheme="majorBidi" w:cstheme="majorBidi"/>
          <w:color w:val="000000" w:themeColor="text1"/>
        </w:rPr>
        <w:t>(1), 4726126.</w:t>
      </w:r>
    </w:p>
    <w:p w14:paraId="29D17EBF"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lastRenderedPageBreak/>
        <w:t xml:space="preserve">Rahbar, M., </w:t>
      </w:r>
      <w:proofErr w:type="spellStart"/>
      <w:r w:rsidRPr="003854B6">
        <w:rPr>
          <w:rFonts w:asciiTheme="majorBidi" w:hAnsiTheme="majorBidi" w:cstheme="majorBidi"/>
          <w:color w:val="000000" w:themeColor="text1"/>
        </w:rPr>
        <w:t>Sattari</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Alaf</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Noverian</w:t>
      </w:r>
      <w:proofErr w:type="spellEnd"/>
      <w:r w:rsidRPr="003854B6">
        <w:rPr>
          <w:rFonts w:asciiTheme="majorBidi" w:hAnsiTheme="majorBidi" w:cstheme="majorBidi"/>
          <w:color w:val="000000" w:themeColor="text1"/>
        </w:rPr>
        <w:t xml:space="preserve">, H., </w:t>
      </w:r>
      <w:proofErr w:type="spellStart"/>
      <w:r w:rsidRPr="003854B6">
        <w:rPr>
          <w:rFonts w:asciiTheme="majorBidi" w:hAnsiTheme="majorBidi" w:cstheme="majorBidi"/>
          <w:color w:val="000000" w:themeColor="text1"/>
        </w:rPr>
        <w:t>Ahmadnezhad</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Khara</w:t>
      </w:r>
      <w:proofErr w:type="spellEnd"/>
      <w:r w:rsidRPr="003854B6">
        <w:rPr>
          <w:rFonts w:asciiTheme="majorBidi" w:hAnsiTheme="majorBidi" w:cstheme="majorBidi"/>
          <w:color w:val="000000" w:themeColor="text1"/>
        </w:rPr>
        <w:t xml:space="preserve">, H., &amp; Safari, R. (2021). Biochemical and histopathological alterations in Persian sturgeon, </w:t>
      </w:r>
      <w:proofErr w:type="spellStart"/>
      <w:r w:rsidRPr="003854B6">
        <w:rPr>
          <w:rFonts w:asciiTheme="majorBidi" w:hAnsiTheme="majorBidi" w:cstheme="majorBidi"/>
          <w:color w:val="000000" w:themeColor="text1"/>
        </w:rPr>
        <w:t>Acipenser</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persicus</w:t>
      </w:r>
      <w:proofErr w:type="spellEnd"/>
      <w:r w:rsidRPr="003854B6">
        <w:rPr>
          <w:rFonts w:asciiTheme="majorBidi" w:hAnsiTheme="majorBidi" w:cstheme="majorBidi"/>
          <w:color w:val="000000" w:themeColor="text1"/>
        </w:rPr>
        <w:t xml:space="preserve"> exposed to malathion. </w:t>
      </w:r>
      <w:r w:rsidRPr="003854B6">
        <w:rPr>
          <w:rFonts w:asciiTheme="majorBidi" w:hAnsiTheme="majorBidi" w:cstheme="majorBidi"/>
          <w:i/>
          <w:iCs/>
          <w:color w:val="000000" w:themeColor="text1"/>
        </w:rPr>
        <w:t>Toxin Reviews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40</w:t>
      </w:r>
      <w:r w:rsidRPr="003854B6">
        <w:rPr>
          <w:rFonts w:asciiTheme="majorBidi" w:hAnsiTheme="majorBidi" w:cstheme="majorBidi"/>
          <w:color w:val="000000" w:themeColor="text1"/>
        </w:rPr>
        <w:t>(4), 1383-1395.</w:t>
      </w:r>
    </w:p>
    <w:p w14:paraId="64F82287"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Ritu</w:t>
      </w:r>
      <w:proofErr w:type="spellEnd"/>
      <w:r w:rsidRPr="003854B6">
        <w:rPr>
          <w:rFonts w:asciiTheme="majorBidi" w:hAnsiTheme="majorBidi" w:cstheme="majorBidi"/>
          <w:color w:val="000000" w:themeColor="text1"/>
        </w:rPr>
        <w:t xml:space="preserve">, R. F., Islam, S. M., Rashid, H., Haque, S. M., </w:t>
      </w:r>
      <w:proofErr w:type="spellStart"/>
      <w:r w:rsidRPr="003854B6">
        <w:rPr>
          <w:rFonts w:asciiTheme="majorBidi" w:hAnsiTheme="majorBidi" w:cstheme="majorBidi"/>
          <w:color w:val="000000" w:themeColor="text1"/>
        </w:rPr>
        <w:t>Zulfahmi</w:t>
      </w:r>
      <w:proofErr w:type="spellEnd"/>
      <w:r w:rsidRPr="003854B6">
        <w:rPr>
          <w:rFonts w:asciiTheme="majorBidi" w:hAnsiTheme="majorBidi" w:cstheme="majorBidi"/>
          <w:color w:val="000000" w:themeColor="text1"/>
        </w:rPr>
        <w:t xml:space="preserve">, I., &amp; </w:t>
      </w:r>
      <w:proofErr w:type="spellStart"/>
      <w:r w:rsidRPr="003854B6">
        <w:rPr>
          <w:rFonts w:asciiTheme="majorBidi" w:hAnsiTheme="majorBidi" w:cstheme="majorBidi"/>
          <w:color w:val="000000" w:themeColor="text1"/>
        </w:rPr>
        <w:t>Sumon</w:t>
      </w:r>
      <w:proofErr w:type="spellEnd"/>
      <w:r w:rsidRPr="003854B6">
        <w:rPr>
          <w:rFonts w:asciiTheme="majorBidi" w:hAnsiTheme="majorBidi" w:cstheme="majorBidi"/>
          <w:color w:val="000000" w:themeColor="text1"/>
        </w:rPr>
        <w:t xml:space="preserve">, K. A. (2022). Application of fenitrothion on </w:t>
      </w:r>
      <w:proofErr w:type="spellStart"/>
      <w:r w:rsidRPr="003854B6">
        <w:rPr>
          <w:rFonts w:asciiTheme="majorBidi" w:hAnsiTheme="majorBidi" w:cstheme="majorBidi"/>
          <w:color w:val="000000" w:themeColor="text1"/>
        </w:rPr>
        <w:t>Heteropneustes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fossilis</w:t>
      </w:r>
      <w:proofErr w:type="spellEnd"/>
      <w:r w:rsidRPr="003854B6">
        <w:rPr>
          <w:rFonts w:asciiTheme="majorBidi" w:hAnsiTheme="majorBidi" w:cstheme="majorBidi"/>
          <w:color w:val="000000" w:themeColor="text1"/>
        </w:rPr>
        <w:t xml:space="preserve"> causes alteration in morphology of erythrocytes via modifying hematological parameters. </w:t>
      </w:r>
      <w:r w:rsidRPr="003854B6">
        <w:rPr>
          <w:rFonts w:asciiTheme="majorBidi" w:hAnsiTheme="majorBidi" w:cstheme="majorBidi"/>
          <w:i/>
          <w:iCs/>
          <w:color w:val="000000" w:themeColor="text1"/>
        </w:rPr>
        <w:t>Toxicology Reports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9</w:t>
      </w:r>
      <w:r w:rsidRPr="003854B6">
        <w:rPr>
          <w:rFonts w:asciiTheme="majorBidi" w:hAnsiTheme="majorBidi" w:cstheme="majorBidi"/>
          <w:color w:val="000000" w:themeColor="text1"/>
        </w:rPr>
        <w:t>, 895-904.</w:t>
      </w:r>
    </w:p>
    <w:p w14:paraId="1E517747"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Rudneva</w:t>
      </w:r>
      <w:proofErr w:type="spellEnd"/>
      <w:r w:rsidRPr="003854B6">
        <w:rPr>
          <w:rFonts w:asciiTheme="majorBidi" w:hAnsiTheme="majorBidi" w:cstheme="majorBidi"/>
          <w:color w:val="000000" w:themeColor="text1"/>
        </w:rPr>
        <w:t xml:space="preserve">, I. I., </w:t>
      </w:r>
      <w:proofErr w:type="spellStart"/>
      <w:r w:rsidRPr="003854B6">
        <w:rPr>
          <w:rFonts w:asciiTheme="majorBidi" w:hAnsiTheme="majorBidi" w:cstheme="majorBidi"/>
          <w:color w:val="000000" w:themeColor="text1"/>
        </w:rPr>
        <w:t>Skuratovskaya</w:t>
      </w:r>
      <w:proofErr w:type="spellEnd"/>
      <w:r w:rsidRPr="003854B6">
        <w:rPr>
          <w:rFonts w:asciiTheme="majorBidi" w:hAnsiTheme="majorBidi" w:cstheme="majorBidi"/>
          <w:color w:val="000000" w:themeColor="text1"/>
        </w:rPr>
        <w:t xml:space="preserve">, E. N., </w:t>
      </w:r>
      <w:proofErr w:type="spellStart"/>
      <w:r w:rsidRPr="003854B6">
        <w:rPr>
          <w:rFonts w:asciiTheme="majorBidi" w:hAnsiTheme="majorBidi" w:cstheme="majorBidi"/>
          <w:color w:val="000000" w:themeColor="text1"/>
        </w:rPr>
        <w:t>Dorohova</w:t>
      </w:r>
      <w:proofErr w:type="spellEnd"/>
      <w:r w:rsidRPr="003854B6">
        <w:rPr>
          <w:rFonts w:asciiTheme="majorBidi" w:hAnsiTheme="majorBidi" w:cstheme="majorBidi"/>
          <w:color w:val="000000" w:themeColor="text1"/>
        </w:rPr>
        <w:t xml:space="preserve">, I. I., &amp; </w:t>
      </w:r>
      <w:proofErr w:type="spellStart"/>
      <w:r w:rsidRPr="003854B6">
        <w:rPr>
          <w:rFonts w:asciiTheme="majorBidi" w:hAnsiTheme="majorBidi" w:cstheme="majorBidi"/>
          <w:color w:val="000000" w:themeColor="text1"/>
        </w:rPr>
        <w:t>Kovyrshina</w:t>
      </w:r>
      <w:proofErr w:type="spellEnd"/>
      <w:r w:rsidRPr="003854B6">
        <w:rPr>
          <w:rFonts w:asciiTheme="majorBidi" w:hAnsiTheme="majorBidi" w:cstheme="majorBidi"/>
          <w:color w:val="000000" w:themeColor="text1"/>
        </w:rPr>
        <w:t>, T. B. (2012). Use of fish blood biomarkers for evaluation of marine environment health. </w:t>
      </w:r>
      <w:r w:rsidRPr="003854B6">
        <w:rPr>
          <w:rFonts w:asciiTheme="majorBidi" w:hAnsiTheme="majorBidi" w:cstheme="majorBidi"/>
          <w:i/>
          <w:iCs/>
          <w:color w:val="000000" w:themeColor="text1"/>
        </w:rPr>
        <w:t>World Journal of Science and Technology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w:t>
      </w:r>
      <w:r w:rsidRPr="003854B6">
        <w:rPr>
          <w:rFonts w:asciiTheme="majorBidi" w:hAnsiTheme="majorBidi" w:cstheme="majorBidi"/>
          <w:color w:val="000000" w:themeColor="text1"/>
        </w:rPr>
        <w:t>(7), 19-25.</w:t>
      </w:r>
    </w:p>
    <w:p w14:paraId="3659974A" w14:textId="77777777" w:rsidR="003854B6" w:rsidRPr="001B1611" w:rsidRDefault="003854B6" w:rsidP="001B1611">
      <w:pPr>
        <w:spacing w:line="360" w:lineRule="auto"/>
        <w:jc w:val="both"/>
        <w:rPr>
          <w:rFonts w:asciiTheme="majorBidi" w:hAnsiTheme="majorBidi" w:cstheme="majorBidi"/>
          <w:color w:val="000000" w:themeColor="text1"/>
        </w:rPr>
      </w:pPr>
      <w:r w:rsidRPr="001B1611">
        <w:rPr>
          <w:rFonts w:asciiTheme="majorBidi" w:hAnsiTheme="majorBidi" w:cstheme="majorBidi"/>
          <w:color w:val="000000" w:themeColor="text1"/>
        </w:rPr>
        <w:t xml:space="preserve">Saba, F., </w:t>
      </w:r>
      <w:proofErr w:type="spellStart"/>
      <w:r w:rsidRPr="001B1611">
        <w:rPr>
          <w:rFonts w:asciiTheme="majorBidi" w:hAnsiTheme="majorBidi" w:cstheme="majorBidi"/>
          <w:color w:val="000000" w:themeColor="text1"/>
        </w:rPr>
        <w:t>Qayoom</w:t>
      </w:r>
      <w:proofErr w:type="spellEnd"/>
      <w:r w:rsidRPr="001B1611">
        <w:rPr>
          <w:rFonts w:asciiTheme="majorBidi" w:hAnsiTheme="majorBidi" w:cstheme="majorBidi"/>
          <w:color w:val="000000" w:themeColor="text1"/>
        </w:rPr>
        <w:t xml:space="preserve">, I., Fatima, M., </w:t>
      </w:r>
      <w:proofErr w:type="spellStart"/>
      <w:r w:rsidRPr="001B1611">
        <w:rPr>
          <w:rFonts w:asciiTheme="majorBidi" w:hAnsiTheme="majorBidi" w:cstheme="majorBidi"/>
          <w:color w:val="000000" w:themeColor="text1"/>
        </w:rPr>
        <w:t>Abubakr</w:t>
      </w:r>
      <w:proofErr w:type="spellEnd"/>
      <w:r w:rsidRPr="001B1611">
        <w:rPr>
          <w:rFonts w:asciiTheme="majorBidi" w:hAnsiTheme="majorBidi" w:cstheme="majorBidi"/>
          <w:color w:val="000000" w:themeColor="text1"/>
        </w:rPr>
        <w:t xml:space="preserve">, A., Khan, S., Mushtaq, T., and Akhter, M. (2025). Understanding applications of chromatographic techniques in fisheries: present status and future perspective. </w:t>
      </w:r>
      <w:r w:rsidRPr="001B1611">
        <w:rPr>
          <w:rFonts w:asciiTheme="majorBidi" w:hAnsiTheme="majorBidi" w:cstheme="majorBidi"/>
          <w:i/>
          <w:iCs/>
          <w:color w:val="000000" w:themeColor="text1"/>
        </w:rPr>
        <w:t>Proceedings of the Indian National Science Academy</w:t>
      </w:r>
      <w:r w:rsidRPr="001B1611">
        <w:rPr>
          <w:rFonts w:asciiTheme="majorBidi" w:hAnsiTheme="majorBidi" w:cstheme="majorBidi"/>
          <w:color w:val="000000" w:themeColor="text1"/>
        </w:rPr>
        <w:t xml:space="preserve">, 1-19. </w:t>
      </w:r>
    </w:p>
    <w:p w14:paraId="260DCA13" w14:textId="5683E85E" w:rsid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Saba, F., </w:t>
      </w: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Rasool, F and Fatima, M. (2024). Toxicity of Cypermethrin to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i/>
          <w:iCs/>
          <w:color w:val="000000" w:themeColor="text1"/>
        </w:rPr>
        <w:t xml:space="preserve">: </w:t>
      </w:r>
      <w:r w:rsidRPr="003854B6">
        <w:rPr>
          <w:rFonts w:asciiTheme="majorBidi" w:hAnsiTheme="majorBidi" w:cstheme="majorBidi"/>
          <w:color w:val="000000" w:themeColor="text1"/>
        </w:rPr>
        <w:t xml:space="preserve">Under Short Term Acute Bioassays in Temperate Conditions. </w:t>
      </w:r>
      <w:r w:rsidRPr="003854B6">
        <w:rPr>
          <w:rFonts w:asciiTheme="majorBidi" w:hAnsiTheme="majorBidi" w:cstheme="majorBidi"/>
          <w:i/>
          <w:iCs/>
          <w:color w:val="000000" w:themeColor="text1"/>
        </w:rPr>
        <w:t>Biochemical and Cellular Archives</w:t>
      </w:r>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24</w:t>
      </w:r>
      <w:r w:rsidRPr="003854B6">
        <w:rPr>
          <w:rFonts w:asciiTheme="majorBidi" w:hAnsiTheme="majorBidi" w:cstheme="majorBidi"/>
          <w:color w:val="000000" w:themeColor="text1"/>
        </w:rPr>
        <w:t>(2).</w:t>
      </w:r>
    </w:p>
    <w:p w14:paraId="733C64DD" w14:textId="5AC4BCCA" w:rsidR="00A94537" w:rsidRPr="003854B6" w:rsidRDefault="00A94537" w:rsidP="00A94537">
      <w:pPr>
        <w:spacing w:line="360" w:lineRule="auto"/>
        <w:jc w:val="both"/>
        <w:rPr>
          <w:rFonts w:asciiTheme="majorBidi" w:hAnsiTheme="majorBidi" w:cstheme="majorBidi"/>
          <w:color w:val="000000" w:themeColor="text1"/>
        </w:rPr>
      </w:pPr>
      <w:proofErr w:type="spellStart"/>
      <w:r w:rsidRPr="00A94537">
        <w:rPr>
          <w:rFonts w:asciiTheme="majorBidi" w:hAnsiTheme="majorBidi" w:cstheme="majorBidi"/>
          <w:color w:val="000000" w:themeColor="text1"/>
        </w:rPr>
        <w:t>Saleema</w:t>
      </w:r>
      <w:proofErr w:type="spellEnd"/>
      <w:r w:rsidRPr="00A94537">
        <w:rPr>
          <w:rFonts w:asciiTheme="majorBidi" w:hAnsiTheme="majorBidi" w:cstheme="majorBidi"/>
          <w:color w:val="000000" w:themeColor="text1"/>
        </w:rPr>
        <w:t xml:space="preserve">, S., Khurshid, I., </w:t>
      </w:r>
      <w:proofErr w:type="spellStart"/>
      <w:r w:rsidRPr="00A94537">
        <w:rPr>
          <w:rFonts w:asciiTheme="majorBidi" w:hAnsiTheme="majorBidi" w:cstheme="majorBidi"/>
          <w:color w:val="000000" w:themeColor="text1"/>
        </w:rPr>
        <w:t>Abubakrb</w:t>
      </w:r>
      <w:proofErr w:type="spellEnd"/>
      <w:r w:rsidRPr="00A94537">
        <w:rPr>
          <w:rFonts w:asciiTheme="majorBidi" w:hAnsiTheme="majorBidi" w:cstheme="majorBidi"/>
          <w:color w:val="000000" w:themeColor="text1"/>
        </w:rPr>
        <w:t xml:space="preserve">, A., </w:t>
      </w:r>
      <w:proofErr w:type="spellStart"/>
      <w:r w:rsidRPr="00A94537">
        <w:rPr>
          <w:rFonts w:asciiTheme="majorBidi" w:hAnsiTheme="majorBidi" w:cstheme="majorBidi"/>
          <w:color w:val="000000" w:themeColor="text1"/>
        </w:rPr>
        <w:t>Qayoom</w:t>
      </w:r>
      <w:proofErr w:type="spellEnd"/>
      <w:r w:rsidRPr="00A94537">
        <w:rPr>
          <w:rFonts w:asciiTheme="majorBidi" w:hAnsiTheme="majorBidi" w:cstheme="majorBidi"/>
          <w:color w:val="000000" w:themeColor="text1"/>
        </w:rPr>
        <w:t xml:space="preserve">, I., &amp; </w:t>
      </w:r>
      <w:proofErr w:type="spellStart"/>
      <w:r w:rsidRPr="00A94537">
        <w:rPr>
          <w:rFonts w:asciiTheme="majorBidi" w:hAnsiTheme="majorBidi" w:cstheme="majorBidi"/>
          <w:color w:val="000000" w:themeColor="text1"/>
        </w:rPr>
        <w:t>Magrayb</w:t>
      </w:r>
      <w:proofErr w:type="spellEnd"/>
      <w:r w:rsidRPr="00A94537">
        <w:rPr>
          <w:rFonts w:asciiTheme="majorBidi" w:hAnsiTheme="majorBidi" w:cstheme="majorBidi"/>
          <w:color w:val="000000" w:themeColor="text1"/>
        </w:rPr>
        <w:t>, A. R.</w:t>
      </w:r>
      <w:r>
        <w:rPr>
          <w:rFonts w:asciiTheme="majorBidi" w:hAnsiTheme="majorBidi" w:cstheme="majorBidi"/>
          <w:color w:val="000000" w:themeColor="text1"/>
        </w:rPr>
        <w:t xml:space="preserve"> (2024).</w:t>
      </w:r>
      <w:r w:rsidRPr="00A94537">
        <w:rPr>
          <w:rFonts w:asciiTheme="majorBidi" w:hAnsiTheme="majorBidi" w:cstheme="majorBidi"/>
          <w:color w:val="000000" w:themeColor="text1"/>
        </w:rPr>
        <w:t xml:space="preserve"> Quinalphos (EC 25) Induced </w:t>
      </w:r>
      <w:proofErr w:type="spellStart"/>
      <w:r w:rsidRPr="00A94537">
        <w:rPr>
          <w:rFonts w:asciiTheme="majorBidi" w:hAnsiTheme="majorBidi" w:cstheme="majorBidi"/>
          <w:color w:val="000000" w:themeColor="text1"/>
        </w:rPr>
        <w:t>Behavioural</w:t>
      </w:r>
      <w:proofErr w:type="spellEnd"/>
      <w:r w:rsidRPr="00A94537">
        <w:rPr>
          <w:rFonts w:asciiTheme="majorBidi" w:hAnsiTheme="majorBidi" w:cstheme="majorBidi"/>
          <w:color w:val="000000" w:themeColor="text1"/>
        </w:rPr>
        <w:t xml:space="preserve"> Changes in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A94537">
        <w:rPr>
          <w:rFonts w:asciiTheme="majorBidi" w:hAnsiTheme="majorBidi" w:cstheme="majorBidi"/>
          <w:color w:val="000000" w:themeColor="text1"/>
        </w:rPr>
        <w:t xml:space="preserve"> (Linnaeus 1758).</w:t>
      </w:r>
    </w:p>
    <w:p w14:paraId="7A0E0CB9"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Seibel, H., </w:t>
      </w:r>
      <w:proofErr w:type="spellStart"/>
      <w:r w:rsidRPr="003854B6">
        <w:rPr>
          <w:rFonts w:asciiTheme="majorBidi" w:hAnsiTheme="majorBidi" w:cstheme="majorBidi"/>
          <w:color w:val="000000" w:themeColor="text1"/>
        </w:rPr>
        <w:t>Baßmann</w:t>
      </w:r>
      <w:proofErr w:type="spellEnd"/>
      <w:r w:rsidRPr="003854B6">
        <w:rPr>
          <w:rFonts w:asciiTheme="majorBidi" w:hAnsiTheme="majorBidi" w:cstheme="majorBidi"/>
          <w:color w:val="000000" w:themeColor="text1"/>
        </w:rPr>
        <w:t xml:space="preserve">, B., &amp; </w:t>
      </w:r>
      <w:proofErr w:type="spellStart"/>
      <w:r w:rsidRPr="003854B6">
        <w:rPr>
          <w:rFonts w:asciiTheme="majorBidi" w:hAnsiTheme="majorBidi" w:cstheme="majorBidi"/>
          <w:color w:val="000000" w:themeColor="text1"/>
        </w:rPr>
        <w:t>Rebl</w:t>
      </w:r>
      <w:proofErr w:type="spellEnd"/>
      <w:r w:rsidRPr="003854B6">
        <w:rPr>
          <w:rFonts w:asciiTheme="majorBidi" w:hAnsiTheme="majorBidi" w:cstheme="majorBidi"/>
          <w:color w:val="000000" w:themeColor="text1"/>
        </w:rPr>
        <w:t>, A. (2021). Blood will tell: what hematological analyses can reveal about fish welfare. </w:t>
      </w:r>
      <w:r w:rsidRPr="003854B6">
        <w:rPr>
          <w:rFonts w:asciiTheme="majorBidi" w:hAnsiTheme="majorBidi" w:cstheme="majorBidi"/>
          <w:i/>
          <w:iCs/>
          <w:color w:val="000000" w:themeColor="text1"/>
        </w:rPr>
        <w:t>Frontiers in Veterinary Science</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8</w:t>
      </w:r>
      <w:r w:rsidRPr="003854B6">
        <w:rPr>
          <w:rFonts w:asciiTheme="majorBidi" w:hAnsiTheme="majorBidi" w:cstheme="majorBidi"/>
          <w:color w:val="000000" w:themeColor="text1"/>
        </w:rPr>
        <w:t>, 616955.</w:t>
      </w:r>
    </w:p>
    <w:p w14:paraId="080AFC89"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lastRenderedPageBreak/>
        <w:t>Shoaib, N., &amp; Siddiqui, P. J. A. (2016). Impact of organophosphate pesticides, methyl parathion and chlorpyrifos on some tissue enzymes in fish (</w:t>
      </w:r>
      <w:proofErr w:type="spellStart"/>
      <w:r w:rsidRPr="003854B6">
        <w:rPr>
          <w:rFonts w:asciiTheme="majorBidi" w:hAnsiTheme="majorBidi" w:cstheme="majorBidi"/>
          <w:color w:val="000000" w:themeColor="text1"/>
        </w:rPr>
        <w:t>Aphanius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dispar</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Indian Journal of Geo-Marine Sciences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45</w:t>
      </w:r>
      <w:r w:rsidRPr="003854B6">
        <w:rPr>
          <w:rFonts w:asciiTheme="majorBidi" w:hAnsiTheme="majorBidi" w:cstheme="majorBidi"/>
          <w:color w:val="000000" w:themeColor="text1"/>
        </w:rPr>
        <w:t>(7), 869-874.</w:t>
      </w:r>
    </w:p>
    <w:p w14:paraId="2886D9D4" w14:textId="1F636D03"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Singh, A. (2020). </w:t>
      </w:r>
      <w:r w:rsidRPr="003854B6">
        <w:rPr>
          <w:rFonts w:asciiTheme="majorBidi" w:hAnsiTheme="majorBidi" w:cstheme="majorBidi"/>
          <w:i/>
          <w:iCs/>
          <w:color w:val="000000" w:themeColor="text1"/>
        </w:rPr>
        <w:t>INVESTIGATION OF THE EFFECT OF PESTICIDES MALATHION AND 2, 4-DICHLOROPHENOXYACETIC ACID ON COMMON CARP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i/>
          <w:iCs/>
          <w:color w:val="000000" w:themeColor="text1"/>
        </w:rPr>
        <w:t xml:space="preserve"> L., 1758)</w:t>
      </w:r>
      <w:r w:rsidRPr="003854B6">
        <w:rPr>
          <w:rFonts w:asciiTheme="majorBidi" w:hAnsiTheme="majorBidi" w:cstheme="majorBidi"/>
          <w:color w:val="000000" w:themeColor="text1"/>
        </w:rPr>
        <w:t> (Doctoral dissertation, GURU ANGAD DEV VETERINARY AND ANIMAL SCIENCES UNIVERSITY).</w:t>
      </w:r>
    </w:p>
    <w:p w14:paraId="585F6D7C"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Singh, N. N., &amp; Srivastava, A. K. (2010).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parameters as bioindicators of insecticide exposure in </w:t>
      </w:r>
      <w:proofErr w:type="spellStart"/>
      <w:r w:rsidRPr="003854B6">
        <w:rPr>
          <w:rFonts w:asciiTheme="majorBidi" w:hAnsiTheme="majorBidi" w:cstheme="majorBidi"/>
          <w:color w:val="000000" w:themeColor="text1"/>
        </w:rPr>
        <w:t>teleosts</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Ecotoxicology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19</w:t>
      </w:r>
      <w:r w:rsidRPr="003854B6">
        <w:rPr>
          <w:rFonts w:asciiTheme="majorBidi" w:hAnsiTheme="majorBidi" w:cstheme="majorBidi"/>
          <w:color w:val="000000" w:themeColor="text1"/>
        </w:rPr>
        <w:t>(5), 838-854.</w:t>
      </w:r>
    </w:p>
    <w:p w14:paraId="5FF81539"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Singh, N. N., Das, V. K., &amp; Srivastava, A. K. (2002). Insecticides and ionic regulation in </w:t>
      </w:r>
      <w:proofErr w:type="spellStart"/>
      <w:r w:rsidRPr="003854B6">
        <w:rPr>
          <w:rFonts w:asciiTheme="majorBidi" w:hAnsiTheme="majorBidi" w:cstheme="majorBidi"/>
          <w:color w:val="000000" w:themeColor="text1"/>
        </w:rPr>
        <w:t>teleosts</w:t>
      </w:r>
      <w:proofErr w:type="spellEnd"/>
      <w:r w:rsidRPr="003854B6">
        <w:rPr>
          <w:rFonts w:asciiTheme="majorBidi" w:hAnsiTheme="majorBidi" w:cstheme="majorBidi"/>
          <w:color w:val="000000" w:themeColor="text1"/>
        </w:rPr>
        <w:t>: a review. </w:t>
      </w:r>
      <w:proofErr w:type="spellStart"/>
      <w:r w:rsidRPr="003854B6">
        <w:rPr>
          <w:rFonts w:asciiTheme="majorBidi" w:hAnsiTheme="majorBidi" w:cstheme="majorBidi"/>
          <w:i/>
          <w:iCs/>
          <w:color w:val="000000" w:themeColor="text1"/>
        </w:rPr>
        <w:t>Zoologica</w:t>
      </w:r>
      <w:proofErr w:type="spellEnd"/>
      <w:r w:rsidRPr="003854B6">
        <w:rPr>
          <w:rFonts w:asciiTheme="majorBidi" w:hAnsiTheme="majorBidi" w:cstheme="majorBidi"/>
          <w:i/>
          <w:iCs/>
          <w:color w:val="000000" w:themeColor="text1"/>
        </w:rPr>
        <w:t xml:space="preserve"> </w:t>
      </w:r>
      <w:proofErr w:type="spellStart"/>
      <w:r w:rsidRPr="003854B6">
        <w:rPr>
          <w:rFonts w:asciiTheme="majorBidi" w:hAnsiTheme="majorBidi" w:cstheme="majorBidi"/>
          <w:i/>
          <w:iCs/>
          <w:color w:val="000000" w:themeColor="text1"/>
        </w:rPr>
        <w:t>Poloniae</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47</w:t>
      </w:r>
      <w:r w:rsidRPr="003854B6">
        <w:rPr>
          <w:rFonts w:asciiTheme="majorBidi" w:hAnsiTheme="majorBidi" w:cstheme="majorBidi"/>
          <w:color w:val="000000" w:themeColor="text1"/>
        </w:rPr>
        <w:t>(3/4), 49-64.</w:t>
      </w:r>
    </w:p>
    <w:p w14:paraId="4B530A1E" w14:textId="77777777" w:rsidR="003854B6" w:rsidRPr="003854B6" w:rsidRDefault="003854B6" w:rsidP="001B1611">
      <w:pPr>
        <w:spacing w:line="360" w:lineRule="auto"/>
        <w:jc w:val="both"/>
        <w:rPr>
          <w:color w:val="000000" w:themeColor="text1"/>
        </w:rPr>
      </w:pPr>
      <w:proofErr w:type="spellStart"/>
      <w:r w:rsidRPr="003854B6">
        <w:rPr>
          <w:color w:val="000000" w:themeColor="text1"/>
        </w:rPr>
        <w:t>Slaninova</w:t>
      </w:r>
      <w:proofErr w:type="spellEnd"/>
      <w:r w:rsidRPr="003854B6">
        <w:rPr>
          <w:color w:val="000000" w:themeColor="text1"/>
        </w:rPr>
        <w:t xml:space="preserve">, A., </w:t>
      </w:r>
      <w:proofErr w:type="spellStart"/>
      <w:r w:rsidRPr="003854B6">
        <w:rPr>
          <w:color w:val="000000" w:themeColor="text1"/>
        </w:rPr>
        <w:t>Smutna</w:t>
      </w:r>
      <w:proofErr w:type="spellEnd"/>
      <w:r w:rsidRPr="003854B6">
        <w:rPr>
          <w:color w:val="000000" w:themeColor="text1"/>
        </w:rPr>
        <w:t xml:space="preserve">, M., </w:t>
      </w:r>
      <w:proofErr w:type="spellStart"/>
      <w:r w:rsidRPr="003854B6">
        <w:rPr>
          <w:color w:val="000000" w:themeColor="text1"/>
        </w:rPr>
        <w:t>Modra</w:t>
      </w:r>
      <w:proofErr w:type="spellEnd"/>
      <w:r w:rsidRPr="003854B6">
        <w:rPr>
          <w:color w:val="000000" w:themeColor="text1"/>
        </w:rPr>
        <w:t xml:space="preserve">, H., &amp; </w:t>
      </w:r>
      <w:proofErr w:type="spellStart"/>
      <w:r w:rsidRPr="003854B6">
        <w:rPr>
          <w:color w:val="000000" w:themeColor="text1"/>
        </w:rPr>
        <w:t>Svobodova</w:t>
      </w:r>
      <w:proofErr w:type="spellEnd"/>
      <w:r w:rsidRPr="003854B6">
        <w:rPr>
          <w:color w:val="000000" w:themeColor="text1"/>
        </w:rPr>
        <w:t>, Z. (2009). REVIEWS Oxidative stress in fish induced by pesticides. </w:t>
      </w:r>
      <w:r w:rsidRPr="003854B6">
        <w:rPr>
          <w:i/>
          <w:iCs/>
          <w:color w:val="000000" w:themeColor="text1"/>
        </w:rPr>
        <w:t>Neuroendocrinology Letters</w:t>
      </w:r>
      <w:r w:rsidRPr="003854B6">
        <w:rPr>
          <w:color w:val="000000" w:themeColor="text1"/>
        </w:rPr>
        <w:t>, </w:t>
      </w:r>
      <w:r w:rsidRPr="003854B6">
        <w:rPr>
          <w:i/>
          <w:iCs/>
          <w:color w:val="000000" w:themeColor="text1"/>
        </w:rPr>
        <w:t>30</w:t>
      </w:r>
      <w:r w:rsidRPr="003854B6">
        <w:rPr>
          <w:color w:val="000000" w:themeColor="text1"/>
        </w:rPr>
        <w:t>(1), 2.</w:t>
      </w:r>
    </w:p>
    <w:p w14:paraId="4BB7F5A4"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Srivastava, B., &amp; Reddy, P. B. (2020).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profile in fish as an effective and sensitive index in aquatic pollution. </w:t>
      </w:r>
      <w:proofErr w:type="spellStart"/>
      <w:r w:rsidRPr="003854B6">
        <w:rPr>
          <w:rFonts w:asciiTheme="majorBidi" w:hAnsiTheme="majorBidi" w:cstheme="majorBidi"/>
          <w:i/>
          <w:iCs/>
          <w:color w:val="000000" w:themeColor="text1"/>
        </w:rPr>
        <w:t>Nimitmai</w:t>
      </w:r>
      <w:proofErr w:type="spellEnd"/>
      <w:r w:rsidRPr="003854B6">
        <w:rPr>
          <w:rFonts w:asciiTheme="majorBidi" w:hAnsiTheme="majorBidi" w:cstheme="majorBidi"/>
          <w:i/>
          <w:iCs/>
          <w:color w:val="000000" w:themeColor="text1"/>
        </w:rPr>
        <w:t xml:space="preserve"> Review Journal</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3</w:t>
      </w:r>
      <w:r w:rsidRPr="003854B6">
        <w:rPr>
          <w:rFonts w:asciiTheme="majorBidi" w:hAnsiTheme="majorBidi" w:cstheme="majorBidi"/>
          <w:color w:val="000000" w:themeColor="text1"/>
        </w:rPr>
        <w:t>(2), 19-27.</w:t>
      </w:r>
    </w:p>
    <w:p w14:paraId="6B577F20" w14:textId="77777777" w:rsidR="003854B6" w:rsidRP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Stanley, J., &amp; </w:t>
      </w:r>
      <w:proofErr w:type="spellStart"/>
      <w:r w:rsidRPr="003854B6">
        <w:rPr>
          <w:rFonts w:asciiTheme="majorBidi" w:hAnsiTheme="majorBidi" w:cstheme="majorBidi"/>
          <w:color w:val="000000" w:themeColor="text1"/>
        </w:rPr>
        <w:t>Preetha</w:t>
      </w:r>
      <w:proofErr w:type="spellEnd"/>
      <w:r w:rsidRPr="003854B6">
        <w:rPr>
          <w:rFonts w:asciiTheme="majorBidi" w:hAnsiTheme="majorBidi" w:cstheme="majorBidi"/>
          <w:color w:val="000000" w:themeColor="text1"/>
        </w:rPr>
        <w:t>, G. (2016). Pesticide toxicity to fishes: exposure, toxicity and risk assessment methodologies. In </w:t>
      </w:r>
      <w:r w:rsidRPr="003854B6">
        <w:rPr>
          <w:rFonts w:asciiTheme="majorBidi" w:hAnsiTheme="majorBidi" w:cstheme="majorBidi"/>
          <w:i/>
          <w:iCs/>
          <w:color w:val="000000" w:themeColor="text1"/>
        </w:rPr>
        <w:t>Pesticide Toxicity to Non-target Organisms: Exposure, Toxicity and Risk Assessment Methodologies</w:t>
      </w:r>
      <w:r w:rsidRPr="003854B6">
        <w:rPr>
          <w:rFonts w:asciiTheme="majorBidi" w:hAnsiTheme="majorBidi" w:cstheme="majorBidi"/>
          <w:color w:val="000000" w:themeColor="text1"/>
        </w:rPr>
        <w:t> (pp. 411-497). Dordrecht: Springer Netherlands.</w:t>
      </w:r>
    </w:p>
    <w:p w14:paraId="16B4D3B5" w14:textId="77777777" w:rsidR="003854B6" w:rsidRPr="003854B6" w:rsidRDefault="003854B6" w:rsidP="00F26AAA">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Sule</w:t>
      </w:r>
      <w:proofErr w:type="spellEnd"/>
      <w:r w:rsidRPr="003854B6">
        <w:rPr>
          <w:rFonts w:asciiTheme="majorBidi" w:hAnsiTheme="majorBidi" w:cstheme="majorBidi"/>
          <w:color w:val="000000" w:themeColor="text1"/>
        </w:rPr>
        <w:t>, R. O., Condon, L., &amp; Gomes, A. V. (2022). A common feature of pesticides: oxidative stress—the role of oxidative stress in pesticide‐induced toxicity. </w:t>
      </w:r>
      <w:r w:rsidRPr="003854B6">
        <w:rPr>
          <w:rFonts w:asciiTheme="majorBidi" w:hAnsiTheme="majorBidi" w:cstheme="majorBidi"/>
          <w:i/>
          <w:iCs/>
          <w:color w:val="000000" w:themeColor="text1"/>
        </w:rPr>
        <w:t>Oxidative medicine and cellular longevity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2022</w:t>
      </w:r>
      <w:r w:rsidRPr="003854B6">
        <w:rPr>
          <w:rFonts w:asciiTheme="majorBidi" w:hAnsiTheme="majorBidi" w:cstheme="majorBidi"/>
          <w:color w:val="000000" w:themeColor="text1"/>
        </w:rPr>
        <w:t>(1), 5563759.</w:t>
      </w:r>
    </w:p>
    <w:p w14:paraId="322A7B94" w14:textId="433C2228" w:rsidR="003854B6" w:rsidRPr="003854B6" w:rsidRDefault="003854B6" w:rsidP="00FB315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lastRenderedPageBreak/>
        <w:t>Suvetha</w:t>
      </w:r>
      <w:proofErr w:type="spellEnd"/>
      <w:r w:rsidRPr="003854B6">
        <w:rPr>
          <w:rFonts w:asciiTheme="majorBidi" w:hAnsiTheme="majorBidi" w:cstheme="majorBidi"/>
          <w:color w:val="000000" w:themeColor="text1"/>
        </w:rPr>
        <w:t xml:space="preserve">, L., Ramesh, M., &amp; Saravanan, M. (2010). Influence of cypermethrin toxicity on ionic regulation and gill Na+/K+-ATPase activity of a freshwater teleost fish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Environmental Toxicology and Pharmacology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29</w:t>
      </w:r>
      <w:r w:rsidRPr="003854B6">
        <w:rPr>
          <w:rFonts w:asciiTheme="majorBidi" w:hAnsiTheme="majorBidi" w:cstheme="majorBidi"/>
          <w:color w:val="000000" w:themeColor="text1"/>
        </w:rPr>
        <w:t>(1), 44-49.</w:t>
      </w:r>
    </w:p>
    <w:p w14:paraId="22D3B8C8"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Valon</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Valbona</w:t>
      </w:r>
      <w:proofErr w:type="spellEnd"/>
      <w:r w:rsidRPr="003854B6">
        <w:rPr>
          <w:rFonts w:asciiTheme="majorBidi" w:hAnsiTheme="majorBidi" w:cstheme="majorBidi"/>
          <w:color w:val="000000" w:themeColor="text1"/>
        </w:rPr>
        <w:t xml:space="preserve">, A., </w:t>
      </w:r>
      <w:proofErr w:type="spellStart"/>
      <w:r w:rsidRPr="003854B6">
        <w:rPr>
          <w:rFonts w:asciiTheme="majorBidi" w:hAnsiTheme="majorBidi" w:cstheme="majorBidi"/>
          <w:color w:val="000000" w:themeColor="text1"/>
        </w:rPr>
        <w:t>Fahri</w:t>
      </w:r>
      <w:proofErr w:type="spellEnd"/>
      <w:r w:rsidRPr="003854B6">
        <w:rPr>
          <w:rFonts w:asciiTheme="majorBidi" w:hAnsiTheme="majorBidi" w:cstheme="majorBidi"/>
          <w:color w:val="000000" w:themeColor="text1"/>
        </w:rPr>
        <w:t xml:space="preserve">, G., </w:t>
      </w:r>
      <w:proofErr w:type="spellStart"/>
      <w:r w:rsidRPr="003854B6">
        <w:rPr>
          <w:rFonts w:asciiTheme="majorBidi" w:hAnsiTheme="majorBidi" w:cstheme="majorBidi"/>
          <w:color w:val="000000" w:themeColor="text1"/>
        </w:rPr>
        <w:t>Qenan</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Dhurat</w:t>
      </w:r>
      <w:proofErr w:type="spellEnd"/>
      <w:r w:rsidRPr="003854B6">
        <w:rPr>
          <w:rFonts w:asciiTheme="majorBidi" w:hAnsiTheme="majorBidi" w:cstheme="majorBidi"/>
          <w:color w:val="000000" w:themeColor="text1"/>
        </w:rPr>
        <w:t xml:space="preserve">, K., &amp; </w:t>
      </w:r>
      <w:proofErr w:type="spellStart"/>
      <w:r w:rsidRPr="003854B6">
        <w:rPr>
          <w:rFonts w:asciiTheme="majorBidi" w:hAnsiTheme="majorBidi" w:cstheme="majorBidi"/>
          <w:color w:val="000000" w:themeColor="text1"/>
        </w:rPr>
        <w:t>Fatmir</w:t>
      </w:r>
      <w:proofErr w:type="spellEnd"/>
      <w:r w:rsidRPr="003854B6">
        <w:rPr>
          <w:rFonts w:asciiTheme="majorBidi" w:hAnsiTheme="majorBidi" w:cstheme="majorBidi"/>
          <w:color w:val="000000" w:themeColor="text1"/>
        </w:rPr>
        <w:t>, C. (2013). Evaluating Environmental Pollution by Applying Oxidative Stress Biomarkers as Bioindicators of Water Pollution in Fish. </w:t>
      </w:r>
      <w:r w:rsidRPr="003854B6">
        <w:rPr>
          <w:rFonts w:asciiTheme="majorBidi" w:hAnsiTheme="majorBidi" w:cstheme="majorBidi"/>
          <w:i/>
          <w:iCs/>
          <w:color w:val="000000" w:themeColor="text1"/>
        </w:rPr>
        <w:t>Polish Journal of Environmental Studies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22</w:t>
      </w:r>
      <w:r w:rsidRPr="003854B6">
        <w:rPr>
          <w:rFonts w:asciiTheme="majorBidi" w:hAnsiTheme="majorBidi" w:cstheme="majorBidi"/>
          <w:color w:val="000000" w:themeColor="text1"/>
        </w:rPr>
        <w:t>(5).</w:t>
      </w:r>
    </w:p>
    <w:p w14:paraId="2F64863B" w14:textId="30796BDA"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Varma, G., &amp; Vasudevan, A. (2025).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and Biochemical Changes Induced by Acute Chlorpyrifos exposure and A Comparative Analysis of Tissue Catalase Activity in fish </w:t>
      </w:r>
      <w:proofErr w:type="spellStart"/>
      <w:r w:rsidR="0062288B" w:rsidRPr="0062288B">
        <w:rPr>
          <w:rFonts w:asciiTheme="majorBidi" w:hAnsiTheme="majorBidi" w:cstheme="majorBidi"/>
          <w:i/>
          <w:iCs/>
          <w:color w:val="000000" w:themeColor="text1"/>
        </w:rPr>
        <w:t>Labeo</w:t>
      </w:r>
      <w:proofErr w:type="spellEnd"/>
      <w:r w:rsidR="0062288B" w:rsidRPr="0062288B">
        <w:rPr>
          <w:rFonts w:asciiTheme="majorBidi" w:hAnsiTheme="majorBidi" w:cstheme="majorBidi"/>
          <w:i/>
          <w:iCs/>
          <w:color w:val="000000" w:themeColor="text1"/>
        </w:rPr>
        <w:t xml:space="preserve"> </w:t>
      </w:r>
      <w:proofErr w:type="spellStart"/>
      <w:r w:rsidR="0062288B" w:rsidRPr="0062288B">
        <w:rPr>
          <w:rFonts w:asciiTheme="majorBidi" w:hAnsiTheme="majorBidi" w:cstheme="majorBidi"/>
          <w:i/>
          <w:iCs/>
          <w:color w:val="000000" w:themeColor="text1"/>
        </w:rPr>
        <w:t>rohita</w:t>
      </w:r>
      <w:proofErr w:type="spellEnd"/>
      <w:r w:rsidRPr="003854B6">
        <w:rPr>
          <w:rFonts w:asciiTheme="majorBidi" w:hAnsiTheme="majorBidi" w:cstheme="majorBidi"/>
          <w:color w:val="000000" w:themeColor="text1"/>
        </w:rPr>
        <w:t xml:space="preserve"> exposed to 40 ppm Chlorpyrifos. In </w:t>
      </w:r>
      <w:r w:rsidRPr="003854B6">
        <w:rPr>
          <w:rFonts w:asciiTheme="majorBidi" w:hAnsiTheme="majorBidi" w:cstheme="majorBidi"/>
          <w:i/>
          <w:iCs/>
          <w:color w:val="000000" w:themeColor="text1"/>
        </w:rPr>
        <w:t>BIO Web of Conferences</w:t>
      </w:r>
      <w:r w:rsidRPr="003854B6">
        <w:rPr>
          <w:rFonts w:asciiTheme="majorBidi" w:hAnsiTheme="majorBidi" w:cstheme="majorBidi"/>
          <w:color w:val="000000" w:themeColor="text1"/>
        </w:rPr>
        <w:t> (Vol. 172, p. 04008). EDP Sciences.</w:t>
      </w:r>
    </w:p>
    <w:p w14:paraId="3E7E5A67" w14:textId="437E8C64" w:rsidR="003854B6" w:rsidRP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Varma, G., &amp; Vasudevan, A. (2025).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and Biochemical Changes Induced by Acute Chlorpyrifos exposure and A Comparative Analysis of Tissue Catalase Activity in fish </w:t>
      </w:r>
      <w:proofErr w:type="spellStart"/>
      <w:r w:rsidR="0062288B" w:rsidRPr="0062288B">
        <w:rPr>
          <w:rFonts w:asciiTheme="majorBidi" w:hAnsiTheme="majorBidi" w:cstheme="majorBidi"/>
          <w:i/>
          <w:iCs/>
          <w:color w:val="000000" w:themeColor="text1"/>
        </w:rPr>
        <w:t>Labeo</w:t>
      </w:r>
      <w:proofErr w:type="spellEnd"/>
      <w:r w:rsidR="0062288B" w:rsidRPr="0062288B">
        <w:rPr>
          <w:rFonts w:asciiTheme="majorBidi" w:hAnsiTheme="majorBidi" w:cstheme="majorBidi"/>
          <w:i/>
          <w:iCs/>
          <w:color w:val="000000" w:themeColor="text1"/>
        </w:rPr>
        <w:t xml:space="preserve"> </w:t>
      </w:r>
      <w:proofErr w:type="spellStart"/>
      <w:r w:rsidR="0062288B" w:rsidRPr="0062288B">
        <w:rPr>
          <w:rFonts w:asciiTheme="majorBidi" w:hAnsiTheme="majorBidi" w:cstheme="majorBidi"/>
          <w:i/>
          <w:iCs/>
          <w:color w:val="000000" w:themeColor="text1"/>
        </w:rPr>
        <w:t>rohita</w:t>
      </w:r>
      <w:proofErr w:type="spellEnd"/>
      <w:r w:rsidRPr="003854B6">
        <w:rPr>
          <w:rFonts w:asciiTheme="majorBidi" w:hAnsiTheme="majorBidi" w:cstheme="majorBidi"/>
          <w:color w:val="000000" w:themeColor="text1"/>
        </w:rPr>
        <w:t xml:space="preserve"> exposed to 40 ppm Chlorpyrifos. In </w:t>
      </w:r>
      <w:r w:rsidRPr="003854B6">
        <w:rPr>
          <w:rFonts w:asciiTheme="majorBidi" w:hAnsiTheme="majorBidi" w:cstheme="majorBidi"/>
          <w:i/>
          <w:iCs/>
          <w:color w:val="000000" w:themeColor="text1"/>
        </w:rPr>
        <w:t>BIO Web of Conferences</w:t>
      </w:r>
      <w:r w:rsidRPr="003854B6">
        <w:rPr>
          <w:rFonts w:asciiTheme="majorBidi" w:hAnsiTheme="majorBidi" w:cstheme="majorBidi"/>
          <w:color w:val="000000" w:themeColor="text1"/>
        </w:rPr>
        <w:t> (Vol. 172, p. 04008). EDP Sciences.</w:t>
      </w:r>
    </w:p>
    <w:p w14:paraId="105EFA83"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Witeska</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Kondera</w:t>
      </w:r>
      <w:proofErr w:type="spellEnd"/>
      <w:r w:rsidRPr="003854B6">
        <w:rPr>
          <w:rFonts w:asciiTheme="majorBidi" w:hAnsiTheme="majorBidi" w:cstheme="majorBidi"/>
          <w:color w:val="000000" w:themeColor="text1"/>
        </w:rPr>
        <w:t xml:space="preserve">, E., &amp; </w:t>
      </w:r>
      <w:proofErr w:type="spellStart"/>
      <w:r w:rsidRPr="003854B6">
        <w:rPr>
          <w:rFonts w:asciiTheme="majorBidi" w:hAnsiTheme="majorBidi" w:cstheme="majorBidi"/>
          <w:color w:val="000000" w:themeColor="text1"/>
        </w:rPr>
        <w:t>Bojarski</w:t>
      </w:r>
      <w:proofErr w:type="spellEnd"/>
      <w:r w:rsidRPr="003854B6">
        <w:rPr>
          <w:rFonts w:asciiTheme="majorBidi" w:hAnsiTheme="majorBidi" w:cstheme="majorBidi"/>
          <w:color w:val="000000" w:themeColor="text1"/>
        </w:rPr>
        <w:t>, B. (2023). Hematological and hematopoietic analysis in fish toxicology—A review. </w:t>
      </w:r>
      <w:r w:rsidRPr="003854B6">
        <w:rPr>
          <w:rFonts w:asciiTheme="majorBidi" w:hAnsiTheme="majorBidi" w:cstheme="majorBidi"/>
          <w:i/>
          <w:iCs/>
          <w:color w:val="000000" w:themeColor="text1"/>
        </w:rPr>
        <w:t>Animals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13</w:t>
      </w:r>
      <w:r w:rsidRPr="003854B6">
        <w:rPr>
          <w:rFonts w:asciiTheme="majorBidi" w:hAnsiTheme="majorBidi" w:cstheme="majorBidi"/>
          <w:color w:val="000000" w:themeColor="text1"/>
        </w:rPr>
        <w:t>(16), 2625.</w:t>
      </w:r>
    </w:p>
    <w:p w14:paraId="26BD25F2"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Wood, C. M. (2017). Toxic responses of the gill. In </w:t>
      </w:r>
      <w:r w:rsidRPr="003854B6">
        <w:rPr>
          <w:rFonts w:asciiTheme="majorBidi" w:hAnsiTheme="majorBidi" w:cstheme="majorBidi"/>
          <w:i/>
          <w:iCs/>
          <w:color w:val="000000" w:themeColor="text1"/>
        </w:rPr>
        <w:t xml:space="preserve">Target organ toxicity in marine and freshwater </w:t>
      </w:r>
      <w:proofErr w:type="spellStart"/>
      <w:r w:rsidRPr="003854B6">
        <w:rPr>
          <w:rFonts w:asciiTheme="majorBidi" w:hAnsiTheme="majorBidi" w:cstheme="majorBidi"/>
          <w:i/>
          <w:iCs/>
          <w:color w:val="000000" w:themeColor="text1"/>
        </w:rPr>
        <w:t>teleosts</w:t>
      </w:r>
      <w:proofErr w:type="spellEnd"/>
      <w:r w:rsidRPr="003854B6">
        <w:rPr>
          <w:rFonts w:asciiTheme="majorBidi" w:hAnsiTheme="majorBidi" w:cstheme="majorBidi"/>
          <w:color w:val="000000" w:themeColor="text1"/>
        </w:rPr>
        <w:t> (pp. 1-89). CRC Press.</w:t>
      </w:r>
    </w:p>
    <w:p w14:paraId="41656ACA" w14:textId="77777777" w:rsid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Xu, Z., Cao, J., Qin, X., </w:t>
      </w:r>
      <w:proofErr w:type="spellStart"/>
      <w:r w:rsidRPr="003854B6">
        <w:rPr>
          <w:rFonts w:asciiTheme="majorBidi" w:hAnsiTheme="majorBidi" w:cstheme="majorBidi"/>
          <w:color w:val="000000" w:themeColor="text1"/>
        </w:rPr>
        <w:t>Qiu</w:t>
      </w:r>
      <w:proofErr w:type="spellEnd"/>
      <w:r w:rsidRPr="003854B6">
        <w:rPr>
          <w:rFonts w:asciiTheme="majorBidi" w:hAnsiTheme="majorBidi" w:cstheme="majorBidi"/>
          <w:color w:val="000000" w:themeColor="text1"/>
        </w:rPr>
        <w:t xml:space="preserve">, W., Mei, J., &amp; </w:t>
      </w:r>
      <w:proofErr w:type="spellStart"/>
      <w:r w:rsidRPr="003854B6">
        <w:rPr>
          <w:rFonts w:asciiTheme="majorBidi" w:hAnsiTheme="majorBidi" w:cstheme="majorBidi"/>
          <w:color w:val="000000" w:themeColor="text1"/>
        </w:rPr>
        <w:t>Xie</w:t>
      </w:r>
      <w:proofErr w:type="spellEnd"/>
      <w:r w:rsidRPr="003854B6">
        <w:rPr>
          <w:rFonts w:asciiTheme="majorBidi" w:hAnsiTheme="majorBidi" w:cstheme="majorBidi"/>
          <w:color w:val="000000" w:themeColor="text1"/>
        </w:rPr>
        <w:t>, J. (2021). Toxic effects on bioaccumulation, hematological parameters, oxidative stress, immune responses and tissue structure in fish exposed to ammonia nitrogen: a review. </w:t>
      </w:r>
      <w:r w:rsidRPr="003854B6">
        <w:rPr>
          <w:rFonts w:asciiTheme="majorBidi" w:hAnsiTheme="majorBidi" w:cstheme="majorBidi"/>
          <w:i/>
          <w:iCs/>
          <w:color w:val="000000" w:themeColor="text1"/>
        </w:rPr>
        <w:t>Animals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11</w:t>
      </w:r>
      <w:r w:rsidRPr="003854B6">
        <w:rPr>
          <w:rFonts w:asciiTheme="majorBidi" w:hAnsiTheme="majorBidi" w:cstheme="majorBidi"/>
          <w:color w:val="000000" w:themeColor="text1"/>
        </w:rPr>
        <w:t>(11), 3304.</w:t>
      </w:r>
    </w:p>
    <w:p w14:paraId="5004BBFE" w14:textId="586A38BA" w:rsidR="000F31DD" w:rsidRPr="003854B6" w:rsidRDefault="000F31DD" w:rsidP="000F31DD">
      <w:pPr>
        <w:spacing w:line="360" w:lineRule="auto"/>
        <w:jc w:val="both"/>
        <w:rPr>
          <w:rFonts w:asciiTheme="majorBidi" w:hAnsiTheme="majorBidi" w:cstheme="majorBidi"/>
          <w:color w:val="000000" w:themeColor="text1"/>
        </w:rPr>
      </w:pPr>
      <w:r w:rsidRPr="000F31DD">
        <w:rPr>
          <w:rFonts w:asciiTheme="majorBidi" w:hAnsiTheme="majorBidi" w:cstheme="majorBidi"/>
          <w:color w:val="000000" w:themeColor="text1"/>
        </w:rPr>
        <w:lastRenderedPageBreak/>
        <w:t xml:space="preserve">YAJI, A., </w:t>
      </w:r>
      <w:proofErr w:type="spellStart"/>
      <w:r w:rsidRPr="000F31DD">
        <w:rPr>
          <w:rFonts w:asciiTheme="majorBidi" w:hAnsiTheme="majorBidi" w:cstheme="majorBidi"/>
          <w:color w:val="000000" w:themeColor="text1"/>
        </w:rPr>
        <w:t>Ogueji</w:t>
      </w:r>
      <w:proofErr w:type="spellEnd"/>
      <w:r w:rsidRPr="000F31DD">
        <w:rPr>
          <w:rFonts w:asciiTheme="majorBidi" w:hAnsiTheme="majorBidi" w:cstheme="majorBidi"/>
          <w:color w:val="000000" w:themeColor="text1"/>
        </w:rPr>
        <w:t xml:space="preserve">, E. O., </w:t>
      </w:r>
      <w:proofErr w:type="spellStart"/>
      <w:r w:rsidRPr="000F31DD">
        <w:rPr>
          <w:rFonts w:asciiTheme="majorBidi" w:hAnsiTheme="majorBidi" w:cstheme="majorBidi"/>
          <w:color w:val="000000" w:themeColor="text1"/>
        </w:rPr>
        <w:t>Ekpenyong</w:t>
      </w:r>
      <w:proofErr w:type="spellEnd"/>
      <w:r w:rsidRPr="000F31DD">
        <w:rPr>
          <w:rFonts w:asciiTheme="majorBidi" w:hAnsiTheme="majorBidi" w:cstheme="majorBidi"/>
          <w:color w:val="000000" w:themeColor="text1"/>
        </w:rPr>
        <w:t xml:space="preserve">, J. J., &amp; </w:t>
      </w:r>
      <w:proofErr w:type="spellStart"/>
      <w:r w:rsidRPr="000F31DD">
        <w:rPr>
          <w:rFonts w:asciiTheme="majorBidi" w:hAnsiTheme="majorBidi" w:cstheme="majorBidi"/>
          <w:color w:val="000000" w:themeColor="text1"/>
        </w:rPr>
        <w:t>Qayoom</w:t>
      </w:r>
      <w:proofErr w:type="spellEnd"/>
      <w:r w:rsidRPr="000F31DD">
        <w:rPr>
          <w:rFonts w:asciiTheme="majorBidi" w:hAnsiTheme="majorBidi" w:cstheme="majorBidi"/>
          <w:color w:val="000000" w:themeColor="text1"/>
        </w:rPr>
        <w:t xml:space="preserve">, I. (2025). </w:t>
      </w:r>
      <w:proofErr w:type="spellStart"/>
      <w:r w:rsidRPr="000F31DD">
        <w:rPr>
          <w:rFonts w:asciiTheme="majorBidi" w:hAnsiTheme="majorBidi" w:cstheme="majorBidi"/>
          <w:color w:val="000000" w:themeColor="text1"/>
        </w:rPr>
        <w:t>Haematological</w:t>
      </w:r>
      <w:proofErr w:type="spellEnd"/>
      <w:r w:rsidRPr="000F31DD">
        <w:rPr>
          <w:rFonts w:asciiTheme="majorBidi" w:hAnsiTheme="majorBidi" w:cstheme="majorBidi"/>
          <w:color w:val="000000" w:themeColor="text1"/>
        </w:rPr>
        <w:t xml:space="preserve"> and histological changes to </w:t>
      </w:r>
      <w:r w:rsidRPr="000F31DD">
        <w:rPr>
          <w:rFonts w:asciiTheme="majorBidi" w:hAnsiTheme="majorBidi" w:cstheme="majorBidi"/>
          <w:i/>
          <w:iCs/>
          <w:color w:val="000000" w:themeColor="text1"/>
        </w:rPr>
        <w:t xml:space="preserve">Oreochromis </w:t>
      </w:r>
      <w:proofErr w:type="spellStart"/>
      <w:r w:rsidRPr="000F31DD">
        <w:rPr>
          <w:rFonts w:asciiTheme="majorBidi" w:hAnsiTheme="majorBidi" w:cstheme="majorBidi"/>
          <w:i/>
          <w:iCs/>
          <w:color w:val="000000" w:themeColor="text1"/>
        </w:rPr>
        <w:t>niloticus</w:t>
      </w:r>
      <w:proofErr w:type="spellEnd"/>
      <w:r w:rsidRPr="000F31DD">
        <w:rPr>
          <w:rFonts w:asciiTheme="majorBidi" w:hAnsiTheme="majorBidi" w:cstheme="majorBidi"/>
          <w:color w:val="000000" w:themeColor="text1"/>
        </w:rPr>
        <w:t xml:space="preserve"> juveniles exposed to sub-chronic doses of cypermethrin in a flow-through bioassay.</w:t>
      </w:r>
    </w:p>
    <w:p w14:paraId="6ABE91DC" w14:textId="4A82361D" w:rsidR="003854B6" w:rsidRP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Yan, D., Jiang, X., Yu, G., Zhao, Z., </w:t>
      </w:r>
      <w:proofErr w:type="spellStart"/>
      <w:r w:rsidRPr="003854B6">
        <w:rPr>
          <w:rFonts w:asciiTheme="majorBidi" w:hAnsiTheme="majorBidi" w:cstheme="majorBidi"/>
          <w:color w:val="000000" w:themeColor="text1"/>
        </w:rPr>
        <w:t>Bian</w:t>
      </w:r>
      <w:proofErr w:type="spellEnd"/>
      <w:r w:rsidRPr="003854B6">
        <w:rPr>
          <w:rFonts w:asciiTheme="majorBidi" w:hAnsiTheme="majorBidi" w:cstheme="majorBidi"/>
          <w:color w:val="000000" w:themeColor="text1"/>
        </w:rPr>
        <w:t xml:space="preserve">, Y., &amp; Wang, F. (2006). Quantitative structure–toxicity relationships of </w:t>
      </w:r>
      <w:proofErr w:type="spellStart"/>
      <w:r w:rsidRPr="003854B6">
        <w:rPr>
          <w:rFonts w:asciiTheme="majorBidi" w:hAnsiTheme="majorBidi" w:cstheme="majorBidi"/>
          <w:color w:val="000000" w:themeColor="text1"/>
        </w:rPr>
        <w:t>organophosphorous</w:t>
      </w:r>
      <w:proofErr w:type="spellEnd"/>
      <w:r w:rsidRPr="003854B6">
        <w:rPr>
          <w:rFonts w:asciiTheme="majorBidi" w:hAnsiTheme="majorBidi" w:cstheme="majorBidi"/>
          <w:color w:val="000000" w:themeColor="text1"/>
        </w:rPr>
        <w:t xml:space="preserve"> pesticides to fish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Chemosphere</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63</w:t>
      </w:r>
      <w:r w:rsidRPr="003854B6">
        <w:rPr>
          <w:rFonts w:asciiTheme="majorBidi" w:hAnsiTheme="majorBidi" w:cstheme="majorBidi"/>
          <w:color w:val="000000" w:themeColor="text1"/>
        </w:rPr>
        <w:t>(5), 744-750.</w:t>
      </w:r>
    </w:p>
    <w:p w14:paraId="2BEE93E4" w14:textId="6B733270"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Yaseen, M., Ullah, H., </w:t>
      </w:r>
      <w:proofErr w:type="spellStart"/>
      <w:r w:rsidRPr="003854B6">
        <w:rPr>
          <w:rFonts w:asciiTheme="majorBidi" w:hAnsiTheme="majorBidi" w:cstheme="majorBidi"/>
          <w:color w:val="000000" w:themeColor="text1"/>
        </w:rPr>
        <w:t>Mubarik</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Jadoon</w:t>
      </w:r>
      <w:proofErr w:type="spellEnd"/>
      <w:r w:rsidRPr="003854B6">
        <w:rPr>
          <w:rFonts w:asciiTheme="majorBidi" w:hAnsiTheme="majorBidi" w:cstheme="majorBidi"/>
          <w:color w:val="000000" w:themeColor="text1"/>
        </w:rPr>
        <w:t xml:space="preserve">, W. A., </w:t>
      </w:r>
      <w:proofErr w:type="spellStart"/>
      <w:r w:rsidRPr="003854B6">
        <w:rPr>
          <w:rFonts w:asciiTheme="majorBidi" w:hAnsiTheme="majorBidi" w:cstheme="majorBidi"/>
          <w:color w:val="000000" w:themeColor="text1"/>
        </w:rPr>
        <w:t>Ghayyur</w:t>
      </w:r>
      <w:proofErr w:type="spellEnd"/>
      <w:r w:rsidRPr="003854B6">
        <w:rPr>
          <w:rFonts w:asciiTheme="majorBidi" w:hAnsiTheme="majorBidi" w:cstheme="majorBidi"/>
          <w:color w:val="000000" w:themeColor="text1"/>
        </w:rPr>
        <w:t xml:space="preserve">, S., Iftikhar, M., &amp; </w:t>
      </w:r>
      <w:proofErr w:type="spellStart"/>
      <w:r w:rsidRPr="003854B6">
        <w:rPr>
          <w:rFonts w:asciiTheme="majorBidi" w:hAnsiTheme="majorBidi" w:cstheme="majorBidi"/>
          <w:color w:val="000000" w:themeColor="text1"/>
        </w:rPr>
        <w:t>Ghayyur</w:t>
      </w:r>
      <w:proofErr w:type="spellEnd"/>
      <w:r w:rsidRPr="003854B6">
        <w:rPr>
          <w:rFonts w:asciiTheme="majorBidi" w:hAnsiTheme="majorBidi" w:cstheme="majorBidi"/>
          <w:color w:val="000000" w:themeColor="text1"/>
        </w:rPr>
        <w:t xml:space="preserve">, S. (2025). Evaluating pesticide-induced toxicity in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xml:space="preserve"> using </w:t>
      </w:r>
      <w:proofErr w:type="spellStart"/>
      <w:r w:rsidRPr="003854B6">
        <w:rPr>
          <w:rFonts w:asciiTheme="majorBidi" w:hAnsiTheme="majorBidi" w:cstheme="majorBidi"/>
          <w:color w:val="000000" w:themeColor="text1"/>
        </w:rPr>
        <w:t>hemato</w:t>
      </w:r>
      <w:proofErr w:type="spellEnd"/>
      <w:r w:rsidRPr="003854B6">
        <w:rPr>
          <w:rFonts w:asciiTheme="majorBidi" w:hAnsiTheme="majorBidi" w:cstheme="majorBidi"/>
          <w:color w:val="000000" w:themeColor="text1"/>
        </w:rPr>
        <w:t>-biochemical biomarkers. </w:t>
      </w:r>
      <w:r w:rsidRPr="003854B6">
        <w:rPr>
          <w:rFonts w:asciiTheme="majorBidi" w:hAnsiTheme="majorBidi" w:cstheme="majorBidi"/>
          <w:i/>
          <w:iCs/>
          <w:color w:val="000000" w:themeColor="text1"/>
        </w:rPr>
        <w:t>Ecotoxicology</w:t>
      </w:r>
      <w:r w:rsidRPr="003854B6">
        <w:rPr>
          <w:rFonts w:asciiTheme="majorBidi" w:hAnsiTheme="majorBidi" w:cstheme="majorBidi"/>
          <w:color w:val="000000" w:themeColor="text1"/>
        </w:rPr>
        <w:t>, 1-17.</w:t>
      </w:r>
    </w:p>
    <w:p w14:paraId="7AAC6C0A" w14:textId="17C23854"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Yaseen, M., Ullah, H., </w:t>
      </w:r>
      <w:proofErr w:type="spellStart"/>
      <w:r w:rsidRPr="003854B6">
        <w:rPr>
          <w:rFonts w:asciiTheme="majorBidi" w:hAnsiTheme="majorBidi" w:cstheme="majorBidi"/>
          <w:color w:val="000000" w:themeColor="text1"/>
        </w:rPr>
        <w:t>Mubarik</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Jadoon</w:t>
      </w:r>
      <w:proofErr w:type="spellEnd"/>
      <w:r w:rsidRPr="003854B6">
        <w:rPr>
          <w:rFonts w:asciiTheme="majorBidi" w:hAnsiTheme="majorBidi" w:cstheme="majorBidi"/>
          <w:color w:val="000000" w:themeColor="text1"/>
        </w:rPr>
        <w:t xml:space="preserve">, W. A., </w:t>
      </w:r>
      <w:proofErr w:type="spellStart"/>
      <w:r w:rsidRPr="003854B6">
        <w:rPr>
          <w:rFonts w:asciiTheme="majorBidi" w:hAnsiTheme="majorBidi" w:cstheme="majorBidi"/>
          <w:color w:val="000000" w:themeColor="text1"/>
        </w:rPr>
        <w:t>Ghayyur</w:t>
      </w:r>
      <w:proofErr w:type="spellEnd"/>
      <w:r w:rsidRPr="003854B6">
        <w:rPr>
          <w:rFonts w:asciiTheme="majorBidi" w:hAnsiTheme="majorBidi" w:cstheme="majorBidi"/>
          <w:color w:val="000000" w:themeColor="text1"/>
        </w:rPr>
        <w:t xml:space="preserve">, S., Iftikhar, M., &amp; </w:t>
      </w:r>
      <w:proofErr w:type="spellStart"/>
      <w:r w:rsidRPr="003854B6">
        <w:rPr>
          <w:rFonts w:asciiTheme="majorBidi" w:hAnsiTheme="majorBidi" w:cstheme="majorBidi"/>
          <w:color w:val="000000" w:themeColor="text1"/>
        </w:rPr>
        <w:t>Ghayyur</w:t>
      </w:r>
      <w:proofErr w:type="spellEnd"/>
      <w:r w:rsidRPr="003854B6">
        <w:rPr>
          <w:rFonts w:asciiTheme="majorBidi" w:hAnsiTheme="majorBidi" w:cstheme="majorBidi"/>
          <w:color w:val="000000" w:themeColor="text1"/>
        </w:rPr>
        <w:t xml:space="preserve">, S. (2025). Evaluating pesticide-induced toxicity in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xml:space="preserve"> using </w:t>
      </w:r>
      <w:proofErr w:type="spellStart"/>
      <w:r w:rsidRPr="003854B6">
        <w:rPr>
          <w:rFonts w:asciiTheme="majorBidi" w:hAnsiTheme="majorBidi" w:cstheme="majorBidi"/>
          <w:color w:val="000000" w:themeColor="text1"/>
        </w:rPr>
        <w:t>hemato</w:t>
      </w:r>
      <w:proofErr w:type="spellEnd"/>
      <w:r w:rsidRPr="003854B6">
        <w:rPr>
          <w:rFonts w:asciiTheme="majorBidi" w:hAnsiTheme="majorBidi" w:cstheme="majorBidi"/>
          <w:color w:val="000000" w:themeColor="text1"/>
        </w:rPr>
        <w:t>-biochemical biomarkers. </w:t>
      </w:r>
      <w:r w:rsidRPr="003854B6">
        <w:rPr>
          <w:rFonts w:asciiTheme="majorBidi" w:hAnsiTheme="majorBidi" w:cstheme="majorBidi"/>
          <w:i/>
          <w:iCs/>
          <w:color w:val="000000" w:themeColor="text1"/>
        </w:rPr>
        <w:t>Ecotoxicology</w:t>
      </w:r>
      <w:r w:rsidRPr="003854B6">
        <w:rPr>
          <w:rFonts w:asciiTheme="majorBidi" w:hAnsiTheme="majorBidi" w:cstheme="majorBidi"/>
          <w:color w:val="000000" w:themeColor="text1"/>
        </w:rPr>
        <w:t>, 1-17.</w:t>
      </w:r>
    </w:p>
    <w:p w14:paraId="43B9B025"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Yu, Y. B., Lee, J. W., Jo, A. H., Choi, Y. J., Choi, C. Y., Kang, J. C., &amp; Kim, J. H. (2024). Toxic Effects of Cadmium Exposure on Hematological and Plasma Biochemical Parameters in Fish: A Review. </w:t>
      </w:r>
      <w:r w:rsidRPr="003854B6">
        <w:rPr>
          <w:rFonts w:asciiTheme="majorBidi" w:hAnsiTheme="majorBidi" w:cstheme="majorBidi"/>
          <w:i/>
          <w:iCs/>
          <w:color w:val="000000" w:themeColor="text1"/>
        </w:rPr>
        <w:t>Toxics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12</w:t>
      </w:r>
      <w:r w:rsidRPr="003854B6">
        <w:rPr>
          <w:rFonts w:asciiTheme="majorBidi" w:hAnsiTheme="majorBidi" w:cstheme="majorBidi"/>
          <w:color w:val="000000" w:themeColor="text1"/>
        </w:rPr>
        <w:t>(10), 699.</w:t>
      </w:r>
    </w:p>
    <w:sectPr w:rsidR="003854B6" w:rsidRPr="003854B6" w:rsidSect="00666FCF">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F2367" w14:textId="77777777" w:rsidR="006210EC" w:rsidRDefault="006210EC" w:rsidP="009464DB">
      <w:pPr>
        <w:spacing w:after="0" w:line="240" w:lineRule="auto"/>
      </w:pPr>
      <w:r>
        <w:separator/>
      </w:r>
    </w:p>
  </w:endnote>
  <w:endnote w:type="continuationSeparator" w:id="0">
    <w:p w14:paraId="7D392DE3" w14:textId="77777777" w:rsidR="006210EC" w:rsidRDefault="006210EC" w:rsidP="0094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2B19" w14:textId="77777777" w:rsidR="009464DB" w:rsidRDefault="00946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69B0" w14:textId="77777777" w:rsidR="009464DB" w:rsidRDefault="00946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09B0" w14:textId="77777777" w:rsidR="009464DB" w:rsidRDefault="00946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7C0CD" w14:textId="77777777" w:rsidR="006210EC" w:rsidRDefault="006210EC" w:rsidP="009464DB">
      <w:pPr>
        <w:spacing w:after="0" w:line="240" w:lineRule="auto"/>
      </w:pPr>
      <w:r>
        <w:separator/>
      </w:r>
    </w:p>
  </w:footnote>
  <w:footnote w:type="continuationSeparator" w:id="0">
    <w:p w14:paraId="3C67681C" w14:textId="77777777" w:rsidR="006210EC" w:rsidRDefault="006210EC" w:rsidP="00946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4BFB" w14:textId="73D5FDCB" w:rsidR="009464DB" w:rsidRDefault="009464DB">
    <w:pPr>
      <w:pStyle w:val="Header"/>
    </w:pPr>
    <w:r>
      <w:rPr>
        <w:noProof/>
      </w:rPr>
      <w:pict w14:anchorId="2BBFB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43063" o:spid="_x0000_s2050" type="#_x0000_t136" style="position:absolute;margin-left:0;margin-top:0;width:490.5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2C962" w14:textId="70CBF915" w:rsidR="009464DB" w:rsidRDefault="009464DB">
    <w:pPr>
      <w:pStyle w:val="Header"/>
    </w:pPr>
    <w:r>
      <w:rPr>
        <w:noProof/>
      </w:rPr>
      <w:pict w14:anchorId="177EA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43064" o:spid="_x0000_s2051" type="#_x0000_t136" style="position:absolute;margin-left:0;margin-top:0;width:490.5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F682" w14:textId="15ED97D1" w:rsidR="009464DB" w:rsidRDefault="009464DB">
    <w:pPr>
      <w:pStyle w:val="Header"/>
    </w:pPr>
    <w:r>
      <w:rPr>
        <w:noProof/>
      </w:rPr>
      <w:pict w14:anchorId="3AB03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43062" o:spid="_x0000_s2049" type="#_x0000_t136" style="position:absolute;margin-left:0;margin-top:0;width:490.5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56E3"/>
    <w:multiLevelType w:val="multilevel"/>
    <w:tmpl w:val="2A92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2M7C0MDI1N7AwsjBU0lEKTi0uzszPAykwrAUAyxWQaywAAAA="/>
  </w:docVars>
  <w:rsids>
    <w:rsidRoot w:val="00400302"/>
    <w:rsid w:val="00042564"/>
    <w:rsid w:val="000700E6"/>
    <w:rsid w:val="000A03AC"/>
    <w:rsid w:val="000F31DD"/>
    <w:rsid w:val="00195B5F"/>
    <w:rsid w:val="001B1611"/>
    <w:rsid w:val="001F7C8B"/>
    <w:rsid w:val="002141C8"/>
    <w:rsid w:val="00221D18"/>
    <w:rsid w:val="002466D7"/>
    <w:rsid w:val="00253B4A"/>
    <w:rsid w:val="003854B6"/>
    <w:rsid w:val="003957E6"/>
    <w:rsid w:val="003A436F"/>
    <w:rsid w:val="003A54C0"/>
    <w:rsid w:val="00400302"/>
    <w:rsid w:val="00440C69"/>
    <w:rsid w:val="00485888"/>
    <w:rsid w:val="004A2172"/>
    <w:rsid w:val="005508F2"/>
    <w:rsid w:val="005A2BF3"/>
    <w:rsid w:val="006210EC"/>
    <w:rsid w:val="0062288B"/>
    <w:rsid w:val="006402E2"/>
    <w:rsid w:val="00657A12"/>
    <w:rsid w:val="00666FCF"/>
    <w:rsid w:val="006F7560"/>
    <w:rsid w:val="00717613"/>
    <w:rsid w:val="007332BE"/>
    <w:rsid w:val="007342E3"/>
    <w:rsid w:val="00747031"/>
    <w:rsid w:val="00756149"/>
    <w:rsid w:val="007D129B"/>
    <w:rsid w:val="007D2BD2"/>
    <w:rsid w:val="007F7F5B"/>
    <w:rsid w:val="00811ADC"/>
    <w:rsid w:val="00814F10"/>
    <w:rsid w:val="00893548"/>
    <w:rsid w:val="008A10F1"/>
    <w:rsid w:val="008C3542"/>
    <w:rsid w:val="009255E6"/>
    <w:rsid w:val="009464DB"/>
    <w:rsid w:val="00972A12"/>
    <w:rsid w:val="00992D82"/>
    <w:rsid w:val="009B36D7"/>
    <w:rsid w:val="009F6FA7"/>
    <w:rsid w:val="00A94537"/>
    <w:rsid w:val="00AA5332"/>
    <w:rsid w:val="00AE087A"/>
    <w:rsid w:val="00B02E19"/>
    <w:rsid w:val="00B369B3"/>
    <w:rsid w:val="00BB6502"/>
    <w:rsid w:val="00BC7A40"/>
    <w:rsid w:val="00C8429B"/>
    <w:rsid w:val="00C9161F"/>
    <w:rsid w:val="00C97D00"/>
    <w:rsid w:val="00CB2005"/>
    <w:rsid w:val="00DA1908"/>
    <w:rsid w:val="00DD00FA"/>
    <w:rsid w:val="00E75BEE"/>
    <w:rsid w:val="00E95151"/>
    <w:rsid w:val="00E962A0"/>
    <w:rsid w:val="00ED20E1"/>
    <w:rsid w:val="00F26AAA"/>
    <w:rsid w:val="00FB3157"/>
    <w:rsid w:val="00FE6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C56427"/>
  <w15:chartTrackingRefBased/>
  <w15:docId w15:val="{CD6A7215-1071-4AFB-A2E9-CA978119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3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003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0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03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03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0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3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003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03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03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03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0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302"/>
    <w:rPr>
      <w:rFonts w:eastAsiaTheme="majorEastAsia" w:cstheme="majorBidi"/>
      <w:color w:val="272727" w:themeColor="text1" w:themeTint="D8"/>
    </w:rPr>
  </w:style>
  <w:style w:type="paragraph" w:styleId="Title">
    <w:name w:val="Title"/>
    <w:basedOn w:val="Normal"/>
    <w:next w:val="Normal"/>
    <w:link w:val="TitleChar"/>
    <w:uiPriority w:val="10"/>
    <w:qFormat/>
    <w:rsid w:val="00400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302"/>
    <w:pPr>
      <w:spacing w:before="160"/>
      <w:jc w:val="center"/>
    </w:pPr>
    <w:rPr>
      <w:i/>
      <w:iCs/>
      <w:color w:val="404040" w:themeColor="text1" w:themeTint="BF"/>
    </w:rPr>
  </w:style>
  <w:style w:type="character" w:customStyle="1" w:styleId="QuoteChar">
    <w:name w:val="Quote Char"/>
    <w:basedOn w:val="DefaultParagraphFont"/>
    <w:link w:val="Quote"/>
    <w:uiPriority w:val="29"/>
    <w:rsid w:val="00400302"/>
    <w:rPr>
      <w:i/>
      <w:iCs/>
      <w:color w:val="404040" w:themeColor="text1" w:themeTint="BF"/>
    </w:rPr>
  </w:style>
  <w:style w:type="paragraph" w:styleId="ListParagraph">
    <w:name w:val="List Paragraph"/>
    <w:basedOn w:val="Normal"/>
    <w:uiPriority w:val="34"/>
    <w:qFormat/>
    <w:rsid w:val="00400302"/>
    <w:pPr>
      <w:ind w:left="720"/>
      <w:contextualSpacing/>
    </w:pPr>
  </w:style>
  <w:style w:type="character" w:styleId="IntenseEmphasis">
    <w:name w:val="Intense Emphasis"/>
    <w:basedOn w:val="DefaultParagraphFont"/>
    <w:uiPriority w:val="21"/>
    <w:qFormat/>
    <w:rsid w:val="00400302"/>
    <w:rPr>
      <w:i/>
      <w:iCs/>
      <w:color w:val="2F5496" w:themeColor="accent1" w:themeShade="BF"/>
    </w:rPr>
  </w:style>
  <w:style w:type="paragraph" w:styleId="IntenseQuote">
    <w:name w:val="Intense Quote"/>
    <w:basedOn w:val="Normal"/>
    <w:next w:val="Normal"/>
    <w:link w:val="IntenseQuoteChar"/>
    <w:uiPriority w:val="30"/>
    <w:qFormat/>
    <w:rsid w:val="00400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0302"/>
    <w:rPr>
      <w:i/>
      <w:iCs/>
      <w:color w:val="2F5496" w:themeColor="accent1" w:themeShade="BF"/>
    </w:rPr>
  </w:style>
  <w:style w:type="character" w:styleId="IntenseReference">
    <w:name w:val="Intense Reference"/>
    <w:basedOn w:val="DefaultParagraphFont"/>
    <w:uiPriority w:val="32"/>
    <w:qFormat/>
    <w:rsid w:val="00400302"/>
    <w:rPr>
      <w:b/>
      <w:bCs/>
      <w:smallCaps/>
      <w:color w:val="2F5496" w:themeColor="accent1" w:themeShade="BF"/>
      <w:spacing w:val="5"/>
    </w:rPr>
  </w:style>
  <w:style w:type="character" w:styleId="Hyperlink">
    <w:name w:val="Hyperlink"/>
    <w:basedOn w:val="DefaultParagraphFont"/>
    <w:uiPriority w:val="99"/>
    <w:unhideWhenUsed/>
    <w:rsid w:val="005A2BF3"/>
    <w:rPr>
      <w:color w:val="0563C1" w:themeColor="hyperlink"/>
      <w:u w:val="single"/>
    </w:rPr>
  </w:style>
  <w:style w:type="character" w:customStyle="1" w:styleId="UnresolvedMention1">
    <w:name w:val="Unresolved Mention1"/>
    <w:basedOn w:val="DefaultParagraphFont"/>
    <w:uiPriority w:val="99"/>
    <w:semiHidden/>
    <w:unhideWhenUsed/>
    <w:rsid w:val="005A2BF3"/>
    <w:rPr>
      <w:color w:val="605E5C"/>
      <w:shd w:val="clear" w:color="auto" w:fill="E1DFDD"/>
    </w:rPr>
  </w:style>
  <w:style w:type="table" w:styleId="TableGrid">
    <w:name w:val="Table Grid"/>
    <w:basedOn w:val="TableNormal"/>
    <w:uiPriority w:val="59"/>
    <w:rsid w:val="00B369B3"/>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6E97"/>
    <w:rPr>
      <w:color w:val="605E5C"/>
      <w:shd w:val="clear" w:color="auto" w:fill="E1DFDD"/>
    </w:rPr>
  </w:style>
  <w:style w:type="paragraph" w:styleId="Header">
    <w:name w:val="header"/>
    <w:basedOn w:val="Normal"/>
    <w:link w:val="HeaderChar"/>
    <w:uiPriority w:val="99"/>
    <w:unhideWhenUsed/>
    <w:rsid w:val="00946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4DB"/>
  </w:style>
  <w:style w:type="paragraph" w:styleId="Footer">
    <w:name w:val="footer"/>
    <w:basedOn w:val="Normal"/>
    <w:link w:val="FooterChar"/>
    <w:uiPriority w:val="99"/>
    <w:unhideWhenUsed/>
    <w:rsid w:val="00946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oxrep.2024.02.0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heliyon.2022.e1122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41</Pages>
  <Words>10772</Words>
  <Characters>61402</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Farheen Saba</dc:creator>
  <cp:keywords/>
  <dc:description/>
  <cp:lastModifiedBy>SDI 1084</cp:lastModifiedBy>
  <cp:revision>9</cp:revision>
  <dcterms:created xsi:type="dcterms:W3CDTF">2025-10-26T14:43:00Z</dcterms:created>
  <dcterms:modified xsi:type="dcterms:W3CDTF">2025-10-31T08:27:00Z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7e5d3863-1054-41d6-9115-56e63950ec5b</vt:lpwstr>
  </property>
</Properties>
</file>