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8A73A" w14:textId="1FFA2C14" w:rsidR="00F80FB5" w:rsidRPr="00DA2BA3" w:rsidRDefault="00DA2BA3" w:rsidP="00F80FB5">
      <w:pPr>
        <w:pStyle w:val="MDPI12title"/>
        <w:jc w:val="center"/>
        <w:rPr>
          <w:rFonts w:eastAsiaTheme="minorEastAsia"/>
          <w:lang w:eastAsia="zh-CN"/>
        </w:rPr>
      </w:pPr>
      <w:r w:rsidRPr="00DA2BA3">
        <w:rPr>
          <w:rFonts w:hint="eastAsia"/>
        </w:rPr>
        <w:t>Low-</w:t>
      </w:r>
      <w:r w:rsidR="005217F3">
        <w:rPr>
          <w:rFonts w:eastAsiaTheme="minorEastAsia" w:hint="eastAsia"/>
          <w:lang w:eastAsia="zh-CN"/>
        </w:rPr>
        <w:t>c</w:t>
      </w:r>
      <w:r w:rsidRPr="00DA2BA3">
        <w:rPr>
          <w:rFonts w:hint="eastAsia"/>
        </w:rPr>
        <w:t xml:space="preserve">arbon </w:t>
      </w:r>
      <w:r w:rsidR="005217F3">
        <w:rPr>
          <w:rFonts w:eastAsiaTheme="minorEastAsia" w:hint="eastAsia"/>
          <w:lang w:eastAsia="zh-CN"/>
        </w:rPr>
        <w:t>c</w:t>
      </w:r>
      <w:r w:rsidRPr="00DA2BA3">
        <w:rPr>
          <w:rFonts w:hint="eastAsia"/>
        </w:rPr>
        <w:t xml:space="preserve">ity </w:t>
      </w:r>
      <w:r w:rsidR="005217F3">
        <w:rPr>
          <w:rFonts w:eastAsiaTheme="minorEastAsia" w:hint="eastAsia"/>
          <w:lang w:eastAsia="zh-CN"/>
        </w:rPr>
        <w:t>p</w:t>
      </w:r>
      <w:r w:rsidRPr="00DA2BA3">
        <w:rPr>
          <w:rFonts w:hint="eastAsia"/>
        </w:rPr>
        <w:t xml:space="preserve">ilot and </w:t>
      </w:r>
      <w:r w:rsidR="00DE2BBF">
        <w:rPr>
          <w:rFonts w:eastAsiaTheme="minorEastAsia" w:hint="eastAsia"/>
          <w:lang w:eastAsia="zh-CN"/>
        </w:rPr>
        <w:t xml:space="preserve">urban </w:t>
      </w:r>
      <w:r w:rsidR="005217F3">
        <w:rPr>
          <w:rFonts w:eastAsiaTheme="minorEastAsia" w:hint="eastAsia"/>
          <w:lang w:eastAsia="zh-CN"/>
        </w:rPr>
        <w:t>g</w:t>
      </w:r>
      <w:r w:rsidRPr="00DA2BA3">
        <w:rPr>
          <w:rFonts w:hint="eastAsia"/>
        </w:rPr>
        <w:t xml:space="preserve">reen </w:t>
      </w:r>
      <w:r w:rsidR="005217F3">
        <w:rPr>
          <w:rFonts w:eastAsiaTheme="minorEastAsia" w:hint="eastAsia"/>
          <w:lang w:eastAsia="zh-CN"/>
        </w:rPr>
        <w:t>i</w:t>
      </w:r>
      <w:r w:rsidRPr="00DA2BA3">
        <w:rPr>
          <w:rFonts w:hint="eastAsia"/>
        </w:rPr>
        <w:t xml:space="preserve">nnovation: From the </w:t>
      </w:r>
      <w:r w:rsidR="00D63EAE">
        <w:rPr>
          <w:rFonts w:eastAsiaTheme="minorEastAsia" w:hint="eastAsia"/>
          <w:lang w:eastAsia="zh-CN"/>
        </w:rPr>
        <w:t>p</w:t>
      </w:r>
      <w:r w:rsidRPr="00DA2BA3">
        <w:rPr>
          <w:rFonts w:hint="eastAsia"/>
        </w:rPr>
        <w:t xml:space="preserve">erspective of </w:t>
      </w:r>
      <w:r w:rsidR="00D63EAE">
        <w:rPr>
          <w:rFonts w:eastAsiaTheme="minorEastAsia" w:hint="eastAsia"/>
          <w:lang w:eastAsia="zh-CN"/>
        </w:rPr>
        <w:t>e</w:t>
      </w:r>
      <w:r w:rsidRPr="00DA2BA3">
        <w:rPr>
          <w:rFonts w:hint="eastAsia"/>
        </w:rPr>
        <w:t xml:space="preserve">cological </w:t>
      </w:r>
      <w:r w:rsidR="00D63EAE">
        <w:rPr>
          <w:rFonts w:eastAsiaTheme="minorEastAsia" w:hint="eastAsia"/>
          <w:lang w:eastAsia="zh-CN"/>
        </w:rPr>
        <w:t>a</w:t>
      </w:r>
      <w:r w:rsidRPr="00DA2BA3">
        <w:rPr>
          <w:rFonts w:hint="eastAsia"/>
        </w:rPr>
        <w:t>ttention</w:t>
      </w:r>
    </w:p>
    <w:p w14:paraId="6C5B6D82" w14:textId="77777777" w:rsidR="00400673" w:rsidRPr="00075F01" w:rsidRDefault="00400673" w:rsidP="006C02A2">
      <w:pPr>
        <w:pStyle w:val="Affiliation"/>
        <w:rPr>
          <w:lang w:eastAsia="zh-CN"/>
        </w:rPr>
      </w:pPr>
    </w:p>
    <w:p w14:paraId="1A616449" w14:textId="77777777" w:rsidR="00F80FB5" w:rsidRPr="006C02A2" w:rsidRDefault="00F80FB5" w:rsidP="00F80FB5">
      <w:pPr>
        <w:rPr>
          <w:lang w:val="en-GB" w:bidi="en-US"/>
        </w:rPr>
      </w:pPr>
    </w:p>
    <w:p w14:paraId="2EFB07C0" w14:textId="091D9A83" w:rsidR="008B4E7F" w:rsidRPr="008B4E7F" w:rsidRDefault="00B45B33" w:rsidP="00E50173">
      <w:pPr>
        <w:spacing w:line="360" w:lineRule="auto"/>
        <w:rPr>
          <w:rFonts w:ascii="Times New Roman" w:eastAsia="SimSun" w:hAnsi="Times New Roman"/>
          <w:sz w:val="24"/>
        </w:rPr>
      </w:pPr>
      <w:r w:rsidRPr="00B45B33">
        <w:rPr>
          <w:rFonts w:ascii="Times New Roman" w:eastAsia="SimSun" w:hAnsi="Times New Roman" w:hint="eastAsia"/>
          <w:b/>
          <w:bCs/>
          <w:sz w:val="24"/>
        </w:rPr>
        <w:t xml:space="preserve">Abstract: </w:t>
      </w:r>
      <w:r w:rsidR="0093052E" w:rsidRPr="0093052E">
        <w:rPr>
          <w:rFonts w:ascii="Times New Roman" w:eastAsia="SimSun" w:hAnsi="Times New Roman" w:hint="eastAsia"/>
          <w:sz w:val="24"/>
        </w:rPr>
        <w:t xml:space="preserve">In recent years, </w:t>
      </w:r>
      <w:r w:rsidR="0093052E" w:rsidRPr="0093052E">
        <w:rPr>
          <w:rFonts w:ascii="Times New Roman" w:eastAsia="SimSun" w:hAnsi="Times New Roman"/>
          <w:sz w:val="24"/>
        </w:rPr>
        <w:t xml:space="preserve">low-emission industrial green development has become a global </w:t>
      </w:r>
      <w:r w:rsidR="00EC53E3" w:rsidRPr="0093052E">
        <w:rPr>
          <w:rFonts w:ascii="Times New Roman" w:eastAsia="SimSun" w:hAnsi="Times New Roman"/>
          <w:sz w:val="24"/>
        </w:rPr>
        <w:t>consensus</w:t>
      </w:r>
      <w:r w:rsidR="00EC53E3">
        <w:rPr>
          <w:rFonts w:ascii="Times New Roman" w:eastAsia="SimSun" w:hAnsi="Times New Roman"/>
          <w:sz w:val="24"/>
        </w:rPr>
        <w:t>.</w:t>
      </w:r>
      <w:r w:rsidR="00EC53E3" w:rsidRPr="0093052E">
        <w:rPr>
          <w:rFonts w:ascii="Times New Roman" w:eastAsia="SimSun" w:hAnsi="Times New Roman"/>
          <w:sz w:val="24"/>
        </w:rPr>
        <w:t xml:space="preserve"> To</w:t>
      </w:r>
      <w:r w:rsidR="0093052E" w:rsidRPr="0093052E">
        <w:rPr>
          <w:rFonts w:ascii="Times New Roman" w:eastAsia="SimSun" w:hAnsi="Times New Roman"/>
          <w:sz w:val="24"/>
        </w:rPr>
        <w:t xml:space="preserve"> achieve energy-saving and emission-reduction targets, China's National Development and Reform Commission initiated the Low-Carbon City Pilot (LCCP) policy in July 2010, subsequently expanding its coverage. This study employs multi-period DID methodology with panel data from 283 prefecture-level cities (2007-2017) to examine whether LCCP accelerates green innovation and through what mechanisms. Results indicate LCCP significantly accelerates green innovation, with findings robust to multiple specification tests. We innovatively reveal ecological attention as a key transmission mechanism from governmental and public perspectives, demonstrating stronger effects from public ecological attention. The research provides theoretical support for city-level policy evaluation and proposes: expanding pilot coverage, accounting for geographical heterogeneity, and strengthening policy enforcement.</w:t>
      </w:r>
    </w:p>
    <w:p w14:paraId="7404FDA0" w14:textId="3ED77D48" w:rsidR="004301E4" w:rsidRPr="004301E4" w:rsidRDefault="004301E4" w:rsidP="00B45B33">
      <w:pPr>
        <w:rPr>
          <w:rFonts w:ascii="Times New Roman" w:eastAsia="SimSun" w:hAnsi="Times New Roman"/>
          <w:b/>
          <w:bCs/>
          <w:sz w:val="24"/>
        </w:rPr>
      </w:pPr>
    </w:p>
    <w:p w14:paraId="7A588D4D" w14:textId="1EFBDD47" w:rsidR="004301E4" w:rsidRDefault="004301E4" w:rsidP="00A143AA">
      <w:pPr>
        <w:spacing w:line="360" w:lineRule="auto"/>
        <w:rPr>
          <w:rFonts w:ascii="Times New Roman" w:eastAsia="SimSun" w:hAnsi="Times New Roman"/>
          <w:sz w:val="24"/>
        </w:rPr>
      </w:pPr>
      <w:r w:rsidRPr="004301E4">
        <w:rPr>
          <w:rFonts w:ascii="Times New Roman" w:eastAsia="SimSun" w:hAnsi="Times New Roman" w:hint="eastAsia"/>
          <w:b/>
          <w:bCs/>
          <w:sz w:val="24"/>
        </w:rPr>
        <w:t>Keywords:</w:t>
      </w:r>
      <w:r w:rsidRPr="004301E4">
        <w:rPr>
          <w:rFonts w:ascii="Times New Roman" w:eastAsia="SimSun" w:hAnsi="Times New Roman" w:hint="eastAsia"/>
          <w:sz w:val="24"/>
        </w:rPr>
        <w:t xml:space="preserve"> Low-Carbon City Pilot; Ecological </w:t>
      </w:r>
      <w:r w:rsidR="00E0187C">
        <w:rPr>
          <w:rFonts w:ascii="Times New Roman" w:eastAsia="SimSun" w:hAnsi="Times New Roman" w:hint="eastAsia"/>
          <w:sz w:val="24"/>
        </w:rPr>
        <w:t>a</w:t>
      </w:r>
      <w:r w:rsidRPr="004301E4">
        <w:rPr>
          <w:rFonts w:ascii="Times New Roman" w:eastAsia="SimSun" w:hAnsi="Times New Roman" w:hint="eastAsia"/>
          <w:sz w:val="24"/>
        </w:rPr>
        <w:t xml:space="preserve">ttention; Green </w:t>
      </w:r>
      <w:r w:rsidR="00E0187C">
        <w:rPr>
          <w:rFonts w:ascii="Times New Roman" w:eastAsia="SimSun" w:hAnsi="Times New Roman" w:hint="eastAsia"/>
          <w:sz w:val="24"/>
        </w:rPr>
        <w:t>i</w:t>
      </w:r>
      <w:r w:rsidRPr="004301E4">
        <w:rPr>
          <w:rFonts w:ascii="Times New Roman" w:eastAsia="SimSun" w:hAnsi="Times New Roman" w:hint="eastAsia"/>
          <w:sz w:val="24"/>
        </w:rPr>
        <w:t xml:space="preserve">nnovation; Environmental </w:t>
      </w:r>
      <w:r w:rsidR="00E0187C">
        <w:rPr>
          <w:rFonts w:ascii="Times New Roman" w:eastAsia="SimSun" w:hAnsi="Times New Roman" w:hint="eastAsia"/>
          <w:sz w:val="24"/>
        </w:rPr>
        <w:t>p</w:t>
      </w:r>
      <w:r w:rsidRPr="004301E4">
        <w:rPr>
          <w:rFonts w:ascii="Times New Roman" w:eastAsia="SimSun" w:hAnsi="Times New Roman" w:hint="eastAsia"/>
          <w:sz w:val="24"/>
        </w:rPr>
        <w:t>rotection</w:t>
      </w:r>
    </w:p>
    <w:p w14:paraId="2B01E94D" w14:textId="77777777" w:rsidR="00F84A99" w:rsidRPr="008B4E7F" w:rsidRDefault="00F84A99" w:rsidP="00AC15FB">
      <w:pPr>
        <w:rPr>
          <w:rFonts w:ascii="Times New Roman" w:eastAsia="SimSun" w:hAnsi="Times New Roman"/>
          <w:sz w:val="24"/>
        </w:rPr>
      </w:pPr>
    </w:p>
    <w:p w14:paraId="5849C86A" w14:textId="77777777" w:rsidR="00F84A99" w:rsidRPr="00F84A99" w:rsidRDefault="00F84A99" w:rsidP="00AC15FB">
      <w:pPr>
        <w:rPr>
          <w:rFonts w:ascii="Times New Roman" w:eastAsia="SimSun" w:hAnsi="Times New Roman"/>
          <w:b/>
          <w:bCs/>
          <w:sz w:val="24"/>
        </w:rPr>
      </w:pPr>
      <w:r w:rsidRPr="00F84A99">
        <w:rPr>
          <w:rFonts w:ascii="Times New Roman" w:eastAsia="SimSun" w:hAnsi="Times New Roman" w:hint="eastAsia"/>
          <w:b/>
          <w:bCs/>
          <w:sz w:val="24"/>
        </w:rPr>
        <w:t>1. Introduction</w:t>
      </w:r>
    </w:p>
    <w:p w14:paraId="5A5BE543" w14:textId="2C2E4C3C" w:rsidR="00B51026" w:rsidRPr="00F84A99" w:rsidRDefault="00C61BAF" w:rsidP="00E50173">
      <w:pPr>
        <w:spacing w:line="360" w:lineRule="auto"/>
        <w:ind w:firstLineChars="200" w:firstLine="480"/>
        <w:rPr>
          <w:rFonts w:ascii="Times New Roman" w:eastAsia="SimSun" w:hAnsi="Times New Roman"/>
          <w:sz w:val="24"/>
        </w:rPr>
      </w:pPr>
      <w:r w:rsidRPr="00C61BAF">
        <w:rPr>
          <w:rFonts w:ascii="Times New Roman" w:eastAsia="SimSun" w:hAnsi="Times New Roman" w:hint="eastAsia"/>
          <w:sz w:val="24"/>
        </w:rPr>
        <w:t>Following China's rapid economic expansion, environmental challenges have intensified. Strengthening environmental governance and advancing green innovation now constitute central policy imperatives.</w:t>
      </w:r>
      <w:r>
        <w:rPr>
          <w:rFonts w:ascii="Times New Roman" w:eastAsia="SimSun" w:hAnsi="Times New Roman" w:hint="eastAsia"/>
          <w:sz w:val="24"/>
        </w:rPr>
        <w:t xml:space="preserve"> </w:t>
      </w:r>
      <w:r w:rsidRPr="00C61BAF">
        <w:rPr>
          <w:rFonts w:ascii="Times New Roman" w:eastAsia="SimSun" w:hAnsi="Times New Roman" w:hint="eastAsia"/>
          <w:sz w:val="24"/>
        </w:rPr>
        <w:t>To realize national sustainability objectives</w:t>
      </w:r>
      <w:r w:rsidRPr="00C61BAF">
        <w:rPr>
          <w:rFonts w:ascii="Times New Roman" w:eastAsia="SimSun" w:hAnsi="Times New Roman" w:hint="eastAsia"/>
          <w:sz w:val="24"/>
        </w:rPr>
        <w:t>—</w:t>
      </w:r>
      <w:r w:rsidRPr="00C61BAF">
        <w:rPr>
          <w:rFonts w:ascii="Times New Roman" w:eastAsia="SimSun" w:hAnsi="Times New Roman" w:hint="eastAsia"/>
          <w:sz w:val="24"/>
        </w:rPr>
        <w:t>particularly carbon peaking and neutrality</w:t>
      </w:r>
      <w:r w:rsidRPr="00C61BAF">
        <w:rPr>
          <w:rFonts w:ascii="Times New Roman" w:eastAsia="SimSun" w:hAnsi="Times New Roman" w:hint="eastAsia"/>
          <w:sz w:val="24"/>
        </w:rPr>
        <w:t>—</w:t>
      </w:r>
      <w:r w:rsidRPr="00C61BAF">
        <w:rPr>
          <w:rFonts w:ascii="Times New Roman" w:eastAsia="SimSun" w:hAnsi="Times New Roman" w:hint="eastAsia"/>
          <w:sz w:val="24"/>
        </w:rPr>
        <w:t>China continues tightening environmental regulations.</w:t>
      </w:r>
      <w:r w:rsidR="00F84A99" w:rsidRPr="00F84A99">
        <w:rPr>
          <w:rFonts w:ascii="Times New Roman" w:eastAsia="SimSun" w:hAnsi="Times New Roman" w:hint="eastAsia"/>
          <w:sz w:val="24"/>
        </w:rPr>
        <w:t xml:space="preserve"> </w:t>
      </w:r>
      <w:r w:rsidR="00B51026" w:rsidRPr="00B51026">
        <w:rPr>
          <w:rFonts w:ascii="Times New Roman" w:eastAsia="SimSun" w:hAnsi="Times New Roman"/>
          <w:sz w:val="24"/>
        </w:rPr>
        <w:t xml:space="preserve">China implemented its low-carbon city pilot initiative in October 2010 to stimulate green innovation and advance supply-side structural reforms. Presently, the program remains developmental, with local governments' attention diverted from pilots due to COVID-19 impacts. Evaluating this policy's efficacy thus </w:t>
      </w:r>
      <w:r w:rsidR="00B51026" w:rsidRPr="00B51026">
        <w:rPr>
          <w:rFonts w:ascii="Times New Roman" w:eastAsia="SimSun" w:hAnsi="Times New Roman"/>
          <w:sz w:val="24"/>
        </w:rPr>
        <w:lastRenderedPageBreak/>
        <w:t>delivers critical insights for promoting wider urban engagement in developing future pilots.</w:t>
      </w:r>
    </w:p>
    <w:p w14:paraId="7F1AA37A" w14:textId="175C9BD4" w:rsidR="00EF75C7" w:rsidRPr="00F84A99" w:rsidRDefault="00EF75C7" w:rsidP="00E50173">
      <w:pPr>
        <w:spacing w:line="360" w:lineRule="auto"/>
        <w:ind w:firstLineChars="200" w:firstLine="480"/>
        <w:rPr>
          <w:rFonts w:ascii="Times New Roman" w:eastAsia="SimSun" w:hAnsi="Times New Roman"/>
          <w:sz w:val="24"/>
        </w:rPr>
      </w:pPr>
      <w:r w:rsidRPr="00EF75C7">
        <w:rPr>
          <w:rFonts w:ascii="Times New Roman" w:eastAsia="SimSun" w:hAnsi="Times New Roman"/>
          <w:sz w:val="24"/>
        </w:rPr>
        <w:t>This research investigates the relationship between low-carbon city pilot programs and green innovation. Introducing an ecological attention framework unexplored in prior literature, it examines this mechanism through dual governmental and public dimensions. This approach establishes an innovative analytical pathway for evaluating low-carbon city policy design and outcomes.</w:t>
      </w:r>
    </w:p>
    <w:p w14:paraId="12A33841" w14:textId="77777777" w:rsidR="00AC15FB" w:rsidRPr="00AC15FB" w:rsidRDefault="00AC15FB" w:rsidP="00EE446E">
      <w:pPr>
        <w:rPr>
          <w:rFonts w:ascii="Times New Roman" w:eastAsia="SimSun" w:hAnsi="Times New Roman"/>
          <w:b/>
          <w:bCs/>
          <w:sz w:val="24"/>
        </w:rPr>
      </w:pPr>
      <w:r w:rsidRPr="00AC15FB">
        <w:rPr>
          <w:rFonts w:ascii="Times New Roman" w:eastAsia="SimSun" w:hAnsi="Times New Roman" w:hint="eastAsia"/>
          <w:b/>
          <w:bCs/>
          <w:sz w:val="24"/>
        </w:rPr>
        <w:t xml:space="preserve">2. Policy background and theoretical hypotheses </w:t>
      </w:r>
    </w:p>
    <w:p w14:paraId="52E16F47" w14:textId="7041EC83" w:rsidR="006E21D8" w:rsidRPr="00D2448A" w:rsidRDefault="00001FC4" w:rsidP="00E50173">
      <w:pPr>
        <w:spacing w:line="360" w:lineRule="auto"/>
        <w:ind w:firstLineChars="200" w:firstLine="480"/>
        <w:rPr>
          <w:rFonts w:ascii="Times New Roman" w:eastAsia="SimSun" w:hAnsi="Times New Roman"/>
          <w:sz w:val="24"/>
        </w:rPr>
      </w:pPr>
      <w:r w:rsidRPr="00001FC4">
        <w:rPr>
          <w:rFonts w:ascii="Times New Roman" w:eastAsia="SimSun" w:hAnsi="Times New Roman"/>
          <w:sz w:val="24"/>
        </w:rPr>
        <w:t xml:space="preserve">In July 2010, China's government released an official notice initiating the Low-Carbon Provinces and Cities pilot program (hereafter the Notice). This policy designated Guangdong, Liaoning, Hubei (among the first five provinces) and Tianjin, Chongqing, Xiamen (among the initial eight cities) as pilot zones. </w:t>
      </w:r>
      <w:r w:rsidR="005E55A1" w:rsidRPr="005E55A1">
        <w:rPr>
          <w:rFonts w:ascii="Times New Roman" w:eastAsia="SimSun" w:hAnsi="Times New Roman"/>
          <w:sz w:val="24"/>
        </w:rPr>
        <w:t>The Notice required participating regions to develop tailored low-carbon development strategies with supporting measures. Following successful outcomes in initial pilots, China expanded the program in 2012 (adding 28 cities including Beijing/Shanghai) and 2017 (adding 45 cities</w:t>
      </w:r>
      <w:r w:rsidR="00273D4A" w:rsidRPr="005E55A1">
        <w:rPr>
          <w:rFonts w:ascii="Times New Roman" w:eastAsia="SimSun" w:hAnsi="Times New Roman"/>
          <w:sz w:val="24"/>
        </w:rPr>
        <w:t>).</w:t>
      </w:r>
      <w:r w:rsidR="00273D4A">
        <w:rPr>
          <w:rFonts w:ascii="Times New Roman" w:eastAsia="SimSun" w:hAnsi="Times New Roman"/>
          <w:sz w:val="24"/>
        </w:rPr>
        <w:t xml:space="preserve"> The</w:t>
      </w:r>
      <w:r w:rsidR="005E55A1" w:rsidRPr="005E55A1">
        <w:rPr>
          <w:rFonts w:ascii="Times New Roman" w:eastAsia="SimSun" w:hAnsi="Times New Roman"/>
          <w:sz w:val="24"/>
        </w:rPr>
        <w:t xml:space="preserve"> initiative now covers 6 pilot provinces and 81 cities. These geographically representative cities have pioneered sectoral best practices across transportation, construction, lifestyle, energy, and industry—providing transferable implementation models for nationwide low-carbon urban </w:t>
      </w:r>
      <w:r w:rsidR="00742A70" w:rsidRPr="005E55A1">
        <w:rPr>
          <w:rFonts w:ascii="Times New Roman" w:eastAsia="SimSun" w:hAnsi="Times New Roman"/>
          <w:sz w:val="24"/>
        </w:rPr>
        <w:t>development</w:t>
      </w:r>
      <w:r w:rsidR="00770F81">
        <w:rPr>
          <w:rFonts w:ascii="Times New Roman" w:eastAsia="SimSun" w:hAnsi="Times New Roman" w:hint="eastAsia"/>
          <w:sz w:val="24"/>
        </w:rPr>
        <w:t xml:space="preserve"> </w:t>
      </w:r>
      <w:r w:rsidR="00742A70" w:rsidRPr="002E547B">
        <w:rPr>
          <w:rFonts w:ascii="Times New Roman" w:eastAsia="SimSun" w:hAnsi="Times New Roman"/>
          <w:sz w:val="24"/>
        </w:rPr>
        <w:t>[</w:t>
      </w:r>
      <w:r w:rsidR="00B57CD6" w:rsidRPr="002E547B">
        <w:rPr>
          <w:rFonts w:ascii="Times New Roman" w:eastAsia="SimSun" w:hAnsi="Times New Roman" w:hint="eastAsia"/>
          <w:sz w:val="24"/>
        </w:rPr>
        <w:t>1]</w:t>
      </w:r>
      <w:r w:rsidR="005E55A1" w:rsidRPr="005E55A1">
        <w:rPr>
          <w:rFonts w:ascii="Times New Roman" w:eastAsia="SimSun" w:hAnsi="Times New Roman"/>
          <w:sz w:val="24"/>
        </w:rPr>
        <w:t>.</w:t>
      </w:r>
    </w:p>
    <w:p w14:paraId="16A31DE9" w14:textId="61E5B053" w:rsidR="005E55A1" w:rsidRDefault="005E55A1" w:rsidP="00E50173">
      <w:pPr>
        <w:spacing w:line="360" w:lineRule="auto"/>
        <w:ind w:firstLineChars="200" w:firstLine="480"/>
        <w:rPr>
          <w:rFonts w:ascii="Times New Roman" w:eastAsia="SimSun" w:hAnsi="Times New Roman"/>
          <w:sz w:val="24"/>
        </w:rPr>
      </w:pPr>
      <w:r w:rsidRPr="005E55A1">
        <w:rPr>
          <w:rFonts w:ascii="Times New Roman" w:eastAsia="SimSun" w:hAnsi="Times New Roman"/>
          <w:sz w:val="24"/>
        </w:rPr>
        <w:t>Functioning as urban environmental regulation, low-carbon city pilots aim to promote sustainable development. Current scholarship examining their impacts bifurcates into two streams. The first examines economic benefits for municipalities and firms, revealing how these policies stimulate urban employment through industrial restructuring and upgrading</w:t>
      </w:r>
      <w:r w:rsidR="00770F81">
        <w:rPr>
          <w:rFonts w:ascii="Times New Roman" w:eastAsia="SimSun" w:hAnsi="Times New Roman" w:hint="eastAsia"/>
          <w:sz w:val="24"/>
        </w:rPr>
        <w:t xml:space="preserve"> </w:t>
      </w:r>
      <w:r w:rsidR="006E21D8" w:rsidRPr="006E21D8">
        <w:rPr>
          <w:rFonts w:ascii="Times New Roman" w:eastAsia="SimSun" w:hAnsi="Times New Roman"/>
          <w:sz w:val="24"/>
        </w:rPr>
        <w:t>[</w:t>
      </w:r>
      <w:r w:rsidR="006E21D8" w:rsidRPr="006E21D8">
        <w:rPr>
          <w:rFonts w:ascii="Times New Roman" w:eastAsia="SimSun" w:hAnsi="Times New Roman" w:hint="eastAsia"/>
          <w:sz w:val="24"/>
        </w:rPr>
        <w:t xml:space="preserve">2]. </w:t>
      </w:r>
      <w:r w:rsidR="00001FC4" w:rsidRPr="00001FC4">
        <w:rPr>
          <w:rFonts w:ascii="Times New Roman" w:eastAsia="SimSun" w:hAnsi="Times New Roman"/>
          <w:sz w:val="24"/>
        </w:rPr>
        <w:t>Furthermore, these pilot policies substantially catalyze enterprise restructuring, unlock latent productivity, and enhance total factor productivity</w:t>
      </w:r>
      <w:r w:rsidR="00770F81">
        <w:rPr>
          <w:rFonts w:ascii="Times New Roman" w:eastAsia="SimSun" w:hAnsi="Times New Roman" w:hint="eastAsia"/>
          <w:sz w:val="24"/>
        </w:rPr>
        <w:t xml:space="preserve"> </w:t>
      </w:r>
      <w:r w:rsidR="006E21D8" w:rsidRPr="006E21D8">
        <w:rPr>
          <w:rFonts w:ascii="Times New Roman" w:eastAsia="SimSun" w:hAnsi="Times New Roman"/>
          <w:sz w:val="24"/>
        </w:rPr>
        <w:t>[</w:t>
      </w:r>
      <w:r w:rsidR="006E21D8" w:rsidRPr="006E21D8">
        <w:rPr>
          <w:rFonts w:ascii="Times New Roman" w:eastAsia="SimSun" w:hAnsi="Times New Roman" w:hint="eastAsia"/>
          <w:sz w:val="24"/>
        </w:rPr>
        <w:t xml:space="preserve">3], while reducing the intensity of financial constraints from the government level </w:t>
      </w:r>
      <w:r w:rsidR="006E21D8" w:rsidRPr="006E21D8">
        <w:rPr>
          <w:rFonts w:ascii="Times New Roman" w:eastAsia="SimSun" w:hAnsi="Times New Roman"/>
          <w:sz w:val="24"/>
        </w:rPr>
        <w:t>[</w:t>
      </w:r>
      <w:r w:rsidR="006E21D8" w:rsidRPr="006E21D8">
        <w:rPr>
          <w:rFonts w:ascii="Times New Roman" w:eastAsia="SimSun" w:hAnsi="Times New Roman" w:hint="eastAsia"/>
          <w:sz w:val="24"/>
        </w:rPr>
        <w:t xml:space="preserve">4], </w:t>
      </w:r>
      <w:r w:rsidR="00001FC4" w:rsidRPr="00001FC4">
        <w:rPr>
          <w:rFonts w:ascii="Times New Roman" w:eastAsia="SimSun" w:hAnsi="Times New Roman"/>
          <w:sz w:val="24"/>
        </w:rPr>
        <w:t xml:space="preserve">and enable firms to scale reproduction benefits. </w:t>
      </w:r>
      <w:r w:rsidRPr="005E55A1">
        <w:rPr>
          <w:rFonts w:ascii="Times New Roman" w:eastAsia="SimSun" w:hAnsi="Times New Roman"/>
          <w:sz w:val="24"/>
        </w:rPr>
        <w:t>The second research stream analyzes ecological impacts, demonstrating that these policies enhance corporate low-carbon innovation and boost regional green total factor productivity [5</w:t>
      </w:r>
      <w:r w:rsidR="00770F81">
        <w:rPr>
          <w:rFonts w:ascii="Times New Roman" w:eastAsia="SimSun" w:hAnsi="Times New Roman" w:hint="eastAsia"/>
          <w:sz w:val="24"/>
        </w:rPr>
        <w:t>]</w:t>
      </w:r>
      <w:r w:rsidRPr="005E55A1">
        <w:rPr>
          <w:rFonts w:ascii="Times New Roman" w:eastAsia="SimSun" w:hAnsi="Times New Roman"/>
          <w:sz w:val="24"/>
        </w:rPr>
        <w:t>,</w:t>
      </w:r>
      <w:r w:rsidR="00770F81">
        <w:rPr>
          <w:rFonts w:ascii="Times New Roman" w:eastAsia="SimSun" w:hAnsi="Times New Roman" w:hint="eastAsia"/>
          <w:sz w:val="24"/>
        </w:rPr>
        <w:t>[</w:t>
      </w:r>
      <w:r w:rsidRPr="005E55A1">
        <w:rPr>
          <w:rFonts w:ascii="Times New Roman" w:eastAsia="SimSun" w:hAnsi="Times New Roman"/>
          <w:sz w:val="24"/>
        </w:rPr>
        <w:t>6</w:t>
      </w:r>
      <w:r w:rsidR="00770F81">
        <w:rPr>
          <w:rFonts w:ascii="Times New Roman" w:eastAsia="SimSun" w:hAnsi="Times New Roman" w:hint="eastAsia"/>
          <w:sz w:val="24"/>
        </w:rPr>
        <w:t>]</w:t>
      </w:r>
      <w:r w:rsidRPr="005E55A1">
        <w:rPr>
          <w:rFonts w:ascii="Times New Roman" w:eastAsia="SimSun" w:hAnsi="Times New Roman"/>
          <w:sz w:val="24"/>
        </w:rPr>
        <w:t>,</w:t>
      </w:r>
      <w:r w:rsidR="00770F81">
        <w:rPr>
          <w:rFonts w:ascii="Times New Roman" w:eastAsia="SimSun" w:hAnsi="Times New Roman" w:hint="eastAsia"/>
          <w:sz w:val="24"/>
        </w:rPr>
        <w:t>[</w:t>
      </w:r>
      <w:r w:rsidRPr="005E55A1">
        <w:rPr>
          <w:rFonts w:ascii="Times New Roman" w:eastAsia="SimSun" w:hAnsi="Times New Roman"/>
          <w:sz w:val="24"/>
        </w:rPr>
        <w:t>7]. This subsequently reduces carbon emissions and strengthens urban low-</w:t>
      </w:r>
      <w:r w:rsidRPr="005E55A1">
        <w:rPr>
          <w:rFonts w:ascii="Times New Roman" w:eastAsia="SimSun" w:hAnsi="Times New Roman"/>
          <w:sz w:val="24"/>
        </w:rPr>
        <w:lastRenderedPageBreak/>
        <w:t>carbon development pathways [8</w:t>
      </w:r>
      <w:r w:rsidR="0027051A">
        <w:rPr>
          <w:rFonts w:ascii="Times New Roman" w:eastAsia="SimSun" w:hAnsi="Times New Roman" w:hint="eastAsia"/>
          <w:sz w:val="24"/>
        </w:rPr>
        <w:t>]</w:t>
      </w:r>
      <w:r w:rsidRPr="005E55A1">
        <w:rPr>
          <w:rFonts w:ascii="Times New Roman" w:eastAsia="SimSun" w:hAnsi="Times New Roman"/>
          <w:sz w:val="24"/>
        </w:rPr>
        <w:t>,</w:t>
      </w:r>
      <w:r w:rsidR="0027051A">
        <w:rPr>
          <w:rFonts w:ascii="Times New Roman" w:eastAsia="SimSun" w:hAnsi="Times New Roman" w:hint="eastAsia"/>
          <w:sz w:val="24"/>
        </w:rPr>
        <w:t>[</w:t>
      </w:r>
      <w:r w:rsidRPr="005E55A1">
        <w:rPr>
          <w:rFonts w:ascii="Times New Roman" w:eastAsia="SimSun" w:hAnsi="Times New Roman"/>
          <w:sz w:val="24"/>
        </w:rPr>
        <w:t>9].</w:t>
      </w:r>
    </w:p>
    <w:p w14:paraId="1E98CDD4" w14:textId="45951F1C" w:rsidR="00BE7B45" w:rsidRDefault="00BE7B45" w:rsidP="00E50173">
      <w:pPr>
        <w:spacing w:line="360" w:lineRule="auto"/>
        <w:ind w:firstLineChars="200" w:firstLine="480"/>
        <w:rPr>
          <w:rFonts w:ascii="Times New Roman" w:eastAsia="SimSun" w:hAnsi="Times New Roman"/>
          <w:sz w:val="24"/>
        </w:rPr>
      </w:pPr>
      <w:r w:rsidRPr="00BE7B45">
        <w:rPr>
          <w:rFonts w:ascii="Times New Roman" w:eastAsia="SimSun" w:hAnsi="Times New Roman"/>
          <w:sz w:val="24"/>
        </w:rPr>
        <w:t>Evolving policy frameworks compel firms to adapt production processes and develop compliant technologies. This aligns with the Porter hypothesis—that properly crafted environmental regulations spur innovation while compensating compliance costs. Empirical studies generally support this view, demonstrating policy-driven stimulation of green innovation across corporate and regional entities</w:t>
      </w:r>
      <w:r w:rsidR="0027051A">
        <w:rPr>
          <w:rFonts w:ascii="Times New Roman" w:eastAsia="SimSun" w:hAnsi="Times New Roman" w:hint="eastAsia"/>
          <w:sz w:val="24"/>
        </w:rPr>
        <w:t xml:space="preserve"> </w:t>
      </w:r>
      <w:r w:rsidRPr="00BE7B45">
        <w:rPr>
          <w:rFonts w:ascii="Times New Roman" w:eastAsia="SimSun" w:hAnsi="Times New Roman"/>
          <w:sz w:val="24"/>
        </w:rPr>
        <w:t>[10</w:t>
      </w:r>
      <w:r w:rsidR="0027051A">
        <w:rPr>
          <w:rFonts w:ascii="Times New Roman" w:eastAsia="SimSun" w:hAnsi="Times New Roman" w:hint="eastAsia"/>
          <w:sz w:val="24"/>
        </w:rPr>
        <w:t>]</w:t>
      </w:r>
      <w:r w:rsidRPr="00BE7B45">
        <w:rPr>
          <w:rFonts w:ascii="Times New Roman" w:eastAsia="SimSun" w:hAnsi="Times New Roman"/>
          <w:sz w:val="24"/>
        </w:rPr>
        <w:t>,</w:t>
      </w:r>
      <w:r w:rsidR="0027051A">
        <w:rPr>
          <w:rFonts w:ascii="Times New Roman" w:eastAsia="SimSun" w:hAnsi="Times New Roman" w:hint="eastAsia"/>
          <w:sz w:val="24"/>
        </w:rPr>
        <w:t>[</w:t>
      </w:r>
      <w:r w:rsidRPr="00BE7B45">
        <w:rPr>
          <w:rFonts w:ascii="Times New Roman" w:eastAsia="SimSun" w:hAnsi="Times New Roman"/>
          <w:sz w:val="24"/>
        </w:rPr>
        <w:t>11</w:t>
      </w:r>
      <w:r w:rsidR="0027051A">
        <w:rPr>
          <w:rFonts w:ascii="Times New Roman" w:eastAsia="SimSun" w:hAnsi="Times New Roman" w:hint="eastAsia"/>
          <w:sz w:val="24"/>
        </w:rPr>
        <w:t>]</w:t>
      </w:r>
      <w:r w:rsidRPr="00BE7B45">
        <w:rPr>
          <w:rFonts w:ascii="Times New Roman" w:eastAsia="SimSun" w:hAnsi="Times New Roman"/>
          <w:sz w:val="24"/>
        </w:rPr>
        <w:t>,</w:t>
      </w:r>
      <w:r w:rsidR="0027051A">
        <w:rPr>
          <w:rFonts w:ascii="Times New Roman" w:eastAsia="SimSun" w:hAnsi="Times New Roman" w:hint="eastAsia"/>
          <w:sz w:val="24"/>
        </w:rPr>
        <w:t>[</w:t>
      </w:r>
      <w:r w:rsidRPr="00BE7B45">
        <w:rPr>
          <w:rFonts w:ascii="Times New Roman" w:eastAsia="SimSun" w:hAnsi="Times New Roman"/>
          <w:sz w:val="24"/>
        </w:rPr>
        <w:t>12</w:t>
      </w:r>
      <w:r w:rsidR="0027051A">
        <w:rPr>
          <w:rFonts w:ascii="Times New Roman" w:eastAsia="SimSun" w:hAnsi="Times New Roman" w:hint="eastAsia"/>
          <w:sz w:val="24"/>
        </w:rPr>
        <w:t>]</w:t>
      </w:r>
      <w:r w:rsidRPr="00BE7B45">
        <w:rPr>
          <w:rFonts w:ascii="Times New Roman" w:eastAsia="SimSun" w:hAnsi="Times New Roman"/>
          <w:sz w:val="24"/>
        </w:rPr>
        <w:t>,</w:t>
      </w:r>
      <w:r w:rsidR="0027051A">
        <w:rPr>
          <w:rFonts w:ascii="Times New Roman" w:eastAsia="SimSun" w:hAnsi="Times New Roman" w:hint="eastAsia"/>
          <w:sz w:val="24"/>
        </w:rPr>
        <w:t>[</w:t>
      </w:r>
      <w:r w:rsidRPr="00BE7B45">
        <w:rPr>
          <w:rFonts w:ascii="Times New Roman" w:eastAsia="SimSun" w:hAnsi="Times New Roman"/>
          <w:sz w:val="24"/>
        </w:rPr>
        <w:t>13].</w:t>
      </w:r>
      <w:r>
        <w:rPr>
          <w:rFonts w:ascii="Times New Roman" w:eastAsia="SimSun" w:hAnsi="Times New Roman" w:hint="eastAsia"/>
          <w:sz w:val="24"/>
        </w:rPr>
        <w:t xml:space="preserve"> </w:t>
      </w:r>
      <w:r w:rsidR="006E21D8" w:rsidRPr="006E21D8">
        <w:rPr>
          <w:rFonts w:ascii="Times New Roman" w:eastAsia="SimSun" w:hAnsi="Times New Roman" w:hint="eastAsia"/>
          <w:sz w:val="24"/>
        </w:rPr>
        <w:t xml:space="preserve">However, </w:t>
      </w:r>
      <w:r>
        <w:rPr>
          <w:rFonts w:ascii="Times New Roman" w:eastAsia="SimSun" w:hAnsi="Times New Roman" w:hint="eastAsia"/>
          <w:sz w:val="24"/>
        </w:rPr>
        <w:t>some d</w:t>
      </w:r>
      <w:r w:rsidRPr="00BE7B45">
        <w:rPr>
          <w:rFonts w:ascii="Times New Roman" w:eastAsia="SimSun" w:hAnsi="Times New Roman"/>
          <w:sz w:val="24"/>
        </w:rPr>
        <w:t>ivergent findings challenge</w:t>
      </w:r>
      <w:r>
        <w:rPr>
          <w:rFonts w:ascii="Times New Roman" w:eastAsia="SimSun" w:hAnsi="Times New Roman" w:hint="eastAsia"/>
          <w:sz w:val="24"/>
        </w:rPr>
        <w:t>d</w:t>
      </w:r>
      <w:r w:rsidRPr="00BE7B45">
        <w:rPr>
          <w:rFonts w:ascii="Times New Roman" w:eastAsia="SimSun" w:hAnsi="Times New Roman"/>
          <w:sz w:val="24"/>
        </w:rPr>
        <w:t xml:space="preserve"> Porter's hypothesis, contending that government environmental regulations impose compliance expenditures that erode profitability and competitiveness. This reduces green innovation investment, ultimately restricting regional green innovation development [14</w:t>
      </w:r>
      <w:r w:rsidR="0027051A">
        <w:rPr>
          <w:rFonts w:ascii="Times New Roman" w:eastAsia="SimSun" w:hAnsi="Times New Roman" w:hint="eastAsia"/>
          <w:sz w:val="24"/>
        </w:rPr>
        <w:t>]</w:t>
      </w:r>
      <w:r w:rsidRPr="00BE7B45">
        <w:rPr>
          <w:rFonts w:ascii="Times New Roman" w:eastAsia="SimSun" w:hAnsi="Times New Roman"/>
          <w:sz w:val="24"/>
        </w:rPr>
        <w:t>,</w:t>
      </w:r>
      <w:r w:rsidR="0027051A">
        <w:rPr>
          <w:rFonts w:ascii="Times New Roman" w:eastAsia="SimSun" w:hAnsi="Times New Roman" w:hint="eastAsia"/>
          <w:sz w:val="24"/>
        </w:rPr>
        <w:t>[</w:t>
      </w:r>
      <w:r w:rsidRPr="00BE7B45">
        <w:rPr>
          <w:rFonts w:ascii="Times New Roman" w:eastAsia="SimSun" w:hAnsi="Times New Roman"/>
          <w:sz w:val="24"/>
        </w:rPr>
        <w:t>15</w:t>
      </w:r>
      <w:r w:rsidR="0027051A">
        <w:rPr>
          <w:rFonts w:ascii="Times New Roman" w:eastAsia="SimSun" w:hAnsi="Times New Roman" w:hint="eastAsia"/>
          <w:sz w:val="24"/>
        </w:rPr>
        <w:t>]</w:t>
      </w:r>
      <w:r w:rsidRPr="00BE7B45">
        <w:rPr>
          <w:rFonts w:ascii="Times New Roman" w:eastAsia="SimSun" w:hAnsi="Times New Roman"/>
          <w:sz w:val="24"/>
        </w:rPr>
        <w:t>,</w:t>
      </w:r>
      <w:r w:rsidR="0027051A">
        <w:rPr>
          <w:rFonts w:ascii="Times New Roman" w:eastAsia="SimSun" w:hAnsi="Times New Roman" w:hint="eastAsia"/>
          <w:sz w:val="24"/>
        </w:rPr>
        <w:t>[</w:t>
      </w:r>
      <w:r w:rsidRPr="00BE7B45">
        <w:rPr>
          <w:rFonts w:ascii="Times New Roman" w:eastAsia="SimSun" w:hAnsi="Times New Roman"/>
          <w:sz w:val="24"/>
        </w:rPr>
        <w:t>16]. Consequently, we propose these theoretical hypotheses:</w:t>
      </w:r>
    </w:p>
    <w:p w14:paraId="781384B9" w14:textId="41A5E106" w:rsidR="006E21D8" w:rsidRDefault="006E21D8" w:rsidP="00E50173">
      <w:pPr>
        <w:spacing w:line="360" w:lineRule="auto"/>
        <w:ind w:firstLineChars="200" w:firstLine="482"/>
        <w:rPr>
          <w:rFonts w:ascii="Times New Roman" w:eastAsia="SimSun" w:hAnsi="Times New Roman"/>
          <w:sz w:val="24"/>
        </w:rPr>
      </w:pPr>
      <w:r w:rsidRPr="006E21D8">
        <w:rPr>
          <w:rFonts w:ascii="Times New Roman" w:eastAsia="SimSun" w:hAnsi="Times New Roman" w:hint="eastAsia"/>
          <w:b/>
          <w:bCs/>
          <w:sz w:val="24"/>
        </w:rPr>
        <w:t>H1</w:t>
      </w:r>
      <w:r w:rsidR="00BE7B45">
        <w:rPr>
          <w:rFonts w:ascii="Times New Roman" w:eastAsia="SimSun" w:hAnsi="Times New Roman" w:hint="eastAsia"/>
          <w:b/>
          <w:bCs/>
          <w:sz w:val="24"/>
        </w:rPr>
        <w:t>:</w:t>
      </w:r>
      <w:r w:rsidRPr="006E21D8">
        <w:rPr>
          <w:rFonts w:ascii="Times New Roman" w:eastAsia="SimSun" w:hAnsi="Times New Roman" w:hint="eastAsia"/>
          <w:sz w:val="24"/>
        </w:rPr>
        <w:t xml:space="preserve"> </w:t>
      </w:r>
      <w:r w:rsidR="00BE7B45" w:rsidRPr="00BE7B45">
        <w:rPr>
          <w:rFonts w:ascii="Times New Roman" w:eastAsia="SimSun" w:hAnsi="Times New Roman"/>
          <w:sz w:val="24"/>
        </w:rPr>
        <w:t>The low-carbon city pilot policy enhances regional green innovation.</w:t>
      </w:r>
    </w:p>
    <w:p w14:paraId="3C23181A" w14:textId="3910573D" w:rsidR="009674ED" w:rsidRDefault="00BE7B45" w:rsidP="00E50173">
      <w:pPr>
        <w:spacing w:line="360" w:lineRule="auto"/>
        <w:ind w:firstLineChars="200" w:firstLine="480"/>
        <w:rPr>
          <w:rFonts w:ascii="Times New Roman" w:eastAsia="SimSun" w:hAnsi="Times New Roman"/>
          <w:sz w:val="24"/>
        </w:rPr>
      </w:pPr>
      <w:r w:rsidRPr="00BE7B45">
        <w:rPr>
          <w:rFonts w:ascii="Times New Roman" w:eastAsia="SimSun" w:hAnsi="Times New Roman"/>
          <w:sz w:val="24"/>
        </w:rPr>
        <w:t>Environmental policy implementation exerts substantial influence on local production systems and societal patterns, generating amplified focus from municipal governments and residents. This heightened attention manifests in governmental documentation and public media coverage.</w:t>
      </w:r>
      <w:r>
        <w:rPr>
          <w:rFonts w:ascii="Times New Roman" w:eastAsia="SimSun" w:hAnsi="Times New Roman" w:hint="eastAsia"/>
          <w:sz w:val="24"/>
        </w:rPr>
        <w:t xml:space="preserve"> </w:t>
      </w:r>
      <w:r w:rsidR="006E21D8" w:rsidRPr="006E21D8">
        <w:rPr>
          <w:rFonts w:ascii="Times New Roman" w:eastAsia="SimSun" w:hAnsi="Times New Roman" w:hint="eastAsia"/>
          <w:sz w:val="24"/>
        </w:rPr>
        <w:t xml:space="preserve">Currently, the literature on ecological attention focuses on arguments made by both corporations and local governments. At the corporate level, tightening environ-mental regulations can result in increased ecological attention from firms. Formal environmental policies can promote the development of ecological attention, which in turn leads to green innovation </w:t>
      </w:r>
      <w:r w:rsidR="006E21D8" w:rsidRPr="006E21D8">
        <w:rPr>
          <w:rFonts w:ascii="Times New Roman" w:eastAsia="SimSun" w:hAnsi="Times New Roman"/>
          <w:sz w:val="24"/>
        </w:rPr>
        <w:t>[</w:t>
      </w:r>
      <w:r w:rsidR="006E21D8" w:rsidRPr="006E21D8">
        <w:rPr>
          <w:rFonts w:ascii="Times New Roman" w:eastAsia="SimSun" w:hAnsi="Times New Roman" w:hint="eastAsia"/>
          <w:sz w:val="24"/>
        </w:rPr>
        <w:t>17</w:t>
      </w:r>
      <w:r w:rsidR="0027051A">
        <w:rPr>
          <w:rFonts w:ascii="Times New Roman" w:eastAsia="SimSun" w:hAnsi="Times New Roman" w:hint="eastAsia"/>
          <w:sz w:val="24"/>
        </w:rPr>
        <w:t>]</w:t>
      </w:r>
      <w:r w:rsidR="006E21D8" w:rsidRPr="006E21D8">
        <w:rPr>
          <w:rFonts w:ascii="Times New Roman" w:eastAsia="SimSun" w:hAnsi="Times New Roman" w:hint="eastAsia"/>
          <w:sz w:val="24"/>
        </w:rPr>
        <w:t>,</w:t>
      </w:r>
      <w:r w:rsidR="0027051A">
        <w:rPr>
          <w:rFonts w:ascii="Times New Roman" w:eastAsia="SimSun" w:hAnsi="Times New Roman" w:hint="eastAsia"/>
          <w:sz w:val="24"/>
        </w:rPr>
        <w:t>[</w:t>
      </w:r>
      <w:r w:rsidR="006E21D8" w:rsidRPr="006E21D8">
        <w:rPr>
          <w:rFonts w:ascii="Times New Roman" w:eastAsia="SimSun" w:hAnsi="Times New Roman" w:hint="eastAsia"/>
          <w:sz w:val="24"/>
        </w:rPr>
        <w:t xml:space="preserve">18]. </w:t>
      </w:r>
      <w:r w:rsidRPr="00BE7B45">
        <w:rPr>
          <w:rFonts w:ascii="Times New Roman" w:eastAsia="SimSun" w:hAnsi="Times New Roman"/>
          <w:sz w:val="24"/>
        </w:rPr>
        <w:t xml:space="preserve">Scholars further propose that corporate managers' ecological attention functions as a transmission mechanism for green innovation, strengthening green dynamic capabilities and innovation outcomes </w:t>
      </w:r>
      <w:r>
        <w:rPr>
          <w:rFonts w:ascii="Times New Roman" w:eastAsia="SimSun" w:hAnsi="Times New Roman" w:hint="eastAsia"/>
          <w:sz w:val="24"/>
        </w:rPr>
        <w:t>[19</w:t>
      </w:r>
      <w:r w:rsidR="0027051A">
        <w:rPr>
          <w:rFonts w:ascii="Times New Roman" w:eastAsia="SimSun" w:hAnsi="Times New Roman" w:hint="eastAsia"/>
          <w:sz w:val="24"/>
        </w:rPr>
        <w:t>]</w:t>
      </w:r>
      <w:r>
        <w:rPr>
          <w:rFonts w:ascii="Times New Roman" w:eastAsia="SimSun" w:hAnsi="Times New Roman" w:hint="eastAsia"/>
          <w:sz w:val="24"/>
        </w:rPr>
        <w:t>,</w:t>
      </w:r>
      <w:r w:rsidR="0027051A">
        <w:rPr>
          <w:rFonts w:ascii="Times New Roman" w:eastAsia="SimSun" w:hAnsi="Times New Roman" w:hint="eastAsia"/>
          <w:sz w:val="24"/>
        </w:rPr>
        <w:t>[</w:t>
      </w:r>
      <w:r>
        <w:rPr>
          <w:rFonts w:ascii="Times New Roman" w:eastAsia="SimSun" w:hAnsi="Times New Roman" w:hint="eastAsia"/>
          <w:sz w:val="24"/>
        </w:rPr>
        <w:t>20]</w:t>
      </w:r>
      <w:r w:rsidRPr="00BE7B45">
        <w:rPr>
          <w:rFonts w:ascii="Times New Roman" w:eastAsia="SimSun" w:hAnsi="Times New Roman"/>
          <w:sz w:val="24"/>
        </w:rPr>
        <w:t>.</w:t>
      </w:r>
      <w:r w:rsidR="002D3388">
        <w:rPr>
          <w:rFonts w:ascii="Times New Roman" w:eastAsia="SimSun" w:hAnsi="Times New Roman" w:hint="eastAsia"/>
          <w:sz w:val="24"/>
        </w:rPr>
        <w:t xml:space="preserve"> </w:t>
      </w:r>
      <w:r w:rsidR="009674ED" w:rsidRPr="009674ED">
        <w:rPr>
          <w:rFonts w:ascii="Times New Roman" w:eastAsia="SimSun" w:hAnsi="Times New Roman"/>
          <w:sz w:val="24"/>
        </w:rPr>
        <w:t xml:space="preserve">From a governmental standpoint, ecological attention directly shapes environmental regulatory intensity, which fluctuates according to region-specific developmental priorities. </w:t>
      </w:r>
      <w:r w:rsidR="005126E7" w:rsidRPr="005126E7">
        <w:rPr>
          <w:rFonts w:ascii="Times New Roman" w:eastAsia="SimSun" w:hAnsi="Times New Roman"/>
          <w:sz w:val="24"/>
        </w:rPr>
        <w:t>Enhanced environmental prioritization by local governments significantly curtails regional energy intensity and propels sustainable development</w:t>
      </w:r>
      <w:r w:rsidR="0027051A">
        <w:rPr>
          <w:rFonts w:ascii="Times New Roman" w:eastAsia="SimSun" w:hAnsi="Times New Roman" w:hint="eastAsia"/>
          <w:sz w:val="24"/>
        </w:rPr>
        <w:t xml:space="preserve"> </w:t>
      </w:r>
      <w:r w:rsidR="005126E7" w:rsidRPr="005126E7">
        <w:rPr>
          <w:rFonts w:ascii="Times New Roman" w:eastAsia="SimSun" w:hAnsi="Times New Roman"/>
          <w:sz w:val="24"/>
        </w:rPr>
        <w:t>[21</w:t>
      </w:r>
      <w:r w:rsidR="00C1018F" w:rsidRPr="005126E7">
        <w:rPr>
          <w:rFonts w:ascii="Times New Roman" w:eastAsia="SimSun" w:hAnsi="Times New Roman"/>
          <w:sz w:val="24"/>
        </w:rPr>
        <w:t>].</w:t>
      </w:r>
      <w:r w:rsidR="00C1018F" w:rsidRPr="009674ED">
        <w:rPr>
          <w:rFonts w:ascii="Times New Roman" w:eastAsia="SimSun" w:hAnsi="Times New Roman"/>
          <w:sz w:val="24"/>
        </w:rPr>
        <w:t xml:space="preserve"> Empirical</w:t>
      </w:r>
      <w:r w:rsidR="009674ED" w:rsidRPr="009674ED">
        <w:rPr>
          <w:rFonts w:ascii="Times New Roman" w:eastAsia="SimSun" w:hAnsi="Times New Roman"/>
          <w:sz w:val="24"/>
        </w:rPr>
        <w:t xml:space="preserve"> research further demonstrates a robust positive association between governmental ecological prioritization and corporate environmental protection investments. Rising ecological attention corresponds to heightened corporate R&amp;D outlays in green innovation</w:t>
      </w:r>
      <w:r w:rsidR="0027051A">
        <w:rPr>
          <w:rFonts w:ascii="Times New Roman" w:eastAsia="SimSun" w:hAnsi="Times New Roman" w:hint="eastAsia"/>
          <w:sz w:val="24"/>
        </w:rPr>
        <w:t xml:space="preserve"> </w:t>
      </w:r>
      <w:r w:rsidR="009674ED" w:rsidRPr="009674ED">
        <w:rPr>
          <w:rFonts w:ascii="Times New Roman" w:eastAsia="SimSun" w:hAnsi="Times New Roman"/>
          <w:sz w:val="24"/>
        </w:rPr>
        <w:t xml:space="preserve">[22]. </w:t>
      </w:r>
      <w:r w:rsidR="009674ED" w:rsidRPr="009674ED">
        <w:rPr>
          <w:rFonts w:ascii="Times New Roman" w:eastAsia="SimSun" w:hAnsi="Times New Roman"/>
          <w:sz w:val="24"/>
        </w:rPr>
        <w:lastRenderedPageBreak/>
        <w:t>Conversely, alternative findings indicate intensified regulatory focus may impede the green transition of pollution-intensive industries [23], with certain pilot regions exhibiting paradoxical increases in carbon emissions [24]. These contrasting outcomes inform Hypothesis 2.</w:t>
      </w:r>
    </w:p>
    <w:p w14:paraId="4BABA453" w14:textId="382EF7E8" w:rsidR="006E21D8" w:rsidRDefault="005126E7" w:rsidP="00E50173">
      <w:pPr>
        <w:spacing w:line="360" w:lineRule="auto"/>
        <w:ind w:firstLineChars="200" w:firstLine="482"/>
        <w:rPr>
          <w:rFonts w:ascii="Times New Roman" w:eastAsia="SimSun" w:hAnsi="Times New Roman"/>
          <w:sz w:val="24"/>
        </w:rPr>
      </w:pPr>
      <w:r>
        <w:rPr>
          <w:rFonts w:ascii="Times New Roman" w:eastAsia="SimSun" w:hAnsi="Times New Roman" w:hint="eastAsia"/>
          <w:b/>
          <w:bCs/>
          <w:sz w:val="24"/>
        </w:rPr>
        <w:t>H</w:t>
      </w:r>
      <w:r w:rsidR="006E21D8" w:rsidRPr="006E21D8">
        <w:rPr>
          <w:rFonts w:ascii="Times New Roman" w:eastAsia="SimSun" w:hAnsi="Times New Roman" w:hint="eastAsia"/>
          <w:b/>
          <w:bCs/>
          <w:sz w:val="24"/>
        </w:rPr>
        <w:t>2</w:t>
      </w:r>
      <w:r>
        <w:rPr>
          <w:rFonts w:ascii="Times New Roman" w:eastAsia="SimSun" w:hAnsi="Times New Roman" w:hint="eastAsia"/>
          <w:b/>
          <w:bCs/>
          <w:sz w:val="24"/>
        </w:rPr>
        <w:t>:</w:t>
      </w:r>
      <w:r w:rsidR="006E21D8" w:rsidRPr="006E21D8">
        <w:rPr>
          <w:rFonts w:ascii="Times New Roman" w:eastAsia="SimSun" w:hAnsi="Times New Roman" w:hint="eastAsia"/>
          <w:sz w:val="24"/>
        </w:rPr>
        <w:t xml:space="preserve"> </w:t>
      </w:r>
      <w:r w:rsidRPr="005126E7">
        <w:rPr>
          <w:rFonts w:ascii="Times New Roman" w:eastAsia="SimSun" w:hAnsi="Times New Roman"/>
          <w:sz w:val="24"/>
        </w:rPr>
        <w:t>Ecological attention enhancement constitutes a critical mechanism through which low-carbon pilot policies influence green innovation.</w:t>
      </w:r>
    </w:p>
    <w:p w14:paraId="06FFAC86" w14:textId="09282EAF" w:rsidR="005126E7" w:rsidRDefault="005126E7" w:rsidP="00E50173">
      <w:pPr>
        <w:spacing w:line="360" w:lineRule="auto"/>
        <w:ind w:firstLineChars="200" w:firstLine="480"/>
        <w:rPr>
          <w:rFonts w:ascii="Times New Roman" w:eastAsia="SimSun" w:hAnsi="Times New Roman"/>
          <w:sz w:val="24"/>
        </w:rPr>
      </w:pPr>
      <w:r w:rsidRPr="005126E7">
        <w:rPr>
          <w:rFonts w:ascii="Times New Roman" w:eastAsia="SimSun" w:hAnsi="Times New Roman"/>
          <w:sz w:val="24"/>
        </w:rPr>
        <w:t>This study advances knowledge in three key aspects: First, it empirically validates Porter's hypothesis using low-carbon city panel data, extending green innovation literature. Second, it develops a novel framework examining policy mechanisms through governmental and public ecological attention lenses. Third, it employs stepwise regression with multi-period lag analyses to evaluate the policy's layered impacts on green innovation.</w:t>
      </w:r>
    </w:p>
    <w:p w14:paraId="439C7251" w14:textId="62F2E4F8" w:rsidR="006E21D8" w:rsidRDefault="006E21D8" w:rsidP="006E21D8">
      <w:pPr>
        <w:rPr>
          <w:rFonts w:ascii="Times New Roman" w:eastAsia="SimSun" w:hAnsi="Times New Roman"/>
          <w:b/>
          <w:bCs/>
          <w:sz w:val="24"/>
        </w:rPr>
      </w:pPr>
      <w:r w:rsidRPr="006E21D8">
        <w:rPr>
          <w:rFonts w:ascii="Times New Roman" w:eastAsia="SimSun" w:hAnsi="Times New Roman" w:hint="eastAsia"/>
          <w:b/>
          <w:bCs/>
          <w:sz w:val="24"/>
        </w:rPr>
        <w:t xml:space="preserve">3. </w:t>
      </w:r>
      <w:r w:rsidR="00E66517">
        <w:rPr>
          <w:rFonts w:ascii="Times New Roman" w:eastAsia="SimSun" w:hAnsi="Times New Roman" w:hint="eastAsia"/>
          <w:b/>
          <w:bCs/>
          <w:sz w:val="24"/>
        </w:rPr>
        <w:t>E</w:t>
      </w:r>
      <w:r w:rsidRPr="006E21D8">
        <w:rPr>
          <w:rFonts w:ascii="Times New Roman" w:eastAsia="SimSun" w:hAnsi="Times New Roman" w:hint="eastAsia"/>
          <w:b/>
          <w:bCs/>
          <w:sz w:val="24"/>
        </w:rPr>
        <w:t>mpirical strategy</w:t>
      </w:r>
      <w:r>
        <w:rPr>
          <w:rFonts w:ascii="Times New Roman" w:eastAsia="SimSun" w:hAnsi="Times New Roman" w:hint="eastAsia"/>
          <w:b/>
          <w:bCs/>
          <w:sz w:val="24"/>
        </w:rPr>
        <w:t xml:space="preserve"> </w:t>
      </w:r>
      <w:r w:rsidRPr="006E21D8">
        <w:rPr>
          <w:rFonts w:ascii="Times New Roman" w:eastAsia="SimSun" w:hAnsi="Times New Roman" w:hint="eastAsia"/>
          <w:b/>
          <w:bCs/>
          <w:sz w:val="24"/>
        </w:rPr>
        <w:t>and data</w:t>
      </w:r>
    </w:p>
    <w:p w14:paraId="4164A98E" w14:textId="77777777" w:rsidR="00EE446E" w:rsidRPr="0051357E" w:rsidRDefault="00EE446E" w:rsidP="009A1514">
      <w:pPr>
        <w:rPr>
          <w:rFonts w:ascii="Times New Roman" w:eastAsia="SimSun" w:hAnsi="Times New Roman"/>
          <w:b/>
          <w:bCs/>
          <w:sz w:val="24"/>
        </w:rPr>
      </w:pPr>
      <w:r w:rsidRPr="0051357E">
        <w:rPr>
          <w:rFonts w:ascii="Times New Roman" w:eastAsia="SimSun" w:hAnsi="Times New Roman" w:hint="eastAsia"/>
          <w:b/>
          <w:bCs/>
          <w:sz w:val="24"/>
        </w:rPr>
        <w:t>3.1. Data description</w:t>
      </w:r>
    </w:p>
    <w:p w14:paraId="450CBD1F" w14:textId="16AE60F4" w:rsidR="00F66107" w:rsidRDefault="00F66107" w:rsidP="00E50173">
      <w:pPr>
        <w:spacing w:line="360" w:lineRule="auto"/>
        <w:ind w:firstLineChars="200" w:firstLine="480"/>
        <w:rPr>
          <w:rFonts w:ascii="Times New Roman" w:eastAsia="SimSun" w:hAnsi="Times New Roman"/>
          <w:sz w:val="24"/>
        </w:rPr>
      </w:pPr>
      <w:r w:rsidRPr="00F66107">
        <w:rPr>
          <w:rFonts w:ascii="Times New Roman" w:eastAsia="SimSun" w:hAnsi="Times New Roman"/>
          <w:sz w:val="24"/>
        </w:rPr>
        <w:t>This study compiles an 11-year panel dataset (2007–2017) encompassing 283 Chinese prefecture-level cities. Data acquisition draws from multiple sources: official policy documents detailing low-carbon pilot initiatives, regional statistical yearbooks for economic indicators, municipal government work reports quantifying ecological prioritization, and Baidu Index metrics capturing public environmental concern.</w:t>
      </w:r>
    </w:p>
    <w:p w14:paraId="12140FD4" w14:textId="1AD6C921" w:rsidR="009A1514" w:rsidRPr="0051357E" w:rsidRDefault="009A1514" w:rsidP="009A1514">
      <w:pPr>
        <w:rPr>
          <w:rFonts w:ascii="Times New Roman" w:eastAsia="SimSun" w:hAnsi="Times New Roman"/>
          <w:b/>
          <w:bCs/>
          <w:sz w:val="24"/>
        </w:rPr>
      </w:pPr>
      <w:r w:rsidRPr="0051357E">
        <w:rPr>
          <w:rFonts w:ascii="Times New Roman" w:eastAsia="SimSun" w:hAnsi="Times New Roman" w:hint="eastAsia"/>
          <w:b/>
          <w:bCs/>
          <w:sz w:val="24"/>
        </w:rPr>
        <w:t>3.2. Construction of indicators</w:t>
      </w:r>
    </w:p>
    <w:p w14:paraId="0F531951" w14:textId="1B39F48C" w:rsidR="00761180" w:rsidRPr="009A1514" w:rsidRDefault="00761180" w:rsidP="00E50173">
      <w:pPr>
        <w:spacing w:line="360" w:lineRule="auto"/>
        <w:ind w:firstLineChars="200" w:firstLine="480"/>
        <w:rPr>
          <w:rFonts w:ascii="Times New Roman" w:eastAsia="SimSun" w:hAnsi="Times New Roman"/>
          <w:sz w:val="24"/>
        </w:rPr>
      </w:pPr>
      <w:r w:rsidRPr="00761180">
        <w:rPr>
          <w:rFonts w:ascii="Times New Roman" w:eastAsia="SimSun" w:hAnsi="Times New Roman" w:hint="eastAsia"/>
          <w:sz w:val="24"/>
        </w:rPr>
        <w:t xml:space="preserve">This study employs green patent applications per 10,000 residents as the primary measurement indicator for green innovation, based on two considerations: 1) it directly captures innovative outputs in sustainability, and 2) application counts offer more expedient quantification than granted patents. </w:t>
      </w:r>
      <w:r w:rsidR="005126E7" w:rsidRPr="005126E7">
        <w:rPr>
          <w:rFonts w:ascii="Times New Roman" w:eastAsia="SimSun" w:hAnsi="Times New Roman"/>
          <w:sz w:val="24"/>
        </w:rPr>
        <w:t>To reinforce core findings, we perform robustness validation drawing on established approaches</w:t>
      </w:r>
      <w:r w:rsidR="0027051A" w:rsidRPr="005126E7">
        <w:rPr>
          <w:rFonts w:ascii="Times New Roman" w:eastAsia="SimSun" w:hAnsi="Times New Roman"/>
          <w:sz w:val="24"/>
        </w:rPr>
        <w:t xml:space="preserve"> </w:t>
      </w:r>
      <w:r w:rsidR="005126E7" w:rsidRPr="005126E7">
        <w:rPr>
          <w:rFonts w:ascii="Times New Roman" w:eastAsia="SimSun" w:hAnsi="Times New Roman"/>
          <w:sz w:val="24"/>
        </w:rPr>
        <w:t>[17</w:t>
      </w:r>
      <w:r w:rsidR="0027051A">
        <w:rPr>
          <w:rFonts w:ascii="Times New Roman" w:eastAsia="SimSun" w:hAnsi="Times New Roman" w:hint="eastAsia"/>
          <w:sz w:val="24"/>
        </w:rPr>
        <w:t>]</w:t>
      </w:r>
      <w:r w:rsidR="005126E7" w:rsidRPr="005126E7">
        <w:rPr>
          <w:rFonts w:ascii="Times New Roman" w:eastAsia="SimSun" w:hAnsi="Times New Roman"/>
          <w:sz w:val="24"/>
        </w:rPr>
        <w:t>,</w:t>
      </w:r>
      <w:r w:rsidR="0027051A">
        <w:rPr>
          <w:rFonts w:ascii="Times New Roman" w:eastAsia="SimSun" w:hAnsi="Times New Roman" w:hint="eastAsia"/>
          <w:sz w:val="24"/>
        </w:rPr>
        <w:t>[</w:t>
      </w:r>
      <w:r w:rsidR="005126E7" w:rsidRPr="005126E7">
        <w:rPr>
          <w:rFonts w:ascii="Times New Roman" w:eastAsia="SimSun" w:hAnsi="Times New Roman"/>
          <w:sz w:val="24"/>
        </w:rPr>
        <w:t>28], implementing patent disaggregation where total green patents are divided into invention patents (green_innovation2) and utility models (green_innovation3).</w:t>
      </w:r>
    </w:p>
    <w:p w14:paraId="14BF3860" w14:textId="4FFE8F79" w:rsidR="009A1514" w:rsidRDefault="009A1514" w:rsidP="00E50173">
      <w:pPr>
        <w:spacing w:line="360" w:lineRule="auto"/>
        <w:ind w:firstLineChars="200" w:firstLine="480"/>
        <w:rPr>
          <w:rFonts w:ascii="Times New Roman" w:eastAsia="SimSun" w:hAnsi="Times New Roman"/>
          <w:sz w:val="24"/>
        </w:rPr>
      </w:pPr>
      <w:r w:rsidRPr="009A1514">
        <w:rPr>
          <w:rFonts w:ascii="Times New Roman" w:eastAsia="SimSun" w:hAnsi="Times New Roman" w:hint="eastAsia"/>
          <w:sz w:val="24"/>
        </w:rPr>
        <w:t xml:space="preserve">The control variables were selected with reference to the studies of </w:t>
      </w:r>
      <w:r w:rsidR="009B48BE" w:rsidRPr="009A1514">
        <w:rPr>
          <w:rFonts w:ascii="Times New Roman" w:eastAsia="SimSun" w:hAnsi="Times New Roman"/>
          <w:sz w:val="24"/>
        </w:rPr>
        <w:t>[</w:t>
      </w:r>
      <w:r w:rsidRPr="009A1514">
        <w:rPr>
          <w:rFonts w:ascii="Times New Roman" w:eastAsia="SimSun" w:hAnsi="Times New Roman" w:hint="eastAsia"/>
          <w:sz w:val="24"/>
        </w:rPr>
        <w:t xml:space="preserve">30], </w:t>
      </w:r>
      <w:r w:rsidR="009B48BE" w:rsidRPr="009A1514">
        <w:rPr>
          <w:rFonts w:ascii="Times New Roman" w:eastAsia="SimSun" w:hAnsi="Times New Roman"/>
          <w:sz w:val="24"/>
        </w:rPr>
        <w:t>[</w:t>
      </w:r>
      <w:r w:rsidRPr="009A1514">
        <w:rPr>
          <w:rFonts w:ascii="Times New Roman" w:eastAsia="SimSun" w:hAnsi="Times New Roman" w:hint="eastAsia"/>
          <w:sz w:val="24"/>
        </w:rPr>
        <w:t xml:space="preserve">27], </w:t>
      </w:r>
      <w:r w:rsidR="009B48BE" w:rsidRPr="009A1514">
        <w:rPr>
          <w:rFonts w:ascii="Times New Roman" w:eastAsia="SimSun" w:hAnsi="Times New Roman"/>
          <w:sz w:val="24"/>
        </w:rPr>
        <w:t>[</w:t>
      </w:r>
      <w:r w:rsidRPr="009A1514">
        <w:rPr>
          <w:rFonts w:ascii="Times New Roman" w:eastAsia="SimSun" w:hAnsi="Times New Roman" w:hint="eastAsia"/>
          <w:sz w:val="24"/>
        </w:rPr>
        <w:t xml:space="preserve">7], and </w:t>
      </w:r>
      <w:r w:rsidR="009B48BE" w:rsidRPr="009A1514">
        <w:rPr>
          <w:rFonts w:ascii="Times New Roman" w:eastAsia="SimSun" w:hAnsi="Times New Roman"/>
          <w:sz w:val="24"/>
        </w:rPr>
        <w:t>[</w:t>
      </w:r>
      <w:r w:rsidRPr="009A1514">
        <w:rPr>
          <w:rFonts w:ascii="Times New Roman" w:eastAsia="SimSun" w:hAnsi="Times New Roman" w:hint="eastAsia"/>
          <w:sz w:val="24"/>
        </w:rPr>
        <w:t xml:space="preserve">29], including regional economic development level, industrial structure, and population structure. </w:t>
      </w:r>
      <w:r w:rsidR="005126E7" w:rsidRPr="005126E7">
        <w:rPr>
          <w:rFonts w:ascii="Times New Roman" w:eastAsia="SimSun" w:hAnsi="Times New Roman"/>
          <w:sz w:val="24"/>
        </w:rPr>
        <w:t>The regression incorporates these control variables: (1) GDP per capita (</w:t>
      </w:r>
      <w:proofErr w:type="spellStart"/>
      <w:r w:rsidR="005126E7" w:rsidRPr="005126E7">
        <w:rPr>
          <w:rFonts w:ascii="Times New Roman" w:eastAsia="SimSun" w:hAnsi="Times New Roman"/>
          <w:sz w:val="24"/>
        </w:rPr>
        <w:t>lnpgdp</w:t>
      </w:r>
      <w:proofErr w:type="spellEnd"/>
      <w:r w:rsidR="005126E7" w:rsidRPr="005126E7">
        <w:rPr>
          <w:rFonts w:ascii="Times New Roman" w:eastAsia="SimSun" w:hAnsi="Times New Roman"/>
          <w:sz w:val="24"/>
        </w:rPr>
        <w:t>; logarithm, yuan); (2) Population density (</w:t>
      </w:r>
      <w:proofErr w:type="spellStart"/>
      <w:r w:rsidR="005126E7" w:rsidRPr="005126E7">
        <w:rPr>
          <w:rFonts w:ascii="Times New Roman" w:eastAsia="SimSun" w:hAnsi="Times New Roman"/>
          <w:sz w:val="24"/>
        </w:rPr>
        <w:t>popuden</w:t>
      </w:r>
      <w:proofErr w:type="spellEnd"/>
      <w:r w:rsidR="005126E7" w:rsidRPr="005126E7">
        <w:rPr>
          <w:rFonts w:ascii="Times New Roman" w:eastAsia="SimSun" w:hAnsi="Times New Roman"/>
          <w:sz w:val="24"/>
        </w:rPr>
        <w:t xml:space="preserve">; 10,000 persons/km²); </w:t>
      </w:r>
      <w:r w:rsidR="005126E7" w:rsidRPr="005126E7">
        <w:rPr>
          <w:rFonts w:ascii="Times New Roman" w:eastAsia="SimSun" w:hAnsi="Times New Roman"/>
          <w:sz w:val="24"/>
        </w:rPr>
        <w:lastRenderedPageBreak/>
        <w:t>(3) Secondary industry share (ind_stru2; % GDP); (4) Wage per capita (</w:t>
      </w:r>
      <w:proofErr w:type="spellStart"/>
      <w:r w:rsidR="005126E7" w:rsidRPr="005126E7">
        <w:rPr>
          <w:rFonts w:ascii="Times New Roman" w:eastAsia="SimSun" w:hAnsi="Times New Roman"/>
          <w:sz w:val="24"/>
        </w:rPr>
        <w:t>lnpwage</w:t>
      </w:r>
      <w:proofErr w:type="spellEnd"/>
      <w:r w:rsidR="005126E7" w:rsidRPr="005126E7">
        <w:rPr>
          <w:rFonts w:ascii="Times New Roman" w:eastAsia="SimSun" w:hAnsi="Times New Roman"/>
          <w:sz w:val="24"/>
        </w:rPr>
        <w:t>; logarithm, yuan); (5) Internet access (</w:t>
      </w:r>
      <w:proofErr w:type="spellStart"/>
      <w:r w:rsidR="005126E7" w:rsidRPr="005126E7">
        <w:rPr>
          <w:rFonts w:ascii="Times New Roman" w:eastAsia="SimSun" w:hAnsi="Times New Roman"/>
          <w:sz w:val="24"/>
        </w:rPr>
        <w:t>lninternet</w:t>
      </w:r>
      <w:proofErr w:type="spellEnd"/>
      <w:r w:rsidR="005126E7" w:rsidRPr="005126E7">
        <w:rPr>
          <w:rFonts w:ascii="Times New Roman" w:eastAsia="SimSun" w:hAnsi="Times New Roman"/>
          <w:sz w:val="24"/>
        </w:rPr>
        <w:t xml:space="preserve">; logarithm, 10,000 households). Population density measures persons per square kilometer, ind_stru2 captures industrial structure, and </w:t>
      </w:r>
      <w:proofErr w:type="spellStart"/>
      <w:r w:rsidR="005126E7" w:rsidRPr="005126E7">
        <w:rPr>
          <w:rFonts w:ascii="Times New Roman" w:eastAsia="SimSun" w:hAnsi="Times New Roman"/>
          <w:sz w:val="24"/>
        </w:rPr>
        <w:t>lninternet</w:t>
      </w:r>
      <w:proofErr w:type="spellEnd"/>
      <w:r w:rsidR="005126E7" w:rsidRPr="005126E7">
        <w:rPr>
          <w:rFonts w:ascii="Times New Roman" w:eastAsia="SimSun" w:hAnsi="Times New Roman"/>
          <w:sz w:val="24"/>
        </w:rPr>
        <w:t xml:space="preserve"> </w:t>
      </w:r>
      <w:proofErr w:type="gramStart"/>
      <w:r w:rsidR="005126E7" w:rsidRPr="005126E7">
        <w:rPr>
          <w:rFonts w:ascii="Times New Roman" w:eastAsia="SimSun" w:hAnsi="Times New Roman"/>
          <w:sz w:val="24"/>
        </w:rPr>
        <w:t>proxies</w:t>
      </w:r>
      <w:proofErr w:type="gramEnd"/>
      <w:r w:rsidR="005126E7" w:rsidRPr="005126E7">
        <w:rPr>
          <w:rFonts w:ascii="Times New Roman" w:eastAsia="SimSun" w:hAnsi="Times New Roman"/>
          <w:sz w:val="24"/>
        </w:rPr>
        <w:t xml:space="preserve"> digitization. </w:t>
      </w:r>
    </w:p>
    <w:p w14:paraId="56898BD3" w14:textId="77777777" w:rsidR="00A268A6" w:rsidRDefault="00A268A6" w:rsidP="00A268A6">
      <w:pPr>
        <w:rPr>
          <w:rFonts w:ascii="Times New Roman" w:eastAsia="SimSun" w:hAnsi="Times New Roman"/>
          <w:sz w:val="24"/>
        </w:rPr>
      </w:pPr>
    </w:p>
    <w:p w14:paraId="00A21686" w14:textId="573E54AD" w:rsidR="00A268A6" w:rsidRPr="006851B1" w:rsidRDefault="00A268A6" w:rsidP="006851B1">
      <w:pPr>
        <w:spacing w:line="360" w:lineRule="auto"/>
        <w:ind w:firstLineChars="400" w:firstLine="960"/>
        <w:rPr>
          <w:rFonts w:ascii="Times New Roman" w:hAnsi="Times New Roman" w:cs="Times New Roman"/>
          <w:b/>
          <w:bCs/>
          <w:sz w:val="24"/>
          <w:szCs w:val="24"/>
        </w:rPr>
      </w:pPr>
      <w:r w:rsidRPr="006851B1">
        <w:rPr>
          <w:rFonts w:ascii="Times New Roman" w:hAnsi="Times New Roman" w:cs="Times New Roman" w:hint="eastAsia"/>
          <w:b/>
          <w:bCs/>
          <w:sz w:val="24"/>
          <w:szCs w:val="24"/>
        </w:rPr>
        <w:t xml:space="preserve">Table </w:t>
      </w:r>
      <w:r w:rsidR="00D2448A">
        <w:rPr>
          <w:rFonts w:ascii="Times New Roman" w:hAnsi="Times New Roman" w:cs="Times New Roman" w:hint="eastAsia"/>
          <w:b/>
          <w:bCs/>
          <w:sz w:val="24"/>
          <w:szCs w:val="24"/>
        </w:rPr>
        <w:t>1</w:t>
      </w:r>
      <w:r w:rsidRPr="006851B1">
        <w:rPr>
          <w:rFonts w:ascii="Times New Roman" w:hAnsi="Times New Roman" w:cs="Times New Roman" w:hint="eastAsia"/>
          <w:b/>
          <w:bCs/>
          <w:sz w:val="24"/>
          <w:szCs w:val="24"/>
        </w:rPr>
        <w:t>. Descriptive statistical characteristics of main variables</w:t>
      </w:r>
    </w:p>
    <w:tbl>
      <w:tblPr>
        <w:tblW w:w="5000" w:type="pct"/>
        <w:jc w:val="right"/>
        <w:tblLook w:val="04A0" w:firstRow="1" w:lastRow="0" w:firstColumn="1" w:lastColumn="0" w:noHBand="0" w:noVBand="1"/>
      </w:tblPr>
      <w:tblGrid>
        <w:gridCol w:w="2301"/>
        <w:gridCol w:w="1216"/>
        <w:gridCol w:w="1196"/>
        <w:gridCol w:w="1447"/>
        <w:gridCol w:w="1148"/>
        <w:gridCol w:w="998"/>
      </w:tblGrid>
      <w:tr w:rsidR="00A268A6" w:rsidRPr="006851B1" w14:paraId="63979D50" w14:textId="77777777" w:rsidTr="00A268A6">
        <w:trPr>
          <w:trHeight w:val="312"/>
          <w:jc w:val="right"/>
        </w:trPr>
        <w:tc>
          <w:tcPr>
            <w:tcW w:w="1385" w:type="pct"/>
            <w:tcBorders>
              <w:top w:val="single" w:sz="4" w:space="0" w:color="auto"/>
              <w:left w:val="nil"/>
              <w:bottom w:val="nil"/>
              <w:right w:val="nil"/>
              <w:tl2br w:val="nil"/>
              <w:tr2bl w:val="nil"/>
            </w:tcBorders>
            <w:vAlign w:val="center"/>
          </w:tcPr>
          <w:p w14:paraId="6546C7F4" w14:textId="77777777" w:rsidR="00A268A6" w:rsidRPr="006851B1" w:rsidRDefault="00A268A6" w:rsidP="00293BEF">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Variables</w:t>
            </w:r>
          </w:p>
        </w:tc>
        <w:tc>
          <w:tcPr>
            <w:tcW w:w="732" w:type="pct"/>
            <w:tcBorders>
              <w:top w:val="single" w:sz="4" w:space="0" w:color="auto"/>
              <w:left w:val="nil"/>
              <w:bottom w:val="nil"/>
              <w:right w:val="nil"/>
              <w:tl2br w:val="nil"/>
              <w:tr2bl w:val="nil"/>
            </w:tcBorders>
            <w:vAlign w:val="center"/>
          </w:tcPr>
          <w:p w14:paraId="6771BB19" w14:textId="77777777" w:rsidR="00A268A6" w:rsidRPr="006851B1" w:rsidRDefault="00A268A6" w:rsidP="00293BEF">
            <w:pPr>
              <w:spacing w:line="300" w:lineRule="auto"/>
              <w:jc w:val="center"/>
              <w:rPr>
                <w:rFonts w:ascii="Times New Roman" w:eastAsia="Times New Roman" w:hAnsi="Times New Roman"/>
                <w:b/>
                <w:bCs/>
                <w:color w:val="131313"/>
              </w:rPr>
            </w:pPr>
            <w:proofErr w:type="spellStart"/>
            <w:r w:rsidRPr="006851B1">
              <w:rPr>
                <w:rFonts w:ascii="Times New Roman" w:eastAsia="Times New Roman" w:hAnsi="Times New Roman"/>
                <w:b/>
                <w:bCs/>
                <w:color w:val="131313"/>
              </w:rPr>
              <w:t>Obs</w:t>
            </w:r>
            <w:proofErr w:type="spellEnd"/>
          </w:p>
        </w:tc>
        <w:tc>
          <w:tcPr>
            <w:tcW w:w="720" w:type="pct"/>
            <w:tcBorders>
              <w:top w:val="single" w:sz="4" w:space="0" w:color="auto"/>
              <w:left w:val="nil"/>
              <w:bottom w:val="nil"/>
              <w:right w:val="nil"/>
              <w:tl2br w:val="nil"/>
              <w:tr2bl w:val="nil"/>
            </w:tcBorders>
            <w:vAlign w:val="center"/>
          </w:tcPr>
          <w:p w14:paraId="1123A320" w14:textId="77777777" w:rsidR="00A268A6" w:rsidRPr="006851B1" w:rsidRDefault="00A268A6" w:rsidP="00293BEF">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Mean</w:t>
            </w:r>
          </w:p>
        </w:tc>
        <w:tc>
          <w:tcPr>
            <w:tcW w:w="871" w:type="pct"/>
            <w:tcBorders>
              <w:top w:val="single" w:sz="4" w:space="0" w:color="auto"/>
              <w:left w:val="nil"/>
              <w:bottom w:val="nil"/>
              <w:right w:val="nil"/>
              <w:tl2br w:val="nil"/>
              <w:tr2bl w:val="nil"/>
            </w:tcBorders>
            <w:vAlign w:val="center"/>
          </w:tcPr>
          <w:p w14:paraId="1F35AB77" w14:textId="77777777" w:rsidR="00A268A6" w:rsidRPr="006851B1" w:rsidRDefault="00A268A6" w:rsidP="00293BEF">
            <w:pPr>
              <w:spacing w:line="300" w:lineRule="auto"/>
              <w:jc w:val="center"/>
              <w:rPr>
                <w:rFonts w:ascii="Times New Roman" w:eastAsia="Times New Roman" w:hAnsi="Times New Roman"/>
                <w:b/>
                <w:bCs/>
                <w:color w:val="131313"/>
              </w:rPr>
            </w:pPr>
            <w:proofErr w:type="spellStart"/>
            <w:r w:rsidRPr="006851B1">
              <w:rPr>
                <w:rFonts w:ascii="Times New Roman" w:eastAsia="Times New Roman" w:hAnsi="Times New Roman"/>
                <w:b/>
                <w:bCs/>
                <w:color w:val="131313"/>
              </w:rPr>
              <w:t>Std.Dev</w:t>
            </w:r>
            <w:proofErr w:type="spellEnd"/>
            <w:r w:rsidRPr="006851B1">
              <w:rPr>
                <w:rFonts w:ascii="Times New Roman" w:eastAsia="Times New Roman" w:hAnsi="Times New Roman"/>
                <w:b/>
                <w:bCs/>
                <w:color w:val="131313"/>
              </w:rPr>
              <w:t>.</w:t>
            </w:r>
          </w:p>
        </w:tc>
        <w:tc>
          <w:tcPr>
            <w:tcW w:w="691" w:type="pct"/>
            <w:tcBorders>
              <w:top w:val="single" w:sz="4" w:space="0" w:color="auto"/>
              <w:left w:val="nil"/>
              <w:bottom w:val="nil"/>
              <w:right w:val="nil"/>
              <w:tl2br w:val="nil"/>
              <w:tr2bl w:val="nil"/>
            </w:tcBorders>
            <w:vAlign w:val="center"/>
          </w:tcPr>
          <w:p w14:paraId="68FFA77B" w14:textId="77777777" w:rsidR="00A268A6" w:rsidRPr="006851B1" w:rsidRDefault="00A268A6" w:rsidP="00293BEF">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Min</w:t>
            </w:r>
          </w:p>
        </w:tc>
        <w:tc>
          <w:tcPr>
            <w:tcW w:w="601" w:type="pct"/>
            <w:tcBorders>
              <w:top w:val="single" w:sz="4" w:space="0" w:color="auto"/>
              <w:left w:val="nil"/>
              <w:bottom w:val="nil"/>
              <w:right w:val="nil"/>
              <w:tl2br w:val="nil"/>
              <w:tr2bl w:val="nil"/>
            </w:tcBorders>
            <w:vAlign w:val="center"/>
          </w:tcPr>
          <w:p w14:paraId="32C8FCD1" w14:textId="77777777" w:rsidR="00A268A6" w:rsidRPr="006851B1" w:rsidRDefault="00A268A6" w:rsidP="00293BEF">
            <w:pPr>
              <w:spacing w:line="300" w:lineRule="auto"/>
              <w:jc w:val="center"/>
              <w:rPr>
                <w:rFonts w:ascii="Times New Roman" w:eastAsia="Times New Roman" w:hAnsi="Times New Roman"/>
                <w:b/>
                <w:bCs/>
                <w:color w:val="131313"/>
              </w:rPr>
            </w:pPr>
            <w:r w:rsidRPr="006851B1">
              <w:rPr>
                <w:rFonts w:ascii="Times New Roman" w:eastAsia="Times New Roman" w:hAnsi="Times New Roman"/>
                <w:b/>
                <w:bCs/>
                <w:color w:val="131313"/>
              </w:rPr>
              <w:t>Max</w:t>
            </w:r>
          </w:p>
        </w:tc>
      </w:tr>
      <w:tr w:rsidR="00A268A6" w14:paraId="1C7A4AA2" w14:textId="77777777" w:rsidTr="00A268A6">
        <w:trPr>
          <w:trHeight w:val="312"/>
          <w:jc w:val="right"/>
        </w:trPr>
        <w:tc>
          <w:tcPr>
            <w:tcW w:w="1385" w:type="pct"/>
            <w:tcBorders>
              <w:top w:val="single" w:sz="4" w:space="0" w:color="auto"/>
              <w:left w:val="nil"/>
              <w:bottom w:val="nil"/>
              <w:right w:val="nil"/>
              <w:tl2br w:val="nil"/>
              <w:tr2bl w:val="nil"/>
            </w:tcBorders>
            <w:vAlign w:val="center"/>
          </w:tcPr>
          <w:p w14:paraId="4A7AF987"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green_innovation</w:t>
            </w:r>
            <w:proofErr w:type="spellEnd"/>
          </w:p>
        </w:tc>
        <w:tc>
          <w:tcPr>
            <w:tcW w:w="732" w:type="pct"/>
            <w:tcBorders>
              <w:top w:val="single" w:sz="4" w:space="0" w:color="auto"/>
              <w:left w:val="nil"/>
              <w:bottom w:val="nil"/>
              <w:right w:val="nil"/>
              <w:tl2br w:val="nil"/>
              <w:tr2bl w:val="nil"/>
            </w:tcBorders>
            <w:vAlign w:val="center"/>
          </w:tcPr>
          <w:p w14:paraId="6AC3865C"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single" w:sz="4" w:space="0" w:color="auto"/>
              <w:left w:val="nil"/>
              <w:bottom w:val="nil"/>
              <w:right w:val="nil"/>
              <w:tl2br w:val="nil"/>
              <w:tr2bl w:val="nil"/>
            </w:tcBorders>
            <w:vAlign w:val="center"/>
          </w:tcPr>
          <w:p w14:paraId="6A065AD9"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0.933</w:t>
            </w:r>
          </w:p>
        </w:tc>
        <w:tc>
          <w:tcPr>
            <w:tcW w:w="871" w:type="pct"/>
            <w:tcBorders>
              <w:top w:val="single" w:sz="4" w:space="0" w:color="auto"/>
              <w:left w:val="nil"/>
              <w:bottom w:val="nil"/>
              <w:right w:val="nil"/>
              <w:tl2br w:val="nil"/>
              <w:tr2bl w:val="nil"/>
            </w:tcBorders>
            <w:vAlign w:val="center"/>
          </w:tcPr>
          <w:p w14:paraId="10D83876"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2.489</w:t>
            </w:r>
          </w:p>
        </w:tc>
        <w:tc>
          <w:tcPr>
            <w:tcW w:w="691" w:type="pct"/>
            <w:tcBorders>
              <w:top w:val="single" w:sz="4" w:space="0" w:color="auto"/>
              <w:left w:val="nil"/>
              <w:bottom w:val="nil"/>
              <w:right w:val="nil"/>
              <w:tl2br w:val="nil"/>
              <w:tr2bl w:val="nil"/>
            </w:tcBorders>
            <w:vAlign w:val="center"/>
          </w:tcPr>
          <w:p w14:paraId="51FAC37C"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0.00189</w:t>
            </w:r>
          </w:p>
        </w:tc>
        <w:tc>
          <w:tcPr>
            <w:tcW w:w="601" w:type="pct"/>
            <w:tcBorders>
              <w:top w:val="single" w:sz="4" w:space="0" w:color="auto"/>
              <w:left w:val="nil"/>
              <w:bottom w:val="nil"/>
              <w:right w:val="nil"/>
              <w:tl2br w:val="nil"/>
              <w:tr2bl w:val="nil"/>
            </w:tcBorders>
            <w:vAlign w:val="center"/>
          </w:tcPr>
          <w:p w14:paraId="1C2A43DE"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49.98</w:t>
            </w:r>
          </w:p>
        </w:tc>
      </w:tr>
      <w:tr w:rsidR="00A268A6" w14:paraId="06BCC377" w14:textId="77777777" w:rsidTr="00A268A6">
        <w:trPr>
          <w:trHeight w:val="312"/>
          <w:jc w:val="right"/>
        </w:trPr>
        <w:tc>
          <w:tcPr>
            <w:tcW w:w="1385" w:type="pct"/>
            <w:tcBorders>
              <w:top w:val="nil"/>
              <w:left w:val="nil"/>
              <w:bottom w:val="nil"/>
              <w:right w:val="nil"/>
              <w:tl2br w:val="nil"/>
              <w:tr2bl w:val="nil"/>
            </w:tcBorders>
            <w:vAlign w:val="center"/>
          </w:tcPr>
          <w:p w14:paraId="1A8DD80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green_innovation2</w:t>
            </w:r>
          </w:p>
        </w:tc>
        <w:tc>
          <w:tcPr>
            <w:tcW w:w="732" w:type="pct"/>
            <w:tcBorders>
              <w:top w:val="nil"/>
              <w:left w:val="nil"/>
              <w:bottom w:val="nil"/>
              <w:right w:val="nil"/>
              <w:tl2br w:val="nil"/>
              <w:tr2bl w:val="nil"/>
            </w:tcBorders>
            <w:vAlign w:val="center"/>
          </w:tcPr>
          <w:p w14:paraId="4EA67B8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nil"/>
              <w:left w:val="nil"/>
              <w:bottom w:val="nil"/>
              <w:right w:val="nil"/>
              <w:tl2br w:val="nil"/>
              <w:tr2bl w:val="nil"/>
            </w:tcBorders>
            <w:vAlign w:val="center"/>
          </w:tcPr>
          <w:p w14:paraId="63DEFB0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0.459</w:t>
            </w:r>
          </w:p>
        </w:tc>
        <w:tc>
          <w:tcPr>
            <w:tcW w:w="871" w:type="pct"/>
            <w:tcBorders>
              <w:top w:val="nil"/>
              <w:left w:val="nil"/>
              <w:bottom w:val="nil"/>
              <w:right w:val="nil"/>
              <w:tl2br w:val="nil"/>
              <w:tr2bl w:val="nil"/>
            </w:tcBorders>
            <w:vAlign w:val="center"/>
          </w:tcPr>
          <w:p w14:paraId="7C524DAE"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1.347</w:t>
            </w:r>
          </w:p>
        </w:tc>
        <w:tc>
          <w:tcPr>
            <w:tcW w:w="691" w:type="pct"/>
            <w:tcBorders>
              <w:top w:val="nil"/>
              <w:left w:val="nil"/>
              <w:bottom w:val="nil"/>
              <w:right w:val="nil"/>
              <w:tl2br w:val="nil"/>
              <w:tr2bl w:val="nil"/>
            </w:tcBorders>
            <w:vAlign w:val="center"/>
          </w:tcPr>
          <w:p w14:paraId="7C7B073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16D1B941"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27.13</w:t>
            </w:r>
          </w:p>
        </w:tc>
      </w:tr>
      <w:tr w:rsidR="00A268A6" w14:paraId="492BB026" w14:textId="77777777" w:rsidTr="00A268A6">
        <w:trPr>
          <w:trHeight w:val="312"/>
          <w:jc w:val="right"/>
        </w:trPr>
        <w:tc>
          <w:tcPr>
            <w:tcW w:w="1385" w:type="pct"/>
            <w:tcBorders>
              <w:top w:val="nil"/>
              <w:left w:val="nil"/>
              <w:bottom w:val="nil"/>
              <w:right w:val="nil"/>
              <w:tl2br w:val="nil"/>
              <w:tr2bl w:val="nil"/>
            </w:tcBorders>
            <w:vAlign w:val="center"/>
          </w:tcPr>
          <w:p w14:paraId="12A35F56"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green_innovation3</w:t>
            </w:r>
          </w:p>
        </w:tc>
        <w:tc>
          <w:tcPr>
            <w:tcW w:w="732" w:type="pct"/>
            <w:tcBorders>
              <w:top w:val="nil"/>
              <w:left w:val="nil"/>
              <w:bottom w:val="nil"/>
              <w:right w:val="nil"/>
              <w:tl2br w:val="nil"/>
              <w:tr2bl w:val="nil"/>
            </w:tcBorders>
            <w:vAlign w:val="center"/>
          </w:tcPr>
          <w:p w14:paraId="208D1513"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3,598</w:t>
            </w:r>
          </w:p>
        </w:tc>
        <w:tc>
          <w:tcPr>
            <w:tcW w:w="720" w:type="pct"/>
            <w:tcBorders>
              <w:top w:val="nil"/>
              <w:left w:val="nil"/>
              <w:bottom w:val="nil"/>
              <w:right w:val="nil"/>
              <w:tl2br w:val="nil"/>
              <w:tr2bl w:val="nil"/>
            </w:tcBorders>
            <w:vAlign w:val="center"/>
          </w:tcPr>
          <w:p w14:paraId="5F6E4188"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0.474</w:t>
            </w:r>
          </w:p>
        </w:tc>
        <w:tc>
          <w:tcPr>
            <w:tcW w:w="871" w:type="pct"/>
            <w:tcBorders>
              <w:top w:val="nil"/>
              <w:left w:val="nil"/>
              <w:bottom w:val="nil"/>
              <w:right w:val="nil"/>
              <w:tl2br w:val="nil"/>
              <w:tr2bl w:val="nil"/>
            </w:tcBorders>
            <w:vAlign w:val="center"/>
          </w:tcPr>
          <w:p w14:paraId="23D4F120"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1.193</w:t>
            </w:r>
          </w:p>
        </w:tc>
        <w:tc>
          <w:tcPr>
            <w:tcW w:w="691" w:type="pct"/>
            <w:tcBorders>
              <w:top w:val="nil"/>
              <w:left w:val="nil"/>
              <w:bottom w:val="nil"/>
              <w:right w:val="nil"/>
              <w:tl2br w:val="nil"/>
              <w:tr2bl w:val="nil"/>
            </w:tcBorders>
            <w:vAlign w:val="center"/>
          </w:tcPr>
          <w:p w14:paraId="3B330F9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30EB2D0A"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22.85</w:t>
            </w:r>
          </w:p>
        </w:tc>
      </w:tr>
      <w:tr w:rsidR="00A268A6" w14:paraId="5D3337DD" w14:textId="77777777" w:rsidTr="00A268A6">
        <w:trPr>
          <w:trHeight w:val="312"/>
          <w:jc w:val="right"/>
        </w:trPr>
        <w:tc>
          <w:tcPr>
            <w:tcW w:w="1385" w:type="pct"/>
            <w:tcBorders>
              <w:top w:val="nil"/>
              <w:left w:val="nil"/>
              <w:bottom w:val="nil"/>
              <w:right w:val="nil"/>
              <w:tl2br w:val="nil"/>
              <w:tr2bl w:val="nil"/>
            </w:tcBorders>
            <w:vAlign w:val="center"/>
          </w:tcPr>
          <w:p w14:paraId="2C1181A4"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lcpolicy</w:t>
            </w:r>
            <w:proofErr w:type="spellEnd"/>
          </w:p>
        </w:tc>
        <w:tc>
          <w:tcPr>
            <w:tcW w:w="732" w:type="pct"/>
            <w:tcBorders>
              <w:top w:val="nil"/>
              <w:left w:val="nil"/>
              <w:bottom w:val="nil"/>
              <w:right w:val="nil"/>
              <w:tl2br w:val="nil"/>
              <w:tr2bl w:val="nil"/>
            </w:tcBorders>
            <w:vAlign w:val="center"/>
          </w:tcPr>
          <w:p w14:paraId="36A73045"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3,650</w:t>
            </w:r>
          </w:p>
        </w:tc>
        <w:tc>
          <w:tcPr>
            <w:tcW w:w="720" w:type="pct"/>
            <w:tcBorders>
              <w:top w:val="nil"/>
              <w:left w:val="nil"/>
              <w:bottom w:val="nil"/>
              <w:right w:val="nil"/>
              <w:tl2br w:val="nil"/>
              <w:tr2bl w:val="nil"/>
            </w:tcBorders>
            <w:vAlign w:val="center"/>
          </w:tcPr>
          <w:p w14:paraId="46F389A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0.211</w:t>
            </w:r>
          </w:p>
        </w:tc>
        <w:tc>
          <w:tcPr>
            <w:tcW w:w="871" w:type="pct"/>
            <w:tcBorders>
              <w:top w:val="nil"/>
              <w:left w:val="nil"/>
              <w:bottom w:val="nil"/>
              <w:right w:val="nil"/>
              <w:tl2br w:val="nil"/>
              <w:tr2bl w:val="nil"/>
            </w:tcBorders>
            <w:vAlign w:val="center"/>
          </w:tcPr>
          <w:p w14:paraId="07F59E0C"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0.408</w:t>
            </w:r>
          </w:p>
        </w:tc>
        <w:tc>
          <w:tcPr>
            <w:tcW w:w="691" w:type="pct"/>
            <w:tcBorders>
              <w:top w:val="nil"/>
              <w:left w:val="nil"/>
              <w:bottom w:val="nil"/>
              <w:right w:val="nil"/>
              <w:tl2br w:val="nil"/>
              <w:tr2bl w:val="nil"/>
            </w:tcBorders>
            <w:vAlign w:val="center"/>
          </w:tcPr>
          <w:p w14:paraId="74BCF0EC"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w:t>
            </w:r>
          </w:p>
        </w:tc>
        <w:tc>
          <w:tcPr>
            <w:tcW w:w="601" w:type="pct"/>
            <w:tcBorders>
              <w:top w:val="nil"/>
              <w:left w:val="nil"/>
              <w:bottom w:val="nil"/>
              <w:right w:val="nil"/>
              <w:tl2br w:val="nil"/>
              <w:tr2bl w:val="nil"/>
            </w:tcBorders>
            <w:vAlign w:val="center"/>
          </w:tcPr>
          <w:p w14:paraId="0F738147"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w:t>
            </w:r>
          </w:p>
        </w:tc>
      </w:tr>
      <w:tr w:rsidR="00A268A6" w14:paraId="0EB52E61" w14:textId="77777777" w:rsidTr="00A268A6">
        <w:trPr>
          <w:trHeight w:val="312"/>
          <w:jc w:val="right"/>
        </w:trPr>
        <w:tc>
          <w:tcPr>
            <w:tcW w:w="1385" w:type="pct"/>
            <w:tcBorders>
              <w:top w:val="nil"/>
              <w:left w:val="nil"/>
              <w:bottom w:val="nil"/>
              <w:right w:val="nil"/>
              <w:tl2br w:val="nil"/>
              <w:tr2bl w:val="nil"/>
            </w:tcBorders>
            <w:vAlign w:val="center"/>
          </w:tcPr>
          <w:p w14:paraId="10F30689"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732" w:type="pct"/>
            <w:tcBorders>
              <w:top w:val="nil"/>
              <w:left w:val="nil"/>
              <w:bottom w:val="nil"/>
              <w:right w:val="nil"/>
              <w:tl2br w:val="nil"/>
              <w:tr2bl w:val="nil"/>
            </w:tcBorders>
            <w:vAlign w:val="center"/>
          </w:tcPr>
          <w:p w14:paraId="564E62C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3,561</w:t>
            </w:r>
          </w:p>
        </w:tc>
        <w:tc>
          <w:tcPr>
            <w:tcW w:w="720" w:type="pct"/>
            <w:tcBorders>
              <w:top w:val="nil"/>
              <w:left w:val="nil"/>
              <w:bottom w:val="nil"/>
              <w:right w:val="nil"/>
              <w:tl2br w:val="nil"/>
              <w:tr2bl w:val="nil"/>
            </w:tcBorders>
            <w:vAlign w:val="center"/>
          </w:tcPr>
          <w:p w14:paraId="183132A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10.34</w:t>
            </w:r>
          </w:p>
        </w:tc>
        <w:tc>
          <w:tcPr>
            <w:tcW w:w="871" w:type="pct"/>
            <w:tcBorders>
              <w:top w:val="nil"/>
              <w:left w:val="nil"/>
              <w:bottom w:val="nil"/>
              <w:right w:val="nil"/>
              <w:tl2br w:val="nil"/>
              <w:tr2bl w:val="nil"/>
            </w:tcBorders>
            <w:vAlign w:val="center"/>
          </w:tcPr>
          <w:p w14:paraId="32721FBE"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0.73</w:t>
            </w:r>
          </w:p>
        </w:tc>
        <w:tc>
          <w:tcPr>
            <w:tcW w:w="691" w:type="pct"/>
            <w:tcBorders>
              <w:top w:val="nil"/>
              <w:left w:val="nil"/>
              <w:bottom w:val="nil"/>
              <w:right w:val="nil"/>
              <w:tl2br w:val="nil"/>
              <w:tr2bl w:val="nil"/>
            </w:tcBorders>
            <w:vAlign w:val="center"/>
          </w:tcPr>
          <w:p w14:paraId="5F389064"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7.997</w:t>
            </w:r>
          </w:p>
        </w:tc>
        <w:tc>
          <w:tcPr>
            <w:tcW w:w="601" w:type="pct"/>
            <w:tcBorders>
              <w:top w:val="nil"/>
              <w:left w:val="nil"/>
              <w:bottom w:val="nil"/>
              <w:right w:val="nil"/>
              <w:tl2br w:val="nil"/>
              <w:tr2bl w:val="nil"/>
            </w:tcBorders>
            <w:vAlign w:val="center"/>
          </w:tcPr>
          <w:p w14:paraId="18083A67"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12.28</w:t>
            </w:r>
          </w:p>
        </w:tc>
      </w:tr>
      <w:tr w:rsidR="00A268A6" w14:paraId="174C6AE2" w14:textId="77777777" w:rsidTr="00A268A6">
        <w:trPr>
          <w:trHeight w:val="312"/>
          <w:jc w:val="right"/>
        </w:trPr>
        <w:tc>
          <w:tcPr>
            <w:tcW w:w="1385" w:type="pct"/>
            <w:tcBorders>
              <w:top w:val="nil"/>
              <w:left w:val="nil"/>
              <w:bottom w:val="nil"/>
              <w:right w:val="nil"/>
              <w:tl2br w:val="nil"/>
              <w:tr2bl w:val="nil"/>
            </w:tcBorders>
            <w:vAlign w:val="center"/>
          </w:tcPr>
          <w:p w14:paraId="57C0F21D"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popuden</w:t>
            </w:r>
            <w:proofErr w:type="spellEnd"/>
          </w:p>
        </w:tc>
        <w:tc>
          <w:tcPr>
            <w:tcW w:w="732" w:type="pct"/>
            <w:tcBorders>
              <w:top w:val="nil"/>
              <w:left w:val="nil"/>
              <w:bottom w:val="nil"/>
              <w:right w:val="nil"/>
              <w:tl2br w:val="nil"/>
              <w:tr2bl w:val="nil"/>
            </w:tcBorders>
            <w:vAlign w:val="center"/>
          </w:tcPr>
          <w:p w14:paraId="20152930"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2,830</w:t>
            </w:r>
          </w:p>
        </w:tc>
        <w:tc>
          <w:tcPr>
            <w:tcW w:w="720" w:type="pct"/>
            <w:tcBorders>
              <w:top w:val="nil"/>
              <w:left w:val="nil"/>
              <w:bottom w:val="nil"/>
              <w:right w:val="nil"/>
              <w:tl2br w:val="nil"/>
              <w:tr2bl w:val="nil"/>
            </w:tcBorders>
            <w:vAlign w:val="center"/>
          </w:tcPr>
          <w:p w14:paraId="66D9EA6E"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443</w:t>
            </w:r>
          </w:p>
        </w:tc>
        <w:tc>
          <w:tcPr>
            <w:tcW w:w="871" w:type="pct"/>
            <w:tcBorders>
              <w:top w:val="nil"/>
              <w:left w:val="nil"/>
              <w:bottom w:val="nil"/>
              <w:right w:val="nil"/>
              <w:tl2br w:val="nil"/>
              <w:tr2bl w:val="nil"/>
            </w:tcBorders>
            <w:vAlign w:val="center"/>
          </w:tcPr>
          <w:p w14:paraId="51036F8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334.8</w:t>
            </w:r>
          </w:p>
        </w:tc>
        <w:tc>
          <w:tcPr>
            <w:tcW w:w="691" w:type="pct"/>
            <w:tcBorders>
              <w:top w:val="nil"/>
              <w:left w:val="nil"/>
              <w:bottom w:val="nil"/>
              <w:right w:val="nil"/>
              <w:tl2br w:val="nil"/>
              <w:tr2bl w:val="nil"/>
            </w:tcBorders>
            <w:vAlign w:val="center"/>
          </w:tcPr>
          <w:p w14:paraId="0BDB5C27"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4.7</w:t>
            </w:r>
          </w:p>
        </w:tc>
        <w:tc>
          <w:tcPr>
            <w:tcW w:w="601" w:type="pct"/>
            <w:tcBorders>
              <w:top w:val="nil"/>
              <w:left w:val="nil"/>
              <w:bottom w:val="nil"/>
              <w:right w:val="nil"/>
              <w:tl2br w:val="nil"/>
              <w:tr2bl w:val="nil"/>
            </w:tcBorders>
            <w:vAlign w:val="center"/>
          </w:tcPr>
          <w:p w14:paraId="796AF52B"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2,662</w:t>
            </w:r>
          </w:p>
        </w:tc>
      </w:tr>
      <w:tr w:rsidR="00A268A6" w14:paraId="75BBDC04" w14:textId="77777777" w:rsidTr="00A268A6">
        <w:trPr>
          <w:trHeight w:val="312"/>
          <w:jc w:val="right"/>
        </w:trPr>
        <w:tc>
          <w:tcPr>
            <w:tcW w:w="1385" w:type="pct"/>
            <w:tcBorders>
              <w:top w:val="nil"/>
              <w:left w:val="nil"/>
              <w:bottom w:val="nil"/>
              <w:right w:val="nil"/>
              <w:tl2br w:val="nil"/>
              <w:tr2bl w:val="nil"/>
            </w:tcBorders>
            <w:vAlign w:val="center"/>
          </w:tcPr>
          <w:p w14:paraId="69AD281B"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ind_stru2</w:t>
            </w:r>
          </w:p>
        </w:tc>
        <w:tc>
          <w:tcPr>
            <w:tcW w:w="732" w:type="pct"/>
            <w:tcBorders>
              <w:top w:val="nil"/>
              <w:left w:val="nil"/>
              <w:bottom w:val="nil"/>
              <w:right w:val="nil"/>
              <w:tl2br w:val="nil"/>
              <w:tr2bl w:val="nil"/>
            </w:tcBorders>
            <w:vAlign w:val="center"/>
          </w:tcPr>
          <w:p w14:paraId="32E88301"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3,356</w:t>
            </w:r>
          </w:p>
        </w:tc>
        <w:tc>
          <w:tcPr>
            <w:tcW w:w="720" w:type="pct"/>
            <w:tcBorders>
              <w:top w:val="nil"/>
              <w:left w:val="nil"/>
              <w:bottom w:val="nil"/>
              <w:right w:val="nil"/>
              <w:tl2br w:val="nil"/>
              <w:tr2bl w:val="nil"/>
            </w:tcBorders>
            <w:vAlign w:val="center"/>
          </w:tcPr>
          <w:p w14:paraId="1CF6861F"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48.87</w:t>
            </w:r>
          </w:p>
        </w:tc>
        <w:tc>
          <w:tcPr>
            <w:tcW w:w="871" w:type="pct"/>
            <w:tcBorders>
              <w:top w:val="nil"/>
              <w:left w:val="nil"/>
              <w:bottom w:val="nil"/>
              <w:right w:val="nil"/>
              <w:tl2br w:val="nil"/>
              <w:tr2bl w:val="nil"/>
            </w:tcBorders>
            <w:vAlign w:val="center"/>
          </w:tcPr>
          <w:p w14:paraId="3884150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10.91</w:t>
            </w:r>
          </w:p>
        </w:tc>
        <w:tc>
          <w:tcPr>
            <w:tcW w:w="691" w:type="pct"/>
            <w:tcBorders>
              <w:top w:val="nil"/>
              <w:left w:val="nil"/>
              <w:bottom w:val="nil"/>
              <w:right w:val="nil"/>
              <w:tl2br w:val="nil"/>
              <w:tr2bl w:val="nil"/>
            </w:tcBorders>
            <w:vAlign w:val="center"/>
          </w:tcPr>
          <w:p w14:paraId="3E2859A2"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14.95</w:t>
            </w:r>
          </w:p>
        </w:tc>
        <w:tc>
          <w:tcPr>
            <w:tcW w:w="601" w:type="pct"/>
            <w:tcBorders>
              <w:top w:val="nil"/>
              <w:left w:val="nil"/>
              <w:bottom w:val="nil"/>
              <w:right w:val="nil"/>
              <w:tl2br w:val="nil"/>
              <w:tr2bl w:val="nil"/>
            </w:tcBorders>
            <w:vAlign w:val="center"/>
          </w:tcPr>
          <w:p w14:paraId="2D036163"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90.97</w:t>
            </w:r>
          </w:p>
        </w:tc>
      </w:tr>
      <w:tr w:rsidR="00A268A6" w14:paraId="48836358" w14:textId="77777777" w:rsidTr="00A268A6">
        <w:trPr>
          <w:trHeight w:val="312"/>
          <w:jc w:val="right"/>
        </w:trPr>
        <w:tc>
          <w:tcPr>
            <w:tcW w:w="1385" w:type="pct"/>
            <w:tcBorders>
              <w:top w:val="nil"/>
              <w:left w:val="nil"/>
              <w:bottom w:val="nil"/>
              <w:right w:val="nil"/>
              <w:tl2br w:val="nil"/>
              <w:tr2bl w:val="nil"/>
            </w:tcBorders>
            <w:vAlign w:val="center"/>
          </w:tcPr>
          <w:p w14:paraId="42F4897A"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732" w:type="pct"/>
            <w:tcBorders>
              <w:top w:val="nil"/>
              <w:left w:val="nil"/>
              <w:bottom w:val="nil"/>
              <w:right w:val="nil"/>
              <w:tl2br w:val="nil"/>
              <w:tr2bl w:val="nil"/>
            </w:tcBorders>
            <w:vAlign w:val="center"/>
          </w:tcPr>
          <w:p w14:paraId="3A4AE942"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3,603</w:t>
            </w:r>
          </w:p>
        </w:tc>
        <w:tc>
          <w:tcPr>
            <w:tcW w:w="720" w:type="pct"/>
            <w:tcBorders>
              <w:top w:val="nil"/>
              <w:left w:val="nil"/>
              <w:bottom w:val="nil"/>
              <w:right w:val="nil"/>
              <w:tl2br w:val="nil"/>
              <w:tr2bl w:val="nil"/>
            </w:tcBorders>
            <w:vAlign w:val="center"/>
          </w:tcPr>
          <w:p w14:paraId="66E35DF1"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10.48</w:t>
            </w:r>
          </w:p>
        </w:tc>
        <w:tc>
          <w:tcPr>
            <w:tcW w:w="871" w:type="pct"/>
            <w:tcBorders>
              <w:top w:val="nil"/>
              <w:left w:val="nil"/>
              <w:bottom w:val="nil"/>
              <w:right w:val="nil"/>
              <w:tl2br w:val="nil"/>
              <w:tr2bl w:val="nil"/>
            </w:tcBorders>
            <w:vAlign w:val="center"/>
          </w:tcPr>
          <w:p w14:paraId="3B97E601"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0.522</w:t>
            </w:r>
          </w:p>
        </w:tc>
        <w:tc>
          <w:tcPr>
            <w:tcW w:w="691" w:type="pct"/>
            <w:tcBorders>
              <w:top w:val="nil"/>
              <w:left w:val="nil"/>
              <w:bottom w:val="nil"/>
              <w:right w:val="nil"/>
              <w:tl2br w:val="nil"/>
              <w:tr2bl w:val="nil"/>
            </w:tcBorders>
            <w:vAlign w:val="center"/>
          </w:tcPr>
          <w:p w14:paraId="4D5F8D14"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8.509</w:t>
            </w:r>
          </w:p>
        </w:tc>
        <w:tc>
          <w:tcPr>
            <w:tcW w:w="601" w:type="pct"/>
            <w:tcBorders>
              <w:top w:val="nil"/>
              <w:left w:val="nil"/>
              <w:bottom w:val="nil"/>
              <w:right w:val="nil"/>
              <w:tl2br w:val="nil"/>
              <w:tr2bl w:val="nil"/>
            </w:tcBorders>
            <w:vAlign w:val="center"/>
          </w:tcPr>
          <w:p w14:paraId="65B41480"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11.92</w:t>
            </w:r>
          </w:p>
        </w:tc>
      </w:tr>
      <w:tr w:rsidR="00A268A6" w14:paraId="6F9388CE" w14:textId="77777777" w:rsidTr="00A268A6">
        <w:trPr>
          <w:trHeight w:val="312"/>
          <w:jc w:val="right"/>
        </w:trPr>
        <w:tc>
          <w:tcPr>
            <w:tcW w:w="1385" w:type="pct"/>
            <w:tcBorders>
              <w:top w:val="nil"/>
              <w:left w:val="nil"/>
              <w:bottom w:val="single" w:sz="4" w:space="0" w:color="auto"/>
              <w:right w:val="nil"/>
              <w:tl2br w:val="nil"/>
              <w:tr2bl w:val="nil"/>
            </w:tcBorders>
            <w:vAlign w:val="center"/>
          </w:tcPr>
          <w:p w14:paraId="7386EF92" w14:textId="77777777" w:rsidR="00A268A6" w:rsidRDefault="00A268A6"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732" w:type="pct"/>
            <w:tcBorders>
              <w:top w:val="nil"/>
              <w:left w:val="nil"/>
              <w:bottom w:val="single" w:sz="4" w:space="0" w:color="auto"/>
              <w:right w:val="nil"/>
              <w:tl2br w:val="nil"/>
              <w:tr2bl w:val="nil"/>
            </w:tcBorders>
            <w:vAlign w:val="center"/>
          </w:tcPr>
          <w:p w14:paraId="1AA1B49E"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3,605</w:t>
            </w:r>
          </w:p>
        </w:tc>
        <w:tc>
          <w:tcPr>
            <w:tcW w:w="720" w:type="pct"/>
            <w:tcBorders>
              <w:top w:val="nil"/>
              <w:left w:val="nil"/>
              <w:bottom w:val="single" w:sz="4" w:space="0" w:color="auto"/>
              <w:right w:val="nil"/>
              <w:tl2br w:val="nil"/>
              <w:tr2bl w:val="nil"/>
            </w:tcBorders>
            <w:vAlign w:val="center"/>
          </w:tcPr>
          <w:p w14:paraId="489ADF8C"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3.607</w:t>
            </w:r>
          </w:p>
        </w:tc>
        <w:tc>
          <w:tcPr>
            <w:tcW w:w="871" w:type="pct"/>
            <w:tcBorders>
              <w:top w:val="nil"/>
              <w:left w:val="nil"/>
              <w:bottom w:val="single" w:sz="4" w:space="0" w:color="auto"/>
              <w:right w:val="nil"/>
              <w:tl2br w:val="nil"/>
              <w:tr2bl w:val="nil"/>
            </w:tcBorders>
            <w:vAlign w:val="center"/>
          </w:tcPr>
          <w:p w14:paraId="787EE901"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1.179</w:t>
            </w:r>
          </w:p>
        </w:tc>
        <w:tc>
          <w:tcPr>
            <w:tcW w:w="691" w:type="pct"/>
            <w:tcBorders>
              <w:top w:val="nil"/>
              <w:left w:val="nil"/>
              <w:bottom w:val="single" w:sz="4" w:space="0" w:color="auto"/>
              <w:right w:val="nil"/>
              <w:tl2br w:val="nil"/>
              <w:tr2bl w:val="nil"/>
            </w:tcBorders>
            <w:vAlign w:val="center"/>
          </w:tcPr>
          <w:p w14:paraId="37BDC1D3"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-3.744</w:t>
            </w:r>
          </w:p>
        </w:tc>
        <w:tc>
          <w:tcPr>
            <w:tcW w:w="601" w:type="pct"/>
            <w:tcBorders>
              <w:top w:val="nil"/>
              <w:left w:val="nil"/>
              <w:bottom w:val="single" w:sz="4" w:space="0" w:color="auto"/>
              <w:right w:val="nil"/>
              <w:tl2br w:val="nil"/>
              <w:tr2bl w:val="nil"/>
            </w:tcBorders>
            <w:vAlign w:val="center"/>
          </w:tcPr>
          <w:p w14:paraId="05C19C3D" w14:textId="77777777" w:rsidR="00A268A6" w:rsidRDefault="00A268A6"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8.551</w:t>
            </w:r>
          </w:p>
        </w:tc>
      </w:tr>
    </w:tbl>
    <w:p w14:paraId="1C4D46D8" w14:textId="77777777" w:rsidR="00A65A65" w:rsidRDefault="00A65A65" w:rsidP="00A30258">
      <w:pPr>
        <w:rPr>
          <w:rFonts w:ascii="Times New Roman" w:eastAsia="SimSun" w:hAnsi="Times New Roman"/>
          <w:sz w:val="24"/>
        </w:rPr>
      </w:pPr>
    </w:p>
    <w:p w14:paraId="034F3146" w14:textId="4F6DDA6F" w:rsidR="00AF2573" w:rsidRDefault="00AF2573" w:rsidP="00E50173">
      <w:pPr>
        <w:spacing w:line="360" w:lineRule="auto"/>
        <w:ind w:firstLineChars="200" w:firstLine="480"/>
        <w:rPr>
          <w:rFonts w:ascii="Times New Roman" w:eastAsia="SimSun" w:hAnsi="Times New Roman"/>
          <w:sz w:val="24"/>
        </w:rPr>
      </w:pPr>
      <w:r w:rsidRPr="00AF2573">
        <w:rPr>
          <w:rFonts w:ascii="Times New Roman" w:eastAsia="SimSun" w:hAnsi="Times New Roman"/>
          <w:sz w:val="24"/>
        </w:rPr>
        <w:t xml:space="preserve">Besides, for </w:t>
      </w:r>
      <w:r>
        <w:rPr>
          <w:rFonts w:ascii="Times New Roman" w:eastAsia="SimSun" w:hAnsi="Times New Roman" w:hint="eastAsia"/>
          <w:sz w:val="24"/>
        </w:rPr>
        <w:t>the</w:t>
      </w:r>
      <w:r w:rsidRPr="00AF2573">
        <w:rPr>
          <w:rFonts w:ascii="Times New Roman" w:eastAsia="SimSun" w:hAnsi="Times New Roman"/>
          <w:sz w:val="24"/>
        </w:rPr>
        <w:t xml:space="preserve"> integrity</w:t>
      </w:r>
      <w:r>
        <w:rPr>
          <w:rFonts w:ascii="Times New Roman" w:eastAsia="SimSun" w:hAnsi="Times New Roman" w:hint="eastAsia"/>
          <w:sz w:val="24"/>
        </w:rPr>
        <w:t xml:space="preserve"> of the data,</w:t>
      </w:r>
      <w:r w:rsidRPr="00AF2573">
        <w:rPr>
          <w:rFonts w:ascii="Times New Roman" w:eastAsia="SimSun" w:hAnsi="Times New Roman"/>
          <w:sz w:val="24"/>
        </w:rPr>
        <w:t xml:space="preserve"> missing city-level values were preserved as nulls in panel construction to maintain sample breadth, yielding variable observation counts across metrics without substantive outcome implications.</w:t>
      </w:r>
    </w:p>
    <w:p w14:paraId="310AAB2B" w14:textId="73E3C025" w:rsidR="0051357E" w:rsidRPr="0051357E" w:rsidRDefault="0051357E" w:rsidP="00AF2573">
      <w:pPr>
        <w:ind w:firstLineChars="200" w:firstLine="482"/>
        <w:rPr>
          <w:rFonts w:ascii="Times New Roman" w:eastAsia="SimSun" w:hAnsi="Times New Roman"/>
          <w:b/>
          <w:bCs/>
          <w:sz w:val="24"/>
        </w:rPr>
      </w:pPr>
      <w:r w:rsidRPr="0051357E">
        <w:rPr>
          <w:rFonts w:ascii="Times New Roman" w:eastAsia="SimSun" w:hAnsi="Times New Roman" w:hint="eastAsia"/>
          <w:b/>
          <w:bCs/>
          <w:sz w:val="24"/>
        </w:rPr>
        <w:t>3.3. Model</w:t>
      </w:r>
    </w:p>
    <w:p w14:paraId="177D44FF" w14:textId="0022393D" w:rsidR="00111199" w:rsidRDefault="00413BC8" w:rsidP="00E50173">
      <w:pPr>
        <w:spacing w:line="360" w:lineRule="auto"/>
        <w:ind w:firstLineChars="200" w:firstLine="480"/>
        <w:rPr>
          <w:rFonts w:ascii="Times New Roman" w:eastAsia="SimSun" w:hAnsi="Times New Roman"/>
          <w:sz w:val="24"/>
        </w:rPr>
      </w:pPr>
      <w:r w:rsidRPr="00413BC8">
        <w:rPr>
          <w:rFonts w:ascii="Times New Roman" w:eastAsia="SimSun" w:hAnsi="Times New Roman"/>
          <w:sz w:val="24"/>
        </w:rPr>
        <w:t xml:space="preserve">This study examines whether </w:t>
      </w:r>
      <w:r w:rsidR="00F505CB">
        <w:rPr>
          <w:rFonts w:ascii="Times New Roman" w:eastAsia="SimSun" w:hAnsi="Times New Roman" w:hint="eastAsia"/>
          <w:sz w:val="24"/>
        </w:rPr>
        <w:t xml:space="preserve">LCCP </w:t>
      </w:r>
      <w:r w:rsidRPr="00413BC8">
        <w:rPr>
          <w:rFonts w:ascii="Times New Roman" w:eastAsia="SimSun" w:hAnsi="Times New Roman"/>
          <w:sz w:val="24"/>
        </w:rPr>
        <w:t>stimulate regional green innovation, identifying the underlying mechanisms. Adopting established policy evaluation methods [30</w:t>
      </w:r>
      <w:r w:rsidR="00AE1301">
        <w:rPr>
          <w:rFonts w:ascii="Times New Roman" w:eastAsia="SimSun" w:hAnsi="Times New Roman" w:hint="eastAsia"/>
          <w:sz w:val="24"/>
        </w:rPr>
        <w:t>]</w:t>
      </w:r>
      <w:r w:rsidRPr="00413BC8">
        <w:rPr>
          <w:rFonts w:ascii="Times New Roman" w:eastAsia="SimSun" w:hAnsi="Times New Roman"/>
          <w:sz w:val="24"/>
        </w:rPr>
        <w:t>,</w:t>
      </w:r>
      <w:r w:rsidR="00AE1301">
        <w:rPr>
          <w:rFonts w:ascii="Times New Roman" w:eastAsia="SimSun" w:hAnsi="Times New Roman" w:hint="eastAsia"/>
          <w:sz w:val="24"/>
        </w:rPr>
        <w:t>[</w:t>
      </w:r>
      <w:r w:rsidRPr="00413BC8">
        <w:rPr>
          <w:rFonts w:ascii="Times New Roman" w:eastAsia="SimSun" w:hAnsi="Times New Roman"/>
          <w:sz w:val="24"/>
        </w:rPr>
        <w:t>31], we implement a multi-period DID framework to establish causality. This approach compares treatment groups (pilot cities) against control groups (non-pilot cities), isolating policy effects through double differencing. The design mitigates endogeneity concerns by accounting for temporal confounders and unobserved heterogeneity. Our model formalizes this analysis as follows:</w:t>
      </w:r>
    </w:p>
    <w:p w14:paraId="142AAA07" w14:textId="731A3B63" w:rsidR="00F15151" w:rsidRDefault="003C5A60" w:rsidP="00F15151">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m:t>
            </m:r>
            <m:r>
              <w:rPr>
                <w:rFonts w:ascii="Cambria Math" w:eastAsia="Times New Roman" w:hAnsi="Cambria Math" w:hint="eastAsia"/>
                <w:snapToGrid w:val="0"/>
                <w:color w:val="000000" w:themeColor="text1"/>
                <w:lang w:eastAsia="de-DE" w:bidi="en-US"/>
              </w:rPr>
              <m:t>e</m:t>
            </m:r>
            <m:r>
              <w:rPr>
                <w:rFonts w:ascii="Cambria Math" w:eastAsia="Times New Roman" w:hAnsi="Cambria Math" w:hint="eastAsia"/>
                <w:snapToGrid w:val="0"/>
                <w:color w:val="000000" w:themeColor="text1"/>
                <w:lang w:eastAsia="de-DE" w:bidi="en-US"/>
              </w:rPr>
              <m:t>n</m:t>
            </m:r>
            <m:r>
              <w:rPr>
                <w:rFonts w:ascii="Cambria Math" w:eastAsia="Times New Roman" w:hAnsi="Cambria Math"/>
                <w:snapToGrid w:val="0"/>
                <w:color w:val="000000" w:themeColor="text1"/>
                <w:lang w:eastAsia="de-DE" w:bidi="en-US"/>
              </w:rPr>
              <m:t>_</m:t>
            </m:r>
            <m:r>
              <w:rPr>
                <w:rFonts w:ascii="Cambria Math" w:eastAsia="Times New Roman" w:hAnsi="Cambria Math"/>
                <w:snapToGrid w:val="0"/>
                <w:color w:val="000000" w:themeColor="text1"/>
                <w:lang w:eastAsia="de-DE" w:bidi="en-US"/>
              </w:rPr>
              <m:t>innovation</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w:bookmarkStart w:id="0" w:name="_Hlk196748138"/>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w:bookmarkEnd w:id="0"/>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r>
          <w:rPr>
            <w:rFonts w:ascii="Cambria Math" w:eastAsia="Times New Roman" w:hAnsi="Cambria Math"/>
            <w:snapToGrid w:val="0"/>
            <w:color w:val="000000" w:themeColor="text1"/>
            <w:lang w:eastAsia="de-DE" w:bidi="en-US"/>
          </w:rPr>
          <m:t>ρ</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X</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F15151">
        <w:rPr>
          <w:rFonts w:ascii="Times New Roman" w:hAnsi="Times New Roman"/>
          <w:i/>
          <w:iCs/>
          <w:sz w:val="32"/>
          <w:szCs w:val="32"/>
          <w:vertAlign w:val="subscript"/>
        </w:rPr>
        <w:t xml:space="preserve">              </w:t>
      </w:r>
      <w:r w:rsidR="00F15151">
        <w:rPr>
          <w:rFonts w:cs="SimSun" w:hint="eastAsia"/>
          <w:snapToGrid w:val="0"/>
          <w:lang w:bidi="en-US"/>
        </w:rPr>
        <w:t>(1)</w:t>
      </w:r>
    </w:p>
    <w:p w14:paraId="7273B7F6" w14:textId="6BD7443F" w:rsidR="00EE432C" w:rsidRDefault="003C5A60" w:rsidP="00E50173">
      <w:pPr>
        <w:spacing w:line="360" w:lineRule="auto"/>
        <w:ind w:firstLineChars="200" w:firstLine="420"/>
        <w:rPr>
          <w:rFonts w:ascii="Times New Roman" w:eastAsia="SimSun" w:hAnsi="Times New Roman"/>
          <w:color w:val="000000" w:themeColor="text1"/>
          <w:sz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m:t>
            </m:r>
            <m:r>
              <w:rPr>
                <w:rFonts w:ascii="Cambria Math" w:eastAsia="Times New Roman" w:hAnsi="Cambria Math"/>
                <w:snapToGrid w:val="0"/>
                <w:color w:val="000000" w:themeColor="text1"/>
                <w:lang w:eastAsia="de-DE" w:bidi="en-US"/>
              </w:rPr>
              <m:t>innovation</m:t>
            </m:r>
          </m:e>
          <m:sub>
            <m:r>
              <w:rPr>
                <w:rFonts w:ascii="Cambria Math" w:eastAsia="Times New Roman" w:hAnsi="Cambria Math"/>
                <w:snapToGrid w:val="0"/>
                <w:color w:val="000000" w:themeColor="text1"/>
                <w:lang w:eastAsia="de-DE" w:bidi="en-US"/>
              </w:rPr>
              <m:t>it</m:t>
            </m:r>
          </m:sub>
        </m:sSub>
      </m:oMath>
      <w:r w:rsidR="00EE432C" w:rsidRPr="00BC286B">
        <w:rPr>
          <w:rFonts w:ascii="Times New Roman" w:eastAsia="SimSun" w:hAnsi="Times New Roman" w:hint="eastAsia"/>
          <w:color w:val="000000" w:themeColor="text1"/>
          <w:sz w:val="24"/>
        </w:rPr>
        <w:t xml:space="preserve"> </w:t>
      </w:r>
      <w:r w:rsidR="00EE432C" w:rsidRPr="00EE432C">
        <w:rPr>
          <w:rFonts w:ascii="Times New Roman" w:eastAsia="SimSun" w:hAnsi="Times New Roman"/>
          <w:color w:val="000000" w:themeColor="text1"/>
          <w:sz w:val="24"/>
        </w:rPr>
        <w:t xml:space="preserve">measures annual green patent applications per 10,000 residents in city </w:t>
      </w:r>
      <w:proofErr w:type="spellStart"/>
      <w:r w:rsidR="00EE432C" w:rsidRPr="00EE432C">
        <w:rPr>
          <w:rFonts w:ascii="Times New Roman" w:eastAsia="SimSun" w:hAnsi="Times New Roman"/>
          <w:color w:val="000000" w:themeColor="text1"/>
          <w:sz w:val="24"/>
        </w:rPr>
        <w:t>i</w:t>
      </w:r>
      <w:proofErr w:type="spellEnd"/>
      <w:r w:rsidR="00EE432C" w:rsidRPr="00EE432C">
        <w:rPr>
          <w:rFonts w:ascii="Times New Roman" w:eastAsia="SimSun" w:hAnsi="Times New Roman"/>
          <w:color w:val="000000" w:themeColor="text1"/>
          <w:sz w:val="24"/>
        </w:rPr>
        <w:t xml:space="preserve"> and year</w:t>
      </w:r>
      <w:r w:rsidR="00EE432C">
        <w:rPr>
          <w:rFonts w:ascii="Times New Roman" w:eastAsia="SimSun" w:hAnsi="Times New Roman" w:hint="eastAsia"/>
          <w:color w:val="000000" w:themeColor="text1"/>
          <w:sz w:val="24"/>
        </w:rPr>
        <w:t xml:space="preserve"> </w:t>
      </w:r>
      <w:r w:rsidR="00EE432C" w:rsidRPr="00EE432C">
        <w:rPr>
          <w:rFonts w:ascii="Times New Roman" w:eastAsia="SimSun" w:hAnsi="Times New Roman"/>
          <w:color w:val="000000" w:themeColor="text1"/>
          <w:sz w:val="24"/>
        </w:rPr>
        <w:t xml:space="preserve">t.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oMath>
      <w:r w:rsidR="00EE432C" w:rsidRPr="00EE432C">
        <w:rPr>
          <w:rFonts w:ascii="Times New Roman" w:eastAsia="SimSun" w:hAnsi="Times New Roman"/>
          <w:color w:val="000000" w:themeColor="text1"/>
          <w:sz w:val="24"/>
        </w:rPr>
        <w:t xml:space="preserve"> is a policy dummy variable equaling 1 for cities designated as low-carbon pilots between 2007-2017, and 0 otherwise.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oMath>
      <w:r w:rsidR="00EE432C" w:rsidRPr="00EE432C">
        <w:rPr>
          <w:rFonts w:ascii="Times New Roman" w:eastAsia="SimSun" w:hAnsi="Times New Roman"/>
          <w:color w:val="000000" w:themeColor="text1"/>
          <w:sz w:val="24"/>
        </w:rPr>
        <w:t xml:space="preserve"> indicates implementation timing, taking 1 for post-policy years and 0 for pre-policy years. </w:t>
      </w:r>
      <w:r w:rsidR="00EE432C" w:rsidRPr="00EE432C">
        <w:rPr>
          <w:rFonts w:ascii="Times New Roman" w:eastAsia="SimSun" w:hAnsi="Times New Roman"/>
          <w:color w:val="000000" w:themeColor="text1"/>
          <w:sz w:val="24"/>
        </w:rPr>
        <w:lastRenderedPageBreak/>
        <w:t xml:space="preserve">Control variables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X</m:t>
            </m:r>
          </m:e>
          <m:sub>
            <m:r>
              <w:rPr>
                <w:rFonts w:ascii="Cambria Math" w:eastAsia="Times New Roman" w:hAnsi="Cambria Math"/>
                <w:snapToGrid w:val="0"/>
                <w:color w:val="000000" w:themeColor="text1"/>
                <w:lang w:eastAsia="de-DE" w:bidi="en-US"/>
              </w:rPr>
              <m:t>it</m:t>
            </m:r>
          </m:sub>
        </m:sSub>
      </m:oMath>
      <w:r w:rsidR="00EE432C" w:rsidRPr="00EE432C">
        <w:rPr>
          <w:rFonts w:ascii="Times New Roman" w:eastAsia="SimSun" w:hAnsi="Times New Roman"/>
          <w:color w:val="000000" w:themeColor="text1"/>
          <w:sz w:val="24"/>
        </w:rPr>
        <w:t xml:space="preserve"> capture economic differences across prefecture-level cities, including: log GDP per capita (lnpgdp), population density (popuden), secondary industry share (ind_stru2), log wage per capita (lnpwage), and log internet connections (lninternet). The model includes constant term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oMath>
      <w:r w:rsidR="00EE432C" w:rsidRPr="00EE432C">
        <w:rPr>
          <w:rFonts w:ascii="Times New Roman" w:eastAsia="SimSun" w:hAnsi="Times New Roman"/>
          <w:color w:val="000000" w:themeColor="text1"/>
          <w:sz w:val="24"/>
        </w:rPr>
        <w:t>, city fixed effects</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oMath>
      <w:r w:rsidR="00EE432C" w:rsidRPr="00EE432C">
        <w:rPr>
          <w:rFonts w:ascii="Times New Roman" w:eastAsia="SimSun" w:hAnsi="Times New Roman"/>
          <w:color w:val="000000" w:themeColor="text1"/>
          <w:sz w:val="24"/>
        </w:rPr>
        <w:t>, time fixed effects</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oMath>
      <w:r w:rsidR="00EE432C" w:rsidRPr="00EE432C">
        <w:rPr>
          <w:rFonts w:ascii="Times New Roman" w:eastAsia="SimSun" w:hAnsi="Times New Roman"/>
          <w:color w:val="000000" w:themeColor="text1"/>
          <w:sz w:val="24"/>
        </w:rPr>
        <w:t xml:space="preserve">, and stochastic error term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EE432C" w:rsidRPr="00EE432C">
        <w:rPr>
          <w:rFonts w:ascii="Times New Roman" w:eastAsia="SimSun" w:hAnsi="Times New Roman"/>
          <w:color w:val="000000" w:themeColor="text1"/>
          <w:sz w:val="24"/>
        </w:rPr>
        <w:t>.</w:t>
      </w:r>
    </w:p>
    <w:p w14:paraId="1A7E6B64" w14:textId="56D737C6" w:rsidR="00EE432C" w:rsidRPr="00EE432C" w:rsidRDefault="00EE432C" w:rsidP="00E50173">
      <w:pPr>
        <w:spacing w:line="360" w:lineRule="auto"/>
        <w:ind w:firstLineChars="200" w:firstLine="480"/>
        <w:rPr>
          <w:rFonts w:ascii="Times New Roman" w:eastAsia="SimSun" w:hAnsi="Times New Roman"/>
          <w:color w:val="000000" w:themeColor="text1"/>
          <w:sz w:val="24"/>
        </w:rPr>
      </w:pPr>
      <w:r w:rsidRPr="00EE432C">
        <w:rPr>
          <w:rFonts w:ascii="Times New Roman" w:eastAsia="SimSun" w:hAnsi="Times New Roman"/>
          <w:color w:val="000000" w:themeColor="text1"/>
          <w:sz w:val="24"/>
        </w:rPr>
        <w:t xml:space="preserve">In the baseline regression, the coefficient α₁ serves as the primary analytical focus. This term is subsequently abbreviated as </w:t>
      </w:r>
      <w:proofErr w:type="spellStart"/>
      <w:r w:rsidRPr="00EE432C">
        <w:rPr>
          <w:rFonts w:ascii="Times New Roman" w:eastAsia="SimSun" w:hAnsi="Times New Roman"/>
          <w:i/>
          <w:iCs/>
          <w:color w:val="000000" w:themeColor="text1"/>
          <w:sz w:val="24"/>
        </w:rPr>
        <w:t>lcpolicy</w:t>
      </w:r>
      <w:proofErr w:type="spellEnd"/>
      <w:r w:rsidRPr="00EE432C">
        <w:rPr>
          <w:rFonts w:ascii="Times New Roman" w:eastAsia="SimSun" w:hAnsi="Times New Roman"/>
          <w:i/>
          <w:iCs/>
          <w:color w:val="000000" w:themeColor="text1"/>
          <w:sz w:val="24"/>
        </w:rPr>
        <w:t xml:space="preserve"> </w:t>
      </w:r>
      <w:r w:rsidRPr="00EE432C">
        <w:rPr>
          <w:rFonts w:ascii="Times New Roman" w:eastAsia="SimSun" w:hAnsi="Times New Roman"/>
          <w:color w:val="000000" w:themeColor="text1"/>
          <w:sz w:val="24"/>
        </w:rPr>
        <w:t>in later sections, representing the policy's net effect. A statistically significant positive</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EE432C">
        <w:rPr>
          <w:rFonts w:ascii="Times New Roman" w:eastAsia="SimSun" w:hAnsi="Times New Roman"/>
          <w:color w:val="000000" w:themeColor="text1"/>
          <w:sz w:val="24"/>
        </w:rPr>
        <w:t>indicates the policy enhances regional green innovation, while a negative</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EE432C">
        <w:rPr>
          <w:rFonts w:ascii="Times New Roman" w:eastAsia="SimSun" w:hAnsi="Times New Roman"/>
          <w:color w:val="000000" w:themeColor="text1"/>
          <w:sz w:val="24"/>
        </w:rPr>
        <w:t>suggests it hinders green innovation.</w:t>
      </w:r>
    </w:p>
    <w:p w14:paraId="78DF5E07" w14:textId="1DC370EB" w:rsidR="00A262EE" w:rsidRDefault="00A262EE" w:rsidP="00A262EE">
      <w:pPr>
        <w:rPr>
          <w:rFonts w:ascii="Times New Roman" w:eastAsia="SimSun" w:hAnsi="Times New Roman"/>
          <w:b/>
          <w:bCs/>
          <w:color w:val="000000" w:themeColor="text1"/>
          <w:sz w:val="24"/>
        </w:rPr>
      </w:pPr>
      <w:r w:rsidRPr="00A262EE">
        <w:rPr>
          <w:rFonts w:ascii="Times New Roman" w:eastAsia="SimSun" w:hAnsi="Times New Roman" w:hint="eastAsia"/>
          <w:b/>
          <w:bCs/>
          <w:color w:val="000000" w:themeColor="text1"/>
          <w:sz w:val="24"/>
        </w:rPr>
        <w:t xml:space="preserve">4. Empirical </w:t>
      </w:r>
      <w:r w:rsidR="00971F4C">
        <w:rPr>
          <w:rFonts w:ascii="Times New Roman" w:eastAsia="SimSun" w:hAnsi="Times New Roman" w:hint="eastAsia"/>
          <w:b/>
          <w:bCs/>
          <w:color w:val="000000" w:themeColor="text1"/>
          <w:sz w:val="24"/>
        </w:rPr>
        <w:t>r</w:t>
      </w:r>
      <w:r w:rsidRPr="00A262EE">
        <w:rPr>
          <w:rFonts w:ascii="Times New Roman" w:eastAsia="SimSun" w:hAnsi="Times New Roman" w:hint="eastAsia"/>
          <w:b/>
          <w:bCs/>
          <w:color w:val="000000" w:themeColor="text1"/>
          <w:sz w:val="24"/>
        </w:rPr>
        <w:t xml:space="preserve">esults and </w:t>
      </w:r>
      <w:r w:rsidR="00971F4C">
        <w:rPr>
          <w:rFonts w:ascii="Times New Roman" w:eastAsia="SimSun" w:hAnsi="Times New Roman" w:hint="eastAsia"/>
          <w:b/>
          <w:bCs/>
          <w:color w:val="000000" w:themeColor="text1"/>
          <w:sz w:val="24"/>
        </w:rPr>
        <w:t>a</w:t>
      </w:r>
      <w:r w:rsidRPr="00A262EE">
        <w:rPr>
          <w:rFonts w:ascii="Times New Roman" w:eastAsia="SimSun" w:hAnsi="Times New Roman" w:hint="eastAsia"/>
          <w:b/>
          <w:bCs/>
          <w:color w:val="000000" w:themeColor="text1"/>
          <w:sz w:val="24"/>
        </w:rPr>
        <w:t>nalysis</w:t>
      </w:r>
    </w:p>
    <w:p w14:paraId="0CF4C5A6" w14:textId="1ECC147C" w:rsidR="00A262EE" w:rsidRDefault="00A262EE" w:rsidP="00A262EE">
      <w:pPr>
        <w:rPr>
          <w:rFonts w:ascii="Times New Roman" w:eastAsia="SimSun" w:hAnsi="Times New Roman"/>
          <w:b/>
          <w:bCs/>
          <w:color w:val="000000" w:themeColor="text1"/>
          <w:sz w:val="24"/>
        </w:rPr>
      </w:pPr>
      <w:r w:rsidRPr="00A262EE">
        <w:rPr>
          <w:rFonts w:ascii="Times New Roman" w:eastAsia="SimSun" w:hAnsi="Times New Roman" w:hint="eastAsia"/>
          <w:b/>
          <w:bCs/>
          <w:color w:val="000000" w:themeColor="text1"/>
          <w:sz w:val="24"/>
        </w:rPr>
        <w:t>4.1. Baseline results</w:t>
      </w:r>
    </w:p>
    <w:p w14:paraId="0B0CEE8C" w14:textId="0EB9FCB6" w:rsidR="00C13225" w:rsidRDefault="00C13225" w:rsidP="00687427">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t xml:space="preserve">Following the established econometric framework, we evaluate the low-carbon city pilot policy's effect (denoted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on regional green innovation. Both specifications use city and year fixed effects. Baseline regression results appear in Table </w:t>
      </w:r>
      <w:r w:rsidR="00C1018F">
        <w:rPr>
          <w:rFonts w:ascii="Times New Roman" w:eastAsia="SimSun" w:hAnsi="Times New Roman" w:hint="eastAsia"/>
          <w:color w:val="000000" w:themeColor="text1"/>
          <w:sz w:val="24"/>
        </w:rPr>
        <w:t>2</w:t>
      </w:r>
      <w:r w:rsidRPr="00C13225">
        <w:rPr>
          <w:rFonts w:ascii="Times New Roman" w:eastAsia="SimSun" w:hAnsi="Times New Roman"/>
          <w:color w:val="000000" w:themeColor="text1"/>
          <w:sz w:val="24"/>
        </w:rPr>
        <w:t>.</w:t>
      </w:r>
    </w:p>
    <w:p w14:paraId="293703D5" w14:textId="3A3D7D32" w:rsidR="007E6F6D" w:rsidRDefault="007E6F6D" w:rsidP="007E6F6D">
      <w:pPr>
        <w:spacing w:line="360" w:lineRule="auto"/>
        <w:ind w:firstLineChars="900" w:firstLine="2160"/>
        <w:rPr>
          <w:rFonts w:ascii="Times New Roman" w:hAnsi="Times New Roman" w:cs="Times New Roman"/>
          <w:b/>
          <w:bCs/>
          <w:sz w:val="24"/>
          <w:szCs w:val="24"/>
        </w:rPr>
      </w:pPr>
      <w:r w:rsidRPr="007E6F6D">
        <w:rPr>
          <w:rFonts w:ascii="Times New Roman" w:hAnsi="Times New Roman" w:cs="Times New Roman" w:hint="eastAsia"/>
          <w:b/>
          <w:bCs/>
          <w:sz w:val="24"/>
          <w:szCs w:val="24"/>
        </w:rPr>
        <w:t xml:space="preserve">Table </w:t>
      </w:r>
      <w:r w:rsidR="00D2448A">
        <w:rPr>
          <w:rFonts w:ascii="Times New Roman" w:hAnsi="Times New Roman" w:cs="Times New Roman" w:hint="eastAsia"/>
          <w:b/>
          <w:bCs/>
          <w:sz w:val="24"/>
          <w:szCs w:val="24"/>
        </w:rPr>
        <w:t>2</w:t>
      </w:r>
      <w:r w:rsidRPr="007E6F6D">
        <w:rPr>
          <w:rFonts w:ascii="Times New Roman" w:hAnsi="Times New Roman" w:cs="Times New Roman" w:hint="eastAsia"/>
          <w:b/>
          <w:bCs/>
          <w:sz w:val="24"/>
          <w:szCs w:val="24"/>
        </w:rPr>
        <w:t xml:space="preserve">. Baseline </w:t>
      </w:r>
      <w:r w:rsidR="00971F4C">
        <w:rPr>
          <w:rFonts w:ascii="Times New Roman" w:hAnsi="Times New Roman" w:cs="Times New Roman" w:hint="eastAsia"/>
          <w:b/>
          <w:bCs/>
          <w:sz w:val="24"/>
          <w:szCs w:val="24"/>
        </w:rPr>
        <w:t>r</w:t>
      </w:r>
      <w:r w:rsidRPr="007E6F6D">
        <w:rPr>
          <w:rFonts w:ascii="Times New Roman" w:hAnsi="Times New Roman" w:cs="Times New Roman" w:hint="eastAsia"/>
          <w:b/>
          <w:bCs/>
          <w:sz w:val="24"/>
          <w:szCs w:val="24"/>
        </w:rPr>
        <w:t xml:space="preserve">egression </w:t>
      </w:r>
      <w:r w:rsidR="00971F4C">
        <w:rPr>
          <w:rFonts w:ascii="Times New Roman" w:hAnsi="Times New Roman" w:cs="Times New Roman" w:hint="eastAsia"/>
          <w:b/>
          <w:bCs/>
          <w:sz w:val="24"/>
          <w:szCs w:val="24"/>
        </w:rPr>
        <w:t>r</w:t>
      </w:r>
      <w:r w:rsidRPr="007E6F6D">
        <w:rPr>
          <w:rFonts w:ascii="Times New Roman" w:hAnsi="Times New Roman" w:cs="Times New Roman" w:hint="eastAsia"/>
          <w:b/>
          <w:bCs/>
          <w:sz w:val="24"/>
          <w:szCs w:val="24"/>
        </w:rPr>
        <w:t>esults</w:t>
      </w:r>
    </w:p>
    <w:tbl>
      <w:tblPr>
        <w:tblW w:w="5000" w:type="pct"/>
        <w:tblCellMar>
          <w:left w:w="75" w:type="dxa"/>
          <w:right w:w="75" w:type="dxa"/>
        </w:tblCellMar>
        <w:tblLook w:val="04A0" w:firstRow="1" w:lastRow="0" w:firstColumn="1" w:lastColumn="0" w:noHBand="0" w:noVBand="1"/>
      </w:tblPr>
      <w:tblGrid>
        <w:gridCol w:w="2641"/>
        <w:gridCol w:w="2995"/>
        <w:gridCol w:w="2670"/>
      </w:tblGrid>
      <w:tr w:rsidR="007E6F6D" w:rsidRPr="007E6F6D" w14:paraId="76044AB3" w14:textId="77777777" w:rsidTr="007E6F6D">
        <w:tc>
          <w:tcPr>
            <w:tcW w:w="1590" w:type="pct"/>
            <w:tcBorders>
              <w:top w:val="single" w:sz="4" w:space="0" w:color="auto"/>
              <w:left w:val="nil"/>
              <w:bottom w:val="single" w:sz="6" w:space="0" w:color="auto"/>
              <w:right w:val="nil"/>
            </w:tcBorders>
          </w:tcPr>
          <w:p w14:paraId="5DBE3FE4" w14:textId="77777777" w:rsidR="007E6F6D" w:rsidRPr="007E6F6D" w:rsidRDefault="007E6F6D" w:rsidP="00293BEF">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eastAsia="Times New Roman" w:hAnsi="Times New Roman" w:cs="Times New Roman"/>
                <w:b/>
                <w:bCs/>
                <w:snapToGrid w:val="0"/>
                <w:sz w:val="22"/>
                <w:lang w:eastAsia="de-DE" w:bidi="en-US"/>
              </w:rPr>
              <w:t>Variables</w:t>
            </w:r>
          </w:p>
        </w:tc>
        <w:tc>
          <w:tcPr>
            <w:tcW w:w="1803" w:type="pct"/>
            <w:tcBorders>
              <w:top w:val="single" w:sz="4" w:space="0" w:color="auto"/>
              <w:left w:val="nil"/>
              <w:bottom w:val="single" w:sz="6" w:space="0" w:color="auto"/>
              <w:right w:val="nil"/>
            </w:tcBorders>
          </w:tcPr>
          <w:p w14:paraId="66A5F18E" w14:textId="77777777" w:rsidR="007E6F6D" w:rsidRPr="007E6F6D" w:rsidRDefault="007E6F6D" w:rsidP="00293BEF">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hAnsi="Times New Roman" w:cs="Times New Roman"/>
                <w:b/>
                <w:bCs/>
                <w:snapToGrid w:val="0"/>
                <w:sz w:val="22"/>
                <w:lang w:bidi="en-US"/>
              </w:rPr>
              <w:t xml:space="preserve">(1) </w:t>
            </w:r>
            <w:proofErr w:type="spellStart"/>
            <w:r w:rsidRPr="007E6F6D">
              <w:rPr>
                <w:rFonts w:ascii="Times New Roman" w:eastAsia="Times New Roman" w:hAnsi="Times New Roman" w:cs="Times New Roman"/>
                <w:b/>
                <w:bCs/>
                <w:snapToGrid w:val="0"/>
                <w:sz w:val="22"/>
                <w:lang w:eastAsia="de-DE" w:bidi="en-US"/>
              </w:rPr>
              <w:t>green_innovation</w:t>
            </w:r>
            <w:proofErr w:type="spellEnd"/>
          </w:p>
        </w:tc>
        <w:tc>
          <w:tcPr>
            <w:tcW w:w="1607" w:type="pct"/>
            <w:tcBorders>
              <w:top w:val="single" w:sz="4" w:space="0" w:color="auto"/>
              <w:left w:val="nil"/>
              <w:bottom w:val="single" w:sz="6" w:space="0" w:color="auto"/>
              <w:right w:val="nil"/>
            </w:tcBorders>
          </w:tcPr>
          <w:p w14:paraId="0730CBBA" w14:textId="77777777" w:rsidR="007E6F6D" w:rsidRPr="007E6F6D" w:rsidRDefault="007E6F6D" w:rsidP="00293BEF">
            <w:pPr>
              <w:spacing w:line="300" w:lineRule="auto"/>
              <w:jc w:val="center"/>
              <w:rPr>
                <w:rFonts w:ascii="Times New Roman" w:eastAsia="Times New Roman" w:hAnsi="Times New Roman" w:cs="Times New Roman"/>
                <w:b/>
                <w:bCs/>
                <w:snapToGrid w:val="0"/>
                <w:sz w:val="22"/>
                <w:lang w:eastAsia="de-DE" w:bidi="en-US"/>
              </w:rPr>
            </w:pPr>
            <w:r w:rsidRPr="007E6F6D">
              <w:rPr>
                <w:rFonts w:ascii="Times New Roman" w:hAnsi="Times New Roman" w:cs="Times New Roman"/>
                <w:b/>
                <w:bCs/>
                <w:snapToGrid w:val="0"/>
                <w:sz w:val="22"/>
                <w:lang w:bidi="en-US"/>
              </w:rPr>
              <w:t xml:space="preserve">(2) </w:t>
            </w:r>
            <w:proofErr w:type="spellStart"/>
            <w:r w:rsidRPr="007E6F6D">
              <w:rPr>
                <w:rFonts w:ascii="Times New Roman" w:eastAsia="Times New Roman" w:hAnsi="Times New Roman" w:cs="Times New Roman"/>
                <w:b/>
                <w:bCs/>
                <w:snapToGrid w:val="0"/>
                <w:sz w:val="22"/>
                <w:lang w:eastAsia="de-DE" w:bidi="en-US"/>
              </w:rPr>
              <w:t>green_innovation</w:t>
            </w:r>
            <w:proofErr w:type="spellEnd"/>
          </w:p>
        </w:tc>
      </w:tr>
      <w:tr w:rsidR="007E6F6D" w:rsidRPr="007E6F6D" w14:paraId="14CBAC7C" w14:textId="77777777" w:rsidTr="007E6F6D">
        <w:tc>
          <w:tcPr>
            <w:tcW w:w="1590" w:type="pct"/>
            <w:tcBorders>
              <w:top w:val="nil"/>
              <w:left w:val="nil"/>
              <w:bottom w:val="nil"/>
              <w:right w:val="nil"/>
            </w:tcBorders>
          </w:tcPr>
          <w:p w14:paraId="1DB2B4B5"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lcpolicy</w:t>
            </w:r>
            <w:proofErr w:type="spellEnd"/>
          </w:p>
        </w:tc>
        <w:tc>
          <w:tcPr>
            <w:tcW w:w="1803" w:type="pct"/>
            <w:tcBorders>
              <w:top w:val="nil"/>
              <w:left w:val="nil"/>
              <w:bottom w:val="nil"/>
              <w:right w:val="nil"/>
            </w:tcBorders>
          </w:tcPr>
          <w:p w14:paraId="6BCB4B02"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1.0127***</w:t>
            </w:r>
          </w:p>
        </w:tc>
        <w:tc>
          <w:tcPr>
            <w:tcW w:w="1607" w:type="pct"/>
            <w:tcBorders>
              <w:top w:val="nil"/>
              <w:left w:val="nil"/>
              <w:bottom w:val="nil"/>
              <w:right w:val="nil"/>
            </w:tcBorders>
          </w:tcPr>
          <w:p w14:paraId="710981F6"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0.3950***</w:t>
            </w:r>
          </w:p>
        </w:tc>
      </w:tr>
      <w:tr w:rsidR="007E6F6D" w:rsidRPr="007E6F6D" w14:paraId="032684BB" w14:textId="77777777" w:rsidTr="007E6F6D">
        <w:tc>
          <w:tcPr>
            <w:tcW w:w="1590" w:type="pct"/>
            <w:tcBorders>
              <w:top w:val="nil"/>
              <w:left w:val="nil"/>
              <w:bottom w:val="nil"/>
              <w:right w:val="nil"/>
            </w:tcBorders>
          </w:tcPr>
          <w:p w14:paraId="64A4DD19"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23C2EFEF"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(0.102)</w:t>
            </w:r>
          </w:p>
        </w:tc>
        <w:tc>
          <w:tcPr>
            <w:tcW w:w="1607" w:type="pct"/>
            <w:tcBorders>
              <w:top w:val="nil"/>
              <w:left w:val="nil"/>
              <w:bottom w:val="nil"/>
              <w:right w:val="nil"/>
            </w:tcBorders>
          </w:tcPr>
          <w:p w14:paraId="087B743A"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(0.054)</w:t>
            </w:r>
          </w:p>
        </w:tc>
      </w:tr>
      <w:tr w:rsidR="007E6F6D" w:rsidRPr="007E6F6D" w14:paraId="5CA48D58" w14:textId="77777777" w:rsidTr="007E6F6D">
        <w:tc>
          <w:tcPr>
            <w:tcW w:w="1590" w:type="pct"/>
            <w:tcBorders>
              <w:top w:val="nil"/>
              <w:left w:val="nil"/>
              <w:bottom w:val="nil"/>
              <w:right w:val="nil"/>
            </w:tcBorders>
          </w:tcPr>
          <w:p w14:paraId="77BE9B20"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lnpgdp</w:t>
            </w:r>
            <w:proofErr w:type="spellEnd"/>
          </w:p>
        </w:tc>
        <w:tc>
          <w:tcPr>
            <w:tcW w:w="1803" w:type="pct"/>
            <w:tcBorders>
              <w:top w:val="nil"/>
              <w:left w:val="nil"/>
              <w:bottom w:val="nil"/>
              <w:right w:val="nil"/>
            </w:tcBorders>
          </w:tcPr>
          <w:p w14:paraId="6652065F"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3CB6312"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-1.1301***</w:t>
            </w:r>
          </w:p>
        </w:tc>
      </w:tr>
      <w:tr w:rsidR="007E6F6D" w:rsidRPr="007E6F6D" w14:paraId="19AF7BF8" w14:textId="77777777" w:rsidTr="007E6F6D">
        <w:tc>
          <w:tcPr>
            <w:tcW w:w="1590" w:type="pct"/>
            <w:tcBorders>
              <w:top w:val="nil"/>
              <w:left w:val="nil"/>
              <w:bottom w:val="nil"/>
              <w:right w:val="nil"/>
            </w:tcBorders>
          </w:tcPr>
          <w:p w14:paraId="2FCF40B6"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3CF2547E"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37A03F77"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(0.158)</w:t>
            </w:r>
          </w:p>
        </w:tc>
      </w:tr>
      <w:tr w:rsidR="007E6F6D" w:rsidRPr="007E6F6D" w14:paraId="145D5F49" w14:textId="77777777" w:rsidTr="007E6F6D">
        <w:tc>
          <w:tcPr>
            <w:tcW w:w="1590" w:type="pct"/>
            <w:tcBorders>
              <w:top w:val="nil"/>
              <w:left w:val="nil"/>
              <w:bottom w:val="nil"/>
              <w:right w:val="nil"/>
            </w:tcBorders>
          </w:tcPr>
          <w:p w14:paraId="7C33945C"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popuden</w:t>
            </w:r>
            <w:proofErr w:type="spellEnd"/>
          </w:p>
        </w:tc>
        <w:tc>
          <w:tcPr>
            <w:tcW w:w="1803" w:type="pct"/>
            <w:tcBorders>
              <w:top w:val="nil"/>
              <w:left w:val="nil"/>
              <w:bottom w:val="nil"/>
              <w:right w:val="nil"/>
            </w:tcBorders>
          </w:tcPr>
          <w:p w14:paraId="61CF8142"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09EBA48"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0.0010***</w:t>
            </w:r>
          </w:p>
        </w:tc>
      </w:tr>
      <w:tr w:rsidR="007E6F6D" w:rsidRPr="007E6F6D" w14:paraId="334F299B" w14:textId="77777777" w:rsidTr="007E6F6D">
        <w:tc>
          <w:tcPr>
            <w:tcW w:w="1590" w:type="pct"/>
            <w:tcBorders>
              <w:top w:val="nil"/>
              <w:left w:val="nil"/>
              <w:bottom w:val="nil"/>
              <w:right w:val="nil"/>
            </w:tcBorders>
          </w:tcPr>
          <w:p w14:paraId="5D1D2233"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41B5DE96"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7928F515"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(0.000)</w:t>
            </w:r>
          </w:p>
        </w:tc>
      </w:tr>
      <w:tr w:rsidR="007E6F6D" w:rsidRPr="007E6F6D" w14:paraId="0EF795FD" w14:textId="77777777" w:rsidTr="007E6F6D">
        <w:tc>
          <w:tcPr>
            <w:tcW w:w="1590" w:type="pct"/>
            <w:tcBorders>
              <w:top w:val="nil"/>
              <w:left w:val="nil"/>
              <w:bottom w:val="nil"/>
              <w:right w:val="nil"/>
            </w:tcBorders>
          </w:tcPr>
          <w:p w14:paraId="7EFBE643"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ind_stru2</w:t>
            </w:r>
          </w:p>
        </w:tc>
        <w:tc>
          <w:tcPr>
            <w:tcW w:w="1803" w:type="pct"/>
            <w:tcBorders>
              <w:top w:val="nil"/>
              <w:left w:val="nil"/>
              <w:bottom w:val="nil"/>
              <w:right w:val="nil"/>
            </w:tcBorders>
          </w:tcPr>
          <w:p w14:paraId="20BD9912"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24A5FD6A"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-0.0186***</w:t>
            </w:r>
          </w:p>
        </w:tc>
      </w:tr>
      <w:tr w:rsidR="007E6F6D" w:rsidRPr="007E6F6D" w14:paraId="5CDCA4B6" w14:textId="77777777" w:rsidTr="007E6F6D">
        <w:tc>
          <w:tcPr>
            <w:tcW w:w="1590" w:type="pct"/>
            <w:tcBorders>
              <w:top w:val="nil"/>
              <w:left w:val="nil"/>
              <w:bottom w:val="nil"/>
              <w:right w:val="nil"/>
            </w:tcBorders>
          </w:tcPr>
          <w:p w14:paraId="4B41D384"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375C492B"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6A6FC4C5"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(0.005)</w:t>
            </w:r>
          </w:p>
        </w:tc>
      </w:tr>
      <w:tr w:rsidR="007E6F6D" w:rsidRPr="007E6F6D" w14:paraId="0BD9D4D8" w14:textId="77777777" w:rsidTr="007E6F6D">
        <w:tc>
          <w:tcPr>
            <w:tcW w:w="1590" w:type="pct"/>
            <w:tcBorders>
              <w:top w:val="nil"/>
              <w:left w:val="nil"/>
              <w:bottom w:val="nil"/>
              <w:right w:val="nil"/>
            </w:tcBorders>
          </w:tcPr>
          <w:p w14:paraId="17A7D095"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lnpwage</w:t>
            </w:r>
            <w:proofErr w:type="spellEnd"/>
          </w:p>
        </w:tc>
        <w:tc>
          <w:tcPr>
            <w:tcW w:w="1803" w:type="pct"/>
            <w:tcBorders>
              <w:top w:val="nil"/>
              <w:left w:val="nil"/>
              <w:bottom w:val="nil"/>
              <w:right w:val="nil"/>
            </w:tcBorders>
          </w:tcPr>
          <w:p w14:paraId="1BF99E47"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5239BB78"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-0.6769***</w:t>
            </w:r>
          </w:p>
        </w:tc>
      </w:tr>
      <w:tr w:rsidR="007E6F6D" w:rsidRPr="007E6F6D" w14:paraId="441E9434" w14:textId="77777777" w:rsidTr="007E6F6D">
        <w:tc>
          <w:tcPr>
            <w:tcW w:w="1590" w:type="pct"/>
            <w:tcBorders>
              <w:top w:val="nil"/>
              <w:left w:val="nil"/>
              <w:bottom w:val="nil"/>
              <w:right w:val="nil"/>
            </w:tcBorders>
          </w:tcPr>
          <w:p w14:paraId="3EC72BAD"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79E35114"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20AA662D"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(0.138)</w:t>
            </w:r>
          </w:p>
        </w:tc>
      </w:tr>
      <w:tr w:rsidR="007E6F6D" w:rsidRPr="007E6F6D" w14:paraId="396D6354" w14:textId="77777777" w:rsidTr="007E6F6D">
        <w:tc>
          <w:tcPr>
            <w:tcW w:w="1590" w:type="pct"/>
            <w:tcBorders>
              <w:top w:val="nil"/>
              <w:left w:val="nil"/>
              <w:bottom w:val="nil"/>
              <w:right w:val="nil"/>
            </w:tcBorders>
          </w:tcPr>
          <w:p w14:paraId="64287025"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lninternet</w:t>
            </w:r>
            <w:proofErr w:type="spellEnd"/>
          </w:p>
        </w:tc>
        <w:tc>
          <w:tcPr>
            <w:tcW w:w="1803" w:type="pct"/>
            <w:tcBorders>
              <w:top w:val="nil"/>
              <w:left w:val="nil"/>
              <w:bottom w:val="nil"/>
              <w:right w:val="nil"/>
            </w:tcBorders>
          </w:tcPr>
          <w:p w14:paraId="7E6332CC"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3EA0C9E0"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-0.2905***</w:t>
            </w:r>
          </w:p>
        </w:tc>
      </w:tr>
      <w:tr w:rsidR="007E6F6D" w:rsidRPr="007E6F6D" w14:paraId="61225922" w14:textId="77777777" w:rsidTr="007E6F6D">
        <w:tc>
          <w:tcPr>
            <w:tcW w:w="1590" w:type="pct"/>
            <w:tcBorders>
              <w:top w:val="nil"/>
              <w:left w:val="nil"/>
              <w:bottom w:val="nil"/>
              <w:right w:val="nil"/>
            </w:tcBorders>
          </w:tcPr>
          <w:p w14:paraId="348855E6"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6D541DDC"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p>
        </w:tc>
        <w:tc>
          <w:tcPr>
            <w:tcW w:w="1607" w:type="pct"/>
            <w:tcBorders>
              <w:top w:val="nil"/>
              <w:left w:val="nil"/>
              <w:bottom w:val="nil"/>
              <w:right w:val="nil"/>
            </w:tcBorders>
          </w:tcPr>
          <w:p w14:paraId="4F0A81CC"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(0.043)</w:t>
            </w:r>
          </w:p>
        </w:tc>
      </w:tr>
      <w:tr w:rsidR="007E6F6D" w:rsidRPr="007E6F6D" w14:paraId="304439A9" w14:textId="77777777" w:rsidTr="007E6F6D">
        <w:tc>
          <w:tcPr>
            <w:tcW w:w="1590" w:type="pct"/>
            <w:tcBorders>
              <w:top w:val="nil"/>
              <w:left w:val="nil"/>
              <w:bottom w:val="nil"/>
              <w:right w:val="nil"/>
            </w:tcBorders>
          </w:tcPr>
          <w:p w14:paraId="7DC24803"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Constant</w:t>
            </w:r>
          </w:p>
        </w:tc>
        <w:tc>
          <w:tcPr>
            <w:tcW w:w="1803" w:type="pct"/>
            <w:tcBorders>
              <w:top w:val="nil"/>
              <w:left w:val="nil"/>
              <w:bottom w:val="nil"/>
              <w:right w:val="nil"/>
            </w:tcBorders>
          </w:tcPr>
          <w:p w14:paraId="2151930D"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0.7227***</w:t>
            </w:r>
          </w:p>
        </w:tc>
        <w:tc>
          <w:tcPr>
            <w:tcW w:w="1607" w:type="pct"/>
            <w:tcBorders>
              <w:top w:val="nil"/>
              <w:left w:val="nil"/>
              <w:bottom w:val="nil"/>
              <w:right w:val="nil"/>
            </w:tcBorders>
          </w:tcPr>
          <w:p w14:paraId="51832C38"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20.5052***</w:t>
            </w:r>
          </w:p>
        </w:tc>
      </w:tr>
      <w:tr w:rsidR="007E6F6D" w:rsidRPr="007E6F6D" w14:paraId="126AD47D" w14:textId="77777777" w:rsidTr="007E6F6D">
        <w:tc>
          <w:tcPr>
            <w:tcW w:w="1590" w:type="pct"/>
            <w:tcBorders>
              <w:top w:val="nil"/>
              <w:left w:val="nil"/>
              <w:bottom w:val="nil"/>
              <w:right w:val="nil"/>
            </w:tcBorders>
          </w:tcPr>
          <w:p w14:paraId="4464CFA7"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
        </w:tc>
        <w:tc>
          <w:tcPr>
            <w:tcW w:w="1803" w:type="pct"/>
            <w:tcBorders>
              <w:top w:val="nil"/>
              <w:left w:val="nil"/>
              <w:bottom w:val="nil"/>
              <w:right w:val="nil"/>
            </w:tcBorders>
          </w:tcPr>
          <w:p w14:paraId="6A7F098A"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(0.033)</w:t>
            </w:r>
          </w:p>
        </w:tc>
        <w:tc>
          <w:tcPr>
            <w:tcW w:w="1607" w:type="pct"/>
            <w:tcBorders>
              <w:top w:val="nil"/>
              <w:left w:val="nil"/>
              <w:bottom w:val="nil"/>
              <w:right w:val="nil"/>
            </w:tcBorders>
          </w:tcPr>
          <w:p w14:paraId="269DE51A"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(1.866)</w:t>
            </w:r>
          </w:p>
        </w:tc>
      </w:tr>
      <w:tr w:rsidR="007E6F6D" w:rsidRPr="007E6F6D" w14:paraId="6AA4CFEC" w14:textId="77777777" w:rsidTr="007E6F6D">
        <w:tc>
          <w:tcPr>
            <w:tcW w:w="1590" w:type="pct"/>
            <w:tcBorders>
              <w:top w:val="nil"/>
              <w:left w:val="nil"/>
              <w:bottom w:val="nil"/>
              <w:right w:val="nil"/>
            </w:tcBorders>
          </w:tcPr>
          <w:p w14:paraId="2766822C"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City_FE</w:t>
            </w:r>
            <w:proofErr w:type="spellEnd"/>
          </w:p>
          <w:p w14:paraId="229CA5C2"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proofErr w:type="spellStart"/>
            <w:r w:rsidRPr="007E6F6D">
              <w:rPr>
                <w:rFonts w:ascii="Times New Roman" w:eastAsia="Times New Roman" w:hAnsi="Times New Roman" w:cs="Times New Roman"/>
                <w:color w:val="131313"/>
              </w:rPr>
              <w:t>Year_FE</w:t>
            </w:r>
            <w:proofErr w:type="spellEnd"/>
          </w:p>
        </w:tc>
        <w:tc>
          <w:tcPr>
            <w:tcW w:w="1803" w:type="pct"/>
            <w:tcBorders>
              <w:top w:val="nil"/>
              <w:left w:val="nil"/>
              <w:bottom w:val="nil"/>
              <w:right w:val="nil"/>
            </w:tcBorders>
          </w:tcPr>
          <w:p w14:paraId="6E8FB9CC"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p w14:paraId="1AD7BB67"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tc>
        <w:tc>
          <w:tcPr>
            <w:tcW w:w="1607" w:type="pct"/>
            <w:tcBorders>
              <w:top w:val="nil"/>
              <w:left w:val="nil"/>
              <w:bottom w:val="nil"/>
              <w:right w:val="nil"/>
            </w:tcBorders>
          </w:tcPr>
          <w:p w14:paraId="613D0E4C"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p w14:paraId="7E5A5611"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YES</w:t>
            </w:r>
          </w:p>
        </w:tc>
      </w:tr>
      <w:tr w:rsidR="007E6F6D" w:rsidRPr="007E6F6D" w14:paraId="00B5207A" w14:textId="77777777" w:rsidTr="007E6F6D">
        <w:tc>
          <w:tcPr>
            <w:tcW w:w="1590" w:type="pct"/>
            <w:tcBorders>
              <w:top w:val="nil"/>
              <w:left w:val="nil"/>
              <w:bottom w:val="nil"/>
              <w:right w:val="nil"/>
            </w:tcBorders>
          </w:tcPr>
          <w:p w14:paraId="4FC9736A"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Observations</w:t>
            </w:r>
          </w:p>
        </w:tc>
        <w:tc>
          <w:tcPr>
            <w:tcW w:w="1803" w:type="pct"/>
            <w:tcBorders>
              <w:top w:val="nil"/>
              <w:left w:val="nil"/>
              <w:bottom w:val="nil"/>
              <w:right w:val="nil"/>
            </w:tcBorders>
          </w:tcPr>
          <w:p w14:paraId="7E5D8BCF"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3,598</w:t>
            </w:r>
          </w:p>
        </w:tc>
        <w:tc>
          <w:tcPr>
            <w:tcW w:w="1607" w:type="pct"/>
            <w:tcBorders>
              <w:top w:val="nil"/>
              <w:left w:val="nil"/>
              <w:bottom w:val="nil"/>
              <w:right w:val="nil"/>
            </w:tcBorders>
          </w:tcPr>
          <w:p w14:paraId="65C99063"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2,767</w:t>
            </w:r>
          </w:p>
        </w:tc>
      </w:tr>
      <w:tr w:rsidR="007E6F6D" w:rsidRPr="007E6F6D" w14:paraId="036BA0FA" w14:textId="77777777" w:rsidTr="007E6F6D">
        <w:tblPrEx>
          <w:tblBorders>
            <w:bottom w:val="single" w:sz="6" w:space="0" w:color="auto"/>
          </w:tblBorders>
        </w:tblPrEx>
        <w:tc>
          <w:tcPr>
            <w:tcW w:w="1590" w:type="pct"/>
            <w:tcBorders>
              <w:top w:val="nil"/>
              <w:left w:val="nil"/>
              <w:bottom w:val="single" w:sz="6" w:space="0" w:color="auto"/>
              <w:right w:val="nil"/>
            </w:tcBorders>
          </w:tcPr>
          <w:p w14:paraId="3FAB9B1F" w14:textId="77777777" w:rsidR="007E6F6D" w:rsidRPr="007E6F6D" w:rsidRDefault="007E6F6D" w:rsidP="00293BEF">
            <w:pPr>
              <w:autoSpaceDE w:val="0"/>
              <w:autoSpaceDN w:val="0"/>
              <w:adjustRightInd w:val="0"/>
              <w:jc w:val="left"/>
              <w:rPr>
                <w:rFonts w:ascii="Times New Roman" w:eastAsia="Times New Roman" w:hAnsi="Times New Roman" w:cs="Times New Roman"/>
                <w:color w:val="131313"/>
              </w:rPr>
            </w:pPr>
            <w:r w:rsidRPr="007E6F6D">
              <w:rPr>
                <w:rFonts w:ascii="Times New Roman" w:eastAsia="Times New Roman" w:hAnsi="Times New Roman" w:cs="Times New Roman"/>
                <w:color w:val="131313"/>
              </w:rPr>
              <w:t>R-squared</w:t>
            </w:r>
          </w:p>
        </w:tc>
        <w:tc>
          <w:tcPr>
            <w:tcW w:w="1803" w:type="pct"/>
            <w:tcBorders>
              <w:top w:val="nil"/>
              <w:left w:val="nil"/>
              <w:bottom w:val="single" w:sz="6" w:space="0" w:color="auto"/>
              <w:right w:val="nil"/>
            </w:tcBorders>
          </w:tcPr>
          <w:p w14:paraId="356AD3F3"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0.6616</w:t>
            </w:r>
          </w:p>
        </w:tc>
        <w:tc>
          <w:tcPr>
            <w:tcW w:w="1607" w:type="pct"/>
            <w:tcBorders>
              <w:top w:val="nil"/>
              <w:left w:val="nil"/>
              <w:bottom w:val="single" w:sz="6" w:space="0" w:color="auto"/>
              <w:right w:val="nil"/>
            </w:tcBorders>
          </w:tcPr>
          <w:p w14:paraId="5E51CE7E" w14:textId="77777777" w:rsidR="007E6F6D" w:rsidRPr="007E6F6D" w:rsidRDefault="007E6F6D" w:rsidP="00293BEF">
            <w:pPr>
              <w:autoSpaceDE w:val="0"/>
              <w:autoSpaceDN w:val="0"/>
              <w:adjustRightInd w:val="0"/>
              <w:jc w:val="center"/>
              <w:rPr>
                <w:rFonts w:ascii="Times New Roman" w:eastAsia="Times New Roman" w:hAnsi="Times New Roman" w:cs="Times New Roman"/>
                <w:color w:val="131313"/>
              </w:rPr>
            </w:pPr>
            <w:r w:rsidRPr="007E6F6D">
              <w:rPr>
                <w:rFonts w:ascii="Times New Roman" w:eastAsia="Times New Roman" w:hAnsi="Times New Roman" w:cs="Times New Roman"/>
                <w:color w:val="131313"/>
              </w:rPr>
              <w:t>0.8044</w:t>
            </w:r>
          </w:p>
        </w:tc>
      </w:tr>
    </w:tbl>
    <w:p w14:paraId="7BC8B46A" w14:textId="4F66689A" w:rsidR="007E6F6D" w:rsidRDefault="007E6F6D" w:rsidP="00495C21">
      <w:pPr>
        <w:pStyle w:val="MDPI31text"/>
        <w:ind w:left="0" w:firstLineChars="200" w:firstLine="400"/>
        <w:rPr>
          <w:rFonts w:ascii="Times New Roman" w:eastAsiaTheme="minorEastAsia" w:hAnsi="Times New Roman"/>
          <w:lang w:eastAsia="zh-CN"/>
        </w:rPr>
      </w:pPr>
      <w:r w:rsidRPr="007E6F6D">
        <w:rPr>
          <w:rFonts w:ascii="Times New Roman" w:hAnsi="Times New Roman"/>
          <w:lang w:eastAsia="zh-CN"/>
        </w:rPr>
        <w:t>Note: Robust standard errors in parentheses: *** p&lt;0.01, ** p&lt;0.05, * p&lt;0.1 respectively.</w:t>
      </w:r>
    </w:p>
    <w:p w14:paraId="42B6B13E" w14:textId="77777777" w:rsidR="00495C21" w:rsidRPr="00495C21" w:rsidRDefault="00495C21" w:rsidP="00495C21">
      <w:pPr>
        <w:pStyle w:val="MDPI31text"/>
        <w:ind w:left="0" w:firstLine="0"/>
        <w:rPr>
          <w:rFonts w:ascii="Times New Roman" w:eastAsiaTheme="minorEastAsia" w:hAnsi="Times New Roman"/>
          <w:lang w:eastAsia="zh-CN"/>
        </w:rPr>
      </w:pPr>
    </w:p>
    <w:p w14:paraId="34050CC6" w14:textId="65F43060" w:rsidR="00C13225" w:rsidRDefault="00C13225" w:rsidP="00495C21">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lastRenderedPageBreak/>
        <w:t xml:space="preserve">Results demonstrate that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exerts a positive influence on regional green innovation</w:t>
      </w:r>
      <w:r w:rsidR="00D312AB">
        <w:rPr>
          <w:rFonts w:ascii="Times New Roman" w:eastAsia="SimSun" w:hAnsi="Times New Roman" w:hint="eastAsia"/>
          <w:color w:val="000000" w:themeColor="text1"/>
          <w:sz w:val="24"/>
        </w:rPr>
        <w:t>,</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C13225">
        <w:rPr>
          <w:rFonts w:ascii="Times New Roman" w:eastAsia="SimSun" w:hAnsi="Times New Roman"/>
          <w:color w:val="000000" w:themeColor="text1"/>
          <w:sz w:val="24"/>
        </w:rPr>
        <w:t>remains statistically significant at the 1% level prior to control inclusion. When accounting for urban economic development, industrial structure, and digitalization, the lcpolicy coefficient magnitude decreases moderately. This attenuation suggests that including these controls is necessary to obtain more precise estimates of the policy's effect on green innovation.</w:t>
      </w:r>
    </w:p>
    <w:p w14:paraId="07EC1036" w14:textId="78550381" w:rsidR="00C13225" w:rsidRDefault="00C13225" w:rsidP="00495C21">
      <w:pPr>
        <w:spacing w:line="360" w:lineRule="auto"/>
        <w:ind w:firstLineChars="200" w:firstLine="480"/>
        <w:rPr>
          <w:rFonts w:ascii="Times New Roman" w:eastAsia="SimSun" w:hAnsi="Times New Roman"/>
          <w:color w:val="000000" w:themeColor="text1"/>
          <w:sz w:val="24"/>
        </w:rPr>
      </w:pPr>
      <w:r w:rsidRPr="00C13225">
        <w:rPr>
          <w:rFonts w:ascii="Times New Roman" w:eastAsia="SimSun" w:hAnsi="Times New Roman"/>
          <w:color w:val="000000" w:themeColor="text1"/>
          <w:sz w:val="24"/>
        </w:rPr>
        <w:t xml:space="preserve">Overall, </w:t>
      </w:r>
      <w:proofErr w:type="spellStart"/>
      <w:r w:rsidRPr="00C13225">
        <w:rPr>
          <w:rFonts w:ascii="Times New Roman" w:eastAsia="SimSun" w:hAnsi="Times New Roman"/>
          <w:color w:val="000000" w:themeColor="text1"/>
          <w:sz w:val="24"/>
        </w:rPr>
        <w:t>lcpolicy</w:t>
      </w:r>
      <w:proofErr w:type="spellEnd"/>
      <w:r w:rsidRPr="00C13225">
        <w:rPr>
          <w:rFonts w:ascii="Times New Roman" w:eastAsia="SimSun" w:hAnsi="Times New Roman"/>
          <w:color w:val="000000" w:themeColor="text1"/>
          <w:sz w:val="24"/>
        </w:rPr>
        <w:t xml:space="preserve"> promotes regional green innovation, though its magnitude moderates after controlling for city-level time-varying factors. Heterogeneous economic development and industrial structures across regions lead to varying policy constraints. Regions with concentrated heavy industry face greater challenges meeting low-carbon targets than those with less developed heavy industry. Consequently, the policy exhibits heterogeneous inducing effects on green innovation across regions. These baseline findings align with [2] and [27].[2] demonstrate that low-carbon pilots support Porter's hypothesis by significantly enhancing urban green innovation, with pronounced effects in eastern China but statistically insignificant impacts in central/western regions. [27] identifies significant effects specifically in energy-saving and alternative energy production patents, with stronger innovation stimulation in high-carbon industries and non-SOEs, confirming H1.</w:t>
      </w:r>
    </w:p>
    <w:p w14:paraId="2F916604" w14:textId="64C18271" w:rsidR="00E93BBA" w:rsidRPr="00E93BBA" w:rsidRDefault="00E93BBA" w:rsidP="00E93BBA">
      <w:pPr>
        <w:spacing w:line="360" w:lineRule="auto"/>
        <w:rPr>
          <w:rFonts w:ascii="Times New Roman" w:eastAsia="SimSun" w:hAnsi="Times New Roman"/>
          <w:b/>
          <w:bCs/>
          <w:color w:val="000000" w:themeColor="text1"/>
          <w:sz w:val="24"/>
        </w:rPr>
      </w:pPr>
      <w:r w:rsidRPr="00E93BBA">
        <w:rPr>
          <w:rFonts w:ascii="Times New Roman" w:eastAsia="SimSun" w:hAnsi="Times New Roman" w:hint="eastAsia"/>
          <w:b/>
          <w:bCs/>
          <w:color w:val="000000" w:themeColor="text1"/>
          <w:sz w:val="24"/>
        </w:rPr>
        <w:t>4.2. Validity of the DID specification</w:t>
      </w:r>
    </w:p>
    <w:p w14:paraId="67F2DB1B" w14:textId="77777777" w:rsidR="00217753" w:rsidRDefault="00217753" w:rsidP="00E93BBA">
      <w:pPr>
        <w:spacing w:line="360" w:lineRule="auto"/>
        <w:ind w:firstLineChars="200" w:firstLine="480"/>
        <w:rPr>
          <w:rFonts w:ascii="Times New Roman" w:eastAsia="SimSun" w:hAnsi="Times New Roman"/>
          <w:color w:val="000000" w:themeColor="text1"/>
          <w:sz w:val="24"/>
        </w:rPr>
      </w:pPr>
      <w:r w:rsidRPr="00217753">
        <w:rPr>
          <w:rFonts w:ascii="Times New Roman" w:eastAsia="SimSun" w:hAnsi="Times New Roman"/>
          <w:color w:val="000000" w:themeColor="text1"/>
          <w:sz w:val="24"/>
        </w:rPr>
        <w:t>The baseline Model (1) requires satisfying the parallel trends assumption: pilot and non-pilot cities must exhibit similar pre-treatment trends in green patent applications. Post-implementation divergence between treatment and control groups indicates policy effects. This study therefore uses event study analysis to empirically test the parallel trends assumption.</w:t>
      </w:r>
    </w:p>
    <w:p w14:paraId="2083E713" w14:textId="647E9A50" w:rsidR="00E93BBA" w:rsidRDefault="003C5A60" w:rsidP="00E93BBA">
      <w:pPr>
        <w:spacing w:line="360" w:lineRule="auto"/>
        <w:ind w:firstLineChars="200" w:firstLine="420"/>
      </w:pPr>
      <m:oMath>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green</m:t>
            </m:r>
            <m:r>
              <w:rPr>
                <w:rFonts w:ascii="Cambria Math" w:eastAsia="Times New Roman" w:hAnsi="Cambria Math" w:hint="eastAsia"/>
                <w:snapToGrid w:val="0"/>
                <w:color w:val="000000" w:themeColor="text1"/>
                <w:lang w:eastAsia="de-DE" w:bidi="en-US"/>
              </w:rPr>
              <m:t>_</m:t>
            </m:r>
            <m:r>
              <w:rPr>
                <w:rFonts w:ascii="Cambria Math" w:eastAsia="Times New Roman" w:hAnsi="Cambria Math" w:hint="eastAsia"/>
                <w:snapToGrid w:val="0"/>
                <w:color w:val="000000" w:themeColor="text1"/>
                <w:lang w:eastAsia="de-DE" w:bidi="en-US"/>
              </w:rPr>
              <m:t>innovation</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m:t>
        </m:r>
        <m:r>
          <w:rPr>
            <w:rFonts w:ascii="Cambria Math" w:eastAsia="Times New Roman" w:hAnsi="Cambria Math" w:hint="eastAsia"/>
            <w:snapToGrid w:val="0"/>
            <w:color w:val="000000" w:themeColor="text1"/>
            <w:lang w:eastAsia="de-DE" w:bidi="en-US"/>
          </w:rPr>
          <m:t>α</m:t>
        </m:r>
        <m:r>
          <w:rPr>
            <w:rFonts w:ascii="Cambria Math" w:eastAsia="Times New Roman" w:hAnsi="Cambria Math" w:hint="eastAsia"/>
            <w:snapToGrid w:val="0"/>
            <w:color w:val="000000" w:themeColor="text1"/>
            <w:lang w:eastAsia="de-DE" w:bidi="en-US"/>
          </w:rPr>
          <m:t>0+</m:t>
        </m:r>
        <m:nary>
          <m:naryPr>
            <m:chr m:val="∑"/>
            <m:limLoc m:val="undOvr"/>
            <m:ctrlPr>
              <w:rPr>
                <w:rFonts w:ascii="Cambria Math" w:eastAsia="Times New Roman" w:hAnsi="Cambria Math" w:hint="eastAsia"/>
                <w:i/>
                <w:snapToGrid w:val="0"/>
                <w:color w:val="000000" w:themeColor="text1"/>
                <w:lang w:eastAsia="de-DE" w:bidi="en-US"/>
              </w:rPr>
            </m:ctrlPr>
          </m:naryPr>
          <m:sub>
            <m:r>
              <w:rPr>
                <w:rFonts w:ascii="Cambria Math" w:eastAsia="Times New Roman" w:hAnsi="Cambria Math" w:hint="eastAsia"/>
                <w:snapToGrid w:val="0"/>
                <w:color w:val="000000" w:themeColor="text1"/>
                <w:lang w:eastAsia="de-DE" w:bidi="en-US"/>
              </w:rPr>
              <m:t>t</m:t>
            </m:r>
            <m:r>
              <w:rPr>
                <w:rFonts w:ascii="Cambria Math" w:eastAsia="Times New Roman" w:hAnsi="Cambria Math" w:hint="eastAsia"/>
                <w:snapToGrid w:val="0"/>
                <w:color w:val="000000" w:themeColor="text1"/>
                <w:lang w:eastAsia="de-DE" w:bidi="en-US"/>
              </w:rPr>
              <m:t>=</m:t>
            </m:r>
            <m:r>
              <w:rPr>
                <w:rFonts w:ascii="Cambria Math" w:eastAsia="Times New Roman" w:hAnsi="Cambria Math" w:cs="Cambria Math"/>
                <w:snapToGrid w:val="0"/>
                <w:color w:val="000000" w:themeColor="text1"/>
                <w:lang w:eastAsia="de-DE" w:bidi="en-US"/>
              </w:rPr>
              <m:t>-</m:t>
            </m:r>
            <m:r>
              <w:rPr>
                <w:rFonts w:ascii="Cambria Math" w:eastAsia="Times New Roman" w:hAnsi="Cambria Math" w:hint="eastAsia"/>
                <w:snapToGrid w:val="0"/>
                <w:color w:val="000000" w:themeColor="text1"/>
                <w:lang w:eastAsia="de-DE" w:bidi="en-US"/>
              </w:rPr>
              <m:t>4</m:t>
            </m:r>
          </m:sub>
          <m:sup>
            <m:r>
              <w:rPr>
                <w:rFonts w:ascii="Cambria Math" w:eastAsia="Times New Roman" w:hAnsi="Cambria Math" w:hint="eastAsia"/>
                <w:snapToGrid w:val="0"/>
                <w:color w:val="000000" w:themeColor="text1"/>
                <w:lang w:eastAsia="de-DE" w:bidi="en-US"/>
              </w:rPr>
              <m:t>3</m:t>
            </m:r>
          </m:sup>
          <m:e>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λ</m:t>
                </m:r>
              </m:e>
              <m:sub>
                <m:r>
                  <w:rPr>
                    <w:rFonts w:ascii="Cambria Math" w:eastAsia="Times New Roman" w:hAnsi="Cambria Math" w:hint="eastAsia"/>
                    <w:snapToGrid w:val="0"/>
                    <w:color w:val="000000" w:themeColor="text1"/>
                    <w:lang w:eastAsia="de-DE" w:bidi="en-US"/>
                  </w:rPr>
                  <m:t>t</m:t>
                </m:r>
              </m:sub>
            </m:sSub>
          </m:e>
        </m:nary>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D</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m:t>
        </m:r>
        <m:r>
          <w:rPr>
            <w:rFonts w:ascii="Cambria Math" w:eastAsia="Times New Roman" w:hAnsi="Cambria Math"/>
            <w:snapToGrid w:val="0"/>
            <w:color w:val="000000" w:themeColor="text1"/>
            <w:lang w:eastAsia="de-DE" w:bidi="en-US"/>
          </w:rPr>
          <m:t>ρ</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X</m:t>
            </m:r>
          </m:e>
          <m:sub>
            <m:r>
              <w:rPr>
                <w:rFonts w:ascii="Cambria Math" w:eastAsia="Times New Roman" w:hAnsi="Cambria Math" w:hint="eastAsia"/>
                <w:snapToGrid w:val="0"/>
                <w:color w:val="000000" w:themeColor="text1"/>
                <w:lang w:eastAsia="de-DE" w:bidi="en-US"/>
              </w:rPr>
              <m:t>it</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δ</m:t>
            </m:r>
          </m:e>
          <m:sub>
            <m:r>
              <w:rPr>
                <w:rFonts w:ascii="Cambria Math" w:eastAsia="Times New Roman" w:hAnsi="Cambria Math" w:hint="eastAsia"/>
                <w:snapToGrid w:val="0"/>
                <w:color w:val="000000" w:themeColor="text1"/>
                <w:lang w:eastAsia="de-DE" w:bidi="en-US"/>
              </w:rPr>
              <m:t>i</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μ</m:t>
            </m:r>
          </m:e>
          <m:sub>
            <m:r>
              <w:rPr>
                <w:rFonts w:ascii="Cambria Math" w:eastAsia="Times New Roman" w:hAnsi="Cambria Math" w:hint="eastAsia"/>
                <w:snapToGrid w:val="0"/>
                <w:color w:val="000000" w:themeColor="text1"/>
                <w:lang w:eastAsia="de-DE" w:bidi="en-US"/>
              </w:rPr>
              <m:t>t</m:t>
            </m:r>
          </m:sub>
        </m:sSub>
        <m:r>
          <w:rPr>
            <w:rFonts w:ascii="Cambria Math" w:eastAsia="Times New Roman" w:hAnsi="Cambria Math" w:hint="eastAsia"/>
            <w:snapToGrid w:val="0"/>
            <w:color w:val="000000" w:themeColor="text1"/>
            <w:lang w:eastAsia="de-DE" w:bidi="en-US"/>
          </w:rPr>
          <m:t>+</m:t>
        </m:r>
        <m:sSub>
          <m:sSubPr>
            <m:ctrlPr>
              <w:rPr>
                <w:rFonts w:ascii="Cambria Math" w:eastAsia="Times New Roman" w:hAnsi="Cambria Math" w:hint="eastAsia"/>
                <w:i/>
                <w:snapToGrid w:val="0"/>
                <w:color w:val="000000" w:themeColor="text1"/>
                <w:lang w:eastAsia="de-DE" w:bidi="en-US"/>
              </w:rPr>
            </m:ctrlPr>
          </m:sSubPr>
          <m:e>
            <m:r>
              <w:rPr>
                <w:rFonts w:ascii="Cambria Math" w:eastAsia="Times New Roman" w:hAnsi="Cambria Math" w:hint="eastAsia"/>
                <w:snapToGrid w:val="0"/>
                <w:color w:val="000000" w:themeColor="text1"/>
                <w:lang w:eastAsia="de-DE" w:bidi="en-US"/>
              </w:rPr>
              <m:t>ε</m:t>
            </m:r>
          </m:e>
          <m:sub>
            <m:r>
              <w:rPr>
                <w:rFonts w:ascii="Cambria Math" w:eastAsia="Times New Roman" w:hAnsi="Cambria Math" w:hint="eastAsia"/>
                <w:snapToGrid w:val="0"/>
                <w:color w:val="000000" w:themeColor="text1"/>
                <w:lang w:eastAsia="de-DE" w:bidi="en-US"/>
              </w:rPr>
              <m:t>it</m:t>
            </m:r>
          </m:sub>
        </m:sSub>
      </m:oMath>
      <w:r w:rsidR="00E93BBA" w:rsidRPr="00EC4D46">
        <w:rPr>
          <w:rFonts w:ascii="Cambria Math" w:eastAsia="Times New Roman" w:hAnsi="Cambria Math" w:hint="eastAsia"/>
          <w:i/>
          <w:snapToGrid w:val="0"/>
          <w:color w:val="000000" w:themeColor="text1"/>
          <w:lang w:eastAsia="de-DE" w:bidi="en-US"/>
        </w:rPr>
        <w:t xml:space="preserve">  </w:t>
      </w:r>
      <w:r w:rsidR="00E93BBA">
        <w:rPr>
          <w:rFonts w:hint="eastAsia"/>
        </w:rPr>
        <w:t xml:space="preserve">               (2)</w:t>
      </w:r>
    </w:p>
    <w:p w14:paraId="1864069D" w14:textId="447E2D43" w:rsidR="00217753" w:rsidRDefault="003C5A60" w:rsidP="002F551C">
      <w:pPr>
        <w:spacing w:line="360" w:lineRule="auto"/>
        <w:ind w:firstLineChars="200" w:firstLine="420"/>
        <w:rPr>
          <w:rFonts w:ascii="Times New Roman" w:eastAsia="SimSun" w:hAnsi="Times New Roman"/>
          <w:color w:val="000000" w:themeColor="text1"/>
          <w:sz w:val="24"/>
        </w:rPr>
      </w:pPr>
      <m:oMath>
        <m:sSub>
          <m:sSubPr>
            <m:ctrlPr>
              <w:rPr>
                <w:rFonts w:ascii="Cambria Math" w:hAnsi="Cambria Math" w:hint="eastAsia"/>
              </w:rPr>
            </m:ctrlPr>
          </m:sSubPr>
          <m:e>
            <m:r>
              <m:rPr>
                <m:sty m:val="p"/>
              </m:rPr>
              <w:rPr>
                <w:rFonts w:ascii="Cambria Math" w:hAnsi="Cambria Math" w:hint="eastAsia"/>
              </w:rPr>
              <m:t>D</m:t>
            </m:r>
          </m:e>
          <m:sub>
            <m:r>
              <m:rPr>
                <m:sty m:val="p"/>
              </m:rPr>
              <w:rPr>
                <w:rFonts w:ascii="Cambria Math" w:hAnsi="Cambria Math" w:hint="eastAsia"/>
              </w:rPr>
              <m:t>it</m:t>
            </m:r>
          </m:sub>
        </m:sSub>
      </m:oMath>
      <w:r w:rsidR="00217753">
        <w:rPr>
          <w:rFonts w:ascii="Times New Roman" w:eastAsia="SimSun" w:hAnsi="Times New Roman" w:hint="eastAsia"/>
        </w:rPr>
        <w:t xml:space="preserve"> </w:t>
      </w:r>
      <w:r w:rsidR="00217753" w:rsidRPr="00217753">
        <w:rPr>
          <w:rFonts w:ascii="Times New Roman" w:eastAsia="SimSun" w:hAnsi="Times New Roman"/>
          <w:color w:val="000000" w:themeColor="text1"/>
          <w:sz w:val="24"/>
        </w:rPr>
        <w:t xml:space="preserve">is a binary indicator equaling 1 when city </w:t>
      </w:r>
      <w:proofErr w:type="spellStart"/>
      <w:r w:rsidR="00217753">
        <w:rPr>
          <w:rFonts w:ascii="Times New Roman" w:eastAsia="SimSun" w:hAnsi="Times New Roman" w:hint="eastAsia"/>
          <w:color w:val="000000" w:themeColor="text1"/>
          <w:sz w:val="24"/>
        </w:rPr>
        <w:t>i</w:t>
      </w:r>
      <w:proofErr w:type="spellEnd"/>
      <w:r w:rsidR="00217753">
        <w:rPr>
          <w:rFonts w:ascii="Times New Roman" w:eastAsia="SimSun" w:hAnsi="Times New Roman" w:hint="eastAsia"/>
          <w:color w:val="000000" w:themeColor="text1"/>
          <w:sz w:val="24"/>
        </w:rPr>
        <w:t xml:space="preserve"> </w:t>
      </w:r>
      <w:r w:rsidR="00217753" w:rsidRPr="00217753">
        <w:rPr>
          <w:rFonts w:ascii="Times New Roman" w:eastAsia="SimSun" w:hAnsi="Times New Roman"/>
          <w:color w:val="000000" w:themeColor="text1"/>
          <w:sz w:val="24"/>
        </w:rPr>
        <w:t xml:space="preserve">implemented the low-carbon pilot policy in year t, and 0 otherwise. Other variables retain their baseline Model (1) definitions. Given data constraints, we collapse implementation years into event periods: the first four pre-policy years aggregate into period -4 (pre4), while the last three post-implementation years form period 3 (post3). The 5th pre-policy period serves as the </w:t>
      </w:r>
      <w:r w:rsidR="00217753" w:rsidRPr="00217753">
        <w:rPr>
          <w:rFonts w:ascii="Times New Roman" w:eastAsia="SimSun" w:hAnsi="Times New Roman"/>
          <w:color w:val="000000" w:themeColor="text1"/>
          <w:sz w:val="24"/>
        </w:rPr>
        <w:lastRenderedPageBreak/>
        <w:t xml:space="preserve">reference category. </w:t>
      </w:r>
    </w:p>
    <w:p w14:paraId="61AA0C02" w14:textId="4DAD024E" w:rsidR="00E93BBA" w:rsidRDefault="00E93BBA" w:rsidP="00E93BBA">
      <w:pPr>
        <w:spacing w:line="360" w:lineRule="auto"/>
        <w:ind w:firstLineChars="200" w:firstLine="420"/>
        <w:rPr>
          <w:rFonts w:ascii="Times New Roman" w:eastAsia="SimSun" w:hAnsi="Times New Roman"/>
          <w:color w:val="000000" w:themeColor="text1"/>
          <w:sz w:val="24"/>
        </w:rPr>
      </w:pPr>
      <w:r>
        <w:rPr>
          <w:rFonts w:ascii="Times New Roman" w:eastAsia="SimSun" w:hAnsi="Times New Roman" w:hint="eastAsia"/>
          <w:noProof/>
        </w:rPr>
        <w:drawing>
          <wp:inline distT="0" distB="0" distL="114300" distR="114300" wp14:anchorId="013E4288" wp14:editId="4C8B06DD">
            <wp:extent cx="4548505" cy="3309620"/>
            <wp:effectExtent l="0" t="0" r="10795" b="5080"/>
            <wp:docPr id="5" name="图片 5" descr="平行趋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平行趋势"/>
                    <pic:cNvPicPr>
                      <a:picLocks noChangeAspect="1"/>
                    </pic:cNvPicPr>
                  </pic:nvPicPr>
                  <pic:blipFill>
                    <a:blip r:embed="rId7"/>
                    <a:stretch>
                      <a:fillRect/>
                    </a:stretch>
                  </pic:blipFill>
                  <pic:spPr>
                    <a:xfrm>
                      <a:off x="0" y="0"/>
                      <a:ext cx="4548505" cy="3309620"/>
                    </a:xfrm>
                    <a:prstGeom prst="rect">
                      <a:avLst/>
                    </a:prstGeom>
                  </pic:spPr>
                </pic:pic>
              </a:graphicData>
            </a:graphic>
          </wp:inline>
        </w:drawing>
      </w:r>
    </w:p>
    <w:p w14:paraId="062FDF7C" w14:textId="664C4E35" w:rsidR="00E93BBA" w:rsidRDefault="00E93BBA" w:rsidP="00E93BBA">
      <w:pPr>
        <w:spacing w:line="360" w:lineRule="auto"/>
        <w:ind w:firstLineChars="1400" w:firstLine="2951"/>
        <w:rPr>
          <w:rFonts w:ascii="Times New Roman" w:hAnsi="Times New Roman"/>
          <w:color w:val="000000" w:themeColor="text1"/>
        </w:rPr>
      </w:pPr>
      <w:r w:rsidRPr="00E93BBA">
        <w:rPr>
          <w:rFonts w:ascii="Times New Roman" w:eastAsia="Times New Roman" w:hAnsi="Times New Roman"/>
          <w:b/>
          <w:bCs/>
          <w:color w:val="000000" w:themeColor="text1"/>
        </w:rPr>
        <w:t xml:space="preserve">Figure 1. </w:t>
      </w:r>
      <w:r w:rsidRPr="00E93BBA">
        <w:rPr>
          <w:rFonts w:ascii="Times New Roman" w:eastAsia="Times New Roman" w:hAnsi="Times New Roman"/>
          <w:color w:val="000000" w:themeColor="text1"/>
        </w:rPr>
        <w:t xml:space="preserve">Parallel trend </w:t>
      </w:r>
      <w:r w:rsidR="00A072AE">
        <w:rPr>
          <w:rFonts w:ascii="Times New Roman" w:hAnsi="Times New Roman" w:hint="eastAsia"/>
          <w:color w:val="000000" w:themeColor="text1"/>
        </w:rPr>
        <w:t>t</w:t>
      </w:r>
      <w:r w:rsidRPr="00E93BBA">
        <w:rPr>
          <w:rFonts w:ascii="Times New Roman" w:eastAsia="Times New Roman" w:hAnsi="Times New Roman"/>
          <w:color w:val="000000" w:themeColor="text1"/>
        </w:rPr>
        <w:t>est</w:t>
      </w:r>
    </w:p>
    <w:p w14:paraId="33D38FC4" w14:textId="5E847BD5" w:rsidR="00217753" w:rsidRDefault="00217753" w:rsidP="00657D8E">
      <w:pPr>
        <w:spacing w:line="360" w:lineRule="auto"/>
        <w:ind w:firstLineChars="200" w:firstLine="480"/>
        <w:rPr>
          <w:rFonts w:ascii="Times New Roman" w:hAnsi="Times New Roman"/>
          <w:color w:val="000000" w:themeColor="text1"/>
          <w:sz w:val="24"/>
        </w:rPr>
      </w:pPr>
      <w:r w:rsidRPr="00217753">
        <w:rPr>
          <w:rFonts w:ascii="Times New Roman" w:hAnsi="Times New Roman"/>
          <w:color w:val="000000" w:themeColor="text1"/>
          <w:sz w:val="24"/>
        </w:rPr>
        <w:t>Figure 1 shows parallel trends test results. Coefficients for pre-treatment periods are statistically insignificant, whereas those for post-implementation periods become statistically significant. This validates the pre-treatment equivalence</w:t>
      </w:r>
      <w:r w:rsidR="006A1778">
        <w:rPr>
          <w:rFonts w:ascii="Times New Roman" w:hAnsi="Times New Roman" w:hint="eastAsia"/>
          <w:color w:val="000000" w:themeColor="text1"/>
          <w:sz w:val="24"/>
        </w:rPr>
        <w:t xml:space="preserve"> and </w:t>
      </w:r>
      <w:r w:rsidRPr="00217753">
        <w:rPr>
          <w:rFonts w:ascii="Times New Roman" w:hAnsi="Times New Roman"/>
          <w:color w:val="000000" w:themeColor="text1"/>
          <w:sz w:val="24"/>
        </w:rPr>
        <w:t>satisf</w:t>
      </w:r>
      <w:r w:rsidR="006A1778">
        <w:rPr>
          <w:rFonts w:ascii="Times New Roman" w:hAnsi="Times New Roman" w:hint="eastAsia"/>
          <w:color w:val="000000" w:themeColor="text1"/>
          <w:sz w:val="24"/>
        </w:rPr>
        <w:t>ies</w:t>
      </w:r>
      <w:r w:rsidRPr="00217753">
        <w:rPr>
          <w:rFonts w:ascii="Times New Roman" w:hAnsi="Times New Roman"/>
          <w:color w:val="000000" w:themeColor="text1"/>
          <w:sz w:val="24"/>
        </w:rPr>
        <w:t xml:space="preserve"> the parallel trends assumption for our DID design.</w:t>
      </w:r>
    </w:p>
    <w:p w14:paraId="1ACCC7BB" w14:textId="4D271B4D" w:rsidR="001C55C5" w:rsidRDefault="001C55C5" w:rsidP="001C55C5">
      <w:pPr>
        <w:spacing w:line="360" w:lineRule="auto"/>
        <w:rPr>
          <w:rFonts w:ascii="Times New Roman" w:hAnsi="Times New Roman"/>
          <w:b/>
          <w:bCs/>
          <w:color w:val="000000" w:themeColor="text1"/>
          <w:sz w:val="24"/>
        </w:rPr>
      </w:pPr>
      <w:r w:rsidRPr="001C55C5">
        <w:rPr>
          <w:rFonts w:ascii="Times New Roman" w:hAnsi="Times New Roman" w:hint="eastAsia"/>
          <w:b/>
          <w:bCs/>
          <w:color w:val="000000" w:themeColor="text1"/>
          <w:sz w:val="24"/>
        </w:rPr>
        <w:t xml:space="preserve">4.3. Robustness </w:t>
      </w:r>
      <w:r w:rsidR="00650645">
        <w:rPr>
          <w:rFonts w:ascii="Times New Roman" w:hAnsi="Times New Roman" w:hint="eastAsia"/>
          <w:b/>
          <w:bCs/>
          <w:color w:val="000000" w:themeColor="text1"/>
          <w:sz w:val="24"/>
        </w:rPr>
        <w:t>c</w:t>
      </w:r>
      <w:r w:rsidRPr="001C55C5">
        <w:rPr>
          <w:rFonts w:ascii="Times New Roman" w:hAnsi="Times New Roman" w:hint="eastAsia"/>
          <w:b/>
          <w:bCs/>
          <w:color w:val="000000" w:themeColor="text1"/>
          <w:sz w:val="24"/>
        </w:rPr>
        <w:t>hecks</w:t>
      </w:r>
    </w:p>
    <w:p w14:paraId="7A57B1B7" w14:textId="77777777"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Baseline regressions suggest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promotes regional green innovation. However, potential confounding factors affecting patent applications could bias these results. To strengthen estimation reliability, we conduct robustness checks through: (1) alternative explanatory variable specifications, (2) sample period adjustments, and (3) exclusion of contemporaneous policy interference. These tests address potential confounding influences on our findings.</w:t>
      </w:r>
    </w:p>
    <w:p w14:paraId="3F042347" w14:textId="3A3ABC54" w:rsidR="001C55C5" w:rsidRDefault="001C55C5" w:rsidP="001C55C5">
      <w:pPr>
        <w:spacing w:line="360" w:lineRule="auto"/>
        <w:ind w:firstLineChars="200" w:firstLine="480"/>
        <w:rPr>
          <w:rFonts w:ascii="Times New Roman" w:hAnsi="Times New Roman"/>
          <w:color w:val="000000" w:themeColor="text1"/>
          <w:sz w:val="24"/>
        </w:rPr>
      </w:pPr>
      <w:r w:rsidRPr="001C55C5">
        <w:rPr>
          <w:rFonts w:ascii="Times New Roman" w:hAnsi="Times New Roman" w:hint="eastAsia"/>
          <w:color w:val="000000" w:themeColor="text1"/>
          <w:sz w:val="24"/>
        </w:rPr>
        <w:t>4.3.1. Replace the explanatory variables.</w:t>
      </w:r>
    </w:p>
    <w:p w14:paraId="7D37A304" w14:textId="3A773B8C"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Following [25] and [17], we decompose green patents into two categories: green invention patents (green_innovation2) and green utility model patents (green_innovation3). We replace the dependent variable in baseline Model (1) with these alternative measures.</w:t>
      </w:r>
    </w:p>
    <w:p w14:paraId="678DA305" w14:textId="0D1BB446" w:rsidR="004642DF" w:rsidRDefault="003C5A60" w:rsidP="004642DF">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m:t>
            </m:r>
            <m:r>
              <w:rPr>
                <w:rFonts w:ascii="Cambria Math" w:eastAsia="Times New Roman" w:hAnsi="Cambria Math"/>
                <w:snapToGrid w:val="0"/>
                <w:color w:val="000000" w:themeColor="text1"/>
                <w:lang w:eastAsia="de-DE" w:bidi="en-US"/>
              </w:rPr>
              <m:t>innovation</m:t>
            </m:r>
            <m:r>
              <w:rPr>
                <w:rFonts w:ascii="Cambria Math" w:eastAsia="Times New Roman" w:hAnsi="Cambria Math"/>
                <w:snapToGrid w:val="0"/>
                <w:color w:val="000000" w:themeColor="text1"/>
                <w:lang w:eastAsia="de-DE" w:bidi="en-US"/>
              </w:rPr>
              <m:t>2</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r>
          <w:rPr>
            <w:rFonts w:ascii="Cambria Math" w:eastAsia="Times New Roman" w:hAnsi="Cambria Math"/>
            <w:snapToGrid w:val="0"/>
            <w:color w:val="000000" w:themeColor="text1"/>
            <w:lang w:eastAsia="de-DE" w:bidi="en-US"/>
          </w:rPr>
          <m:t>ρ</m:t>
        </m:r>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4642DF">
        <w:rPr>
          <w:rFonts w:ascii="Times New Roman" w:hAnsi="Times New Roman"/>
          <w:i/>
          <w:iCs/>
          <w:sz w:val="32"/>
          <w:szCs w:val="32"/>
          <w:vertAlign w:val="subscript"/>
        </w:rPr>
        <w:t xml:space="preserve">                </w:t>
      </w:r>
      <w:r w:rsidR="004642DF">
        <w:rPr>
          <w:rFonts w:cs="SimSun" w:hint="eastAsia"/>
          <w:snapToGrid w:val="0"/>
          <w:lang w:bidi="en-US"/>
        </w:rPr>
        <w:t>(3)</w:t>
      </w:r>
    </w:p>
    <w:p w14:paraId="3FB3DA79" w14:textId="7ADFA191" w:rsidR="004642DF" w:rsidRDefault="003C5A60" w:rsidP="004642DF">
      <w:pPr>
        <w:spacing w:line="360" w:lineRule="auto"/>
        <w:rPr>
          <w:rFonts w:ascii="Times New Roman" w:hAnsi="Times New Roman"/>
          <w:sz w:val="28"/>
          <w:szCs w:val="24"/>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m:t>
            </m:r>
            <m:r>
              <w:rPr>
                <w:rFonts w:ascii="Cambria Math" w:eastAsia="Times New Roman" w:hAnsi="Cambria Math"/>
                <w:snapToGrid w:val="0"/>
                <w:color w:val="000000" w:themeColor="text1"/>
                <w:lang w:eastAsia="de-DE" w:bidi="en-US"/>
              </w:rPr>
              <m:t>innovation</m:t>
            </m:r>
            <m:r>
              <w:rPr>
                <w:rFonts w:ascii="Cambria Math" w:eastAsia="Times New Roman" w:hAnsi="Cambria Math"/>
                <w:snapToGrid w:val="0"/>
                <w:color w:val="000000" w:themeColor="text1"/>
                <w:lang w:eastAsia="de-DE" w:bidi="en-US"/>
              </w:rPr>
              <m:t>3</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r>
          <w:rPr>
            <w:rFonts w:ascii="Cambria Math" w:eastAsia="Times New Roman" w:hAnsi="Cambria Math"/>
            <w:snapToGrid w:val="0"/>
            <w:color w:val="000000" w:themeColor="text1"/>
            <w:lang w:eastAsia="de-DE" w:bidi="en-US"/>
          </w:rPr>
          <m:t>ρ</m:t>
        </m:r>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4642DF">
        <w:rPr>
          <w:rFonts w:ascii="Times New Roman" w:hAnsi="Times New Roman"/>
          <w:i/>
          <w:iCs/>
          <w:sz w:val="32"/>
          <w:szCs w:val="32"/>
          <w:vertAlign w:val="subscript"/>
        </w:rPr>
        <w:t xml:space="preserve">                </w:t>
      </w:r>
      <w:r w:rsidR="004642DF">
        <w:rPr>
          <w:rFonts w:cs="SimSun" w:hint="eastAsia"/>
          <w:snapToGrid w:val="0"/>
          <w:lang w:bidi="en-US"/>
        </w:rPr>
        <w:t>(4)</w:t>
      </w:r>
    </w:p>
    <w:p w14:paraId="2DEEEF9F" w14:textId="5F6BF554" w:rsidR="004E1C7B"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Results from alternative dependent variable specifications confirm that </w:t>
      </w:r>
      <w:r w:rsidR="001959F6">
        <w:rPr>
          <w:rFonts w:ascii="Times New Roman" w:hAnsi="Times New Roman" w:hint="eastAsia"/>
          <w:color w:val="000000" w:themeColor="text1"/>
          <w:sz w:val="24"/>
        </w:rPr>
        <w:t>LCCP</w:t>
      </w:r>
      <w:r w:rsidRPr="004E1C7B">
        <w:rPr>
          <w:rFonts w:ascii="Times New Roman" w:hAnsi="Times New Roman"/>
          <w:color w:val="000000" w:themeColor="text1"/>
          <w:sz w:val="24"/>
        </w:rPr>
        <w:t xml:space="preserve"> positively influences both green patent categories</w:t>
      </w:r>
      <w:r w:rsidR="00687427">
        <w:rPr>
          <w:rFonts w:ascii="Times New Roman" w:hAnsi="Times New Roman" w:hint="eastAsia"/>
          <w:color w:val="000000" w:themeColor="text1"/>
          <w:sz w:val="24"/>
        </w:rPr>
        <w:t>,</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α</m:t>
            </m:r>
          </m:e>
          <m:sub>
            <m:r>
              <w:rPr>
                <w:rFonts w:ascii="Cambria Math" w:hAnsi="Cambria Math"/>
                <w:snapToGrid w:val="0"/>
                <w:color w:val="000000" w:themeColor="text1"/>
                <w:lang w:bidi="en-US"/>
              </w:rPr>
              <m:t>1</m:t>
            </m:r>
          </m:sub>
        </m:sSub>
      </m:oMath>
      <w:r w:rsidRPr="004E1C7B">
        <w:rPr>
          <w:rFonts w:ascii="Times New Roman" w:hAnsi="Times New Roman"/>
          <w:color w:val="000000" w:themeColor="text1"/>
          <w:sz w:val="24"/>
        </w:rPr>
        <w:t xml:space="preserve"> remains statistically significant at the 1% level for green_innovation2 and green_innovation3. Notably, invention patents exhibit marginally stronger policy responsiveness than utility patents, aligning with </w:t>
      </w:r>
      <w:r w:rsidR="007A5E14">
        <w:rPr>
          <w:rFonts w:ascii="Times New Roman" w:hAnsi="Times New Roman" w:hint="eastAsia"/>
          <w:color w:val="000000" w:themeColor="text1"/>
          <w:sz w:val="24"/>
        </w:rPr>
        <w:t>[26],</w:t>
      </w:r>
      <w:r w:rsidRPr="004E1C7B">
        <w:rPr>
          <w:rFonts w:ascii="Times New Roman" w:hAnsi="Times New Roman"/>
          <w:color w:val="000000" w:themeColor="text1"/>
          <w:sz w:val="24"/>
        </w:rPr>
        <w:t>[27].</w:t>
      </w:r>
    </w:p>
    <w:p w14:paraId="483892AB" w14:textId="717844A9" w:rsidR="00CC659A" w:rsidRDefault="00CC659A" w:rsidP="001C55C5">
      <w:pPr>
        <w:spacing w:line="360" w:lineRule="auto"/>
        <w:ind w:firstLineChars="200" w:firstLine="480"/>
        <w:rPr>
          <w:rFonts w:ascii="Times New Roman" w:hAnsi="Times New Roman"/>
          <w:color w:val="000000" w:themeColor="text1"/>
          <w:sz w:val="24"/>
        </w:rPr>
      </w:pPr>
      <w:r w:rsidRPr="00CC659A">
        <w:rPr>
          <w:rFonts w:ascii="Times New Roman" w:hAnsi="Times New Roman" w:hint="eastAsia"/>
          <w:color w:val="000000" w:themeColor="text1"/>
          <w:sz w:val="24"/>
        </w:rPr>
        <w:t>4.3.2. Sample period adjustment</w:t>
      </w:r>
    </w:p>
    <w:p w14:paraId="6E4E58E5" w14:textId="4A1AC160" w:rsidR="00CC659A" w:rsidRDefault="004E1C7B" w:rsidP="001C55C5">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To assess robustness through sample period adjustment, we exclude pre-2008 data to mitigate potential distortion from the global financial crisis. This crisis likely led governments to deprioritize green innovation for economic stabilization. Regression results using the truncated dataset (2008 onward) show the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coefficient remains significant, though with a moderated effect magnitude compared to the full baseline. This indicates that while the crisis suppressed green innovation focus, the </w:t>
      </w:r>
      <w:r w:rsidR="00052E06">
        <w:rPr>
          <w:rFonts w:ascii="Times New Roman" w:hAnsi="Times New Roman" w:hint="eastAsia"/>
          <w:color w:val="000000" w:themeColor="text1"/>
          <w:sz w:val="24"/>
        </w:rPr>
        <w:t>LCCP</w:t>
      </w:r>
      <w:r w:rsidRPr="004E1C7B">
        <w:rPr>
          <w:rFonts w:ascii="Times New Roman" w:hAnsi="Times New Roman"/>
          <w:color w:val="000000" w:themeColor="text1"/>
          <w:sz w:val="24"/>
        </w:rPr>
        <w:t xml:space="preserve"> retained a statistically verifiable positive impact on regional green innovation.</w:t>
      </w:r>
    </w:p>
    <w:p w14:paraId="4B607EA2" w14:textId="51BDA899" w:rsidR="00CC659A" w:rsidRDefault="00CC659A" w:rsidP="001C55C5">
      <w:pPr>
        <w:spacing w:line="360" w:lineRule="auto"/>
        <w:ind w:firstLineChars="200" w:firstLine="480"/>
        <w:rPr>
          <w:rFonts w:ascii="Times New Roman" w:hAnsi="Times New Roman"/>
          <w:color w:val="000000" w:themeColor="text1"/>
          <w:sz w:val="24"/>
        </w:rPr>
      </w:pPr>
      <w:r w:rsidRPr="00CC659A">
        <w:rPr>
          <w:rFonts w:ascii="Times New Roman" w:hAnsi="Times New Roman" w:hint="eastAsia"/>
          <w:color w:val="000000" w:themeColor="text1"/>
          <w:sz w:val="24"/>
        </w:rPr>
        <w:t xml:space="preserve">4.3.3. Excluding </w:t>
      </w:r>
      <w:r w:rsidR="00F249FF">
        <w:rPr>
          <w:rFonts w:ascii="Times New Roman" w:hAnsi="Times New Roman" w:hint="eastAsia"/>
          <w:color w:val="000000" w:themeColor="text1"/>
          <w:sz w:val="24"/>
        </w:rPr>
        <w:t>m</w:t>
      </w:r>
      <w:r w:rsidRPr="00CC659A">
        <w:rPr>
          <w:rFonts w:ascii="Times New Roman" w:hAnsi="Times New Roman" w:hint="eastAsia"/>
          <w:color w:val="000000" w:themeColor="text1"/>
          <w:sz w:val="24"/>
        </w:rPr>
        <w:t>unicipalities</w:t>
      </w:r>
    </w:p>
    <w:p w14:paraId="360C51FC" w14:textId="1FB35DBC" w:rsidR="00CC659A" w:rsidRDefault="004E1C7B" w:rsidP="008C2500">
      <w:pPr>
        <w:spacing w:line="360" w:lineRule="auto"/>
        <w:ind w:firstLineChars="200" w:firstLine="480"/>
        <w:rPr>
          <w:rFonts w:ascii="Times New Roman" w:hAnsi="Times New Roman"/>
          <w:color w:val="000000" w:themeColor="text1"/>
          <w:sz w:val="24"/>
        </w:rPr>
      </w:pPr>
      <w:r w:rsidRPr="004E1C7B">
        <w:rPr>
          <w:rFonts w:ascii="Times New Roman" w:hAnsi="Times New Roman"/>
          <w:color w:val="000000" w:themeColor="text1"/>
          <w:sz w:val="24"/>
        </w:rPr>
        <w:t xml:space="preserve">While the multiple difference model assumes random selection of pilot cities, actual low-carbon pilot designations often correlate with economic development, historical factors, and geographic location. These pre-existing differences may confound policy effect estimates over time [2]. Notably, the four centrally administered municipalities (Beijing, Shanghai, Tianjin, Chongqing) exhibit elevated green innovation responsiveness due to their economic advantages, potentially biasing sample averages. To address this, we exclude these municipalities and re-estimate Model (1). Results show the </w:t>
      </w:r>
      <w:proofErr w:type="spellStart"/>
      <w:r w:rsidRPr="004E1C7B">
        <w:rPr>
          <w:rFonts w:ascii="Times New Roman" w:hAnsi="Times New Roman"/>
          <w:color w:val="000000" w:themeColor="text1"/>
          <w:sz w:val="24"/>
        </w:rPr>
        <w:t>lcpolicy</w:t>
      </w:r>
      <w:proofErr w:type="spellEnd"/>
      <w:r w:rsidRPr="004E1C7B">
        <w:rPr>
          <w:rFonts w:ascii="Times New Roman" w:hAnsi="Times New Roman"/>
          <w:color w:val="000000" w:themeColor="text1"/>
          <w:sz w:val="24"/>
        </w:rPr>
        <w:t xml:space="preserve"> coefficient remains significant at the 1% level though with reduced magnitude. This sample refinement improves model performance and suggests that policy effectiveness is constrained by local economic development - a relationship explored further in subsequent heterogeneity analysis.</w:t>
      </w:r>
    </w:p>
    <w:p w14:paraId="6A2C9356" w14:textId="2D6BC478" w:rsidR="00CC659A" w:rsidRDefault="00CC659A" w:rsidP="00450BDA">
      <w:pPr>
        <w:spacing w:line="360" w:lineRule="auto"/>
        <w:ind w:firstLineChars="200" w:firstLine="480"/>
        <w:jc w:val="center"/>
        <w:rPr>
          <w:rFonts w:ascii="Times New Roman" w:hAnsi="Times New Roman"/>
          <w:color w:val="000000" w:themeColor="text1"/>
          <w:sz w:val="24"/>
        </w:rPr>
      </w:pPr>
      <w:r w:rsidRPr="00CC659A">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3</w:t>
      </w:r>
      <w:r w:rsidRPr="00CC659A">
        <w:rPr>
          <w:rFonts w:ascii="Times New Roman" w:hAnsi="Times New Roman" w:hint="eastAsia"/>
          <w:b/>
          <w:bCs/>
          <w:color w:val="000000" w:themeColor="text1"/>
          <w:sz w:val="24"/>
        </w:rPr>
        <w:t xml:space="preserve">. </w:t>
      </w:r>
      <w:r w:rsidRPr="00CC659A">
        <w:rPr>
          <w:rFonts w:ascii="Times New Roman" w:hAnsi="Times New Roman" w:hint="eastAsia"/>
          <w:color w:val="000000" w:themeColor="text1"/>
          <w:sz w:val="24"/>
        </w:rPr>
        <w:t>Robustness checks</w:t>
      </w:r>
    </w:p>
    <w:tbl>
      <w:tblPr>
        <w:tblW w:w="5000" w:type="pct"/>
        <w:jc w:val="right"/>
        <w:tblCellMar>
          <w:left w:w="75" w:type="dxa"/>
          <w:right w:w="75" w:type="dxa"/>
        </w:tblCellMar>
        <w:tblLook w:val="04A0" w:firstRow="1" w:lastRow="0" w:firstColumn="1" w:lastColumn="0" w:noHBand="0" w:noVBand="1"/>
      </w:tblPr>
      <w:tblGrid>
        <w:gridCol w:w="1606"/>
        <w:gridCol w:w="1779"/>
        <w:gridCol w:w="1467"/>
        <w:gridCol w:w="1821"/>
        <w:gridCol w:w="1633"/>
      </w:tblGrid>
      <w:tr w:rsidR="00CC659A" w:rsidRPr="00CC659A" w14:paraId="6013AF6D" w14:textId="77777777" w:rsidTr="00CC659A">
        <w:trPr>
          <w:jc w:val="right"/>
        </w:trPr>
        <w:tc>
          <w:tcPr>
            <w:tcW w:w="967" w:type="pct"/>
            <w:tcBorders>
              <w:top w:val="single" w:sz="6" w:space="0" w:color="auto"/>
              <w:left w:val="nil"/>
              <w:bottom w:val="nil"/>
              <w:right w:val="nil"/>
            </w:tcBorders>
          </w:tcPr>
          <w:p w14:paraId="675E7D08" w14:textId="77777777" w:rsidR="00CC659A" w:rsidRPr="00CC659A" w:rsidRDefault="00CC659A" w:rsidP="00293BEF">
            <w:pPr>
              <w:spacing w:after="5" w:line="259" w:lineRule="auto"/>
              <w:ind w:firstLine="227"/>
              <w:rPr>
                <w:rFonts w:ascii="Times New Roman" w:eastAsia="Times New Roman" w:hAnsi="Times New Roman"/>
                <w:color w:val="000000" w:themeColor="text1"/>
              </w:rPr>
            </w:pPr>
          </w:p>
        </w:tc>
        <w:tc>
          <w:tcPr>
            <w:tcW w:w="1953" w:type="pct"/>
            <w:gridSpan w:val="2"/>
            <w:tcBorders>
              <w:top w:val="single" w:sz="6" w:space="0" w:color="auto"/>
              <w:left w:val="nil"/>
              <w:bottom w:val="nil"/>
              <w:right w:val="nil"/>
            </w:tcBorders>
          </w:tcPr>
          <w:p w14:paraId="2EEF98E3" w14:textId="77777777" w:rsidR="00CC659A" w:rsidRPr="00CC659A" w:rsidRDefault="00CC659A" w:rsidP="00293BEF">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1)Replace</w:t>
            </w:r>
            <w:proofErr w:type="gramEnd"/>
            <w:r w:rsidRPr="00CC659A">
              <w:rPr>
                <w:rFonts w:ascii="Times New Roman" w:eastAsia="Times New Roman" w:hAnsi="Times New Roman"/>
                <w:color w:val="000000" w:themeColor="text1"/>
              </w:rPr>
              <w:t xml:space="preserve"> the explanatory variables</w:t>
            </w:r>
          </w:p>
        </w:tc>
        <w:tc>
          <w:tcPr>
            <w:tcW w:w="1096" w:type="pct"/>
            <w:tcBorders>
              <w:top w:val="single" w:sz="6" w:space="0" w:color="auto"/>
              <w:left w:val="nil"/>
              <w:bottom w:val="nil"/>
              <w:right w:val="nil"/>
            </w:tcBorders>
          </w:tcPr>
          <w:p w14:paraId="38C91568" w14:textId="77777777" w:rsidR="00CC659A" w:rsidRPr="00CC659A" w:rsidRDefault="00CC659A" w:rsidP="00293BEF">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2)period</w:t>
            </w:r>
            <w:proofErr w:type="gramEnd"/>
            <w:r w:rsidRPr="00CC659A">
              <w:rPr>
                <w:rFonts w:ascii="Times New Roman" w:eastAsia="Times New Roman" w:hAnsi="Times New Roman"/>
                <w:color w:val="000000" w:themeColor="text1"/>
              </w:rPr>
              <w:t xml:space="preserve"> adjustment</w:t>
            </w:r>
          </w:p>
        </w:tc>
        <w:tc>
          <w:tcPr>
            <w:tcW w:w="984" w:type="pct"/>
            <w:tcBorders>
              <w:top w:val="single" w:sz="6" w:space="0" w:color="auto"/>
              <w:left w:val="nil"/>
              <w:bottom w:val="nil"/>
              <w:right w:val="nil"/>
            </w:tcBorders>
          </w:tcPr>
          <w:p w14:paraId="15470190" w14:textId="77777777" w:rsidR="00CC659A" w:rsidRPr="00CC659A" w:rsidRDefault="00CC659A" w:rsidP="00293BEF">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w:t>
            </w:r>
            <w:proofErr w:type="gramStart"/>
            <w:r w:rsidRPr="00CC659A">
              <w:rPr>
                <w:rFonts w:ascii="Times New Roman" w:eastAsia="Times New Roman" w:hAnsi="Times New Roman"/>
                <w:color w:val="000000" w:themeColor="text1"/>
              </w:rPr>
              <w:t>3)Excluding</w:t>
            </w:r>
            <w:proofErr w:type="gramEnd"/>
            <w:r w:rsidRPr="00CC659A">
              <w:rPr>
                <w:rFonts w:ascii="Times New Roman" w:eastAsia="Times New Roman" w:hAnsi="Times New Roman"/>
                <w:color w:val="000000" w:themeColor="text1"/>
              </w:rPr>
              <w:t xml:space="preserve"> Municipalities</w:t>
            </w:r>
          </w:p>
        </w:tc>
      </w:tr>
      <w:tr w:rsidR="00CC659A" w14:paraId="6163261B" w14:textId="77777777" w:rsidTr="00CC659A">
        <w:trPr>
          <w:jc w:val="right"/>
        </w:trPr>
        <w:tc>
          <w:tcPr>
            <w:tcW w:w="967" w:type="pct"/>
            <w:tcBorders>
              <w:top w:val="nil"/>
              <w:left w:val="nil"/>
              <w:bottom w:val="single" w:sz="6" w:space="0" w:color="auto"/>
              <w:right w:val="nil"/>
            </w:tcBorders>
          </w:tcPr>
          <w:p w14:paraId="6E3DD8B0" w14:textId="77777777" w:rsidR="00CC659A" w:rsidRPr="00CC659A" w:rsidRDefault="00CC659A" w:rsidP="00CC659A">
            <w:pPr>
              <w:spacing w:after="5" w:line="259" w:lineRule="auto"/>
              <w:ind w:firstLineChars="100" w:firstLine="221"/>
              <w:rPr>
                <w:rFonts w:ascii="Times New Roman" w:eastAsia="Times New Roman" w:hAnsi="Times New Roman"/>
                <w:b/>
                <w:bCs/>
                <w:color w:val="000000" w:themeColor="text1"/>
              </w:rPr>
            </w:pPr>
            <w:r w:rsidRPr="00CC659A">
              <w:rPr>
                <w:rFonts w:ascii="Times New Roman" w:eastAsia="Times New Roman" w:hAnsi="Times New Roman" w:hint="eastAsia"/>
                <w:b/>
                <w:bCs/>
                <w:color w:val="000000" w:themeColor="text1"/>
                <w:sz w:val="22"/>
                <w:szCs w:val="24"/>
              </w:rPr>
              <w:lastRenderedPageBreak/>
              <w:t>Variable</w:t>
            </w:r>
          </w:p>
        </w:tc>
        <w:tc>
          <w:tcPr>
            <w:tcW w:w="1071" w:type="pct"/>
            <w:tcBorders>
              <w:top w:val="nil"/>
              <w:left w:val="nil"/>
              <w:bottom w:val="single" w:sz="6" w:space="0" w:color="auto"/>
              <w:right w:val="nil"/>
            </w:tcBorders>
          </w:tcPr>
          <w:p w14:paraId="55AECDF3" w14:textId="77777777" w:rsidR="00CC659A" w:rsidRPr="00CC659A" w:rsidRDefault="00CC659A" w:rsidP="00CC659A">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color w:val="000000" w:themeColor="text1"/>
              </w:rPr>
              <w:t>g</w:t>
            </w:r>
            <w:r w:rsidRPr="00CC659A">
              <w:rPr>
                <w:rFonts w:ascii="Times New Roman" w:eastAsia="Times New Roman" w:hAnsi="Times New Roman" w:hint="eastAsia"/>
                <w:color w:val="000000" w:themeColor="text1"/>
              </w:rPr>
              <w:t>i</w:t>
            </w:r>
            <w:r w:rsidRPr="00CC659A">
              <w:rPr>
                <w:rFonts w:ascii="Times New Roman" w:eastAsia="Times New Roman" w:hAnsi="Times New Roman"/>
                <w:color w:val="000000" w:themeColor="text1"/>
              </w:rPr>
              <w:t>_2</w:t>
            </w:r>
          </w:p>
        </w:tc>
        <w:tc>
          <w:tcPr>
            <w:tcW w:w="883" w:type="pct"/>
            <w:tcBorders>
              <w:top w:val="nil"/>
              <w:left w:val="nil"/>
              <w:bottom w:val="single" w:sz="6" w:space="0" w:color="auto"/>
              <w:right w:val="nil"/>
            </w:tcBorders>
          </w:tcPr>
          <w:p w14:paraId="2E1FC06A" w14:textId="77777777" w:rsidR="00CC659A" w:rsidRPr="00CC659A" w:rsidRDefault="00CC659A" w:rsidP="00CC659A">
            <w:pPr>
              <w:spacing w:after="5" w:line="259" w:lineRule="auto"/>
              <w:jc w:val="center"/>
              <w:rPr>
                <w:rFonts w:ascii="Times New Roman" w:eastAsia="Times New Roman" w:hAnsi="Times New Roman"/>
                <w:color w:val="000000" w:themeColor="text1"/>
              </w:rPr>
            </w:pPr>
            <w:r w:rsidRPr="00CC659A">
              <w:rPr>
                <w:rFonts w:ascii="Times New Roman" w:eastAsia="Times New Roman" w:hAnsi="Times New Roman" w:hint="eastAsia"/>
                <w:color w:val="000000" w:themeColor="text1"/>
              </w:rPr>
              <w:t>gi_3</w:t>
            </w:r>
          </w:p>
        </w:tc>
        <w:tc>
          <w:tcPr>
            <w:tcW w:w="1096" w:type="pct"/>
            <w:tcBorders>
              <w:top w:val="nil"/>
              <w:left w:val="nil"/>
              <w:bottom w:val="single" w:sz="6" w:space="0" w:color="auto"/>
              <w:right w:val="nil"/>
            </w:tcBorders>
          </w:tcPr>
          <w:p w14:paraId="132573E2" w14:textId="77777777" w:rsidR="00CC659A" w:rsidRPr="00CC659A" w:rsidRDefault="00CC659A" w:rsidP="00CC659A">
            <w:pPr>
              <w:spacing w:after="5" w:line="259" w:lineRule="auto"/>
              <w:jc w:val="center"/>
              <w:rPr>
                <w:rFonts w:ascii="Times New Roman" w:eastAsia="Times New Roman" w:hAnsi="Times New Roman"/>
                <w:color w:val="000000" w:themeColor="text1"/>
              </w:rPr>
            </w:pPr>
            <w:proofErr w:type="spellStart"/>
            <w:r w:rsidRPr="00CC659A">
              <w:rPr>
                <w:rFonts w:ascii="Times New Roman" w:eastAsia="Times New Roman" w:hAnsi="Times New Roman" w:hint="eastAsia"/>
                <w:color w:val="000000" w:themeColor="text1"/>
              </w:rPr>
              <w:t>gi</w:t>
            </w:r>
            <w:proofErr w:type="spellEnd"/>
          </w:p>
        </w:tc>
        <w:tc>
          <w:tcPr>
            <w:tcW w:w="984" w:type="pct"/>
            <w:tcBorders>
              <w:top w:val="nil"/>
              <w:left w:val="nil"/>
              <w:bottom w:val="single" w:sz="6" w:space="0" w:color="auto"/>
              <w:right w:val="nil"/>
            </w:tcBorders>
          </w:tcPr>
          <w:p w14:paraId="1EDB629F" w14:textId="77777777" w:rsidR="00CC659A" w:rsidRPr="00CC659A" w:rsidRDefault="00CC659A" w:rsidP="00CC659A">
            <w:pPr>
              <w:spacing w:after="5" w:line="259" w:lineRule="auto"/>
              <w:jc w:val="center"/>
              <w:rPr>
                <w:rFonts w:ascii="Times New Roman" w:eastAsia="Times New Roman" w:hAnsi="Times New Roman"/>
                <w:color w:val="000000" w:themeColor="text1"/>
              </w:rPr>
            </w:pPr>
            <w:proofErr w:type="spellStart"/>
            <w:r w:rsidRPr="00CC659A">
              <w:rPr>
                <w:rFonts w:ascii="Times New Roman" w:eastAsia="Times New Roman" w:hAnsi="Times New Roman" w:hint="eastAsia"/>
                <w:color w:val="000000" w:themeColor="text1"/>
              </w:rPr>
              <w:t>gi</w:t>
            </w:r>
            <w:proofErr w:type="spellEnd"/>
          </w:p>
        </w:tc>
      </w:tr>
      <w:tr w:rsidR="00CC659A" w14:paraId="48BF0B22" w14:textId="77777777" w:rsidTr="00CC659A">
        <w:trPr>
          <w:jc w:val="right"/>
        </w:trPr>
        <w:tc>
          <w:tcPr>
            <w:tcW w:w="967" w:type="pct"/>
            <w:tcBorders>
              <w:top w:val="nil"/>
              <w:left w:val="nil"/>
              <w:bottom w:val="nil"/>
              <w:right w:val="nil"/>
            </w:tcBorders>
          </w:tcPr>
          <w:p w14:paraId="33B9CA6D"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lcpolicy</w:t>
            </w:r>
            <w:proofErr w:type="spellEnd"/>
          </w:p>
        </w:tc>
        <w:tc>
          <w:tcPr>
            <w:tcW w:w="1071" w:type="pct"/>
            <w:tcBorders>
              <w:top w:val="nil"/>
              <w:left w:val="nil"/>
              <w:bottom w:val="nil"/>
              <w:right w:val="nil"/>
            </w:tcBorders>
          </w:tcPr>
          <w:p w14:paraId="799791A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0.2281***</w:t>
            </w:r>
          </w:p>
        </w:tc>
        <w:tc>
          <w:tcPr>
            <w:tcW w:w="883" w:type="pct"/>
            <w:tcBorders>
              <w:top w:val="nil"/>
              <w:left w:val="nil"/>
              <w:bottom w:val="nil"/>
              <w:right w:val="nil"/>
            </w:tcBorders>
          </w:tcPr>
          <w:p w14:paraId="46BBE6F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0.1669***</w:t>
            </w:r>
          </w:p>
        </w:tc>
        <w:tc>
          <w:tcPr>
            <w:tcW w:w="1096" w:type="pct"/>
            <w:tcBorders>
              <w:top w:val="nil"/>
              <w:left w:val="nil"/>
              <w:bottom w:val="nil"/>
              <w:right w:val="nil"/>
            </w:tcBorders>
          </w:tcPr>
          <w:p w14:paraId="3198AB8F"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0.3852***</w:t>
            </w:r>
          </w:p>
        </w:tc>
        <w:tc>
          <w:tcPr>
            <w:tcW w:w="984" w:type="pct"/>
            <w:tcBorders>
              <w:top w:val="nil"/>
              <w:left w:val="nil"/>
              <w:bottom w:val="nil"/>
              <w:right w:val="nil"/>
            </w:tcBorders>
          </w:tcPr>
          <w:p w14:paraId="48FA6344"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0.2644***</w:t>
            </w:r>
          </w:p>
        </w:tc>
      </w:tr>
      <w:tr w:rsidR="00CC659A" w14:paraId="13551277" w14:textId="77777777" w:rsidTr="00CC659A">
        <w:trPr>
          <w:jc w:val="right"/>
        </w:trPr>
        <w:tc>
          <w:tcPr>
            <w:tcW w:w="967" w:type="pct"/>
            <w:tcBorders>
              <w:top w:val="nil"/>
              <w:left w:val="nil"/>
              <w:bottom w:val="nil"/>
              <w:right w:val="nil"/>
            </w:tcBorders>
          </w:tcPr>
          <w:p w14:paraId="641AF29D"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78DA5403"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(0.031)</w:t>
            </w:r>
          </w:p>
        </w:tc>
        <w:tc>
          <w:tcPr>
            <w:tcW w:w="883" w:type="pct"/>
            <w:tcBorders>
              <w:top w:val="nil"/>
              <w:left w:val="nil"/>
              <w:bottom w:val="nil"/>
              <w:right w:val="nil"/>
            </w:tcBorders>
          </w:tcPr>
          <w:p w14:paraId="6AD5F544"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(0.026)</w:t>
            </w:r>
          </w:p>
        </w:tc>
        <w:tc>
          <w:tcPr>
            <w:tcW w:w="1096" w:type="pct"/>
            <w:tcBorders>
              <w:top w:val="nil"/>
              <w:left w:val="nil"/>
              <w:bottom w:val="nil"/>
              <w:right w:val="nil"/>
            </w:tcBorders>
          </w:tcPr>
          <w:p w14:paraId="2D2F2D6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(0.063)</w:t>
            </w:r>
          </w:p>
        </w:tc>
        <w:tc>
          <w:tcPr>
            <w:tcW w:w="984" w:type="pct"/>
            <w:tcBorders>
              <w:top w:val="nil"/>
              <w:left w:val="nil"/>
              <w:bottom w:val="nil"/>
              <w:right w:val="nil"/>
            </w:tcBorders>
          </w:tcPr>
          <w:p w14:paraId="05EDEAC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(0.058)</w:t>
            </w:r>
          </w:p>
        </w:tc>
      </w:tr>
      <w:tr w:rsidR="00CC659A" w14:paraId="31C6B863" w14:textId="77777777" w:rsidTr="00CC659A">
        <w:trPr>
          <w:jc w:val="right"/>
        </w:trPr>
        <w:tc>
          <w:tcPr>
            <w:tcW w:w="967" w:type="pct"/>
            <w:tcBorders>
              <w:top w:val="nil"/>
              <w:left w:val="nil"/>
              <w:bottom w:val="nil"/>
              <w:right w:val="nil"/>
            </w:tcBorders>
          </w:tcPr>
          <w:p w14:paraId="41B212DB"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1071" w:type="pct"/>
            <w:tcBorders>
              <w:top w:val="nil"/>
              <w:left w:val="nil"/>
              <w:bottom w:val="nil"/>
              <w:right w:val="nil"/>
            </w:tcBorders>
          </w:tcPr>
          <w:p w14:paraId="678A3B2A"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-0.5039***</w:t>
            </w:r>
          </w:p>
        </w:tc>
        <w:tc>
          <w:tcPr>
            <w:tcW w:w="883" w:type="pct"/>
            <w:tcBorders>
              <w:top w:val="nil"/>
              <w:left w:val="nil"/>
              <w:bottom w:val="nil"/>
              <w:right w:val="nil"/>
            </w:tcBorders>
          </w:tcPr>
          <w:p w14:paraId="3D0CB1C5"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-0.6262***</w:t>
            </w:r>
          </w:p>
        </w:tc>
        <w:tc>
          <w:tcPr>
            <w:tcW w:w="1096" w:type="pct"/>
            <w:tcBorders>
              <w:top w:val="nil"/>
              <w:left w:val="nil"/>
              <w:bottom w:val="nil"/>
              <w:right w:val="nil"/>
            </w:tcBorders>
          </w:tcPr>
          <w:p w14:paraId="2B0CA18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-0.8562***</w:t>
            </w:r>
          </w:p>
        </w:tc>
        <w:tc>
          <w:tcPr>
            <w:tcW w:w="984" w:type="pct"/>
            <w:tcBorders>
              <w:top w:val="nil"/>
              <w:left w:val="nil"/>
              <w:bottom w:val="nil"/>
              <w:right w:val="nil"/>
            </w:tcBorders>
          </w:tcPr>
          <w:p w14:paraId="1E9E1635"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-0.5875***</w:t>
            </w:r>
          </w:p>
        </w:tc>
      </w:tr>
      <w:tr w:rsidR="00CC659A" w14:paraId="6E04C925" w14:textId="77777777" w:rsidTr="00CC659A">
        <w:trPr>
          <w:jc w:val="right"/>
        </w:trPr>
        <w:tc>
          <w:tcPr>
            <w:tcW w:w="967" w:type="pct"/>
            <w:tcBorders>
              <w:top w:val="nil"/>
              <w:left w:val="nil"/>
              <w:bottom w:val="nil"/>
              <w:right w:val="nil"/>
            </w:tcBorders>
          </w:tcPr>
          <w:p w14:paraId="2F9C6C3B"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1EF0EB1A"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(0.090)</w:t>
            </w:r>
          </w:p>
        </w:tc>
        <w:tc>
          <w:tcPr>
            <w:tcW w:w="883" w:type="pct"/>
            <w:tcBorders>
              <w:top w:val="nil"/>
              <w:left w:val="nil"/>
              <w:bottom w:val="nil"/>
              <w:right w:val="nil"/>
            </w:tcBorders>
          </w:tcPr>
          <w:p w14:paraId="1B780BD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(0.076)</w:t>
            </w:r>
          </w:p>
        </w:tc>
        <w:tc>
          <w:tcPr>
            <w:tcW w:w="1096" w:type="pct"/>
            <w:tcBorders>
              <w:top w:val="nil"/>
              <w:left w:val="nil"/>
              <w:bottom w:val="nil"/>
              <w:right w:val="nil"/>
            </w:tcBorders>
          </w:tcPr>
          <w:p w14:paraId="676B880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(0.211)</w:t>
            </w:r>
          </w:p>
        </w:tc>
        <w:tc>
          <w:tcPr>
            <w:tcW w:w="984" w:type="pct"/>
            <w:tcBorders>
              <w:top w:val="nil"/>
              <w:left w:val="nil"/>
              <w:bottom w:val="nil"/>
              <w:right w:val="nil"/>
            </w:tcBorders>
          </w:tcPr>
          <w:p w14:paraId="234D7817"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(0.194)</w:t>
            </w:r>
          </w:p>
        </w:tc>
      </w:tr>
      <w:tr w:rsidR="00CC659A" w14:paraId="400DD0BD" w14:textId="77777777" w:rsidTr="00CC659A">
        <w:trPr>
          <w:jc w:val="right"/>
        </w:trPr>
        <w:tc>
          <w:tcPr>
            <w:tcW w:w="967" w:type="pct"/>
            <w:tcBorders>
              <w:top w:val="nil"/>
              <w:left w:val="nil"/>
              <w:bottom w:val="nil"/>
              <w:right w:val="nil"/>
            </w:tcBorders>
          </w:tcPr>
          <w:p w14:paraId="48A57286"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popuden</w:t>
            </w:r>
            <w:proofErr w:type="spellEnd"/>
          </w:p>
        </w:tc>
        <w:tc>
          <w:tcPr>
            <w:tcW w:w="1071" w:type="pct"/>
            <w:tcBorders>
              <w:top w:val="nil"/>
              <w:left w:val="nil"/>
              <w:bottom w:val="nil"/>
              <w:right w:val="nil"/>
            </w:tcBorders>
          </w:tcPr>
          <w:p w14:paraId="0E274FAE"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0.0005***</w:t>
            </w:r>
          </w:p>
        </w:tc>
        <w:tc>
          <w:tcPr>
            <w:tcW w:w="883" w:type="pct"/>
            <w:tcBorders>
              <w:top w:val="nil"/>
              <w:left w:val="nil"/>
              <w:bottom w:val="nil"/>
              <w:right w:val="nil"/>
            </w:tcBorders>
          </w:tcPr>
          <w:p w14:paraId="15288740"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0.0004***</w:t>
            </w:r>
          </w:p>
        </w:tc>
        <w:tc>
          <w:tcPr>
            <w:tcW w:w="1096" w:type="pct"/>
            <w:tcBorders>
              <w:top w:val="nil"/>
              <w:left w:val="nil"/>
              <w:bottom w:val="nil"/>
              <w:right w:val="nil"/>
            </w:tcBorders>
          </w:tcPr>
          <w:p w14:paraId="4ED96F33"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0.0013***</w:t>
            </w:r>
          </w:p>
        </w:tc>
        <w:tc>
          <w:tcPr>
            <w:tcW w:w="984" w:type="pct"/>
            <w:tcBorders>
              <w:top w:val="nil"/>
              <w:left w:val="nil"/>
              <w:bottom w:val="nil"/>
              <w:right w:val="nil"/>
            </w:tcBorders>
          </w:tcPr>
          <w:p w14:paraId="068BE646"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0.0013***</w:t>
            </w:r>
          </w:p>
        </w:tc>
      </w:tr>
      <w:tr w:rsidR="00CC659A" w14:paraId="176621DE" w14:textId="77777777" w:rsidTr="00CC659A">
        <w:trPr>
          <w:jc w:val="right"/>
        </w:trPr>
        <w:tc>
          <w:tcPr>
            <w:tcW w:w="967" w:type="pct"/>
            <w:tcBorders>
              <w:top w:val="nil"/>
              <w:left w:val="nil"/>
              <w:bottom w:val="nil"/>
              <w:right w:val="nil"/>
            </w:tcBorders>
          </w:tcPr>
          <w:p w14:paraId="6D0DBD2C"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431F2B0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883" w:type="pct"/>
            <w:tcBorders>
              <w:top w:val="nil"/>
              <w:left w:val="nil"/>
              <w:bottom w:val="nil"/>
              <w:right w:val="nil"/>
            </w:tcBorders>
          </w:tcPr>
          <w:p w14:paraId="1DC1C67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1096" w:type="pct"/>
            <w:tcBorders>
              <w:top w:val="nil"/>
              <w:left w:val="nil"/>
              <w:bottom w:val="nil"/>
              <w:right w:val="nil"/>
            </w:tcBorders>
          </w:tcPr>
          <w:p w14:paraId="2DE79BC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984" w:type="pct"/>
            <w:tcBorders>
              <w:top w:val="nil"/>
              <w:left w:val="nil"/>
              <w:bottom w:val="nil"/>
              <w:right w:val="nil"/>
            </w:tcBorders>
          </w:tcPr>
          <w:p w14:paraId="2950AF6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r>
      <w:tr w:rsidR="00CC659A" w14:paraId="64527A2E" w14:textId="77777777" w:rsidTr="00CC659A">
        <w:trPr>
          <w:jc w:val="right"/>
        </w:trPr>
        <w:tc>
          <w:tcPr>
            <w:tcW w:w="967" w:type="pct"/>
            <w:tcBorders>
              <w:top w:val="nil"/>
              <w:left w:val="nil"/>
              <w:bottom w:val="nil"/>
              <w:right w:val="nil"/>
            </w:tcBorders>
          </w:tcPr>
          <w:p w14:paraId="442E098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ind_stru2</w:t>
            </w:r>
          </w:p>
        </w:tc>
        <w:tc>
          <w:tcPr>
            <w:tcW w:w="1071" w:type="pct"/>
            <w:tcBorders>
              <w:top w:val="nil"/>
              <w:left w:val="nil"/>
              <w:bottom w:val="nil"/>
              <w:right w:val="nil"/>
            </w:tcBorders>
          </w:tcPr>
          <w:p w14:paraId="352F7B1F"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-0.0106***</w:t>
            </w:r>
          </w:p>
        </w:tc>
        <w:tc>
          <w:tcPr>
            <w:tcW w:w="883" w:type="pct"/>
            <w:tcBorders>
              <w:top w:val="nil"/>
              <w:left w:val="nil"/>
              <w:bottom w:val="nil"/>
              <w:right w:val="nil"/>
            </w:tcBorders>
          </w:tcPr>
          <w:p w14:paraId="7993254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-0.0080***</w:t>
            </w:r>
          </w:p>
        </w:tc>
        <w:tc>
          <w:tcPr>
            <w:tcW w:w="1096" w:type="pct"/>
            <w:tcBorders>
              <w:top w:val="nil"/>
              <w:left w:val="nil"/>
              <w:bottom w:val="nil"/>
              <w:right w:val="nil"/>
            </w:tcBorders>
          </w:tcPr>
          <w:p w14:paraId="1D093C6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-0.0075</w:t>
            </w:r>
          </w:p>
        </w:tc>
        <w:tc>
          <w:tcPr>
            <w:tcW w:w="984" w:type="pct"/>
            <w:tcBorders>
              <w:top w:val="nil"/>
              <w:left w:val="nil"/>
              <w:bottom w:val="nil"/>
              <w:right w:val="nil"/>
            </w:tcBorders>
          </w:tcPr>
          <w:p w14:paraId="065E223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-0.0105*</w:t>
            </w:r>
          </w:p>
        </w:tc>
      </w:tr>
      <w:tr w:rsidR="00CC659A" w14:paraId="3FA90746" w14:textId="77777777" w:rsidTr="00CC659A">
        <w:trPr>
          <w:jc w:val="right"/>
        </w:trPr>
        <w:tc>
          <w:tcPr>
            <w:tcW w:w="967" w:type="pct"/>
            <w:tcBorders>
              <w:top w:val="nil"/>
              <w:left w:val="nil"/>
              <w:bottom w:val="nil"/>
              <w:right w:val="nil"/>
            </w:tcBorders>
          </w:tcPr>
          <w:p w14:paraId="4B262262"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1101E41E"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(0.003)</w:t>
            </w:r>
          </w:p>
        </w:tc>
        <w:tc>
          <w:tcPr>
            <w:tcW w:w="883" w:type="pct"/>
            <w:tcBorders>
              <w:top w:val="nil"/>
              <w:left w:val="nil"/>
              <w:bottom w:val="nil"/>
              <w:right w:val="nil"/>
            </w:tcBorders>
          </w:tcPr>
          <w:p w14:paraId="10991690"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(0.002)</w:t>
            </w:r>
          </w:p>
        </w:tc>
        <w:tc>
          <w:tcPr>
            <w:tcW w:w="1096" w:type="pct"/>
            <w:tcBorders>
              <w:top w:val="nil"/>
              <w:left w:val="nil"/>
              <w:bottom w:val="nil"/>
              <w:right w:val="nil"/>
            </w:tcBorders>
          </w:tcPr>
          <w:p w14:paraId="5C03469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(0.006)</w:t>
            </w:r>
          </w:p>
        </w:tc>
        <w:tc>
          <w:tcPr>
            <w:tcW w:w="984" w:type="pct"/>
            <w:tcBorders>
              <w:top w:val="nil"/>
              <w:left w:val="nil"/>
              <w:bottom w:val="nil"/>
              <w:right w:val="nil"/>
            </w:tcBorders>
          </w:tcPr>
          <w:p w14:paraId="04B8C6A3"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(0.005)</w:t>
            </w:r>
          </w:p>
        </w:tc>
      </w:tr>
      <w:tr w:rsidR="00CC659A" w14:paraId="5433F83D" w14:textId="77777777" w:rsidTr="00CC659A">
        <w:trPr>
          <w:jc w:val="right"/>
        </w:trPr>
        <w:tc>
          <w:tcPr>
            <w:tcW w:w="967" w:type="pct"/>
            <w:tcBorders>
              <w:top w:val="nil"/>
              <w:left w:val="nil"/>
              <w:bottom w:val="nil"/>
              <w:right w:val="nil"/>
            </w:tcBorders>
          </w:tcPr>
          <w:p w14:paraId="5288DAC6"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1071" w:type="pct"/>
            <w:tcBorders>
              <w:top w:val="nil"/>
              <w:left w:val="nil"/>
              <w:bottom w:val="nil"/>
              <w:right w:val="nil"/>
            </w:tcBorders>
          </w:tcPr>
          <w:p w14:paraId="673DCFA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-0.2879***</w:t>
            </w:r>
          </w:p>
        </w:tc>
        <w:tc>
          <w:tcPr>
            <w:tcW w:w="883" w:type="pct"/>
            <w:tcBorders>
              <w:top w:val="nil"/>
              <w:left w:val="nil"/>
              <w:bottom w:val="nil"/>
              <w:right w:val="nil"/>
            </w:tcBorders>
          </w:tcPr>
          <w:p w14:paraId="4954C8F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-0.3890***</w:t>
            </w:r>
          </w:p>
        </w:tc>
        <w:tc>
          <w:tcPr>
            <w:tcW w:w="1096" w:type="pct"/>
            <w:tcBorders>
              <w:top w:val="nil"/>
              <w:left w:val="nil"/>
              <w:bottom w:val="nil"/>
              <w:right w:val="nil"/>
            </w:tcBorders>
          </w:tcPr>
          <w:p w14:paraId="54AF3AA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-0.4583***</w:t>
            </w:r>
          </w:p>
        </w:tc>
        <w:tc>
          <w:tcPr>
            <w:tcW w:w="984" w:type="pct"/>
            <w:tcBorders>
              <w:top w:val="nil"/>
              <w:left w:val="nil"/>
              <w:bottom w:val="nil"/>
              <w:right w:val="nil"/>
            </w:tcBorders>
          </w:tcPr>
          <w:p w14:paraId="616AAB2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-0.4573***</w:t>
            </w:r>
          </w:p>
        </w:tc>
      </w:tr>
      <w:tr w:rsidR="00CC659A" w14:paraId="13579299" w14:textId="77777777" w:rsidTr="00CC659A">
        <w:trPr>
          <w:jc w:val="right"/>
        </w:trPr>
        <w:tc>
          <w:tcPr>
            <w:tcW w:w="967" w:type="pct"/>
            <w:tcBorders>
              <w:top w:val="nil"/>
              <w:left w:val="nil"/>
              <w:bottom w:val="nil"/>
              <w:right w:val="nil"/>
            </w:tcBorders>
          </w:tcPr>
          <w:p w14:paraId="68C72189"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3A5E7BC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(0.078)</w:t>
            </w:r>
          </w:p>
        </w:tc>
        <w:tc>
          <w:tcPr>
            <w:tcW w:w="883" w:type="pct"/>
            <w:tcBorders>
              <w:top w:val="nil"/>
              <w:left w:val="nil"/>
              <w:bottom w:val="nil"/>
              <w:right w:val="nil"/>
            </w:tcBorders>
          </w:tcPr>
          <w:p w14:paraId="55BE860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(0.066)</w:t>
            </w:r>
          </w:p>
        </w:tc>
        <w:tc>
          <w:tcPr>
            <w:tcW w:w="1096" w:type="pct"/>
            <w:tcBorders>
              <w:top w:val="nil"/>
              <w:left w:val="nil"/>
              <w:bottom w:val="nil"/>
              <w:right w:val="nil"/>
            </w:tcBorders>
          </w:tcPr>
          <w:p w14:paraId="0928E8D4"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(0.173)</w:t>
            </w:r>
          </w:p>
        </w:tc>
        <w:tc>
          <w:tcPr>
            <w:tcW w:w="984" w:type="pct"/>
            <w:tcBorders>
              <w:top w:val="nil"/>
              <w:left w:val="nil"/>
              <w:bottom w:val="nil"/>
              <w:right w:val="nil"/>
            </w:tcBorders>
          </w:tcPr>
          <w:p w14:paraId="0178D387"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(0.157)</w:t>
            </w:r>
          </w:p>
        </w:tc>
      </w:tr>
      <w:tr w:rsidR="00CC659A" w14:paraId="1C3D8F5A" w14:textId="77777777" w:rsidTr="00CC659A">
        <w:trPr>
          <w:jc w:val="right"/>
        </w:trPr>
        <w:tc>
          <w:tcPr>
            <w:tcW w:w="967" w:type="pct"/>
            <w:tcBorders>
              <w:top w:val="nil"/>
              <w:left w:val="nil"/>
              <w:bottom w:val="nil"/>
              <w:right w:val="nil"/>
            </w:tcBorders>
          </w:tcPr>
          <w:p w14:paraId="219FC609"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1071" w:type="pct"/>
            <w:tcBorders>
              <w:top w:val="nil"/>
              <w:left w:val="nil"/>
              <w:bottom w:val="nil"/>
              <w:right w:val="nil"/>
            </w:tcBorders>
          </w:tcPr>
          <w:p w14:paraId="097D0D1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-0.1784***</w:t>
            </w:r>
          </w:p>
        </w:tc>
        <w:tc>
          <w:tcPr>
            <w:tcW w:w="883" w:type="pct"/>
            <w:tcBorders>
              <w:top w:val="nil"/>
              <w:left w:val="nil"/>
              <w:bottom w:val="nil"/>
              <w:right w:val="nil"/>
            </w:tcBorders>
          </w:tcPr>
          <w:p w14:paraId="1D6B137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-0.1121***</w:t>
            </w:r>
          </w:p>
        </w:tc>
        <w:tc>
          <w:tcPr>
            <w:tcW w:w="1096" w:type="pct"/>
            <w:tcBorders>
              <w:top w:val="nil"/>
              <w:left w:val="nil"/>
              <w:bottom w:val="nil"/>
              <w:right w:val="nil"/>
            </w:tcBorders>
          </w:tcPr>
          <w:p w14:paraId="2FD5921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-0.2090***</w:t>
            </w:r>
          </w:p>
        </w:tc>
        <w:tc>
          <w:tcPr>
            <w:tcW w:w="984" w:type="pct"/>
            <w:tcBorders>
              <w:top w:val="nil"/>
              <w:left w:val="nil"/>
              <w:bottom w:val="nil"/>
              <w:right w:val="nil"/>
            </w:tcBorders>
          </w:tcPr>
          <w:p w14:paraId="2F52F2E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-0.1603***</w:t>
            </w:r>
          </w:p>
        </w:tc>
      </w:tr>
      <w:tr w:rsidR="00CC659A" w14:paraId="5D147065" w14:textId="77777777" w:rsidTr="00CC659A">
        <w:trPr>
          <w:jc w:val="right"/>
        </w:trPr>
        <w:tc>
          <w:tcPr>
            <w:tcW w:w="967" w:type="pct"/>
            <w:tcBorders>
              <w:top w:val="nil"/>
              <w:left w:val="nil"/>
              <w:bottom w:val="nil"/>
              <w:right w:val="nil"/>
            </w:tcBorders>
          </w:tcPr>
          <w:p w14:paraId="00B14275"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2B4F3AAA"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(0.024)</w:t>
            </w:r>
          </w:p>
        </w:tc>
        <w:tc>
          <w:tcPr>
            <w:tcW w:w="883" w:type="pct"/>
            <w:tcBorders>
              <w:top w:val="nil"/>
              <w:left w:val="nil"/>
              <w:bottom w:val="nil"/>
              <w:right w:val="nil"/>
            </w:tcBorders>
          </w:tcPr>
          <w:p w14:paraId="198A57C7"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(0.021)</w:t>
            </w:r>
          </w:p>
        </w:tc>
        <w:tc>
          <w:tcPr>
            <w:tcW w:w="1096" w:type="pct"/>
            <w:tcBorders>
              <w:top w:val="nil"/>
              <w:left w:val="nil"/>
              <w:bottom w:val="nil"/>
              <w:right w:val="nil"/>
            </w:tcBorders>
          </w:tcPr>
          <w:p w14:paraId="6B56239D"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(0.053)</w:t>
            </w:r>
          </w:p>
        </w:tc>
        <w:tc>
          <w:tcPr>
            <w:tcW w:w="984" w:type="pct"/>
            <w:tcBorders>
              <w:top w:val="nil"/>
              <w:left w:val="nil"/>
              <w:bottom w:val="nil"/>
              <w:right w:val="nil"/>
            </w:tcBorders>
          </w:tcPr>
          <w:p w14:paraId="62A1325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(0.051)</w:t>
            </w:r>
          </w:p>
        </w:tc>
      </w:tr>
      <w:tr w:rsidR="00CC659A" w14:paraId="7B6F04D6" w14:textId="77777777" w:rsidTr="00CC659A">
        <w:trPr>
          <w:jc w:val="right"/>
        </w:trPr>
        <w:tc>
          <w:tcPr>
            <w:tcW w:w="967" w:type="pct"/>
            <w:tcBorders>
              <w:top w:val="nil"/>
              <w:left w:val="nil"/>
              <w:bottom w:val="nil"/>
              <w:right w:val="nil"/>
            </w:tcBorders>
          </w:tcPr>
          <w:p w14:paraId="7428AF26"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Constant</w:t>
            </w:r>
          </w:p>
        </w:tc>
        <w:tc>
          <w:tcPr>
            <w:tcW w:w="1071" w:type="pct"/>
            <w:tcBorders>
              <w:top w:val="nil"/>
              <w:left w:val="nil"/>
              <w:bottom w:val="nil"/>
              <w:right w:val="nil"/>
            </w:tcBorders>
          </w:tcPr>
          <w:p w14:paraId="57D44A8D"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9.2377***</w:t>
            </w:r>
          </w:p>
        </w:tc>
        <w:tc>
          <w:tcPr>
            <w:tcW w:w="883" w:type="pct"/>
            <w:tcBorders>
              <w:top w:val="nil"/>
              <w:left w:val="nil"/>
              <w:bottom w:val="nil"/>
              <w:right w:val="nil"/>
            </w:tcBorders>
          </w:tcPr>
          <w:p w14:paraId="063CE5E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11.2675***</w:t>
            </w:r>
          </w:p>
        </w:tc>
        <w:tc>
          <w:tcPr>
            <w:tcW w:w="1096" w:type="pct"/>
            <w:tcBorders>
              <w:top w:val="nil"/>
              <w:left w:val="nil"/>
              <w:bottom w:val="nil"/>
              <w:right w:val="nil"/>
            </w:tcBorders>
          </w:tcPr>
          <w:p w14:paraId="694CB13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14.8877***</w:t>
            </w:r>
          </w:p>
        </w:tc>
        <w:tc>
          <w:tcPr>
            <w:tcW w:w="984" w:type="pct"/>
            <w:tcBorders>
              <w:top w:val="nil"/>
              <w:left w:val="nil"/>
              <w:bottom w:val="nil"/>
              <w:right w:val="nil"/>
            </w:tcBorders>
          </w:tcPr>
          <w:p w14:paraId="3E37BD8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12.0348***</w:t>
            </w:r>
          </w:p>
        </w:tc>
      </w:tr>
      <w:tr w:rsidR="00CC659A" w14:paraId="4A052D29" w14:textId="77777777" w:rsidTr="00CC659A">
        <w:trPr>
          <w:jc w:val="right"/>
        </w:trPr>
        <w:tc>
          <w:tcPr>
            <w:tcW w:w="967" w:type="pct"/>
            <w:tcBorders>
              <w:top w:val="nil"/>
              <w:left w:val="nil"/>
              <w:bottom w:val="nil"/>
              <w:right w:val="nil"/>
            </w:tcBorders>
          </w:tcPr>
          <w:p w14:paraId="6D197E4D" w14:textId="77777777" w:rsidR="00CC659A" w:rsidRDefault="00CC659A" w:rsidP="00293BEF">
            <w:pPr>
              <w:spacing w:after="5" w:line="259" w:lineRule="auto"/>
              <w:ind w:firstLine="227"/>
              <w:rPr>
                <w:rFonts w:ascii="Times New Roman" w:eastAsia="Times New Roman" w:hAnsi="Times New Roman"/>
                <w:color w:val="131313"/>
              </w:rPr>
            </w:pPr>
          </w:p>
        </w:tc>
        <w:tc>
          <w:tcPr>
            <w:tcW w:w="1071" w:type="pct"/>
            <w:tcBorders>
              <w:top w:val="nil"/>
              <w:left w:val="nil"/>
              <w:bottom w:val="nil"/>
              <w:right w:val="nil"/>
            </w:tcBorders>
          </w:tcPr>
          <w:p w14:paraId="060F33D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(1.058)</w:t>
            </w:r>
          </w:p>
        </w:tc>
        <w:tc>
          <w:tcPr>
            <w:tcW w:w="883" w:type="pct"/>
            <w:tcBorders>
              <w:top w:val="nil"/>
              <w:left w:val="nil"/>
              <w:bottom w:val="nil"/>
              <w:right w:val="nil"/>
            </w:tcBorders>
          </w:tcPr>
          <w:p w14:paraId="104510F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(0.896)</w:t>
            </w:r>
          </w:p>
        </w:tc>
        <w:tc>
          <w:tcPr>
            <w:tcW w:w="1096" w:type="pct"/>
            <w:tcBorders>
              <w:top w:val="nil"/>
              <w:left w:val="nil"/>
              <w:bottom w:val="nil"/>
              <w:right w:val="nil"/>
            </w:tcBorders>
          </w:tcPr>
          <w:p w14:paraId="44A93E6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(2.497)</w:t>
            </w:r>
          </w:p>
        </w:tc>
        <w:tc>
          <w:tcPr>
            <w:tcW w:w="984" w:type="pct"/>
            <w:tcBorders>
              <w:top w:val="nil"/>
              <w:left w:val="nil"/>
              <w:bottom w:val="nil"/>
              <w:right w:val="nil"/>
            </w:tcBorders>
          </w:tcPr>
          <w:p w14:paraId="2BCBF1BA"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(2.289)</w:t>
            </w:r>
          </w:p>
        </w:tc>
      </w:tr>
      <w:tr w:rsidR="00CC659A" w14:paraId="4D66EF9B" w14:textId="77777777" w:rsidTr="00CC659A">
        <w:trPr>
          <w:jc w:val="right"/>
        </w:trPr>
        <w:tc>
          <w:tcPr>
            <w:tcW w:w="967" w:type="pct"/>
            <w:tcBorders>
              <w:top w:val="nil"/>
              <w:left w:val="nil"/>
              <w:bottom w:val="nil"/>
              <w:right w:val="nil"/>
            </w:tcBorders>
          </w:tcPr>
          <w:p w14:paraId="43A24766"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City_FE</w:t>
            </w:r>
            <w:proofErr w:type="spellEnd"/>
          </w:p>
          <w:p w14:paraId="4399F529" w14:textId="77777777" w:rsidR="00CC659A" w:rsidRDefault="00CC659A" w:rsidP="00293BEF">
            <w:pPr>
              <w:spacing w:after="5" w:line="259" w:lineRule="auto"/>
              <w:ind w:firstLine="227"/>
              <w:rPr>
                <w:rFonts w:ascii="Times New Roman" w:eastAsia="Times New Roman" w:hAnsi="Times New Roman"/>
                <w:color w:val="131313"/>
              </w:rPr>
            </w:pPr>
            <w:proofErr w:type="spellStart"/>
            <w:r>
              <w:rPr>
                <w:rFonts w:ascii="Times New Roman" w:eastAsia="Times New Roman" w:hAnsi="Times New Roman"/>
                <w:color w:val="131313"/>
              </w:rPr>
              <w:t>Year_FE</w:t>
            </w:r>
            <w:proofErr w:type="spellEnd"/>
          </w:p>
        </w:tc>
        <w:tc>
          <w:tcPr>
            <w:tcW w:w="1071" w:type="pct"/>
            <w:tcBorders>
              <w:top w:val="nil"/>
              <w:left w:val="nil"/>
              <w:bottom w:val="nil"/>
              <w:right w:val="nil"/>
            </w:tcBorders>
          </w:tcPr>
          <w:p w14:paraId="045F0F53"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4DDB861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883" w:type="pct"/>
            <w:tcBorders>
              <w:top w:val="nil"/>
              <w:left w:val="nil"/>
              <w:bottom w:val="nil"/>
              <w:right w:val="nil"/>
            </w:tcBorders>
          </w:tcPr>
          <w:p w14:paraId="79B32CBD"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69C84472"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1096" w:type="pct"/>
            <w:tcBorders>
              <w:top w:val="nil"/>
              <w:left w:val="nil"/>
              <w:bottom w:val="nil"/>
              <w:right w:val="nil"/>
            </w:tcBorders>
          </w:tcPr>
          <w:p w14:paraId="42F6B7EF"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0DFB229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984" w:type="pct"/>
            <w:tcBorders>
              <w:top w:val="nil"/>
              <w:left w:val="nil"/>
              <w:bottom w:val="nil"/>
              <w:right w:val="nil"/>
            </w:tcBorders>
          </w:tcPr>
          <w:p w14:paraId="766AE1BB"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D62ABD4"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r>
      <w:tr w:rsidR="00CC659A" w14:paraId="4A32755F" w14:textId="77777777" w:rsidTr="00CC659A">
        <w:trPr>
          <w:jc w:val="right"/>
        </w:trPr>
        <w:tc>
          <w:tcPr>
            <w:tcW w:w="967" w:type="pct"/>
            <w:tcBorders>
              <w:top w:val="nil"/>
              <w:left w:val="nil"/>
              <w:bottom w:val="nil"/>
              <w:right w:val="nil"/>
            </w:tcBorders>
          </w:tcPr>
          <w:p w14:paraId="0102F670"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Observations</w:t>
            </w:r>
          </w:p>
        </w:tc>
        <w:tc>
          <w:tcPr>
            <w:tcW w:w="1071" w:type="pct"/>
            <w:tcBorders>
              <w:top w:val="nil"/>
              <w:left w:val="nil"/>
              <w:bottom w:val="nil"/>
              <w:right w:val="nil"/>
            </w:tcBorders>
          </w:tcPr>
          <w:p w14:paraId="69B4D41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2,767</w:t>
            </w:r>
          </w:p>
        </w:tc>
        <w:tc>
          <w:tcPr>
            <w:tcW w:w="883" w:type="pct"/>
            <w:tcBorders>
              <w:top w:val="nil"/>
              <w:left w:val="nil"/>
              <w:bottom w:val="nil"/>
              <w:right w:val="nil"/>
            </w:tcBorders>
          </w:tcPr>
          <w:p w14:paraId="5939796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2,767</w:t>
            </w:r>
          </w:p>
        </w:tc>
        <w:tc>
          <w:tcPr>
            <w:tcW w:w="1096" w:type="pct"/>
            <w:tcBorders>
              <w:top w:val="nil"/>
              <w:left w:val="nil"/>
              <w:bottom w:val="nil"/>
              <w:right w:val="nil"/>
            </w:tcBorders>
          </w:tcPr>
          <w:p w14:paraId="0CF3642D"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2,049</w:t>
            </w:r>
          </w:p>
        </w:tc>
        <w:tc>
          <w:tcPr>
            <w:tcW w:w="984" w:type="pct"/>
            <w:tcBorders>
              <w:top w:val="nil"/>
              <w:left w:val="nil"/>
              <w:bottom w:val="nil"/>
              <w:right w:val="nil"/>
            </w:tcBorders>
          </w:tcPr>
          <w:p w14:paraId="7056BA35"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2,020</w:t>
            </w:r>
          </w:p>
        </w:tc>
      </w:tr>
      <w:tr w:rsidR="00CC659A" w14:paraId="6283148A" w14:textId="77777777" w:rsidTr="00CC659A">
        <w:tblPrEx>
          <w:tblBorders>
            <w:bottom w:val="single" w:sz="6" w:space="0" w:color="auto"/>
          </w:tblBorders>
        </w:tblPrEx>
        <w:trPr>
          <w:jc w:val="right"/>
        </w:trPr>
        <w:tc>
          <w:tcPr>
            <w:tcW w:w="967" w:type="pct"/>
            <w:tcBorders>
              <w:top w:val="nil"/>
              <w:left w:val="nil"/>
              <w:bottom w:val="single" w:sz="6" w:space="0" w:color="auto"/>
              <w:right w:val="nil"/>
            </w:tcBorders>
          </w:tcPr>
          <w:p w14:paraId="0CCD8991"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R-squared</w:t>
            </w:r>
          </w:p>
        </w:tc>
        <w:tc>
          <w:tcPr>
            <w:tcW w:w="1071" w:type="pct"/>
            <w:tcBorders>
              <w:top w:val="nil"/>
              <w:left w:val="nil"/>
              <w:bottom w:val="single" w:sz="6" w:space="0" w:color="auto"/>
              <w:right w:val="nil"/>
            </w:tcBorders>
          </w:tcPr>
          <w:p w14:paraId="4423412A"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0.7889</w:t>
            </w:r>
          </w:p>
        </w:tc>
        <w:tc>
          <w:tcPr>
            <w:tcW w:w="883" w:type="pct"/>
            <w:tcBorders>
              <w:top w:val="nil"/>
              <w:left w:val="nil"/>
              <w:bottom w:val="single" w:sz="6" w:space="0" w:color="auto"/>
              <w:right w:val="nil"/>
            </w:tcBorders>
          </w:tcPr>
          <w:p w14:paraId="1787B8A9"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0.8010</w:t>
            </w:r>
          </w:p>
        </w:tc>
        <w:tc>
          <w:tcPr>
            <w:tcW w:w="1096" w:type="pct"/>
            <w:tcBorders>
              <w:top w:val="nil"/>
              <w:left w:val="nil"/>
              <w:bottom w:val="single" w:sz="6" w:space="0" w:color="auto"/>
              <w:right w:val="nil"/>
            </w:tcBorders>
          </w:tcPr>
          <w:p w14:paraId="4CC3DB0C"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0.8749</w:t>
            </w:r>
          </w:p>
        </w:tc>
        <w:tc>
          <w:tcPr>
            <w:tcW w:w="984" w:type="pct"/>
            <w:tcBorders>
              <w:top w:val="nil"/>
              <w:left w:val="nil"/>
              <w:bottom w:val="single" w:sz="6" w:space="0" w:color="auto"/>
              <w:right w:val="nil"/>
            </w:tcBorders>
          </w:tcPr>
          <w:p w14:paraId="10B74948" w14:textId="77777777" w:rsidR="00CC659A" w:rsidRDefault="00CC659A"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0.8788</w:t>
            </w:r>
          </w:p>
        </w:tc>
      </w:tr>
    </w:tbl>
    <w:p w14:paraId="59B7D39D" w14:textId="77777777" w:rsidR="00CC659A" w:rsidRDefault="00CC659A" w:rsidP="00450BDA">
      <w:pPr>
        <w:pStyle w:val="MDPI31text"/>
        <w:ind w:left="0" w:firstLineChars="200" w:firstLine="400"/>
        <w:rPr>
          <w:lang w:eastAsia="zh-CN"/>
        </w:rPr>
      </w:pPr>
      <w:r w:rsidRPr="00450BDA">
        <w:rPr>
          <w:rFonts w:ascii="Times New Roman" w:hAnsi="Times New Roman" w:hint="eastAsia"/>
          <w:lang w:eastAsia="zh-CN"/>
        </w:rPr>
        <w:t>Note: Robust standard errors in parentheses: *** p&lt;0.01, ** p&lt;0.05, * p&lt;0.1 respectively.</w:t>
      </w:r>
    </w:p>
    <w:p w14:paraId="761A2B93" w14:textId="3BA68F64" w:rsidR="00CC659A" w:rsidRPr="00450BDA" w:rsidRDefault="00450BDA" w:rsidP="00450BDA">
      <w:pPr>
        <w:spacing w:line="360" w:lineRule="auto"/>
        <w:rPr>
          <w:rFonts w:ascii="Times New Roman" w:hAnsi="Times New Roman"/>
          <w:b/>
          <w:bCs/>
          <w:color w:val="000000" w:themeColor="text1"/>
          <w:sz w:val="24"/>
        </w:rPr>
      </w:pPr>
      <w:r w:rsidRPr="00450BDA">
        <w:rPr>
          <w:rFonts w:ascii="Times New Roman" w:hAnsi="Times New Roman" w:hint="eastAsia"/>
          <w:b/>
          <w:bCs/>
          <w:color w:val="000000" w:themeColor="text1"/>
          <w:sz w:val="24"/>
        </w:rPr>
        <w:t>4.4. Heterogenous effects</w:t>
      </w:r>
    </w:p>
    <w:p w14:paraId="703A082A" w14:textId="265FF20E" w:rsidR="00450BDA" w:rsidRDefault="00450BDA" w:rsidP="00450BDA">
      <w:pPr>
        <w:spacing w:line="360" w:lineRule="auto"/>
        <w:ind w:firstLineChars="200" w:firstLine="480"/>
        <w:rPr>
          <w:rFonts w:ascii="Times New Roman" w:hAnsi="Times New Roman"/>
          <w:color w:val="000000" w:themeColor="text1"/>
          <w:sz w:val="24"/>
        </w:rPr>
      </w:pPr>
      <w:r w:rsidRPr="00450BDA">
        <w:rPr>
          <w:rFonts w:ascii="Times New Roman" w:hAnsi="Times New Roman" w:hint="eastAsia"/>
          <w:color w:val="000000" w:themeColor="text1"/>
          <w:sz w:val="24"/>
        </w:rPr>
        <w:t xml:space="preserve">4.4.1. Regional </w:t>
      </w:r>
      <w:r w:rsidR="001D1CAA">
        <w:rPr>
          <w:rFonts w:ascii="Times New Roman" w:hAnsi="Times New Roman" w:hint="eastAsia"/>
          <w:color w:val="000000" w:themeColor="text1"/>
          <w:sz w:val="24"/>
        </w:rPr>
        <w:t>h</w:t>
      </w:r>
      <w:r w:rsidRPr="00450BDA">
        <w:rPr>
          <w:rFonts w:ascii="Times New Roman" w:hAnsi="Times New Roman" w:hint="eastAsia"/>
          <w:color w:val="000000" w:themeColor="text1"/>
          <w:sz w:val="24"/>
        </w:rPr>
        <w:t>eterogeneity</w:t>
      </w:r>
    </w:p>
    <w:p w14:paraId="1176B528" w14:textId="14035079" w:rsidR="009D7034" w:rsidRDefault="00F84C4B" w:rsidP="009D7034">
      <w:pPr>
        <w:spacing w:line="360" w:lineRule="auto"/>
        <w:rPr>
          <w:rFonts w:ascii="Times New Roman" w:hAnsi="Times New Roman"/>
          <w:color w:val="000000" w:themeColor="text1"/>
          <w:sz w:val="24"/>
        </w:rPr>
      </w:pPr>
      <w:r w:rsidRPr="00F84C4B">
        <w:rPr>
          <w:rFonts w:ascii="Times New Roman" w:hAnsi="Times New Roman"/>
          <w:color w:val="000000" w:themeColor="text1"/>
          <w:sz w:val="24"/>
        </w:rPr>
        <w:t xml:space="preserve">This section examines regional heterogeneity in the </w:t>
      </w:r>
      <w:proofErr w:type="spellStart"/>
      <w:r w:rsidRPr="00F84C4B">
        <w:rPr>
          <w:rFonts w:ascii="Times New Roman" w:hAnsi="Times New Roman"/>
          <w:color w:val="000000" w:themeColor="text1"/>
          <w:sz w:val="24"/>
        </w:rPr>
        <w:t>lcpolicy's</w:t>
      </w:r>
      <w:proofErr w:type="spellEnd"/>
      <w:r w:rsidRPr="00F84C4B">
        <w:rPr>
          <w:rFonts w:ascii="Times New Roman" w:hAnsi="Times New Roman"/>
          <w:color w:val="000000" w:themeColor="text1"/>
          <w:sz w:val="24"/>
        </w:rPr>
        <w:t xml:space="preserve"> effects. Cities across different geographic locations exhibit diverse characteristics—including climatic conditions, topographical features, and economic development levels—potentially generating differential policy impacts. To investigate this, the city sample is categorized into eastern, central, and western regions as well as coastal and non-coastal areas. Table 5 (columns 1-3) presents regional estimation results, showing statistically significant coefficients for the interaction terms in eastern and western regions at the 1% level, indicating stronger policy effectiveness in these regions relative to the central region. The central region's coefficient lacks statistical significance even at the 10% level, potentially attributable to its overrepresentation in pilot cities (exceeding 50% of the total sample) coupled with substantial intra-regional economic disparities—exemplified by pronounced differences between cities like Wuhan/Changsha versus </w:t>
      </w:r>
      <w:proofErr w:type="spellStart"/>
      <w:r w:rsidRPr="00F84C4B">
        <w:rPr>
          <w:rFonts w:ascii="Times New Roman" w:hAnsi="Times New Roman"/>
          <w:color w:val="000000" w:themeColor="text1"/>
          <w:sz w:val="24"/>
        </w:rPr>
        <w:t>Anqing</w:t>
      </w:r>
      <w:proofErr w:type="spellEnd"/>
      <w:r w:rsidRPr="00F84C4B">
        <w:rPr>
          <w:rFonts w:ascii="Times New Roman" w:hAnsi="Times New Roman"/>
          <w:color w:val="000000" w:themeColor="text1"/>
          <w:sz w:val="24"/>
        </w:rPr>
        <w:t xml:space="preserve">/Anyang regarding green innovation performance. The analysis confirms that </w:t>
      </w:r>
      <w:r w:rsidRPr="00F84C4B">
        <w:rPr>
          <w:rFonts w:ascii="Times New Roman" w:hAnsi="Times New Roman"/>
          <w:color w:val="000000" w:themeColor="text1"/>
          <w:sz w:val="24"/>
        </w:rPr>
        <w:lastRenderedPageBreak/>
        <w:t>geographic factors significantly moderate lc-policy effectiveness on green innovation, with eastern and western pilot cities experiencing stronger impacts than central regions. Table 5 (columns 4-5) further demonstrates substantially greater green innovation enhancement in coastal versus non-coastal pilot cities. This divergence likely stems from coastal cities' locational advantages—including superior transportation infrastructure and resource accessibility—that facilitate environmental compliance cost absorption and accelerate green innovation adoption. Conversely, non-coastal cities constrained adaptive capacity under stringent environmental regulations yields more modest innovation outcomes.</w:t>
      </w:r>
    </w:p>
    <w:p w14:paraId="2A21A859" w14:textId="40852056" w:rsidR="009D7034" w:rsidRDefault="009D7034" w:rsidP="009D7034">
      <w:pPr>
        <w:spacing w:line="360" w:lineRule="auto"/>
        <w:ind w:firstLineChars="900" w:firstLine="2160"/>
        <w:rPr>
          <w:rFonts w:ascii="Times New Roman" w:hAnsi="Times New Roman"/>
          <w:color w:val="000000" w:themeColor="text1"/>
          <w:sz w:val="24"/>
        </w:rPr>
      </w:pPr>
      <w:r w:rsidRPr="009D7034">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4</w:t>
      </w:r>
      <w:r w:rsidRPr="009D7034">
        <w:rPr>
          <w:rFonts w:ascii="Times New Roman" w:hAnsi="Times New Roman" w:hint="eastAsia"/>
          <w:b/>
          <w:bCs/>
          <w:color w:val="000000" w:themeColor="text1"/>
          <w:sz w:val="24"/>
        </w:rPr>
        <w:t>.</w:t>
      </w:r>
      <w:r w:rsidRPr="009D7034">
        <w:rPr>
          <w:rFonts w:ascii="Times New Roman" w:hAnsi="Times New Roman" w:hint="eastAsia"/>
          <w:color w:val="000000" w:themeColor="text1"/>
          <w:sz w:val="24"/>
        </w:rPr>
        <w:t xml:space="preserve"> Regional </w:t>
      </w:r>
      <w:r w:rsidR="002D7827">
        <w:rPr>
          <w:rFonts w:ascii="Times New Roman" w:hAnsi="Times New Roman" w:hint="eastAsia"/>
          <w:color w:val="000000" w:themeColor="text1"/>
          <w:sz w:val="24"/>
        </w:rPr>
        <w:t>h</w:t>
      </w:r>
      <w:r w:rsidRPr="009D7034">
        <w:rPr>
          <w:rFonts w:ascii="Times New Roman" w:hAnsi="Times New Roman" w:hint="eastAsia"/>
          <w:color w:val="000000" w:themeColor="text1"/>
          <w:sz w:val="24"/>
        </w:rPr>
        <w:t>eterogeneity</w:t>
      </w:r>
    </w:p>
    <w:tbl>
      <w:tblPr>
        <w:tblW w:w="0" w:type="auto"/>
        <w:jc w:val="right"/>
        <w:tblCellMar>
          <w:left w:w="75" w:type="dxa"/>
          <w:right w:w="75" w:type="dxa"/>
        </w:tblCellMar>
        <w:tblLook w:val="04A0" w:firstRow="1" w:lastRow="0" w:firstColumn="1" w:lastColumn="0" w:noHBand="0" w:noVBand="1"/>
      </w:tblPr>
      <w:tblGrid>
        <w:gridCol w:w="1121"/>
        <w:gridCol w:w="1437"/>
        <w:gridCol w:w="1437"/>
        <w:gridCol w:w="1437"/>
        <w:gridCol w:w="1437"/>
        <w:gridCol w:w="1437"/>
      </w:tblGrid>
      <w:tr w:rsidR="009D7034" w14:paraId="55E4CDD8" w14:textId="77777777" w:rsidTr="009D7034">
        <w:trPr>
          <w:trHeight w:val="691"/>
          <w:jc w:val="right"/>
        </w:trPr>
        <w:tc>
          <w:tcPr>
            <w:tcW w:w="0" w:type="auto"/>
            <w:tcBorders>
              <w:top w:val="single" w:sz="6" w:space="0" w:color="auto"/>
              <w:left w:val="nil"/>
              <w:bottom w:val="nil"/>
              <w:right w:val="nil"/>
            </w:tcBorders>
          </w:tcPr>
          <w:p w14:paraId="1CB08964" w14:textId="77777777" w:rsidR="009D7034" w:rsidRPr="00202D7D" w:rsidRDefault="009D7034" w:rsidP="00202D7D">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3B9384FD"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(1)</w:t>
            </w:r>
          </w:p>
          <w:p w14:paraId="2561B893"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Eastern Cities</w:t>
            </w:r>
          </w:p>
        </w:tc>
        <w:tc>
          <w:tcPr>
            <w:tcW w:w="0" w:type="auto"/>
            <w:tcBorders>
              <w:top w:val="single" w:sz="6" w:space="0" w:color="auto"/>
              <w:left w:val="nil"/>
              <w:bottom w:val="nil"/>
              <w:right w:val="nil"/>
            </w:tcBorders>
          </w:tcPr>
          <w:p w14:paraId="30F2B100"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(2)</w:t>
            </w:r>
          </w:p>
          <w:p w14:paraId="697D1F6B"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Central Cities</w:t>
            </w:r>
          </w:p>
        </w:tc>
        <w:tc>
          <w:tcPr>
            <w:tcW w:w="0" w:type="auto"/>
            <w:tcBorders>
              <w:top w:val="single" w:sz="6" w:space="0" w:color="auto"/>
              <w:left w:val="nil"/>
              <w:bottom w:val="nil"/>
              <w:right w:val="nil"/>
            </w:tcBorders>
          </w:tcPr>
          <w:p w14:paraId="002B4496"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(3)</w:t>
            </w:r>
          </w:p>
          <w:p w14:paraId="16F2D382"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Western Cities</w:t>
            </w:r>
          </w:p>
        </w:tc>
        <w:tc>
          <w:tcPr>
            <w:tcW w:w="0" w:type="auto"/>
            <w:tcBorders>
              <w:top w:val="single" w:sz="6" w:space="0" w:color="auto"/>
              <w:left w:val="nil"/>
              <w:bottom w:val="nil"/>
              <w:right w:val="nil"/>
            </w:tcBorders>
          </w:tcPr>
          <w:p w14:paraId="7CA8F1B9"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(4)</w:t>
            </w:r>
          </w:p>
          <w:p w14:paraId="784E4A0F"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Coastal Cities</w:t>
            </w:r>
          </w:p>
        </w:tc>
        <w:tc>
          <w:tcPr>
            <w:tcW w:w="0" w:type="auto"/>
            <w:tcBorders>
              <w:top w:val="single" w:sz="6" w:space="0" w:color="auto"/>
              <w:left w:val="nil"/>
              <w:bottom w:val="nil"/>
              <w:right w:val="nil"/>
            </w:tcBorders>
          </w:tcPr>
          <w:p w14:paraId="6E7C1D9A"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 xml:space="preserve">(5) </w:t>
            </w:r>
          </w:p>
          <w:p w14:paraId="2A889C66" w14:textId="77777777" w:rsidR="009D7034" w:rsidRPr="00202D7D" w:rsidRDefault="009D7034" w:rsidP="00202D7D">
            <w:pPr>
              <w:spacing w:after="5" w:line="259" w:lineRule="auto"/>
              <w:jc w:val="center"/>
              <w:rPr>
                <w:rFonts w:ascii="Times New Roman" w:eastAsia="Times New Roman" w:hAnsi="Times New Roman"/>
                <w:color w:val="000000" w:themeColor="text1"/>
              </w:rPr>
            </w:pPr>
            <w:r w:rsidRPr="00202D7D">
              <w:rPr>
                <w:rFonts w:ascii="Times New Roman" w:eastAsia="Times New Roman" w:hAnsi="Times New Roman"/>
                <w:color w:val="000000" w:themeColor="text1"/>
              </w:rPr>
              <w:t>Non-coastal cities</w:t>
            </w:r>
          </w:p>
        </w:tc>
      </w:tr>
      <w:tr w:rsidR="009D7034" w14:paraId="6E47A589" w14:textId="77777777" w:rsidTr="009D7034">
        <w:trPr>
          <w:jc w:val="right"/>
        </w:trPr>
        <w:tc>
          <w:tcPr>
            <w:tcW w:w="0" w:type="auto"/>
            <w:tcBorders>
              <w:top w:val="nil"/>
              <w:left w:val="nil"/>
              <w:bottom w:val="single" w:sz="6" w:space="0" w:color="auto"/>
              <w:right w:val="nil"/>
            </w:tcBorders>
          </w:tcPr>
          <w:p w14:paraId="45B9BAAC" w14:textId="77777777" w:rsidR="009D7034" w:rsidRPr="00202D7D" w:rsidRDefault="009D7034" w:rsidP="00202D7D">
            <w:pPr>
              <w:spacing w:after="5" w:line="259" w:lineRule="auto"/>
              <w:jc w:val="center"/>
              <w:rPr>
                <w:rFonts w:ascii="Times New Roman" w:eastAsia="Times New Roman" w:hAnsi="Times New Roman"/>
                <w:b/>
                <w:bCs/>
                <w:color w:val="000000" w:themeColor="text1"/>
              </w:rPr>
            </w:pPr>
            <w:r w:rsidRPr="00202D7D">
              <w:rPr>
                <w:rFonts w:ascii="Times New Roman" w:eastAsia="Times New Roman" w:hAnsi="Times New Roman" w:hint="eastAsia"/>
                <w:b/>
                <w:bCs/>
                <w:color w:val="000000" w:themeColor="text1"/>
                <w:sz w:val="22"/>
                <w:szCs w:val="24"/>
              </w:rPr>
              <w:t>V</w:t>
            </w:r>
            <w:r w:rsidRPr="00202D7D">
              <w:rPr>
                <w:rFonts w:ascii="Times New Roman" w:eastAsia="Times New Roman" w:hAnsi="Times New Roman"/>
                <w:b/>
                <w:bCs/>
                <w:color w:val="000000" w:themeColor="text1"/>
                <w:sz w:val="22"/>
                <w:szCs w:val="24"/>
              </w:rPr>
              <w:t>ariables</w:t>
            </w:r>
          </w:p>
        </w:tc>
        <w:tc>
          <w:tcPr>
            <w:tcW w:w="0" w:type="auto"/>
            <w:tcBorders>
              <w:top w:val="nil"/>
              <w:left w:val="nil"/>
              <w:bottom w:val="single" w:sz="6" w:space="0" w:color="auto"/>
              <w:right w:val="nil"/>
            </w:tcBorders>
          </w:tcPr>
          <w:p w14:paraId="013B4536"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59DACB3C"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9B3937E"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92E0DC8"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6D396A9" w14:textId="77777777" w:rsidR="009D7034" w:rsidRPr="00202D7D" w:rsidRDefault="009D7034" w:rsidP="00202D7D">
            <w:pPr>
              <w:spacing w:after="5" w:line="259" w:lineRule="auto"/>
              <w:jc w:val="center"/>
              <w:rPr>
                <w:rFonts w:ascii="Times New Roman" w:eastAsia="Times New Roman" w:hAnsi="Times New Roman"/>
                <w:color w:val="000000" w:themeColor="text1"/>
              </w:rPr>
            </w:pPr>
            <w:proofErr w:type="spellStart"/>
            <w:r w:rsidRPr="00202D7D">
              <w:rPr>
                <w:rFonts w:ascii="Times New Roman" w:eastAsia="Times New Roman" w:hAnsi="Times New Roman"/>
                <w:color w:val="000000" w:themeColor="text1"/>
              </w:rPr>
              <w:t>green_innovation</w:t>
            </w:r>
            <w:proofErr w:type="spellEnd"/>
          </w:p>
        </w:tc>
      </w:tr>
      <w:tr w:rsidR="009D7034" w14:paraId="741456DF" w14:textId="77777777" w:rsidTr="009D7034">
        <w:trPr>
          <w:jc w:val="right"/>
        </w:trPr>
        <w:tc>
          <w:tcPr>
            <w:tcW w:w="0" w:type="auto"/>
            <w:tcBorders>
              <w:top w:val="nil"/>
              <w:left w:val="nil"/>
              <w:bottom w:val="nil"/>
              <w:right w:val="nil"/>
            </w:tcBorders>
          </w:tcPr>
          <w:p w14:paraId="4DA6784C"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lcpolicy</w:t>
            </w:r>
            <w:proofErr w:type="spellEnd"/>
          </w:p>
        </w:tc>
        <w:tc>
          <w:tcPr>
            <w:tcW w:w="0" w:type="auto"/>
            <w:tcBorders>
              <w:top w:val="nil"/>
              <w:left w:val="nil"/>
              <w:bottom w:val="nil"/>
              <w:right w:val="nil"/>
            </w:tcBorders>
          </w:tcPr>
          <w:p w14:paraId="0661DB72"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0.3575***</w:t>
            </w:r>
          </w:p>
        </w:tc>
        <w:tc>
          <w:tcPr>
            <w:tcW w:w="0" w:type="auto"/>
            <w:tcBorders>
              <w:top w:val="nil"/>
              <w:left w:val="nil"/>
              <w:bottom w:val="nil"/>
              <w:right w:val="nil"/>
            </w:tcBorders>
          </w:tcPr>
          <w:p w14:paraId="732C641A"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0.0682</w:t>
            </w:r>
          </w:p>
        </w:tc>
        <w:tc>
          <w:tcPr>
            <w:tcW w:w="0" w:type="auto"/>
            <w:tcBorders>
              <w:top w:val="nil"/>
              <w:left w:val="nil"/>
              <w:bottom w:val="nil"/>
              <w:right w:val="nil"/>
            </w:tcBorders>
          </w:tcPr>
          <w:p w14:paraId="0909226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0.1298***</w:t>
            </w:r>
          </w:p>
        </w:tc>
        <w:tc>
          <w:tcPr>
            <w:tcW w:w="0" w:type="auto"/>
            <w:tcBorders>
              <w:top w:val="nil"/>
              <w:left w:val="nil"/>
              <w:bottom w:val="nil"/>
              <w:right w:val="nil"/>
            </w:tcBorders>
          </w:tcPr>
          <w:p w14:paraId="3E7A4F2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0.6299***</w:t>
            </w:r>
          </w:p>
        </w:tc>
        <w:tc>
          <w:tcPr>
            <w:tcW w:w="0" w:type="auto"/>
            <w:tcBorders>
              <w:top w:val="nil"/>
              <w:left w:val="nil"/>
              <w:bottom w:val="nil"/>
              <w:right w:val="nil"/>
            </w:tcBorders>
          </w:tcPr>
          <w:p w14:paraId="753B03F9"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0.1917***</w:t>
            </w:r>
          </w:p>
        </w:tc>
      </w:tr>
      <w:tr w:rsidR="009D7034" w14:paraId="1523F373" w14:textId="77777777" w:rsidTr="009D7034">
        <w:trPr>
          <w:jc w:val="right"/>
        </w:trPr>
        <w:tc>
          <w:tcPr>
            <w:tcW w:w="0" w:type="auto"/>
            <w:tcBorders>
              <w:top w:val="nil"/>
              <w:left w:val="nil"/>
              <w:bottom w:val="nil"/>
              <w:right w:val="nil"/>
            </w:tcBorders>
          </w:tcPr>
          <w:p w14:paraId="4B55AD1C"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0DEEE0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(0.120)</w:t>
            </w:r>
          </w:p>
        </w:tc>
        <w:tc>
          <w:tcPr>
            <w:tcW w:w="0" w:type="auto"/>
            <w:tcBorders>
              <w:top w:val="nil"/>
              <w:left w:val="nil"/>
              <w:bottom w:val="nil"/>
              <w:right w:val="nil"/>
            </w:tcBorders>
          </w:tcPr>
          <w:p w14:paraId="735D663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(0.050)</w:t>
            </w:r>
          </w:p>
        </w:tc>
        <w:tc>
          <w:tcPr>
            <w:tcW w:w="0" w:type="auto"/>
            <w:tcBorders>
              <w:top w:val="nil"/>
              <w:left w:val="nil"/>
              <w:bottom w:val="nil"/>
              <w:right w:val="nil"/>
            </w:tcBorders>
          </w:tcPr>
          <w:p w14:paraId="6128361B"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(0.043)</w:t>
            </w:r>
          </w:p>
        </w:tc>
        <w:tc>
          <w:tcPr>
            <w:tcW w:w="0" w:type="auto"/>
            <w:tcBorders>
              <w:top w:val="nil"/>
              <w:left w:val="nil"/>
              <w:bottom w:val="nil"/>
              <w:right w:val="nil"/>
            </w:tcBorders>
          </w:tcPr>
          <w:p w14:paraId="5EB0A510"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(0.163)</w:t>
            </w:r>
          </w:p>
        </w:tc>
        <w:tc>
          <w:tcPr>
            <w:tcW w:w="0" w:type="auto"/>
            <w:tcBorders>
              <w:top w:val="nil"/>
              <w:left w:val="nil"/>
              <w:bottom w:val="nil"/>
              <w:right w:val="nil"/>
            </w:tcBorders>
          </w:tcPr>
          <w:p w14:paraId="39B94F4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(0.053)</w:t>
            </w:r>
          </w:p>
        </w:tc>
      </w:tr>
      <w:tr w:rsidR="009D7034" w14:paraId="0C0F2882" w14:textId="77777777" w:rsidTr="009D7034">
        <w:trPr>
          <w:jc w:val="right"/>
        </w:trPr>
        <w:tc>
          <w:tcPr>
            <w:tcW w:w="0" w:type="auto"/>
            <w:tcBorders>
              <w:top w:val="nil"/>
              <w:left w:val="nil"/>
              <w:bottom w:val="nil"/>
              <w:right w:val="nil"/>
            </w:tcBorders>
          </w:tcPr>
          <w:p w14:paraId="1F3F3847"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lnpgdp</w:t>
            </w:r>
            <w:proofErr w:type="spellEnd"/>
          </w:p>
        </w:tc>
        <w:tc>
          <w:tcPr>
            <w:tcW w:w="0" w:type="auto"/>
            <w:tcBorders>
              <w:top w:val="nil"/>
              <w:left w:val="nil"/>
              <w:bottom w:val="nil"/>
              <w:right w:val="nil"/>
            </w:tcBorders>
          </w:tcPr>
          <w:p w14:paraId="575EC9CB"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-0.9782**</w:t>
            </w:r>
          </w:p>
        </w:tc>
        <w:tc>
          <w:tcPr>
            <w:tcW w:w="0" w:type="auto"/>
            <w:tcBorders>
              <w:top w:val="nil"/>
              <w:left w:val="nil"/>
              <w:bottom w:val="nil"/>
              <w:right w:val="nil"/>
            </w:tcBorders>
          </w:tcPr>
          <w:p w14:paraId="6A704DF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-0.4785***</w:t>
            </w:r>
          </w:p>
        </w:tc>
        <w:tc>
          <w:tcPr>
            <w:tcW w:w="0" w:type="auto"/>
            <w:tcBorders>
              <w:top w:val="nil"/>
              <w:left w:val="nil"/>
              <w:bottom w:val="nil"/>
              <w:right w:val="nil"/>
            </w:tcBorders>
          </w:tcPr>
          <w:p w14:paraId="716B8857"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-0.5102***</w:t>
            </w:r>
          </w:p>
        </w:tc>
        <w:tc>
          <w:tcPr>
            <w:tcW w:w="0" w:type="auto"/>
            <w:tcBorders>
              <w:top w:val="nil"/>
              <w:left w:val="nil"/>
              <w:bottom w:val="nil"/>
              <w:right w:val="nil"/>
            </w:tcBorders>
          </w:tcPr>
          <w:p w14:paraId="455A77BA"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-1.0725*</w:t>
            </w:r>
          </w:p>
        </w:tc>
        <w:tc>
          <w:tcPr>
            <w:tcW w:w="0" w:type="auto"/>
            <w:tcBorders>
              <w:top w:val="nil"/>
              <w:left w:val="nil"/>
              <w:bottom w:val="nil"/>
              <w:right w:val="nil"/>
            </w:tcBorders>
          </w:tcPr>
          <w:p w14:paraId="3AAFF9C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-0.6087***</w:t>
            </w:r>
          </w:p>
        </w:tc>
      </w:tr>
      <w:tr w:rsidR="009D7034" w14:paraId="568DB3E7" w14:textId="77777777" w:rsidTr="009D7034">
        <w:trPr>
          <w:jc w:val="right"/>
        </w:trPr>
        <w:tc>
          <w:tcPr>
            <w:tcW w:w="0" w:type="auto"/>
            <w:tcBorders>
              <w:top w:val="nil"/>
              <w:left w:val="nil"/>
              <w:bottom w:val="nil"/>
              <w:right w:val="nil"/>
            </w:tcBorders>
          </w:tcPr>
          <w:p w14:paraId="3C91C072"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E909840"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(0.387)</w:t>
            </w:r>
          </w:p>
        </w:tc>
        <w:tc>
          <w:tcPr>
            <w:tcW w:w="0" w:type="auto"/>
            <w:tcBorders>
              <w:top w:val="nil"/>
              <w:left w:val="nil"/>
              <w:bottom w:val="nil"/>
              <w:right w:val="nil"/>
            </w:tcBorders>
          </w:tcPr>
          <w:p w14:paraId="4C2DA9F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(0.129)</w:t>
            </w:r>
          </w:p>
        </w:tc>
        <w:tc>
          <w:tcPr>
            <w:tcW w:w="0" w:type="auto"/>
            <w:tcBorders>
              <w:top w:val="nil"/>
              <w:left w:val="nil"/>
              <w:bottom w:val="nil"/>
              <w:right w:val="nil"/>
            </w:tcBorders>
          </w:tcPr>
          <w:p w14:paraId="0EDF277B"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w:t>
            </w:r>
          </w:p>
        </w:tc>
        <w:tc>
          <w:tcPr>
            <w:tcW w:w="0" w:type="auto"/>
            <w:tcBorders>
              <w:top w:val="nil"/>
              <w:left w:val="nil"/>
              <w:bottom w:val="nil"/>
              <w:right w:val="nil"/>
            </w:tcBorders>
          </w:tcPr>
          <w:p w14:paraId="21FA419F"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(0.555)</w:t>
            </w:r>
          </w:p>
        </w:tc>
        <w:tc>
          <w:tcPr>
            <w:tcW w:w="0" w:type="auto"/>
            <w:tcBorders>
              <w:top w:val="nil"/>
              <w:left w:val="nil"/>
              <w:bottom w:val="nil"/>
              <w:right w:val="nil"/>
            </w:tcBorders>
          </w:tcPr>
          <w:p w14:paraId="18B4437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(0.147)</w:t>
            </w:r>
          </w:p>
        </w:tc>
      </w:tr>
      <w:tr w:rsidR="009D7034" w14:paraId="0FB6C260" w14:textId="77777777" w:rsidTr="009D7034">
        <w:trPr>
          <w:jc w:val="right"/>
        </w:trPr>
        <w:tc>
          <w:tcPr>
            <w:tcW w:w="0" w:type="auto"/>
            <w:tcBorders>
              <w:top w:val="nil"/>
              <w:left w:val="nil"/>
              <w:bottom w:val="nil"/>
              <w:right w:val="nil"/>
            </w:tcBorders>
          </w:tcPr>
          <w:p w14:paraId="153B862E"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popuden</w:t>
            </w:r>
            <w:proofErr w:type="spellEnd"/>
          </w:p>
        </w:tc>
        <w:tc>
          <w:tcPr>
            <w:tcW w:w="0" w:type="auto"/>
            <w:tcBorders>
              <w:top w:val="nil"/>
              <w:left w:val="nil"/>
              <w:bottom w:val="nil"/>
              <w:right w:val="nil"/>
            </w:tcBorders>
          </w:tcPr>
          <w:p w14:paraId="27973D59"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0.0012***</w:t>
            </w:r>
          </w:p>
        </w:tc>
        <w:tc>
          <w:tcPr>
            <w:tcW w:w="0" w:type="auto"/>
            <w:tcBorders>
              <w:top w:val="nil"/>
              <w:left w:val="nil"/>
              <w:bottom w:val="nil"/>
              <w:right w:val="nil"/>
            </w:tcBorders>
          </w:tcPr>
          <w:p w14:paraId="7019405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-0.0003*</w:t>
            </w:r>
          </w:p>
        </w:tc>
        <w:tc>
          <w:tcPr>
            <w:tcW w:w="0" w:type="auto"/>
            <w:tcBorders>
              <w:top w:val="nil"/>
              <w:left w:val="nil"/>
              <w:bottom w:val="nil"/>
              <w:right w:val="nil"/>
            </w:tcBorders>
          </w:tcPr>
          <w:p w14:paraId="13C74977"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0.0129***</w:t>
            </w:r>
          </w:p>
        </w:tc>
        <w:tc>
          <w:tcPr>
            <w:tcW w:w="0" w:type="auto"/>
            <w:tcBorders>
              <w:top w:val="nil"/>
              <w:left w:val="nil"/>
              <w:bottom w:val="nil"/>
              <w:right w:val="nil"/>
            </w:tcBorders>
          </w:tcPr>
          <w:p w14:paraId="5F5A22AF"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0.0014***</w:t>
            </w:r>
          </w:p>
        </w:tc>
        <w:tc>
          <w:tcPr>
            <w:tcW w:w="0" w:type="auto"/>
            <w:tcBorders>
              <w:top w:val="nil"/>
              <w:left w:val="nil"/>
              <w:bottom w:val="nil"/>
              <w:right w:val="nil"/>
            </w:tcBorders>
          </w:tcPr>
          <w:p w14:paraId="1FF18637"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0.0005**</w:t>
            </w:r>
          </w:p>
        </w:tc>
      </w:tr>
      <w:tr w:rsidR="009D7034" w14:paraId="23164ABE" w14:textId="77777777" w:rsidTr="009D7034">
        <w:trPr>
          <w:jc w:val="right"/>
        </w:trPr>
        <w:tc>
          <w:tcPr>
            <w:tcW w:w="0" w:type="auto"/>
            <w:tcBorders>
              <w:top w:val="nil"/>
              <w:left w:val="nil"/>
              <w:bottom w:val="nil"/>
              <w:right w:val="nil"/>
            </w:tcBorders>
          </w:tcPr>
          <w:p w14:paraId="714BA0E8"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7D68E1C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3BAABF7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207F7A1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(0.001)</w:t>
            </w:r>
          </w:p>
        </w:tc>
        <w:tc>
          <w:tcPr>
            <w:tcW w:w="0" w:type="auto"/>
            <w:tcBorders>
              <w:top w:val="nil"/>
              <w:left w:val="nil"/>
              <w:bottom w:val="nil"/>
              <w:right w:val="nil"/>
            </w:tcBorders>
          </w:tcPr>
          <w:p w14:paraId="557C947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c>
          <w:tcPr>
            <w:tcW w:w="0" w:type="auto"/>
            <w:tcBorders>
              <w:top w:val="nil"/>
              <w:left w:val="nil"/>
              <w:bottom w:val="nil"/>
              <w:right w:val="nil"/>
            </w:tcBorders>
          </w:tcPr>
          <w:p w14:paraId="27592CB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(0.000)</w:t>
            </w:r>
          </w:p>
        </w:tc>
      </w:tr>
      <w:tr w:rsidR="009D7034" w14:paraId="503CB1C3" w14:textId="77777777" w:rsidTr="009D7034">
        <w:trPr>
          <w:jc w:val="right"/>
        </w:trPr>
        <w:tc>
          <w:tcPr>
            <w:tcW w:w="0" w:type="auto"/>
            <w:tcBorders>
              <w:top w:val="nil"/>
              <w:left w:val="nil"/>
              <w:bottom w:val="nil"/>
              <w:right w:val="nil"/>
            </w:tcBorders>
          </w:tcPr>
          <w:p w14:paraId="293E2D12" w14:textId="77777777" w:rsidR="009D7034" w:rsidRDefault="009D7034" w:rsidP="00293BEF">
            <w:pPr>
              <w:spacing w:after="5" w:line="259" w:lineRule="auto"/>
              <w:rPr>
                <w:rFonts w:ascii="Times New Roman" w:eastAsia="Times New Roman" w:hAnsi="Times New Roman"/>
                <w:color w:val="131313"/>
              </w:rPr>
            </w:pPr>
            <w:r>
              <w:rPr>
                <w:rFonts w:ascii="Times New Roman" w:eastAsia="Times New Roman" w:hAnsi="Times New Roman"/>
                <w:color w:val="131313"/>
              </w:rPr>
              <w:t>ind_stru2</w:t>
            </w:r>
          </w:p>
        </w:tc>
        <w:tc>
          <w:tcPr>
            <w:tcW w:w="0" w:type="auto"/>
            <w:tcBorders>
              <w:top w:val="nil"/>
              <w:left w:val="nil"/>
              <w:bottom w:val="nil"/>
              <w:right w:val="nil"/>
            </w:tcBorders>
          </w:tcPr>
          <w:p w14:paraId="5153E16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-0.0450***</w:t>
            </w:r>
          </w:p>
        </w:tc>
        <w:tc>
          <w:tcPr>
            <w:tcW w:w="0" w:type="auto"/>
            <w:tcBorders>
              <w:top w:val="nil"/>
              <w:left w:val="nil"/>
              <w:bottom w:val="nil"/>
              <w:right w:val="nil"/>
            </w:tcBorders>
          </w:tcPr>
          <w:p w14:paraId="19FB32C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0.0136***</w:t>
            </w:r>
          </w:p>
        </w:tc>
        <w:tc>
          <w:tcPr>
            <w:tcW w:w="0" w:type="auto"/>
            <w:tcBorders>
              <w:top w:val="nil"/>
              <w:left w:val="nil"/>
              <w:bottom w:val="nil"/>
              <w:right w:val="nil"/>
            </w:tcBorders>
          </w:tcPr>
          <w:p w14:paraId="54D756D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-0.0169***</w:t>
            </w:r>
          </w:p>
        </w:tc>
        <w:tc>
          <w:tcPr>
            <w:tcW w:w="0" w:type="auto"/>
            <w:tcBorders>
              <w:top w:val="nil"/>
              <w:left w:val="nil"/>
              <w:bottom w:val="nil"/>
              <w:right w:val="nil"/>
            </w:tcBorders>
          </w:tcPr>
          <w:p w14:paraId="642AE3BF"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-0.0554***</w:t>
            </w:r>
          </w:p>
        </w:tc>
        <w:tc>
          <w:tcPr>
            <w:tcW w:w="0" w:type="auto"/>
            <w:tcBorders>
              <w:top w:val="nil"/>
              <w:left w:val="nil"/>
              <w:bottom w:val="nil"/>
              <w:right w:val="nil"/>
            </w:tcBorders>
          </w:tcPr>
          <w:p w14:paraId="5C70035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-0.0155***</w:t>
            </w:r>
          </w:p>
        </w:tc>
      </w:tr>
      <w:tr w:rsidR="009D7034" w14:paraId="51D4AF59" w14:textId="77777777" w:rsidTr="009D7034">
        <w:trPr>
          <w:jc w:val="right"/>
        </w:trPr>
        <w:tc>
          <w:tcPr>
            <w:tcW w:w="0" w:type="auto"/>
            <w:tcBorders>
              <w:top w:val="nil"/>
              <w:left w:val="nil"/>
              <w:bottom w:val="nil"/>
              <w:right w:val="nil"/>
            </w:tcBorders>
          </w:tcPr>
          <w:p w14:paraId="437C7688"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18DC207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(0.013)</w:t>
            </w:r>
          </w:p>
        </w:tc>
        <w:tc>
          <w:tcPr>
            <w:tcW w:w="0" w:type="auto"/>
            <w:tcBorders>
              <w:top w:val="nil"/>
              <w:left w:val="nil"/>
              <w:bottom w:val="nil"/>
              <w:right w:val="nil"/>
            </w:tcBorders>
          </w:tcPr>
          <w:p w14:paraId="4FD54B2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(0.004)</w:t>
            </w:r>
          </w:p>
        </w:tc>
        <w:tc>
          <w:tcPr>
            <w:tcW w:w="0" w:type="auto"/>
            <w:tcBorders>
              <w:top w:val="nil"/>
              <w:left w:val="nil"/>
              <w:bottom w:val="nil"/>
              <w:right w:val="nil"/>
            </w:tcBorders>
          </w:tcPr>
          <w:p w14:paraId="44B097D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(0.003)</w:t>
            </w:r>
          </w:p>
        </w:tc>
        <w:tc>
          <w:tcPr>
            <w:tcW w:w="0" w:type="auto"/>
            <w:tcBorders>
              <w:top w:val="nil"/>
              <w:left w:val="nil"/>
              <w:bottom w:val="nil"/>
              <w:right w:val="nil"/>
            </w:tcBorders>
          </w:tcPr>
          <w:p w14:paraId="45BE054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(0.018)</w:t>
            </w:r>
          </w:p>
        </w:tc>
        <w:tc>
          <w:tcPr>
            <w:tcW w:w="0" w:type="auto"/>
            <w:tcBorders>
              <w:top w:val="nil"/>
              <w:left w:val="nil"/>
              <w:bottom w:val="nil"/>
              <w:right w:val="nil"/>
            </w:tcBorders>
          </w:tcPr>
          <w:p w14:paraId="25DE078F"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(0.004)</w:t>
            </w:r>
          </w:p>
        </w:tc>
      </w:tr>
      <w:tr w:rsidR="009D7034" w14:paraId="4C7E2D38" w14:textId="77777777" w:rsidTr="009D7034">
        <w:trPr>
          <w:jc w:val="right"/>
        </w:trPr>
        <w:tc>
          <w:tcPr>
            <w:tcW w:w="0" w:type="auto"/>
            <w:tcBorders>
              <w:top w:val="nil"/>
              <w:left w:val="nil"/>
              <w:bottom w:val="nil"/>
              <w:right w:val="nil"/>
            </w:tcBorders>
          </w:tcPr>
          <w:p w14:paraId="6757BE39"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lnpwage</w:t>
            </w:r>
            <w:proofErr w:type="spellEnd"/>
          </w:p>
        </w:tc>
        <w:tc>
          <w:tcPr>
            <w:tcW w:w="0" w:type="auto"/>
            <w:tcBorders>
              <w:top w:val="nil"/>
              <w:left w:val="nil"/>
              <w:bottom w:val="nil"/>
              <w:right w:val="nil"/>
            </w:tcBorders>
          </w:tcPr>
          <w:p w14:paraId="2C29893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-2.8961***</w:t>
            </w:r>
          </w:p>
        </w:tc>
        <w:tc>
          <w:tcPr>
            <w:tcW w:w="0" w:type="auto"/>
            <w:tcBorders>
              <w:top w:val="nil"/>
              <w:left w:val="nil"/>
              <w:bottom w:val="nil"/>
              <w:right w:val="nil"/>
            </w:tcBorders>
          </w:tcPr>
          <w:p w14:paraId="5080F9A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-0.4408***</w:t>
            </w:r>
          </w:p>
        </w:tc>
        <w:tc>
          <w:tcPr>
            <w:tcW w:w="0" w:type="auto"/>
            <w:tcBorders>
              <w:top w:val="nil"/>
              <w:left w:val="nil"/>
              <w:bottom w:val="nil"/>
              <w:right w:val="nil"/>
            </w:tcBorders>
          </w:tcPr>
          <w:p w14:paraId="7EF5BE1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0.1168</w:t>
            </w:r>
          </w:p>
        </w:tc>
        <w:tc>
          <w:tcPr>
            <w:tcW w:w="0" w:type="auto"/>
            <w:tcBorders>
              <w:top w:val="nil"/>
              <w:left w:val="nil"/>
              <w:bottom w:val="nil"/>
              <w:right w:val="nil"/>
            </w:tcBorders>
          </w:tcPr>
          <w:p w14:paraId="3489D34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-3.4658***</w:t>
            </w:r>
          </w:p>
        </w:tc>
        <w:tc>
          <w:tcPr>
            <w:tcW w:w="0" w:type="auto"/>
            <w:tcBorders>
              <w:top w:val="nil"/>
              <w:left w:val="nil"/>
              <w:bottom w:val="nil"/>
              <w:right w:val="nil"/>
            </w:tcBorders>
          </w:tcPr>
          <w:p w14:paraId="267AB4F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-0.2850**</w:t>
            </w:r>
          </w:p>
        </w:tc>
      </w:tr>
      <w:tr w:rsidR="009D7034" w14:paraId="1605FF8C" w14:textId="77777777" w:rsidTr="009D7034">
        <w:trPr>
          <w:jc w:val="right"/>
        </w:trPr>
        <w:tc>
          <w:tcPr>
            <w:tcW w:w="0" w:type="auto"/>
            <w:tcBorders>
              <w:top w:val="nil"/>
              <w:left w:val="nil"/>
              <w:bottom w:val="nil"/>
              <w:right w:val="nil"/>
            </w:tcBorders>
          </w:tcPr>
          <w:p w14:paraId="1F9998FC"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628EB4A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(0.486)</w:t>
            </w:r>
          </w:p>
        </w:tc>
        <w:tc>
          <w:tcPr>
            <w:tcW w:w="0" w:type="auto"/>
            <w:tcBorders>
              <w:top w:val="nil"/>
              <w:left w:val="nil"/>
              <w:bottom w:val="nil"/>
              <w:right w:val="nil"/>
            </w:tcBorders>
          </w:tcPr>
          <w:p w14:paraId="17B4E12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(0.113)</w:t>
            </w:r>
          </w:p>
        </w:tc>
        <w:tc>
          <w:tcPr>
            <w:tcW w:w="0" w:type="auto"/>
            <w:tcBorders>
              <w:top w:val="nil"/>
              <w:left w:val="nil"/>
              <w:bottom w:val="nil"/>
              <w:right w:val="nil"/>
            </w:tcBorders>
          </w:tcPr>
          <w:p w14:paraId="112E6C6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(0.073)</w:t>
            </w:r>
          </w:p>
        </w:tc>
        <w:tc>
          <w:tcPr>
            <w:tcW w:w="0" w:type="auto"/>
            <w:tcBorders>
              <w:top w:val="nil"/>
              <w:left w:val="nil"/>
              <w:bottom w:val="nil"/>
              <w:right w:val="nil"/>
            </w:tcBorders>
          </w:tcPr>
          <w:p w14:paraId="3D00D5E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(0.629)</w:t>
            </w:r>
          </w:p>
        </w:tc>
        <w:tc>
          <w:tcPr>
            <w:tcW w:w="0" w:type="auto"/>
            <w:tcBorders>
              <w:top w:val="nil"/>
              <w:left w:val="nil"/>
              <w:bottom w:val="nil"/>
              <w:right w:val="nil"/>
            </w:tcBorders>
          </w:tcPr>
          <w:p w14:paraId="641BB54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(0.120)</w:t>
            </w:r>
          </w:p>
        </w:tc>
      </w:tr>
      <w:tr w:rsidR="009D7034" w14:paraId="0125B505" w14:textId="77777777" w:rsidTr="009D7034">
        <w:trPr>
          <w:jc w:val="right"/>
        </w:trPr>
        <w:tc>
          <w:tcPr>
            <w:tcW w:w="0" w:type="auto"/>
            <w:tcBorders>
              <w:top w:val="nil"/>
              <w:left w:val="nil"/>
              <w:bottom w:val="nil"/>
              <w:right w:val="nil"/>
            </w:tcBorders>
          </w:tcPr>
          <w:p w14:paraId="7F294B6A"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lninternet</w:t>
            </w:r>
            <w:proofErr w:type="spellEnd"/>
          </w:p>
        </w:tc>
        <w:tc>
          <w:tcPr>
            <w:tcW w:w="0" w:type="auto"/>
            <w:tcBorders>
              <w:top w:val="nil"/>
              <w:left w:val="nil"/>
              <w:bottom w:val="nil"/>
              <w:right w:val="nil"/>
            </w:tcBorders>
          </w:tcPr>
          <w:p w14:paraId="6E3F0C2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-0.3444***</w:t>
            </w:r>
          </w:p>
        </w:tc>
        <w:tc>
          <w:tcPr>
            <w:tcW w:w="0" w:type="auto"/>
            <w:tcBorders>
              <w:top w:val="nil"/>
              <w:left w:val="nil"/>
              <w:bottom w:val="nil"/>
              <w:right w:val="nil"/>
            </w:tcBorders>
          </w:tcPr>
          <w:p w14:paraId="03C13A1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-0.1161***</w:t>
            </w:r>
          </w:p>
        </w:tc>
        <w:tc>
          <w:tcPr>
            <w:tcW w:w="0" w:type="auto"/>
            <w:tcBorders>
              <w:top w:val="nil"/>
              <w:left w:val="nil"/>
              <w:bottom w:val="nil"/>
              <w:right w:val="nil"/>
            </w:tcBorders>
          </w:tcPr>
          <w:p w14:paraId="26DF223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-0.1001***</w:t>
            </w:r>
          </w:p>
        </w:tc>
        <w:tc>
          <w:tcPr>
            <w:tcW w:w="0" w:type="auto"/>
            <w:tcBorders>
              <w:top w:val="nil"/>
              <w:left w:val="nil"/>
              <w:bottom w:val="nil"/>
              <w:right w:val="nil"/>
            </w:tcBorders>
          </w:tcPr>
          <w:p w14:paraId="5930238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-0.0754</w:t>
            </w:r>
          </w:p>
        </w:tc>
        <w:tc>
          <w:tcPr>
            <w:tcW w:w="0" w:type="auto"/>
            <w:tcBorders>
              <w:top w:val="nil"/>
              <w:left w:val="nil"/>
              <w:bottom w:val="nil"/>
              <w:right w:val="nil"/>
            </w:tcBorders>
          </w:tcPr>
          <w:p w14:paraId="26CF7E1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-0.2845***</w:t>
            </w:r>
          </w:p>
        </w:tc>
      </w:tr>
      <w:tr w:rsidR="009D7034" w14:paraId="1B197E7D" w14:textId="77777777" w:rsidTr="009D7034">
        <w:trPr>
          <w:jc w:val="right"/>
        </w:trPr>
        <w:tc>
          <w:tcPr>
            <w:tcW w:w="0" w:type="auto"/>
            <w:tcBorders>
              <w:top w:val="nil"/>
              <w:left w:val="nil"/>
              <w:bottom w:val="nil"/>
              <w:right w:val="nil"/>
            </w:tcBorders>
          </w:tcPr>
          <w:p w14:paraId="1E9E20D0"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335D948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(0.102)</w:t>
            </w:r>
          </w:p>
        </w:tc>
        <w:tc>
          <w:tcPr>
            <w:tcW w:w="0" w:type="auto"/>
            <w:tcBorders>
              <w:top w:val="nil"/>
              <w:left w:val="nil"/>
              <w:bottom w:val="nil"/>
              <w:right w:val="nil"/>
            </w:tcBorders>
          </w:tcPr>
          <w:p w14:paraId="28187AB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(0.035)</w:t>
            </w:r>
          </w:p>
        </w:tc>
        <w:tc>
          <w:tcPr>
            <w:tcW w:w="0" w:type="auto"/>
            <w:tcBorders>
              <w:top w:val="nil"/>
              <w:left w:val="nil"/>
              <w:bottom w:val="nil"/>
              <w:right w:val="nil"/>
            </w:tcBorders>
          </w:tcPr>
          <w:p w14:paraId="4E27A07E"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(0.031)</w:t>
            </w:r>
          </w:p>
        </w:tc>
        <w:tc>
          <w:tcPr>
            <w:tcW w:w="0" w:type="auto"/>
            <w:tcBorders>
              <w:top w:val="nil"/>
              <w:left w:val="nil"/>
              <w:bottom w:val="nil"/>
              <w:right w:val="nil"/>
            </w:tcBorders>
          </w:tcPr>
          <w:p w14:paraId="6144EF3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(0.116)</w:t>
            </w:r>
          </w:p>
        </w:tc>
        <w:tc>
          <w:tcPr>
            <w:tcW w:w="0" w:type="auto"/>
            <w:tcBorders>
              <w:top w:val="nil"/>
              <w:left w:val="nil"/>
              <w:bottom w:val="nil"/>
              <w:right w:val="nil"/>
            </w:tcBorders>
          </w:tcPr>
          <w:p w14:paraId="2C9995E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(0.043)</w:t>
            </w:r>
          </w:p>
        </w:tc>
      </w:tr>
      <w:tr w:rsidR="009D7034" w14:paraId="16D5998F" w14:textId="77777777" w:rsidTr="009D7034">
        <w:trPr>
          <w:jc w:val="right"/>
        </w:trPr>
        <w:tc>
          <w:tcPr>
            <w:tcW w:w="0" w:type="auto"/>
            <w:tcBorders>
              <w:top w:val="nil"/>
              <w:left w:val="nil"/>
              <w:bottom w:val="nil"/>
              <w:right w:val="nil"/>
            </w:tcBorders>
          </w:tcPr>
          <w:p w14:paraId="3C164FA3" w14:textId="77777777" w:rsidR="009D7034" w:rsidRDefault="009D7034" w:rsidP="00293BEF">
            <w:pPr>
              <w:spacing w:after="5" w:line="259" w:lineRule="auto"/>
              <w:rPr>
                <w:rFonts w:ascii="Times New Roman" w:eastAsia="Times New Roman" w:hAnsi="Times New Roman"/>
                <w:color w:val="131313"/>
              </w:rPr>
            </w:pPr>
            <w:r>
              <w:rPr>
                <w:rFonts w:ascii="Times New Roman" w:eastAsia="Times New Roman" w:hAnsi="Times New Roman"/>
                <w:color w:val="131313"/>
              </w:rPr>
              <w:t>Constant</w:t>
            </w:r>
          </w:p>
        </w:tc>
        <w:tc>
          <w:tcPr>
            <w:tcW w:w="0" w:type="auto"/>
            <w:tcBorders>
              <w:top w:val="nil"/>
              <w:left w:val="nil"/>
              <w:bottom w:val="nil"/>
              <w:right w:val="nil"/>
            </w:tcBorders>
          </w:tcPr>
          <w:p w14:paraId="3EF9EBF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44.3238***</w:t>
            </w:r>
          </w:p>
        </w:tc>
        <w:tc>
          <w:tcPr>
            <w:tcW w:w="0" w:type="auto"/>
            <w:tcBorders>
              <w:top w:val="nil"/>
              <w:left w:val="nil"/>
              <w:bottom w:val="nil"/>
              <w:right w:val="nil"/>
            </w:tcBorders>
          </w:tcPr>
          <w:p w14:paraId="14DE551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9.4101***</w:t>
            </w:r>
          </w:p>
        </w:tc>
        <w:tc>
          <w:tcPr>
            <w:tcW w:w="0" w:type="auto"/>
            <w:tcBorders>
              <w:top w:val="nil"/>
              <w:left w:val="nil"/>
              <w:bottom w:val="nil"/>
              <w:right w:val="nil"/>
            </w:tcBorders>
          </w:tcPr>
          <w:p w14:paraId="3072746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1.7586</w:t>
            </w:r>
          </w:p>
        </w:tc>
        <w:tc>
          <w:tcPr>
            <w:tcW w:w="0" w:type="auto"/>
            <w:tcBorders>
              <w:top w:val="nil"/>
              <w:left w:val="nil"/>
              <w:bottom w:val="nil"/>
              <w:right w:val="nil"/>
            </w:tcBorders>
          </w:tcPr>
          <w:p w14:paraId="31E927C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50.7191***</w:t>
            </w:r>
          </w:p>
        </w:tc>
        <w:tc>
          <w:tcPr>
            <w:tcW w:w="0" w:type="auto"/>
            <w:tcBorders>
              <w:top w:val="nil"/>
              <w:left w:val="nil"/>
              <w:bottom w:val="nil"/>
              <w:right w:val="nil"/>
            </w:tcBorders>
          </w:tcPr>
          <w:p w14:paraId="58A6ECC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10.9625***</w:t>
            </w:r>
          </w:p>
        </w:tc>
      </w:tr>
      <w:tr w:rsidR="009D7034" w14:paraId="06DAC913" w14:textId="77777777" w:rsidTr="009D7034">
        <w:trPr>
          <w:jc w:val="right"/>
        </w:trPr>
        <w:tc>
          <w:tcPr>
            <w:tcW w:w="0" w:type="auto"/>
            <w:tcBorders>
              <w:top w:val="nil"/>
              <w:left w:val="nil"/>
              <w:bottom w:val="nil"/>
              <w:right w:val="nil"/>
            </w:tcBorders>
          </w:tcPr>
          <w:p w14:paraId="1B70B694" w14:textId="77777777" w:rsidR="009D7034" w:rsidRDefault="009D7034" w:rsidP="00293BEF">
            <w:pPr>
              <w:spacing w:after="5" w:line="259" w:lineRule="auto"/>
              <w:ind w:firstLine="227"/>
              <w:rPr>
                <w:rFonts w:ascii="Times New Roman" w:eastAsia="Times New Roman" w:hAnsi="Times New Roman"/>
                <w:color w:val="131313"/>
              </w:rPr>
            </w:pPr>
          </w:p>
        </w:tc>
        <w:tc>
          <w:tcPr>
            <w:tcW w:w="0" w:type="auto"/>
            <w:tcBorders>
              <w:top w:val="nil"/>
              <w:left w:val="nil"/>
              <w:bottom w:val="nil"/>
              <w:right w:val="nil"/>
            </w:tcBorders>
          </w:tcPr>
          <w:p w14:paraId="4E190503"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(5.274)</w:t>
            </w:r>
          </w:p>
        </w:tc>
        <w:tc>
          <w:tcPr>
            <w:tcW w:w="0" w:type="auto"/>
            <w:tcBorders>
              <w:top w:val="nil"/>
              <w:left w:val="nil"/>
              <w:bottom w:val="nil"/>
              <w:right w:val="nil"/>
            </w:tcBorders>
          </w:tcPr>
          <w:p w14:paraId="30E2153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(1.570)</w:t>
            </w:r>
          </w:p>
        </w:tc>
        <w:tc>
          <w:tcPr>
            <w:tcW w:w="0" w:type="auto"/>
            <w:tcBorders>
              <w:top w:val="nil"/>
              <w:left w:val="nil"/>
              <w:bottom w:val="nil"/>
              <w:right w:val="nil"/>
            </w:tcBorders>
          </w:tcPr>
          <w:p w14:paraId="6C559422"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(1.258)</w:t>
            </w:r>
          </w:p>
        </w:tc>
        <w:tc>
          <w:tcPr>
            <w:tcW w:w="0" w:type="auto"/>
            <w:tcBorders>
              <w:top w:val="nil"/>
              <w:left w:val="nil"/>
              <w:bottom w:val="nil"/>
              <w:right w:val="nil"/>
            </w:tcBorders>
          </w:tcPr>
          <w:p w14:paraId="2A20C76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(6.851)</w:t>
            </w:r>
          </w:p>
        </w:tc>
        <w:tc>
          <w:tcPr>
            <w:tcW w:w="0" w:type="auto"/>
            <w:tcBorders>
              <w:top w:val="nil"/>
              <w:left w:val="nil"/>
              <w:bottom w:val="nil"/>
              <w:right w:val="nil"/>
            </w:tcBorders>
          </w:tcPr>
          <w:p w14:paraId="468F69C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(1.727)</w:t>
            </w:r>
          </w:p>
        </w:tc>
      </w:tr>
      <w:tr w:rsidR="009D7034" w14:paraId="5F358A69" w14:textId="77777777" w:rsidTr="009D7034">
        <w:trPr>
          <w:jc w:val="right"/>
        </w:trPr>
        <w:tc>
          <w:tcPr>
            <w:tcW w:w="0" w:type="auto"/>
            <w:tcBorders>
              <w:top w:val="nil"/>
              <w:left w:val="nil"/>
              <w:bottom w:val="nil"/>
              <w:right w:val="nil"/>
            </w:tcBorders>
          </w:tcPr>
          <w:p w14:paraId="12608B16"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City_FE</w:t>
            </w:r>
            <w:proofErr w:type="spellEnd"/>
          </w:p>
          <w:p w14:paraId="1CC492C7" w14:textId="77777777" w:rsidR="009D7034" w:rsidRDefault="009D7034" w:rsidP="00293BEF">
            <w:pPr>
              <w:spacing w:after="5" w:line="259" w:lineRule="auto"/>
              <w:rPr>
                <w:rFonts w:ascii="Times New Roman" w:eastAsia="Times New Roman" w:hAnsi="Times New Roman"/>
                <w:color w:val="131313"/>
              </w:rPr>
            </w:pPr>
            <w:proofErr w:type="spellStart"/>
            <w:r>
              <w:rPr>
                <w:rFonts w:ascii="Times New Roman" w:eastAsia="Times New Roman" w:hAnsi="Times New Roman"/>
                <w:color w:val="131313"/>
              </w:rPr>
              <w:t>Year_FE</w:t>
            </w:r>
            <w:proofErr w:type="spellEnd"/>
          </w:p>
        </w:tc>
        <w:tc>
          <w:tcPr>
            <w:tcW w:w="0" w:type="auto"/>
            <w:tcBorders>
              <w:top w:val="nil"/>
              <w:left w:val="nil"/>
              <w:bottom w:val="nil"/>
              <w:right w:val="nil"/>
            </w:tcBorders>
          </w:tcPr>
          <w:p w14:paraId="3C3F9038"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6D8C8976"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43825AE5"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AE5D3B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5DF8DD9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2F5AB5D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45FFB35B"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7D907C40" w14:textId="77777777" w:rsidR="009D7034" w:rsidRDefault="009D7034" w:rsidP="00293BEF">
            <w:pPr>
              <w:spacing w:after="5" w:line="259" w:lineRule="auto"/>
              <w:ind w:firstLineChars="200" w:firstLine="420"/>
              <w:rPr>
                <w:rFonts w:ascii="Times New Roman" w:eastAsia="Times New Roman" w:hAnsi="Times New Roman"/>
                <w:color w:val="131313"/>
              </w:rPr>
            </w:pPr>
            <w:r>
              <w:rPr>
                <w:rFonts w:ascii="Times New Roman" w:eastAsia="Times New Roman" w:hAnsi="Times New Roman"/>
                <w:color w:val="131313"/>
              </w:rPr>
              <w:t>YES</w:t>
            </w:r>
          </w:p>
        </w:tc>
        <w:tc>
          <w:tcPr>
            <w:tcW w:w="0" w:type="auto"/>
            <w:tcBorders>
              <w:top w:val="nil"/>
              <w:left w:val="nil"/>
              <w:bottom w:val="nil"/>
              <w:right w:val="nil"/>
            </w:tcBorders>
          </w:tcPr>
          <w:p w14:paraId="2AFBAD6B"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p w14:paraId="1438B99D"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YES</w:t>
            </w:r>
          </w:p>
        </w:tc>
      </w:tr>
      <w:tr w:rsidR="009D7034" w14:paraId="29838FC0" w14:textId="77777777" w:rsidTr="009D7034">
        <w:trPr>
          <w:jc w:val="right"/>
        </w:trPr>
        <w:tc>
          <w:tcPr>
            <w:tcW w:w="0" w:type="auto"/>
            <w:tcBorders>
              <w:top w:val="nil"/>
              <w:left w:val="nil"/>
              <w:bottom w:val="nil"/>
              <w:right w:val="nil"/>
            </w:tcBorders>
          </w:tcPr>
          <w:p w14:paraId="240BB7D6" w14:textId="77777777" w:rsidR="009D7034" w:rsidRDefault="009D7034" w:rsidP="00293BEF">
            <w:pPr>
              <w:spacing w:after="5" w:line="259" w:lineRule="auto"/>
              <w:rPr>
                <w:rFonts w:ascii="Times New Roman" w:eastAsia="Times New Roman" w:hAnsi="Times New Roman"/>
                <w:color w:val="131313"/>
              </w:rPr>
            </w:pPr>
            <w:r>
              <w:rPr>
                <w:rFonts w:ascii="Times New Roman" w:eastAsia="Times New Roman" w:hAnsi="Times New Roman"/>
                <w:color w:val="131313"/>
              </w:rPr>
              <w:t>Observations</w:t>
            </w:r>
          </w:p>
        </w:tc>
        <w:tc>
          <w:tcPr>
            <w:tcW w:w="0" w:type="auto"/>
            <w:tcBorders>
              <w:top w:val="nil"/>
              <w:left w:val="nil"/>
              <w:bottom w:val="nil"/>
              <w:right w:val="nil"/>
            </w:tcBorders>
          </w:tcPr>
          <w:p w14:paraId="7098507A"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1,023</w:t>
            </w:r>
          </w:p>
        </w:tc>
        <w:tc>
          <w:tcPr>
            <w:tcW w:w="0" w:type="auto"/>
            <w:tcBorders>
              <w:top w:val="nil"/>
              <w:left w:val="nil"/>
              <w:bottom w:val="nil"/>
              <w:right w:val="nil"/>
            </w:tcBorders>
          </w:tcPr>
          <w:p w14:paraId="1E5439F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1,034</w:t>
            </w:r>
          </w:p>
        </w:tc>
        <w:tc>
          <w:tcPr>
            <w:tcW w:w="0" w:type="auto"/>
            <w:tcBorders>
              <w:top w:val="nil"/>
              <w:left w:val="nil"/>
              <w:bottom w:val="nil"/>
              <w:right w:val="nil"/>
            </w:tcBorders>
          </w:tcPr>
          <w:p w14:paraId="20401332"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707</w:t>
            </w:r>
          </w:p>
        </w:tc>
        <w:tc>
          <w:tcPr>
            <w:tcW w:w="0" w:type="auto"/>
            <w:tcBorders>
              <w:top w:val="nil"/>
              <w:left w:val="nil"/>
              <w:bottom w:val="nil"/>
              <w:right w:val="nil"/>
            </w:tcBorders>
          </w:tcPr>
          <w:p w14:paraId="552D1890"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529</w:t>
            </w:r>
          </w:p>
        </w:tc>
        <w:tc>
          <w:tcPr>
            <w:tcW w:w="0" w:type="auto"/>
            <w:tcBorders>
              <w:top w:val="nil"/>
              <w:left w:val="nil"/>
              <w:bottom w:val="nil"/>
              <w:right w:val="nil"/>
            </w:tcBorders>
          </w:tcPr>
          <w:p w14:paraId="3E143D61"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2,235</w:t>
            </w:r>
          </w:p>
        </w:tc>
      </w:tr>
      <w:tr w:rsidR="009D7034" w14:paraId="75F4F047" w14:textId="77777777" w:rsidTr="009D7034">
        <w:tblPrEx>
          <w:tblBorders>
            <w:bottom w:val="single" w:sz="6" w:space="0" w:color="auto"/>
          </w:tblBorders>
        </w:tblPrEx>
        <w:trPr>
          <w:jc w:val="right"/>
        </w:trPr>
        <w:tc>
          <w:tcPr>
            <w:tcW w:w="0" w:type="auto"/>
            <w:tcBorders>
              <w:top w:val="nil"/>
              <w:left w:val="nil"/>
              <w:bottom w:val="single" w:sz="6" w:space="0" w:color="auto"/>
              <w:right w:val="nil"/>
            </w:tcBorders>
          </w:tcPr>
          <w:p w14:paraId="372E869A" w14:textId="77777777" w:rsidR="009D7034" w:rsidRDefault="009D7034" w:rsidP="00293BEF">
            <w:pPr>
              <w:spacing w:after="5" w:line="259" w:lineRule="auto"/>
              <w:rPr>
                <w:rFonts w:ascii="Times New Roman" w:eastAsia="Times New Roman" w:hAnsi="Times New Roman"/>
                <w:color w:val="131313"/>
              </w:rPr>
            </w:pPr>
            <w:r>
              <w:rPr>
                <w:rFonts w:ascii="Times New Roman" w:eastAsia="Times New Roman" w:hAnsi="Times New Roman"/>
                <w:color w:val="131313"/>
              </w:rPr>
              <w:t>R-squared</w:t>
            </w:r>
          </w:p>
        </w:tc>
        <w:tc>
          <w:tcPr>
            <w:tcW w:w="0" w:type="auto"/>
            <w:tcBorders>
              <w:top w:val="nil"/>
              <w:left w:val="nil"/>
              <w:bottom w:val="single" w:sz="6" w:space="0" w:color="auto"/>
              <w:right w:val="nil"/>
            </w:tcBorders>
          </w:tcPr>
          <w:p w14:paraId="0EEE9139"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0.8258</w:t>
            </w:r>
          </w:p>
        </w:tc>
        <w:tc>
          <w:tcPr>
            <w:tcW w:w="0" w:type="auto"/>
            <w:tcBorders>
              <w:top w:val="nil"/>
              <w:left w:val="nil"/>
              <w:bottom w:val="single" w:sz="6" w:space="0" w:color="auto"/>
              <w:right w:val="nil"/>
            </w:tcBorders>
          </w:tcPr>
          <w:p w14:paraId="7145F1E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0.6904</w:t>
            </w:r>
          </w:p>
        </w:tc>
        <w:tc>
          <w:tcPr>
            <w:tcW w:w="0" w:type="auto"/>
            <w:tcBorders>
              <w:top w:val="nil"/>
              <w:left w:val="nil"/>
              <w:bottom w:val="single" w:sz="6" w:space="0" w:color="auto"/>
              <w:right w:val="nil"/>
            </w:tcBorders>
          </w:tcPr>
          <w:p w14:paraId="235EF01C"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0.7839</w:t>
            </w:r>
          </w:p>
        </w:tc>
        <w:tc>
          <w:tcPr>
            <w:tcW w:w="0" w:type="auto"/>
            <w:tcBorders>
              <w:top w:val="nil"/>
              <w:left w:val="nil"/>
              <w:bottom w:val="single" w:sz="6" w:space="0" w:color="auto"/>
              <w:right w:val="nil"/>
            </w:tcBorders>
          </w:tcPr>
          <w:p w14:paraId="0C2E21F0"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0.8652</w:t>
            </w:r>
          </w:p>
        </w:tc>
        <w:tc>
          <w:tcPr>
            <w:tcW w:w="0" w:type="auto"/>
            <w:tcBorders>
              <w:top w:val="nil"/>
              <w:left w:val="nil"/>
              <w:bottom w:val="single" w:sz="6" w:space="0" w:color="auto"/>
              <w:right w:val="nil"/>
            </w:tcBorders>
          </w:tcPr>
          <w:p w14:paraId="60D8BDC4" w14:textId="77777777" w:rsidR="009D7034" w:rsidRDefault="009D7034" w:rsidP="00293BEF">
            <w:pPr>
              <w:spacing w:after="5" w:line="259" w:lineRule="auto"/>
              <w:ind w:firstLine="227"/>
              <w:rPr>
                <w:rFonts w:ascii="Times New Roman" w:eastAsia="Times New Roman" w:hAnsi="Times New Roman"/>
                <w:color w:val="131313"/>
              </w:rPr>
            </w:pPr>
            <w:r>
              <w:rPr>
                <w:rFonts w:ascii="Times New Roman" w:eastAsia="Times New Roman" w:hAnsi="Times New Roman"/>
                <w:color w:val="131313"/>
              </w:rPr>
              <w:t>0.7436</w:t>
            </w:r>
          </w:p>
        </w:tc>
      </w:tr>
    </w:tbl>
    <w:p w14:paraId="761DCDFB" w14:textId="1567D3D1" w:rsidR="009D7034" w:rsidRDefault="008B19EC" w:rsidP="008B19EC">
      <w:pPr>
        <w:spacing w:after="5" w:line="259" w:lineRule="auto"/>
        <w:jc w:val="center"/>
        <w:rPr>
          <w:rFonts w:ascii="Times New Roman" w:hAnsi="Times New Roman"/>
          <w:color w:val="000000" w:themeColor="text1"/>
        </w:rPr>
      </w:pPr>
      <w:r w:rsidRPr="008B19EC">
        <w:rPr>
          <w:rFonts w:ascii="Times New Roman" w:eastAsia="Times New Roman" w:hAnsi="Times New Roman" w:hint="eastAsia"/>
          <w:color w:val="000000" w:themeColor="text1"/>
        </w:rPr>
        <w:t>Note: Robust standard errors in parentheses: *** p&lt;0.01, ** p&lt;0.05, * p&lt;0.1 respectively.</w:t>
      </w:r>
    </w:p>
    <w:p w14:paraId="0465DE19" w14:textId="77777777" w:rsidR="00E21D13" w:rsidRPr="00E21D13" w:rsidRDefault="00E21D13" w:rsidP="00E21D13">
      <w:pPr>
        <w:spacing w:after="5" w:line="259" w:lineRule="auto"/>
        <w:rPr>
          <w:rFonts w:ascii="Times New Roman" w:hAnsi="Times New Roman"/>
          <w:color w:val="000000" w:themeColor="text1"/>
        </w:rPr>
      </w:pPr>
    </w:p>
    <w:p w14:paraId="52B65879" w14:textId="386D0BA0" w:rsidR="008B19EC" w:rsidRDefault="008B19EC" w:rsidP="008B19EC">
      <w:pPr>
        <w:spacing w:line="360" w:lineRule="auto"/>
        <w:ind w:firstLineChars="200" w:firstLine="480"/>
        <w:rPr>
          <w:rFonts w:ascii="Times New Roman" w:hAnsi="Times New Roman"/>
          <w:color w:val="000000" w:themeColor="text1"/>
          <w:sz w:val="24"/>
        </w:rPr>
      </w:pPr>
      <w:r w:rsidRPr="008B19EC">
        <w:rPr>
          <w:rFonts w:ascii="Times New Roman" w:hAnsi="Times New Roman" w:hint="eastAsia"/>
          <w:color w:val="000000" w:themeColor="text1"/>
          <w:sz w:val="24"/>
        </w:rPr>
        <w:lastRenderedPageBreak/>
        <w:t>4.4.2. Heterogeneity in the level of financial development</w:t>
      </w:r>
    </w:p>
    <w:p w14:paraId="70091D46" w14:textId="481BCFF4" w:rsidR="008B19EC" w:rsidRDefault="00F84C4B" w:rsidP="008B19EC">
      <w:pPr>
        <w:spacing w:line="360" w:lineRule="auto"/>
        <w:ind w:firstLineChars="200" w:firstLine="480"/>
        <w:rPr>
          <w:rFonts w:ascii="Times New Roman" w:hAnsi="Times New Roman"/>
          <w:color w:val="000000" w:themeColor="text1"/>
          <w:sz w:val="24"/>
        </w:rPr>
      </w:pPr>
      <w:r w:rsidRPr="00F84C4B">
        <w:rPr>
          <w:rFonts w:ascii="Times New Roman" w:hAnsi="Times New Roman"/>
          <w:color w:val="000000" w:themeColor="text1"/>
          <w:sz w:val="24"/>
        </w:rPr>
        <w:t xml:space="preserve">Based on robustness test findings indicating that </w:t>
      </w:r>
      <w:proofErr w:type="spellStart"/>
      <w:r>
        <w:rPr>
          <w:rFonts w:ascii="Times New Roman" w:hAnsi="Times New Roman" w:hint="eastAsia"/>
          <w:color w:val="000000" w:themeColor="text1"/>
          <w:sz w:val="24"/>
        </w:rPr>
        <w:t>lc</w:t>
      </w:r>
      <w:r w:rsidRPr="00F84C4B">
        <w:rPr>
          <w:rFonts w:ascii="Times New Roman" w:hAnsi="Times New Roman"/>
          <w:color w:val="000000" w:themeColor="text1"/>
          <w:sz w:val="24"/>
        </w:rPr>
        <w:t>policy’s</w:t>
      </w:r>
      <w:proofErr w:type="spellEnd"/>
      <w:r w:rsidRPr="00F84C4B">
        <w:rPr>
          <w:rFonts w:ascii="Times New Roman" w:hAnsi="Times New Roman"/>
          <w:color w:val="000000" w:themeColor="text1"/>
          <w:sz w:val="24"/>
        </w:rPr>
        <w:t xml:space="preserve"> impact on green innovation is constrained by urban economic development levels, we utilize year-end loan balances of prefecture-level city financial institutions as a proxy measure for this constraint. The sample is bifurcated into higher and lower financial development groups according to the mean loan balance value. Regression analyses controlling for the same covariate set, city fixed effects, and time fixed effects are con-ducted separately for both subsamples.</w:t>
      </w:r>
      <w:r>
        <w:rPr>
          <w:rFonts w:ascii="Times New Roman" w:hAnsi="Times New Roman" w:hint="eastAsia"/>
          <w:color w:val="000000" w:themeColor="text1"/>
          <w:sz w:val="24"/>
        </w:rPr>
        <w:t xml:space="preserve"> </w:t>
      </w:r>
      <w:r w:rsidR="008B19EC" w:rsidRPr="008B19EC">
        <w:rPr>
          <w:rFonts w:ascii="Times New Roman" w:hAnsi="Times New Roman" w:hint="eastAsia"/>
          <w:color w:val="000000" w:themeColor="text1"/>
          <w:sz w:val="24"/>
        </w:rPr>
        <w:t>Table 6 displays the estimation results. (Note that these control variables are not shown later in the paper unless otherwise stated.)</w:t>
      </w:r>
    </w:p>
    <w:p w14:paraId="5EA1ECC5" w14:textId="77777777" w:rsidR="008B19EC" w:rsidRDefault="008B19EC" w:rsidP="008B19EC">
      <w:pPr>
        <w:spacing w:line="360" w:lineRule="auto"/>
        <w:rPr>
          <w:rFonts w:ascii="Times New Roman" w:hAnsi="Times New Roman"/>
          <w:color w:val="000000" w:themeColor="text1"/>
          <w:sz w:val="24"/>
        </w:rPr>
      </w:pPr>
    </w:p>
    <w:p w14:paraId="0C7EA2D5" w14:textId="0EB5BCB0" w:rsidR="008B19EC" w:rsidRDefault="008B19EC" w:rsidP="008B19EC">
      <w:pPr>
        <w:spacing w:line="360" w:lineRule="auto"/>
        <w:ind w:firstLineChars="500" w:firstLine="1200"/>
        <w:rPr>
          <w:rFonts w:ascii="Times New Roman" w:hAnsi="Times New Roman"/>
          <w:color w:val="000000" w:themeColor="text1"/>
          <w:sz w:val="24"/>
        </w:rPr>
      </w:pPr>
      <w:r w:rsidRPr="008B19EC">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5</w:t>
      </w:r>
      <w:r w:rsidRPr="008B19EC">
        <w:rPr>
          <w:rFonts w:ascii="Times New Roman" w:hAnsi="Times New Roman" w:hint="eastAsia"/>
          <w:b/>
          <w:bCs/>
          <w:color w:val="000000" w:themeColor="text1"/>
          <w:sz w:val="24"/>
        </w:rPr>
        <w:t>.</w:t>
      </w:r>
      <w:r w:rsidRPr="008B19EC">
        <w:rPr>
          <w:rFonts w:ascii="Times New Roman" w:hAnsi="Times New Roman" w:hint="eastAsia"/>
          <w:color w:val="000000" w:themeColor="text1"/>
          <w:sz w:val="24"/>
        </w:rPr>
        <w:t xml:space="preserve"> Heterogeneity in the level of financial development</w:t>
      </w:r>
    </w:p>
    <w:tbl>
      <w:tblPr>
        <w:tblW w:w="0" w:type="auto"/>
        <w:jc w:val="right"/>
        <w:tblCellMar>
          <w:left w:w="75" w:type="dxa"/>
          <w:right w:w="75" w:type="dxa"/>
        </w:tblCellMar>
        <w:tblLook w:val="04A0" w:firstRow="1" w:lastRow="0" w:firstColumn="1" w:lastColumn="0" w:noHBand="0" w:noVBand="1"/>
      </w:tblPr>
      <w:tblGrid>
        <w:gridCol w:w="1679"/>
        <w:gridCol w:w="3331"/>
        <w:gridCol w:w="3296"/>
      </w:tblGrid>
      <w:tr w:rsidR="008B19EC" w14:paraId="2A74663E" w14:textId="77777777" w:rsidTr="008B19EC">
        <w:trPr>
          <w:jc w:val="right"/>
        </w:trPr>
        <w:tc>
          <w:tcPr>
            <w:tcW w:w="0" w:type="auto"/>
            <w:tcBorders>
              <w:top w:val="single" w:sz="6" w:space="0" w:color="auto"/>
              <w:left w:val="nil"/>
              <w:bottom w:val="nil"/>
              <w:right w:val="nil"/>
            </w:tcBorders>
          </w:tcPr>
          <w:p w14:paraId="091A3A2B" w14:textId="77777777" w:rsidR="008B19EC" w:rsidRPr="008B19EC" w:rsidRDefault="008B19EC" w:rsidP="008B19EC">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4E363A05" w14:textId="77777777" w:rsidR="008B19EC" w:rsidRPr="008B19EC" w:rsidRDefault="008B19EC" w:rsidP="008B19EC">
            <w:pPr>
              <w:spacing w:after="5" w:line="259" w:lineRule="auto"/>
              <w:jc w:val="center"/>
              <w:rPr>
                <w:rFonts w:ascii="Times New Roman" w:eastAsia="Times New Roman" w:hAnsi="Times New Roman"/>
                <w:color w:val="000000" w:themeColor="text1"/>
              </w:rPr>
            </w:pPr>
            <w:r w:rsidRPr="008B19EC">
              <w:rPr>
                <w:rFonts w:ascii="Times New Roman" w:eastAsia="Times New Roman" w:hAnsi="Times New Roman"/>
                <w:color w:val="000000" w:themeColor="text1"/>
              </w:rPr>
              <w:t>(1) Cities with high level of financial development</w:t>
            </w:r>
          </w:p>
        </w:tc>
        <w:tc>
          <w:tcPr>
            <w:tcW w:w="0" w:type="auto"/>
            <w:tcBorders>
              <w:top w:val="single" w:sz="6" w:space="0" w:color="auto"/>
              <w:left w:val="nil"/>
              <w:bottom w:val="nil"/>
              <w:right w:val="nil"/>
            </w:tcBorders>
          </w:tcPr>
          <w:p w14:paraId="115CA6B7" w14:textId="77777777" w:rsidR="008B19EC" w:rsidRPr="008B19EC" w:rsidRDefault="008B19EC" w:rsidP="008B19EC">
            <w:pPr>
              <w:spacing w:after="5" w:line="259" w:lineRule="auto"/>
              <w:jc w:val="center"/>
              <w:rPr>
                <w:rFonts w:ascii="Times New Roman" w:eastAsia="Times New Roman" w:hAnsi="Times New Roman"/>
                <w:color w:val="000000" w:themeColor="text1"/>
              </w:rPr>
            </w:pPr>
            <w:r w:rsidRPr="008B19EC">
              <w:rPr>
                <w:rFonts w:ascii="Times New Roman" w:eastAsia="Times New Roman" w:hAnsi="Times New Roman"/>
                <w:color w:val="000000" w:themeColor="text1"/>
              </w:rPr>
              <w:t>(2) Cities with low level of financial development</w:t>
            </w:r>
          </w:p>
        </w:tc>
      </w:tr>
      <w:tr w:rsidR="008B19EC" w14:paraId="2808FFB6" w14:textId="77777777" w:rsidTr="008B19EC">
        <w:trPr>
          <w:jc w:val="right"/>
        </w:trPr>
        <w:tc>
          <w:tcPr>
            <w:tcW w:w="0" w:type="auto"/>
            <w:tcBorders>
              <w:top w:val="nil"/>
              <w:left w:val="nil"/>
              <w:bottom w:val="single" w:sz="6" w:space="0" w:color="auto"/>
              <w:right w:val="nil"/>
            </w:tcBorders>
          </w:tcPr>
          <w:p w14:paraId="4E830EFF" w14:textId="77777777" w:rsidR="008B19EC" w:rsidRPr="008B19EC" w:rsidRDefault="008B19EC" w:rsidP="008B19EC">
            <w:pPr>
              <w:spacing w:after="5" w:line="259" w:lineRule="auto"/>
              <w:jc w:val="center"/>
              <w:rPr>
                <w:rFonts w:ascii="Times New Roman" w:eastAsia="Times New Roman" w:hAnsi="Times New Roman"/>
                <w:b/>
                <w:bCs/>
                <w:color w:val="000000" w:themeColor="text1"/>
              </w:rPr>
            </w:pPr>
            <w:r w:rsidRPr="008B19EC">
              <w:rPr>
                <w:rFonts w:ascii="Times New Roman" w:eastAsia="Times New Roman" w:hAnsi="Times New Roman"/>
                <w:b/>
                <w:bCs/>
                <w:color w:val="000000" w:themeColor="text1"/>
                <w:sz w:val="22"/>
                <w:szCs w:val="24"/>
              </w:rPr>
              <w:t>Variables</w:t>
            </w:r>
          </w:p>
        </w:tc>
        <w:tc>
          <w:tcPr>
            <w:tcW w:w="0" w:type="auto"/>
            <w:tcBorders>
              <w:top w:val="nil"/>
              <w:left w:val="nil"/>
              <w:bottom w:val="single" w:sz="6" w:space="0" w:color="auto"/>
              <w:right w:val="nil"/>
            </w:tcBorders>
          </w:tcPr>
          <w:p w14:paraId="14E32880" w14:textId="77777777" w:rsidR="008B19EC" w:rsidRPr="008B19EC" w:rsidRDefault="008B19EC" w:rsidP="008B19EC">
            <w:pPr>
              <w:autoSpaceDE w:val="0"/>
              <w:autoSpaceDN w:val="0"/>
              <w:adjustRightInd w:val="0"/>
              <w:spacing w:after="5" w:line="259" w:lineRule="auto"/>
              <w:jc w:val="center"/>
              <w:rPr>
                <w:rFonts w:ascii="Times New Roman" w:eastAsia="Times New Roman" w:hAnsi="Times New Roman"/>
                <w:color w:val="000000" w:themeColor="text1"/>
              </w:rPr>
            </w:pPr>
            <w:proofErr w:type="spellStart"/>
            <w:r w:rsidRPr="008B19EC">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69958480" w14:textId="77777777" w:rsidR="008B19EC" w:rsidRPr="008B19EC" w:rsidRDefault="008B19EC" w:rsidP="008B19EC">
            <w:pPr>
              <w:autoSpaceDE w:val="0"/>
              <w:autoSpaceDN w:val="0"/>
              <w:adjustRightInd w:val="0"/>
              <w:spacing w:after="5" w:line="259" w:lineRule="auto"/>
              <w:jc w:val="center"/>
              <w:rPr>
                <w:rFonts w:ascii="Times New Roman" w:eastAsia="Times New Roman" w:hAnsi="Times New Roman"/>
                <w:color w:val="000000" w:themeColor="text1"/>
              </w:rPr>
            </w:pPr>
            <w:proofErr w:type="spellStart"/>
            <w:r w:rsidRPr="008B19EC">
              <w:rPr>
                <w:rFonts w:ascii="Times New Roman" w:eastAsia="Times New Roman" w:hAnsi="Times New Roman"/>
                <w:color w:val="000000" w:themeColor="text1"/>
              </w:rPr>
              <w:t>green_innovation</w:t>
            </w:r>
            <w:proofErr w:type="spellEnd"/>
          </w:p>
        </w:tc>
      </w:tr>
      <w:tr w:rsidR="008B19EC" w14:paraId="75DCEE11" w14:textId="77777777" w:rsidTr="008B19EC">
        <w:trPr>
          <w:jc w:val="right"/>
        </w:trPr>
        <w:tc>
          <w:tcPr>
            <w:tcW w:w="0" w:type="auto"/>
            <w:tcBorders>
              <w:top w:val="nil"/>
              <w:left w:val="nil"/>
              <w:bottom w:val="nil"/>
              <w:right w:val="nil"/>
            </w:tcBorders>
          </w:tcPr>
          <w:p w14:paraId="7C46C174" w14:textId="77777777" w:rsidR="008B19EC" w:rsidRDefault="008B19EC" w:rsidP="00293BEF">
            <w:pPr>
              <w:autoSpaceDE w:val="0"/>
              <w:autoSpaceDN w:val="0"/>
              <w:adjustRightInd w:val="0"/>
              <w:jc w:val="left"/>
              <w:rPr>
                <w:rFonts w:ascii="Times New Roman" w:hAnsi="Times New Roman"/>
              </w:rPr>
            </w:pPr>
            <w:proofErr w:type="spellStart"/>
            <w:r>
              <w:rPr>
                <w:rFonts w:ascii="Times New Roman" w:hAnsi="Times New Roman"/>
              </w:rPr>
              <w:t>lcpolicy</w:t>
            </w:r>
            <w:proofErr w:type="spellEnd"/>
          </w:p>
        </w:tc>
        <w:tc>
          <w:tcPr>
            <w:tcW w:w="0" w:type="auto"/>
            <w:tcBorders>
              <w:top w:val="nil"/>
              <w:left w:val="nil"/>
              <w:bottom w:val="nil"/>
              <w:right w:val="nil"/>
            </w:tcBorders>
          </w:tcPr>
          <w:p w14:paraId="41788543"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0.8817***</w:t>
            </w:r>
          </w:p>
        </w:tc>
        <w:tc>
          <w:tcPr>
            <w:tcW w:w="0" w:type="auto"/>
            <w:tcBorders>
              <w:top w:val="nil"/>
              <w:left w:val="nil"/>
              <w:bottom w:val="nil"/>
              <w:right w:val="nil"/>
            </w:tcBorders>
          </w:tcPr>
          <w:p w14:paraId="479D3A93"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-0.0816***</w:t>
            </w:r>
          </w:p>
        </w:tc>
      </w:tr>
      <w:tr w:rsidR="008B19EC" w14:paraId="3B4133BF" w14:textId="77777777" w:rsidTr="008B19EC">
        <w:trPr>
          <w:jc w:val="right"/>
        </w:trPr>
        <w:tc>
          <w:tcPr>
            <w:tcW w:w="0" w:type="auto"/>
            <w:tcBorders>
              <w:top w:val="nil"/>
              <w:left w:val="nil"/>
              <w:bottom w:val="nil"/>
              <w:right w:val="nil"/>
            </w:tcBorders>
          </w:tcPr>
          <w:p w14:paraId="37A60C1F" w14:textId="77777777" w:rsidR="008B19EC" w:rsidRDefault="008B19EC" w:rsidP="00293BEF">
            <w:pPr>
              <w:autoSpaceDE w:val="0"/>
              <w:autoSpaceDN w:val="0"/>
              <w:adjustRightInd w:val="0"/>
              <w:jc w:val="left"/>
              <w:rPr>
                <w:rFonts w:ascii="Times New Roman" w:hAnsi="Times New Roman"/>
              </w:rPr>
            </w:pPr>
          </w:p>
        </w:tc>
        <w:tc>
          <w:tcPr>
            <w:tcW w:w="0" w:type="auto"/>
            <w:tcBorders>
              <w:top w:val="nil"/>
              <w:left w:val="nil"/>
              <w:bottom w:val="nil"/>
              <w:right w:val="nil"/>
            </w:tcBorders>
          </w:tcPr>
          <w:p w14:paraId="782BC42B"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(0.120)</w:t>
            </w:r>
          </w:p>
        </w:tc>
        <w:tc>
          <w:tcPr>
            <w:tcW w:w="0" w:type="auto"/>
            <w:tcBorders>
              <w:top w:val="nil"/>
              <w:left w:val="nil"/>
              <w:bottom w:val="nil"/>
              <w:right w:val="nil"/>
            </w:tcBorders>
          </w:tcPr>
          <w:p w14:paraId="4211ADB1"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(0.020)</w:t>
            </w:r>
          </w:p>
        </w:tc>
      </w:tr>
      <w:tr w:rsidR="008B19EC" w14:paraId="77D4DE85" w14:textId="77777777" w:rsidTr="008B19EC">
        <w:trPr>
          <w:jc w:val="right"/>
        </w:trPr>
        <w:tc>
          <w:tcPr>
            <w:tcW w:w="0" w:type="auto"/>
            <w:tcBorders>
              <w:top w:val="nil"/>
              <w:left w:val="nil"/>
              <w:bottom w:val="nil"/>
              <w:right w:val="nil"/>
            </w:tcBorders>
          </w:tcPr>
          <w:p w14:paraId="4F6AF510" w14:textId="77777777" w:rsidR="008B19EC" w:rsidRDefault="008B19EC" w:rsidP="00293BEF">
            <w:pPr>
              <w:autoSpaceDE w:val="0"/>
              <w:autoSpaceDN w:val="0"/>
              <w:adjustRightInd w:val="0"/>
              <w:jc w:val="left"/>
              <w:rPr>
                <w:rFonts w:ascii="Times New Roman" w:hAnsi="Times New Roman"/>
              </w:rPr>
            </w:pPr>
            <w:r>
              <w:rPr>
                <w:rFonts w:ascii="Times New Roman" w:hAnsi="Times New Roman"/>
              </w:rPr>
              <w:t>Constant</w:t>
            </w:r>
          </w:p>
        </w:tc>
        <w:tc>
          <w:tcPr>
            <w:tcW w:w="0" w:type="auto"/>
            <w:tcBorders>
              <w:top w:val="nil"/>
              <w:left w:val="nil"/>
              <w:bottom w:val="nil"/>
              <w:right w:val="nil"/>
            </w:tcBorders>
          </w:tcPr>
          <w:p w14:paraId="55483603"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36.4615***</w:t>
            </w:r>
          </w:p>
        </w:tc>
        <w:tc>
          <w:tcPr>
            <w:tcW w:w="0" w:type="auto"/>
            <w:tcBorders>
              <w:top w:val="nil"/>
              <w:left w:val="nil"/>
              <w:bottom w:val="nil"/>
              <w:right w:val="nil"/>
            </w:tcBorders>
          </w:tcPr>
          <w:p w14:paraId="4E4CEAB4"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5.5407***</w:t>
            </w:r>
          </w:p>
        </w:tc>
      </w:tr>
      <w:tr w:rsidR="008B19EC" w14:paraId="76364666" w14:textId="77777777" w:rsidTr="008B19EC">
        <w:trPr>
          <w:jc w:val="right"/>
        </w:trPr>
        <w:tc>
          <w:tcPr>
            <w:tcW w:w="0" w:type="auto"/>
            <w:tcBorders>
              <w:top w:val="nil"/>
              <w:left w:val="nil"/>
              <w:bottom w:val="nil"/>
              <w:right w:val="nil"/>
            </w:tcBorders>
          </w:tcPr>
          <w:p w14:paraId="3C697A12" w14:textId="77777777" w:rsidR="008B19EC" w:rsidRDefault="008B19EC" w:rsidP="00293BEF">
            <w:pPr>
              <w:autoSpaceDE w:val="0"/>
              <w:autoSpaceDN w:val="0"/>
              <w:adjustRightInd w:val="0"/>
              <w:jc w:val="left"/>
              <w:rPr>
                <w:rFonts w:ascii="Times New Roman" w:hAnsi="Times New Roman"/>
              </w:rPr>
            </w:pPr>
          </w:p>
        </w:tc>
        <w:tc>
          <w:tcPr>
            <w:tcW w:w="0" w:type="auto"/>
            <w:tcBorders>
              <w:top w:val="nil"/>
              <w:left w:val="nil"/>
              <w:bottom w:val="nil"/>
              <w:right w:val="nil"/>
            </w:tcBorders>
          </w:tcPr>
          <w:p w14:paraId="357CD1CB"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(4.864)</w:t>
            </w:r>
          </w:p>
        </w:tc>
        <w:tc>
          <w:tcPr>
            <w:tcW w:w="0" w:type="auto"/>
            <w:tcBorders>
              <w:top w:val="nil"/>
              <w:left w:val="nil"/>
              <w:bottom w:val="nil"/>
              <w:right w:val="nil"/>
            </w:tcBorders>
          </w:tcPr>
          <w:p w14:paraId="108916A4"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(0.658)</w:t>
            </w:r>
          </w:p>
        </w:tc>
      </w:tr>
      <w:tr w:rsidR="008B19EC" w14:paraId="687A75C4" w14:textId="77777777" w:rsidTr="008B19EC">
        <w:trPr>
          <w:jc w:val="right"/>
        </w:trPr>
        <w:tc>
          <w:tcPr>
            <w:tcW w:w="0" w:type="auto"/>
            <w:tcBorders>
              <w:top w:val="nil"/>
              <w:left w:val="nil"/>
              <w:bottom w:val="nil"/>
              <w:right w:val="nil"/>
            </w:tcBorders>
          </w:tcPr>
          <w:p w14:paraId="1B37B96F" w14:textId="77777777" w:rsidR="008B19EC" w:rsidRDefault="008B19EC" w:rsidP="00293BEF">
            <w:pPr>
              <w:autoSpaceDE w:val="0"/>
              <w:autoSpaceDN w:val="0"/>
              <w:adjustRightInd w:val="0"/>
              <w:jc w:val="left"/>
              <w:rPr>
                <w:rFonts w:ascii="Times New Roman" w:hAnsi="Times New Roman"/>
              </w:rPr>
            </w:pPr>
            <w:proofErr w:type="spellStart"/>
            <w:r>
              <w:rPr>
                <w:rFonts w:ascii="Times New Roman" w:hAnsi="Times New Roman"/>
              </w:rPr>
              <w:t>Control_Variables</w:t>
            </w:r>
            <w:proofErr w:type="spellEnd"/>
          </w:p>
        </w:tc>
        <w:tc>
          <w:tcPr>
            <w:tcW w:w="0" w:type="auto"/>
            <w:tcBorders>
              <w:top w:val="nil"/>
              <w:left w:val="nil"/>
              <w:bottom w:val="nil"/>
              <w:right w:val="nil"/>
            </w:tcBorders>
          </w:tcPr>
          <w:p w14:paraId="43D18CE6"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9172886"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r>
      <w:tr w:rsidR="008B19EC" w14:paraId="7AD62ABD" w14:textId="77777777" w:rsidTr="008B19EC">
        <w:trPr>
          <w:jc w:val="right"/>
        </w:trPr>
        <w:tc>
          <w:tcPr>
            <w:tcW w:w="0" w:type="auto"/>
            <w:tcBorders>
              <w:top w:val="nil"/>
              <w:left w:val="nil"/>
              <w:bottom w:val="nil"/>
              <w:right w:val="nil"/>
            </w:tcBorders>
          </w:tcPr>
          <w:p w14:paraId="3D04DF48" w14:textId="77777777" w:rsidR="008B19EC" w:rsidRDefault="008B19EC" w:rsidP="00293BEF">
            <w:pPr>
              <w:autoSpaceDE w:val="0"/>
              <w:autoSpaceDN w:val="0"/>
              <w:adjustRightInd w:val="0"/>
              <w:jc w:val="left"/>
              <w:rPr>
                <w:rFonts w:ascii="Times New Roman" w:hAnsi="Times New Roman"/>
              </w:rPr>
            </w:pPr>
            <w:proofErr w:type="spellStart"/>
            <w:r>
              <w:rPr>
                <w:rFonts w:ascii="Times New Roman" w:hAnsi="Times New Roman"/>
              </w:rPr>
              <w:t>City_FE</w:t>
            </w:r>
            <w:proofErr w:type="spellEnd"/>
          </w:p>
        </w:tc>
        <w:tc>
          <w:tcPr>
            <w:tcW w:w="0" w:type="auto"/>
            <w:tcBorders>
              <w:top w:val="nil"/>
              <w:left w:val="nil"/>
              <w:bottom w:val="nil"/>
              <w:right w:val="nil"/>
            </w:tcBorders>
          </w:tcPr>
          <w:p w14:paraId="7EF6A964"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7CD522B"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r>
      <w:tr w:rsidR="008B19EC" w14:paraId="3C7A0EC3" w14:textId="77777777" w:rsidTr="008B19EC">
        <w:trPr>
          <w:jc w:val="right"/>
        </w:trPr>
        <w:tc>
          <w:tcPr>
            <w:tcW w:w="0" w:type="auto"/>
            <w:tcBorders>
              <w:top w:val="nil"/>
              <w:left w:val="nil"/>
              <w:bottom w:val="nil"/>
              <w:right w:val="nil"/>
            </w:tcBorders>
          </w:tcPr>
          <w:p w14:paraId="05327CD0" w14:textId="77777777" w:rsidR="008B19EC" w:rsidRDefault="008B19EC" w:rsidP="00293BEF">
            <w:pPr>
              <w:autoSpaceDE w:val="0"/>
              <w:autoSpaceDN w:val="0"/>
              <w:adjustRightInd w:val="0"/>
              <w:jc w:val="left"/>
              <w:rPr>
                <w:rFonts w:ascii="Times New Roman" w:hAnsi="Times New Roman"/>
              </w:rPr>
            </w:pPr>
            <w:proofErr w:type="spellStart"/>
            <w:r>
              <w:rPr>
                <w:rFonts w:ascii="Times New Roman" w:hAnsi="Times New Roman"/>
              </w:rPr>
              <w:t>Year_FE</w:t>
            </w:r>
            <w:proofErr w:type="spellEnd"/>
          </w:p>
        </w:tc>
        <w:tc>
          <w:tcPr>
            <w:tcW w:w="0" w:type="auto"/>
            <w:tcBorders>
              <w:top w:val="nil"/>
              <w:left w:val="nil"/>
              <w:bottom w:val="nil"/>
              <w:right w:val="nil"/>
            </w:tcBorders>
          </w:tcPr>
          <w:p w14:paraId="7CEAFD9E"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c>
          <w:tcPr>
            <w:tcW w:w="0" w:type="auto"/>
            <w:tcBorders>
              <w:top w:val="nil"/>
              <w:left w:val="nil"/>
              <w:bottom w:val="nil"/>
              <w:right w:val="nil"/>
            </w:tcBorders>
          </w:tcPr>
          <w:p w14:paraId="5E10903B"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YES</w:t>
            </w:r>
          </w:p>
        </w:tc>
      </w:tr>
      <w:tr w:rsidR="008B19EC" w14:paraId="1B49F145" w14:textId="77777777" w:rsidTr="008B19EC">
        <w:trPr>
          <w:jc w:val="right"/>
        </w:trPr>
        <w:tc>
          <w:tcPr>
            <w:tcW w:w="0" w:type="auto"/>
            <w:tcBorders>
              <w:top w:val="nil"/>
              <w:left w:val="nil"/>
              <w:bottom w:val="nil"/>
              <w:right w:val="nil"/>
            </w:tcBorders>
          </w:tcPr>
          <w:p w14:paraId="319514D3" w14:textId="77777777" w:rsidR="008B19EC" w:rsidRDefault="008B19EC" w:rsidP="00293BEF">
            <w:pPr>
              <w:autoSpaceDE w:val="0"/>
              <w:autoSpaceDN w:val="0"/>
              <w:adjustRightInd w:val="0"/>
              <w:jc w:val="left"/>
              <w:rPr>
                <w:rFonts w:ascii="Times New Roman" w:hAnsi="Times New Roman"/>
              </w:rPr>
            </w:pPr>
            <w:r>
              <w:rPr>
                <w:rFonts w:ascii="Times New Roman" w:hAnsi="Times New Roman"/>
              </w:rPr>
              <w:t>Observations</w:t>
            </w:r>
          </w:p>
        </w:tc>
        <w:tc>
          <w:tcPr>
            <w:tcW w:w="0" w:type="auto"/>
            <w:tcBorders>
              <w:top w:val="nil"/>
              <w:left w:val="nil"/>
              <w:bottom w:val="nil"/>
              <w:right w:val="nil"/>
            </w:tcBorders>
          </w:tcPr>
          <w:p w14:paraId="3F4CAF28"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1,052</w:t>
            </w:r>
          </w:p>
        </w:tc>
        <w:tc>
          <w:tcPr>
            <w:tcW w:w="0" w:type="auto"/>
            <w:tcBorders>
              <w:top w:val="nil"/>
              <w:left w:val="nil"/>
              <w:bottom w:val="nil"/>
              <w:right w:val="nil"/>
            </w:tcBorders>
          </w:tcPr>
          <w:p w14:paraId="7BE85676"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1,702</w:t>
            </w:r>
          </w:p>
        </w:tc>
      </w:tr>
      <w:tr w:rsidR="008B19EC" w14:paraId="77D244FF" w14:textId="77777777" w:rsidTr="008B19EC">
        <w:tblPrEx>
          <w:tblBorders>
            <w:bottom w:val="single" w:sz="6" w:space="0" w:color="auto"/>
          </w:tblBorders>
        </w:tblPrEx>
        <w:trPr>
          <w:jc w:val="right"/>
        </w:trPr>
        <w:tc>
          <w:tcPr>
            <w:tcW w:w="0" w:type="auto"/>
            <w:tcBorders>
              <w:top w:val="nil"/>
              <w:left w:val="nil"/>
              <w:bottom w:val="single" w:sz="6" w:space="0" w:color="auto"/>
              <w:right w:val="nil"/>
            </w:tcBorders>
          </w:tcPr>
          <w:p w14:paraId="7EB9960A" w14:textId="77777777" w:rsidR="008B19EC" w:rsidRDefault="008B19EC" w:rsidP="00293BEF">
            <w:pPr>
              <w:autoSpaceDE w:val="0"/>
              <w:autoSpaceDN w:val="0"/>
              <w:adjustRightInd w:val="0"/>
              <w:jc w:val="left"/>
              <w:rPr>
                <w:rFonts w:ascii="Times New Roman" w:hAnsi="Times New Roman"/>
              </w:rPr>
            </w:pPr>
            <w:r>
              <w:rPr>
                <w:rFonts w:ascii="Times New Roman" w:hAnsi="Times New Roman"/>
              </w:rPr>
              <w:t>R-squared</w:t>
            </w:r>
          </w:p>
        </w:tc>
        <w:tc>
          <w:tcPr>
            <w:tcW w:w="0" w:type="auto"/>
            <w:tcBorders>
              <w:top w:val="nil"/>
              <w:left w:val="nil"/>
              <w:bottom w:val="single" w:sz="6" w:space="0" w:color="auto"/>
              <w:right w:val="nil"/>
            </w:tcBorders>
          </w:tcPr>
          <w:p w14:paraId="30BE03C1"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0.8410</w:t>
            </w:r>
          </w:p>
        </w:tc>
        <w:tc>
          <w:tcPr>
            <w:tcW w:w="0" w:type="auto"/>
            <w:tcBorders>
              <w:top w:val="nil"/>
              <w:left w:val="nil"/>
              <w:bottom w:val="single" w:sz="6" w:space="0" w:color="auto"/>
              <w:right w:val="nil"/>
            </w:tcBorders>
          </w:tcPr>
          <w:p w14:paraId="04A2E25A" w14:textId="77777777" w:rsidR="008B19EC" w:rsidRDefault="008B19EC" w:rsidP="00293BEF">
            <w:pPr>
              <w:autoSpaceDE w:val="0"/>
              <w:autoSpaceDN w:val="0"/>
              <w:adjustRightInd w:val="0"/>
              <w:jc w:val="center"/>
              <w:rPr>
                <w:rFonts w:ascii="Times New Roman" w:hAnsi="Times New Roman"/>
              </w:rPr>
            </w:pPr>
            <w:r>
              <w:rPr>
                <w:rFonts w:ascii="Times New Roman" w:hAnsi="Times New Roman"/>
              </w:rPr>
              <w:t>0.6427</w:t>
            </w:r>
          </w:p>
        </w:tc>
      </w:tr>
    </w:tbl>
    <w:p w14:paraId="58ADF494" w14:textId="77777777" w:rsidR="008B19EC" w:rsidRPr="00E21D13" w:rsidRDefault="008B19EC" w:rsidP="00E21D13">
      <w:pPr>
        <w:spacing w:after="5" w:line="259" w:lineRule="auto"/>
        <w:jc w:val="center"/>
        <w:rPr>
          <w:rFonts w:ascii="Times New Roman" w:eastAsia="Times New Roman" w:hAnsi="Times New Roman"/>
          <w:color w:val="000000" w:themeColor="text1"/>
        </w:rPr>
      </w:pPr>
      <w:r w:rsidRPr="00E21D13">
        <w:rPr>
          <w:rFonts w:ascii="Times New Roman" w:eastAsia="Times New Roman" w:hAnsi="Times New Roman" w:hint="eastAsia"/>
          <w:color w:val="000000" w:themeColor="text1"/>
        </w:rPr>
        <w:t>Note: Robust standard errors in parentheses: *** p&lt;0.01, ** p&lt;0.05, * p&lt;0.1 respectively.</w:t>
      </w:r>
    </w:p>
    <w:p w14:paraId="590A372B" w14:textId="77777777" w:rsidR="008B19EC" w:rsidRDefault="008B19EC" w:rsidP="008B19EC">
      <w:pPr>
        <w:spacing w:line="360" w:lineRule="auto"/>
        <w:rPr>
          <w:rFonts w:ascii="Times New Roman" w:hAnsi="Times New Roman"/>
          <w:b/>
          <w:bCs/>
          <w:color w:val="000000" w:themeColor="text1"/>
          <w:sz w:val="24"/>
        </w:rPr>
      </w:pPr>
    </w:p>
    <w:p w14:paraId="568DB2C2" w14:textId="5FC435D2" w:rsidR="00F84C4B" w:rsidRDefault="00F84C4B" w:rsidP="00374AAF">
      <w:pPr>
        <w:spacing w:line="360" w:lineRule="auto"/>
        <w:ind w:firstLineChars="200" w:firstLine="480"/>
        <w:rPr>
          <w:rFonts w:ascii="Times New Roman" w:hAnsi="Times New Roman"/>
          <w:color w:val="000000" w:themeColor="text1"/>
          <w:sz w:val="24"/>
        </w:rPr>
      </w:pPr>
      <w:r w:rsidRPr="00F84C4B">
        <w:rPr>
          <w:rFonts w:ascii="Times New Roman" w:hAnsi="Times New Roman"/>
          <w:color w:val="000000" w:themeColor="text1"/>
          <w:sz w:val="24"/>
        </w:rPr>
        <w:t xml:space="preserve">In robustness testing, we observe that </w:t>
      </w:r>
      <w:proofErr w:type="spellStart"/>
      <w:r w:rsidRPr="00F84C4B">
        <w:rPr>
          <w:rFonts w:ascii="Times New Roman" w:hAnsi="Times New Roman"/>
          <w:color w:val="000000" w:themeColor="text1"/>
          <w:sz w:val="24"/>
        </w:rPr>
        <w:t>lcpolicy's</w:t>
      </w:r>
      <w:proofErr w:type="spellEnd"/>
      <w:r w:rsidRPr="00F84C4B">
        <w:rPr>
          <w:rFonts w:ascii="Times New Roman" w:hAnsi="Times New Roman"/>
          <w:color w:val="000000" w:themeColor="text1"/>
          <w:sz w:val="24"/>
        </w:rPr>
        <w:t xml:space="preserve"> impact on green innovation is constrained by urban economic development levels. Using year-end loan balances of prefecture-level financial institutions as a proxy measure, we bifurcate the sample into high- and low-financial development groups based on the loan balance mean. Regression analyses controlling for covariates with city and time fixed effects reveal in Table </w:t>
      </w:r>
      <w:r w:rsidR="00CB37E5">
        <w:rPr>
          <w:rFonts w:ascii="Times New Roman" w:hAnsi="Times New Roman" w:hint="eastAsia"/>
          <w:color w:val="000000" w:themeColor="text1"/>
          <w:sz w:val="24"/>
        </w:rPr>
        <w:t>5</w:t>
      </w:r>
      <w:r w:rsidRPr="00F84C4B">
        <w:rPr>
          <w:rFonts w:ascii="Times New Roman" w:hAnsi="Times New Roman"/>
          <w:color w:val="000000" w:themeColor="text1"/>
          <w:sz w:val="24"/>
        </w:rPr>
        <w:t xml:space="preserve"> that </w:t>
      </w: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oMath>
      <w:r w:rsidRPr="00F84C4B">
        <w:rPr>
          <w:rFonts w:ascii="Times New Roman" w:hAnsi="Times New Roman"/>
          <w:color w:val="000000" w:themeColor="text1"/>
          <w:sz w:val="24"/>
        </w:rPr>
        <w:t xml:space="preserve"> is positive and statistically significant at the 1% level for financially developed cities, whereas it is negative and significant at the 1% level for financially underdeveloped cities. This indicates that while low-carbon pilots effectively promote green innovation in financially developed pilot cities, they constrain such innovation in </w:t>
      </w:r>
      <w:r w:rsidRPr="00F84C4B">
        <w:rPr>
          <w:rFonts w:ascii="Times New Roman" w:hAnsi="Times New Roman"/>
          <w:color w:val="000000" w:themeColor="text1"/>
          <w:sz w:val="24"/>
        </w:rPr>
        <w:lastRenderedPageBreak/>
        <w:t>financially underdeveloped counterparts. We attribute this divergence to green innovation's substantial capital requirements and high-risk profile: cities lacking financial capacity struggle to mobilize sufficient risk capital for green technology development.</w:t>
      </w:r>
    </w:p>
    <w:p w14:paraId="0797973F" w14:textId="47F31528" w:rsidR="00E96857" w:rsidRDefault="00E96857" w:rsidP="00374AAF">
      <w:pPr>
        <w:spacing w:line="360" w:lineRule="auto"/>
        <w:ind w:firstLineChars="200" w:firstLine="480"/>
        <w:rPr>
          <w:rFonts w:ascii="Times New Roman" w:hAnsi="Times New Roman"/>
          <w:color w:val="000000" w:themeColor="text1"/>
          <w:sz w:val="24"/>
        </w:rPr>
      </w:pPr>
      <w:r w:rsidRPr="00E96857">
        <w:rPr>
          <w:rFonts w:ascii="Times New Roman" w:hAnsi="Times New Roman" w:hint="eastAsia"/>
          <w:color w:val="000000" w:themeColor="text1"/>
          <w:sz w:val="24"/>
        </w:rPr>
        <w:t>4.4.3. Heterogeneity of resource</w:t>
      </w:r>
    </w:p>
    <w:p w14:paraId="140BF825" w14:textId="3A56447E" w:rsidR="0096326A" w:rsidRPr="0096326A" w:rsidRDefault="0096326A" w:rsidP="0096326A">
      <w:pPr>
        <w:spacing w:line="360" w:lineRule="auto"/>
        <w:ind w:firstLineChars="200" w:firstLine="480"/>
        <w:rPr>
          <w:rFonts w:ascii="Times New Roman" w:hAnsi="Times New Roman"/>
          <w:color w:val="000000" w:themeColor="text1"/>
          <w:sz w:val="24"/>
        </w:rPr>
      </w:pPr>
      <w:r w:rsidRPr="0096326A">
        <w:rPr>
          <w:rFonts w:ascii="Times New Roman" w:hAnsi="Times New Roman"/>
          <w:color w:val="000000" w:themeColor="text1"/>
          <w:sz w:val="24"/>
        </w:rPr>
        <w:t>Variations in urban resource</w:t>
      </w:r>
      <w:r w:rsidR="00F0136D">
        <w:rPr>
          <w:rFonts w:ascii="Times New Roman" w:hAnsi="Times New Roman" w:hint="eastAsia"/>
          <w:color w:val="000000" w:themeColor="text1"/>
          <w:sz w:val="24"/>
        </w:rPr>
        <w:t xml:space="preserve"> </w:t>
      </w:r>
      <w:r w:rsidRPr="0096326A">
        <w:rPr>
          <w:rFonts w:ascii="Times New Roman" w:hAnsi="Times New Roman"/>
          <w:color w:val="000000" w:themeColor="text1"/>
          <w:sz w:val="24"/>
        </w:rPr>
        <w:t xml:space="preserve">stem from geographical positioning, climatic conditions, and natural resource availability. Existing research confirms that natural resource endowment significantly influences green growth trajectories </w:t>
      </w:r>
      <w:r w:rsidR="007A5E14">
        <w:rPr>
          <w:rFonts w:ascii="Times New Roman" w:hAnsi="Times New Roman" w:hint="eastAsia"/>
          <w:color w:val="000000" w:themeColor="text1"/>
          <w:sz w:val="24"/>
        </w:rPr>
        <w:t>[32],</w:t>
      </w:r>
      <w:r w:rsidRPr="0096326A">
        <w:rPr>
          <w:rFonts w:ascii="Times New Roman" w:hAnsi="Times New Roman"/>
          <w:color w:val="000000" w:themeColor="text1"/>
          <w:sz w:val="24"/>
        </w:rPr>
        <w:t>[33], while resource disparities hinder regional environmental policy implementation</w:t>
      </w:r>
      <w:r w:rsidR="00AE1301">
        <w:rPr>
          <w:rFonts w:ascii="Times New Roman" w:hAnsi="Times New Roman" w:hint="eastAsia"/>
          <w:color w:val="000000" w:themeColor="text1"/>
          <w:sz w:val="24"/>
        </w:rPr>
        <w:t xml:space="preserve"> </w:t>
      </w:r>
      <w:r w:rsidRPr="0096326A">
        <w:rPr>
          <w:rFonts w:ascii="Times New Roman" w:hAnsi="Times New Roman"/>
          <w:color w:val="000000" w:themeColor="text1"/>
          <w:sz w:val="24"/>
        </w:rPr>
        <w:t>[34]. Consequently, we examine green innovation levels across differentially endowed cities using the ratio of extractive industry employment to total year-end population as a resource endowment proxy. The sample is bifurcated into higher- and lower-resource groups based on this ratio's sample mean. Regression analyses for these subgroups are reported in Table 7.</w:t>
      </w:r>
    </w:p>
    <w:p w14:paraId="1DD0E519" w14:textId="77777777" w:rsidR="00E96857" w:rsidRDefault="00E96857" w:rsidP="0096326A">
      <w:pPr>
        <w:spacing w:line="360" w:lineRule="auto"/>
        <w:rPr>
          <w:rFonts w:ascii="Times New Roman" w:hAnsi="Times New Roman"/>
          <w:color w:val="000000" w:themeColor="text1"/>
          <w:sz w:val="24"/>
        </w:rPr>
      </w:pPr>
    </w:p>
    <w:p w14:paraId="5FA7E70A" w14:textId="44ED3107" w:rsidR="00E96857" w:rsidRDefault="00E96857" w:rsidP="00374AAF">
      <w:pPr>
        <w:spacing w:line="360" w:lineRule="auto"/>
        <w:ind w:firstLineChars="200" w:firstLine="480"/>
        <w:rPr>
          <w:rFonts w:ascii="Times New Roman" w:hAnsi="Times New Roman"/>
          <w:color w:val="000000" w:themeColor="text1"/>
          <w:sz w:val="24"/>
        </w:rPr>
      </w:pPr>
      <w:r w:rsidRPr="00E96857">
        <w:rPr>
          <w:rFonts w:ascii="Times New Roman" w:hAnsi="Times New Roman" w:hint="eastAsia"/>
          <w:b/>
          <w:bCs/>
          <w:color w:val="000000" w:themeColor="text1"/>
          <w:sz w:val="24"/>
        </w:rPr>
        <w:t xml:space="preserve">Table </w:t>
      </w:r>
      <w:r w:rsidR="00D2448A">
        <w:rPr>
          <w:rFonts w:ascii="Times New Roman" w:hAnsi="Times New Roman" w:hint="eastAsia"/>
          <w:b/>
          <w:bCs/>
          <w:color w:val="000000" w:themeColor="text1"/>
          <w:sz w:val="24"/>
        </w:rPr>
        <w:t>6</w:t>
      </w:r>
      <w:r w:rsidRPr="00E96857">
        <w:rPr>
          <w:rFonts w:ascii="Times New Roman" w:hAnsi="Times New Roman" w:hint="eastAsia"/>
          <w:color w:val="000000" w:themeColor="text1"/>
          <w:sz w:val="24"/>
        </w:rPr>
        <w:t>. Heterogeneity in the cities with different resource endowments</w:t>
      </w:r>
    </w:p>
    <w:tbl>
      <w:tblPr>
        <w:tblW w:w="0" w:type="auto"/>
        <w:jc w:val="right"/>
        <w:tblCellMar>
          <w:left w:w="75" w:type="dxa"/>
          <w:right w:w="75" w:type="dxa"/>
        </w:tblCellMar>
        <w:tblLook w:val="04A0" w:firstRow="1" w:lastRow="0" w:firstColumn="1" w:lastColumn="0" w:noHBand="0" w:noVBand="1"/>
      </w:tblPr>
      <w:tblGrid>
        <w:gridCol w:w="1679"/>
        <w:gridCol w:w="3339"/>
        <w:gridCol w:w="3288"/>
      </w:tblGrid>
      <w:tr w:rsidR="00E96857" w:rsidRPr="00E96857" w14:paraId="764AB28B" w14:textId="77777777" w:rsidTr="00E96857">
        <w:trPr>
          <w:jc w:val="right"/>
        </w:trPr>
        <w:tc>
          <w:tcPr>
            <w:tcW w:w="0" w:type="auto"/>
            <w:tcBorders>
              <w:top w:val="single" w:sz="6" w:space="0" w:color="auto"/>
              <w:left w:val="nil"/>
              <w:bottom w:val="nil"/>
              <w:right w:val="nil"/>
            </w:tcBorders>
          </w:tcPr>
          <w:p w14:paraId="5E7E943D"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single" w:sz="6" w:space="0" w:color="auto"/>
              <w:left w:val="nil"/>
              <w:bottom w:val="nil"/>
              <w:right w:val="nil"/>
            </w:tcBorders>
          </w:tcPr>
          <w:p w14:paraId="3909E31E"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 Cities with high resource endowment</w:t>
            </w:r>
          </w:p>
        </w:tc>
        <w:tc>
          <w:tcPr>
            <w:tcW w:w="0" w:type="auto"/>
            <w:tcBorders>
              <w:top w:val="single" w:sz="6" w:space="0" w:color="auto"/>
              <w:left w:val="nil"/>
              <w:bottom w:val="nil"/>
              <w:right w:val="nil"/>
            </w:tcBorders>
          </w:tcPr>
          <w:p w14:paraId="4B5AD282"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 Cities with low resource endowment</w:t>
            </w:r>
          </w:p>
        </w:tc>
      </w:tr>
      <w:tr w:rsidR="00E96857" w:rsidRPr="00E96857" w14:paraId="53C7924C" w14:textId="77777777" w:rsidTr="00E96857">
        <w:trPr>
          <w:jc w:val="right"/>
        </w:trPr>
        <w:tc>
          <w:tcPr>
            <w:tcW w:w="0" w:type="auto"/>
            <w:tcBorders>
              <w:top w:val="nil"/>
              <w:left w:val="nil"/>
              <w:bottom w:val="single" w:sz="6" w:space="0" w:color="auto"/>
              <w:right w:val="nil"/>
            </w:tcBorders>
          </w:tcPr>
          <w:p w14:paraId="2AB07F39" w14:textId="77777777" w:rsidR="00E96857" w:rsidRPr="00E96857" w:rsidRDefault="00E96857" w:rsidP="00E96857">
            <w:pPr>
              <w:spacing w:after="5" w:line="259" w:lineRule="auto"/>
              <w:jc w:val="center"/>
              <w:rPr>
                <w:rFonts w:ascii="Times New Roman" w:eastAsia="Times New Roman" w:hAnsi="Times New Roman"/>
                <w:b/>
                <w:bCs/>
                <w:color w:val="000000" w:themeColor="text1"/>
              </w:rPr>
            </w:pPr>
            <w:r w:rsidRPr="00E96857">
              <w:rPr>
                <w:rFonts w:ascii="Times New Roman" w:eastAsia="Times New Roman" w:hAnsi="Times New Roman"/>
                <w:b/>
                <w:bCs/>
                <w:color w:val="000000" w:themeColor="text1"/>
                <w:sz w:val="22"/>
                <w:szCs w:val="24"/>
              </w:rPr>
              <w:t>Variables</w:t>
            </w:r>
          </w:p>
        </w:tc>
        <w:tc>
          <w:tcPr>
            <w:tcW w:w="0" w:type="auto"/>
            <w:tcBorders>
              <w:top w:val="nil"/>
              <w:left w:val="nil"/>
              <w:bottom w:val="single" w:sz="6" w:space="0" w:color="auto"/>
              <w:right w:val="nil"/>
            </w:tcBorders>
          </w:tcPr>
          <w:p w14:paraId="500D89F1"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green_innovation</w:t>
            </w:r>
            <w:proofErr w:type="spellEnd"/>
          </w:p>
        </w:tc>
        <w:tc>
          <w:tcPr>
            <w:tcW w:w="0" w:type="auto"/>
            <w:tcBorders>
              <w:top w:val="nil"/>
              <w:left w:val="nil"/>
              <w:bottom w:val="single" w:sz="6" w:space="0" w:color="auto"/>
              <w:right w:val="nil"/>
            </w:tcBorders>
          </w:tcPr>
          <w:p w14:paraId="3271D365"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green_innovation</w:t>
            </w:r>
            <w:proofErr w:type="spellEnd"/>
          </w:p>
        </w:tc>
      </w:tr>
      <w:tr w:rsidR="00E96857" w:rsidRPr="00E96857" w14:paraId="599B09DC" w14:textId="77777777" w:rsidTr="00E96857">
        <w:trPr>
          <w:jc w:val="right"/>
        </w:trPr>
        <w:tc>
          <w:tcPr>
            <w:tcW w:w="0" w:type="auto"/>
            <w:tcBorders>
              <w:top w:val="nil"/>
              <w:left w:val="nil"/>
              <w:bottom w:val="nil"/>
              <w:right w:val="nil"/>
            </w:tcBorders>
          </w:tcPr>
          <w:p w14:paraId="2A4447D3"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lcpolicy</w:t>
            </w:r>
            <w:proofErr w:type="spellEnd"/>
          </w:p>
        </w:tc>
        <w:tc>
          <w:tcPr>
            <w:tcW w:w="0" w:type="auto"/>
            <w:tcBorders>
              <w:top w:val="nil"/>
              <w:left w:val="nil"/>
              <w:bottom w:val="nil"/>
              <w:right w:val="nil"/>
            </w:tcBorders>
          </w:tcPr>
          <w:p w14:paraId="188437CE"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-0.0896*</w:t>
            </w:r>
          </w:p>
        </w:tc>
        <w:tc>
          <w:tcPr>
            <w:tcW w:w="0" w:type="auto"/>
            <w:tcBorders>
              <w:top w:val="nil"/>
              <w:left w:val="nil"/>
              <w:bottom w:val="nil"/>
              <w:right w:val="nil"/>
            </w:tcBorders>
          </w:tcPr>
          <w:p w14:paraId="235D9E9F"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0.4397***</w:t>
            </w:r>
          </w:p>
        </w:tc>
      </w:tr>
      <w:tr w:rsidR="00E96857" w:rsidRPr="00E96857" w14:paraId="7F64E774" w14:textId="77777777" w:rsidTr="00E96857">
        <w:trPr>
          <w:jc w:val="right"/>
        </w:trPr>
        <w:tc>
          <w:tcPr>
            <w:tcW w:w="0" w:type="auto"/>
            <w:tcBorders>
              <w:top w:val="nil"/>
              <w:left w:val="nil"/>
              <w:bottom w:val="nil"/>
              <w:right w:val="nil"/>
            </w:tcBorders>
          </w:tcPr>
          <w:p w14:paraId="2BD61D6E"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nil"/>
              <w:left w:val="nil"/>
              <w:bottom w:val="nil"/>
              <w:right w:val="nil"/>
            </w:tcBorders>
          </w:tcPr>
          <w:p w14:paraId="5033DD0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(0.052)</w:t>
            </w:r>
          </w:p>
        </w:tc>
        <w:tc>
          <w:tcPr>
            <w:tcW w:w="0" w:type="auto"/>
            <w:tcBorders>
              <w:top w:val="nil"/>
              <w:left w:val="nil"/>
              <w:bottom w:val="nil"/>
              <w:right w:val="nil"/>
            </w:tcBorders>
          </w:tcPr>
          <w:p w14:paraId="70B2333F"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(0.066)</w:t>
            </w:r>
          </w:p>
        </w:tc>
      </w:tr>
      <w:tr w:rsidR="00E96857" w:rsidRPr="00E96857" w14:paraId="2A0C10A7" w14:textId="77777777" w:rsidTr="00E96857">
        <w:trPr>
          <w:jc w:val="right"/>
        </w:trPr>
        <w:tc>
          <w:tcPr>
            <w:tcW w:w="0" w:type="auto"/>
            <w:tcBorders>
              <w:top w:val="nil"/>
              <w:left w:val="nil"/>
              <w:bottom w:val="nil"/>
              <w:right w:val="nil"/>
            </w:tcBorders>
          </w:tcPr>
          <w:p w14:paraId="5D1038D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Constant</w:t>
            </w:r>
          </w:p>
        </w:tc>
        <w:tc>
          <w:tcPr>
            <w:tcW w:w="0" w:type="auto"/>
            <w:tcBorders>
              <w:top w:val="nil"/>
              <w:left w:val="nil"/>
              <w:bottom w:val="nil"/>
              <w:right w:val="nil"/>
            </w:tcBorders>
          </w:tcPr>
          <w:p w14:paraId="52605E2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10.1009***</w:t>
            </w:r>
          </w:p>
        </w:tc>
        <w:tc>
          <w:tcPr>
            <w:tcW w:w="0" w:type="auto"/>
            <w:tcBorders>
              <w:top w:val="nil"/>
              <w:left w:val="nil"/>
              <w:bottom w:val="nil"/>
              <w:right w:val="nil"/>
            </w:tcBorders>
          </w:tcPr>
          <w:p w14:paraId="5608C8CC"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21.2568***</w:t>
            </w:r>
          </w:p>
        </w:tc>
      </w:tr>
      <w:tr w:rsidR="00E96857" w:rsidRPr="00E96857" w14:paraId="6C7258D9" w14:textId="77777777" w:rsidTr="00E96857">
        <w:trPr>
          <w:jc w:val="right"/>
        </w:trPr>
        <w:tc>
          <w:tcPr>
            <w:tcW w:w="0" w:type="auto"/>
            <w:tcBorders>
              <w:top w:val="nil"/>
              <w:left w:val="nil"/>
              <w:bottom w:val="nil"/>
              <w:right w:val="nil"/>
            </w:tcBorders>
          </w:tcPr>
          <w:p w14:paraId="2BE7A8A4" w14:textId="77777777" w:rsidR="00E96857" w:rsidRPr="00E96857" w:rsidRDefault="00E96857" w:rsidP="00E96857">
            <w:pPr>
              <w:spacing w:after="5" w:line="259" w:lineRule="auto"/>
              <w:jc w:val="center"/>
              <w:rPr>
                <w:rFonts w:ascii="Times New Roman" w:eastAsia="Times New Roman" w:hAnsi="Times New Roman"/>
                <w:color w:val="000000" w:themeColor="text1"/>
              </w:rPr>
            </w:pPr>
          </w:p>
        </w:tc>
        <w:tc>
          <w:tcPr>
            <w:tcW w:w="0" w:type="auto"/>
            <w:tcBorders>
              <w:top w:val="nil"/>
              <w:left w:val="nil"/>
              <w:bottom w:val="nil"/>
              <w:right w:val="nil"/>
            </w:tcBorders>
          </w:tcPr>
          <w:p w14:paraId="713D6A7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(1.717)</w:t>
            </w:r>
          </w:p>
        </w:tc>
        <w:tc>
          <w:tcPr>
            <w:tcW w:w="0" w:type="auto"/>
            <w:tcBorders>
              <w:top w:val="nil"/>
              <w:left w:val="nil"/>
              <w:bottom w:val="nil"/>
              <w:right w:val="nil"/>
            </w:tcBorders>
          </w:tcPr>
          <w:p w14:paraId="5C2AAE6C"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(2.357)</w:t>
            </w:r>
          </w:p>
        </w:tc>
      </w:tr>
      <w:tr w:rsidR="00E96857" w:rsidRPr="00E96857" w14:paraId="198B8CE0" w14:textId="77777777" w:rsidTr="00E96857">
        <w:trPr>
          <w:jc w:val="right"/>
        </w:trPr>
        <w:tc>
          <w:tcPr>
            <w:tcW w:w="0" w:type="auto"/>
            <w:tcBorders>
              <w:top w:val="nil"/>
              <w:left w:val="nil"/>
              <w:bottom w:val="nil"/>
              <w:right w:val="nil"/>
            </w:tcBorders>
          </w:tcPr>
          <w:p w14:paraId="79C76115"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Control_Variables</w:t>
            </w:r>
            <w:proofErr w:type="spellEnd"/>
          </w:p>
        </w:tc>
        <w:tc>
          <w:tcPr>
            <w:tcW w:w="0" w:type="auto"/>
            <w:tcBorders>
              <w:top w:val="nil"/>
              <w:left w:val="nil"/>
              <w:bottom w:val="nil"/>
              <w:right w:val="nil"/>
            </w:tcBorders>
          </w:tcPr>
          <w:p w14:paraId="70E46454"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04E9D48B"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43BCDC69" w14:textId="77777777" w:rsidTr="00E96857">
        <w:trPr>
          <w:jc w:val="right"/>
        </w:trPr>
        <w:tc>
          <w:tcPr>
            <w:tcW w:w="0" w:type="auto"/>
            <w:tcBorders>
              <w:top w:val="nil"/>
              <w:left w:val="nil"/>
              <w:bottom w:val="nil"/>
              <w:right w:val="nil"/>
            </w:tcBorders>
          </w:tcPr>
          <w:p w14:paraId="19A81F94"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City_FE</w:t>
            </w:r>
            <w:proofErr w:type="spellEnd"/>
          </w:p>
        </w:tc>
        <w:tc>
          <w:tcPr>
            <w:tcW w:w="0" w:type="auto"/>
            <w:tcBorders>
              <w:top w:val="nil"/>
              <w:left w:val="nil"/>
              <w:bottom w:val="nil"/>
              <w:right w:val="nil"/>
            </w:tcBorders>
          </w:tcPr>
          <w:p w14:paraId="61D03F10"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0D1041E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31D3A999" w14:textId="77777777" w:rsidTr="00E96857">
        <w:trPr>
          <w:jc w:val="right"/>
        </w:trPr>
        <w:tc>
          <w:tcPr>
            <w:tcW w:w="0" w:type="auto"/>
            <w:tcBorders>
              <w:top w:val="nil"/>
              <w:left w:val="nil"/>
              <w:bottom w:val="nil"/>
              <w:right w:val="nil"/>
            </w:tcBorders>
          </w:tcPr>
          <w:p w14:paraId="3F608967" w14:textId="77777777" w:rsidR="00E96857" w:rsidRPr="00E96857" w:rsidRDefault="00E96857" w:rsidP="00E96857">
            <w:pPr>
              <w:spacing w:after="5" w:line="259" w:lineRule="auto"/>
              <w:jc w:val="center"/>
              <w:rPr>
                <w:rFonts w:ascii="Times New Roman" w:eastAsia="Times New Roman" w:hAnsi="Times New Roman"/>
                <w:color w:val="000000" w:themeColor="text1"/>
              </w:rPr>
            </w:pPr>
            <w:proofErr w:type="spellStart"/>
            <w:r w:rsidRPr="00E96857">
              <w:rPr>
                <w:rFonts w:ascii="Times New Roman" w:eastAsia="Times New Roman" w:hAnsi="Times New Roman"/>
                <w:color w:val="000000" w:themeColor="text1"/>
              </w:rPr>
              <w:t>Year_FE</w:t>
            </w:r>
            <w:proofErr w:type="spellEnd"/>
          </w:p>
        </w:tc>
        <w:tc>
          <w:tcPr>
            <w:tcW w:w="0" w:type="auto"/>
            <w:tcBorders>
              <w:top w:val="nil"/>
              <w:left w:val="nil"/>
              <w:bottom w:val="nil"/>
              <w:right w:val="nil"/>
            </w:tcBorders>
          </w:tcPr>
          <w:p w14:paraId="7584056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c>
          <w:tcPr>
            <w:tcW w:w="0" w:type="auto"/>
            <w:tcBorders>
              <w:top w:val="nil"/>
              <w:left w:val="nil"/>
              <w:bottom w:val="nil"/>
              <w:right w:val="nil"/>
            </w:tcBorders>
          </w:tcPr>
          <w:p w14:paraId="64D09AE8"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YES</w:t>
            </w:r>
          </w:p>
        </w:tc>
      </w:tr>
      <w:tr w:rsidR="00E96857" w:rsidRPr="00E96857" w14:paraId="36077A77" w14:textId="77777777" w:rsidTr="00E96857">
        <w:trPr>
          <w:jc w:val="right"/>
        </w:trPr>
        <w:tc>
          <w:tcPr>
            <w:tcW w:w="0" w:type="auto"/>
            <w:tcBorders>
              <w:top w:val="nil"/>
              <w:left w:val="nil"/>
              <w:bottom w:val="nil"/>
              <w:right w:val="nil"/>
            </w:tcBorders>
          </w:tcPr>
          <w:p w14:paraId="201E1AF7"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Observations</w:t>
            </w:r>
          </w:p>
        </w:tc>
        <w:tc>
          <w:tcPr>
            <w:tcW w:w="0" w:type="auto"/>
            <w:tcBorders>
              <w:top w:val="nil"/>
              <w:left w:val="nil"/>
              <w:bottom w:val="nil"/>
              <w:right w:val="nil"/>
            </w:tcBorders>
          </w:tcPr>
          <w:p w14:paraId="3DFD3B0A"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557</w:t>
            </w:r>
          </w:p>
        </w:tc>
        <w:tc>
          <w:tcPr>
            <w:tcW w:w="0" w:type="auto"/>
            <w:tcBorders>
              <w:top w:val="nil"/>
              <w:left w:val="nil"/>
              <w:bottom w:val="nil"/>
              <w:right w:val="nil"/>
            </w:tcBorders>
          </w:tcPr>
          <w:p w14:paraId="36CEC92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1,989</w:t>
            </w:r>
          </w:p>
        </w:tc>
      </w:tr>
      <w:tr w:rsidR="00E96857" w:rsidRPr="00E96857" w14:paraId="7CDAC32E" w14:textId="77777777" w:rsidTr="00E96857">
        <w:tblPrEx>
          <w:tblBorders>
            <w:bottom w:val="single" w:sz="6" w:space="0" w:color="auto"/>
          </w:tblBorders>
        </w:tblPrEx>
        <w:trPr>
          <w:jc w:val="right"/>
        </w:trPr>
        <w:tc>
          <w:tcPr>
            <w:tcW w:w="0" w:type="auto"/>
            <w:tcBorders>
              <w:top w:val="nil"/>
              <w:left w:val="nil"/>
              <w:bottom w:val="single" w:sz="6" w:space="0" w:color="auto"/>
              <w:right w:val="nil"/>
            </w:tcBorders>
          </w:tcPr>
          <w:p w14:paraId="57F201E4"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R-squared</w:t>
            </w:r>
          </w:p>
        </w:tc>
        <w:tc>
          <w:tcPr>
            <w:tcW w:w="0" w:type="auto"/>
            <w:tcBorders>
              <w:top w:val="nil"/>
              <w:left w:val="nil"/>
              <w:bottom w:val="single" w:sz="6" w:space="0" w:color="auto"/>
              <w:right w:val="nil"/>
            </w:tcBorders>
          </w:tcPr>
          <w:p w14:paraId="7A3F7FC9"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0.7344</w:t>
            </w:r>
          </w:p>
        </w:tc>
        <w:tc>
          <w:tcPr>
            <w:tcW w:w="0" w:type="auto"/>
            <w:tcBorders>
              <w:top w:val="nil"/>
              <w:left w:val="nil"/>
              <w:bottom w:val="single" w:sz="6" w:space="0" w:color="auto"/>
              <w:right w:val="nil"/>
            </w:tcBorders>
          </w:tcPr>
          <w:p w14:paraId="71163ACD"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color w:val="000000" w:themeColor="text1"/>
              </w:rPr>
              <w:t>0.8260</w:t>
            </w:r>
          </w:p>
        </w:tc>
      </w:tr>
    </w:tbl>
    <w:p w14:paraId="6F7EAD86" w14:textId="77777777" w:rsidR="00E96857" w:rsidRPr="00E96857" w:rsidRDefault="00E96857" w:rsidP="00E96857">
      <w:pPr>
        <w:spacing w:after="5" w:line="259" w:lineRule="auto"/>
        <w:jc w:val="center"/>
        <w:rPr>
          <w:rFonts w:ascii="Times New Roman" w:eastAsia="Times New Roman" w:hAnsi="Times New Roman"/>
          <w:color w:val="000000" w:themeColor="text1"/>
        </w:rPr>
      </w:pPr>
      <w:r w:rsidRPr="00E96857">
        <w:rPr>
          <w:rFonts w:ascii="Times New Roman" w:eastAsia="Times New Roman" w:hAnsi="Times New Roman" w:hint="eastAsia"/>
          <w:color w:val="000000" w:themeColor="text1"/>
        </w:rPr>
        <w:t>Note: Robust standard errors in parentheses: *** p&lt;0.01, ** p&lt;0.05, * p&lt;0.1 respectively.</w:t>
      </w:r>
    </w:p>
    <w:p w14:paraId="62D0E06F" w14:textId="77777777" w:rsidR="00E96857" w:rsidRDefault="00E96857" w:rsidP="00E96857">
      <w:pPr>
        <w:spacing w:line="360" w:lineRule="auto"/>
        <w:rPr>
          <w:rFonts w:ascii="Times New Roman" w:hAnsi="Times New Roman"/>
          <w:color w:val="000000" w:themeColor="text1"/>
          <w:sz w:val="24"/>
        </w:rPr>
      </w:pPr>
    </w:p>
    <w:p w14:paraId="07DA5752" w14:textId="7C80F3F3" w:rsidR="000756DC" w:rsidRDefault="002753AC" w:rsidP="000756DC">
      <w:pPr>
        <w:spacing w:line="360" w:lineRule="auto"/>
        <w:ind w:firstLineChars="200" w:firstLine="480"/>
        <w:rPr>
          <w:rFonts w:ascii="Times New Roman" w:hAnsi="Times New Roman"/>
          <w:color w:val="000000" w:themeColor="text1"/>
          <w:sz w:val="24"/>
        </w:rPr>
      </w:pPr>
      <w:r w:rsidRPr="002753AC">
        <w:rPr>
          <w:rFonts w:ascii="Times New Roman" w:hAnsi="Times New Roman" w:hint="eastAsia"/>
          <w:color w:val="000000" w:themeColor="text1"/>
          <w:sz w:val="24"/>
        </w:rPr>
        <w:t xml:space="preserve">Table </w:t>
      </w:r>
      <w:r w:rsidR="00F0136D">
        <w:rPr>
          <w:rFonts w:ascii="Times New Roman" w:hAnsi="Times New Roman" w:hint="eastAsia"/>
          <w:color w:val="000000" w:themeColor="text1"/>
          <w:sz w:val="24"/>
        </w:rPr>
        <w:t xml:space="preserve">6 </w:t>
      </w:r>
      <w:r w:rsidRPr="002753AC">
        <w:rPr>
          <w:rFonts w:ascii="Times New Roman" w:hAnsi="Times New Roman" w:hint="eastAsia"/>
          <w:color w:val="000000" w:themeColor="text1"/>
          <w:sz w:val="24"/>
        </w:rPr>
        <w:t xml:space="preserve">reveals a significant inverse relationship between resource endowment and policy effectiveness: interaction terms show negative coefficients at 10% significance for resource-abundant pilot cities, while exhibiting positive coefficients at 1% </w:t>
      </w:r>
      <w:r w:rsidRPr="002753AC">
        <w:rPr>
          <w:rFonts w:ascii="Times New Roman" w:hAnsi="Times New Roman" w:hint="eastAsia"/>
          <w:color w:val="000000" w:themeColor="text1"/>
          <w:sz w:val="24"/>
        </w:rPr>
        <w:lastRenderedPageBreak/>
        <w:t>significance for resource-scarce counterparts. This indicates that the lc-policy's green innovation impact weakens as city resource endowment increases. We attribute this inverse proportionality to resource-dependent development paths: cities with abundant natural assets prioritize resource-intensive sectors</w:t>
      </w:r>
      <w:r w:rsidRPr="002753AC">
        <w:rPr>
          <w:rFonts w:ascii="Times New Roman" w:hAnsi="Times New Roman" w:hint="eastAsia"/>
          <w:color w:val="000000" w:themeColor="text1"/>
          <w:sz w:val="24"/>
        </w:rPr>
        <w:t>—</w:t>
      </w:r>
      <w:r w:rsidRPr="002753AC">
        <w:rPr>
          <w:rFonts w:ascii="Times New Roman" w:hAnsi="Times New Roman" w:hint="eastAsia"/>
          <w:color w:val="000000" w:themeColor="text1"/>
          <w:sz w:val="24"/>
        </w:rPr>
        <w:t>typically innovation-resistant and path-dependent</w:t>
      </w:r>
      <w:r w:rsidRPr="002753AC">
        <w:rPr>
          <w:rFonts w:ascii="Times New Roman" w:hAnsi="Times New Roman" w:hint="eastAsia"/>
          <w:color w:val="000000" w:themeColor="text1"/>
          <w:sz w:val="24"/>
        </w:rPr>
        <w:t>—</w:t>
      </w:r>
      <w:r w:rsidRPr="002753AC">
        <w:rPr>
          <w:rFonts w:ascii="Times New Roman" w:hAnsi="Times New Roman" w:hint="eastAsia"/>
          <w:color w:val="000000" w:themeColor="text1"/>
          <w:sz w:val="24"/>
        </w:rPr>
        <w:t xml:space="preserve">which constrains green innovation capacity despite policy </w:t>
      </w:r>
      <w:r w:rsidRPr="002753AC">
        <w:rPr>
          <w:rFonts w:ascii="Times New Roman" w:hAnsi="Times New Roman"/>
          <w:color w:val="000000" w:themeColor="text1"/>
          <w:sz w:val="24"/>
        </w:rPr>
        <w:t>intervention.</w:t>
      </w:r>
      <w:r w:rsidRPr="000756DC">
        <w:rPr>
          <w:rFonts w:ascii="Times New Roman" w:hAnsi="Times New Roman"/>
          <w:color w:val="000000" w:themeColor="text1"/>
          <w:sz w:val="24"/>
        </w:rPr>
        <w:t xml:space="preserve"> </w:t>
      </w:r>
      <w:r w:rsidR="001E4DCC">
        <w:rPr>
          <w:rFonts w:ascii="Times New Roman" w:hAnsi="Times New Roman" w:hint="eastAsia"/>
          <w:color w:val="000000" w:themeColor="text1"/>
          <w:sz w:val="24"/>
        </w:rPr>
        <w:t>F</w:t>
      </w:r>
      <w:r w:rsidR="000756DC" w:rsidRPr="000756DC">
        <w:rPr>
          <w:rFonts w:ascii="Times New Roman" w:hAnsi="Times New Roman" w:hint="eastAsia"/>
          <w:color w:val="000000" w:themeColor="text1"/>
          <w:sz w:val="24"/>
        </w:rPr>
        <w:t xml:space="preserve">indings are consistent with </w:t>
      </w:r>
      <w:r w:rsidR="003F0C7E" w:rsidRPr="000756DC">
        <w:rPr>
          <w:rFonts w:ascii="Times New Roman" w:hAnsi="Times New Roman"/>
          <w:color w:val="000000" w:themeColor="text1"/>
          <w:sz w:val="24"/>
        </w:rPr>
        <w:t>[</w:t>
      </w:r>
      <w:r w:rsidR="000756DC" w:rsidRPr="000756DC">
        <w:rPr>
          <w:rFonts w:ascii="Times New Roman" w:hAnsi="Times New Roman" w:hint="eastAsia"/>
          <w:color w:val="000000" w:themeColor="text1"/>
          <w:sz w:val="24"/>
        </w:rPr>
        <w:t>33].</w:t>
      </w:r>
    </w:p>
    <w:p w14:paraId="1DA7E901" w14:textId="4F7CCEBE" w:rsidR="00546DF7" w:rsidRDefault="00546DF7" w:rsidP="00546DF7">
      <w:pPr>
        <w:spacing w:line="360" w:lineRule="auto"/>
        <w:rPr>
          <w:rFonts w:ascii="Times New Roman" w:hAnsi="Times New Roman"/>
          <w:b/>
          <w:bCs/>
          <w:color w:val="000000" w:themeColor="text1"/>
          <w:sz w:val="24"/>
        </w:rPr>
      </w:pPr>
      <w:r w:rsidRPr="00546DF7">
        <w:rPr>
          <w:rFonts w:ascii="Times New Roman" w:hAnsi="Times New Roman" w:hint="eastAsia"/>
          <w:b/>
          <w:bCs/>
          <w:color w:val="000000" w:themeColor="text1"/>
          <w:sz w:val="24"/>
        </w:rPr>
        <w:t>4.5. Hysteresis effect</w:t>
      </w:r>
    </w:p>
    <w:p w14:paraId="7C096791" w14:textId="30492C17" w:rsidR="00E112D9" w:rsidRDefault="00E112D9" w:rsidP="00E112D9">
      <w:pPr>
        <w:spacing w:line="360" w:lineRule="auto"/>
        <w:ind w:firstLineChars="100" w:firstLine="240"/>
        <w:rPr>
          <w:rFonts w:ascii="Times New Roman" w:hAnsi="Times New Roman"/>
          <w:color w:val="000000" w:themeColor="text1"/>
          <w:sz w:val="24"/>
        </w:rPr>
      </w:pPr>
      <w:r w:rsidRPr="00E112D9">
        <w:rPr>
          <w:rFonts w:ascii="Times New Roman" w:hAnsi="Times New Roman" w:hint="eastAsia"/>
          <w:color w:val="000000" w:themeColor="text1"/>
          <w:sz w:val="24"/>
        </w:rPr>
        <w:t xml:space="preserve">To examine potential time lags in </w:t>
      </w:r>
      <w:proofErr w:type="spellStart"/>
      <w:r w:rsidRPr="00E112D9">
        <w:rPr>
          <w:rFonts w:ascii="Times New Roman" w:hAnsi="Times New Roman" w:hint="eastAsia"/>
          <w:color w:val="000000" w:themeColor="text1"/>
          <w:sz w:val="24"/>
        </w:rPr>
        <w:t>lcpolicy's</w:t>
      </w:r>
      <w:proofErr w:type="spellEnd"/>
      <w:r w:rsidRPr="00E112D9">
        <w:rPr>
          <w:rFonts w:ascii="Times New Roman" w:hAnsi="Times New Roman" w:hint="eastAsia"/>
          <w:color w:val="000000" w:themeColor="text1"/>
          <w:sz w:val="24"/>
        </w:rPr>
        <w:t xml:space="preserve"> effect on green innovation, we extend Model (1) by incorporating policy implementation timing dynamics:</w:t>
      </w:r>
    </w:p>
    <w:p w14:paraId="5CFFA507" w14:textId="2495F944" w:rsidR="00316596" w:rsidRDefault="003C5A60" w:rsidP="00546DF7">
      <w:pPr>
        <w:spacing w:line="360" w:lineRule="auto"/>
        <w:rPr>
          <w:rFonts w:cs="SimSun"/>
          <w:snapToGrid w:val="0"/>
          <w:lang w:bidi="en-US"/>
        </w:rPr>
      </w:pPr>
      <m:oMath>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 xml:space="preserve"> </m:t>
            </m:r>
            <m:r>
              <w:rPr>
                <w:rFonts w:ascii="Cambria Math" w:hAnsi="Cambria Math"/>
                <w:snapToGrid w:val="0"/>
                <w:color w:val="000000" w:themeColor="text1"/>
                <w:lang w:bidi="en-US"/>
              </w:rPr>
              <m:t xml:space="preserve">     </m:t>
            </m:r>
            <m:r>
              <w:rPr>
                <w:rFonts w:ascii="Cambria Math" w:eastAsia="Times New Roman" w:hAnsi="Cambria Math" w:hint="eastAsia"/>
                <w:snapToGrid w:val="0"/>
                <w:color w:val="000000" w:themeColor="text1"/>
                <w:lang w:eastAsia="de-DE" w:bidi="en-US"/>
              </w:rPr>
              <m:t>green</m:t>
            </m:r>
            <m:r>
              <w:rPr>
                <w:rFonts w:ascii="Cambria Math" w:eastAsia="Times New Roman" w:hAnsi="Cambria Math"/>
                <w:snapToGrid w:val="0"/>
                <w:color w:val="000000" w:themeColor="text1"/>
                <w:lang w:eastAsia="de-DE" w:bidi="en-US"/>
              </w:rPr>
              <m:t>_</m:t>
            </m:r>
            <m:r>
              <w:rPr>
                <w:rFonts w:ascii="Cambria Math" w:eastAsia="Times New Roman" w:hAnsi="Cambria Math"/>
                <w:snapToGrid w:val="0"/>
                <w:color w:val="000000" w:themeColor="text1"/>
                <w:lang w:eastAsia="de-DE" w:bidi="en-US"/>
              </w:rPr>
              <m:t>innovation</m:t>
            </m:r>
          </m:e>
          <m:sub>
            <m:r>
              <w:rPr>
                <w:rFonts w:ascii="Cambria Math" w:eastAsia="Times New Roman" w:hAnsi="Cambria Math"/>
                <w:snapToGrid w:val="0"/>
                <w:color w:val="000000" w:themeColor="text1"/>
                <w:lang w:eastAsia="de-DE"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0</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1</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r>
              <w:rPr>
                <w:rFonts w:ascii="Cambria Math" w:eastAsia="Times New Roman" w:hAnsi="Cambria Math"/>
                <w:snapToGrid w:val="0"/>
                <w:color w:val="000000" w:themeColor="text1"/>
                <w:lang w:eastAsia="de-DE" w:bidi="en-US"/>
              </w:rPr>
              <m:t>+</m:t>
            </m:r>
            <m:r>
              <w:rPr>
                <w:rFonts w:ascii="Cambria Math" w:hAnsi="Cambria Math"/>
                <w:snapToGrid w:val="0"/>
                <w:color w:val="000000" w:themeColor="text1"/>
                <w:lang w:bidi="en-US"/>
              </w:rPr>
              <m:t>j</m:t>
            </m:r>
          </m:sub>
        </m:sSub>
        <m:r>
          <w:rPr>
            <w:rFonts w:ascii="Cambria Math" w:eastAsia="Times New Roman" w:hAnsi="Cambria Math"/>
            <w:snapToGrid w:val="0"/>
            <w:color w:val="000000" w:themeColor="text1"/>
            <w:lang w:eastAsia="de-DE" w:bidi="en-US"/>
          </w:rPr>
          <m:t>+…</m:t>
        </m:r>
        <m:r>
          <w:rPr>
            <w:rFonts w:ascii="Cambria Math" w:hAnsi="Cambria Math"/>
            <w:snapToGrid w:val="0"/>
            <w:color w:val="000000" w:themeColor="text1"/>
            <w:lang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α</m:t>
            </m:r>
          </m:e>
          <m:sub>
            <m:r>
              <w:rPr>
                <w:rFonts w:ascii="Cambria Math" w:hAnsi="Cambria Math"/>
                <w:snapToGrid w:val="0"/>
                <w:color w:val="000000" w:themeColor="text1"/>
                <w:lang w:bidi="en-US"/>
              </w:rPr>
              <m:t>k</m:t>
            </m:r>
          </m:sub>
        </m:sSub>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treat</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time</m:t>
            </m:r>
          </m:e>
          <m:sub>
            <m:r>
              <w:rPr>
                <w:rFonts w:ascii="Cambria Math" w:eastAsia="Times New Roman" w:hAnsi="Cambria Math"/>
                <w:snapToGrid w:val="0"/>
                <w:color w:val="000000" w:themeColor="text1"/>
                <w:lang w:eastAsia="de-DE" w:bidi="en-US"/>
              </w:rPr>
              <m:t>t</m:t>
            </m:r>
            <m:r>
              <w:rPr>
                <w:rFonts w:ascii="Cambria Math" w:eastAsia="Times New Roman" w:hAnsi="Cambria Math"/>
                <w:snapToGrid w:val="0"/>
                <w:color w:val="000000" w:themeColor="text1"/>
                <w:lang w:eastAsia="de-DE" w:bidi="en-US"/>
              </w:rPr>
              <m:t>+</m:t>
            </m:r>
            <m:r>
              <w:rPr>
                <w:rFonts w:ascii="Cambria Math" w:hAnsi="Cambria Math"/>
                <w:snapToGrid w:val="0"/>
                <w:color w:val="000000" w:themeColor="text1"/>
                <w:lang w:bidi="en-US"/>
              </w:rPr>
              <m:t>j</m:t>
            </m:r>
          </m:sub>
        </m:sSub>
        <m:r>
          <w:rPr>
            <w:rFonts w:ascii="Cambria Math" w:eastAsia="Times New Roman" w:hAnsi="Cambria Math"/>
            <w:snapToGrid w:val="0"/>
            <w:color w:val="000000" w:themeColor="text1"/>
            <w:lang w:eastAsia="de-DE" w:bidi="en-US"/>
          </w:rPr>
          <m:t>+</m:t>
        </m:r>
        <m:r>
          <w:rPr>
            <w:rFonts w:ascii="Cambria Math" w:eastAsia="Times New Roman" w:hAnsi="Cambria Math"/>
            <w:snapToGrid w:val="0"/>
            <w:color w:val="000000" w:themeColor="text1"/>
            <w:lang w:eastAsia="de-DE" w:bidi="en-US"/>
          </w:rPr>
          <m:t>ρ</m:t>
        </m:r>
        <m:sSub>
          <m:sSubPr>
            <m:ctrlPr>
              <w:rPr>
                <w:rFonts w:ascii="Cambria Math" w:hAnsi="Cambria Math"/>
                <w:i/>
                <w:snapToGrid w:val="0"/>
                <w:color w:val="000000" w:themeColor="text1"/>
                <w:lang w:bidi="en-US"/>
              </w:rPr>
            </m:ctrlPr>
          </m:sSubPr>
          <m:e>
            <m:r>
              <w:rPr>
                <w:rFonts w:ascii="Cambria Math" w:hAnsi="Cambria Math"/>
                <w:snapToGrid w:val="0"/>
                <w:color w:val="000000" w:themeColor="text1"/>
                <w:lang w:bidi="en-US"/>
              </w:rPr>
              <m:t>X</m:t>
            </m:r>
          </m:e>
          <m:sub>
            <m:r>
              <w:rPr>
                <w:rFonts w:ascii="Cambria Math" w:hAnsi="Cambria Math"/>
                <w:snapToGrid w:val="0"/>
                <w:color w:val="000000" w:themeColor="text1"/>
                <w:lang w:bidi="en-US"/>
              </w:rPr>
              <m:t>it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δ</m:t>
            </m:r>
          </m:e>
          <m:sub>
            <m:r>
              <w:rPr>
                <w:rFonts w:ascii="Cambria Math" w:eastAsia="Times New Roman" w:hAnsi="Cambria Math"/>
                <w:snapToGrid w:val="0"/>
                <w:color w:val="000000" w:themeColor="text1"/>
                <w:lang w:eastAsia="de-DE" w:bidi="en-US"/>
              </w:rPr>
              <m:t>i</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μ</m:t>
            </m:r>
          </m:e>
          <m:sub>
            <m:r>
              <w:rPr>
                <w:rFonts w:ascii="Cambria Math" w:eastAsia="Times New Roman" w:hAnsi="Cambria Math"/>
                <w:snapToGrid w:val="0"/>
                <w:color w:val="000000" w:themeColor="text1"/>
                <w:lang w:eastAsia="de-DE" w:bidi="en-US"/>
              </w:rPr>
              <m:t>t</m:t>
            </m:r>
          </m:sub>
        </m:sSub>
        <m:r>
          <w:rPr>
            <w:rFonts w:ascii="Cambria Math" w:eastAsia="Times New Roman" w:hAnsi="Cambria Math"/>
            <w:snapToGrid w:val="0"/>
            <w:color w:val="000000" w:themeColor="text1"/>
            <w:lang w:eastAsia="de-DE" w:bidi="en-US"/>
          </w:rPr>
          <m:t>+</m:t>
        </m:r>
        <m:sSub>
          <m:sSubPr>
            <m:ctrlPr>
              <w:rPr>
                <w:rFonts w:ascii="Cambria Math" w:eastAsia="Times New Roman" w:hAnsi="Cambria Math"/>
                <w:i/>
                <w:snapToGrid w:val="0"/>
                <w:color w:val="000000" w:themeColor="text1"/>
                <w:lang w:eastAsia="de-DE" w:bidi="en-US"/>
              </w:rPr>
            </m:ctrlPr>
          </m:sSubPr>
          <m:e>
            <m:r>
              <w:rPr>
                <w:rFonts w:ascii="Cambria Math" w:eastAsia="Times New Roman" w:hAnsi="Cambria Math"/>
                <w:snapToGrid w:val="0"/>
                <w:color w:val="000000" w:themeColor="text1"/>
                <w:lang w:eastAsia="de-DE" w:bidi="en-US"/>
              </w:rPr>
              <m:t>ε</m:t>
            </m:r>
          </m:e>
          <m:sub>
            <m:r>
              <w:rPr>
                <w:rFonts w:ascii="Cambria Math" w:eastAsia="Times New Roman" w:hAnsi="Cambria Math"/>
                <w:snapToGrid w:val="0"/>
                <w:color w:val="000000" w:themeColor="text1"/>
                <w:lang w:eastAsia="de-DE" w:bidi="en-US"/>
              </w:rPr>
              <m:t>it</m:t>
            </m:r>
          </m:sub>
        </m:sSub>
      </m:oMath>
      <w:r w:rsidR="00F51BCA">
        <w:rPr>
          <w:rFonts w:ascii="Times New Roman" w:hAnsi="Times New Roman"/>
          <w:i/>
          <w:iCs/>
          <w:sz w:val="32"/>
          <w:szCs w:val="32"/>
          <w:vertAlign w:val="subscript"/>
        </w:rPr>
        <w:t xml:space="preserve">                </w:t>
      </w:r>
      <w:r w:rsidR="00F51BCA">
        <w:rPr>
          <w:rFonts w:ascii="Times New Roman" w:hAnsi="Times New Roman" w:hint="eastAsia"/>
          <w:i/>
          <w:iCs/>
          <w:sz w:val="32"/>
          <w:szCs w:val="32"/>
          <w:vertAlign w:val="subscript"/>
        </w:rPr>
        <w:t xml:space="preserve"> </w:t>
      </w:r>
      <w:r w:rsidR="00F51BCA">
        <w:rPr>
          <w:rFonts w:cs="SimSun" w:hint="eastAsia"/>
          <w:snapToGrid w:val="0"/>
          <w:lang w:bidi="en-US"/>
        </w:rPr>
        <w:t>(</w:t>
      </w:r>
      <w:r w:rsidR="002753AC">
        <w:rPr>
          <w:rFonts w:cs="SimSun" w:hint="eastAsia"/>
          <w:snapToGrid w:val="0"/>
          <w:lang w:bidi="en-US"/>
        </w:rPr>
        <w:t>5</w:t>
      </w:r>
      <w:r w:rsidR="00F51BCA">
        <w:rPr>
          <w:rFonts w:cs="SimSun" w:hint="eastAsia"/>
          <w:snapToGrid w:val="0"/>
          <w:lang w:bidi="en-US"/>
        </w:rPr>
        <w:t>)</w:t>
      </w:r>
    </w:p>
    <w:p w14:paraId="76047134" w14:textId="591E96AB" w:rsidR="00E112D9" w:rsidRDefault="002753AC" w:rsidP="00E112D9">
      <w:pPr>
        <w:spacing w:line="360" w:lineRule="auto"/>
        <w:ind w:firstLineChars="200" w:firstLine="480"/>
        <w:rPr>
          <w:rFonts w:ascii="Times New Roman" w:hAnsi="Times New Roman"/>
          <w:color w:val="000000" w:themeColor="text1"/>
          <w:sz w:val="24"/>
        </w:rPr>
      </w:pPr>
      <w:r w:rsidRPr="002753AC">
        <w:rPr>
          <w:rFonts w:ascii="Times New Roman" w:hAnsi="Times New Roman"/>
          <w:color w:val="000000" w:themeColor="text1"/>
          <w:sz w:val="24"/>
        </w:rPr>
        <w:t xml:space="preserve">To assess potential time lags in the </w:t>
      </w:r>
      <w:proofErr w:type="spellStart"/>
      <w:r w:rsidR="00E112D9">
        <w:rPr>
          <w:rFonts w:ascii="Times New Roman" w:hAnsi="Times New Roman" w:hint="eastAsia"/>
          <w:color w:val="000000" w:themeColor="text1"/>
          <w:sz w:val="24"/>
        </w:rPr>
        <w:t>lc</w:t>
      </w:r>
      <w:r w:rsidRPr="002753AC">
        <w:rPr>
          <w:rFonts w:ascii="Times New Roman" w:hAnsi="Times New Roman"/>
          <w:color w:val="000000" w:themeColor="text1"/>
          <w:sz w:val="24"/>
        </w:rPr>
        <w:t>policy's</w:t>
      </w:r>
      <w:proofErr w:type="spellEnd"/>
      <w:r w:rsidRPr="002753AC">
        <w:rPr>
          <w:rFonts w:ascii="Times New Roman" w:hAnsi="Times New Roman"/>
          <w:color w:val="000000" w:themeColor="text1"/>
          <w:sz w:val="24"/>
        </w:rPr>
        <w:t xml:space="preserve"> innovation effects, we extend Model (1) by incorporating policy implementation at horizon j. Regression results for Model (5) reveal lagged policy impacts: a statistically significant interaction term indicates j-year delayed effects, while non-significance necessitates testing at j+1 to identify when policy effectiveness emerges.</w:t>
      </w:r>
    </w:p>
    <w:p w14:paraId="4054C6F9" w14:textId="5A6CF112" w:rsidR="00F8267A" w:rsidRDefault="00F8267A" w:rsidP="00F8267A">
      <w:pPr>
        <w:spacing w:line="360" w:lineRule="auto"/>
        <w:ind w:firstLineChars="200" w:firstLine="480"/>
        <w:jc w:val="center"/>
        <w:rPr>
          <w:rFonts w:ascii="Times New Roman" w:hAnsi="Times New Roman"/>
          <w:color w:val="000000" w:themeColor="text1"/>
          <w:sz w:val="24"/>
        </w:rPr>
      </w:pPr>
      <w:r w:rsidRPr="00F8267A">
        <w:rPr>
          <w:rFonts w:ascii="Times New Roman" w:hAnsi="Times New Roman" w:hint="eastAsia"/>
          <w:b/>
          <w:bCs/>
          <w:color w:val="000000" w:themeColor="text1"/>
          <w:sz w:val="24"/>
        </w:rPr>
        <w:t xml:space="preserve">Table </w:t>
      </w:r>
      <w:r w:rsidR="00D25ACD">
        <w:rPr>
          <w:rFonts w:ascii="Times New Roman" w:hAnsi="Times New Roman" w:hint="eastAsia"/>
          <w:b/>
          <w:bCs/>
          <w:color w:val="000000" w:themeColor="text1"/>
          <w:sz w:val="24"/>
        </w:rPr>
        <w:t>7</w:t>
      </w:r>
      <w:r w:rsidRPr="00F8267A">
        <w:rPr>
          <w:rFonts w:ascii="Times New Roman" w:hAnsi="Times New Roman" w:hint="eastAsia"/>
          <w:b/>
          <w:bCs/>
          <w:color w:val="000000" w:themeColor="text1"/>
          <w:sz w:val="24"/>
        </w:rPr>
        <w:t>.</w:t>
      </w:r>
      <w:r w:rsidRPr="00F8267A">
        <w:rPr>
          <w:rFonts w:ascii="Times New Roman" w:hAnsi="Times New Roman" w:hint="eastAsia"/>
          <w:color w:val="000000" w:themeColor="text1"/>
          <w:sz w:val="24"/>
        </w:rPr>
        <w:t xml:space="preserve"> Hysteresis effect</w:t>
      </w:r>
    </w:p>
    <w:tbl>
      <w:tblPr>
        <w:tblW w:w="5000" w:type="pct"/>
        <w:jc w:val="right"/>
        <w:tblCellMar>
          <w:left w:w="75" w:type="dxa"/>
          <w:right w:w="75" w:type="dxa"/>
        </w:tblCellMar>
        <w:tblLook w:val="04A0" w:firstRow="1" w:lastRow="0" w:firstColumn="1" w:lastColumn="0" w:noHBand="0" w:noVBand="1"/>
      </w:tblPr>
      <w:tblGrid>
        <w:gridCol w:w="1712"/>
        <w:gridCol w:w="2198"/>
        <w:gridCol w:w="2198"/>
        <w:gridCol w:w="2198"/>
      </w:tblGrid>
      <w:tr w:rsidR="00F8267A" w:rsidRPr="00F8267A" w14:paraId="1959E8A3" w14:textId="77777777" w:rsidTr="00F8267A">
        <w:trPr>
          <w:jc w:val="right"/>
        </w:trPr>
        <w:tc>
          <w:tcPr>
            <w:tcW w:w="1030" w:type="pct"/>
            <w:tcBorders>
              <w:top w:val="single" w:sz="6" w:space="0" w:color="auto"/>
              <w:left w:val="nil"/>
              <w:bottom w:val="nil"/>
              <w:right w:val="nil"/>
            </w:tcBorders>
          </w:tcPr>
          <w:p w14:paraId="1E0CEF6D" w14:textId="77777777" w:rsidR="00F8267A" w:rsidRPr="00F8267A" w:rsidRDefault="00F8267A" w:rsidP="00293BEF">
            <w:pPr>
              <w:autoSpaceDE w:val="0"/>
              <w:autoSpaceDN w:val="0"/>
              <w:adjustRightInd w:val="0"/>
              <w:jc w:val="left"/>
              <w:rPr>
                <w:rFonts w:ascii="Times New Roman" w:hAnsi="Times New Roman" w:cs="Times New Roman"/>
                <w:szCs w:val="24"/>
              </w:rPr>
            </w:pPr>
          </w:p>
        </w:tc>
        <w:tc>
          <w:tcPr>
            <w:tcW w:w="1323" w:type="pct"/>
            <w:tcBorders>
              <w:top w:val="single" w:sz="6" w:space="0" w:color="auto"/>
              <w:left w:val="nil"/>
              <w:bottom w:val="nil"/>
              <w:right w:val="nil"/>
            </w:tcBorders>
          </w:tcPr>
          <w:p w14:paraId="7149DF5E" w14:textId="77777777" w:rsidR="00F8267A" w:rsidRPr="00F8267A" w:rsidRDefault="00F8267A" w:rsidP="00293BEF">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(1)</w:t>
            </w:r>
          </w:p>
        </w:tc>
        <w:tc>
          <w:tcPr>
            <w:tcW w:w="1323" w:type="pct"/>
            <w:tcBorders>
              <w:top w:val="single" w:sz="6" w:space="0" w:color="auto"/>
              <w:left w:val="nil"/>
              <w:bottom w:val="nil"/>
              <w:right w:val="nil"/>
            </w:tcBorders>
          </w:tcPr>
          <w:p w14:paraId="3A0B10E2" w14:textId="77777777" w:rsidR="00F8267A" w:rsidRPr="00F8267A" w:rsidRDefault="00F8267A" w:rsidP="00293BEF">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(2)</w:t>
            </w:r>
          </w:p>
        </w:tc>
        <w:tc>
          <w:tcPr>
            <w:tcW w:w="1323" w:type="pct"/>
            <w:tcBorders>
              <w:top w:val="single" w:sz="6" w:space="0" w:color="auto"/>
              <w:left w:val="nil"/>
              <w:bottom w:val="nil"/>
              <w:right w:val="nil"/>
            </w:tcBorders>
          </w:tcPr>
          <w:p w14:paraId="55939221" w14:textId="77777777" w:rsidR="00F8267A" w:rsidRPr="00F8267A" w:rsidRDefault="00F8267A" w:rsidP="00293BEF">
            <w:pPr>
              <w:autoSpaceDE w:val="0"/>
              <w:autoSpaceDN w:val="0"/>
              <w:adjustRightInd w:val="0"/>
              <w:jc w:val="center"/>
              <w:rPr>
                <w:rFonts w:ascii="Times New Roman" w:hAnsi="Times New Roman" w:cs="Times New Roman"/>
                <w:szCs w:val="24"/>
              </w:rPr>
            </w:pPr>
            <w:r w:rsidRPr="00F8267A">
              <w:rPr>
                <w:rFonts w:ascii="Times New Roman" w:hAnsi="Times New Roman" w:cs="Times New Roman"/>
                <w:szCs w:val="24"/>
              </w:rPr>
              <w:t>(3)</w:t>
            </w:r>
          </w:p>
        </w:tc>
      </w:tr>
      <w:tr w:rsidR="00F8267A" w:rsidRPr="00F8267A" w14:paraId="74EA33EF" w14:textId="77777777" w:rsidTr="00F8267A">
        <w:trPr>
          <w:jc w:val="right"/>
        </w:trPr>
        <w:tc>
          <w:tcPr>
            <w:tcW w:w="1030" w:type="pct"/>
            <w:tcBorders>
              <w:top w:val="nil"/>
              <w:left w:val="nil"/>
              <w:bottom w:val="single" w:sz="6" w:space="0" w:color="auto"/>
              <w:right w:val="nil"/>
            </w:tcBorders>
          </w:tcPr>
          <w:p w14:paraId="293E773A" w14:textId="77777777" w:rsidR="00F8267A" w:rsidRPr="00F8267A" w:rsidRDefault="00F8267A" w:rsidP="00293BEF">
            <w:pPr>
              <w:autoSpaceDE w:val="0"/>
              <w:autoSpaceDN w:val="0"/>
              <w:adjustRightInd w:val="0"/>
              <w:jc w:val="left"/>
              <w:rPr>
                <w:rFonts w:ascii="Times New Roman" w:hAnsi="Times New Roman" w:cs="Times New Roman"/>
                <w:b/>
                <w:bCs/>
              </w:rPr>
            </w:pPr>
            <w:r w:rsidRPr="00F8267A">
              <w:rPr>
                <w:rFonts w:ascii="Times New Roman" w:hAnsi="Times New Roman" w:cs="Times New Roman"/>
                <w:b/>
                <w:bCs/>
                <w:sz w:val="22"/>
                <w:szCs w:val="24"/>
              </w:rPr>
              <w:t>Variables</w:t>
            </w:r>
          </w:p>
        </w:tc>
        <w:tc>
          <w:tcPr>
            <w:tcW w:w="1323" w:type="pct"/>
            <w:tcBorders>
              <w:top w:val="nil"/>
              <w:left w:val="nil"/>
              <w:bottom w:val="single" w:sz="6" w:space="0" w:color="auto"/>
              <w:right w:val="nil"/>
            </w:tcBorders>
          </w:tcPr>
          <w:p w14:paraId="5C70C6E2" w14:textId="77777777" w:rsidR="00F8267A" w:rsidRPr="00F8267A" w:rsidRDefault="00F8267A" w:rsidP="00293BEF">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c>
          <w:tcPr>
            <w:tcW w:w="1323" w:type="pct"/>
            <w:tcBorders>
              <w:top w:val="nil"/>
              <w:left w:val="nil"/>
              <w:bottom w:val="single" w:sz="6" w:space="0" w:color="auto"/>
              <w:right w:val="nil"/>
            </w:tcBorders>
          </w:tcPr>
          <w:p w14:paraId="6D8AABA2" w14:textId="77777777" w:rsidR="00F8267A" w:rsidRPr="00F8267A" w:rsidRDefault="00F8267A" w:rsidP="00293BEF">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c>
          <w:tcPr>
            <w:tcW w:w="1323" w:type="pct"/>
            <w:tcBorders>
              <w:top w:val="nil"/>
              <w:left w:val="nil"/>
              <w:bottom w:val="single" w:sz="6" w:space="0" w:color="auto"/>
              <w:right w:val="nil"/>
            </w:tcBorders>
          </w:tcPr>
          <w:p w14:paraId="7BE75664" w14:textId="77777777" w:rsidR="00F8267A" w:rsidRPr="00F8267A" w:rsidRDefault="00F8267A" w:rsidP="00293BEF">
            <w:pPr>
              <w:autoSpaceDE w:val="0"/>
              <w:autoSpaceDN w:val="0"/>
              <w:adjustRightInd w:val="0"/>
              <w:jc w:val="center"/>
              <w:rPr>
                <w:rFonts w:ascii="Times New Roman" w:hAnsi="Times New Roman" w:cs="Times New Roman"/>
              </w:rPr>
            </w:pPr>
            <w:proofErr w:type="spellStart"/>
            <w:r w:rsidRPr="00F8267A">
              <w:rPr>
                <w:rFonts w:ascii="Times New Roman" w:hAnsi="Times New Roman" w:cs="Times New Roman"/>
              </w:rPr>
              <w:t>green_innovation</w:t>
            </w:r>
            <w:proofErr w:type="spellEnd"/>
          </w:p>
        </w:tc>
      </w:tr>
      <w:tr w:rsidR="00F8267A" w:rsidRPr="00F8267A" w14:paraId="146BEC76" w14:textId="77777777" w:rsidTr="00F8267A">
        <w:trPr>
          <w:jc w:val="right"/>
        </w:trPr>
        <w:tc>
          <w:tcPr>
            <w:tcW w:w="1030" w:type="pct"/>
            <w:tcBorders>
              <w:top w:val="nil"/>
              <w:left w:val="nil"/>
              <w:bottom w:val="nil"/>
              <w:right w:val="nil"/>
            </w:tcBorders>
          </w:tcPr>
          <w:p w14:paraId="57D75088" w14:textId="77777777" w:rsidR="00F8267A" w:rsidRPr="00F8267A" w:rsidRDefault="00F8267A" w:rsidP="00293BEF">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l_lcpolicy</w:t>
            </w:r>
            <w:proofErr w:type="spellEnd"/>
          </w:p>
        </w:tc>
        <w:tc>
          <w:tcPr>
            <w:tcW w:w="1323" w:type="pct"/>
            <w:tcBorders>
              <w:top w:val="nil"/>
              <w:left w:val="nil"/>
              <w:bottom w:val="nil"/>
              <w:right w:val="nil"/>
            </w:tcBorders>
          </w:tcPr>
          <w:p w14:paraId="7A396338"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0.3735***</w:t>
            </w:r>
          </w:p>
        </w:tc>
        <w:tc>
          <w:tcPr>
            <w:tcW w:w="1323" w:type="pct"/>
            <w:tcBorders>
              <w:top w:val="nil"/>
              <w:left w:val="nil"/>
              <w:bottom w:val="nil"/>
              <w:right w:val="nil"/>
            </w:tcBorders>
          </w:tcPr>
          <w:p w14:paraId="06A0582E"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50638180" w14:textId="77777777" w:rsidR="00F8267A" w:rsidRPr="00F8267A" w:rsidRDefault="00F8267A" w:rsidP="00293BEF">
            <w:pPr>
              <w:autoSpaceDE w:val="0"/>
              <w:autoSpaceDN w:val="0"/>
              <w:adjustRightInd w:val="0"/>
              <w:jc w:val="center"/>
              <w:rPr>
                <w:rFonts w:ascii="Times New Roman" w:hAnsi="Times New Roman" w:cs="Times New Roman"/>
              </w:rPr>
            </w:pPr>
          </w:p>
        </w:tc>
      </w:tr>
      <w:tr w:rsidR="00F8267A" w:rsidRPr="00F8267A" w14:paraId="57BFFEA9" w14:textId="77777777" w:rsidTr="00F8267A">
        <w:trPr>
          <w:jc w:val="right"/>
        </w:trPr>
        <w:tc>
          <w:tcPr>
            <w:tcW w:w="1030" w:type="pct"/>
            <w:tcBorders>
              <w:top w:val="nil"/>
              <w:left w:val="nil"/>
              <w:bottom w:val="nil"/>
              <w:right w:val="nil"/>
            </w:tcBorders>
          </w:tcPr>
          <w:p w14:paraId="0B5B1FFF" w14:textId="77777777" w:rsidR="00F8267A" w:rsidRPr="00F8267A" w:rsidRDefault="00F8267A" w:rsidP="00293BEF">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41E724CC"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(0.057)</w:t>
            </w:r>
          </w:p>
        </w:tc>
        <w:tc>
          <w:tcPr>
            <w:tcW w:w="1323" w:type="pct"/>
            <w:tcBorders>
              <w:top w:val="nil"/>
              <w:left w:val="nil"/>
              <w:bottom w:val="nil"/>
              <w:right w:val="nil"/>
            </w:tcBorders>
          </w:tcPr>
          <w:p w14:paraId="5B7B7190"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29C077C8" w14:textId="77777777" w:rsidR="00F8267A" w:rsidRPr="00F8267A" w:rsidRDefault="00F8267A" w:rsidP="00293BEF">
            <w:pPr>
              <w:autoSpaceDE w:val="0"/>
              <w:autoSpaceDN w:val="0"/>
              <w:adjustRightInd w:val="0"/>
              <w:jc w:val="center"/>
              <w:rPr>
                <w:rFonts w:ascii="Times New Roman" w:hAnsi="Times New Roman" w:cs="Times New Roman"/>
              </w:rPr>
            </w:pPr>
          </w:p>
        </w:tc>
      </w:tr>
      <w:tr w:rsidR="00F8267A" w:rsidRPr="00F8267A" w14:paraId="7E9261FE" w14:textId="77777777" w:rsidTr="00F8267A">
        <w:trPr>
          <w:jc w:val="right"/>
        </w:trPr>
        <w:tc>
          <w:tcPr>
            <w:tcW w:w="1030" w:type="pct"/>
            <w:tcBorders>
              <w:top w:val="nil"/>
              <w:left w:val="nil"/>
              <w:bottom w:val="nil"/>
              <w:right w:val="nil"/>
            </w:tcBorders>
          </w:tcPr>
          <w:p w14:paraId="7B996C69" w14:textId="77777777" w:rsidR="00F8267A" w:rsidRPr="00F8267A" w:rsidRDefault="00F8267A" w:rsidP="00293BEF">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llcpolicy</w:t>
            </w:r>
            <w:proofErr w:type="spellEnd"/>
          </w:p>
        </w:tc>
        <w:tc>
          <w:tcPr>
            <w:tcW w:w="1323" w:type="pct"/>
            <w:tcBorders>
              <w:top w:val="nil"/>
              <w:left w:val="nil"/>
              <w:bottom w:val="nil"/>
              <w:right w:val="nil"/>
            </w:tcBorders>
          </w:tcPr>
          <w:p w14:paraId="47E1023D"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1E1FAF03"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0.3165***</w:t>
            </w:r>
          </w:p>
        </w:tc>
        <w:tc>
          <w:tcPr>
            <w:tcW w:w="1323" w:type="pct"/>
            <w:tcBorders>
              <w:top w:val="nil"/>
              <w:left w:val="nil"/>
              <w:bottom w:val="nil"/>
              <w:right w:val="nil"/>
            </w:tcBorders>
          </w:tcPr>
          <w:p w14:paraId="4089B931" w14:textId="77777777" w:rsidR="00F8267A" w:rsidRPr="00F8267A" w:rsidRDefault="00F8267A" w:rsidP="00293BEF">
            <w:pPr>
              <w:autoSpaceDE w:val="0"/>
              <w:autoSpaceDN w:val="0"/>
              <w:adjustRightInd w:val="0"/>
              <w:jc w:val="center"/>
              <w:rPr>
                <w:rFonts w:ascii="Times New Roman" w:hAnsi="Times New Roman" w:cs="Times New Roman"/>
              </w:rPr>
            </w:pPr>
          </w:p>
        </w:tc>
      </w:tr>
      <w:tr w:rsidR="00F8267A" w:rsidRPr="00F8267A" w14:paraId="6CF936A2" w14:textId="77777777" w:rsidTr="00F8267A">
        <w:trPr>
          <w:jc w:val="right"/>
        </w:trPr>
        <w:tc>
          <w:tcPr>
            <w:tcW w:w="1030" w:type="pct"/>
            <w:tcBorders>
              <w:top w:val="nil"/>
              <w:left w:val="nil"/>
              <w:bottom w:val="nil"/>
              <w:right w:val="nil"/>
            </w:tcBorders>
          </w:tcPr>
          <w:p w14:paraId="50C63B44" w14:textId="77777777" w:rsidR="00F8267A" w:rsidRPr="00F8267A" w:rsidRDefault="00F8267A" w:rsidP="00293BEF">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5FDC926B"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2BE9F03C"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(0.060)</w:t>
            </w:r>
          </w:p>
        </w:tc>
        <w:tc>
          <w:tcPr>
            <w:tcW w:w="1323" w:type="pct"/>
            <w:tcBorders>
              <w:top w:val="nil"/>
              <w:left w:val="nil"/>
              <w:bottom w:val="nil"/>
              <w:right w:val="nil"/>
            </w:tcBorders>
          </w:tcPr>
          <w:p w14:paraId="48B1EDB6" w14:textId="77777777" w:rsidR="00F8267A" w:rsidRPr="00F8267A" w:rsidRDefault="00F8267A" w:rsidP="00293BEF">
            <w:pPr>
              <w:autoSpaceDE w:val="0"/>
              <w:autoSpaceDN w:val="0"/>
              <w:adjustRightInd w:val="0"/>
              <w:jc w:val="center"/>
              <w:rPr>
                <w:rFonts w:ascii="Times New Roman" w:hAnsi="Times New Roman" w:cs="Times New Roman"/>
              </w:rPr>
            </w:pPr>
          </w:p>
        </w:tc>
      </w:tr>
      <w:tr w:rsidR="00F8267A" w:rsidRPr="00F8267A" w14:paraId="7059D1EC" w14:textId="77777777" w:rsidTr="00F8267A">
        <w:trPr>
          <w:jc w:val="right"/>
        </w:trPr>
        <w:tc>
          <w:tcPr>
            <w:tcW w:w="1030" w:type="pct"/>
            <w:tcBorders>
              <w:top w:val="nil"/>
              <w:left w:val="nil"/>
              <w:bottom w:val="nil"/>
              <w:right w:val="nil"/>
            </w:tcBorders>
          </w:tcPr>
          <w:p w14:paraId="2FB1C4B0" w14:textId="77777777" w:rsidR="00F8267A" w:rsidRPr="00F8267A" w:rsidRDefault="00F8267A" w:rsidP="00293BEF">
            <w:pPr>
              <w:autoSpaceDE w:val="0"/>
              <w:autoSpaceDN w:val="0"/>
              <w:adjustRightInd w:val="0"/>
              <w:jc w:val="left"/>
              <w:rPr>
                <w:rFonts w:ascii="Times New Roman" w:hAnsi="Times New Roman" w:cs="Times New Roman"/>
              </w:rPr>
            </w:pPr>
            <w:proofErr w:type="spellStart"/>
            <w:r w:rsidRPr="00F8267A">
              <w:rPr>
                <w:rFonts w:ascii="Times New Roman" w:hAnsi="Times New Roman" w:cs="Times New Roman"/>
              </w:rPr>
              <w:t>lllcpolicy</w:t>
            </w:r>
            <w:proofErr w:type="spellEnd"/>
          </w:p>
        </w:tc>
        <w:tc>
          <w:tcPr>
            <w:tcW w:w="1323" w:type="pct"/>
            <w:tcBorders>
              <w:top w:val="nil"/>
              <w:left w:val="nil"/>
              <w:bottom w:val="nil"/>
              <w:right w:val="nil"/>
            </w:tcBorders>
          </w:tcPr>
          <w:p w14:paraId="51D353B3"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333EE9F9"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0FA2B72C"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0.2389***</w:t>
            </w:r>
          </w:p>
        </w:tc>
      </w:tr>
      <w:tr w:rsidR="00F8267A" w:rsidRPr="00F8267A" w14:paraId="70D5A522" w14:textId="77777777" w:rsidTr="00F8267A">
        <w:trPr>
          <w:jc w:val="right"/>
        </w:trPr>
        <w:tc>
          <w:tcPr>
            <w:tcW w:w="1030" w:type="pct"/>
            <w:tcBorders>
              <w:top w:val="nil"/>
              <w:left w:val="nil"/>
              <w:bottom w:val="nil"/>
              <w:right w:val="nil"/>
            </w:tcBorders>
          </w:tcPr>
          <w:p w14:paraId="40D73AC1" w14:textId="77777777" w:rsidR="00F8267A" w:rsidRPr="00F8267A" w:rsidRDefault="00F8267A" w:rsidP="00293BEF">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1BF5C6DF"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3EDB1ACD" w14:textId="77777777" w:rsidR="00F8267A" w:rsidRPr="00F8267A" w:rsidRDefault="00F8267A" w:rsidP="00293BEF">
            <w:pPr>
              <w:autoSpaceDE w:val="0"/>
              <w:autoSpaceDN w:val="0"/>
              <w:adjustRightInd w:val="0"/>
              <w:jc w:val="center"/>
              <w:rPr>
                <w:rFonts w:ascii="Times New Roman" w:hAnsi="Times New Roman" w:cs="Times New Roman"/>
              </w:rPr>
            </w:pPr>
          </w:p>
        </w:tc>
        <w:tc>
          <w:tcPr>
            <w:tcW w:w="1323" w:type="pct"/>
            <w:tcBorders>
              <w:top w:val="nil"/>
              <w:left w:val="nil"/>
              <w:bottom w:val="nil"/>
              <w:right w:val="nil"/>
            </w:tcBorders>
          </w:tcPr>
          <w:p w14:paraId="769FF061"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(0.065)</w:t>
            </w:r>
          </w:p>
        </w:tc>
      </w:tr>
      <w:tr w:rsidR="00F8267A" w:rsidRPr="00F8267A" w14:paraId="62411B2C" w14:textId="77777777" w:rsidTr="00F8267A">
        <w:trPr>
          <w:jc w:val="right"/>
        </w:trPr>
        <w:tc>
          <w:tcPr>
            <w:tcW w:w="1030" w:type="pct"/>
            <w:tcBorders>
              <w:top w:val="nil"/>
              <w:left w:val="nil"/>
              <w:bottom w:val="nil"/>
              <w:right w:val="nil"/>
            </w:tcBorders>
          </w:tcPr>
          <w:p w14:paraId="4F2CF8C5" w14:textId="77777777" w:rsidR="00F8267A" w:rsidRPr="00F8267A" w:rsidRDefault="00F8267A" w:rsidP="00293BEF">
            <w:pPr>
              <w:autoSpaceDE w:val="0"/>
              <w:autoSpaceDN w:val="0"/>
              <w:adjustRightInd w:val="0"/>
              <w:jc w:val="left"/>
              <w:rPr>
                <w:rFonts w:ascii="Times New Roman" w:hAnsi="Times New Roman" w:cs="Times New Roman"/>
              </w:rPr>
            </w:pPr>
            <w:r w:rsidRPr="00F8267A">
              <w:rPr>
                <w:rFonts w:ascii="Times New Roman" w:hAnsi="Times New Roman" w:cs="Times New Roman"/>
              </w:rPr>
              <w:t>Constant</w:t>
            </w:r>
          </w:p>
        </w:tc>
        <w:tc>
          <w:tcPr>
            <w:tcW w:w="1323" w:type="pct"/>
            <w:tcBorders>
              <w:top w:val="nil"/>
              <w:left w:val="nil"/>
              <w:bottom w:val="nil"/>
              <w:right w:val="nil"/>
            </w:tcBorders>
          </w:tcPr>
          <w:p w14:paraId="0B507B4E"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19.1445***</w:t>
            </w:r>
          </w:p>
        </w:tc>
        <w:tc>
          <w:tcPr>
            <w:tcW w:w="1323" w:type="pct"/>
            <w:tcBorders>
              <w:top w:val="nil"/>
              <w:left w:val="nil"/>
              <w:bottom w:val="nil"/>
              <w:right w:val="nil"/>
            </w:tcBorders>
          </w:tcPr>
          <w:p w14:paraId="29971BBB"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19.4479***</w:t>
            </w:r>
          </w:p>
        </w:tc>
        <w:tc>
          <w:tcPr>
            <w:tcW w:w="1323" w:type="pct"/>
            <w:tcBorders>
              <w:top w:val="nil"/>
              <w:left w:val="nil"/>
              <w:bottom w:val="nil"/>
              <w:right w:val="nil"/>
            </w:tcBorders>
          </w:tcPr>
          <w:p w14:paraId="250F97D9"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15.3855***</w:t>
            </w:r>
          </w:p>
        </w:tc>
      </w:tr>
      <w:tr w:rsidR="00F8267A" w:rsidRPr="00F8267A" w14:paraId="5AF91E19" w14:textId="77777777" w:rsidTr="00F8267A">
        <w:trPr>
          <w:jc w:val="right"/>
        </w:trPr>
        <w:tc>
          <w:tcPr>
            <w:tcW w:w="1030" w:type="pct"/>
            <w:tcBorders>
              <w:top w:val="nil"/>
              <w:left w:val="nil"/>
              <w:bottom w:val="nil"/>
              <w:right w:val="nil"/>
            </w:tcBorders>
          </w:tcPr>
          <w:p w14:paraId="76BC61CA" w14:textId="77777777" w:rsidR="00F8267A" w:rsidRPr="00F8267A" w:rsidRDefault="00F8267A" w:rsidP="00293BEF">
            <w:pPr>
              <w:autoSpaceDE w:val="0"/>
              <w:autoSpaceDN w:val="0"/>
              <w:adjustRightInd w:val="0"/>
              <w:jc w:val="left"/>
              <w:rPr>
                <w:rFonts w:ascii="Times New Roman" w:hAnsi="Times New Roman" w:cs="Times New Roman"/>
              </w:rPr>
            </w:pPr>
          </w:p>
        </w:tc>
        <w:tc>
          <w:tcPr>
            <w:tcW w:w="1323" w:type="pct"/>
            <w:tcBorders>
              <w:top w:val="nil"/>
              <w:left w:val="nil"/>
              <w:bottom w:val="nil"/>
              <w:right w:val="nil"/>
            </w:tcBorders>
          </w:tcPr>
          <w:p w14:paraId="3400776C"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(2.052)</w:t>
            </w:r>
          </w:p>
        </w:tc>
        <w:tc>
          <w:tcPr>
            <w:tcW w:w="1323" w:type="pct"/>
            <w:tcBorders>
              <w:top w:val="nil"/>
              <w:left w:val="nil"/>
              <w:bottom w:val="nil"/>
              <w:right w:val="nil"/>
            </w:tcBorders>
          </w:tcPr>
          <w:p w14:paraId="10F23996"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(2.364)</w:t>
            </w:r>
          </w:p>
        </w:tc>
        <w:tc>
          <w:tcPr>
            <w:tcW w:w="1323" w:type="pct"/>
            <w:tcBorders>
              <w:top w:val="nil"/>
              <w:left w:val="nil"/>
              <w:bottom w:val="nil"/>
              <w:right w:val="nil"/>
            </w:tcBorders>
          </w:tcPr>
          <w:p w14:paraId="3797F0AE"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(2.560)</w:t>
            </w:r>
          </w:p>
        </w:tc>
      </w:tr>
      <w:tr w:rsidR="00F8267A" w:rsidRPr="00F8267A" w14:paraId="08BF0ECF" w14:textId="77777777" w:rsidTr="00F8267A">
        <w:trPr>
          <w:jc w:val="right"/>
        </w:trPr>
        <w:tc>
          <w:tcPr>
            <w:tcW w:w="1030" w:type="pct"/>
            <w:tcBorders>
              <w:top w:val="nil"/>
              <w:left w:val="nil"/>
              <w:bottom w:val="nil"/>
              <w:right w:val="nil"/>
            </w:tcBorders>
          </w:tcPr>
          <w:p w14:paraId="22048B96" w14:textId="77777777" w:rsidR="00F8267A" w:rsidRPr="00F8267A" w:rsidRDefault="00F8267A" w:rsidP="00293BEF">
            <w:pPr>
              <w:autoSpaceDE w:val="0"/>
              <w:autoSpaceDN w:val="0"/>
              <w:adjustRightInd w:val="0"/>
              <w:jc w:val="left"/>
              <w:rPr>
                <w:rFonts w:ascii="Times New Roman" w:hAnsi="Times New Roman" w:cs="Times New Roman"/>
              </w:rPr>
            </w:pPr>
            <w:r w:rsidRPr="00F8267A">
              <w:rPr>
                <w:rFonts w:ascii="Times New Roman" w:hAnsi="Times New Roman" w:cs="Times New Roman"/>
              </w:rPr>
              <w:t>Observations</w:t>
            </w:r>
          </w:p>
        </w:tc>
        <w:tc>
          <w:tcPr>
            <w:tcW w:w="1323" w:type="pct"/>
            <w:tcBorders>
              <w:top w:val="nil"/>
              <w:left w:val="nil"/>
              <w:bottom w:val="nil"/>
              <w:right w:val="nil"/>
            </w:tcBorders>
          </w:tcPr>
          <w:p w14:paraId="236BBF8D"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2,483</w:t>
            </w:r>
          </w:p>
        </w:tc>
        <w:tc>
          <w:tcPr>
            <w:tcW w:w="1323" w:type="pct"/>
            <w:tcBorders>
              <w:top w:val="nil"/>
              <w:left w:val="nil"/>
              <w:bottom w:val="nil"/>
              <w:right w:val="nil"/>
            </w:tcBorders>
          </w:tcPr>
          <w:p w14:paraId="77A057B1"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2,231</w:t>
            </w:r>
          </w:p>
        </w:tc>
        <w:tc>
          <w:tcPr>
            <w:tcW w:w="1323" w:type="pct"/>
            <w:tcBorders>
              <w:top w:val="nil"/>
              <w:left w:val="nil"/>
              <w:bottom w:val="nil"/>
              <w:right w:val="nil"/>
            </w:tcBorders>
          </w:tcPr>
          <w:p w14:paraId="5D51087A"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1,981</w:t>
            </w:r>
          </w:p>
        </w:tc>
      </w:tr>
      <w:tr w:rsidR="00F8267A" w:rsidRPr="00F8267A" w14:paraId="1B50AD2A" w14:textId="77777777" w:rsidTr="00F8267A">
        <w:tblPrEx>
          <w:tblBorders>
            <w:bottom w:val="single" w:sz="6" w:space="0" w:color="auto"/>
          </w:tblBorders>
        </w:tblPrEx>
        <w:trPr>
          <w:jc w:val="right"/>
        </w:trPr>
        <w:tc>
          <w:tcPr>
            <w:tcW w:w="1030" w:type="pct"/>
            <w:tcBorders>
              <w:top w:val="nil"/>
              <w:left w:val="nil"/>
              <w:bottom w:val="single" w:sz="6" w:space="0" w:color="auto"/>
              <w:right w:val="nil"/>
            </w:tcBorders>
          </w:tcPr>
          <w:p w14:paraId="24A7D08D" w14:textId="77777777" w:rsidR="00F8267A" w:rsidRPr="00F8267A" w:rsidRDefault="00F8267A" w:rsidP="00293BEF">
            <w:pPr>
              <w:autoSpaceDE w:val="0"/>
              <w:autoSpaceDN w:val="0"/>
              <w:adjustRightInd w:val="0"/>
              <w:jc w:val="left"/>
              <w:rPr>
                <w:rFonts w:ascii="Times New Roman" w:hAnsi="Times New Roman" w:cs="Times New Roman"/>
              </w:rPr>
            </w:pPr>
            <w:r w:rsidRPr="00F8267A">
              <w:rPr>
                <w:rFonts w:ascii="Times New Roman" w:hAnsi="Times New Roman" w:cs="Times New Roman"/>
              </w:rPr>
              <w:t>R-squared</w:t>
            </w:r>
          </w:p>
        </w:tc>
        <w:tc>
          <w:tcPr>
            <w:tcW w:w="1323" w:type="pct"/>
            <w:tcBorders>
              <w:top w:val="nil"/>
              <w:left w:val="nil"/>
              <w:bottom w:val="single" w:sz="6" w:space="0" w:color="auto"/>
              <w:right w:val="nil"/>
            </w:tcBorders>
          </w:tcPr>
          <w:p w14:paraId="54F87149"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0.8291</w:t>
            </w:r>
          </w:p>
        </w:tc>
        <w:tc>
          <w:tcPr>
            <w:tcW w:w="1323" w:type="pct"/>
            <w:tcBorders>
              <w:top w:val="nil"/>
              <w:left w:val="nil"/>
              <w:bottom w:val="single" w:sz="6" w:space="0" w:color="auto"/>
              <w:right w:val="nil"/>
            </w:tcBorders>
          </w:tcPr>
          <w:p w14:paraId="5A1EE2F9"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0.8503</w:t>
            </w:r>
          </w:p>
        </w:tc>
        <w:tc>
          <w:tcPr>
            <w:tcW w:w="1323" w:type="pct"/>
            <w:tcBorders>
              <w:top w:val="nil"/>
              <w:left w:val="nil"/>
              <w:bottom w:val="single" w:sz="6" w:space="0" w:color="auto"/>
              <w:right w:val="nil"/>
            </w:tcBorders>
          </w:tcPr>
          <w:p w14:paraId="6DF6420C" w14:textId="77777777" w:rsidR="00F8267A" w:rsidRPr="00F8267A" w:rsidRDefault="00F8267A" w:rsidP="00293BEF">
            <w:pPr>
              <w:autoSpaceDE w:val="0"/>
              <w:autoSpaceDN w:val="0"/>
              <w:adjustRightInd w:val="0"/>
              <w:jc w:val="center"/>
              <w:rPr>
                <w:rFonts w:ascii="Times New Roman" w:hAnsi="Times New Roman" w:cs="Times New Roman"/>
              </w:rPr>
            </w:pPr>
            <w:r w:rsidRPr="00F8267A">
              <w:rPr>
                <w:rFonts w:ascii="Times New Roman" w:hAnsi="Times New Roman" w:cs="Times New Roman"/>
              </w:rPr>
              <w:t>0.8740</w:t>
            </w:r>
          </w:p>
        </w:tc>
      </w:tr>
    </w:tbl>
    <w:p w14:paraId="010FDFD4" w14:textId="77777777" w:rsidR="00F8267A" w:rsidRPr="00F8267A" w:rsidRDefault="00F8267A" w:rsidP="00F8267A">
      <w:pPr>
        <w:pStyle w:val="MDPI31text"/>
        <w:ind w:left="0" w:firstLineChars="300" w:firstLine="600"/>
        <w:rPr>
          <w:rFonts w:ascii="Times New Roman" w:hAnsi="Times New Roman"/>
          <w:lang w:eastAsia="zh-CN"/>
        </w:rPr>
      </w:pPr>
      <w:r w:rsidRPr="00F8267A">
        <w:rPr>
          <w:rFonts w:ascii="Times New Roman" w:hAnsi="Times New Roman"/>
          <w:lang w:eastAsia="zh-CN"/>
        </w:rPr>
        <w:t>Note: Robust standard errors in parentheses: *** p&lt;0.01, ** p&lt;0.05, * p&lt;0.1 respectively.</w:t>
      </w:r>
    </w:p>
    <w:p w14:paraId="09641B42" w14:textId="77777777" w:rsidR="00F8267A" w:rsidRDefault="00F8267A" w:rsidP="00F8267A">
      <w:pPr>
        <w:spacing w:line="360" w:lineRule="auto"/>
        <w:ind w:firstLineChars="200" w:firstLine="480"/>
        <w:rPr>
          <w:rFonts w:ascii="Times New Roman" w:hAnsi="Times New Roman"/>
          <w:color w:val="000000" w:themeColor="text1"/>
          <w:sz w:val="24"/>
        </w:rPr>
      </w:pPr>
    </w:p>
    <w:p w14:paraId="4778C7D5" w14:textId="7D2A36F2" w:rsidR="002753AC" w:rsidRDefault="002753AC" w:rsidP="00F8267A">
      <w:pPr>
        <w:spacing w:line="360" w:lineRule="auto"/>
        <w:ind w:firstLineChars="200" w:firstLine="480"/>
        <w:rPr>
          <w:rFonts w:ascii="Times New Roman" w:hAnsi="Times New Roman"/>
          <w:color w:val="000000" w:themeColor="text1"/>
          <w:sz w:val="24"/>
        </w:rPr>
      </w:pPr>
      <w:r w:rsidRPr="002753AC">
        <w:rPr>
          <w:rFonts w:ascii="Times New Roman" w:hAnsi="Times New Roman"/>
          <w:color w:val="000000" w:themeColor="text1"/>
          <w:sz w:val="24"/>
        </w:rPr>
        <w:t xml:space="preserve">Table </w:t>
      </w:r>
      <w:r w:rsidR="00D25ACD">
        <w:rPr>
          <w:rFonts w:ascii="Times New Roman" w:hAnsi="Times New Roman" w:hint="eastAsia"/>
          <w:color w:val="000000" w:themeColor="text1"/>
          <w:sz w:val="24"/>
        </w:rPr>
        <w:t>7</w:t>
      </w:r>
      <w:r w:rsidRPr="002753AC">
        <w:rPr>
          <w:rFonts w:ascii="Times New Roman" w:hAnsi="Times New Roman"/>
          <w:color w:val="000000" w:themeColor="text1"/>
          <w:sz w:val="24"/>
        </w:rPr>
        <w:t xml:space="preserve"> demonstrates significant temporal dynamics: the interaction term peaks at t+1 (1% significance), with progressively attenuated effects at t+2 and t+3 (both </w:t>
      </w:r>
      <w:r w:rsidRPr="002753AC">
        <w:rPr>
          <w:rFonts w:ascii="Times New Roman" w:hAnsi="Times New Roman"/>
          <w:color w:val="000000" w:themeColor="text1"/>
          <w:sz w:val="24"/>
        </w:rPr>
        <w:lastRenderedPageBreak/>
        <w:t>significant at 1%). This attenuation pattern suggests initial policy impacts stem from regulatory cascades—where abrupt environmental rule revisions immediately disrupt regional industries. As policy implementation matures, industries internalize compliance requirements and optimize operations, gradually diminishing the marginal innovation returns of the policy stimulus.</w:t>
      </w:r>
    </w:p>
    <w:p w14:paraId="23313ED4" w14:textId="4D506B1B" w:rsidR="00F8267A" w:rsidRDefault="00F8267A" w:rsidP="00F8267A">
      <w:pPr>
        <w:spacing w:line="360" w:lineRule="auto"/>
        <w:rPr>
          <w:rFonts w:ascii="Times New Roman" w:hAnsi="Times New Roman"/>
          <w:b/>
          <w:bCs/>
          <w:color w:val="000000" w:themeColor="text1"/>
          <w:sz w:val="24"/>
        </w:rPr>
      </w:pPr>
      <w:r w:rsidRPr="00F8267A">
        <w:rPr>
          <w:rFonts w:ascii="Times New Roman" w:hAnsi="Times New Roman" w:hint="eastAsia"/>
          <w:b/>
          <w:bCs/>
          <w:color w:val="000000" w:themeColor="text1"/>
          <w:sz w:val="24"/>
        </w:rPr>
        <w:t xml:space="preserve">5. Analysis of the </w:t>
      </w:r>
      <w:r w:rsidR="004C59F4">
        <w:rPr>
          <w:rFonts w:ascii="Times New Roman" w:hAnsi="Times New Roman" w:hint="eastAsia"/>
          <w:b/>
          <w:bCs/>
          <w:color w:val="000000" w:themeColor="text1"/>
          <w:sz w:val="24"/>
        </w:rPr>
        <w:t>m</w:t>
      </w:r>
      <w:r w:rsidRPr="00F8267A">
        <w:rPr>
          <w:rFonts w:ascii="Times New Roman" w:hAnsi="Times New Roman" w:hint="eastAsia"/>
          <w:b/>
          <w:bCs/>
          <w:color w:val="000000" w:themeColor="text1"/>
          <w:sz w:val="24"/>
        </w:rPr>
        <w:t>echanism</w:t>
      </w:r>
    </w:p>
    <w:p w14:paraId="79C48039" w14:textId="14A81FAC" w:rsidR="00E112D9" w:rsidRPr="00F8267A" w:rsidRDefault="00E112D9" w:rsidP="00F8267A">
      <w:pPr>
        <w:spacing w:line="360" w:lineRule="auto"/>
        <w:ind w:firstLineChars="200" w:firstLine="480"/>
        <w:rPr>
          <w:rFonts w:ascii="Times New Roman" w:hAnsi="Times New Roman"/>
          <w:color w:val="000000" w:themeColor="text1"/>
          <w:sz w:val="24"/>
        </w:rPr>
      </w:pPr>
      <w:r w:rsidRPr="00E112D9">
        <w:rPr>
          <w:rFonts w:ascii="Times New Roman" w:hAnsi="Times New Roman"/>
          <w:color w:val="000000" w:themeColor="text1"/>
          <w:sz w:val="24"/>
        </w:rPr>
        <w:t xml:space="preserve">The preceding analysis demonstrates that </w:t>
      </w:r>
      <w:proofErr w:type="spellStart"/>
      <w:r w:rsidRPr="00E112D9">
        <w:rPr>
          <w:rFonts w:ascii="Times New Roman" w:hAnsi="Times New Roman"/>
          <w:color w:val="000000" w:themeColor="text1"/>
          <w:sz w:val="24"/>
        </w:rPr>
        <w:t>lcpolicy</w:t>
      </w:r>
      <w:proofErr w:type="spellEnd"/>
      <w:r w:rsidRPr="00E112D9">
        <w:rPr>
          <w:rFonts w:ascii="Times New Roman" w:hAnsi="Times New Roman"/>
          <w:color w:val="000000" w:themeColor="text1"/>
          <w:sz w:val="24"/>
        </w:rPr>
        <w:t xml:space="preserve"> implementation moderately promotes regional green technology innovation while exhibiting multidimensional heterogeneity in policy effects. However, China's historical growth-first development approach has incurred substantial environmental and resource costs through extensive economic models, with local governments often tolerating pollution for economic gains. Escalating environmental challenges in recent years have elevated ecological concerns as a national priority. To quantify the ecological priority shift among Chinese policymakers and citizens, scholars introduced "ecological attention" – an analytical framework grounded in attention theory and governmental decision-making literature [35]. This metric, assessing governmental, corporate, and societal environmental engagement, exerts significant impacts on regional ecological outcomes.</w:t>
      </w:r>
    </w:p>
    <w:p w14:paraId="69AF5F0B" w14:textId="0824B197" w:rsidR="00E112D9" w:rsidRDefault="00F8267A" w:rsidP="00F8267A">
      <w:pPr>
        <w:spacing w:line="360" w:lineRule="auto"/>
        <w:ind w:firstLineChars="200" w:firstLine="480"/>
        <w:rPr>
          <w:rFonts w:ascii="Times New Roman" w:hAnsi="Times New Roman"/>
          <w:color w:val="000000" w:themeColor="text1"/>
          <w:sz w:val="24"/>
        </w:rPr>
      </w:pPr>
      <w:r w:rsidRPr="00F8267A">
        <w:rPr>
          <w:rFonts w:ascii="Times New Roman" w:hAnsi="Times New Roman" w:hint="eastAsia"/>
          <w:color w:val="000000" w:themeColor="text1"/>
          <w:sz w:val="24"/>
        </w:rPr>
        <w:t xml:space="preserve">Most of the current literature on ecological attention focuses on its remediation effect on environmental pollution, with most scholars concluding that it contributes to improving regional environmental governance performance, with environmental protection attention having the greatest impact </w:t>
      </w:r>
      <w:r w:rsidR="00B61FF8" w:rsidRPr="00F8267A">
        <w:rPr>
          <w:rFonts w:ascii="Times New Roman" w:hAnsi="Times New Roman"/>
          <w:color w:val="000000" w:themeColor="text1"/>
          <w:sz w:val="24"/>
        </w:rPr>
        <w:t>[</w:t>
      </w:r>
      <w:r w:rsidRPr="00F8267A">
        <w:rPr>
          <w:rFonts w:ascii="Times New Roman" w:hAnsi="Times New Roman" w:hint="eastAsia"/>
          <w:color w:val="000000" w:themeColor="text1"/>
          <w:sz w:val="24"/>
        </w:rPr>
        <w:t>36</w:t>
      </w:r>
      <w:r w:rsidR="00AE1301">
        <w:rPr>
          <w:rFonts w:ascii="Times New Roman" w:hAnsi="Times New Roman" w:hint="eastAsia"/>
          <w:color w:val="000000" w:themeColor="text1"/>
          <w:sz w:val="24"/>
        </w:rPr>
        <w:t>]</w:t>
      </w:r>
      <w:r w:rsidRPr="00F8267A">
        <w:rPr>
          <w:rFonts w:ascii="Times New Roman" w:hAnsi="Times New Roman" w:hint="eastAsia"/>
          <w:color w:val="000000" w:themeColor="text1"/>
          <w:sz w:val="24"/>
        </w:rPr>
        <w:t>,</w:t>
      </w:r>
      <w:r w:rsidR="00AE1301">
        <w:rPr>
          <w:rFonts w:ascii="Times New Roman" w:hAnsi="Times New Roman" w:hint="eastAsia"/>
          <w:color w:val="000000" w:themeColor="text1"/>
          <w:sz w:val="24"/>
        </w:rPr>
        <w:t>[</w:t>
      </w:r>
      <w:r w:rsidRPr="00F8267A">
        <w:rPr>
          <w:rFonts w:ascii="Times New Roman" w:hAnsi="Times New Roman" w:hint="eastAsia"/>
          <w:color w:val="000000" w:themeColor="text1"/>
          <w:sz w:val="24"/>
        </w:rPr>
        <w:t xml:space="preserve">37]. Some scholars also suggest that ecological attention can have a series of positive impacts from an ecological perspective. For instance, </w:t>
      </w:r>
      <w:r w:rsidR="00B61FF8" w:rsidRPr="00F8267A">
        <w:rPr>
          <w:rFonts w:ascii="Times New Roman" w:hAnsi="Times New Roman"/>
          <w:color w:val="000000" w:themeColor="text1"/>
          <w:sz w:val="24"/>
        </w:rPr>
        <w:t>[</w:t>
      </w:r>
      <w:r w:rsidRPr="00F8267A">
        <w:rPr>
          <w:rFonts w:ascii="Times New Roman" w:hAnsi="Times New Roman" w:hint="eastAsia"/>
          <w:color w:val="000000" w:themeColor="text1"/>
          <w:sz w:val="24"/>
        </w:rPr>
        <w:t xml:space="preserve">22] found that government eco-logical attention had a significant positive relationship with firms' investment in environmental protection. </w:t>
      </w:r>
      <w:r w:rsidR="00E112D9" w:rsidRPr="00E112D9">
        <w:rPr>
          <w:rFonts w:ascii="Times New Roman" w:hAnsi="Times New Roman"/>
          <w:color w:val="000000" w:themeColor="text1"/>
          <w:sz w:val="24"/>
        </w:rPr>
        <w:t>Conversely, [21] demonstrate that government ecological attention reduces regional energy use intensity</w:t>
      </w:r>
      <w:r w:rsidR="00E112D9">
        <w:rPr>
          <w:rFonts w:ascii="Times New Roman" w:hAnsi="Times New Roman" w:hint="eastAsia"/>
          <w:color w:val="000000" w:themeColor="text1"/>
          <w:sz w:val="24"/>
        </w:rPr>
        <w:t>.</w:t>
      </w:r>
      <w:r w:rsidRPr="00F8267A">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However, divergent findings exist:[38] analysis reveals governmental ecological attention negatively moderates corporate green innovation levels.</w:t>
      </w:r>
      <w:r w:rsidRPr="00F8267A">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 xml:space="preserve">To investigate </w:t>
      </w:r>
      <w:proofErr w:type="spellStart"/>
      <w:r w:rsidR="00E112D9" w:rsidRPr="00E112D9">
        <w:rPr>
          <w:rFonts w:ascii="Times New Roman" w:hAnsi="Times New Roman"/>
          <w:color w:val="000000" w:themeColor="text1"/>
          <w:sz w:val="24"/>
        </w:rPr>
        <w:t>lcpolicy's</w:t>
      </w:r>
      <w:proofErr w:type="spellEnd"/>
      <w:r w:rsidR="00E112D9" w:rsidRPr="00E112D9">
        <w:rPr>
          <w:rFonts w:ascii="Times New Roman" w:hAnsi="Times New Roman"/>
          <w:color w:val="000000" w:themeColor="text1"/>
          <w:sz w:val="24"/>
        </w:rPr>
        <w:t xml:space="preserve"> causal pathways for inducing regional green technology innovation,</w:t>
      </w:r>
      <w:r w:rsidR="00E112D9">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this paper assesses transmission mechanisms through</w:t>
      </w:r>
      <w:r w:rsidR="00E112D9">
        <w:rPr>
          <w:rFonts w:ascii="Times New Roman" w:hAnsi="Times New Roman" w:hint="eastAsia"/>
          <w:color w:val="000000" w:themeColor="text1"/>
          <w:sz w:val="24"/>
        </w:rPr>
        <w:t xml:space="preserve"> </w:t>
      </w:r>
      <w:r w:rsidR="00E112D9" w:rsidRPr="00E112D9">
        <w:rPr>
          <w:rFonts w:ascii="Times New Roman" w:hAnsi="Times New Roman"/>
          <w:color w:val="000000" w:themeColor="text1"/>
          <w:sz w:val="24"/>
        </w:rPr>
        <w:t xml:space="preserve">the keyword word frequency share of prefecture-level city work reports and the public ecological attention </w:t>
      </w:r>
      <w:r w:rsidR="00E112D9" w:rsidRPr="00E112D9">
        <w:rPr>
          <w:rFonts w:ascii="Times New Roman" w:hAnsi="Times New Roman"/>
          <w:color w:val="000000" w:themeColor="text1"/>
          <w:sz w:val="24"/>
        </w:rPr>
        <w:lastRenderedPageBreak/>
        <w:t>of prefecture-level cities.</w:t>
      </w:r>
    </w:p>
    <w:p w14:paraId="68748B55" w14:textId="0946A470" w:rsidR="00CD67F7" w:rsidRDefault="00CD67F7" w:rsidP="00CD67F7">
      <w:pPr>
        <w:spacing w:line="360" w:lineRule="auto"/>
        <w:rPr>
          <w:rFonts w:ascii="Times New Roman" w:hAnsi="Times New Roman"/>
          <w:color w:val="000000" w:themeColor="text1"/>
          <w:sz w:val="24"/>
        </w:rPr>
      </w:pPr>
      <w:r w:rsidRPr="00CD67F7">
        <w:rPr>
          <w:rFonts w:ascii="Times New Roman" w:hAnsi="Times New Roman" w:hint="eastAsia"/>
          <w:color w:val="000000" w:themeColor="text1"/>
          <w:sz w:val="24"/>
        </w:rPr>
        <w:t xml:space="preserve">5.1. Government </w:t>
      </w:r>
      <w:r w:rsidR="004C41AC">
        <w:rPr>
          <w:rFonts w:ascii="Times New Roman" w:hAnsi="Times New Roman" w:hint="eastAsia"/>
          <w:color w:val="000000" w:themeColor="text1"/>
          <w:sz w:val="24"/>
        </w:rPr>
        <w:t>e</w:t>
      </w:r>
      <w:r w:rsidRPr="00CD67F7">
        <w:rPr>
          <w:rFonts w:ascii="Times New Roman" w:hAnsi="Times New Roman" w:hint="eastAsia"/>
          <w:color w:val="000000" w:themeColor="text1"/>
          <w:sz w:val="24"/>
        </w:rPr>
        <w:t xml:space="preserve">cological </w:t>
      </w:r>
      <w:r w:rsidR="004C41AC">
        <w:rPr>
          <w:rFonts w:ascii="Times New Roman" w:hAnsi="Times New Roman" w:hint="eastAsia"/>
          <w:color w:val="000000" w:themeColor="text1"/>
          <w:sz w:val="24"/>
        </w:rPr>
        <w:t>a</w:t>
      </w:r>
      <w:r w:rsidRPr="00CD67F7">
        <w:rPr>
          <w:rFonts w:ascii="Times New Roman" w:hAnsi="Times New Roman" w:hint="eastAsia"/>
          <w:color w:val="000000" w:themeColor="text1"/>
          <w:sz w:val="24"/>
        </w:rPr>
        <w:t>ttention</w:t>
      </w:r>
    </w:p>
    <w:p w14:paraId="5555BCE7" w14:textId="3DA9E528" w:rsidR="00FB1DD1" w:rsidRDefault="00F40CAB" w:rsidP="00CD67F7">
      <w:pPr>
        <w:spacing w:line="360" w:lineRule="auto"/>
        <w:rPr>
          <w:rFonts w:ascii="Times New Roman" w:hAnsi="Times New Roman"/>
          <w:color w:val="000000" w:themeColor="text1"/>
          <w:sz w:val="24"/>
        </w:rPr>
      </w:pPr>
      <w:r w:rsidRPr="00F40CAB">
        <w:rPr>
          <w:rFonts w:ascii="Times New Roman" w:hAnsi="Times New Roman"/>
          <w:color w:val="000000" w:themeColor="text1"/>
          <w:sz w:val="24"/>
        </w:rPr>
        <w:t>This study operationalizes governmental ecological attention following [35] and [36], measuring it as the percentage frequency of environmental keywords—including environmental protection, environmental pollution, energy consumption, collaborative development, and environmental co-governance—in prefecture-level government work reports. Higher keyword percentages indicate stronger governmental ecological prioritization. Keyword frequencies were quantified through textual analysis of government documents and relevant academic literature.</w:t>
      </w:r>
      <w:r w:rsidR="00CC1F53">
        <w:rPr>
          <w:rFonts w:ascii="Times New Roman" w:hAnsi="Times New Roman" w:hint="eastAsia"/>
          <w:color w:val="000000" w:themeColor="text1"/>
          <w:sz w:val="24"/>
        </w:rPr>
        <w:t xml:space="preserve"> </w:t>
      </w:r>
      <w:r w:rsidR="00CC1F53" w:rsidRPr="00CC1F53">
        <w:rPr>
          <w:rFonts w:ascii="Times New Roman" w:hAnsi="Times New Roman" w:hint="eastAsia"/>
          <w:color w:val="000000" w:themeColor="text1"/>
          <w:sz w:val="24"/>
        </w:rPr>
        <w:t>Government attention lexicon reference appendix</w:t>
      </w:r>
      <w:r w:rsidR="00CC1F53">
        <w:rPr>
          <w:rFonts w:ascii="Times New Roman" w:hAnsi="Times New Roman" w:hint="eastAsia"/>
          <w:color w:val="000000" w:themeColor="text1"/>
          <w:sz w:val="24"/>
        </w:rPr>
        <w:t>.</w:t>
      </w:r>
    </w:p>
    <w:p w14:paraId="3899D15E" w14:textId="1ABC0953" w:rsidR="00F40CAB" w:rsidRDefault="00F40CAB" w:rsidP="00F40CAB">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To verify this mechanism, we employ the keyword percentage (</w:t>
      </w:r>
      <w:proofErr w:type="spellStart"/>
      <w:r w:rsidRPr="00F40CAB">
        <w:rPr>
          <w:rFonts w:ascii="Times New Roman" w:hAnsi="Times New Roman"/>
          <w:color w:val="000000" w:themeColor="text1"/>
          <w:sz w:val="24"/>
        </w:rPr>
        <w:t>stpercent</w:t>
      </w:r>
      <w:proofErr w:type="spellEnd"/>
      <w:r w:rsidRPr="00F40CAB">
        <w:rPr>
          <w:rFonts w:ascii="Times New Roman" w:hAnsi="Times New Roman"/>
          <w:color w:val="000000" w:themeColor="text1"/>
          <w:sz w:val="24"/>
        </w:rPr>
        <w:t>) in 2007–2017 government work reports to assess ecological attention's effects on green innovation.</w:t>
      </w:r>
    </w:p>
    <w:p w14:paraId="2FADBF2A" w14:textId="5E562CED" w:rsidR="00FB1DD1" w:rsidRDefault="00FB1DD1" w:rsidP="00FB1DD1">
      <w:pPr>
        <w:spacing w:line="360" w:lineRule="auto"/>
        <w:rPr>
          <w:rFonts w:ascii="Times New Roman" w:hAnsi="Times New Roman"/>
          <w:color w:val="000000" w:themeColor="text1"/>
          <w:sz w:val="24"/>
        </w:rPr>
      </w:pPr>
      <w:r w:rsidRPr="00FB1DD1">
        <w:rPr>
          <w:rFonts w:ascii="Times New Roman" w:hAnsi="Times New Roman" w:hint="eastAsia"/>
          <w:color w:val="000000" w:themeColor="text1"/>
          <w:sz w:val="24"/>
        </w:rPr>
        <w:t xml:space="preserve">5.2. Public </w:t>
      </w:r>
      <w:r w:rsidR="0015391C">
        <w:rPr>
          <w:rFonts w:ascii="Times New Roman" w:hAnsi="Times New Roman" w:hint="eastAsia"/>
          <w:color w:val="000000" w:themeColor="text1"/>
          <w:sz w:val="24"/>
        </w:rPr>
        <w:t>e</w:t>
      </w:r>
      <w:r w:rsidRPr="00FB1DD1">
        <w:rPr>
          <w:rFonts w:ascii="Times New Roman" w:hAnsi="Times New Roman" w:hint="eastAsia"/>
          <w:color w:val="000000" w:themeColor="text1"/>
          <w:sz w:val="24"/>
        </w:rPr>
        <w:t xml:space="preserve">cological </w:t>
      </w:r>
      <w:r w:rsidR="0015391C">
        <w:rPr>
          <w:rFonts w:ascii="Times New Roman" w:hAnsi="Times New Roman" w:hint="eastAsia"/>
          <w:color w:val="000000" w:themeColor="text1"/>
          <w:sz w:val="24"/>
        </w:rPr>
        <w:t>a</w:t>
      </w:r>
      <w:r w:rsidRPr="00FB1DD1">
        <w:rPr>
          <w:rFonts w:ascii="Times New Roman" w:hAnsi="Times New Roman" w:hint="eastAsia"/>
          <w:color w:val="000000" w:themeColor="text1"/>
          <w:sz w:val="24"/>
        </w:rPr>
        <w:t>ttention</w:t>
      </w:r>
    </w:p>
    <w:p w14:paraId="506D6C54" w14:textId="39C91344" w:rsidR="00FB1DD1" w:rsidRDefault="00F40CAB" w:rsidP="00FB1DD1">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Building upon the validated impact of governmental ecological attention on green innovation at the prefecture level, this section examines public ecological attention's effect. The Internet enables measuring public preferences through data on attention to specific events. Following [39], this paper utilizes the frequency of ecological keywords in Internet user searches, news reports, and public media (newspapers, online news) as search, information, and media indices, respectively. Given Baidu's dominance as China's primary search engine, we employ its city-level search index, information index, and media index to quantify public ecological attention (</w:t>
      </w:r>
      <w:proofErr w:type="spellStart"/>
      <w:r w:rsidRPr="00F40CAB">
        <w:rPr>
          <w:rFonts w:ascii="Times New Roman" w:hAnsi="Times New Roman"/>
          <w:color w:val="000000" w:themeColor="text1"/>
          <w:sz w:val="24"/>
        </w:rPr>
        <w:t>lnstgzd</w:t>
      </w:r>
      <w:proofErr w:type="spellEnd"/>
      <w:r w:rsidRPr="00F40CAB">
        <w:rPr>
          <w:rFonts w:ascii="Times New Roman" w:hAnsi="Times New Roman"/>
          <w:color w:val="000000" w:themeColor="text1"/>
          <w:sz w:val="24"/>
        </w:rPr>
        <w:t xml:space="preserve">). Descriptive statistics for key mechanism variables appear in Table </w:t>
      </w:r>
      <w:r w:rsidR="00CC1F53">
        <w:rPr>
          <w:rFonts w:ascii="Times New Roman" w:hAnsi="Times New Roman" w:hint="eastAsia"/>
          <w:color w:val="000000" w:themeColor="text1"/>
          <w:sz w:val="24"/>
        </w:rPr>
        <w:t>8.</w:t>
      </w:r>
    </w:p>
    <w:p w14:paraId="723FF783" w14:textId="6383A2F0" w:rsidR="00910DE7" w:rsidRDefault="00910DE7" w:rsidP="00910DE7">
      <w:pPr>
        <w:spacing w:line="360" w:lineRule="auto"/>
        <w:ind w:firstLineChars="300" w:firstLine="720"/>
        <w:rPr>
          <w:rFonts w:ascii="Times New Roman" w:hAnsi="Times New Roman"/>
          <w:color w:val="000000" w:themeColor="text1"/>
          <w:sz w:val="24"/>
        </w:rPr>
      </w:pPr>
      <w:r w:rsidRPr="00910DE7">
        <w:rPr>
          <w:rFonts w:ascii="Times New Roman" w:hAnsi="Times New Roman" w:hint="eastAsia"/>
          <w:b/>
          <w:bCs/>
          <w:color w:val="000000" w:themeColor="text1"/>
          <w:sz w:val="24"/>
        </w:rPr>
        <w:t xml:space="preserve">Table </w:t>
      </w:r>
      <w:r w:rsidR="00CC1F53">
        <w:rPr>
          <w:rFonts w:ascii="Times New Roman" w:hAnsi="Times New Roman" w:hint="eastAsia"/>
          <w:b/>
          <w:bCs/>
          <w:color w:val="000000" w:themeColor="text1"/>
          <w:sz w:val="24"/>
        </w:rPr>
        <w:t>8</w:t>
      </w:r>
      <w:r w:rsidRPr="00910DE7">
        <w:rPr>
          <w:rFonts w:ascii="Times New Roman" w:hAnsi="Times New Roman" w:hint="eastAsia"/>
          <w:color w:val="000000" w:themeColor="text1"/>
          <w:sz w:val="24"/>
        </w:rPr>
        <w:t xml:space="preserve">. Descriptive statistical characteristics of </w:t>
      </w:r>
      <w:r w:rsidRPr="00910DE7">
        <w:rPr>
          <w:rFonts w:ascii="Times New Roman" w:hAnsi="Times New Roman"/>
          <w:color w:val="000000" w:themeColor="text1"/>
          <w:sz w:val="24"/>
        </w:rPr>
        <w:t>mechanism</w:t>
      </w:r>
      <w:r w:rsidRPr="00910DE7">
        <w:rPr>
          <w:rFonts w:ascii="Times New Roman" w:hAnsi="Times New Roman" w:hint="eastAsia"/>
          <w:color w:val="000000" w:themeColor="text1"/>
          <w:sz w:val="24"/>
        </w:rPr>
        <w:t xml:space="preserve"> variables</w:t>
      </w:r>
    </w:p>
    <w:tbl>
      <w:tblPr>
        <w:tblW w:w="5000" w:type="pct"/>
        <w:jc w:val="right"/>
        <w:tblLook w:val="04A0" w:firstRow="1" w:lastRow="0" w:firstColumn="1" w:lastColumn="0" w:noHBand="0" w:noVBand="1"/>
      </w:tblPr>
      <w:tblGrid>
        <w:gridCol w:w="1805"/>
        <w:gridCol w:w="1376"/>
        <w:gridCol w:w="1375"/>
        <w:gridCol w:w="1480"/>
        <w:gridCol w:w="895"/>
        <w:gridCol w:w="1375"/>
      </w:tblGrid>
      <w:tr w:rsidR="00910DE7" w:rsidRPr="00910DE7" w14:paraId="53DDA479" w14:textId="77777777" w:rsidTr="00910DE7">
        <w:trPr>
          <w:trHeight w:val="312"/>
          <w:jc w:val="right"/>
        </w:trPr>
        <w:tc>
          <w:tcPr>
            <w:tcW w:w="1086" w:type="pct"/>
            <w:tcBorders>
              <w:top w:val="single" w:sz="4" w:space="0" w:color="auto"/>
              <w:left w:val="nil"/>
              <w:bottom w:val="nil"/>
              <w:right w:val="nil"/>
              <w:tl2br w:val="nil"/>
              <w:tr2bl w:val="nil"/>
            </w:tcBorders>
            <w:vAlign w:val="center"/>
          </w:tcPr>
          <w:p w14:paraId="47F0DE14"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Variables</w:t>
            </w:r>
          </w:p>
        </w:tc>
        <w:tc>
          <w:tcPr>
            <w:tcW w:w="828" w:type="pct"/>
            <w:tcBorders>
              <w:top w:val="single" w:sz="4" w:space="0" w:color="auto"/>
              <w:left w:val="nil"/>
              <w:bottom w:val="nil"/>
              <w:right w:val="nil"/>
              <w:tl2br w:val="nil"/>
              <w:tr2bl w:val="nil"/>
            </w:tcBorders>
            <w:vAlign w:val="center"/>
          </w:tcPr>
          <w:p w14:paraId="7E8493B5"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proofErr w:type="spellStart"/>
            <w:r w:rsidRPr="00910DE7">
              <w:rPr>
                <w:rFonts w:ascii="Times New Roman" w:eastAsia="Times New Roman" w:hAnsi="Times New Roman" w:cs="Times New Roman"/>
                <w:b/>
                <w:snapToGrid w:val="0"/>
                <w:color w:val="000000" w:themeColor="text1"/>
                <w:sz w:val="22"/>
                <w:lang w:eastAsia="de-DE" w:bidi="en-US"/>
              </w:rPr>
              <w:t>Obs</w:t>
            </w:r>
            <w:proofErr w:type="spellEnd"/>
          </w:p>
        </w:tc>
        <w:tc>
          <w:tcPr>
            <w:tcW w:w="828" w:type="pct"/>
            <w:tcBorders>
              <w:top w:val="single" w:sz="4" w:space="0" w:color="auto"/>
              <w:left w:val="nil"/>
              <w:bottom w:val="nil"/>
              <w:right w:val="nil"/>
              <w:tl2br w:val="nil"/>
              <w:tr2bl w:val="nil"/>
            </w:tcBorders>
            <w:vAlign w:val="center"/>
          </w:tcPr>
          <w:p w14:paraId="3F237CEB"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Mean</w:t>
            </w:r>
          </w:p>
        </w:tc>
        <w:tc>
          <w:tcPr>
            <w:tcW w:w="891" w:type="pct"/>
            <w:tcBorders>
              <w:top w:val="single" w:sz="4" w:space="0" w:color="auto"/>
              <w:left w:val="nil"/>
              <w:bottom w:val="nil"/>
              <w:right w:val="nil"/>
              <w:tl2br w:val="nil"/>
              <w:tr2bl w:val="nil"/>
            </w:tcBorders>
            <w:vAlign w:val="center"/>
          </w:tcPr>
          <w:p w14:paraId="4F7C0814"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proofErr w:type="spellStart"/>
            <w:r w:rsidRPr="00910DE7">
              <w:rPr>
                <w:rFonts w:ascii="Times New Roman" w:eastAsia="Times New Roman" w:hAnsi="Times New Roman" w:cs="Times New Roman"/>
                <w:b/>
                <w:snapToGrid w:val="0"/>
                <w:color w:val="000000" w:themeColor="text1"/>
                <w:sz w:val="22"/>
                <w:lang w:eastAsia="de-DE" w:bidi="en-US"/>
              </w:rPr>
              <w:t>Std.Dev</w:t>
            </w:r>
            <w:proofErr w:type="spellEnd"/>
            <w:r w:rsidRPr="00910DE7">
              <w:rPr>
                <w:rFonts w:ascii="Times New Roman" w:eastAsia="Times New Roman" w:hAnsi="Times New Roman" w:cs="Times New Roman"/>
                <w:b/>
                <w:snapToGrid w:val="0"/>
                <w:color w:val="000000" w:themeColor="text1"/>
                <w:sz w:val="22"/>
                <w:lang w:eastAsia="de-DE" w:bidi="en-US"/>
              </w:rPr>
              <w:t>.</w:t>
            </w:r>
          </w:p>
        </w:tc>
        <w:tc>
          <w:tcPr>
            <w:tcW w:w="539" w:type="pct"/>
            <w:tcBorders>
              <w:top w:val="single" w:sz="4" w:space="0" w:color="auto"/>
              <w:left w:val="nil"/>
              <w:bottom w:val="nil"/>
              <w:right w:val="nil"/>
              <w:tl2br w:val="nil"/>
              <w:tr2bl w:val="nil"/>
            </w:tcBorders>
            <w:vAlign w:val="center"/>
          </w:tcPr>
          <w:p w14:paraId="644ED6C2"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Min</w:t>
            </w:r>
          </w:p>
        </w:tc>
        <w:tc>
          <w:tcPr>
            <w:tcW w:w="828" w:type="pct"/>
            <w:tcBorders>
              <w:top w:val="single" w:sz="4" w:space="0" w:color="auto"/>
              <w:left w:val="nil"/>
              <w:bottom w:val="nil"/>
              <w:right w:val="nil"/>
              <w:tl2br w:val="nil"/>
              <w:tr2bl w:val="nil"/>
            </w:tcBorders>
            <w:vAlign w:val="center"/>
          </w:tcPr>
          <w:p w14:paraId="3F91B51B" w14:textId="77777777" w:rsidR="00910DE7" w:rsidRPr="00910DE7" w:rsidRDefault="00910DE7" w:rsidP="00293BEF">
            <w:pPr>
              <w:spacing w:line="300" w:lineRule="auto"/>
              <w:jc w:val="center"/>
              <w:rPr>
                <w:rFonts w:ascii="Times New Roman" w:eastAsia="Times New Roman" w:hAnsi="Times New Roman" w:cs="Times New Roman"/>
                <w:b/>
                <w:snapToGrid w:val="0"/>
                <w:color w:val="000000" w:themeColor="text1"/>
                <w:sz w:val="22"/>
                <w:lang w:eastAsia="de-DE" w:bidi="en-US"/>
              </w:rPr>
            </w:pPr>
            <w:r w:rsidRPr="00910DE7">
              <w:rPr>
                <w:rFonts w:ascii="Times New Roman" w:eastAsia="Times New Roman" w:hAnsi="Times New Roman" w:cs="Times New Roman"/>
                <w:b/>
                <w:snapToGrid w:val="0"/>
                <w:color w:val="000000" w:themeColor="text1"/>
                <w:sz w:val="22"/>
                <w:lang w:eastAsia="de-DE" w:bidi="en-US"/>
              </w:rPr>
              <w:t>Max</w:t>
            </w:r>
          </w:p>
        </w:tc>
      </w:tr>
      <w:tr w:rsidR="00910DE7" w:rsidRPr="00910DE7" w14:paraId="09C57C42" w14:textId="77777777" w:rsidTr="00910DE7">
        <w:trPr>
          <w:trHeight w:val="312"/>
          <w:jc w:val="right"/>
        </w:trPr>
        <w:tc>
          <w:tcPr>
            <w:tcW w:w="1086" w:type="pct"/>
            <w:tcBorders>
              <w:top w:val="single" w:sz="4" w:space="0" w:color="auto"/>
              <w:left w:val="nil"/>
              <w:bottom w:val="nil"/>
              <w:right w:val="nil"/>
              <w:tl2br w:val="nil"/>
              <w:tr2bl w:val="nil"/>
            </w:tcBorders>
            <w:vAlign w:val="center"/>
          </w:tcPr>
          <w:p w14:paraId="78FBA3B9" w14:textId="77777777" w:rsidR="00910DE7" w:rsidRPr="00910DE7" w:rsidRDefault="00910DE7" w:rsidP="00293BEF">
            <w:pPr>
              <w:spacing w:after="5" w:line="259" w:lineRule="auto"/>
              <w:ind w:firstLine="227"/>
              <w:rPr>
                <w:rFonts w:ascii="Times New Roman" w:hAnsi="Times New Roman" w:cs="Times New Roman"/>
                <w:color w:val="000000" w:themeColor="text1"/>
              </w:rPr>
            </w:pPr>
            <w:proofErr w:type="spellStart"/>
            <w:r w:rsidRPr="00910DE7">
              <w:rPr>
                <w:rFonts w:ascii="Times New Roman" w:hAnsi="Times New Roman" w:cs="Times New Roman"/>
                <w:color w:val="000000" w:themeColor="text1"/>
              </w:rPr>
              <w:t>stpercent</w:t>
            </w:r>
            <w:proofErr w:type="spellEnd"/>
          </w:p>
        </w:tc>
        <w:tc>
          <w:tcPr>
            <w:tcW w:w="828" w:type="pct"/>
            <w:tcBorders>
              <w:top w:val="single" w:sz="4" w:space="0" w:color="auto"/>
              <w:left w:val="nil"/>
              <w:bottom w:val="nil"/>
              <w:right w:val="nil"/>
              <w:tl2br w:val="nil"/>
              <w:tr2bl w:val="nil"/>
            </w:tcBorders>
            <w:vAlign w:val="center"/>
          </w:tcPr>
          <w:p w14:paraId="68C4F461"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3,</w:t>
            </w:r>
            <w:r w:rsidRPr="00910DE7">
              <w:rPr>
                <w:rFonts w:ascii="Times New Roman" w:hAnsi="Times New Roman" w:cs="Times New Roman"/>
                <w:color w:val="000000" w:themeColor="text1"/>
              </w:rPr>
              <w:t>622</w:t>
            </w:r>
          </w:p>
        </w:tc>
        <w:tc>
          <w:tcPr>
            <w:tcW w:w="828" w:type="pct"/>
            <w:tcBorders>
              <w:top w:val="single" w:sz="4" w:space="0" w:color="auto"/>
              <w:left w:val="nil"/>
              <w:bottom w:val="nil"/>
              <w:right w:val="nil"/>
              <w:tl2br w:val="nil"/>
              <w:tr2bl w:val="nil"/>
            </w:tcBorders>
            <w:vAlign w:val="center"/>
          </w:tcPr>
          <w:p w14:paraId="66E016F6"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0.</w:t>
            </w:r>
            <w:r w:rsidRPr="00910DE7">
              <w:rPr>
                <w:rFonts w:ascii="Times New Roman" w:hAnsi="Times New Roman" w:cs="Times New Roman"/>
                <w:color w:val="000000" w:themeColor="text1"/>
              </w:rPr>
              <w:t>016</w:t>
            </w:r>
          </w:p>
        </w:tc>
        <w:tc>
          <w:tcPr>
            <w:tcW w:w="891" w:type="pct"/>
            <w:tcBorders>
              <w:top w:val="single" w:sz="4" w:space="0" w:color="auto"/>
              <w:left w:val="nil"/>
              <w:bottom w:val="nil"/>
              <w:right w:val="nil"/>
              <w:tl2br w:val="nil"/>
              <w:tr2bl w:val="nil"/>
            </w:tcBorders>
            <w:vAlign w:val="center"/>
          </w:tcPr>
          <w:p w14:paraId="3DDDC085"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0.006</w:t>
            </w:r>
          </w:p>
        </w:tc>
        <w:tc>
          <w:tcPr>
            <w:tcW w:w="539" w:type="pct"/>
            <w:tcBorders>
              <w:top w:val="single" w:sz="4" w:space="0" w:color="auto"/>
              <w:left w:val="nil"/>
              <w:bottom w:val="nil"/>
              <w:right w:val="nil"/>
              <w:tl2br w:val="nil"/>
              <w:tr2bl w:val="nil"/>
            </w:tcBorders>
            <w:vAlign w:val="center"/>
          </w:tcPr>
          <w:p w14:paraId="7F2F9065" w14:textId="77777777" w:rsidR="00910DE7" w:rsidRPr="00910DE7" w:rsidRDefault="00910DE7" w:rsidP="00293BEF">
            <w:pPr>
              <w:spacing w:after="5" w:line="259" w:lineRule="auto"/>
              <w:ind w:firstLine="227"/>
              <w:rPr>
                <w:rFonts w:ascii="Times New Roman" w:eastAsia="Times New Roman" w:hAnsi="Times New Roman" w:cs="Times New Roman"/>
                <w:color w:val="000000" w:themeColor="text1"/>
              </w:rPr>
            </w:pPr>
            <w:r w:rsidRPr="00910DE7">
              <w:rPr>
                <w:rFonts w:ascii="Times New Roman" w:eastAsia="Times New Roman" w:hAnsi="Times New Roman" w:cs="Times New Roman"/>
                <w:color w:val="000000" w:themeColor="text1"/>
              </w:rPr>
              <w:t>0</w:t>
            </w:r>
          </w:p>
        </w:tc>
        <w:tc>
          <w:tcPr>
            <w:tcW w:w="828" w:type="pct"/>
            <w:tcBorders>
              <w:top w:val="single" w:sz="4" w:space="0" w:color="auto"/>
              <w:left w:val="nil"/>
              <w:bottom w:val="nil"/>
              <w:right w:val="nil"/>
              <w:tl2br w:val="nil"/>
              <w:tr2bl w:val="nil"/>
            </w:tcBorders>
            <w:vAlign w:val="center"/>
          </w:tcPr>
          <w:p w14:paraId="5EC369FA"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0.250</w:t>
            </w:r>
          </w:p>
        </w:tc>
      </w:tr>
      <w:tr w:rsidR="00910DE7" w:rsidRPr="00910DE7" w14:paraId="4FF643DF" w14:textId="77777777" w:rsidTr="00910DE7">
        <w:trPr>
          <w:trHeight w:val="312"/>
          <w:jc w:val="right"/>
        </w:trPr>
        <w:tc>
          <w:tcPr>
            <w:tcW w:w="1086" w:type="pct"/>
            <w:tcBorders>
              <w:top w:val="nil"/>
              <w:left w:val="nil"/>
              <w:bottom w:val="single" w:sz="4" w:space="0" w:color="auto"/>
              <w:right w:val="nil"/>
              <w:tl2br w:val="nil"/>
              <w:tr2bl w:val="nil"/>
            </w:tcBorders>
            <w:vAlign w:val="center"/>
          </w:tcPr>
          <w:p w14:paraId="783C9AAF" w14:textId="77777777" w:rsidR="00910DE7" w:rsidRPr="00910DE7" w:rsidRDefault="00910DE7" w:rsidP="00293BEF">
            <w:pPr>
              <w:spacing w:after="5" w:line="259" w:lineRule="auto"/>
              <w:ind w:firstLine="227"/>
              <w:rPr>
                <w:rFonts w:ascii="Times New Roman" w:hAnsi="Times New Roman" w:cs="Times New Roman"/>
                <w:color w:val="000000" w:themeColor="text1"/>
              </w:rPr>
            </w:pPr>
            <w:proofErr w:type="spellStart"/>
            <w:r w:rsidRPr="00910DE7">
              <w:rPr>
                <w:rFonts w:ascii="Times New Roman" w:hAnsi="Times New Roman" w:cs="Times New Roman"/>
                <w:color w:val="000000" w:themeColor="text1"/>
              </w:rPr>
              <w:t>lnst</w:t>
            </w:r>
            <w:proofErr w:type="spellEnd"/>
          </w:p>
        </w:tc>
        <w:tc>
          <w:tcPr>
            <w:tcW w:w="828" w:type="pct"/>
            <w:tcBorders>
              <w:top w:val="nil"/>
              <w:left w:val="nil"/>
              <w:bottom w:val="single" w:sz="4" w:space="0" w:color="auto"/>
              <w:right w:val="nil"/>
              <w:tl2br w:val="nil"/>
              <w:tr2bl w:val="nil"/>
            </w:tcBorders>
            <w:vAlign w:val="center"/>
          </w:tcPr>
          <w:p w14:paraId="480719F2"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eastAsia="Times New Roman" w:hAnsi="Times New Roman" w:cs="Times New Roman"/>
                <w:color w:val="000000" w:themeColor="text1"/>
              </w:rPr>
              <w:t>3,</w:t>
            </w:r>
            <w:r w:rsidRPr="00910DE7">
              <w:rPr>
                <w:rFonts w:ascii="Times New Roman" w:hAnsi="Times New Roman" w:cs="Times New Roman"/>
                <w:color w:val="000000" w:themeColor="text1"/>
              </w:rPr>
              <w:t>608</w:t>
            </w:r>
          </w:p>
        </w:tc>
        <w:tc>
          <w:tcPr>
            <w:tcW w:w="828" w:type="pct"/>
            <w:tcBorders>
              <w:top w:val="nil"/>
              <w:left w:val="nil"/>
              <w:bottom w:val="single" w:sz="4" w:space="0" w:color="auto"/>
              <w:right w:val="nil"/>
              <w:tl2br w:val="nil"/>
              <w:tr2bl w:val="nil"/>
            </w:tcBorders>
            <w:vAlign w:val="center"/>
          </w:tcPr>
          <w:p w14:paraId="537B21D2"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4.405</w:t>
            </w:r>
          </w:p>
        </w:tc>
        <w:tc>
          <w:tcPr>
            <w:tcW w:w="891" w:type="pct"/>
            <w:tcBorders>
              <w:top w:val="nil"/>
              <w:left w:val="nil"/>
              <w:bottom w:val="single" w:sz="4" w:space="0" w:color="auto"/>
              <w:right w:val="nil"/>
              <w:tl2br w:val="nil"/>
              <w:tr2bl w:val="nil"/>
            </w:tcBorders>
            <w:vAlign w:val="center"/>
          </w:tcPr>
          <w:p w14:paraId="35CD4504"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0.439</w:t>
            </w:r>
          </w:p>
        </w:tc>
        <w:tc>
          <w:tcPr>
            <w:tcW w:w="539" w:type="pct"/>
            <w:tcBorders>
              <w:top w:val="nil"/>
              <w:left w:val="nil"/>
              <w:bottom w:val="single" w:sz="4" w:space="0" w:color="auto"/>
              <w:right w:val="nil"/>
              <w:tl2br w:val="nil"/>
              <w:tr2bl w:val="nil"/>
            </w:tcBorders>
            <w:vAlign w:val="center"/>
          </w:tcPr>
          <w:p w14:paraId="1EDD681F" w14:textId="77777777" w:rsidR="00910DE7" w:rsidRPr="00910DE7" w:rsidRDefault="00910DE7" w:rsidP="00293BEF">
            <w:pPr>
              <w:spacing w:after="5" w:line="259" w:lineRule="auto"/>
              <w:ind w:firstLine="227"/>
              <w:rPr>
                <w:rFonts w:ascii="Times New Roman" w:eastAsia="Times New Roman" w:hAnsi="Times New Roman" w:cs="Times New Roman"/>
                <w:color w:val="000000" w:themeColor="text1"/>
              </w:rPr>
            </w:pPr>
            <w:r w:rsidRPr="00910DE7">
              <w:rPr>
                <w:rFonts w:ascii="Times New Roman" w:eastAsia="Times New Roman" w:hAnsi="Times New Roman" w:cs="Times New Roman"/>
                <w:color w:val="000000" w:themeColor="text1"/>
              </w:rPr>
              <w:t>0</w:t>
            </w:r>
          </w:p>
        </w:tc>
        <w:tc>
          <w:tcPr>
            <w:tcW w:w="828" w:type="pct"/>
            <w:tcBorders>
              <w:top w:val="nil"/>
              <w:left w:val="nil"/>
              <w:bottom w:val="single" w:sz="4" w:space="0" w:color="auto"/>
              <w:right w:val="nil"/>
              <w:tl2br w:val="nil"/>
              <w:tr2bl w:val="nil"/>
            </w:tcBorders>
            <w:vAlign w:val="center"/>
          </w:tcPr>
          <w:p w14:paraId="2EF0338C" w14:textId="77777777" w:rsidR="00910DE7" w:rsidRPr="00910DE7" w:rsidRDefault="00910DE7" w:rsidP="00293BEF">
            <w:pPr>
              <w:spacing w:after="5" w:line="259" w:lineRule="auto"/>
              <w:ind w:firstLine="227"/>
              <w:rPr>
                <w:rFonts w:ascii="Times New Roman" w:hAnsi="Times New Roman" w:cs="Times New Roman"/>
                <w:color w:val="000000" w:themeColor="text1"/>
              </w:rPr>
            </w:pPr>
            <w:r w:rsidRPr="00910DE7">
              <w:rPr>
                <w:rFonts w:ascii="Times New Roman" w:hAnsi="Times New Roman" w:cs="Times New Roman"/>
                <w:color w:val="000000" w:themeColor="text1"/>
              </w:rPr>
              <w:t>5.945</w:t>
            </w:r>
          </w:p>
        </w:tc>
      </w:tr>
    </w:tbl>
    <w:p w14:paraId="66B63CDE" w14:textId="77777777" w:rsidR="00910DE7" w:rsidRDefault="00910DE7" w:rsidP="00CC1F53">
      <w:pPr>
        <w:spacing w:line="360" w:lineRule="auto"/>
        <w:rPr>
          <w:rFonts w:ascii="Times New Roman" w:hAnsi="Times New Roman"/>
          <w:color w:val="000000" w:themeColor="text1"/>
          <w:sz w:val="24"/>
        </w:rPr>
      </w:pPr>
    </w:p>
    <w:p w14:paraId="31561829" w14:textId="7C66CE69" w:rsidR="00FA66A7" w:rsidRDefault="00F40CAB" w:rsidP="00FB1DD1">
      <w:pPr>
        <w:spacing w:line="360" w:lineRule="auto"/>
        <w:ind w:firstLineChars="200" w:firstLine="480"/>
        <w:rPr>
          <w:rFonts w:ascii="Times New Roman" w:hAnsi="Times New Roman"/>
          <w:color w:val="000000" w:themeColor="text1"/>
          <w:sz w:val="24"/>
        </w:rPr>
      </w:pPr>
      <w:r w:rsidRPr="00F40CAB">
        <w:rPr>
          <w:rFonts w:ascii="Times New Roman" w:hAnsi="Times New Roman"/>
          <w:color w:val="000000" w:themeColor="text1"/>
          <w:sz w:val="24"/>
        </w:rPr>
        <w:t xml:space="preserve">Table </w:t>
      </w:r>
      <w:r w:rsidR="00CD3E99">
        <w:rPr>
          <w:rFonts w:ascii="Times New Roman" w:hAnsi="Times New Roman" w:hint="eastAsia"/>
          <w:color w:val="000000" w:themeColor="text1"/>
          <w:sz w:val="24"/>
        </w:rPr>
        <w:t>9</w:t>
      </w:r>
      <w:r w:rsidRPr="00F40CAB">
        <w:rPr>
          <w:rFonts w:ascii="Times New Roman" w:hAnsi="Times New Roman"/>
          <w:color w:val="000000" w:themeColor="text1"/>
          <w:sz w:val="24"/>
        </w:rPr>
        <w:t xml:space="preserve">, Column 1 presents coefficient estimates for both lc-policy and ecological attention effects on green innovation. The interaction term coefficient (0.3950) echoes </w:t>
      </w:r>
      <w:r w:rsidRPr="00F40CAB">
        <w:rPr>
          <w:rFonts w:ascii="Times New Roman" w:hAnsi="Times New Roman"/>
          <w:color w:val="000000" w:themeColor="text1"/>
          <w:sz w:val="24"/>
        </w:rPr>
        <w:lastRenderedPageBreak/>
        <w:t>the baseline finding from Table 3, achieving statistical significance at the 1% level. Column 2 registers an interaction coefficient of 0.0010, significant at the 10% level, thereby supporting H2. Collectively, these outcomes demonstrate that governmental ecological attention reinforces urban green innovation.</w:t>
      </w:r>
    </w:p>
    <w:p w14:paraId="54A3B737" w14:textId="2034B3E9" w:rsidR="00FA66A7" w:rsidRDefault="00FA66A7" w:rsidP="00D81DE5">
      <w:pPr>
        <w:spacing w:line="360" w:lineRule="auto"/>
        <w:ind w:firstLineChars="200" w:firstLine="480"/>
        <w:rPr>
          <w:rFonts w:ascii="Times New Roman" w:hAnsi="Times New Roman"/>
          <w:color w:val="000000" w:themeColor="text1"/>
          <w:sz w:val="24"/>
        </w:rPr>
      </w:pPr>
      <w:r w:rsidRPr="00FA66A7">
        <w:rPr>
          <w:rFonts w:ascii="Times New Roman" w:hAnsi="Times New Roman" w:hint="eastAsia"/>
          <w:color w:val="000000" w:themeColor="text1"/>
          <w:sz w:val="24"/>
        </w:rPr>
        <w:t xml:space="preserve">Column 2 of Table </w:t>
      </w:r>
      <w:r w:rsidR="00CD3E99">
        <w:rPr>
          <w:rFonts w:ascii="Times New Roman" w:hAnsi="Times New Roman" w:hint="eastAsia"/>
          <w:color w:val="000000" w:themeColor="text1"/>
          <w:sz w:val="24"/>
        </w:rPr>
        <w:t>9</w:t>
      </w:r>
      <w:r w:rsidRPr="00FA66A7">
        <w:rPr>
          <w:rFonts w:ascii="Times New Roman" w:hAnsi="Times New Roman" w:hint="eastAsia"/>
          <w:color w:val="000000" w:themeColor="text1"/>
          <w:sz w:val="24"/>
        </w:rPr>
        <w:t xml:space="preserve"> confirms prior findings, showing a statistically significant coefficient (0.1249, 1% level) for public ecological attention. This indicates stronger promotion of green innovation from public attention versus government attention. We attribute this differential impact to our green patent-based innovation metric: heightened public ecological concern elevates environmental awareness, increasing green innovation likelihood. Collectively, this study establishes that the lc-policy boosts regional green innovation by elevating both governmental and public ecological attention, validating H2 and confirming ecological attention as a key transmission channel.</w:t>
      </w:r>
    </w:p>
    <w:p w14:paraId="70DF4805" w14:textId="5DFD4D6B" w:rsidR="00910DE7" w:rsidRDefault="00910DE7" w:rsidP="00910DE7">
      <w:pPr>
        <w:spacing w:line="360" w:lineRule="auto"/>
        <w:ind w:firstLineChars="1000" w:firstLine="2400"/>
        <w:rPr>
          <w:rFonts w:ascii="Times New Roman" w:hAnsi="Times New Roman"/>
          <w:color w:val="000000" w:themeColor="text1"/>
          <w:sz w:val="24"/>
        </w:rPr>
      </w:pPr>
      <w:r w:rsidRPr="00910DE7">
        <w:rPr>
          <w:rFonts w:ascii="Times New Roman" w:hAnsi="Times New Roman" w:hint="eastAsia"/>
          <w:b/>
          <w:bCs/>
          <w:color w:val="000000" w:themeColor="text1"/>
          <w:sz w:val="24"/>
        </w:rPr>
        <w:t xml:space="preserve">Table </w:t>
      </w:r>
      <w:r w:rsidR="00CD3E99">
        <w:rPr>
          <w:rFonts w:ascii="Times New Roman" w:hAnsi="Times New Roman" w:hint="eastAsia"/>
          <w:b/>
          <w:bCs/>
          <w:color w:val="000000" w:themeColor="text1"/>
          <w:sz w:val="24"/>
        </w:rPr>
        <w:t>9</w:t>
      </w:r>
      <w:r w:rsidRPr="00910DE7">
        <w:rPr>
          <w:rFonts w:ascii="Times New Roman" w:hAnsi="Times New Roman" w:hint="eastAsia"/>
          <w:b/>
          <w:bCs/>
          <w:color w:val="000000" w:themeColor="text1"/>
          <w:sz w:val="24"/>
        </w:rPr>
        <w:t>.</w:t>
      </w:r>
      <w:r w:rsidRPr="00910DE7">
        <w:rPr>
          <w:rFonts w:ascii="Times New Roman" w:hAnsi="Times New Roman" w:hint="eastAsia"/>
          <w:color w:val="000000" w:themeColor="text1"/>
          <w:sz w:val="24"/>
        </w:rPr>
        <w:t xml:space="preserve"> Mechanism analysis</w:t>
      </w:r>
    </w:p>
    <w:tbl>
      <w:tblPr>
        <w:tblW w:w="5000" w:type="pct"/>
        <w:jc w:val="right"/>
        <w:tblCellMar>
          <w:left w:w="75" w:type="dxa"/>
          <w:right w:w="75" w:type="dxa"/>
        </w:tblCellMar>
        <w:tblLook w:val="04A0" w:firstRow="1" w:lastRow="0" w:firstColumn="1" w:lastColumn="0" w:noHBand="0" w:noVBand="1"/>
      </w:tblPr>
      <w:tblGrid>
        <w:gridCol w:w="1563"/>
        <w:gridCol w:w="2572"/>
        <w:gridCol w:w="2173"/>
        <w:gridCol w:w="1998"/>
      </w:tblGrid>
      <w:tr w:rsidR="00910DE7" w14:paraId="3FC00540" w14:textId="77777777" w:rsidTr="0014299D">
        <w:trPr>
          <w:jc w:val="right"/>
        </w:trPr>
        <w:tc>
          <w:tcPr>
            <w:tcW w:w="941" w:type="pct"/>
            <w:tcBorders>
              <w:top w:val="single" w:sz="6" w:space="0" w:color="auto"/>
              <w:left w:val="nil"/>
              <w:bottom w:val="nil"/>
              <w:right w:val="nil"/>
            </w:tcBorders>
          </w:tcPr>
          <w:p w14:paraId="74ACAAAE"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single" w:sz="6" w:space="0" w:color="auto"/>
              <w:left w:val="nil"/>
              <w:bottom w:val="nil"/>
              <w:right w:val="nil"/>
            </w:tcBorders>
          </w:tcPr>
          <w:p w14:paraId="1F1CD4E4" w14:textId="77777777" w:rsidR="00910DE7" w:rsidRPr="00910DE7" w:rsidRDefault="00910DE7" w:rsidP="00293BEF">
            <w:pPr>
              <w:autoSpaceDE w:val="0"/>
              <w:autoSpaceDN w:val="0"/>
              <w:adjustRightInd w:val="0"/>
              <w:jc w:val="center"/>
              <w:rPr>
                <w:rFonts w:ascii="Times New Roman" w:hAnsi="Times New Roman" w:cs="Times New Roman"/>
                <w:snapToGrid w:val="0"/>
                <w:color w:val="000000" w:themeColor="text1"/>
                <w:szCs w:val="21"/>
                <w:lang w:bidi="en-US"/>
              </w:rPr>
            </w:pPr>
            <w:r w:rsidRPr="00910DE7">
              <w:rPr>
                <w:rFonts w:ascii="Times New Roman" w:eastAsia="Times New Roman" w:hAnsi="Times New Roman" w:cs="Times New Roman"/>
                <w:snapToGrid w:val="0"/>
                <w:color w:val="000000" w:themeColor="text1"/>
                <w:szCs w:val="21"/>
                <w:lang w:eastAsia="de-DE" w:bidi="en-US"/>
              </w:rPr>
              <w:t>(</w:t>
            </w:r>
            <w:proofErr w:type="gramStart"/>
            <w:r w:rsidRPr="00910DE7">
              <w:rPr>
                <w:rFonts w:ascii="Times New Roman" w:eastAsia="Times New Roman" w:hAnsi="Times New Roman" w:cs="Times New Roman"/>
                <w:snapToGrid w:val="0"/>
                <w:color w:val="000000" w:themeColor="text1"/>
                <w:szCs w:val="21"/>
                <w:lang w:eastAsia="de-DE" w:bidi="en-US"/>
              </w:rPr>
              <w:t>1)</w:t>
            </w:r>
            <w:r w:rsidRPr="00910DE7">
              <w:rPr>
                <w:rFonts w:ascii="Times New Roman" w:hAnsi="Times New Roman" w:cs="Times New Roman"/>
                <w:snapToGrid w:val="0"/>
                <w:color w:val="000000" w:themeColor="text1"/>
                <w:szCs w:val="21"/>
                <w:lang w:bidi="en-US"/>
              </w:rPr>
              <w:t>Baseline</w:t>
            </w:r>
            <w:proofErr w:type="gramEnd"/>
            <w:r w:rsidRPr="00910DE7">
              <w:rPr>
                <w:rFonts w:ascii="Times New Roman" w:hAnsi="Times New Roman" w:cs="Times New Roman"/>
                <w:snapToGrid w:val="0"/>
                <w:color w:val="000000" w:themeColor="text1"/>
                <w:szCs w:val="21"/>
                <w:lang w:bidi="en-US"/>
              </w:rPr>
              <w:t xml:space="preserve"> regression</w:t>
            </w:r>
          </w:p>
        </w:tc>
        <w:tc>
          <w:tcPr>
            <w:tcW w:w="1308" w:type="pct"/>
            <w:tcBorders>
              <w:top w:val="single" w:sz="6" w:space="0" w:color="auto"/>
              <w:left w:val="nil"/>
              <w:bottom w:val="nil"/>
              <w:right w:val="nil"/>
            </w:tcBorders>
          </w:tcPr>
          <w:p w14:paraId="301FF616"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snapToGrid w:val="0"/>
                <w:color w:val="000000" w:themeColor="text1"/>
                <w:szCs w:val="21"/>
                <w:lang w:bidi="en-US"/>
              </w:rPr>
              <w:t>2</w:t>
            </w: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color w:val="000000" w:themeColor="text1"/>
                <w:szCs w:val="21"/>
              </w:rPr>
              <w:t xml:space="preserve"> Government Ecological Attention</w:t>
            </w:r>
          </w:p>
        </w:tc>
        <w:tc>
          <w:tcPr>
            <w:tcW w:w="1203" w:type="pct"/>
            <w:tcBorders>
              <w:top w:val="single" w:sz="6" w:space="0" w:color="auto"/>
              <w:left w:val="nil"/>
              <w:bottom w:val="nil"/>
              <w:right w:val="nil"/>
            </w:tcBorders>
          </w:tcPr>
          <w:p w14:paraId="553079DD"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snapToGrid w:val="0"/>
                <w:color w:val="000000" w:themeColor="text1"/>
                <w:szCs w:val="21"/>
                <w:lang w:bidi="en-US"/>
              </w:rPr>
              <w:t>3</w:t>
            </w:r>
            <w:r w:rsidRPr="00910DE7">
              <w:rPr>
                <w:rFonts w:ascii="Times New Roman" w:eastAsia="Times New Roman" w:hAnsi="Times New Roman" w:cs="Times New Roman"/>
                <w:snapToGrid w:val="0"/>
                <w:color w:val="000000" w:themeColor="text1"/>
                <w:szCs w:val="21"/>
                <w:lang w:eastAsia="de-DE" w:bidi="en-US"/>
              </w:rPr>
              <w:t>)</w:t>
            </w:r>
            <w:r w:rsidRPr="00910DE7">
              <w:rPr>
                <w:rFonts w:ascii="Times New Roman" w:hAnsi="Times New Roman" w:cs="Times New Roman"/>
                <w:color w:val="000000" w:themeColor="text1"/>
                <w:szCs w:val="21"/>
              </w:rPr>
              <w:t xml:space="preserve"> </w:t>
            </w:r>
            <w:r w:rsidRPr="00910DE7">
              <w:rPr>
                <w:rFonts w:ascii="Times New Roman" w:eastAsia="Times New Roman" w:hAnsi="Times New Roman" w:cs="Times New Roman"/>
                <w:snapToGrid w:val="0"/>
                <w:color w:val="000000" w:themeColor="text1"/>
                <w:szCs w:val="21"/>
                <w:lang w:eastAsia="de-DE" w:bidi="en-US"/>
              </w:rPr>
              <w:t>Public Ecological Attention</w:t>
            </w:r>
          </w:p>
        </w:tc>
      </w:tr>
      <w:tr w:rsidR="00910DE7" w14:paraId="308E2381" w14:textId="77777777" w:rsidTr="0014299D">
        <w:trPr>
          <w:jc w:val="right"/>
        </w:trPr>
        <w:tc>
          <w:tcPr>
            <w:tcW w:w="941" w:type="pct"/>
            <w:tcBorders>
              <w:top w:val="nil"/>
              <w:left w:val="nil"/>
              <w:bottom w:val="single" w:sz="6" w:space="0" w:color="auto"/>
              <w:right w:val="nil"/>
            </w:tcBorders>
          </w:tcPr>
          <w:p w14:paraId="44964CA7" w14:textId="77777777" w:rsidR="00910DE7" w:rsidRPr="00910DE7" w:rsidRDefault="00910DE7" w:rsidP="00293BEF">
            <w:pPr>
              <w:autoSpaceDE w:val="0"/>
              <w:autoSpaceDN w:val="0"/>
              <w:adjustRightInd w:val="0"/>
              <w:jc w:val="left"/>
              <w:rPr>
                <w:rFonts w:ascii="Times New Roman" w:eastAsia="Times New Roman" w:hAnsi="Times New Roman" w:cs="Times New Roman"/>
                <w:b/>
                <w:bCs/>
                <w:snapToGrid w:val="0"/>
                <w:color w:val="000000" w:themeColor="text1"/>
                <w:szCs w:val="21"/>
                <w:lang w:eastAsia="de-DE" w:bidi="en-US"/>
              </w:rPr>
            </w:pPr>
            <w:r w:rsidRPr="00910DE7">
              <w:rPr>
                <w:rFonts w:ascii="Times New Roman" w:eastAsia="Times New Roman" w:hAnsi="Times New Roman" w:cs="Times New Roman"/>
                <w:b/>
                <w:bCs/>
                <w:snapToGrid w:val="0"/>
                <w:color w:val="000000" w:themeColor="text1"/>
                <w:sz w:val="22"/>
                <w:lang w:eastAsia="de-DE" w:bidi="en-US"/>
              </w:rPr>
              <w:t>Variables</w:t>
            </w:r>
          </w:p>
        </w:tc>
        <w:tc>
          <w:tcPr>
            <w:tcW w:w="1548" w:type="pct"/>
            <w:tcBorders>
              <w:top w:val="nil"/>
              <w:left w:val="nil"/>
              <w:bottom w:val="single" w:sz="6" w:space="0" w:color="auto"/>
              <w:right w:val="nil"/>
            </w:tcBorders>
          </w:tcPr>
          <w:p w14:paraId="55078BCB"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bidi="en-US"/>
              </w:rPr>
              <w:t xml:space="preserve"> </w:t>
            </w:r>
            <w:proofErr w:type="spellStart"/>
            <w:r w:rsidRPr="00910DE7">
              <w:rPr>
                <w:rFonts w:ascii="Times New Roman" w:eastAsia="Times New Roman" w:hAnsi="Times New Roman" w:cs="Times New Roman"/>
                <w:snapToGrid w:val="0"/>
                <w:color w:val="000000" w:themeColor="text1"/>
                <w:szCs w:val="21"/>
                <w:lang w:eastAsia="de-DE" w:bidi="en-US"/>
              </w:rPr>
              <w:t>green_innovation</w:t>
            </w:r>
            <w:proofErr w:type="spellEnd"/>
          </w:p>
        </w:tc>
        <w:tc>
          <w:tcPr>
            <w:tcW w:w="1308" w:type="pct"/>
            <w:tcBorders>
              <w:top w:val="nil"/>
              <w:left w:val="nil"/>
              <w:bottom w:val="single" w:sz="6" w:space="0" w:color="auto"/>
              <w:right w:val="nil"/>
            </w:tcBorders>
          </w:tcPr>
          <w:p w14:paraId="1D8ABE85"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stpercent</w:t>
            </w:r>
            <w:proofErr w:type="spellEnd"/>
          </w:p>
        </w:tc>
        <w:tc>
          <w:tcPr>
            <w:tcW w:w="1203" w:type="pct"/>
            <w:tcBorders>
              <w:top w:val="nil"/>
              <w:left w:val="nil"/>
              <w:bottom w:val="single" w:sz="6" w:space="0" w:color="auto"/>
              <w:right w:val="nil"/>
            </w:tcBorders>
          </w:tcPr>
          <w:p w14:paraId="6EBBAAA3"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lnstgzd</w:t>
            </w:r>
            <w:proofErr w:type="spellEnd"/>
          </w:p>
        </w:tc>
      </w:tr>
      <w:tr w:rsidR="00910DE7" w14:paraId="2A06E0F1" w14:textId="77777777" w:rsidTr="0014299D">
        <w:trPr>
          <w:jc w:val="right"/>
        </w:trPr>
        <w:tc>
          <w:tcPr>
            <w:tcW w:w="941" w:type="pct"/>
            <w:tcBorders>
              <w:top w:val="nil"/>
              <w:left w:val="nil"/>
              <w:bottom w:val="nil"/>
              <w:right w:val="nil"/>
            </w:tcBorders>
          </w:tcPr>
          <w:p w14:paraId="57F4E21B"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lcpolicy</w:t>
            </w:r>
            <w:proofErr w:type="spellEnd"/>
          </w:p>
        </w:tc>
        <w:tc>
          <w:tcPr>
            <w:tcW w:w="1548" w:type="pct"/>
            <w:tcBorders>
              <w:top w:val="nil"/>
              <w:left w:val="nil"/>
              <w:bottom w:val="nil"/>
              <w:right w:val="nil"/>
            </w:tcBorders>
          </w:tcPr>
          <w:p w14:paraId="68930245"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0.3950***</w:t>
            </w:r>
          </w:p>
        </w:tc>
        <w:tc>
          <w:tcPr>
            <w:tcW w:w="1308" w:type="pct"/>
            <w:tcBorders>
              <w:top w:val="nil"/>
              <w:left w:val="nil"/>
              <w:bottom w:val="nil"/>
              <w:right w:val="nil"/>
            </w:tcBorders>
          </w:tcPr>
          <w:p w14:paraId="6ACAF073"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0.0010*</w:t>
            </w:r>
          </w:p>
        </w:tc>
        <w:tc>
          <w:tcPr>
            <w:tcW w:w="1203" w:type="pct"/>
            <w:tcBorders>
              <w:top w:val="nil"/>
              <w:left w:val="nil"/>
              <w:bottom w:val="nil"/>
              <w:right w:val="nil"/>
            </w:tcBorders>
          </w:tcPr>
          <w:p w14:paraId="06774E63"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0.1294***</w:t>
            </w:r>
          </w:p>
        </w:tc>
      </w:tr>
      <w:tr w:rsidR="00910DE7" w14:paraId="099B06C0" w14:textId="77777777" w:rsidTr="0014299D">
        <w:trPr>
          <w:jc w:val="right"/>
        </w:trPr>
        <w:tc>
          <w:tcPr>
            <w:tcW w:w="941" w:type="pct"/>
            <w:tcBorders>
              <w:top w:val="nil"/>
              <w:left w:val="nil"/>
              <w:bottom w:val="nil"/>
              <w:right w:val="nil"/>
            </w:tcBorders>
          </w:tcPr>
          <w:p w14:paraId="64F04122"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6FFFAF68"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(0.054)</w:t>
            </w:r>
          </w:p>
        </w:tc>
        <w:tc>
          <w:tcPr>
            <w:tcW w:w="1308" w:type="pct"/>
            <w:tcBorders>
              <w:top w:val="nil"/>
              <w:left w:val="nil"/>
              <w:bottom w:val="nil"/>
              <w:right w:val="nil"/>
            </w:tcBorders>
          </w:tcPr>
          <w:p w14:paraId="3EF924DD"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77080454"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(0.047)</w:t>
            </w:r>
          </w:p>
        </w:tc>
      </w:tr>
      <w:tr w:rsidR="00910DE7" w14:paraId="2EE9D60C" w14:textId="77777777" w:rsidTr="0014299D">
        <w:trPr>
          <w:jc w:val="right"/>
        </w:trPr>
        <w:tc>
          <w:tcPr>
            <w:tcW w:w="941" w:type="pct"/>
            <w:tcBorders>
              <w:top w:val="nil"/>
              <w:left w:val="nil"/>
              <w:bottom w:val="nil"/>
              <w:right w:val="nil"/>
            </w:tcBorders>
          </w:tcPr>
          <w:p w14:paraId="1B5EAD86"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lnpgdp</w:t>
            </w:r>
            <w:proofErr w:type="spellEnd"/>
          </w:p>
        </w:tc>
        <w:tc>
          <w:tcPr>
            <w:tcW w:w="1548" w:type="pct"/>
            <w:tcBorders>
              <w:top w:val="nil"/>
              <w:left w:val="nil"/>
              <w:bottom w:val="nil"/>
              <w:right w:val="nil"/>
            </w:tcBorders>
          </w:tcPr>
          <w:p w14:paraId="1A33A2E2"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-1.1301***</w:t>
            </w:r>
          </w:p>
        </w:tc>
        <w:tc>
          <w:tcPr>
            <w:tcW w:w="1308" w:type="pct"/>
            <w:tcBorders>
              <w:top w:val="nil"/>
              <w:left w:val="nil"/>
              <w:bottom w:val="nil"/>
              <w:right w:val="nil"/>
            </w:tcBorders>
          </w:tcPr>
          <w:p w14:paraId="49FC6A3A"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0.0025*</w:t>
            </w:r>
          </w:p>
        </w:tc>
        <w:tc>
          <w:tcPr>
            <w:tcW w:w="1203" w:type="pct"/>
            <w:tcBorders>
              <w:top w:val="nil"/>
              <w:left w:val="nil"/>
              <w:bottom w:val="nil"/>
              <w:right w:val="nil"/>
            </w:tcBorders>
          </w:tcPr>
          <w:p w14:paraId="738420C3"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0.1522</w:t>
            </w:r>
          </w:p>
        </w:tc>
      </w:tr>
      <w:tr w:rsidR="00910DE7" w14:paraId="0E5E5B4E" w14:textId="77777777" w:rsidTr="0014299D">
        <w:trPr>
          <w:jc w:val="right"/>
        </w:trPr>
        <w:tc>
          <w:tcPr>
            <w:tcW w:w="941" w:type="pct"/>
            <w:tcBorders>
              <w:top w:val="nil"/>
              <w:left w:val="nil"/>
              <w:bottom w:val="nil"/>
              <w:right w:val="nil"/>
            </w:tcBorders>
          </w:tcPr>
          <w:p w14:paraId="5BC551EA"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3BE469C1"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(0.158)</w:t>
            </w:r>
          </w:p>
        </w:tc>
        <w:tc>
          <w:tcPr>
            <w:tcW w:w="1308" w:type="pct"/>
            <w:tcBorders>
              <w:top w:val="nil"/>
              <w:left w:val="nil"/>
              <w:bottom w:val="nil"/>
              <w:right w:val="nil"/>
            </w:tcBorders>
          </w:tcPr>
          <w:p w14:paraId="44B9F298"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2C9C971F"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(0.114)</w:t>
            </w:r>
          </w:p>
        </w:tc>
      </w:tr>
      <w:tr w:rsidR="00910DE7" w14:paraId="52F0A594" w14:textId="77777777" w:rsidTr="0014299D">
        <w:trPr>
          <w:jc w:val="right"/>
        </w:trPr>
        <w:tc>
          <w:tcPr>
            <w:tcW w:w="941" w:type="pct"/>
            <w:tcBorders>
              <w:top w:val="nil"/>
              <w:left w:val="nil"/>
              <w:bottom w:val="nil"/>
              <w:right w:val="nil"/>
            </w:tcBorders>
          </w:tcPr>
          <w:p w14:paraId="54E1670C"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popuden</w:t>
            </w:r>
            <w:proofErr w:type="spellEnd"/>
          </w:p>
        </w:tc>
        <w:tc>
          <w:tcPr>
            <w:tcW w:w="1548" w:type="pct"/>
            <w:tcBorders>
              <w:top w:val="nil"/>
              <w:left w:val="nil"/>
              <w:bottom w:val="nil"/>
              <w:right w:val="nil"/>
            </w:tcBorders>
          </w:tcPr>
          <w:p w14:paraId="663B1B89"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0.0010***</w:t>
            </w:r>
          </w:p>
        </w:tc>
        <w:tc>
          <w:tcPr>
            <w:tcW w:w="1308" w:type="pct"/>
            <w:tcBorders>
              <w:top w:val="nil"/>
              <w:left w:val="nil"/>
              <w:bottom w:val="nil"/>
              <w:right w:val="nil"/>
            </w:tcBorders>
          </w:tcPr>
          <w:p w14:paraId="049C515B"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-0.0000</w:t>
            </w:r>
          </w:p>
        </w:tc>
        <w:tc>
          <w:tcPr>
            <w:tcW w:w="1203" w:type="pct"/>
            <w:tcBorders>
              <w:top w:val="nil"/>
              <w:left w:val="nil"/>
              <w:bottom w:val="nil"/>
              <w:right w:val="nil"/>
            </w:tcBorders>
          </w:tcPr>
          <w:p w14:paraId="7BE9C9D3"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0.0008***</w:t>
            </w:r>
          </w:p>
        </w:tc>
      </w:tr>
      <w:tr w:rsidR="00910DE7" w14:paraId="43510045" w14:textId="77777777" w:rsidTr="0014299D">
        <w:trPr>
          <w:jc w:val="right"/>
        </w:trPr>
        <w:tc>
          <w:tcPr>
            <w:tcW w:w="941" w:type="pct"/>
            <w:tcBorders>
              <w:top w:val="nil"/>
              <w:left w:val="nil"/>
              <w:bottom w:val="nil"/>
              <w:right w:val="nil"/>
            </w:tcBorders>
          </w:tcPr>
          <w:p w14:paraId="750CF767"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0D7C260E"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308" w:type="pct"/>
            <w:tcBorders>
              <w:top w:val="nil"/>
              <w:left w:val="nil"/>
              <w:bottom w:val="nil"/>
              <w:right w:val="nil"/>
            </w:tcBorders>
          </w:tcPr>
          <w:p w14:paraId="6ECC8F78"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38A8EB20"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r>
      <w:tr w:rsidR="00910DE7" w14:paraId="1827D87D" w14:textId="77777777" w:rsidTr="0014299D">
        <w:trPr>
          <w:jc w:val="right"/>
        </w:trPr>
        <w:tc>
          <w:tcPr>
            <w:tcW w:w="941" w:type="pct"/>
            <w:tcBorders>
              <w:top w:val="nil"/>
              <w:left w:val="nil"/>
              <w:bottom w:val="nil"/>
              <w:right w:val="nil"/>
            </w:tcBorders>
          </w:tcPr>
          <w:p w14:paraId="15842226"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ind_stru2</w:t>
            </w:r>
          </w:p>
        </w:tc>
        <w:tc>
          <w:tcPr>
            <w:tcW w:w="1548" w:type="pct"/>
            <w:tcBorders>
              <w:top w:val="nil"/>
              <w:left w:val="nil"/>
              <w:bottom w:val="nil"/>
              <w:right w:val="nil"/>
            </w:tcBorders>
          </w:tcPr>
          <w:p w14:paraId="091EBF6F"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-0.0186***</w:t>
            </w:r>
          </w:p>
        </w:tc>
        <w:tc>
          <w:tcPr>
            <w:tcW w:w="1308" w:type="pct"/>
            <w:tcBorders>
              <w:top w:val="nil"/>
              <w:left w:val="nil"/>
              <w:bottom w:val="nil"/>
              <w:right w:val="nil"/>
            </w:tcBorders>
          </w:tcPr>
          <w:p w14:paraId="7BA2BE91"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-0.0001</w:t>
            </w:r>
          </w:p>
        </w:tc>
        <w:tc>
          <w:tcPr>
            <w:tcW w:w="1203" w:type="pct"/>
            <w:tcBorders>
              <w:top w:val="nil"/>
              <w:left w:val="nil"/>
              <w:bottom w:val="nil"/>
              <w:right w:val="nil"/>
            </w:tcBorders>
          </w:tcPr>
          <w:p w14:paraId="2D75B830"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0.0019</w:t>
            </w:r>
          </w:p>
        </w:tc>
      </w:tr>
      <w:tr w:rsidR="00910DE7" w14:paraId="4CEDDF35" w14:textId="77777777" w:rsidTr="0014299D">
        <w:trPr>
          <w:jc w:val="right"/>
        </w:trPr>
        <w:tc>
          <w:tcPr>
            <w:tcW w:w="941" w:type="pct"/>
            <w:tcBorders>
              <w:top w:val="nil"/>
              <w:left w:val="nil"/>
              <w:bottom w:val="nil"/>
              <w:right w:val="nil"/>
            </w:tcBorders>
          </w:tcPr>
          <w:p w14:paraId="4BA8FF16"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2D4EDA5E"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(0.005)</w:t>
            </w:r>
          </w:p>
        </w:tc>
        <w:tc>
          <w:tcPr>
            <w:tcW w:w="1308" w:type="pct"/>
            <w:tcBorders>
              <w:top w:val="nil"/>
              <w:left w:val="nil"/>
              <w:bottom w:val="nil"/>
              <w:right w:val="nil"/>
            </w:tcBorders>
          </w:tcPr>
          <w:p w14:paraId="451C06CA"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5F3D4787"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(0.003)</w:t>
            </w:r>
          </w:p>
        </w:tc>
      </w:tr>
      <w:tr w:rsidR="00910DE7" w14:paraId="4804B6F2" w14:textId="77777777" w:rsidTr="0014299D">
        <w:trPr>
          <w:jc w:val="right"/>
        </w:trPr>
        <w:tc>
          <w:tcPr>
            <w:tcW w:w="941" w:type="pct"/>
            <w:tcBorders>
              <w:top w:val="nil"/>
              <w:left w:val="nil"/>
              <w:bottom w:val="nil"/>
              <w:right w:val="nil"/>
            </w:tcBorders>
          </w:tcPr>
          <w:p w14:paraId="5C98D3F0"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lnpwage</w:t>
            </w:r>
            <w:proofErr w:type="spellEnd"/>
          </w:p>
        </w:tc>
        <w:tc>
          <w:tcPr>
            <w:tcW w:w="1548" w:type="pct"/>
            <w:tcBorders>
              <w:top w:val="nil"/>
              <w:left w:val="nil"/>
              <w:bottom w:val="nil"/>
              <w:right w:val="nil"/>
            </w:tcBorders>
          </w:tcPr>
          <w:p w14:paraId="6E07764D"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-0.6769***</w:t>
            </w:r>
          </w:p>
        </w:tc>
        <w:tc>
          <w:tcPr>
            <w:tcW w:w="1308" w:type="pct"/>
            <w:tcBorders>
              <w:top w:val="nil"/>
              <w:left w:val="nil"/>
              <w:bottom w:val="nil"/>
              <w:right w:val="nil"/>
            </w:tcBorders>
          </w:tcPr>
          <w:p w14:paraId="2F525931"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0.0013</w:t>
            </w:r>
          </w:p>
        </w:tc>
        <w:tc>
          <w:tcPr>
            <w:tcW w:w="1203" w:type="pct"/>
            <w:tcBorders>
              <w:top w:val="nil"/>
              <w:left w:val="nil"/>
              <w:bottom w:val="nil"/>
              <w:right w:val="nil"/>
            </w:tcBorders>
          </w:tcPr>
          <w:p w14:paraId="053471F7"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-0.0100</w:t>
            </w:r>
          </w:p>
        </w:tc>
      </w:tr>
      <w:tr w:rsidR="00910DE7" w14:paraId="4C2E43A1" w14:textId="77777777" w:rsidTr="0014299D">
        <w:trPr>
          <w:jc w:val="right"/>
        </w:trPr>
        <w:tc>
          <w:tcPr>
            <w:tcW w:w="941" w:type="pct"/>
            <w:tcBorders>
              <w:top w:val="nil"/>
              <w:left w:val="nil"/>
              <w:bottom w:val="nil"/>
              <w:right w:val="nil"/>
            </w:tcBorders>
          </w:tcPr>
          <w:p w14:paraId="77EB2DD0"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144984D8"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(0.138)</w:t>
            </w:r>
          </w:p>
        </w:tc>
        <w:tc>
          <w:tcPr>
            <w:tcW w:w="1308" w:type="pct"/>
            <w:tcBorders>
              <w:top w:val="nil"/>
              <w:left w:val="nil"/>
              <w:bottom w:val="nil"/>
              <w:right w:val="nil"/>
            </w:tcBorders>
          </w:tcPr>
          <w:p w14:paraId="637A04BE"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(0.001)</w:t>
            </w:r>
          </w:p>
        </w:tc>
        <w:tc>
          <w:tcPr>
            <w:tcW w:w="1203" w:type="pct"/>
            <w:tcBorders>
              <w:top w:val="nil"/>
              <w:left w:val="nil"/>
              <w:bottom w:val="nil"/>
              <w:right w:val="nil"/>
            </w:tcBorders>
          </w:tcPr>
          <w:p w14:paraId="5B14E8A7"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(0.067)</w:t>
            </w:r>
          </w:p>
        </w:tc>
      </w:tr>
      <w:tr w:rsidR="00910DE7" w14:paraId="34D3493B" w14:textId="77777777" w:rsidTr="0014299D">
        <w:trPr>
          <w:jc w:val="right"/>
        </w:trPr>
        <w:tc>
          <w:tcPr>
            <w:tcW w:w="941" w:type="pct"/>
            <w:tcBorders>
              <w:top w:val="nil"/>
              <w:left w:val="nil"/>
              <w:bottom w:val="nil"/>
              <w:right w:val="nil"/>
            </w:tcBorders>
          </w:tcPr>
          <w:p w14:paraId="25E56616"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roofErr w:type="spellStart"/>
            <w:r w:rsidRPr="00910DE7">
              <w:rPr>
                <w:rFonts w:ascii="Times New Roman" w:eastAsia="Times New Roman" w:hAnsi="Times New Roman" w:cs="Times New Roman"/>
                <w:snapToGrid w:val="0"/>
                <w:color w:val="000000" w:themeColor="text1"/>
                <w:szCs w:val="21"/>
                <w:lang w:eastAsia="de-DE" w:bidi="en-US"/>
              </w:rPr>
              <w:t>lninternet</w:t>
            </w:r>
            <w:proofErr w:type="spellEnd"/>
          </w:p>
        </w:tc>
        <w:tc>
          <w:tcPr>
            <w:tcW w:w="1548" w:type="pct"/>
            <w:tcBorders>
              <w:top w:val="nil"/>
              <w:left w:val="nil"/>
              <w:bottom w:val="nil"/>
              <w:right w:val="nil"/>
            </w:tcBorders>
          </w:tcPr>
          <w:p w14:paraId="6C8A115D"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-0.2905***</w:t>
            </w:r>
          </w:p>
        </w:tc>
        <w:tc>
          <w:tcPr>
            <w:tcW w:w="1308" w:type="pct"/>
            <w:tcBorders>
              <w:top w:val="nil"/>
              <w:left w:val="nil"/>
              <w:bottom w:val="nil"/>
              <w:right w:val="nil"/>
            </w:tcBorders>
          </w:tcPr>
          <w:p w14:paraId="07C8FF8B"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0.0008**</w:t>
            </w:r>
          </w:p>
        </w:tc>
        <w:tc>
          <w:tcPr>
            <w:tcW w:w="1203" w:type="pct"/>
            <w:tcBorders>
              <w:top w:val="nil"/>
              <w:left w:val="nil"/>
              <w:bottom w:val="nil"/>
              <w:right w:val="nil"/>
            </w:tcBorders>
          </w:tcPr>
          <w:p w14:paraId="45003A8F"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-0.0937***</w:t>
            </w:r>
          </w:p>
        </w:tc>
      </w:tr>
      <w:tr w:rsidR="00910DE7" w14:paraId="4BFAAAB0" w14:textId="77777777" w:rsidTr="0014299D">
        <w:trPr>
          <w:jc w:val="right"/>
        </w:trPr>
        <w:tc>
          <w:tcPr>
            <w:tcW w:w="941" w:type="pct"/>
            <w:tcBorders>
              <w:top w:val="nil"/>
              <w:left w:val="nil"/>
              <w:bottom w:val="nil"/>
              <w:right w:val="nil"/>
            </w:tcBorders>
          </w:tcPr>
          <w:p w14:paraId="28AD28A3"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15FCC4A4"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(0.043)</w:t>
            </w:r>
          </w:p>
        </w:tc>
        <w:tc>
          <w:tcPr>
            <w:tcW w:w="1308" w:type="pct"/>
            <w:tcBorders>
              <w:top w:val="nil"/>
              <w:left w:val="nil"/>
              <w:bottom w:val="nil"/>
              <w:right w:val="nil"/>
            </w:tcBorders>
          </w:tcPr>
          <w:p w14:paraId="1D108FBD"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(0.000)</w:t>
            </w:r>
          </w:p>
        </w:tc>
        <w:tc>
          <w:tcPr>
            <w:tcW w:w="1203" w:type="pct"/>
            <w:tcBorders>
              <w:top w:val="nil"/>
              <w:left w:val="nil"/>
              <w:bottom w:val="nil"/>
              <w:right w:val="nil"/>
            </w:tcBorders>
          </w:tcPr>
          <w:p w14:paraId="1F66F611"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(0.030)</w:t>
            </w:r>
          </w:p>
        </w:tc>
      </w:tr>
      <w:tr w:rsidR="00910DE7" w14:paraId="042A0656" w14:textId="77777777" w:rsidTr="0014299D">
        <w:trPr>
          <w:jc w:val="right"/>
        </w:trPr>
        <w:tc>
          <w:tcPr>
            <w:tcW w:w="941" w:type="pct"/>
            <w:tcBorders>
              <w:top w:val="nil"/>
              <w:left w:val="nil"/>
              <w:bottom w:val="nil"/>
              <w:right w:val="nil"/>
            </w:tcBorders>
          </w:tcPr>
          <w:p w14:paraId="6A730AD6"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Constant</w:t>
            </w:r>
          </w:p>
        </w:tc>
        <w:tc>
          <w:tcPr>
            <w:tcW w:w="1548" w:type="pct"/>
            <w:tcBorders>
              <w:top w:val="nil"/>
              <w:left w:val="nil"/>
              <w:bottom w:val="nil"/>
              <w:right w:val="nil"/>
            </w:tcBorders>
          </w:tcPr>
          <w:p w14:paraId="5A7398F8"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20.5052***</w:t>
            </w:r>
          </w:p>
        </w:tc>
        <w:tc>
          <w:tcPr>
            <w:tcW w:w="1308" w:type="pct"/>
            <w:tcBorders>
              <w:top w:val="nil"/>
              <w:left w:val="nil"/>
              <w:bottom w:val="nil"/>
              <w:right w:val="nil"/>
            </w:tcBorders>
          </w:tcPr>
          <w:p w14:paraId="1FC04B25"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-0.0231</w:t>
            </w:r>
          </w:p>
        </w:tc>
        <w:tc>
          <w:tcPr>
            <w:tcW w:w="1203" w:type="pct"/>
            <w:tcBorders>
              <w:top w:val="nil"/>
              <w:left w:val="nil"/>
              <w:bottom w:val="nil"/>
              <w:right w:val="nil"/>
            </w:tcBorders>
          </w:tcPr>
          <w:p w14:paraId="2F0F973F"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9.8885***</w:t>
            </w:r>
          </w:p>
        </w:tc>
      </w:tr>
      <w:tr w:rsidR="00910DE7" w14:paraId="0B220F68" w14:textId="77777777" w:rsidTr="0014299D">
        <w:trPr>
          <w:jc w:val="right"/>
        </w:trPr>
        <w:tc>
          <w:tcPr>
            <w:tcW w:w="941" w:type="pct"/>
            <w:tcBorders>
              <w:top w:val="nil"/>
              <w:left w:val="nil"/>
              <w:bottom w:val="nil"/>
              <w:right w:val="nil"/>
            </w:tcBorders>
          </w:tcPr>
          <w:p w14:paraId="5B41B86E"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p>
        </w:tc>
        <w:tc>
          <w:tcPr>
            <w:tcW w:w="1548" w:type="pct"/>
            <w:tcBorders>
              <w:top w:val="nil"/>
              <w:left w:val="nil"/>
              <w:bottom w:val="nil"/>
              <w:right w:val="nil"/>
            </w:tcBorders>
          </w:tcPr>
          <w:p w14:paraId="034D2DBB"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(1.866)</w:t>
            </w:r>
          </w:p>
        </w:tc>
        <w:tc>
          <w:tcPr>
            <w:tcW w:w="1308" w:type="pct"/>
            <w:tcBorders>
              <w:top w:val="nil"/>
              <w:left w:val="nil"/>
              <w:bottom w:val="nil"/>
              <w:right w:val="nil"/>
            </w:tcBorders>
          </w:tcPr>
          <w:p w14:paraId="42E00346"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(0.018)</w:t>
            </w:r>
          </w:p>
        </w:tc>
        <w:tc>
          <w:tcPr>
            <w:tcW w:w="1203" w:type="pct"/>
            <w:tcBorders>
              <w:top w:val="nil"/>
              <w:left w:val="nil"/>
              <w:bottom w:val="nil"/>
              <w:right w:val="nil"/>
            </w:tcBorders>
          </w:tcPr>
          <w:p w14:paraId="26EA71F2"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(1.257)</w:t>
            </w:r>
          </w:p>
        </w:tc>
      </w:tr>
      <w:tr w:rsidR="00910DE7" w14:paraId="19C3E0D5" w14:textId="77777777" w:rsidTr="0014299D">
        <w:trPr>
          <w:jc w:val="right"/>
        </w:trPr>
        <w:tc>
          <w:tcPr>
            <w:tcW w:w="941" w:type="pct"/>
            <w:tcBorders>
              <w:top w:val="nil"/>
              <w:left w:val="nil"/>
              <w:bottom w:val="nil"/>
              <w:right w:val="nil"/>
            </w:tcBorders>
          </w:tcPr>
          <w:p w14:paraId="34B5CEFD"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Observations</w:t>
            </w:r>
          </w:p>
        </w:tc>
        <w:tc>
          <w:tcPr>
            <w:tcW w:w="1548" w:type="pct"/>
            <w:tcBorders>
              <w:top w:val="nil"/>
              <w:left w:val="nil"/>
              <w:bottom w:val="nil"/>
              <w:right w:val="nil"/>
            </w:tcBorders>
          </w:tcPr>
          <w:p w14:paraId="3DD2A151"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3,598</w:t>
            </w:r>
          </w:p>
        </w:tc>
        <w:tc>
          <w:tcPr>
            <w:tcW w:w="1308" w:type="pct"/>
            <w:tcBorders>
              <w:top w:val="nil"/>
              <w:left w:val="nil"/>
              <w:bottom w:val="nil"/>
              <w:right w:val="nil"/>
            </w:tcBorders>
          </w:tcPr>
          <w:p w14:paraId="54837F5C"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2,790</w:t>
            </w:r>
          </w:p>
        </w:tc>
        <w:tc>
          <w:tcPr>
            <w:tcW w:w="1203" w:type="pct"/>
            <w:tcBorders>
              <w:top w:val="nil"/>
              <w:left w:val="nil"/>
              <w:bottom w:val="nil"/>
              <w:right w:val="nil"/>
            </w:tcBorders>
          </w:tcPr>
          <w:p w14:paraId="53B9CB94"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1,267</w:t>
            </w:r>
          </w:p>
        </w:tc>
      </w:tr>
      <w:tr w:rsidR="00910DE7" w14:paraId="519E1FC1" w14:textId="77777777" w:rsidTr="0014299D">
        <w:tblPrEx>
          <w:tblBorders>
            <w:bottom w:val="single" w:sz="6" w:space="0" w:color="auto"/>
          </w:tblBorders>
        </w:tblPrEx>
        <w:trPr>
          <w:jc w:val="right"/>
        </w:trPr>
        <w:tc>
          <w:tcPr>
            <w:tcW w:w="941" w:type="pct"/>
            <w:tcBorders>
              <w:top w:val="nil"/>
              <w:left w:val="nil"/>
              <w:bottom w:val="single" w:sz="6" w:space="0" w:color="auto"/>
              <w:right w:val="nil"/>
            </w:tcBorders>
          </w:tcPr>
          <w:p w14:paraId="0A950CB8" w14:textId="77777777" w:rsidR="00910DE7" w:rsidRPr="00910DE7" w:rsidRDefault="00910DE7" w:rsidP="00293BEF">
            <w:pPr>
              <w:autoSpaceDE w:val="0"/>
              <w:autoSpaceDN w:val="0"/>
              <w:adjustRightInd w:val="0"/>
              <w:jc w:val="left"/>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R-squared</w:t>
            </w:r>
          </w:p>
        </w:tc>
        <w:tc>
          <w:tcPr>
            <w:tcW w:w="1548" w:type="pct"/>
            <w:tcBorders>
              <w:top w:val="nil"/>
              <w:left w:val="nil"/>
              <w:bottom w:val="single" w:sz="6" w:space="0" w:color="auto"/>
              <w:right w:val="nil"/>
            </w:tcBorders>
          </w:tcPr>
          <w:p w14:paraId="1315B14F"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0.6616</w:t>
            </w:r>
          </w:p>
        </w:tc>
        <w:tc>
          <w:tcPr>
            <w:tcW w:w="1308" w:type="pct"/>
            <w:tcBorders>
              <w:top w:val="nil"/>
              <w:left w:val="nil"/>
              <w:bottom w:val="single" w:sz="6" w:space="0" w:color="auto"/>
              <w:right w:val="nil"/>
            </w:tcBorders>
          </w:tcPr>
          <w:p w14:paraId="423FDB99"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0.2333</w:t>
            </w:r>
          </w:p>
        </w:tc>
        <w:tc>
          <w:tcPr>
            <w:tcW w:w="1203" w:type="pct"/>
            <w:tcBorders>
              <w:top w:val="nil"/>
              <w:left w:val="nil"/>
              <w:bottom w:val="single" w:sz="6" w:space="0" w:color="auto"/>
              <w:right w:val="nil"/>
            </w:tcBorders>
          </w:tcPr>
          <w:p w14:paraId="26D84364" w14:textId="77777777" w:rsidR="00910DE7" w:rsidRPr="00910DE7" w:rsidRDefault="00910DE7" w:rsidP="00293BEF">
            <w:pPr>
              <w:autoSpaceDE w:val="0"/>
              <w:autoSpaceDN w:val="0"/>
              <w:adjustRightInd w:val="0"/>
              <w:jc w:val="center"/>
              <w:rPr>
                <w:rFonts w:ascii="Times New Roman" w:eastAsia="Times New Roman" w:hAnsi="Times New Roman" w:cs="Times New Roman"/>
                <w:snapToGrid w:val="0"/>
                <w:color w:val="000000" w:themeColor="text1"/>
                <w:szCs w:val="21"/>
                <w:lang w:eastAsia="de-DE" w:bidi="en-US"/>
              </w:rPr>
            </w:pPr>
            <w:r w:rsidRPr="00910DE7">
              <w:rPr>
                <w:rFonts w:ascii="Times New Roman" w:eastAsia="Times New Roman" w:hAnsi="Times New Roman" w:cs="Times New Roman"/>
                <w:snapToGrid w:val="0"/>
                <w:color w:val="000000" w:themeColor="text1"/>
                <w:szCs w:val="21"/>
                <w:lang w:eastAsia="de-DE" w:bidi="en-US"/>
              </w:rPr>
              <w:t>0.9693</w:t>
            </w:r>
          </w:p>
        </w:tc>
      </w:tr>
    </w:tbl>
    <w:p w14:paraId="307A0124" w14:textId="60C48D66" w:rsidR="00910DE7" w:rsidRPr="0014299D" w:rsidRDefault="0014299D" w:rsidP="0014299D">
      <w:pPr>
        <w:pStyle w:val="MDPI31text"/>
        <w:ind w:left="0" w:firstLineChars="200" w:firstLine="400"/>
        <w:rPr>
          <w:rFonts w:ascii="Times New Roman" w:eastAsiaTheme="minorEastAsia" w:hAnsi="Times New Roman"/>
          <w:lang w:eastAsia="zh-CN"/>
        </w:rPr>
      </w:pPr>
      <w:r w:rsidRPr="0014299D">
        <w:rPr>
          <w:rFonts w:ascii="Times New Roman" w:hAnsi="Times New Roman"/>
          <w:lang w:eastAsia="zh-CN"/>
        </w:rPr>
        <w:t>Note: Robust standard errors in parentheses: *** p&lt;0.01, ** p&lt;0.05, * p&lt;0.1 respectively.</w:t>
      </w:r>
    </w:p>
    <w:p w14:paraId="3C707CFF" w14:textId="3B57F543" w:rsidR="0014299D" w:rsidRDefault="0014299D" w:rsidP="00910DE7">
      <w:pPr>
        <w:spacing w:line="360" w:lineRule="auto"/>
        <w:rPr>
          <w:rFonts w:ascii="Times New Roman" w:hAnsi="Times New Roman"/>
          <w:b/>
          <w:bCs/>
          <w:color w:val="000000" w:themeColor="text1"/>
          <w:sz w:val="24"/>
        </w:rPr>
      </w:pPr>
      <w:r w:rsidRPr="0014299D">
        <w:rPr>
          <w:rFonts w:ascii="Times New Roman" w:hAnsi="Times New Roman" w:hint="eastAsia"/>
          <w:b/>
          <w:bCs/>
          <w:color w:val="000000" w:themeColor="text1"/>
          <w:sz w:val="24"/>
        </w:rPr>
        <w:t>6. Conclusions and suggestions for countermeasures</w:t>
      </w:r>
    </w:p>
    <w:p w14:paraId="78FD097C" w14:textId="1AB4E689" w:rsidR="00FA66A7" w:rsidRDefault="00D01657" w:rsidP="00FA66A7">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Ecosystem crises exhibit growing severity, and recent years have seen a growing </w:t>
      </w:r>
      <w:r w:rsidRPr="00D01657">
        <w:rPr>
          <w:rFonts w:ascii="Times New Roman" w:hAnsi="Times New Roman"/>
          <w:color w:val="000000" w:themeColor="text1"/>
          <w:sz w:val="24"/>
        </w:rPr>
        <w:lastRenderedPageBreak/>
        <w:t>consensus on enhancing environmental monitoring and protection [</w:t>
      </w:r>
      <w:r w:rsidR="00AE1301">
        <w:rPr>
          <w:rFonts w:ascii="Times New Roman" w:hAnsi="Times New Roman" w:hint="eastAsia"/>
          <w:color w:val="000000" w:themeColor="text1"/>
          <w:sz w:val="24"/>
        </w:rPr>
        <w:t>38</w:t>
      </w:r>
      <w:r w:rsidRPr="00D01657">
        <w:rPr>
          <w:rFonts w:ascii="Times New Roman" w:hAnsi="Times New Roman"/>
          <w:color w:val="000000" w:themeColor="text1"/>
          <w:sz w:val="24"/>
        </w:rPr>
        <w:t>]. This study empirically investigates the influence of low-carbon city pilot policies on regional green innovation, with special emphasis on ecological attention mechanisms.</w:t>
      </w:r>
      <w:r>
        <w:rPr>
          <w:rFonts w:ascii="Times New Roman" w:hAnsi="Times New Roman" w:hint="eastAsia"/>
          <w:color w:val="000000" w:themeColor="text1"/>
          <w:sz w:val="24"/>
        </w:rPr>
        <w:t xml:space="preserve"> </w:t>
      </w:r>
      <w:r w:rsidR="00FA66A7" w:rsidRPr="00FA66A7">
        <w:rPr>
          <w:rFonts w:ascii="Times New Roman" w:hAnsi="Times New Roman"/>
          <w:color w:val="000000" w:themeColor="text1"/>
          <w:sz w:val="24"/>
        </w:rPr>
        <w:t>Analyzing prefecture-level city green patent data reveals these policies significantly stimulate green innovation, exhibiting stronger effects on invention patents than utility models. Baseline results prove robust across multiple specification checks—including parallel trends, variable substitution, and temporal adjustments. As a key contribution, we validate ecological attention as a critical transmission channel: policy implementation elevates governmental and public environmental engagement, subsequently enhancing regional innovation outcomes. Notably, public ecological attention demonstrates stronger innovation-driving effects than its governmental counterpart.</w:t>
      </w:r>
    </w:p>
    <w:p w14:paraId="47DA7065" w14:textId="4EEBFD13" w:rsidR="006100FB" w:rsidRDefault="00584F20" w:rsidP="0014299D">
      <w:pPr>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Our</w:t>
      </w:r>
      <w:r w:rsidR="00D01657" w:rsidRPr="00D01657">
        <w:rPr>
          <w:rFonts w:ascii="Times New Roman" w:hAnsi="Times New Roman"/>
          <w:color w:val="000000" w:themeColor="text1"/>
          <w:sz w:val="24"/>
        </w:rPr>
        <w:t xml:space="preserve"> paper advances the following policy implications aimed at enhancing low-carbon city pilot initiatives and green innovation.</w:t>
      </w:r>
    </w:p>
    <w:p w14:paraId="316B006D" w14:textId="77777777" w:rsidR="00D01657" w:rsidRPr="00D01657" w:rsidRDefault="00D01657" w:rsidP="00D01657">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(1) This study confirms that low-carbon city pilot policies effectively stimulate green innovation, propelling China's sustainable development and accelerating progress toward carbon peaking and neutrality targets. As China shifts toward high-quality economic growth, ecological governance proves instrumental in transforming development models. These findings support national objectives to leverage green technology for quality growth, indicating that pilot cities should systematically evaluate implementation experiences to establish replicable frameworks and strategically expand policy coverage. </w:t>
      </w:r>
    </w:p>
    <w:p w14:paraId="7089489F" w14:textId="77777777" w:rsidR="00D01657" w:rsidRDefault="00D01657" w:rsidP="006100FB">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 xml:space="preserve">(2) Geographical and resource endowment heterogeneity exists in the effects of low-carbon city pilot policies. Regions should establish differentiated policy goals to further promote green innovation development. Our heterogeneity analysis reveals that due to variations in economic conditions, infrastructure, industrial composition, and resource endowments, policy effects in central inland cities are less pronounced compared to eastern coastal developed cities. Consequently, each pilot city—particularly central inland ones—should leverage local economic levels and industrial structures, exercising subjective initiative to formulate feasible low-carbon policy guidance. This approach enhances implementation effectiveness and accelerates </w:t>
      </w:r>
      <w:r w:rsidRPr="00D01657">
        <w:rPr>
          <w:rFonts w:ascii="Times New Roman" w:hAnsi="Times New Roman"/>
          <w:color w:val="000000" w:themeColor="text1"/>
          <w:sz w:val="24"/>
        </w:rPr>
        <w:lastRenderedPageBreak/>
        <w:t>regional green innovation.</w:t>
      </w:r>
      <w:r w:rsidRPr="00D01657">
        <w:rPr>
          <w:rFonts w:ascii="Times New Roman" w:hAnsi="Times New Roman" w:hint="eastAsia"/>
          <w:color w:val="000000" w:themeColor="text1"/>
          <w:sz w:val="24"/>
        </w:rPr>
        <w:t xml:space="preserve"> </w:t>
      </w:r>
    </w:p>
    <w:p w14:paraId="6CC1DD1D" w14:textId="6A16AAB7" w:rsidR="00D01657" w:rsidRDefault="00D01657" w:rsidP="006100FB">
      <w:pPr>
        <w:spacing w:line="360" w:lineRule="auto"/>
        <w:ind w:firstLineChars="200" w:firstLine="480"/>
        <w:rPr>
          <w:rFonts w:ascii="Times New Roman" w:hAnsi="Times New Roman"/>
          <w:color w:val="000000" w:themeColor="text1"/>
          <w:sz w:val="24"/>
        </w:rPr>
      </w:pPr>
      <w:r w:rsidRPr="00D01657">
        <w:rPr>
          <w:rFonts w:ascii="Times New Roman" w:hAnsi="Times New Roman"/>
          <w:color w:val="000000" w:themeColor="text1"/>
          <w:sz w:val="24"/>
        </w:rPr>
        <w:t>(3) Given the low-carbon city pilot policy’s weak binding power, policymakers must enhance supervision and guidance. Our analysis of ecological attention mechanisms shows that while both municipal government and public ecological attention promote green innovation, public attention exerts a noticeably stronger effect. As a weakly binding policy, the current framework inadequately stimulates green innovation. Policymakers should therefore strengthen policy bindingness during formulation and provide reasonable supervision and guidance to pilot cities.</w:t>
      </w:r>
    </w:p>
    <w:p w14:paraId="77FEFB16" w14:textId="063F0FDF" w:rsidR="00B424FF" w:rsidRDefault="00642E56" w:rsidP="00507BAA">
      <w:pPr>
        <w:spacing w:line="360" w:lineRule="auto"/>
        <w:ind w:firstLineChars="200" w:firstLine="480"/>
        <w:rPr>
          <w:rFonts w:ascii="Times New Roman" w:hAnsi="Times New Roman"/>
          <w:color w:val="000000" w:themeColor="text1"/>
          <w:sz w:val="24"/>
        </w:rPr>
      </w:pPr>
      <w:r w:rsidRPr="00642E56">
        <w:rPr>
          <w:rFonts w:ascii="Times New Roman" w:hAnsi="Times New Roman" w:hint="eastAsia"/>
          <w:color w:val="000000" w:themeColor="text1"/>
          <w:sz w:val="24"/>
        </w:rPr>
        <w:t xml:space="preserve">While this study provides initial evidence of </w:t>
      </w:r>
      <w:r w:rsidR="00960938">
        <w:rPr>
          <w:rFonts w:ascii="Times New Roman" w:hAnsi="Times New Roman" w:hint="eastAsia"/>
          <w:color w:val="000000" w:themeColor="text1"/>
          <w:sz w:val="24"/>
        </w:rPr>
        <w:t>LCCPs</w:t>
      </w:r>
      <w:r w:rsidRPr="00642E56">
        <w:rPr>
          <w:rFonts w:ascii="Times New Roman" w:hAnsi="Times New Roman" w:hint="eastAsia"/>
          <w:color w:val="000000" w:themeColor="text1"/>
          <w:sz w:val="24"/>
        </w:rPr>
        <w:t>' impact on green innovation, several limitations warrant acknowledgment. First, our hysteresis analysis indicates policy effects exhibit time lags; however, comprehensive assessment is precluded by insufficient post-2017 data coverage following the third policy batch. Second, ecological attention measurement relies on keyword proxies due to data constraints, limiting empirical validation of its innovation mechanisms. These findings necessitate further verification through longitudinal data and refined attention metrics. Finally, as low-carbon city pilots represent an ongoing, expanding initiative, future research should exploit extended time horizons for multidimensional policy evaluation.</w:t>
      </w:r>
    </w:p>
    <w:p w14:paraId="4DE1265D" w14:textId="77777777" w:rsidR="00076899" w:rsidRDefault="00076899" w:rsidP="00076899">
      <w:pPr>
        <w:spacing w:line="360" w:lineRule="auto"/>
        <w:rPr>
          <w:rFonts w:ascii="Times New Roman" w:hAnsi="Times New Roman"/>
          <w:color w:val="000000" w:themeColor="text1"/>
          <w:sz w:val="24"/>
        </w:rPr>
      </w:pPr>
    </w:p>
    <w:p w14:paraId="14DB9528" w14:textId="34030DF4" w:rsidR="00B424FF" w:rsidRDefault="00076899" w:rsidP="00AB5C95">
      <w:pPr>
        <w:spacing w:line="360" w:lineRule="auto"/>
        <w:rPr>
          <w:rFonts w:ascii="Times New Roman" w:hAnsi="Times New Roman"/>
          <w:color w:val="000000" w:themeColor="text1"/>
          <w:sz w:val="24"/>
        </w:rPr>
      </w:pPr>
      <w:bookmarkStart w:id="1" w:name="_GoBack"/>
      <w:bookmarkEnd w:id="1"/>
      <w:r w:rsidRPr="00076899">
        <w:rPr>
          <w:rFonts w:ascii="Times New Roman" w:hAnsi="Times New Roman" w:cs="Times New Roman" w:hint="eastAsia"/>
          <w:b/>
          <w:bCs/>
          <w:kern w:val="0"/>
          <w:sz w:val="24"/>
          <w:szCs w:val="24"/>
          <w:lang w:val="en-GB" w:eastAsia="en-GB"/>
          <w14:ligatures w14:val="none"/>
        </w:rPr>
        <w:t xml:space="preserve">Ethics </w:t>
      </w:r>
      <w:r>
        <w:rPr>
          <w:rFonts w:ascii="Times New Roman" w:hAnsi="Times New Roman" w:cs="Times New Roman" w:hint="eastAsia"/>
          <w:b/>
          <w:bCs/>
          <w:kern w:val="0"/>
          <w:sz w:val="24"/>
          <w:szCs w:val="24"/>
          <w:lang w:val="en-GB"/>
          <w14:ligatures w14:val="none"/>
        </w:rPr>
        <w:t>S</w:t>
      </w:r>
      <w:r w:rsidRPr="00076899">
        <w:rPr>
          <w:rFonts w:ascii="Times New Roman" w:hAnsi="Times New Roman" w:cs="Times New Roman" w:hint="eastAsia"/>
          <w:b/>
          <w:bCs/>
          <w:kern w:val="0"/>
          <w:sz w:val="24"/>
          <w:szCs w:val="24"/>
          <w:lang w:val="en-GB" w:eastAsia="en-GB"/>
          <w14:ligatures w14:val="none"/>
        </w:rPr>
        <w:t>tatement</w:t>
      </w:r>
      <w:r w:rsidR="00507BAA" w:rsidRPr="00507BAA">
        <w:rPr>
          <w:rFonts w:ascii="Times New Roman" w:hAnsi="Times New Roman" w:cs="Times New Roman" w:hint="eastAsia"/>
          <w:b/>
          <w:bCs/>
          <w:kern w:val="0"/>
          <w:sz w:val="24"/>
          <w:szCs w:val="24"/>
          <w:lang w:val="en-GB" w:eastAsia="en-GB"/>
          <w14:ligatures w14:val="none"/>
        </w:rPr>
        <w:t xml:space="preserve">: </w:t>
      </w:r>
      <w:r w:rsidR="00507BAA">
        <w:rPr>
          <w:rFonts w:ascii="Times New Roman" w:hAnsi="Times New Roman" w:hint="eastAsia"/>
          <w:color w:val="000000" w:themeColor="text1"/>
          <w:sz w:val="24"/>
        </w:rPr>
        <w:t>N</w:t>
      </w:r>
      <w:r w:rsidR="00507BAA" w:rsidRPr="00507BAA">
        <w:rPr>
          <w:rFonts w:ascii="Times New Roman" w:hAnsi="Times New Roman" w:hint="eastAsia"/>
          <w:color w:val="000000" w:themeColor="text1"/>
          <w:sz w:val="24"/>
        </w:rPr>
        <w:t xml:space="preserve">ot </w:t>
      </w:r>
      <w:r w:rsidR="00507BAA">
        <w:rPr>
          <w:rFonts w:ascii="Times New Roman" w:hAnsi="Times New Roman" w:hint="eastAsia"/>
          <w:color w:val="000000" w:themeColor="text1"/>
          <w:sz w:val="24"/>
        </w:rPr>
        <w:t>a</w:t>
      </w:r>
      <w:r w:rsidR="00507BAA" w:rsidRPr="00507BAA">
        <w:rPr>
          <w:rFonts w:ascii="Times New Roman" w:hAnsi="Times New Roman" w:hint="eastAsia"/>
          <w:color w:val="000000" w:themeColor="text1"/>
          <w:sz w:val="24"/>
        </w:rPr>
        <w:t>pplicable.</w:t>
      </w:r>
    </w:p>
    <w:p w14:paraId="7252A5F2" w14:textId="281E6029" w:rsidR="00076899" w:rsidRDefault="00076899" w:rsidP="00AB5C95">
      <w:pPr>
        <w:spacing w:line="360" w:lineRule="auto"/>
        <w:rPr>
          <w:rFonts w:ascii="Times New Roman" w:hAnsi="Times New Roman"/>
          <w:color w:val="000000" w:themeColor="text1"/>
          <w:sz w:val="24"/>
        </w:rPr>
      </w:pPr>
      <w:r w:rsidRPr="00076899">
        <w:rPr>
          <w:rFonts w:ascii="Times New Roman" w:hAnsi="Times New Roman" w:cs="Times New Roman" w:hint="eastAsia"/>
          <w:b/>
          <w:bCs/>
          <w:kern w:val="0"/>
          <w:sz w:val="24"/>
          <w:szCs w:val="24"/>
          <w:lang w:val="en-GB" w:eastAsia="en-GB"/>
          <w14:ligatures w14:val="none"/>
        </w:rPr>
        <w:t xml:space="preserve">Clinical Trial Number: </w:t>
      </w:r>
      <w:r>
        <w:rPr>
          <w:rFonts w:ascii="Times New Roman" w:hAnsi="Times New Roman" w:hint="eastAsia"/>
          <w:color w:val="000000" w:themeColor="text1"/>
          <w:sz w:val="24"/>
        </w:rPr>
        <w:t>N</w:t>
      </w:r>
      <w:r w:rsidRPr="00507BAA">
        <w:rPr>
          <w:rFonts w:ascii="Times New Roman" w:hAnsi="Times New Roman" w:hint="eastAsia"/>
          <w:color w:val="000000" w:themeColor="text1"/>
          <w:sz w:val="24"/>
        </w:rPr>
        <w:t xml:space="preserve">ot </w:t>
      </w:r>
      <w:r>
        <w:rPr>
          <w:rFonts w:ascii="Times New Roman" w:hAnsi="Times New Roman" w:hint="eastAsia"/>
          <w:color w:val="000000" w:themeColor="text1"/>
          <w:sz w:val="24"/>
        </w:rPr>
        <w:t>a</w:t>
      </w:r>
      <w:r w:rsidRPr="00507BAA">
        <w:rPr>
          <w:rFonts w:ascii="Times New Roman" w:hAnsi="Times New Roman" w:hint="eastAsia"/>
          <w:color w:val="000000" w:themeColor="text1"/>
          <w:sz w:val="24"/>
        </w:rPr>
        <w:t>pplicable.</w:t>
      </w:r>
    </w:p>
    <w:p w14:paraId="33D307BD" w14:textId="7932B8AF" w:rsidR="003A5C0E" w:rsidRPr="003A5C0E" w:rsidRDefault="003A5C0E" w:rsidP="00076899">
      <w:pPr>
        <w:spacing w:line="360" w:lineRule="auto"/>
        <w:rPr>
          <w:rFonts w:ascii="Times New Roman" w:hAnsi="Times New Roman" w:cs="Times New Roman"/>
          <w:b/>
          <w:bCs/>
          <w:kern w:val="0"/>
          <w:sz w:val="24"/>
          <w:szCs w:val="24"/>
          <w:lang w:val="en-GB"/>
          <w14:ligatures w14:val="none"/>
        </w:rPr>
      </w:pPr>
      <w:r w:rsidRPr="003A5C0E">
        <w:rPr>
          <w:rFonts w:ascii="Times New Roman" w:hAnsi="Times New Roman" w:cs="Times New Roman" w:hint="eastAsia"/>
          <w:b/>
          <w:bCs/>
          <w:kern w:val="0"/>
          <w:sz w:val="24"/>
          <w:szCs w:val="24"/>
          <w:lang w:val="en-GB" w:eastAsia="en-GB"/>
          <w14:ligatures w14:val="none"/>
        </w:rPr>
        <w:t>Publish declaration</w:t>
      </w:r>
      <w:r>
        <w:rPr>
          <w:rFonts w:ascii="Times New Roman" w:hAnsi="Times New Roman" w:cs="Times New Roman" w:hint="eastAsia"/>
          <w:b/>
          <w:bCs/>
          <w:kern w:val="0"/>
          <w:sz w:val="24"/>
          <w:szCs w:val="24"/>
          <w:lang w:val="en-GB"/>
          <w14:ligatures w14:val="none"/>
        </w:rPr>
        <w:t xml:space="preserve">: </w:t>
      </w:r>
      <w:r w:rsidR="007A34DD" w:rsidRPr="007A34DD">
        <w:rPr>
          <w:rFonts w:ascii="Times New Roman" w:hAnsi="Times New Roman" w:cs="Times New Roman" w:hint="eastAsia"/>
          <w:kern w:val="0"/>
          <w:sz w:val="24"/>
          <w:szCs w:val="24"/>
          <w:lang w:val="en-GB" w:eastAsia="en-GB"/>
          <w14:ligatures w14:val="none"/>
        </w:rPr>
        <w:t>All authors have read and approved the final manuscript.</w:t>
      </w:r>
    </w:p>
    <w:p w14:paraId="78634BAB" w14:textId="7E8D973D" w:rsidR="00507BAA" w:rsidRDefault="00B9718E" w:rsidP="00AB5C95">
      <w:pPr>
        <w:spacing w:line="360" w:lineRule="auto"/>
        <w:rPr>
          <w:rFonts w:ascii="Times New Roman" w:hAnsi="Times New Roman"/>
          <w:color w:val="000000" w:themeColor="text1"/>
          <w:sz w:val="24"/>
        </w:rPr>
      </w:pPr>
      <w:r w:rsidRPr="00B9718E">
        <w:rPr>
          <w:rFonts w:ascii="Times New Roman" w:hAnsi="Times New Roman" w:cs="Times New Roman"/>
          <w:b/>
          <w:bCs/>
          <w:kern w:val="0"/>
          <w:sz w:val="24"/>
          <w:szCs w:val="24"/>
          <w:lang w:val="en-GB" w:eastAsia="en-GB"/>
          <w14:ligatures w14:val="none"/>
        </w:rPr>
        <w:t xml:space="preserve">Ethics and Consent to Participate declarations: </w:t>
      </w:r>
      <w:r>
        <w:rPr>
          <w:rFonts w:ascii="Times New Roman" w:hAnsi="Times New Roman" w:hint="eastAsia"/>
          <w:color w:val="000000" w:themeColor="text1"/>
          <w:sz w:val="24"/>
        </w:rPr>
        <w:t>N</w:t>
      </w:r>
      <w:r w:rsidRPr="00B9718E">
        <w:rPr>
          <w:rFonts w:ascii="Times New Roman" w:hAnsi="Times New Roman"/>
          <w:color w:val="000000" w:themeColor="text1"/>
          <w:sz w:val="24"/>
        </w:rPr>
        <w:t>ot applicable</w:t>
      </w:r>
      <w:r>
        <w:rPr>
          <w:rFonts w:ascii="Times New Roman" w:hAnsi="Times New Roman" w:hint="eastAsia"/>
          <w:color w:val="000000" w:themeColor="text1"/>
          <w:sz w:val="24"/>
        </w:rPr>
        <w:t>.</w:t>
      </w:r>
    </w:p>
    <w:p w14:paraId="7C314BE9" w14:textId="712860D2" w:rsidR="00C36A6B" w:rsidRDefault="00C36A6B" w:rsidP="00AB5C95">
      <w:pPr>
        <w:spacing w:line="360" w:lineRule="auto"/>
        <w:rPr>
          <w:rFonts w:ascii="Times New Roman" w:hAnsi="Times New Roman" w:cs="Times New Roman"/>
          <w:kern w:val="0"/>
          <w:sz w:val="24"/>
          <w:szCs w:val="24"/>
          <w:lang w:val="en-GB" w:eastAsia="en-GB"/>
          <w14:ligatures w14:val="none"/>
        </w:rPr>
      </w:pPr>
      <w:r w:rsidRPr="00C36A6B">
        <w:rPr>
          <w:rFonts w:ascii="Times New Roman" w:hAnsi="Times New Roman"/>
          <w:b/>
          <w:bCs/>
          <w:color w:val="000000" w:themeColor="text1"/>
          <w:sz w:val="24"/>
        </w:rPr>
        <w:t>Permission to use third-party material</w:t>
      </w:r>
      <w:r>
        <w:rPr>
          <w:rFonts w:ascii="Times New Roman" w:hAnsi="Times New Roman" w:hint="eastAsia"/>
          <w:b/>
          <w:bCs/>
          <w:color w:val="000000" w:themeColor="text1"/>
          <w:sz w:val="24"/>
        </w:rPr>
        <w:t xml:space="preserve">: </w:t>
      </w:r>
      <w:r w:rsidRPr="00C36A6B">
        <w:rPr>
          <w:rFonts w:ascii="Times New Roman" w:hAnsi="Times New Roman" w:cs="Times New Roman" w:hint="eastAsia"/>
          <w:kern w:val="0"/>
          <w:sz w:val="24"/>
          <w:szCs w:val="24"/>
          <w:lang w:val="en-GB" w:eastAsia="en-GB"/>
          <w14:ligatures w14:val="none"/>
        </w:rPr>
        <w:t>Not applicable.</w:t>
      </w:r>
    </w:p>
    <w:p w14:paraId="33F35DA6" w14:textId="29C87965" w:rsidR="00C363D5" w:rsidRDefault="00C363D5" w:rsidP="00AB5C95">
      <w:pPr>
        <w:spacing w:line="360" w:lineRule="auto"/>
        <w:rPr>
          <w:rFonts w:ascii="Times New Roman" w:hAnsi="Times New Roman" w:cs="Times New Roman"/>
          <w:kern w:val="0"/>
          <w:sz w:val="24"/>
          <w:szCs w:val="24"/>
          <w:lang w:val="en-GB"/>
          <w14:ligatures w14:val="none"/>
        </w:rPr>
      </w:pPr>
      <w:r w:rsidRPr="00C363D5">
        <w:rPr>
          <w:rFonts w:ascii="Times New Roman" w:hAnsi="Times New Roman" w:cs="Times New Roman"/>
          <w:b/>
          <w:bCs/>
          <w:kern w:val="0"/>
          <w:sz w:val="24"/>
          <w:szCs w:val="24"/>
          <w:lang w:eastAsia="en-GB"/>
          <w14:ligatures w14:val="none"/>
        </w:rPr>
        <w:t>Data availability</w:t>
      </w:r>
      <w:r>
        <w:rPr>
          <w:rFonts w:ascii="Times New Roman" w:hAnsi="Times New Roman" w:cs="Times New Roman" w:hint="eastAsia"/>
          <w:b/>
          <w:bCs/>
          <w:kern w:val="0"/>
          <w:sz w:val="24"/>
          <w:szCs w:val="24"/>
          <w14:ligatures w14:val="none"/>
        </w:rPr>
        <w:t xml:space="preserve">: </w:t>
      </w:r>
      <w:r w:rsidRPr="00C36A6B">
        <w:rPr>
          <w:rFonts w:ascii="Times New Roman" w:hAnsi="Times New Roman" w:cs="Times New Roman" w:hint="eastAsia"/>
          <w:kern w:val="0"/>
          <w:sz w:val="24"/>
          <w:szCs w:val="24"/>
          <w:lang w:val="en-GB" w:eastAsia="en-GB"/>
          <w14:ligatures w14:val="none"/>
        </w:rPr>
        <w:t>Not applicable.</w:t>
      </w:r>
    </w:p>
    <w:p w14:paraId="06907500" w14:textId="6EE52556" w:rsidR="00C36A6B" w:rsidRPr="00C36A6B" w:rsidRDefault="00C36A6B" w:rsidP="00C36A6B">
      <w:pPr>
        <w:widowControl/>
        <w:jc w:val="left"/>
        <w:rPr>
          <w:rFonts w:ascii="Times New Roman" w:hAnsi="Times New Roman" w:cs="Times New Roman"/>
          <w:kern w:val="0"/>
          <w:sz w:val="24"/>
          <w:szCs w:val="24"/>
          <w:lang w:val="en-GB"/>
          <w14:ligatures w14:val="none"/>
        </w:rPr>
      </w:pPr>
      <w:r>
        <w:rPr>
          <w:rFonts w:ascii="Times New Roman" w:hAnsi="Times New Roman" w:cs="Times New Roman"/>
          <w:kern w:val="0"/>
          <w:sz w:val="24"/>
          <w:szCs w:val="24"/>
          <w:lang w:val="en-GB" w:eastAsia="en-GB"/>
          <w14:ligatures w14:val="none"/>
        </w:rPr>
        <w:br w:type="page"/>
      </w:r>
    </w:p>
    <w:p w14:paraId="03BAC6CF" w14:textId="4C058427" w:rsidR="00AB5C95" w:rsidRDefault="00AB5C95" w:rsidP="00AB5C95">
      <w:pPr>
        <w:spacing w:line="360" w:lineRule="auto"/>
        <w:rPr>
          <w:rFonts w:ascii="Times New Roman" w:hAnsi="Times New Roman"/>
          <w:b/>
          <w:bCs/>
          <w:color w:val="000000" w:themeColor="text1"/>
          <w:sz w:val="24"/>
        </w:rPr>
      </w:pPr>
      <w:r w:rsidRPr="00AB5C95">
        <w:rPr>
          <w:rFonts w:ascii="Times New Roman" w:hAnsi="Times New Roman" w:hint="eastAsia"/>
          <w:b/>
          <w:bCs/>
          <w:color w:val="000000" w:themeColor="text1"/>
          <w:sz w:val="24"/>
        </w:rPr>
        <w:lastRenderedPageBreak/>
        <w:t>References</w:t>
      </w:r>
    </w:p>
    <w:p w14:paraId="76981510" w14:textId="1FFD30AF" w:rsidR="00AB5C95" w:rsidRPr="00AB5C95" w:rsidRDefault="00AB5C95" w:rsidP="008F53F6">
      <w:pPr>
        <w:pStyle w:val="ListParagraph"/>
        <w:numPr>
          <w:ilvl w:val="0"/>
          <w:numId w:val="3"/>
        </w:numPr>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Lan, X. Exploration of carbon emission governance in China's new low-carbon cities under the double carbon target. Hebei Public Policy Evaluation Research Center. Proceedings of the Tenth Public Policy Think Tank Forum and International Symposium on Chinese Modernization, 2022:6. </w:t>
      </w:r>
      <w:proofErr w:type="gramStart"/>
      <w:r w:rsidRPr="00AB5C95">
        <w:rPr>
          <w:rFonts w:ascii="Times New Roman" w:hAnsi="Times New Roman" w:cs="Times New Roman"/>
          <w:color w:val="000000" w:themeColor="text1"/>
          <w:sz w:val="24"/>
        </w:rPr>
        <w:t>DOI:10.26914/c.cnkihy</w:t>
      </w:r>
      <w:proofErr w:type="gramEnd"/>
      <w:r w:rsidRPr="00AB5C95">
        <w:rPr>
          <w:rFonts w:ascii="Times New Roman" w:hAnsi="Times New Roman" w:cs="Times New Roman"/>
          <w:color w:val="000000" w:themeColor="text1"/>
          <w:sz w:val="24"/>
        </w:rPr>
        <w:t>.2022.035771.</w:t>
      </w:r>
    </w:p>
    <w:p w14:paraId="44DB6BA5"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Wang, F.; Ge, X. Can Low-carbon Transition impact Employment——Empirical Evidence from Low-carbon City Pilot Policy. China Industrial Economics,2022, No.410(05):81-99. </w:t>
      </w:r>
      <w:proofErr w:type="gramStart"/>
      <w:r w:rsidRPr="00AB5C95">
        <w:rPr>
          <w:rFonts w:ascii="Times New Roman" w:hAnsi="Times New Roman" w:cs="Times New Roman"/>
          <w:color w:val="000000" w:themeColor="text1"/>
          <w:sz w:val="24"/>
        </w:rPr>
        <w:t>DOI:10.19581/j.cnki.ciejournal</w:t>
      </w:r>
      <w:proofErr w:type="gramEnd"/>
      <w:r w:rsidRPr="00AB5C95">
        <w:rPr>
          <w:rFonts w:ascii="Times New Roman" w:hAnsi="Times New Roman" w:cs="Times New Roman"/>
          <w:color w:val="000000" w:themeColor="text1"/>
          <w:sz w:val="24"/>
        </w:rPr>
        <w:t>.2022.05.004.</w:t>
      </w:r>
    </w:p>
    <w:p w14:paraId="30BD80DE"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Zhao, Z.; Cheng, Z.; Lu, D. Has the national low-carbon strategy increased companies' total factor productivity? -- A quasi-natural experiment based on a low-carbon city pilot. Industrial Economics Research,2021, No.115(06):101-115. </w:t>
      </w:r>
      <w:proofErr w:type="gramStart"/>
      <w:r w:rsidRPr="00AB5C95">
        <w:rPr>
          <w:rFonts w:ascii="Times New Roman" w:hAnsi="Times New Roman" w:cs="Times New Roman"/>
          <w:color w:val="000000" w:themeColor="text1"/>
          <w:sz w:val="24"/>
        </w:rPr>
        <w:t>DOI:10.13269/j.cnki.ier</w:t>
      </w:r>
      <w:proofErr w:type="gramEnd"/>
      <w:r w:rsidRPr="00AB5C95">
        <w:rPr>
          <w:rFonts w:ascii="Times New Roman" w:hAnsi="Times New Roman" w:cs="Times New Roman"/>
          <w:color w:val="000000" w:themeColor="text1"/>
          <w:sz w:val="24"/>
        </w:rPr>
        <w:t>.2021.06.008.</w:t>
      </w:r>
    </w:p>
    <w:p w14:paraId="71059C03"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Liu, Q.; Gui, Y.; Wang, W.; Wang, H. Macro-environmental Regulation and Corporate Financial Constraints - A Quasi-Natural Experiment of China’s Low-Carbon City Pilot. Energy RESEARCH LETTERS, 2023, vol. 3, issue 4, 1-7</w:t>
      </w:r>
    </w:p>
    <w:p w14:paraId="7F3F1759"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Pan, A.; Zhang, W.; Shi, X.; Dai, L. Climate policy and low-carbon innovation: Evidence from low-carbon city pilots in China. Energy Economics, 2022, vol. 112, issue C.</w:t>
      </w:r>
    </w:p>
    <w:p w14:paraId="326F9FB4" w14:textId="756D0609" w:rsidR="00AB5C95" w:rsidRPr="00AB5C95" w:rsidRDefault="00AB5C95" w:rsidP="008F53F6">
      <w:pPr>
        <w:pStyle w:val="ListParagraph"/>
        <w:numPr>
          <w:ilvl w:val="0"/>
          <w:numId w:val="3"/>
        </w:numPr>
        <w:spacing w:before="100" w:beforeAutospacing="1" w:after="100" w:afterAutospacing="1"/>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Cheng, J.; Yi, J.; Dai, S.; Xiong, Y. Can low-carbon city construction facilitate green growth? Evidence from China's pilot low-carbon city initiative. Journal of Cleaner Production, </w:t>
      </w:r>
      <w:proofErr w:type="gramStart"/>
      <w:r w:rsidRPr="00AB5C95">
        <w:rPr>
          <w:rFonts w:ascii="Times New Roman" w:hAnsi="Times New Roman" w:cs="Times New Roman"/>
          <w:color w:val="000000" w:themeColor="text1"/>
          <w:sz w:val="24"/>
        </w:rPr>
        <w:t>2019,(</w:t>
      </w:r>
      <w:proofErr w:type="gramEnd"/>
      <w:r w:rsidRPr="00AB5C95">
        <w:rPr>
          <w:rFonts w:ascii="Times New Roman" w:hAnsi="Times New Roman" w:cs="Times New Roman"/>
          <w:color w:val="000000" w:themeColor="text1"/>
          <w:sz w:val="24"/>
        </w:rPr>
        <w:t>231)</w:t>
      </w:r>
      <w:r w:rsidR="008F53F6">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1158-1170.</w:t>
      </w:r>
    </w:p>
    <w:p w14:paraId="7F4E854B"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Wang, Y.; Tao, W. Influence and effect of China's pilot low-carbon city initiative on urban green total factor productivity growth. China Population - Resources and Environment,2021,31(06):78-89.</w:t>
      </w:r>
    </w:p>
    <w:p w14:paraId="025C8456" w14:textId="17A6079A"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Zhang, H. Can Low-carbon City Construction reduce carbon emissions? Evidence from a quasi-natural experiment. Economic Management,2020,42(06):25-41.</w:t>
      </w:r>
    </w:p>
    <w:p w14:paraId="324D94E9" w14:textId="6E1BF04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Chen, N.;</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Zhuang, G.;</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Zhu, S.; Wang, D.; Li, J. Chinese Journal of Urban and Environmental Studies (CJUES), 2021, vol. 09, issue 01, 1-26</w:t>
      </w:r>
    </w:p>
    <w:p w14:paraId="655674ED" w14:textId="359786C3"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Johnstone, N. </w:t>
      </w:r>
      <w:proofErr w:type="spellStart"/>
      <w:r w:rsidRPr="00AB5C95">
        <w:rPr>
          <w:rFonts w:ascii="Times New Roman" w:hAnsi="Times New Roman" w:cs="Times New Roman"/>
          <w:color w:val="000000" w:themeColor="text1"/>
          <w:sz w:val="24"/>
        </w:rPr>
        <w:t>Hascic</w:t>
      </w:r>
      <w:proofErr w:type="spellEnd"/>
      <w:r w:rsidRPr="00AB5C95">
        <w:rPr>
          <w:rFonts w:ascii="Times New Roman" w:hAnsi="Times New Roman" w:cs="Times New Roman"/>
          <w:color w:val="000000" w:themeColor="text1"/>
          <w:sz w:val="24"/>
        </w:rPr>
        <w:t xml:space="preserve">, I. Poirier, J. </w:t>
      </w:r>
      <w:proofErr w:type="spellStart"/>
      <w:r w:rsidRPr="00AB5C95">
        <w:rPr>
          <w:rFonts w:ascii="Times New Roman" w:hAnsi="Times New Roman" w:cs="Times New Roman"/>
          <w:color w:val="000000" w:themeColor="text1"/>
          <w:sz w:val="24"/>
        </w:rPr>
        <w:t>Hemar</w:t>
      </w:r>
      <w:proofErr w:type="spellEnd"/>
      <w:r w:rsidRPr="00AB5C95">
        <w:rPr>
          <w:rFonts w:ascii="Times New Roman" w:hAnsi="Times New Roman" w:cs="Times New Roman"/>
          <w:color w:val="000000" w:themeColor="text1"/>
          <w:sz w:val="24"/>
        </w:rPr>
        <w:t xml:space="preserve">, M. and Michel, </w:t>
      </w:r>
      <w:proofErr w:type="gramStart"/>
      <w:r w:rsidRPr="00AB5C95">
        <w:rPr>
          <w:rFonts w:ascii="Times New Roman" w:hAnsi="Times New Roman" w:cs="Times New Roman"/>
          <w:color w:val="000000" w:themeColor="text1"/>
          <w:sz w:val="24"/>
        </w:rPr>
        <w:t>C .</w:t>
      </w:r>
      <w:proofErr w:type="gramEnd"/>
      <w:r w:rsidRPr="00AB5C95">
        <w:rPr>
          <w:rFonts w:ascii="Times New Roman" w:hAnsi="Times New Roman" w:cs="Times New Roman"/>
          <w:color w:val="000000" w:themeColor="text1"/>
          <w:sz w:val="24"/>
        </w:rPr>
        <w:t xml:space="preserve">  Environmental Policy Stringency and Technological Innovation: Evidence from Survey Data and Patent Counts. Applied Economics, 2012,44(17)2157-2170.</w:t>
      </w:r>
    </w:p>
    <w:p w14:paraId="40D0A77A" w14:textId="1BC26427" w:rsidR="00AB5C95" w:rsidRPr="00AB5C95" w:rsidRDefault="00AB5C95" w:rsidP="001D61D9">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Berrone</w:t>
      </w:r>
      <w:proofErr w:type="spellEnd"/>
      <w:r w:rsidRPr="00AB5C95">
        <w:rPr>
          <w:rFonts w:ascii="Times New Roman" w:hAnsi="Times New Roman" w:cs="Times New Roman"/>
          <w:color w:val="000000" w:themeColor="text1"/>
          <w:sz w:val="24"/>
        </w:rPr>
        <w:t xml:space="preserve"> P,</w:t>
      </w:r>
      <w:r w:rsidR="008F53F6">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Fosfuri</w:t>
      </w:r>
      <w:proofErr w:type="spellEnd"/>
      <w:r w:rsidRPr="00AB5C95">
        <w:rPr>
          <w:rFonts w:ascii="Times New Roman" w:hAnsi="Times New Roman" w:cs="Times New Roman"/>
          <w:color w:val="000000" w:themeColor="text1"/>
          <w:sz w:val="24"/>
        </w:rPr>
        <w:t xml:space="preserve"> A,</w:t>
      </w:r>
      <w:r w:rsidR="008F53F6">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Gelabert</w:t>
      </w:r>
      <w:proofErr w:type="spellEnd"/>
      <w:r w:rsidRPr="00AB5C95">
        <w:rPr>
          <w:rFonts w:ascii="Times New Roman" w:hAnsi="Times New Roman" w:cs="Times New Roman"/>
          <w:color w:val="000000" w:themeColor="text1"/>
          <w:sz w:val="24"/>
        </w:rPr>
        <w:t xml:space="preserve"> L</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et al</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Necessity as the mother of</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green</w:t>
      </w:r>
      <w:r w:rsidR="008F53F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inventions: Institutional pressures and environmental innovations</w:t>
      </w:r>
      <w:r w:rsidR="00CD60FE">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Strategic Management Journal, 2013,34(8) </w:t>
      </w:r>
      <w:r w:rsidR="00CD60FE">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891-909</w:t>
      </w:r>
      <w:r w:rsidRPr="00AB5C95">
        <w:rPr>
          <w:rFonts w:ascii="Times New Roman" w:hAnsi="Times New Roman" w:cs="Times New Roman"/>
          <w:color w:val="000000" w:themeColor="text1"/>
          <w:sz w:val="24"/>
        </w:rPr>
        <w:t>．</w:t>
      </w:r>
    </w:p>
    <w:p w14:paraId="1FB5C512" w14:textId="5E1140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Jefferson G H,</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Tanaka S,</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Yin W</w:t>
      </w:r>
      <w:r w:rsidR="00CD60FE">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Environmental regulation and industrial performance</w:t>
      </w:r>
      <w:r w:rsidR="00CD60FE">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Evidence from unexpected externalities in China</w:t>
      </w:r>
      <w:r w:rsidR="00CD60FE">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Social Ence Electronic Publishing,2013,111(12)</w:t>
      </w:r>
      <w:r w:rsidR="00CD60FE">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108-142</w:t>
      </w:r>
      <w:r w:rsidR="005E64F4">
        <w:rPr>
          <w:rFonts w:ascii="Times New Roman" w:hAnsi="Times New Roman" w:cs="Times New Roman" w:hint="eastAsia"/>
          <w:color w:val="000000" w:themeColor="text1"/>
          <w:sz w:val="24"/>
        </w:rPr>
        <w:t xml:space="preserve">. </w:t>
      </w:r>
    </w:p>
    <w:p w14:paraId="1B55FD89" w14:textId="51CC4C83"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Bergek</w:t>
      </w:r>
      <w:proofErr w:type="spellEnd"/>
      <w:r w:rsidRPr="00AB5C95">
        <w:rPr>
          <w:rFonts w:ascii="Times New Roman" w:hAnsi="Times New Roman" w:cs="Times New Roman"/>
          <w:color w:val="000000" w:themeColor="text1"/>
          <w:sz w:val="24"/>
        </w:rPr>
        <w:t xml:space="preserve"> A,</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Berggren C</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The impact of environmental policy instruments on innovation: A review of energy and automotive industry studies</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Ecological Economics,2014,106</w:t>
      </w:r>
      <w:r w:rsidR="00236D88">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10): 112-123</w:t>
      </w:r>
      <w:r w:rsidR="00236D88">
        <w:rPr>
          <w:rFonts w:ascii="Times New Roman" w:hAnsi="Times New Roman" w:cs="Times New Roman" w:hint="eastAsia"/>
          <w:color w:val="000000" w:themeColor="text1"/>
          <w:sz w:val="24"/>
        </w:rPr>
        <w:t>.</w:t>
      </w:r>
    </w:p>
    <w:p w14:paraId="4CEC3AE0" w14:textId="6FEE1F4C"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 xml:space="preserve">Tu </w:t>
      </w:r>
      <w:proofErr w:type="spellStart"/>
      <w:r w:rsidRPr="00AB5C95">
        <w:rPr>
          <w:rFonts w:ascii="Times New Roman" w:hAnsi="Times New Roman" w:cs="Times New Roman"/>
          <w:color w:val="000000" w:themeColor="text1"/>
          <w:sz w:val="24"/>
        </w:rPr>
        <w:t>Zhengge</w:t>
      </w:r>
      <w:proofErr w:type="spellEnd"/>
      <w:r w:rsidRPr="00AB5C95">
        <w:rPr>
          <w:rFonts w:ascii="Times New Roman" w:hAnsi="Times New Roman" w:cs="Times New Roman"/>
          <w:color w:val="000000" w:themeColor="text1"/>
          <w:sz w:val="24"/>
        </w:rPr>
        <w:t xml:space="preserve">, Chen </w:t>
      </w:r>
      <w:proofErr w:type="spellStart"/>
      <w:r w:rsidRPr="00AB5C95">
        <w:rPr>
          <w:rFonts w:ascii="Times New Roman" w:hAnsi="Times New Roman" w:cs="Times New Roman"/>
          <w:color w:val="000000" w:themeColor="text1"/>
          <w:sz w:val="24"/>
        </w:rPr>
        <w:t>Renjun</w:t>
      </w:r>
      <w:proofErr w:type="spellEnd"/>
      <w:r w:rsidRPr="00AB5C95">
        <w:rPr>
          <w:rFonts w:ascii="Times New Roman" w:hAnsi="Times New Roman" w:cs="Times New Roman"/>
          <w:color w:val="000000" w:themeColor="text1"/>
          <w:sz w:val="24"/>
        </w:rPr>
        <w:t>.  Can the emissions trading mechanism achieve the Porter effect in China</w:t>
      </w:r>
      <w:r w:rsidR="00236D88">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 xml:space="preserve"> Economic Research, 2015, 50(07):160-173.</w:t>
      </w:r>
    </w:p>
    <w:p w14:paraId="1D9B6F81" w14:textId="5A099AE3"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lastRenderedPageBreak/>
        <w:t xml:space="preserve">Leeuwen </w:t>
      </w:r>
      <w:proofErr w:type="spellStart"/>
      <w:proofErr w:type="gramStart"/>
      <w:r w:rsidRPr="00AB5C95">
        <w:rPr>
          <w:rFonts w:ascii="Times New Roman" w:hAnsi="Times New Roman" w:cs="Times New Roman"/>
          <w:color w:val="000000" w:themeColor="text1"/>
          <w:sz w:val="24"/>
        </w:rPr>
        <w:t>G,Mohnen</w:t>
      </w:r>
      <w:proofErr w:type="spellEnd"/>
      <w:proofErr w:type="gramEnd"/>
      <w:r w:rsidRPr="00AB5C95">
        <w:rPr>
          <w:rFonts w:ascii="Times New Roman" w:hAnsi="Times New Roman" w:cs="Times New Roman"/>
          <w:color w:val="000000" w:themeColor="text1"/>
          <w:sz w:val="24"/>
        </w:rPr>
        <w:t xml:space="preserve"> P. Revisiting the porter hypothesis: An empirical analysis of green innovation for the Netherlands</w:t>
      </w:r>
      <w:r w:rsidR="00236D8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United Nations University-Maastricht Economic and Social Research Institute on Innovation and Technology (MERIT) 2013</w:t>
      </w:r>
      <w:r w:rsidR="00236D88">
        <w:rPr>
          <w:rFonts w:ascii="Times New Roman" w:hAnsi="Times New Roman" w:cs="Times New Roman" w:hint="eastAsia"/>
          <w:color w:val="000000" w:themeColor="text1"/>
          <w:sz w:val="24"/>
        </w:rPr>
        <w:t>.</w:t>
      </w:r>
    </w:p>
    <w:p w14:paraId="6F117051" w14:textId="389BF504" w:rsidR="00AB5C95" w:rsidRPr="00AB5C95" w:rsidRDefault="00AB5C95" w:rsidP="004D43FB">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Levinson A,</w:t>
      </w:r>
      <w:r w:rsidR="004D43FB">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Taylor M S</w:t>
      </w:r>
      <w:r w:rsidR="004D43FB">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Unmasking the pollution haven effect</w:t>
      </w:r>
      <w:r w:rsidR="004D43FB">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International Economic Review,2008,49(1)</w:t>
      </w:r>
      <w:r w:rsidR="004D43FB">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223</w:t>
      </w:r>
      <w:r w:rsidR="008F2847">
        <w:rPr>
          <w:rFonts w:ascii="Times New Roman" w:hAnsi="Times New Roman" w:cs="Times New Roman" w:hint="eastAsia"/>
          <w:color w:val="000000" w:themeColor="text1"/>
          <w:sz w:val="24"/>
        </w:rPr>
        <w:t>-254</w:t>
      </w:r>
    </w:p>
    <w:p w14:paraId="0B0EC612" w14:textId="57481FE4"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Qi, S.</w:t>
      </w:r>
      <w:r w:rsidR="004D43FB">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 xml:space="preserve"> Lin, D.; Cui J. Do environmental trading schemes include green innovation? Evidence from listed firms of China. Economic Research,2018,53(12):129-143.</w:t>
      </w:r>
    </w:p>
    <w:p w14:paraId="50D150B8" w14:textId="63D2F2A4"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Li, Q.; Xiao, Z.</w:t>
      </w:r>
      <w:r w:rsidR="000E25C3">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Heterogeneous environmental regulation tools and green innovation incentives: Evidence from green patents of listed firms. Economic Research,2020,55(09):192-208.</w:t>
      </w:r>
    </w:p>
    <w:p w14:paraId="091274D2" w14:textId="2EB36EB9"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Wu, J.; Hua, X. Top management team attention and firm green innovation strategy: Empirical evidence from Chinese listed manufacturing companies. Science and Technology Management,2021,42(09):122-142.</w:t>
      </w:r>
    </w:p>
    <w:p w14:paraId="241844D4" w14:textId="3DBBA5C6"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proofErr w:type="gramStart"/>
      <w:r w:rsidRPr="00AB5C95">
        <w:rPr>
          <w:rFonts w:ascii="Times New Roman" w:hAnsi="Times New Roman" w:cs="Times New Roman"/>
          <w:color w:val="000000" w:themeColor="text1"/>
          <w:sz w:val="24"/>
        </w:rPr>
        <w:t>Xing,;</w:t>
      </w:r>
      <w:proofErr w:type="gramEnd"/>
      <w:r w:rsidRPr="00AB5C95">
        <w:rPr>
          <w:rFonts w:ascii="Times New Roman" w:hAnsi="Times New Roman" w:cs="Times New Roman"/>
          <w:color w:val="000000" w:themeColor="text1"/>
          <w:sz w:val="24"/>
        </w:rPr>
        <w:t xml:space="preserve"> Yu, H.; Ren, X. Network embeddedness, green dynamic abilities and green innovation: based on the moderating effect of environmental regulation and managers' environmental attention. Science and Technology Progress and Countermeasures,2022,39(14):105-113.</w:t>
      </w:r>
    </w:p>
    <w:p w14:paraId="521536C1" w14:textId="4C431A42"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Bi, M.; Wang, C.; Fu, D.; Tan, X.; Yu, S.;</w:t>
      </w:r>
      <w:r w:rsidR="0022572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Pan, J.; </w:t>
      </w:r>
      <w:proofErr w:type="spellStart"/>
      <w:r w:rsidRPr="00AB5C95">
        <w:rPr>
          <w:rFonts w:ascii="Times New Roman" w:hAnsi="Times New Roman" w:cs="Times New Roman"/>
          <w:color w:val="000000" w:themeColor="text1"/>
          <w:sz w:val="24"/>
        </w:rPr>
        <w:t>Lv</w:t>
      </w:r>
      <w:proofErr w:type="spellEnd"/>
      <w:r w:rsidRPr="00AB5C95">
        <w:rPr>
          <w:rFonts w:ascii="Times New Roman" w:hAnsi="Times New Roman" w:cs="Times New Roman"/>
          <w:color w:val="000000" w:themeColor="text1"/>
          <w:sz w:val="24"/>
        </w:rPr>
        <w:t>, K.  Chinese-Style Fiscal Decentralization, Ecological Attention of Government, and Regional Energy Intensity. Energies, 2022, vol. 15, issue 22, 1-28</w:t>
      </w:r>
    </w:p>
    <w:p w14:paraId="12E27DBB"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Li, Y.  Governmental ecological attention and corporate environmental protection investment - A case study of Guangdong, Hong Kong and Macao Greater Bay Area. Modern Marketing,2022, No.762(02):4-6.</w:t>
      </w:r>
    </w:p>
    <w:p w14:paraId="15FE2CD4" w14:textId="76951BFD"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Milani,</w:t>
      </w:r>
      <w:r w:rsidR="00225728">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S</w:t>
      </w:r>
      <w:r w:rsidR="00225728">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 xml:space="preserve"> The Impact of Environmental Policy Stringency on Industrial R&amp;D Conditional on Pollution Intensity and Relocation Costs. Environmental and Resource Economics,2017,68(3):595-620.</w:t>
      </w:r>
    </w:p>
    <w:p w14:paraId="530A75D7" w14:textId="5E5C15BB"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Feng, T.; </w:t>
      </w:r>
      <w:proofErr w:type="spellStart"/>
      <w:r w:rsidRPr="00AB5C95">
        <w:rPr>
          <w:rFonts w:ascii="Times New Roman" w:hAnsi="Times New Roman" w:cs="Times New Roman"/>
          <w:color w:val="000000" w:themeColor="text1"/>
          <w:sz w:val="24"/>
        </w:rPr>
        <w:t>Zhongguo</w:t>
      </w:r>
      <w:proofErr w:type="spellEnd"/>
      <w:r w:rsidRPr="00AB5C95">
        <w:rPr>
          <w:rFonts w:ascii="Times New Roman" w:hAnsi="Times New Roman" w:cs="Times New Roman"/>
          <w:color w:val="000000" w:themeColor="text1"/>
          <w:sz w:val="24"/>
        </w:rPr>
        <w:t xml:space="preserve"> Lin, </w:t>
      </w:r>
      <w:proofErr w:type="spellStart"/>
      <w:r w:rsidRPr="00AB5C95">
        <w:rPr>
          <w:rFonts w:ascii="Times New Roman" w:hAnsi="Times New Roman" w:cs="Times New Roman"/>
          <w:color w:val="000000" w:themeColor="text1"/>
          <w:sz w:val="24"/>
        </w:rPr>
        <w:t>Huibin</w:t>
      </w:r>
      <w:proofErr w:type="spellEnd"/>
      <w:r w:rsidRPr="00AB5C95">
        <w:rPr>
          <w:rFonts w:ascii="Times New Roman" w:hAnsi="Times New Roman" w:cs="Times New Roman"/>
          <w:color w:val="000000" w:themeColor="text1"/>
          <w:sz w:val="24"/>
        </w:rPr>
        <w:t xml:space="preserve"> Du, </w:t>
      </w:r>
      <w:proofErr w:type="spellStart"/>
      <w:r w:rsidRPr="00AB5C95">
        <w:rPr>
          <w:rFonts w:ascii="Times New Roman" w:hAnsi="Times New Roman" w:cs="Times New Roman"/>
          <w:color w:val="000000" w:themeColor="text1"/>
          <w:sz w:val="24"/>
        </w:rPr>
        <w:t>Yueming</w:t>
      </w:r>
      <w:proofErr w:type="spellEnd"/>
      <w:r w:rsidRPr="00AB5C95">
        <w:rPr>
          <w:rFonts w:ascii="Times New Roman" w:hAnsi="Times New Roman" w:cs="Times New Roman"/>
          <w:color w:val="000000" w:themeColor="text1"/>
          <w:sz w:val="24"/>
        </w:rPr>
        <w:t xml:space="preserve"> </w:t>
      </w:r>
      <w:proofErr w:type="spellStart"/>
      <w:r w:rsidRPr="00AB5C95">
        <w:rPr>
          <w:rFonts w:ascii="Times New Roman" w:hAnsi="Times New Roman" w:cs="Times New Roman"/>
          <w:color w:val="000000" w:themeColor="text1"/>
          <w:sz w:val="24"/>
        </w:rPr>
        <w:t>Qiu</w:t>
      </w:r>
      <w:proofErr w:type="spellEnd"/>
      <w:r w:rsidRPr="00AB5C95">
        <w:rPr>
          <w:rFonts w:ascii="Times New Roman" w:hAnsi="Times New Roman" w:cs="Times New Roman"/>
          <w:color w:val="000000" w:themeColor="text1"/>
          <w:sz w:val="24"/>
        </w:rPr>
        <w:t> and Jian Zuo.  Does low-carbon pilot city program reduce carbon intensity? Evidence from Chinese cities. Research in International Business and Finance, 2021, vol. 58, issue C.</w:t>
      </w:r>
    </w:p>
    <w:p w14:paraId="5357951E"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Wang, B.; Qi, S.; The effect of Market-Oriented and command-and-control policy tools on emissions reduction innovation--An empirical analyze based on China's industrial industry patent data. China Industrial Economics,2016, No.339(06):91-108.</w:t>
      </w:r>
    </w:p>
    <w:p w14:paraId="479B95B6" w14:textId="0233570E"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Xu, J.; Cui, J. Low-carbon cities and firms' green technology innovation. China Industrial Economics,2020,</w:t>
      </w:r>
      <w:r w:rsidR="00BF6149">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No.393(12):178-196.</w:t>
      </w:r>
    </w:p>
    <w:p w14:paraId="36CB4035"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Wang Wei. Research on the Coupled Development of Green Innovation and Digital Economy in Chinese Provinces. Zhejiang University of Technology and Business, 2021.</w:t>
      </w:r>
    </w:p>
    <w:p w14:paraId="2E6B09F8"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Zhou, G.; Zhu, J.; Luo, S. The impact of fintech innovation on green growth in China: Mediating effect of green finance. Ecological Economics, 2022, vol. 193, issue C.</w:t>
      </w:r>
    </w:p>
    <w:p w14:paraId="5B6A4B54" w14:textId="49E3E4BB"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Cui, J.; Zhang, J.; Zheng, Y</w:t>
      </w:r>
      <w:r w:rsidR="00D279B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Carbon Pricing Induces Innovation</w:t>
      </w:r>
      <w:r w:rsidR="00D279B6">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 xml:space="preserve">Evidence from China’s Regional Carbon Market Pilots. AEA Papers and Proceedings, </w:t>
      </w:r>
      <w:proofErr w:type="gramStart"/>
      <w:r w:rsidRPr="00AB5C95">
        <w:rPr>
          <w:rFonts w:ascii="Times New Roman" w:hAnsi="Times New Roman" w:cs="Times New Roman"/>
          <w:color w:val="000000" w:themeColor="text1"/>
          <w:sz w:val="24"/>
        </w:rPr>
        <w:lastRenderedPageBreak/>
        <w:t>2018,(</w:t>
      </w:r>
      <w:proofErr w:type="gramEnd"/>
      <w:r w:rsidRPr="00AB5C95">
        <w:rPr>
          <w:rFonts w:ascii="Times New Roman" w:hAnsi="Times New Roman" w:cs="Times New Roman"/>
          <w:color w:val="000000" w:themeColor="text1"/>
          <w:sz w:val="24"/>
        </w:rPr>
        <w:t>108</w:t>
      </w:r>
      <w:r w:rsidR="00BF6149">
        <w:rPr>
          <w:rFonts w:ascii="Times New Roman" w:hAnsi="Times New Roman" w:cs="Times New Roman" w:hint="eastAsia"/>
          <w:color w:val="000000" w:themeColor="text1"/>
          <w:sz w:val="24"/>
        </w:rPr>
        <w:t>):</w:t>
      </w:r>
      <w:r w:rsidRPr="00AB5C95">
        <w:rPr>
          <w:rFonts w:ascii="Times New Roman" w:hAnsi="Times New Roman" w:cs="Times New Roman"/>
          <w:color w:val="000000" w:themeColor="text1"/>
          <w:sz w:val="24"/>
        </w:rPr>
        <w:t>453-457</w:t>
      </w:r>
    </w:p>
    <w:p w14:paraId="17D8C65C" w14:textId="32A2D0CE"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Huang,</w:t>
      </w:r>
      <w:r w:rsidR="005F0C3A">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Z., Liao, G.; Li, Z. Loaning Scale and Government Subsidy for Promoting Green Innovation. Technological Forecasting and Social Change,2019,148-156.</w:t>
      </w:r>
    </w:p>
    <w:p w14:paraId="723E8006" w14:textId="6E7B48D1"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Wang, T.; Zhe S.; Jing Zhou,</w:t>
      </w:r>
      <w:r w:rsidR="005F0C3A">
        <w:rPr>
          <w:rFonts w:ascii="Times New Roman" w:hAnsi="Times New Roman" w:cs="Times New Roman" w:hint="eastAsia"/>
          <w:color w:val="000000" w:themeColor="text1"/>
          <w:sz w:val="24"/>
        </w:rPr>
        <w:t xml:space="preserve"> </w:t>
      </w:r>
      <w:proofErr w:type="spellStart"/>
      <w:r w:rsidRPr="00AB5C95">
        <w:rPr>
          <w:rFonts w:ascii="Times New Roman" w:hAnsi="Times New Roman" w:cs="Times New Roman"/>
          <w:color w:val="000000" w:themeColor="text1"/>
          <w:sz w:val="24"/>
        </w:rPr>
        <w:t>Huapin</w:t>
      </w:r>
      <w:r w:rsidR="005F0C3A">
        <w:rPr>
          <w:rFonts w:ascii="Times New Roman" w:hAnsi="Times New Roman" w:cs="Times New Roman" w:hint="eastAsia"/>
          <w:color w:val="000000" w:themeColor="text1"/>
          <w:sz w:val="24"/>
        </w:rPr>
        <w:t>g</w:t>
      </w:r>
      <w:proofErr w:type="spellEnd"/>
      <w:r w:rsidR="005F0C3A">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Sun,</w:t>
      </w:r>
      <w:r w:rsidR="005F0C3A">
        <w:rPr>
          <w:rFonts w:ascii="Times New Roman" w:hAnsi="Times New Roman" w:cs="Times New Roman" w:hint="eastAsia"/>
          <w:color w:val="000000" w:themeColor="text1"/>
          <w:sz w:val="24"/>
        </w:rPr>
        <w:t xml:space="preserve"> </w:t>
      </w:r>
      <w:r w:rsidRPr="00AB5C95">
        <w:rPr>
          <w:rFonts w:ascii="Times New Roman" w:hAnsi="Times New Roman" w:cs="Times New Roman"/>
          <w:color w:val="000000" w:themeColor="text1"/>
          <w:sz w:val="24"/>
        </w:rPr>
        <w:t>and </w:t>
      </w:r>
      <w:proofErr w:type="spellStart"/>
      <w:r w:rsidRPr="00AB5C95">
        <w:rPr>
          <w:rFonts w:ascii="Times New Roman" w:hAnsi="Times New Roman" w:cs="Times New Roman"/>
          <w:color w:val="000000" w:themeColor="text1"/>
          <w:sz w:val="24"/>
        </w:rPr>
        <w:t>Fengqin</w:t>
      </w:r>
      <w:proofErr w:type="spellEnd"/>
      <w:r w:rsidRPr="00AB5C95">
        <w:rPr>
          <w:rFonts w:ascii="Times New Roman" w:hAnsi="Times New Roman" w:cs="Times New Roman"/>
          <w:color w:val="000000" w:themeColor="text1"/>
          <w:sz w:val="24"/>
        </w:rPr>
        <w:t xml:space="preserve"> Liu. Low-Carbon Transition and Green Innovation: Evidence from Pilot Cities in China. Sustainability, 2022, vol. 14, issue 12, 1-21.</w:t>
      </w:r>
    </w:p>
    <w:p w14:paraId="56ECEEA0" w14:textId="6CB3FD5F"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proofErr w:type="spellStart"/>
      <w:r w:rsidRPr="00AB5C95">
        <w:rPr>
          <w:rFonts w:ascii="Times New Roman" w:hAnsi="Times New Roman" w:cs="Times New Roman"/>
          <w:color w:val="000000" w:themeColor="text1"/>
          <w:sz w:val="24"/>
        </w:rPr>
        <w:t>Kheder</w:t>
      </w:r>
      <w:proofErr w:type="spellEnd"/>
      <w:r w:rsidRPr="00AB5C95">
        <w:rPr>
          <w:rFonts w:ascii="Times New Roman" w:hAnsi="Times New Roman" w:cs="Times New Roman"/>
          <w:color w:val="000000" w:themeColor="text1"/>
          <w:sz w:val="24"/>
        </w:rPr>
        <w:t xml:space="preserve"> Sonia Ben, Natalia </w:t>
      </w:r>
      <w:proofErr w:type="spellStart"/>
      <w:r w:rsidRPr="00AB5C95">
        <w:rPr>
          <w:rFonts w:ascii="Times New Roman" w:hAnsi="Times New Roman" w:cs="Times New Roman"/>
          <w:color w:val="000000" w:themeColor="text1"/>
          <w:sz w:val="24"/>
        </w:rPr>
        <w:t>Zugravu</w:t>
      </w:r>
      <w:proofErr w:type="spellEnd"/>
      <w:r w:rsidRPr="00AB5C95">
        <w:rPr>
          <w:rFonts w:ascii="Times New Roman" w:hAnsi="Times New Roman" w:cs="Times New Roman"/>
          <w:color w:val="000000" w:themeColor="text1"/>
          <w:sz w:val="24"/>
        </w:rPr>
        <w:t xml:space="preserve">. Environmental regulation and French </w:t>
      </w:r>
      <w:r w:rsidR="007A0847" w:rsidRPr="00AB5C95">
        <w:rPr>
          <w:rFonts w:ascii="Times New Roman" w:hAnsi="Times New Roman" w:cs="Times New Roman"/>
          <w:color w:val="000000" w:themeColor="text1"/>
          <w:sz w:val="24"/>
        </w:rPr>
        <w:t>firms’</w:t>
      </w:r>
      <w:r w:rsidRPr="00AB5C95">
        <w:rPr>
          <w:rFonts w:ascii="Times New Roman" w:hAnsi="Times New Roman" w:cs="Times New Roman"/>
          <w:color w:val="000000" w:themeColor="text1"/>
          <w:sz w:val="24"/>
        </w:rPr>
        <w:t xml:space="preserve"> location abroad: An economic geography model in an international comparative study. HAL, 2012-05.</w:t>
      </w:r>
    </w:p>
    <w:p w14:paraId="5A8B5B45"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Wang, Y.; Li, M. Study on local governments attention of ecological environment governance: Based on the text analysis of government work report in 30 provinces and municipalities (2006-2015). China Population-Resources and Environment, 2017, 27(2):8.</w:t>
      </w:r>
    </w:p>
    <w:p w14:paraId="2F395C88"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Shen, W.; Chai, Z.; Zhang, H.  Heterogeneous ecological environmental attention and environmental governance performance: Based on the "Government Work Report" in Beijing-Tianjin-Hebei. Soft Science, 2020, 34(9):7.</w:t>
      </w:r>
    </w:p>
    <w:p w14:paraId="469F878D"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Shao Yuxiang. How government attention affects environmental governance. Huaqiao University,2019.</w:t>
      </w:r>
    </w:p>
    <w:p w14:paraId="71200443"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Du, J.; Gong X. Energy efficiency "frontrunner" system and corporate green innovation - the moderating role of government ecological attention and executives' environmental experiences. Science and Technology Progress and Countermeasures:1-10[2023-03-01].</w:t>
      </w:r>
    </w:p>
    <w:p w14:paraId="74506896" w14:textId="77777777"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924B79">
        <w:rPr>
          <w:rFonts w:ascii="Times New Roman" w:hAnsi="Times New Roman" w:cs="Times New Roman"/>
          <w:color w:val="000000" w:themeColor="text1"/>
          <w:sz w:val="24"/>
          <w:lang w:val="fi-FI"/>
        </w:rPr>
        <w:t xml:space="preserve">Wu, Li.; Yang M.; Sun K.  </w:t>
      </w:r>
      <w:r w:rsidRPr="00AB5C95">
        <w:rPr>
          <w:rFonts w:ascii="Times New Roman" w:hAnsi="Times New Roman" w:cs="Times New Roman"/>
          <w:color w:val="000000" w:themeColor="text1"/>
          <w:sz w:val="24"/>
        </w:rPr>
        <w:t>Impact of public environmental attention on environmental governance of enterprises and local governments. China Population-Resources and Environment, 2022,32(02):1-14.</w:t>
      </w:r>
    </w:p>
    <w:p w14:paraId="1A56F87E" w14:textId="4BC93236" w:rsidR="00AB5C95" w:rsidRPr="00AB5C95" w:rsidRDefault="00AB5C95" w:rsidP="008F53F6">
      <w:pPr>
        <w:pStyle w:val="ListParagraph"/>
        <w:numPr>
          <w:ilvl w:val="0"/>
          <w:numId w:val="3"/>
        </w:numPr>
        <w:ind w:left="442" w:hanging="442"/>
        <w:rPr>
          <w:rFonts w:ascii="Times New Roman" w:hAnsi="Times New Roman" w:cs="Times New Roman"/>
          <w:color w:val="000000" w:themeColor="text1"/>
          <w:sz w:val="24"/>
        </w:rPr>
      </w:pPr>
      <w:r w:rsidRPr="00AB5C95">
        <w:rPr>
          <w:rFonts w:ascii="Times New Roman" w:hAnsi="Times New Roman" w:cs="Times New Roman"/>
          <w:color w:val="000000" w:themeColor="text1"/>
          <w:sz w:val="24"/>
        </w:rPr>
        <w:t>Song, J., Lin, X., Ee, L.Y. et al. A Review on Electrospinning as Versatile Supports for Diverse Nanofibers and Their Applications in Environmental Sensing. Adv. Fiber Mater. 5, 429–460 (2023).</w:t>
      </w:r>
    </w:p>
    <w:sectPr w:rsidR="00AB5C95" w:rsidRPr="00AB5C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192BE" w14:textId="77777777" w:rsidR="003C5A60" w:rsidRDefault="003C5A60" w:rsidP="00924B79">
      <w:r>
        <w:separator/>
      </w:r>
    </w:p>
  </w:endnote>
  <w:endnote w:type="continuationSeparator" w:id="0">
    <w:p w14:paraId="052B56D8" w14:textId="77777777" w:rsidR="003C5A60" w:rsidRDefault="003C5A60" w:rsidP="0092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E6AB" w14:textId="77777777" w:rsidR="00A1078C" w:rsidRDefault="00A1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5A1D" w14:textId="77777777" w:rsidR="00A1078C" w:rsidRDefault="00A10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CB5A" w14:textId="77777777" w:rsidR="00A1078C" w:rsidRDefault="00A10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18FF4" w14:textId="77777777" w:rsidR="003C5A60" w:rsidRDefault="003C5A60" w:rsidP="00924B79">
      <w:r>
        <w:separator/>
      </w:r>
    </w:p>
  </w:footnote>
  <w:footnote w:type="continuationSeparator" w:id="0">
    <w:p w14:paraId="50AEAC12" w14:textId="77777777" w:rsidR="003C5A60" w:rsidRDefault="003C5A60" w:rsidP="0092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A5FA" w14:textId="5B051CF0" w:rsidR="00A1078C" w:rsidRDefault="00A1078C">
    <w:pPr>
      <w:pStyle w:val="Header"/>
    </w:pPr>
    <w:r>
      <w:rPr>
        <w:noProof/>
      </w:rPr>
      <w:pict w14:anchorId="20D6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6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30FE" w14:textId="0DA9E096" w:rsidR="00A1078C" w:rsidRDefault="00A1078C">
    <w:pPr>
      <w:pStyle w:val="Header"/>
    </w:pPr>
    <w:r>
      <w:rPr>
        <w:noProof/>
      </w:rPr>
      <w:pict w14:anchorId="3C3D1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6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A0DC" w14:textId="4E5E14F3" w:rsidR="00A1078C" w:rsidRDefault="00A1078C">
    <w:pPr>
      <w:pStyle w:val="Header"/>
    </w:pPr>
    <w:r>
      <w:rPr>
        <w:noProof/>
      </w:rPr>
      <w:pict w14:anchorId="3EC60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985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7B13"/>
    <w:multiLevelType w:val="hybridMultilevel"/>
    <w:tmpl w:val="30D245D8"/>
    <w:lvl w:ilvl="0" w:tplc="5B0EC14C">
      <w:start w:val="1"/>
      <w:numFmt w:val="decimal"/>
      <w:lvlText w:val="(%1)"/>
      <w:lvlJc w:val="left"/>
      <w:pPr>
        <w:ind w:left="870" w:hanging="39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2A71D87"/>
    <w:multiLevelType w:val="multilevel"/>
    <w:tmpl w:val="22A71D87"/>
    <w:lvl w:ilvl="0">
      <w:start w:val="1"/>
      <w:numFmt w:val="decimal"/>
      <w:pStyle w:val="MDPI71References"/>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297FB9"/>
    <w:multiLevelType w:val="hybridMultilevel"/>
    <w:tmpl w:val="47BEB864"/>
    <w:lvl w:ilvl="0" w:tplc="F2B6CF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1003803"/>
    <w:multiLevelType w:val="hybridMultilevel"/>
    <w:tmpl w:val="F7B2FA3E"/>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1D14F10"/>
    <w:multiLevelType w:val="hybridMultilevel"/>
    <w:tmpl w:val="F0904328"/>
    <w:lvl w:ilvl="0" w:tplc="C11CC228">
      <w:start w:val="1"/>
      <w:numFmt w:val="decimal"/>
      <w:lvlText w:val="(%1)"/>
      <w:lvlJc w:val="left"/>
      <w:pPr>
        <w:ind w:left="870" w:hanging="39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3D"/>
    <w:rsid w:val="00001FC4"/>
    <w:rsid w:val="00047DDB"/>
    <w:rsid w:val="0005127A"/>
    <w:rsid w:val="00052E06"/>
    <w:rsid w:val="00056287"/>
    <w:rsid w:val="000649BE"/>
    <w:rsid w:val="000676E0"/>
    <w:rsid w:val="000715AF"/>
    <w:rsid w:val="000756DC"/>
    <w:rsid w:val="00076899"/>
    <w:rsid w:val="00082405"/>
    <w:rsid w:val="000B032F"/>
    <w:rsid w:val="000C38A5"/>
    <w:rsid w:val="000E25C3"/>
    <w:rsid w:val="0010293D"/>
    <w:rsid w:val="00106E69"/>
    <w:rsid w:val="00111199"/>
    <w:rsid w:val="00131F5A"/>
    <w:rsid w:val="0014299D"/>
    <w:rsid w:val="0015391C"/>
    <w:rsid w:val="00187A69"/>
    <w:rsid w:val="001959F6"/>
    <w:rsid w:val="001A25AB"/>
    <w:rsid w:val="001C55C5"/>
    <w:rsid w:val="001D1CAA"/>
    <w:rsid w:val="001D61D9"/>
    <w:rsid w:val="001E4DCC"/>
    <w:rsid w:val="001F6CF2"/>
    <w:rsid w:val="00202D7D"/>
    <w:rsid w:val="00205B46"/>
    <w:rsid w:val="00217753"/>
    <w:rsid w:val="00225728"/>
    <w:rsid w:val="00236D88"/>
    <w:rsid w:val="0027051A"/>
    <w:rsid w:val="00273D4A"/>
    <w:rsid w:val="002753AC"/>
    <w:rsid w:val="002A373F"/>
    <w:rsid w:val="002D3388"/>
    <w:rsid w:val="002D7827"/>
    <w:rsid w:val="002E547B"/>
    <w:rsid w:val="002F551C"/>
    <w:rsid w:val="00310315"/>
    <w:rsid w:val="00316596"/>
    <w:rsid w:val="00371697"/>
    <w:rsid w:val="00374AAF"/>
    <w:rsid w:val="003813AE"/>
    <w:rsid w:val="003A5238"/>
    <w:rsid w:val="003A5C0E"/>
    <w:rsid w:val="003C5A60"/>
    <w:rsid w:val="003D56D5"/>
    <w:rsid w:val="003E0E19"/>
    <w:rsid w:val="003E33B1"/>
    <w:rsid w:val="003F0C7E"/>
    <w:rsid w:val="00400673"/>
    <w:rsid w:val="00413BC8"/>
    <w:rsid w:val="0042575F"/>
    <w:rsid w:val="004301E4"/>
    <w:rsid w:val="00443FD3"/>
    <w:rsid w:val="00450BDA"/>
    <w:rsid w:val="00453FC6"/>
    <w:rsid w:val="004642DF"/>
    <w:rsid w:val="00465B4D"/>
    <w:rsid w:val="00495C21"/>
    <w:rsid w:val="004A56AF"/>
    <w:rsid w:val="004A6192"/>
    <w:rsid w:val="004C41AC"/>
    <w:rsid w:val="004C59F4"/>
    <w:rsid w:val="004D0044"/>
    <w:rsid w:val="004D43FB"/>
    <w:rsid w:val="004E1C7B"/>
    <w:rsid w:val="004F7BAF"/>
    <w:rsid w:val="00507BAA"/>
    <w:rsid w:val="005126E7"/>
    <w:rsid w:val="0051357E"/>
    <w:rsid w:val="005171E3"/>
    <w:rsid w:val="005217F3"/>
    <w:rsid w:val="005449DF"/>
    <w:rsid w:val="00546DF7"/>
    <w:rsid w:val="00584F20"/>
    <w:rsid w:val="00586207"/>
    <w:rsid w:val="00587CF0"/>
    <w:rsid w:val="005E55A1"/>
    <w:rsid w:val="005E64F4"/>
    <w:rsid w:val="005F0C3A"/>
    <w:rsid w:val="005F1E39"/>
    <w:rsid w:val="00606710"/>
    <w:rsid w:val="006100FB"/>
    <w:rsid w:val="00610589"/>
    <w:rsid w:val="00612887"/>
    <w:rsid w:val="00616FA6"/>
    <w:rsid w:val="00642E56"/>
    <w:rsid w:val="00643680"/>
    <w:rsid w:val="00650645"/>
    <w:rsid w:val="00654EF9"/>
    <w:rsid w:val="00657D8E"/>
    <w:rsid w:val="006848FB"/>
    <w:rsid w:val="006851B1"/>
    <w:rsid w:val="00687427"/>
    <w:rsid w:val="00693353"/>
    <w:rsid w:val="006A1778"/>
    <w:rsid w:val="006C02A2"/>
    <w:rsid w:val="006C4ED9"/>
    <w:rsid w:val="006E21D8"/>
    <w:rsid w:val="00701D71"/>
    <w:rsid w:val="0072553C"/>
    <w:rsid w:val="00740FF7"/>
    <w:rsid w:val="00742A70"/>
    <w:rsid w:val="00750059"/>
    <w:rsid w:val="00761180"/>
    <w:rsid w:val="00770F81"/>
    <w:rsid w:val="00790DC1"/>
    <w:rsid w:val="007933A2"/>
    <w:rsid w:val="007A0847"/>
    <w:rsid w:val="007A11F6"/>
    <w:rsid w:val="007A1608"/>
    <w:rsid w:val="007A34DD"/>
    <w:rsid w:val="007A5E14"/>
    <w:rsid w:val="007C6A6E"/>
    <w:rsid w:val="007E6F6D"/>
    <w:rsid w:val="00807BCB"/>
    <w:rsid w:val="008523EC"/>
    <w:rsid w:val="0086454A"/>
    <w:rsid w:val="00883783"/>
    <w:rsid w:val="0089705D"/>
    <w:rsid w:val="008B19EC"/>
    <w:rsid w:val="008B4E7F"/>
    <w:rsid w:val="008B773D"/>
    <w:rsid w:val="008C2500"/>
    <w:rsid w:val="008C696D"/>
    <w:rsid w:val="008C69B6"/>
    <w:rsid w:val="008F2847"/>
    <w:rsid w:val="008F53F6"/>
    <w:rsid w:val="00910DE7"/>
    <w:rsid w:val="00924B79"/>
    <w:rsid w:val="0093052E"/>
    <w:rsid w:val="009352ED"/>
    <w:rsid w:val="00960938"/>
    <w:rsid w:val="0096326A"/>
    <w:rsid w:val="009674ED"/>
    <w:rsid w:val="00971307"/>
    <w:rsid w:val="00971F4C"/>
    <w:rsid w:val="0099223D"/>
    <w:rsid w:val="00992285"/>
    <w:rsid w:val="009A1514"/>
    <w:rsid w:val="009B48BE"/>
    <w:rsid w:val="009D401D"/>
    <w:rsid w:val="009D526A"/>
    <w:rsid w:val="009D7034"/>
    <w:rsid w:val="009F65C9"/>
    <w:rsid w:val="00A05F78"/>
    <w:rsid w:val="00A072AE"/>
    <w:rsid w:val="00A1078C"/>
    <w:rsid w:val="00A143AA"/>
    <w:rsid w:val="00A262EE"/>
    <w:rsid w:val="00A268A6"/>
    <w:rsid w:val="00A30258"/>
    <w:rsid w:val="00A65A65"/>
    <w:rsid w:val="00A6722A"/>
    <w:rsid w:val="00A77907"/>
    <w:rsid w:val="00AB0202"/>
    <w:rsid w:val="00AB5C95"/>
    <w:rsid w:val="00AB6764"/>
    <w:rsid w:val="00AC15FB"/>
    <w:rsid w:val="00AE1301"/>
    <w:rsid w:val="00AE2514"/>
    <w:rsid w:val="00AF2573"/>
    <w:rsid w:val="00B424FF"/>
    <w:rsid w:val="00B45B33"/>
    <w:rsid w:val="00B51026"/>
    <w:rsid w:val="00B57CD6"/>
    <w:rsid w:val="00B61FF8"/>
    <w:rsid w:val="00B703DE"/>
    <w:rsid w:val="00B756B1"/>
    <w:rsid w:val="00B87761"/>
    <w:rsid w:val="00B9718E"/>
    <w:rsid w:val="00BB0A69"/>
    <w:rsid w:val="00BB3709"/>
    <w:rsid w:val="00BC286B"/>
    <w:rsid w:val="00BE018B"/>
    <w:rsid w:val="00BE7B45"/>
    <w:rsid w:val="00BF6149"/>
    <w:rsid w:val="00C1018F"/>
    <w:rsid w:val="00C117CE"/>
    <w:rsid w:val="00C13225"/>
    <w:rsid w:val="00C363D5"/>
    <w:rsid w:val="00C36A6B"/>
    <w:rsid w:val="00C61BAF"/>
    <w:rsid w:val="00C64FF7"/>
    <w:rsid w:val="00C703E4"/>
    <w:rsid w:val="00C77ACA"/>
    <w:rsid w:val="00CA2811"/>
    <w:rsid w:val="00CB37E5"/>
    <w:rsid w:val="00CC1F53"/>
    <w:rsid w:val="00CC659A"/>
    <w:rsid w:val="00CC77EE"/>
    <w:rsid w:val="00CD3E99"/>
    <w:rsid w:val="00CD60FE"/>
    <w:rsid w:val="00CD67F7"/>
    <w:rsid w:val="00CF17D8"/>
    <w:rsid w:val="00D00E87"/>
    <w:rsid w:val="00D01657"/>
    <w:rsid w:val="00D02C76"/>
    <w:rsid w:val="00D1697C"/>
    <w:rsid w:val="00D2448A"/>
    <w:rsid w:val="00D25ACD"/>
    <w:rsid w:val="00D279B6"/>
    <w:rsid w:val="00D312AB"/>
    <w:rsid w:val="00D63EAE"/>
    <w:rsid w:val="00D77469"/>
    <w:rsid w:val="00D81DE5"/>
    <w:rsid w:val="00D87CB4"/>
    <w:rsid w:val="00DA2BA3"/>
    <w:rsid w:val="00DC79D3"/>
    <w:rsid w:val="00DE2BBF"/>
    <w:rsid w:val="00E0187C"/>
    <w:rsid w:val="00E112D9"/>
    <w:rsid w:val="00E21D13"/>
    <w:rsid w:val="00E37E84"/>
    <w:rsid w:val="00E50173"/>
    <w:rsid w:val="00E66517"/>
    <w:rsid w:val="00E93BBA"/>
    <w:rsid w:val="00E96857"/>
    <w:rsid w:val="00EA2D75"/>
    <w:rsid w:val="00EB7D01"/>
    <w:rsid w:val="00EC3832"/>
    <w:rsid w:val="00EC4D46"/>
    <w:rsid w:val="00EC53E3"/>
    <w:rsid w:val="00EE432C"/>
    <w:rsid w:val="00EE446E"/>
    <w:rsid w:val="00EE4EF1"/>
    <w:rsid w:val="00EF75C7"/>
    <w:rsid w:val="00F0136D"/>
    <w:rsid w:val="00F03B57"/>
    <w:rsid w:val="00F15151"/>
    <w:rsid w:val="00F23145"/>
    <w:rsid w:val="00F249FF"/>
    <w:rsid w:val="00F3416A"/>
    <w:rsid w:val="00F40CAB"/>
    <w:rsid w:val="00F505CB"/>
    <w:rsid w:val="00F51BCA"/>
    <w:rsid w:val="00F57571"/>
    <w:rsid w:val="00F65912"/>
    <w:rsid w:val="00F66107"/>
    <w:rsid w:val="00F67CEC"/>
    <w:rsid w:val="00F80FB5"/>
    <w:rsid w:val="00F8267A"/>
    <w:rsid w:val="00F84A99"/>
    <w:rsid w:val="00F84C4B"/>
    <w:rsid w:val="00FA66A7"/>
    <w:rsid w:val="00FB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EE070C"/>
  <w15:chartTrackingRefBased/>
  <w15:docId w15:val="{3D1633A8-8254-4C9E-90E4-A4CA409D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922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922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22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223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223D"/>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223D"/>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223D"/>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223D"/>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223D"/>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3D"/>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9223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223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223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223D"/>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9223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223D"/>
    <w:rPr>
      <w:rFonts w:cstheme="majorBidi"/>
      <w:b/>
      <w:bCs/>
      <w:color w:val="595959" w:themeColor="text1" w:themeTint="A6"/>
    </w:rPr>
  </w:style>
  <w:style w:type="character" w:customStyle="1" w:styleId="Heading8Char">
    <w:name w:val="Heading 8 Char"/>
    <w:basedOn w:val="DefaultParagraphFont"/>
    <w:link w:val="Heading8"/>
    <w:uiPriority w:val="9"/>
    <w:semiHidden/>
    <w:rsid w:val="0099223D"/>
    <w:rPr>
      <w:rFonts w:cstheme="majorBidi"/>
      <w:color w:val="595959" w:themeColor="text1" w:themeTint="A6"/>
    </w:rPr>
  </w:style>
  <w:style w:type="character" w:customStyle="1" w:styleId="Heading9Char">
    <w:name w:val="Heading 9 Char"/>
    <w:basedOn w:val="DefaultParagraphFont"/>
    <w:link w:val="Heading9"/>
    <w:uiPriority w:val="9"/>
    <w:semiHidden/>
    <w:rsid w:val="0099223D"/>
    <w:rPr>
      <w:rFonts w:eastAsiaTheme="majorEastAsia" w:cstheme="majorBidi"/>
      <w:color w:val="595959" w:themeColor="text1" w:themeTint="A6"/>
    </w:rPr>
  </w:style>
  <w:style w:type="paragraph" w:styleId="Title">
    <w:name w:val="Title"/>
    <w:basedOn w:val="Normal"/>
    <w:next w:val="Normal"/>
    <w:link w:val="TitleChar"/>
    <w:uiPriority w:val="10"/>
    <w:qFormat/>
    <w:rsid w:val="0099223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23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22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23D"/>
    <w:rPr>
      <w:i/>
      <w:iCs/>
      <w:color w:val="404040" w:themeColor="text1" w:themeTint="BF"/>
    </w:rPr>
  </w:style>
  <w:style w:type="paragraph" w:styleId="ListParagraph">
    <w:name w:val="List Paragraph"/>
    <w:basedOn w:val="Normal"/>
    <w:uiPriority w:val="34"/>
    <w:qFormat/>
    <w:rsid w:val="0099223D"/>
    <w:pPr>
      <w:ind w:left="720"/>
      <w:contextualSpacing/>
    </w:pPr>
  </w:style>
  <w:style w:type="character" w:styleId="IntenseEmphasis">
    <w:name w:val="Intense Emphasis"/>
    <w:basedOn w:val="DefaultParagraphFont"/>
    <w:uiPriority w:val="21"/>
    <w:qFormat/>
    <w:rsid w:val="0099223D"/>
    <w:rPr>
      <w:i/>
      <w:iCs/>
      <w:color w:val="0F4761" w:themeColor="accent1" w:themeShade="BF"/>
    </w:rPr>
  </w:style>
  <w:style w:type="paragraph" w:styleId="IntenseQuote">
    <w:name w:val="Intense Quote"/>
    <w:basedOn w:val="Normal"/>
    <w:next w:val="Normal"/>
    <w:link w:val="IntenseQuoteChar"/>
    <w:uiPriority w:val="30"/>
    <w:qFormat/>
    <w:rsid w:val="00992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23D"/>
    <w:rPr>
      <w:i/>
      <w:iCs/>
      <w:color w:val="0F4761" w:themeColor="accent1" w:themeShade="BF"/>
    </w:rPr>
  </w:style>
  <w:style w:type="character" w:styleId="IntenseReference">
    <w:name w:val="Intense Reference"/>
    <w:basedOn w:val="DefaultParagraphFont"/>
    <w:uiPriority w:val="32"/>
    <w:qFormat/>
    <w:rsid w:val="0099223D"/>
    <w:rPr>
      <w:b/>
      <w:bCs/>
      <w:smallCaps/>
      <w:color w:val="0F4761" w:themeColor="accent1" w:themeShade="BF"/>
      <w:spacing w:val="5"/>
    </w:rPr>
  </w:style>
  <w:style w:type="paragraph" w:customStyle="1" w:styleId="MDPI12title">
    <w:name w:val="MDPI_1.2_title"/>
    <w:next w:val="Normal"/>
    <w:qFormat/>
    <w:rsid w:val="0099223D"/>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31text">
    <w:name w:val="MDPI_3.1_text"/>
    <w:qFormat/>
    <w:rsid w:val="00A268A6"/>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character" w:styleId="CommentReference">
    <w:name w:val="annotation reference"/>
    <w:qFormat/>
    <w:rsid w:val="00AB5C95"/>
    <w:rPr>
      <w:sz w:val="21"/>
      <w:szCs w:val="21"/>
    </w:rPr>
  </w:style>
  <w:style w:type="paragraph" w:customStyle="1" w:styleId="MDPI71References">
    <w:name w:val="MDPI_7.1_References"/>
    <w:qFormat/>
    <w:rsid w:val="00AB5C95"/>
    <w:pPr>
      <w:numPr>
        <w:numId w:val="4"/>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styleId="Header">
    <w:name w:val="header"/>
    <w:basedOn w:val="Normal"/>
    <w:link w:val="HeaderChar"/>
    <w:uiPriority w:val="99"/>
    <w:unhideWhenUsed/>
    <w:rsid w:val="00924B7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24B79"/>
    <w:rPr>
      <w:sz w:val="18"/>
      <w:szCs w:val="18"/>
    </w:rPr>
  </w:style>
  <w:style w:type="paragraph" w:styleId="Footer">
    <w:name w:val="footer"/>
    <w:basedOn w:val="Normal"/>
    <w:link w:val="FooterChar"/>
    <w:uiPriority w:val="99"/>
    <w:unhideWhenUsed/>
    <w:rsid w:val="00924B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24B79"/>
    <w:rPr>
      <w:sz w:val="18"/>
      <w:szCs w:val="18"/>
    </w:rPr>
  </w:style>
  <w:style w:type="paragraph" w:customStyle="1" w:styleId="Articletitle">
    <w:name w:val="Article title"/>
    <w:basedOn w:val="Normal"/>
    <w:next w:val="Normal"/>
    <w:qFormat/>
    <w:rsid w:val="00453FC6"/>
    <w:pPr>
      <w:widowControl/>
      <w:spacing w:after="120" w:line="360" w:lineRule="auto"/>
      <w:jc w:val="left"/>
    </w:pPr>
    <w:rPr>
      <w:rFonts w:ascii="Times New Roman" w:hAnsi="Times New Roman" w:cs="Times New Roman"/>
      <w:b/>
      <w:kern w:val="0"/>
      <w:sz w:val="28"/>
      <w:szCs w:val="24"/>
      <w:lang w:val="en-GB" w:eastAsia="en-GB"/>
      <w14:ligatures w14:val="none"/>
    </w:rPr>
  </w:style>
  <w:style w:type="paragraph" w:customStyle="1" w:styleId="Authornames">
    <w:name w:val="Author names"/>
    <w:basedOn w:val="Normal"/>
    <w:next w:val="Normal"/>
    <w:qFormat/>
    <w:rsid w:val="00453FC6"/>
    <w:pPr>
      <w:widowControl/>
      <w:spacing w:before="240" w:line="360" w:lineRule="auto"/>
      <w:jc w:val="left"/>
    </w:pPr>
    <w:rPr>
      <w:rFonts w:ascii="Times New Roman" w:hAnsi="Times New Roman" w:cs="Times New Roman"/>
      <w:kern w:val="0"/>
      <w:sz w:val="28"/>
      <w:szCs w:val="24"/>
      <w:lang w:val="en-GB" w:eastAsia="en-GB"/>
      <w14:ligatures w14:val="none"/>
    </w:rPr>
  </w:style>
  <w:style w:type="paragraph" w:customStyle="1" w:styleId="Affiliation">
    <w:name w:val="Affiliation"/>
    <w:basedOn w:val="Normal"/>
    <w:qFormat/>
    <w:rsid w:val="00453FC6"/>
    <w:pPr>
      <w:widowControl/>
      <w:spacing w:before="240" w:line="360" w:lineRule="auto"/>
      <w:jc w:val="left"/>
    </w:pPr>
    <w:rPr>
      <w:rFonts w:ascii="Times New Roman" w:hAnsi="Times New Roman" w:cs="Times New Roman"/>
      <w:i/>
      <w:kern w:val="0"/>
      <w:sz w:val="24"/>
      <w:szCs w:val="24"/>
      <w:lang w:val="en-GB" w:eastAsia="en-GB"/>
      <w14:ligatures w14:val="none"/>
    </w:rPr>
  </w:style>
  <w:style w:type="character" w:customStyle="1" w:styleId="hover-sent">
    <w:name w:val="hover-sent"/>
    <w:basedOn w:val="DefaultParagraphFont"/>
    <w:rsid w:val="0093052E"/>
  </w:style>
  <w:style w:type="character" w:styleId="Hyperlink">
    <w:name w:val="Hyperlink"/>
    <w:basedOn w:val="DefaultParagraphFont"/>
    <w:uiPriority w:val="99"/>
    <w:unhideWhenUsed/>
    <w:rsid w:val="00BB0A69"/>
    <w:rPr>
      <w:color w:val="467886" w:themeColor="hyperlink"/>
      <w:u w:val="single"/>
    </w:rPr>
  </w:style>
  <w:style w:type="character" w:styleId="UnresolvedMention">
    <w:name w:val="Unresolved Mention"/>
    <w:basedOn w:val="DefaultParagraphFont"/>
    <w:uiPriority w:val="99"/>
    <w:semiHidden/>
    <w:unhideWhenUsed/>
    <w:rsid w:val="00BB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6770</Words>
  <Characters>38590</Characters>
  <Application>Microsoft Office Word</Application>
  <DocSecurity>0</DocSecurity>
  <Lines>321</Lines>
  <Paragraphs>90</Paragraphs>
  <ScaleCrop>false</ScaleCrop>
  <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Bismack</dc:creator>
  <cp:keywords/>
  <dc:description/>
  <cp:lastModifiedBy>SDI 1084</cp:lastModifiedBy>
  <cp:revision>96</cp:revision>
  <dcterms:created xsi:type="dcterms:W3CDTF">2025-09-03T04:40:00Z</dcterms:created>
  <dcterms:modified xsi:type="dcterms:W3CDTF">2025-11-15T13:54:00Z</dcterms:modified>
</cp:coreProperties>
</file>