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3665D" w14:textId="5ACCC457" w:rsidR="00754C9A" w:rsidRDefault="00307345" w:rsidP="00441B6F">
      <w:pPr>
        <w:pStyle w:val="Title"/>
        <w:spacing w:after="0"/>
        <w:jc w:val="both"/>
        <w:rPr>
          <w:rFonts w:ascii="Arial" w:hAnsi="Arial" w:cs="Arial"/>
        </w:rPr>
      </w:pPr>
      <w:bookmarkStart w:id="0" w:name="_Hlk213683515"/>
      <w:r w:rsidRPr="00307345">
        <w:rPr>
          <w:rFonts w:ascii="Arial" w:hAnsi="Arial" w:cs="Arial"/>
        </w:rPr>
        <w:t>From Fields to Futures: The Economic and Occupational Impact of the Rice Tariffication Law</w:t>
      </w:r>
    </w:p>
    <w:bookmarkEnd w:id="0"/>
    <w:p w14:paraId="0DD8C420" w14:textId="77777777" w:rsidR="003B26A3" w:rsidRDefault="003B26A3" w:rsidP="00D408E2">
      <w:pPr>
        <w:pStyle w:val="Author"/>
        <w:spacing w:line="240" w:lineRule="auto"/>
        <w:rPr>
          <w:rFonts w:ascii="Arial" w:hAnsi="Arial" w:cs="Arial"/>
          <w:bCs/>
          <w:iCs/>
          <w:kern w:val="28"/>
          <w:sz w:val="36"/>
        </w:rPr>
      </w:pPr>
    </w:p>
    <w:p w14:paraId="6EF3BAB9" w14:textId="77777777" w:rsidR="007D389B" w:rsidRPr="00FB3A86" w:rsidRDefault="007D389B" w:rsidP="0090708B">
      <w:pPr>
        <w:pStyle w:val="Affiliation"/>
        <w:spacing w:after="0" w:line="240" w:lineRule="auto"/>
        <w:rPr>
          <w:rFonts w:ascii="Arial" w:hAnsi="Arial" w:cs="Arial"/>
        </w:rPr>
      </w:pPr>
    </w:p>
    <w:p w14:paraId="5D9BF0D3" w14:textId="4CB600C4" w:rsidR="00B01FCD" w:rsidRPr="00FB3A86" w:rsidRDefault="00A1723F" w:rsidP="00441B6F">
      <w:pPr>
        <w:pStyle w:val="Copyright"/>
        <w:spacing w:after="0" w:line="240" w:lineRule="auto"/>
        <w:jc w:val="both"/>
        <w:rPr>
          <w:rFonts w:ascii="Arial" w:hAnsi="Arial" w:cs="Arial"/>
        </w:rPr>
        <w:sectPr w:rsidR="00B01FCD" w:rsidRPr="00FB3A86" w:rsidSect="00A55CD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1980" w:left="2016" w:header="720" w:footer="1296" w:gutter="0"/>
          <w:cols w:space="720"/>
          <w:docGrid w:linePitch="272"/>
        </w:sectPr>
      </w:pPr>
      <w:r>
        <w:rPr>
          <w:rFonts w:ascii="Arial" w:hAnsi="Arial" w:cs="Arial"/>
          <w:noProof/>
        </w:rPr>
        <mc:AlternateContent>
          <mc:Choice Requires="wps">
            <w:drawing>
              <wp:inline distT="0" distB="0" distL="0" distR="0" wp14:anchorId="08DCADF3" wp14:editId="75B222D8">
                <wp:extent cx="5303520" cy="635"/>
                <wp:effectExtent l="13335" t="13335" r="17145" b="15240"/>
                <wp:docPr id="184395029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1E38B218"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4634DEBC" w14:textId="4F77517B" w:rsidR="00790ADA" w:rsidRPr="00FB3A86" w:rsidRDefault="007D389B" w:rsidP="00441B6F">
      <w:pPr>
        <w:pStyle w:val="AbstHead"/>
        <w:spacing w:after="0"/>
        <w:jc w:val="both"/>
        <w:rPr>
          <w:rFonts w:ascii="Arial" w:hAnsi="Arial" w:cs="Arial"/>
        </w:rPr>
      </w:pPr>
      <w:r>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350"/>
      </w:tblGrid>
      <w:tr w:rsidR="00296529" w:rsidRPr="001E44FE" w14:paraId="6BCC572F" w14:textId="77777777" w:rsidTr="001E44FE">
        <w:tc>
          <w:tcPr>
            <w:tcW w:w="9576" w:type="dxa"/>
            <w:shd w:val="clear" w:color="auto" w:fill="F2F2F2"/>
          </w:tcPr>
          <w:p w14:paraId="47678066" w14:textId="0BF55D75" w:rsidR="003B26A3" w:rsidRPr="003B26A3" w:rsidRDefault="003B26A3" w:rsidP="003B26A3">
            <w:pPr>
              <w:pStyle w:val="Body"/>
              <w:spacing w:after="0"/>
              <w:rPr>
                <w:rFonts w:ascii="Arial" w:eastAsia="Calibri" w:hAnsi="Arial" w:cs="Arial"/>
                <w:szCs w:val="22"/>
              </w:rPr>
            </w:pPr>
            <w:proofErr w:type="spellStart"/>
            <w:proofErr w:type="gramStart"/>
            <w:r w:rsidRPr="003B26A3">
              <w:rPr>
                <w:rFonts w:ascii="Arial" w:eastAsia="Calibri" w:hAnsi="Arial" w:cs="Arial"/>
                <w:b/>
                <w:bCs/>
                <w:szCs w:val="22"/>
              </w:rPr>
              <w:t>Aims</w:t>
            </w:r>
            <w:r w:rsidRPr="003B26A3">
              <w:rPr>
                <w:rFonts w:ascii="Arial" w:eastAsia="Calibri" w:hAnsi="Arial" w:cs="Arial"/>
                <w:szCs w:val="22"/>
              </w:rPr>
              <w:t>:To</w:t>
            </w:r>
            <w:proofErr w:type="spellEnd"/>
            <w:proofErr w:type="gramEnd"/>
            <w:r w:rsidRPr="003B26A3">
              <w:rPr>
                <w:rFonts w:ascii="Arial" w:eastAsia="Calibri" w:hAnsi="Arial" w:cs="Arial"/>
                <w:szCs w:val="22"/>
              </w:rPr>
              <w:t xml:space="preserve"> examine the economic and occupational effects of the Rice Tariffication Law (RTL) on rice farmers in the Philippines. Specifically, the study aims to estimate how the implementation of RTL influences farmers’ income and occupational mobility using a microsimulation and logistic regression framework, while assessing income distribution between law recipients and non-recipients.</w:t>
            </w:r>
          </w:p>
          <w:p w14:paraId="485B89FB" w14:textId="7AD57824" w:rsidR="003B26A3" w:rsidRPr="003B26A3" w:rsidRDefault="003B26A3" w:rsidP="003B26A3">
            <w:pPr>
              <w:pStyle w:val="Body"/>
              <w:spacing w:after="0"/>
              <w:rPr>
                <w:rFonts w:ascii="Arial" w:eastAsia="Calibri" w:hAnsi="Arial" w:cs="Arial"/>
                <w:szCs w:val="22"/>
              </w:rPr>
            </w:pPr>
            <w:r w:rsidRPr="003B26A3">
              <w:rPr>
                <w:rFonts w:ascii="Arial" w:eastAsia="Calibri" w:hAnsi="Arial" w:cs="Arial"/>
                <w:b/>
                <w:bCs/>
                <w:szCs w:val="22"/>
              </w:rPr>
              <w:t xml:space="preserve">Study </w:t>
            </w:r>
            <w:proofErr w:type="spellStart"/>
            <w:proofErr w:type="gramStart"/>
            <w:r w:rsidRPr="003B26A3">
              <w:rPr>
                <w:rFonts w:ascii="Arial" w:eastAsia="Calibri" w:hAnsi="Arial" w:cs="Arial"/>
                <w:b/>
                <w:bCs/>
                <w:szCs w:val="22"/>
              </w:rPr>
              <w:t>Design</w:t>
            </w:r>
            <w:r w:rsidRPr="003B26A3">
              <w:rPr>
                <w:rFonts w:ascii="Arial" w:eastAsia="Calibri" w:hAnsi="Arial" w:cs="Arial"/>
                <w:szCs w:val="22"/>
              </w:rPr>
              <w:t>:A</w:t>
            </w:r>
            <w:proofErr w:type="spellEnd"/>
            <w:proofErr w:type="gramEnd"/>
            <w:r w:rsidRPr="003B26A3">
              <w:rPr>
                <w:rFonts w:ascii="Arial" w:eastAsia="Calibri" w:hAnsi="Arial" w:cs="Arial"/>
                <w:szCs w:val="22"/>
              </w:rPr>
              <w:t xml:space="preserve"> quantitative econometric study utilizing microsimulation modeling and multinomial logistic regression to measure the ex-ante impact of RTL on farmers’ income, expenditure, and occupational decisions.</w:t>
            </w:r>
          </w:p>
          <w:p w14:paraId="4552B0AC" w14:textId="00E4B519" w:rsidR="003B26A3" w:rsidRPr="003B26A3" w:rsidRDefault="003B26A3" w:rsidP="003B26A3">
            <w:pPr>
              <w:pStyle w:val="Body"/>
              <w:spacing w:after="0"/>
              <w:rPr>
                <w:rFonts w:ascii="Arial" w:eastAsia="Calibri" w:hAnsi="Arial" w:cs="Arial"/>
                <w:szCs w:val="22"/>
              </w:rPr>
            </w:pPr>
            <w:r w:rsidRPr="003B26A3">
              <w:rPr>
                <w:rFonts w:ascii="Arial" w:eastAsia="Calibri" w:hAnsi="Arial" w:cs="Arial"/>
                <w:b/>
                <w:bCs/>
                <w:szCs w:val="22"/>
              </w:rPr>
              <w:t xml:space="preserve">Place and Duration of </w:t>
            </w:r>
            <w:proofErr w:type="spellStart"/>
            <w:proofErr w:type="gramStart"/>
            <w:r w:rsidRPr="003B26A3">
              <w:rPr>
                <w:rFonts w:ascii="Arial" w:eastAsia="Calibri" w:hAnsi="Arial" w:cs="Arial"/>
                <w:b/>
                <w:bCs/>
                <w:szCs w:val="22"/>
              </w:rPr>
              <w:t>Study</w:t>
            </w:r>
            <w:r w:rsidRPr="003B26A3">
              <w:rPr>
                <w:rFonts w:ascii="Arial" w:eastAsia="Calibri" w:hAnsi="Arial" w:cs="Arial"/>
                <w:szCs w:val="22"/>
              </w:rPr>
              <w:t>:Conducted</w:t>
            </w:r>
            <w:proofErr w:type="spellEnd"/>
            <w:proofErr w:type="gramEnd"/>
            <w:r w:rsidRPr="003B26A3">
              <w:rPr>
                <w:rFonts w:ascii="Arial" w:eastAsia="Calibri" w:hAnsi="Arial" w:cs="Arial"/>
                <w:szCs w:val="22"/>
              </w:rPr>
              <w:t xml:space="preserve"> in the Philippines using nationally representative microdata from the 2018 Family Income and Expenditure Survey (FIES) provided by the Philippine Statistics Authority (PSA). The study simulates income changes and occupational movements before and after the implementation of the Rice Tariffication Law, covering the period from 2018 to 2021.</w:t>
            </w:r>
          </w:p>
          <w:p w14:paraId="1598E059" w14:textId="3CE7EC03" w:rsidR="003B26A3" w:rsidRPr="003B26A3" w:rsidRDefault="003B26A3" w:rsidP="003B26A3">
            <w:pPr>
              <w:pStyle w:val="Body"/>
              <w:spacing w:after="0"/>
              <w:rPr>
                <w:rFonts w:ascii="Arial" w:eastAsia="Calibri" w:hAnsi="Arial" w:cs="Arial"/>
                <w:szCs w:val="22"/>
              </w:rPr>
            </w:pPr>
            <w:proofErr w:type="spellStart"/>
            <w:proofErr w:type="gramStart"/>
            <w:r w:rsidRPr="003B26A3">
              <w:rPr>
                <w:rFonts w:ascii="Arial" w:eastAsia="Calibri" w:hAnsi="Arial" w:cs="Arial"/>
                <w:b/>
                <w:bCs/>
                <w:szCs w:val="22"/>
              </w:rPr>
              <w:t>Methodology</w:t>
            </w:r>
            <w:r w:rsidRPr="003B26A3">
              <w:rPr>
                <w:rFonts w:ascii="Arial" w:eastAsia="Calibri" w:hAnsi="Arial" w:cs="Arial"/>
                <w:szCs w:val="22"/>
              </w:rPr>
              <w:t>:The</w:t>
            </w:r>
            <w:proofErr w:type="spellEnd"/>
            <w:proofErr w:type="gramEnd"/>
            <w:r w:rsidRPr="003B26A3">
              <w:rPr>
                <w:rFonts w:ascii="Arial" w:eastAsia="Calibri" w:hAnsi="Arial" w:cs="Arial"/>
                <w:szCs w:val="22"/>
              </w:rPr>
              <w:t xml:space="preserve"> study employed microsimulation techniques and logistic regression models to estimate the effects of RTL on household income and occupational choices. A Heckman two-step selection model was used to address sample selection bias, and a multinomial logistic regression was applied to determine occupational shifts among wage workers, rice farmers, non-rice farmers, and unemployed individuals. Data were categorized based on regional location, type of occupation, and RTL recipient status. The simulation incorporated the specifications of the Rice Competitiveness Enhancement Fund (RCEF), which allocates resources for farm mechanization, seed distribution, and credit assistance to rice farmers.</w:t>
            </w:r>
          </w:p>
          <w:p w14:paraId="29A736D9" w14:textId="20629C3B" w:rsidR="003B26A3" w:rsidRPr="003B26A3" w:rsidRDefault="003B26A3" w:rsidP="003B26A3">
            <w:pPr>
              <w:pStyle w:val="Body"/>
              <w:spacing w:after="0"/>
              <w:rPr>
                <w:rFonts w:ascii="Arial" w:eastAsia="Calibri" w:hAnsi="Arial" w:cs="Arial"/>
                <w:szCs w:val="22"/>
              </w:rPr>
            </w:pPr>
            <w:proofErr w:type="spellStart"/>
            <w:proofErr w:type="gramStart"/>
            <w:r w:rsidRPr="003B26A3">
              <w:rPr>
                <w:rFonts w:ascii="Arial" w:eastAsia="Calibri" w:hAnsi="Arial" w:cs="Arial"/>
                <w:b/>
                <w:bCs/>
                <w:szCs w:val="22"/>
              </w:rPr>
              <w:t>Results</w:t>
            </w:r>
            <w:r w:rsidRPr="003B26A3">
              <w:rPr>
                <w:rFonts w:ascii="Arial" w:eastAsia="Calibri" w:hAnsi="Arial" w:cs="Arial"/>
                <w:szCs w:val="22"/>
              </w:rPr>
              <w:t>:Simulation</w:t>
            </w:r>
            <w:proofErr w:type="spellEnd"/>
            <w:proofErr w:type="gramEnd"/>
            <w:r w:rsidRPr="003B26A3">
              <w:rPr>
                <w:rFonts w:ascii="Arial" w:eastAsia="Calibri" w:hAnsi="Arial" w:cs="Arial"/>
                <w:szCs w:val="22"/>
              </w:rPr>
              <w:t xml:space="preserve"> results indicated that rice farmers who benefited from the RTL experienced a 52% increase in total income, while non-recipients experienced a 19% decline. Regional analysis revealed that areas such as Regions II, VI, CARAGA, III, and IV-B showed the highest income gains, ranging from 16% to 60%. Occupational mobility analysis found that approximately 3,000 non-rice farmers transitioned into rice farming following the implementation of the RTL. The multinomial regression model also demonstrated that income, education, marital status, and number of children were significant predictors of occupational choice among farmers.</w:t>
            </w:r>
          </w:p>
          <w:p w14:paraId="784435AE" w14:textId="5B41C790" w:rsidR="00505F06" w:rsidRPr="003B26A3" w:rsidRDefault="003B26A3" w:rsidP="003B26A3">
            <w:pPr>
              <w:pStyle w:val="Body"/>
              <w:spacing w:after="0"/>
              <w:rPr>
                <w:rFonts w:ascii="Arial" w:eastAsia="Calibri" w:hAnsi="Arial" w:cs="Arial"/>
                <w:b/>
                <w:bCs/>
                <w:szCs w:val="22"/>
              </w:rPr>
            </w:pPr>
            <w:proofErr w:type="spellStart"/>
            <w:proofErr w:type="gramStart"/>
            <w:r w:rsidRPr="003B26A3">
              <w:rPr>
                <w:rFonts w:ascii="Arial" w:eastAsia="Calibri" w:hAnsi="Arial" w:cs="Arial"/>
                <w:b/>
                <w:bCs/>
                <w:szCs w:val="22"/>
              </w:rPr>
              <w:t>Conclusion</w:t>
            </w:r>
            <w:r w:rsidRPr="003B26A3">
              <w:rPr>
                <w:rFonts w:ascii="Arial" w:eastAsia="Calibri" w:hAnsi="Arial" w:cs="Arial"/>
                <w:szCs w:val="22"/>
              </w:rPr>
              <w:t>:The</w:t>
            </w:r>
            <w:proofErr w:type="spellEnd"/>
            <w:proofErr w:type="gramEnd"/>
            <w:r w:rsidRPr="003B26A3">
              <w:rPr>
                <w:rFonts w:ascii="Arial" w:eastAsia="Calibri" w:hAnsi="Arial" w:cs="Arial"/>
                <w:szCs w:val="22"/>
              </w:rPr>
              <w:t xml:space="preserve"> implementation of the Rice Tariffication Law significantly improved the income of rice farmer beneficiaries but adversely affected non-recipients. The findings highlight the importance of strengthening the Rice Competitiveness Enhancement Fund (RCEF) to ensure equitable support, transparency, and efficiency in implementation. Establishing localized RCEF offices and expanding microfinancing programs through LBP and DBP are recommended to enhance fund distribution. The study concludes that policy refinement in agricultural support and rural investment diversification is essential to sustain farmer welfare and promote inclusive agricultural growth in the Philippines.</w:t>
            </w:r>
          </w:p>
        </w:tc>
      </w:tr>
    </w:tbl>
    <w:p w14:paraId="19399366" w14:textId="77777777" w:rsidR="00636EB2" w:rsidRDefault="00636EB2" w:rsidP="00441B6F">
      <w:pPr>
        <w:pStyle w:val="Body"/>
        <w:spacing w:after="0"/>
        <w:rPr>
          <w:rFonts w:ascii="Arial" w:hAnsi="Arial" w:cs="Arial"/>
          <w:i/>
        </w:rPr>
      </w:pPr>
    </w:p>
    <w:p w14:paraId="106A113E" w14:textId="5C27E142" w:rsidR="003B26A3" w:rsidRDefault="00A24E7E" w:rsidP="00441B6F">
      <w:pPr>
        <w:pStyle w:val="Body"/>
        <w:spacing w:after="0"/>
        <w:rPr>
          <w:rFonts w:ascii="Arial" w:hAnsi="Arial" w:cs="Arial"/>
          <w:i/>
        </w:rPr>
      </w:pPr>
      <w:r w:rsidRPr="0090708B">
        <w:rPr>
          <w:rFonts w:ascii="Arial" w:hAnsi="Arial" w:cs="Arial"/>
          <w:b/>
          <w:bCs/>
          <w:i/>
        </w:rPr>
        <w:t>Keywords</w:t>
      </w:r>
      <w:r>
        <w:rPr>
          <w:rFonts w:ascii="Arial" w:hAnsi="Arial" w:cs="Arial"/>
          <w:i/>
        </w:rPr>
        <w:t xml:space="preserve">: </w:t>
      </w:r>
      <w:r w:rsidR="003B26A3" w:rsidRPr="003B26A3">
        <w:rPr>
          <w:rFonts w:ascii="Arial" w:hAnsi="Arial" w:cs="Arial"/>
          <w:i/>
        </w:rPr>
        <w:t>microsimulation, tariffication law, occupational choice, logistic regression, FIES</w:t>
      </w:r>
    </w:p>
    <w:p w14:paraId="00F995CB" w14:textId="77777777" w:rsidR="003B26A3" w:rsidRDefault="003B26A3">
      <w:pPr>
        <w:rPr>
          <w:rFonts w:ascii="Arial" w:hAnsi="Arial" w:cs="Arial"/>
          <w:i/>
        </w:rPr>
      </w:pPr>
      <w:r>
        <w:rPr>
          <w:rFonts w:ascii="Arial" w:hAnsi="Arial" w:cs="Arial"/>
          <w:i/>
        </w:rPr>
        <w:br w:type="page"/>
      </w:r>
    </w:p>
    <w:p w14:paraId="4626DE38" w14:textId="77777777" w:rsidR="0024282C" w:rsidRDefault="0024282C" w:rsidP="00441B6F">
      <w:pPr>
        <w:pStyle w:val="Body"/>
        <w:spacing w:after="0"/>
        <w:rPr>
          <w:rFonts w:ascii="Arial" w:hAnsi="Arial" w:cs="Arial"/>
          <w:i/>
          <w:sz w:val="18"/>
        </w:rPr>
      </w:pPr>
    </w:p>
    <w:p w14:paraId="502421A2" w14:textId="77777777" w:rsidR="00505F06" w:rsidRPr="00A24E7E" w:rsidRDefault="00505F06" w:rsidP="00441B6F">
      <w:pPr>
        <w:pStyle w:val="Body"/>
        <w:spacing w:after="0"/>
        <w:rPr>
          <w:rFonts w:ascii="Arial" w:hAnsi="Arial" w:cs="Arial"/>
          <w:i/>
        </w:rPr>
      </w:pPr>
    </w:p>
    <w:p w14:paraId="152B20D7" w14:textId="4E6F000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32979B8B" w14:textId="77777777" w:rsidR="00790ADA" w:rsidRPr="00FB3A86" w:rsidRDefault="00790ADA" w:rsidP="00441B6F">
      <w:pPr>
        <w:pStyle w:val="AbstHead"/>
        <w:spacing w:after="0"/>
        <w:jc w:val="both"/>
        <w:rPr>
          <w:rFonts w:ascii="Arial" w:hAnsi="Arial" w:cs="Arial"/>
        </w:rPr>
      </w:pPr>
    </w:p>
    <w:p w14:paraId="351CDBDF" w14:textId="77777777" w:rsidR="003B26A3" w:rsidRPr="003B26A3" w:rsidRDefault="003B26A3" w:rsidP="003B26A3">
      <w:pPr>
        <w:jc w:val="both"/>
        <w:rPr>
          <w:rFonts w:ascii="Arial" w:hAnsi="Arial" w:cs="Arial"/>
        </w:rPr>
      </w:pPr>
      <w:r w:rsidRPr="003B26A3">
        <w:rPr>
          <w:rFonts w:ascii="Arial" w:hAnsi="Arial" w:cs="Arial"/>
        </w:rPr>
        <w:t>20 percent of the total global daily consumption according to Durand-Morat et al. (2020). Sixty-five percent of 1.7 billion people in Southeast Asia are living in rural areas relying on agricultural livelihood reported by IRRI, (2017). Annually, the worldwide production of paddy rice was estimated to exceed 715 million tons, resulting in 480 million tons of milled rice. The international rice market faces challenges due to its heavy reliance on domestic consumption within individual countries. As a consequence of this reliance, rice prices exhibit significant volatility. To safeguard their domestic rice producers and ensure national food security, numerous Asian nations have enforced stringent policies on rice importation elaborated by Sugimoto et al. (2014). </w:t>
      </w:r>
    </w:p>
    <w:p w14:paraId="2F2BB967" w14:textId="77777777" w:rsidR="003B26A3" w:rsidRPr="003B26A3" w:rsidRDefault="003B26A3" w:rsidP="003B26A3">
      <w:pPr>
        <w:jc w:val="both"/>
        <w:rPr>
          <w:rFonts w:ascii="Arial" w:hAnsi="Arial" w:cs="Arial"/>
        </w:rPr>
      </w:pPr>
      <w:proofErr w:type="spellStart"/>
      <w:r w:rsidRPr="003B26A3">
        <w:rPr>
          <w:rFonts w:ascii="Arial" w:hAnsi="Arial" w:cs="Arial"/>
        </w:rPr>
        <w:t>Intal</w:t>
      </w:r>
      <w:proofErr w:type="spellEnd"/>
      <w:r w:rsidRPr="003B26A3">
        <w:rPr>
          <w:rFonts w:ascii="Arial" w:hAnsi="Arial" w:cs="Arial"/>
        </w:rPr>
        <w:t xml:space="preserve"> et.al (2005), Briones et. al (2015), and Balisacan (1995) arrived at the consensus that the rice sector significantly influences the political landscape as it serves as the primary commodity, staple food, and major calorie source for the entire Filipino population. According to Papademetriou et al. (2000), the Philippines' rice productivity has declined over the years due to two main factors. Firstly, the fixed level of fertilizer has remained constant, leading to decreased productivity. Secondly, even with diminishing yields, a higher level of fertilizer must be added to maintain the same level of output. Cassman et al. (1995) concluded that the decline in productivity can be attributed to the degradation of the paddy resource base. At the same time, the country's population is rapidly increasing, leading to instability in domestic production and fluctuating prices. Due to insufficient domestically produced rice to meet the domestic demand, the government's sole option is to import rice from another country (Asian Journal, 2020).</w:t>
      </w:r>
    </w:p>
    <w:p w14:paraId="3B747185" w14:textId="77777777" w:rsidR="003B26A3" w:rsidRPr="003B26A3" w:rsidRDefault="003B26A3" w:rsidP="003B26A3">
      <w:pPr>
        <w:jc w:val="both"/>
        <w:rPr>
          <w:rFonts w:ascii="Arial" w:hAnsi="Arial" w:cs="Arial"/>
        </w:rPr>
      </w:pPr>
      <w:r w:rsidRPr="003B26A3">
        <w:rPr>
          <w:rFonts w:ascii="Arial" w:hAnsi="Arial" w:cs="Arial"/>
        </w:rPr>
        <w:t>The Philippine Congress has enacted a law, known as Republic Act No. 11203 or the Rice Tariffication Law (RTL), which aims to stabilize the rice supply in the market and ultimately reduce its price. The RTL appears to be beneficial for consumers, as it is pro-poor and results in lower rice prices. Nevertheless, local farmers face challenges due to intense competition from the international market. As noted by Tobias (2019), the increased rice supply may have adverse effects on our local farmers after the law's implementation. Therefore, to support the farmers, the government needs to provide substantial assistance.</w:t>
      </w:r>
    </w:p>
    <w:p w14:paraId="709D969E" w14:textId="7D33D1A1" w:rsidR="00086B6F" w:rsidRDefault="003B26A3" w:rsidP="003B26A3">
      <w:pPr>
        <w:jc w:val="both"/>
        <w:rPr>
          <w:rFonts w:ascii="Arial" w:hAnsi="Arial" w:cs="Arial"/>
        </w:rPr>
      </w:pPr>
      <w:r w:rsidRPr="003B26A3">
        <w:rPr>
          <w:rFonts w:ascii="Arial" w:hAnsi="Arial" w:cs="Arial"/>
        </w:rPr>
        <w:t xml:space="preserve">Balie et al. (2020) and Briones (2020) agreed that the implementation of RTL has a positive impact on the prices and purchasing power of the consumer, while negatively impacting the producers. </w:t>
      </w:r>
      <w:proofErr w:type="spellStart"/>
      <w:r w:rsidRPr="003B26A3">
        <w:rPr>
          <w:rFonts w:ascii="Arial" w:hAnsi="Arial" w:cs="Arial"/>
        </w:rPr>
        <w:t>Estadilla</w:t>
      </w:r>
      <w:proofErr w:type="spellEnd"/>
      <w:r w:rsidRPr="003B26A3">
        <w:rPr>
          <w:rFonts w:ascii="Arial" w:hAnsi="Arial" w:cs="Arial"/>
        </w:rPr>
        <w:t xml:space="preserve"> (2022) argues that RTL has a potential compensation mechanism through tariff revenues. The Rice Competitiveness Enhancement Fund (RCEF) utilizes these revenues to enhance the productivity of rice growers through subsidies, infrastructure support, and modern machinery. Various perspectives on trade liberalization and diverse studies on tariffication law unanimously concur that the implementation of such laws facilitates a rise in rice supply while causing a reduction in rice prices within the market. Additionally, these viewpoints differ in their assessment of the law's impact on rice growers. This research aims to assess the ex-ante effect of the RTL on rice farmers' income at the consumer level. Furthermore, the study will conduct a comprehensive analysis to identify both positive and negative impacts, thus providing valuable insights for policy review and offering well-founded recommendations.</w:t>
      </w:r>
    </w:p>
    <w:p w14:paraId="712FFEDC" w14:textId="77777777" w:rsidR="003B26A3" w:rsidRDefault="003B26A3" w:rsidP="003B26A3">
      <w:pPr>
        <w:jc w:val="both"/>
        <w:rPr>
          <w:rFonts w:ascii="Arial" w:hAnsi="Arial" w:cs="Arial"/>
        </w:rPr>
      </w:pPr>
    </w:p>
    <w:p w14:paraId="3AF47B30" w14:textId="77777777" w:rsidR="003B26A3" w:rsidRPr="003B26A3" w:rsidRDefault="003B26A3" w:rsidP="003B26A3">
      <w:pPr>
        <w:jc w:val="both"/>
        <w:rPr>
          <w:rFonts w:ascii="Arial" w:hAnsi="Arial" w:cs="Arial"/>
        </w:rPr>
      </w:pPr>
      <w:r w:rsidRPr="003B26A3">
        <w:rPr>
          <w:rFonts w:ascii="Arial" w:hAnsi="Arial" w:cs="Arial"/>
        </w:rPr>
        <w:t xml:space="preserve">Balie et al. (2020) conducted an assessment of the welfare implications of RTL. The study revealed that non-rice farmers experienced benefits due to the decrease in rice prices, as they are the primary purchasers of the commodity. Conversely, rice growers suffered a significant decline in welfare, experiencing a 7.7 percent </w:t>
      </w:r>
      <w:proofErr w:type="spellStart"/>
      <w:proofErr w:type="gramStart"/>
      <w:r w:rsidRPr="003B26A3">
        <w:rPr>
          <w:rFonts w:ascii="Arial" w:hAnsi="Arial" w:cs="Arial"/>
        </w:rPr>
        <w:t>reduction.Briones</w:t>
      </w:r>
      <w:proofErr w:type="spellEnd"/>
      <w:proofErr w:type="gramEnd"/>
      <w:r w:rsidRPr="003B26A3">
        <w:rPr>
          <w:rFonts w:ascii="Arial" w:hAnsi="Arial" w:cs="Arial"/>
        </w:rPr>
        <w:t xml:space="preserve"> (2020) conducted a separate study on the impact of RTL on various worker groups. The researcher found out that in 2019, the income of agricultural workers decreased at a faster rate. However, after 2021, the rate of decline slowed down because of the reform. On the other hand, the income of industry workers experienced a drop in 2019 but showed accelerated growth in 2021.</w:t>
      </w:r>
    </w:p>
    <w:p w14:paraId="5026B7A7" w14:textId="77777777" w:rsidR="003B26A3" w:rsidRPr="003B26A3" w:rsidRDefault="003B26A3" w:rsidP="003B26A3">
      <w:pPr>
        <w:jc w:val="both"/>
        <w:rPr>
          <w:rFonts w:ascii="Arial" w:hAnsi="Arial" w:cs="Arial"/>
        </w:rPr>
      </w:pPr>
    </w:p>
    <w:p w14:paraId="78606BFD" w14:textId="77777777" w:rsidR="003B26A3" w:rsidRPr="003B26A3" w:rsidRDefault="003B26A3" w:rsidP="003B26A3">
      <w:pPr>
        <w:jc w:val="both"/>
        <w:rPr>
          <w:rFonts w:ascii="Arial" w:hAnsi="Arial" w:cs="Arial"/>
        </w:rPr>
      </w:pPr>
      <w:proofErr w:type="spellStart"/>
      <w:r w:rsidRPr="003B26A3">
        <w:rPr>
          <w:rFonts w:ascii="Arial" w:hAnsi="Arial" w:cs="Arial"/>
        </w:rPr>
        <w:t>Estadilla</w:t>
      </w:r>
      <w:proofErr w:type="spellEnd"/>
      <w:r w:rsidRPr="003B26A3">
        <w:rPr>
          <w:rFonts w:ascii="Arial" w:hAnsi="Arial" w:cs="Arial"/>
        </w:rPr>
        <w:t xml:space="preserve"> (2022) argued that rice growers were negatively affected by the policy reform. However, there is a potential compensation mechanism through tariff revenues. The Rice Competitiveness Enhancement Fund (RCEF) utilizes these revenues to enhance the productivity of rice growers through subsidies, infrastructure support, and modern </w:t>
      </w:r>
      <w:proofErr w:type="spellStart"/>
      <w:proofErr w:type="gramStart"/>
      <w:r w:rsidRPr="003B26A3">
        <w:rPr>
          <w:rFonts w:ascii="Arial" w:hAnsi="Arial" w:cs="Arial"/>
        </w:rPr>
        <w:t>machinery.Cororaton</w:t>
      </w:r>
      <w:proofErr w:type="spellEnd"/>
      <w:proofErr w:type="gramEnd"/>
      <w:r w:rsidRPr="003B26A3">
        <w:rPr>
          <w:rFonts w:ascii="Arial" w:hAnsi="Arial" w:cs="Arial"/>
        </w:rPr>
        <w:t xml:space="preserve"> et al. (2020) employed a microsimulation model to analyze the effects of the RTL on domestic palay production. The study revealed a 4.4 percent increase in paddy production volume and a 5.6 percent increase in rice production. Moreover, Tobias (2019) conducted a separate study indicating that local rice farmers were adversely affected by the RTL, mainly due to the oversupply of inexpensive imported rice. While, Balie et al. (2020) utilized the 2015 FIES data to </w:t>
      </w:r>
      <w:r w:rsidRPr="003B26A3">
        <w:rPr>
          <w:rFonts w:ascii="Arial" w:hAnsi="Arial" w:cs="Arial"/>
        </w:rPr>
        <w:lastRenderedPageBreak/>
        <w:t>simulate the impact of rice tariffication reform on consumer and producer prices. The results indicated a significant reduction in consumer prices, approximately 17.4 percent, and a decrease in producer prices ranging from 13.6 percent to 22.6 percent, varying across regions and locations. This suggests that the law had both positive and negative effects on households and producers. Also, Briones (2019) examined the economic consequences of the RTL on the rice sector using the Computable General Equilibrium (CGE) and Microsimulation Model. The findings revealed that the economic shocks to the rice sector led to an increase in income poverty across various industries. While the drop in retail prices, particularly for regular milled rice, benefited the poor, it also negatively impacted local farmers, leading to a decrease in income and an increase in poverty for them.</w:t>
      </w:r>
    </w:p>
    <w:p w14:paraId="261BBF73" w14:textId="77777777" w:rsidR="003B26A3" w:rsidRPr="003B26A3" w:rsidRDefault="003B26A3" w:rsidP="003B26A3">
      <w:pPr>
        <w:jc w:val="both"/>
        <w:rPr>
          <w:rFonts w:ascii="Arial" w:hAnsi="Arial" w:cs="Arial"/>
        </w:rPr>
      </w:pPr>
    </w:p>
    <w:p w14:paraId="60933ED0" w14:textId="118C600B" w:rsidR="003B26A3" w:rsidRDefault="003B26A3" w:rsidP="003B26A3">
      <w:pPr>
        <w:jc w:val="both"/>
        <w:rPr>
          <w:rFonts w:ascii="Arial" w:hAnsi="Arial" w:cs="Arial"/>
        </w:rPr>
      </w:pPr>
      <w:r w:rsidRPr="003B26A3">
        <w:rPr>
          <w:rFonts w:ascii="Arial" w:hAnsi="Arial" w:cs="Arial"/>
        </w:rPr>
        <w:t>In Casinillo's study in the same year, various factors such as age, gender, household size, educational attainment, farm area, marital status, farm ownership, household consumption, and expenses were identified as influencing the farmer's income. Consequently, the increase in rice imports had a detrimental effect on the well-being of local rice farmers. The drop in rice prices due to the import surge meant that local farmers' income decreased as they faced the challenge of selling their harvest at lower prices while grappling with high costs for agricultural inputs. As a result, their income was insufficient to cover their monthly household expenses.</w:t>
      </w:r>
    </w:p>
    <w:p w14:paraId="6930D189" w14:textId="77777777" w:rsidR="003B26A3" w:rsidRDefault="003B26A3" w:rsidP="003B26A3">
      <w:pPr>
        <w:jc w:val="both"/>
        <w:rPr>
          <w:rFonts w:ascii="Arial" w:hAnsi="Arial" w:cs="Arial"/>
        </w:rPr>
      </w:pPr>
    </w:p>
    <w:p w14:paraId="2CA616CC" w14:textId="77777777" w:rsidR="003B26A3" w:rsidRPr="003B26A3" w:rsidRDefault="003B26A3" w:rsidP="003B26A3">
      <w:pPr>
        <w:jc w:val="both"/>
        <w:rPr>
          <w:rFonts w:ascii="Arial" w:hAnsi="Arial" w:cs="Arial"/>
        </w:rPr>
      </w:pPr>
      <w:r w:rsidRPr="003B26A3">
        <w:rPr>
          <w:rFonts w:ascii="Arial" w:hAnsi="Arial" w:cs="Arial"/>
        </w:rPr>
        <w:t xml:space="preserve">The implementation of the Rice Tariffication Law (RTL) increased the volume of imported rice during the fiscal year 2019. The Department of Agriculture reported that during the dry season, the average yield increased from 3.65 tons per hectare (t/ha) to 4.22 t/ha as a result of the RTL implementation from 2019 to 2021. In the wet season, the average yield rose from 3.69 t/ha in 2019 to 4.03 t/ha in 2021.However, Matai et al. (2019) concluded that after the implementation of the RTL, the supply of rice in the market increased while the price declined. Unfortunately, this phenomenon did not bode well for rice producers. This notion was supported by Briones in 2020, indicating that the net gain of the RTL to all Filipinos, while positive, comes at the expense of rice farmers and favors rice importers and wholesalers/retailers. This perspective is also corroborated by various studies from Valera G (2020), </w:t>
      </w:r>
      <w:proofErr w:type="spellStart"/>
      <w:r w:rsidRPr="003B26A3">
        <w:rPr>
          <w:rFonts w:ascii="Arial" w:hAnsi="Arial" w:cs="Arial"/>
        </w:rPr>
        <w:t>Cororaton</w:t>
      </w:r>
      <w:proofErr w:type="spellEnd"/>
      <w:r w:rsidRPr="003B26A3">
        <w:rPr>
          <w:rFonts w:ascii="Arial" w:hAnsi="Arial" w:cs="Arial"/>
        </w:rPr>
        <w:t xml:space="preserve"> and Yu (2019), and Balie et al. (2020), all of whom believed that the economic impact is more favorable for consumers than for producers.</w:t>
      </w:r>
    </w:p>
    <w:p w14:paraId="64AE556C" w14:textId="7AC552CB" w:rsidR="003B26A3" w:rsidRPr="00086B6F" w:rsidRDefault="003B26A3" w:rsidP="003B26A3">
      <w:pPr>
        <w:jc w:val="both"/>
        <w:rPr>
          <w:rFonts w:ascii="Arial" w:hAnsi="Arial" w:cs="Arial"/>
        </w:rPr>
      </w:pPr>
      <w:r w:rsidRPr="003B26A3">
        <w:rPr>
          <w:rFonts w:ascii="Arial" w:hAnsi="Arial" w:cs="Arial"/>
        </w:rPr>
        <w:t xml:space="preserve">In addition, the discussion from Cabling (2006), </w:t>
      </w:r>
      <w:proofErr w:type="spellStart"/>
      <w:r w:rsidRPr="003B26A3">
        <w:rPr>
          <w:rFonts w:ascii="Arial" w:hAnsi="Arial" w:cs="Arial"/>
        </w:rPr>
        <w:t>Dalwe</w:t>
      </w:r>
      <w:proofErr w:type="spellEnd"/>
      <w:r w:rsidRPr="003B26A3">
        <w:rPr>
          <w:rFonts w:ascii="Arial" w:hAnsi="Arial" w:cs="Arial"/>
        </w:rPr>
        <w:t xml:space="preserve"> (2006), and Moya et al. (2016) suggests that the lower local rice harvest can be attributed to the higher cost of production and a low supply of paddy in the country. This situation is critical as it leads to an increase in poverty and hunger across the Philippines, as noted by Palis (2020). Filipino rice farmers and their families often find themselves seeking other employment in urban areas, primarily in construction, food services, factories, and domestic work. While these jobs don't necessarily offer better income than rice farming, they do provide more stability and income security. The migration of farmworkers to cities results in abandoned farmland.</w:t>
      </w:r>
    </w:p>
    <w:p w14:paraId="3B7FDE73" w14:textId="77777777" w:rsidR="00086B6F" w:rsidRPr="00FB3A86" w:rsidRDefault="00086B6F" w:rsidP="00086B6F">
      <w:pPr>
        <w:pStyle w:val="Body"/>
        <w:spacing w:after="0"/>
        <w:rPr>
          <w:rFonts w:ascii="Arial" w:hAnsi="Arial" w:cs="Arial"/>
        </w:rPr>
      </w:pPr>
    </w:p>
    <w:p w14:paraId="4C1218F3" w14:textId="31CEAD22"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D53FAD7" w14:textId="77777777" w:rsidR="00790ADA" w:rsidRPr="00FB3A86" w:rsidRDefault="00790ADA" w:rsidP="00441B6F">
      <w:pPr>
        <w:pStyle w:val="AbstHead"/>
        <w:spacing w:after="0"/>
        <w:jc w:val="both"/>
        <w:rPr>
          <w:rFonts w:ascii="Arial" w:hAnsi="Arial" w:cs="Arial"/>
        </w:rPr>
      </w:pPr>
    </w:p>
    <w:p w14:paraId="39504AC5" w14:textId="381BE2CD" w:rsidR="003B26A3" w:rsidRPr="003B26A3" w:rsidRDefault="003B26A3" w:rsidP="003B26A3">
      <w:pPr>
        <w:pStyle w:val="Body"/>
        <w:rPr>
          <w:rFonts w:ascii="Arial" w:hAnsi="Arial" w:cs="Arial"/>
        </w:rPr>
      </w:pPr>
      <w:r w:rsidRPr="003B26A3">
        <w:rPr>
          <w:rFonts w:ascii="Arial" w:hAnsi="Arial" w:cs="Arial"/>
        </w:rPr>
        <w:t>The study utilized a microsimulation model to evaluate the effect of The Rice Tariffication Law which is a newly mandated policy of the government. Microsimulation provides a holistic approach to simulating the welfare impact of the policy, specifically on the income of rice farmers, utilizing different sources discussed below.</w:t>
      </w:r>
    </w:p>
    <w:p w14:paraId="3DC0418D" w14:textId="202D4C3A" w:rsidR="003B26A3" w:rsidRPr="003B26A3" w:rsidRDefault="003B26A3" w:rsidP="003B26A3">
      <w:pPr>
        <w:pStyle w:val="Body"/>
        <w:rPr>
          <w:rFonts w:ascii="Arial" w:hAnsi="Arial" w:cs="Arial"/>
        </w:rPr>
      </w:pPr>
      <w:r w:rsidRPr="003B26A3">
        <w:rPr>
          <w:rFonts w:ascii="Arial" w:hAnsi="Arial" w:cs="Arial"/>
        </w:rPr>
        <w:t xml:space="preserve">Following the concept of the new trade theory and the impact of tariffs, the researcher determines the income effect of the law on our rice farmers after income estimation and microsimulation modeling. To evaluate how the RTL affected the income of rice farmers, as shown in Figure </w:t>
      </w:r>
      <w:r w:rsidR="004B3A52">
        <w:rPr>
          <w:rFonts w:ascii="Arial" w:hAnsi="Arial" w:cs="Arial"/>
        </w:rPr>
        <w:t>1</w:t>
      </w:r>
      <w:r w:rsidRPr="003B26A3">
        <w:rPr>
          <w:rFonts w:ascii="Arial" w:hAnsi="Arial" w:cs="Arial"/>
        </w:rPr>
        <w:t>, a three-step approach was employed to analyze how the RTL influenced overall income distribution and choices of occupation.</w:t>
      </w:r>
    </w:p>
    <w:p w14:paraId="139F9E22" w14:textId="77777777" w:rsidR="003B26A3" w:rsidRPr="003B26A3" w:rsidRDefault="003B26A3" w:rsidP="003B26A3">
      <w:pPr>
        <w:pStyle w:val="Body"/>
        <w:rPr>
          <w:rFonts w:ascii="Arial" w:hAnsi="Arial" w:cs="Arial"/>
        </w:rPr>
      </w:pPr>
      <w:r w:rsidRPr="003B26A3">
        <w:rPr>
          <w:rFonts w:ascii="Arial" w:hAnsi="Arial" w:cs="Arial"/>
        </w:rPr>
        <w:t>The procedure encompassed three primary phases: (1) identification of the RTL specifications, (2) integration of the RTL into microsimulation for evaluating the policy's effect on the distribution of producer income, and (3) incorporation of multinomial logistic regression to measure how the RTL impacted occupational decisions among rice farmers.</w:t>
      </w:r>
    </w:p>
    <w:p w14:paraId="6D824502" w14:textId="77777777" w:rsidR="003B26A3" w:rsidRPr="003B26A3" w:rsidRDefault="003B26A3" w:rsidP="003B26A3">
      <w:pPr>
        <w:pStyle w:val="Body"/>
        <w:rPr>
          <w:rFonts w:ascii="Arial" w:hAnsi="Arial" w:cs="Arial"/>
        </w:rPr>
      </w:pPr>
    </w:p>
    <w:p w14:paraId="076D147E" w14:textId="58C9D1DD" w:rsidR="003B26A3" w:rsidRPr="003B26A3" w:rsidRDefault="003B26A3" w:rsidP="003B26A3">
      <w:pPr>
        <w:pStyle w:val="Body"/>
        <w:rPr>
          <w:rFonts w:ascii="Arial" w:hAnsi="Arial" w:cs="Arial"/>
        </w:rPr>
      </w:pPr>
      <w:r w:rsidRPr="003B26A3">
        <w:rPr>
          <w:rFonts w:ascii="Arial" w:hAnsi="Arial" w:cs="Arial"/>
        </w:rPr>
        <w:lastRenderedPageBreak/>
        <w:t>The initial stage involved the identification of specifications of RTL that could directly impact the overall earnings of farmers throughout the simulated period. The guidelines for enacting the RTL are delineated in Article XIII of the Rice Competitiveness Enhancement Fund (RCEF). In order to boost the efficiency of rice farmers, the task of dispensing a range of rice farming machinery, such as tillers, tractors, seeders, threshers, rice planters, harvesters, irrigation pumps, compact solar irrigation systems, reapers, dryers, millers, and other beneficial devices, was undertaken by the Philippine Center for Postharvest Development and Mechanization (</w:t>
      </w:r>
      <w:proofErr w:type="spellStart"/>
      <w:r w:rsidRPr="003B26A3">
        <w:rPr>
          <w:rFonts w:ascii="Arial" w:hAnsi="Arial" w:cs="Arial"/>
        </w:rPr>
        <w:t>PhilMech</w:t>
      </w:r>
      <w:proofErr w:type="spellEnd"/>
      <w:r w:rsidRPr="003B26A3">
        <w:rPr>
          <w:rFonts w:ascii="Arial" w:hAnsi="Arial" w:cs="Arial"/>
        </w:rPr>
        <w:t>).</w:t>
      </w:r>
    </w:p>
    <w:p w14:paraId="7EB7C863" w14:textId="77777777" w:rsidR="003B26A3" w:rsidRPr="003B26A3" w:rsidRDefault="003B26A3" w:rsidP="003B26A3">
      <w:pPr>
        <w:pStyle w:val="Body"/>
        <w:rPr>
          <w:rFonts w:ascii="Arial" w:hAnsi="Arial" w:cs="Arial"/>
        </w:rPr>
      </w:pPr>
      <w:r w:rsidRPr="003B26A3">
        <w:rPr>
          <w:rFonts w:ascii="Arial" w:hAnsi="Arial" w:cs="Arial"/>
        </w:rPr>
        <w:t>Furthermore, the distribution of inbred rice seeds and seed growers to rice farmers falls under the jurisdiction of the Philippine Rice Research Institute (PhilRice). To offer financial assistance, the Land Bank of the Philippines (LBP) and the Development Bank of the Philippines (DBP) provide credit facilities with low interest rates and minimal collateral demands for rice farmers. The necessary seedlings and equipment for the program will be subsidized, and participating farmers will have access to credit support to address their daily expenses and livelihood requirements.</w:t>
      </w:r>
    </w:p>
    <w:p w14:paraId="6B8F7B05" w14:textId="77777777" w:rsidR="003B26A3" w:rsidRPr="003B26A3" w:rsidRDefault="003B26A3" w:rsidP="003B26A3">
      <w:pPr>
        <w:pStyle w:val="Body"/>
        <w:rPr>
          <w:rFonts w:ascii="Arial" w:hAnsi="Arial" w:cs="Arial"/>
        </w:rPr>
      </w:pPr>
      <w:r w:rsidRPr="003B26A3">
        <w:rPr>
          <w:rFonts w:ascii="Arial" w:hAnsi="Arial" w:cs="Arial"/>
        </w:rPr>
        <w:t>The researcher used the flow of the Microsimulation Model from Dizon, 2019 on the Impact of TRAIN Law as shown in table 2. The household was categorized based on several criteria. Firstly, their RTL recipient status was considered, classifying them as either recipients or non-recipients. Secondly, the head of the household's work classification from the national data was examined to determine whether they were engaged in farming or business. This classification included four categories: (a) 4- Employer in own family-operated farm or business, (b) 5- Worked with pay in own family-operated farm or business, (c) 6- Worked without pay in own family-operated farm or business. Thirdly, the class of workers identified in the data set was used for further grouping. This classification consisted of the following codes: (a) code 112- Growing of paddy rice, (b) 122- Growing of paddy rice, lowland, irrigated, (c) code 121- Growing of paddy rice, lowland, rainfed, (d) 123- Growing of paddy rice, upland/kaingin, and (e) 1061- Rice/corn milling. Lastly, geographical location, organized by region, was utilized as another factor for grouping the households.</w:t>
      </w:r>
    </w:p>
    <w:p w14:paraId="1B2EDC2D" w14:textId="3B6A6792" w:rsidR="003B26A3" w:rsidRPr="003B26A3" w:rsidRDefault="003B26A3" w:rsidP="003B26A3">
      <w:pPr>
        <w:pStyle w:val="Body"/>
        <w:rPr>
          <w:rFonts w:ascii="Arial" w:hAnsi="Arial" w:cs="Arial"/>
        </w:rPr>
      </w:pPr>
      <w:r w:rsidRPr="003B26A3">
        <w:rPr>
          <w:rFonts w:ascii="Arial" w:hAnsi="Arial" w:cs="Arial"/>
        </w:rPr>
        <w:t>In the based period, the model integrated overall household expenditure and income. The net income was derived by deducting total household expenses from the total income prior to the implementation of RTL specification. The Heckman two-step selection method was used to gauge wage-based earnings. In the subsequent phase, the net income estimate was merged into the RTL specification, enabling the computation of projected alterations in total household income throughout the simulated period.</w:t>
      </w:r>
    </w:p>
    <w:p w14:paraId="4D8E47AD" w14:textId="6FC16BC2" w:rsidR="00790ADA" w:rsidRPr="003B26A3" w:rsidRDefault="003B26A3" w:rsidP="003B26A3">
      <w:pPr>
        <w:pStyle w:val="Body"/>
        <w:spacing w:after="0"/>
        <w:rPr>
          <w:rFonts w:ascii="Arial" w:hAnsi="Arial" w:cs="Arial"/>
        </w:rPr>
      </w:pPr>
      <w:r w:rsidRPr="003B26A3">
        <w:rPr>
          <w:rFonts w:ascii="Arial" w:hAnsi="Arial" w:cs="Arial"/>
        </w:rPr>
        <w:t xml:space="preserve">For the last stage, multinomial regression was integrated. Utilizing the estimated income after RTL the researcher will estimate the occupational choice movement of farmers among four categories (1) Wage (2) Entrepreneurial Rice Farming; (3) Entrepreneurial </w:t>
      </w:r>
      <w:proofErr w:type="gramStart"/>
      <w:r w:rsidRPr="003B26A3">
        <w:rPr>
          <w:rFonts w:ascii="Arial" w:hAnsi="Arial" w:cs="Arial"/>
        </w:rPr>
        <w:t>Non Rice</w:t>
      </w:r>
      <w:proofErr w:type="gramEnd"/>
      <w:r w:rsidRPr="003B26A3">
        <w:rPr>
          <w:rFonts w:ascii="Arial" w:hAnsi="Arial" w:cs="Arial"/>
        </w:rPr>
        <w:t xml:space="preserve"> Farming; and (4) Unemployed.</w:t>
      </w:r>
    </w:p>
    <w:p w14:paraId="6B077134" w14:textId="77777777" w:rsidR="003B26A3" w:rsidRPr="003B26A3" w:rsidRDefault="003B26A3" w:rsidP="003B26A3">
      <w:pPr>
        <w:pStyle w:val="Body"/>
        <w:spacing w:after="0"/>
        <w:rPr>
          <w:rFonts w:ascii="Arial" w:hAnsi="Arial" w:cs="Arial"/>
        </w:rPr>
      </w:pPr>
    </w:p>
    <w:p w14:paraId="30CBC66F" w14:textId="1C96B01B" w:rsidR="003B26A3" w:rsidRPr="003B26A3" w:rsidRDefault="003B26A3" w:rsidP="003B26A3">
      <w:pPr>
        <w:pStyle w:val="Body"/>
        <w:rPr>
          <w:rFonts w:ascii="Arial" w:hAnsi="Arial" w:cs="Arial"/>
        </w:rPr>
      </w:pPr>
      <w:r w:rsidRPr="003B26A3">
        <w:rPr>
          <w:rFonts w:ascii="Arial" w:hAnsi="Arial" w:cs="Arial"/>
        </w:rPr>
        <w:t xml:space="preserve">This study implemented a two-tiered procedure in determining the effect of the RTL to total income. The two-tiered procedure involved: (1) the determination of RTL specifications; (2) integration of RTL to microsimulation that determines the effect of the policy to income distribution of the farmers. In the second stage, the total farmers' net income was estimated before the implementation of the RTL. This study assumed that total income and total expenditure are aggregated from wages and income from different sources. The estimated net income from total income and expenditure was utilized in the Heckman two-step selection model. </w:t>
      </w:r>
    </w:p>
    <w:p w14:paraId="14885363" w14:textId="77777777" w:rsidR="003B26A3" w:rsidRPr="003B26A3" w:rsidRDefault="003B26A3" w:rsidP="003B26A3">
      <w:pPr>
        <w:pStyle w:val="Body"/>
        <w:rPr>
          <w:rFonts w:ascii="Arial" w:hAnsi="Arial" w:cs="Arial"/>
        </w:rPr>
      </w:pPr>
      <w:r w:rsidRPr="003B26A3">
        <w:rPr>
          <w:rFonts w:ascii="Arial" w:hAnsi="Arial" w:cs="Arial"/>
        </w:rPr>
        <w:t>The Heckman two-step selection model was employed to estimate net income from total income and expenditure. To identify the workers, a double filtration process was used. The first filtration involved classifying individuals into one of four categories: (a) 4- Employer in own family-operated farm or business, (b) 5- Worked with pay in own family-operated farm or business, (c) 6- Worked without pay in own family-operated farm or business. The second filtration involved the use of specific codes: (a) code 112- Growing of paddy rice, (b) 122- Growing of paddy rice, lowland, irrigated, (c) code 121- Growing of paddy rice, lowland, rainfed, (d) 123- Growing of paddy rice, upland/kaingin, and (e) 1061- Rice/corn milling.</w:t>
      </w:r>
    </w:p>
    <w:p w14:paraId="099DD151" w14:textId="5D0D9BD3" w:rsidR="003B26A3" w:rsidRPr="003B26A3" w:rsidRDefault="003B26A3" w:rsidP="003B26A3">
      <w:pPr>
        <w:pStyle w:val="Body"/>
        <w:spacing w:after="0"/>
        <w:rPr>
          <w:rFonts w:ascii="Arial" w:hAnsi="Arial" w:cs="Arial"/>
        </w:rPr>
      </w:pPr>
      <w:r w:rsidRPr="003B26A3">
        <w:rPr>
          <w:rFonts w:ascii="Arial" w:hAnsi="Arial" w:cs="Arial"/>
        </w:rPr>
        <w:t>After applying the filtration process, the next step involves estimating the employment status as either rice farmers or non-rice farmers using probit logistic regression for the selection equation.</w:t>
      </w:r>
    </w:p>
    <w:p w14:paraId="7E9A4E2A" w14:textId="77777777" w:rsidR="003B26A3" w:rsidRPr="003B26A3" w:rsidRDefault="003B26A3" w:rsidP="003B26A3">
      <w:pPr>
        <w:pStyle w:val="Body"/>
        <w:spacing w:after="0"/>
        <w:rPr>
          <w:rFonts w:ascii="Arial" w:hAnsi="Arial" w:cs="Arial"/>
        </w:rPr>
      </w:pPr>
    </w:p>
    <w:p w14:paraId="76AD0698" w14:textId="77777777" w:rsidR="003B26A3" w:rsidRPr="00540A02" w:rsidRDefault="003B26A3" w:rsidP="003B26A3">
      <w:pPr>
        <w:pStyle w:val="Body"/>
        <w:spacing w:after="0"/>
        <w:rPr>
          <w:rFonts w:ascii="Arial" w:hAnsi="Arial" w:cs="Arial"/>
        </w:rPr>
      </w:pPr>
    </w:p>
    <w:p w14:paraId="0FADAEA5" w14:textId="77777777" w:rsidR="003B26A3" w:rsidRPr="00540A02" w:rsidRDefault="00155B15" w:rsidP="003B26A3">
      <w:pPr>
        <w:jc w:val="both"/>
        <w:rPr>
          <w:rFonts w:ascii="Arial" w:hAnsi="Arial" w:cs="Arial"/>
          <w:b/>
          <w:bCs/>
        </w:rPr>
      </w:pPr>
      <m:oMathPara>
        <m:oMath>
          <m:eqArr>
            <m:eqArrPr>
              <m:maxDist m:val="1"/>
              <m:ctrlPr>
                <w:rPr>
                  <w:rFonts w:ascii="Cambria Math" w:hAnsi="Cambria Math" w:cs="Arial"/>
                  <w:i/>
                </w:rPr>
              </m:ctrlPr>
            </m:eqArrPr>
            <m:e>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t>
                  </m:r>
                </m:sup>
              </m:sSubSup>
              <m:r>
                <w:rPr>
                  <w:rFonts w:ascii="Cambria Math" w:hAnsi="Cambria Math" w:cs="Arial"/>
                </w:rPr>
                <m:t>=</m:t>
              </m:r>
              <m:r>
                <w:rPr>
                  <w:rFonts w:ascii="Cambria Math" w:hAnsi="Cambria Math" w:cs="Arial"/>
                </w:rPr>
                <m:t>γ</m:t>
              </m:r>
              <m:sSub>
                <m:sSubPr>
                  <m:ctrlPr>
                    <w:rPr>
                      <w:rFonts w:ascii="Cambria Math" w:hAnsi="Cambria Math" w:cs="Arial"/>
                      <w:i/>
                    </w:rPr>
                  </m:ctrlPr>
                </m:sSubPr>
                <m:e>
                  <m:r>
                    <w:rPr>
                      <w:rFonts w:ascii="Cambria Math" w:hAnsi="Cambria Math" w:cs="Arial"/>
                    </w:rPr>
                    <m:t>Ζ</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u</m:t>
                  </m:r>
                </m:e>
                <m:sub>
                  <m:r>
                    <w:rPr>
                      <w:rFonts w:ascii="Cambria Math" w:hAnsi="Cambria Math" w:cs="Arial"/>
                    </w:rPr>
                    <m:t>i</m:t>
                  </m:r>
                </m:sub>
              </m:sSub>
              <m:r>
                <w:rPr>
                  <w:rFonts w:ascii="Cambria Math" w:hAnsi="Cambria Math" w:cs="Arial"/>
                </w:rPr>
                <m:t>#</m:t>
              </m:r>
              <m:d>
                <m:dPr>
                  <m:ctrlPr>
                    <w:rPr>
                      <w:rFonts w:ascii="Cambria Math" w:hAnsi="Cambria Math" w:cs="Arial"/>
                      <w:i/>
                    </w:rPr>
                  </m:ctrlPr>
                </m:dPr>
                <m:e>
                  <m:r>
                    <w:rPr>
                      <w:rFonts w:ascii="Cambria Math" w:hAnsi="Cambria Math" w:cs="Arial"/>
                    </w:rPr>
                    <m:t>1</m:t>
                  </m:r>
                </m:e>
              </m:d>
            </m:e>
          </m:eqArr>
        </m:oMath>
      </m:oMathPara>
    </w:p>
    <w:p w14:paraId="119BE92D" w14:textId="1511AFC9" w:rsidR="003B26A3" w:rsidRPr="003B26A3" w:rsidRDefault="00155B15" w:rsidP="003B26A3">
      <w:pPr>
        <w:pStyle w:val="Body"/>
        <w:spacing w:after="0"/>
        <w:rPr>
          <w:rFonts w:ascii="Arial" w:hAnsi="Arial" w:cs="Arial"/>
        </w:rPr>
      </w:pPr>
      <m:oMathPara>
        <m:oMath>
          <m:eqArr>
            <m:eqArrPr>
              <m:maxDist m:val="1"/>
              <m:ctrlPr>
                <w:rPr>
                  <w:rFonts w:ascii="Cambria Math" w:hAnsi="Cambria Math" w:cs="Arial"/>
                  <w:i/>
                </w:rPr>
              </m:ctrlPr>
            </m:eqArrPr>
            <m:e>
              <m:sSub>
                <m:sSubPr>
                  <m:ctrlPr>
                    <w:rPr>
                      <w:rFonts w:ascii="Cambria Math" w:hAnsi="Cambria Math" w:cs="Arial"/>
                      <w:i/>
                    </w:rPr>
                  </m:ctrlPr>
                </m:sSubPr>
                <m:e>
                  <m:r>
                    <w:rPr>
                      <w:rFonts w:ascii="Cambria Math" w:hAnsi="Cambria Math" w:cs="Arial"/>
                    </w:rPr>
                    <m:t>s</m:t>
                  </m:r>
                </m:e>
                <m:sub>
                  <m:r>
                    <w:rPr>
                      <w:rFonts w:ascii="Cambria Math" w:hAnsi="Cambria Math" w:cs="Arial"/>
                    </w:rPr>
                    <m:t>i</m:t>
                  </m:r>
                </m:sub>
              </m:sSub>
              <m:d>
                <m:dPr>
                  <m:begChr m:val="{"/>
                  <m:endChr m:val=""/>
                  <m:ctrlPr>
                    <w:rPr>
                      <w:rFonts w:ascii="Cambria Math" w:hAnsi="Cambria Math" w:cs="Arial"/>
                      <w:i/>
                    </w:rPr>
                  </m:ctrlPr>
                </m:dPr>
                <m:e>
                  <m:eqArr>
                    <m:eqArrPr>
                      <m:ctrlPr>
                        <w:rPr>
                          <w:rFonts w:ascii="Cambria Math" w:hAnsi="Cambria Math" w:cs="Arial"/>
                          <w:i/>
                        </w:rPr>
                      </m:ctrlPr>
                    </m:eqArrPr>
                    <m:e>
                      <m:r>
                        <w:rPr>
                          <w:rFonts w:ascii="Cambria Math" w:hAnsi="Cambria Math" w:cs="Arial"/>
                        </w:rPr>
                        <m:t xml:space="preserve">1           </m:t>
                      </m:r>
                      <m:r>
                        <w:rPr>
                          <w:rFonts w:ascii="Cambria Math" w:hAnsi="Cambria Math" w:cs="Arial"/>
                        </w:rPr>
                        <m:t>if</m:t>
                      </m:r>
                      <m:r>
                        <w:rPr>
                          <w:rFonts w:ascii="Cambria Math" w:hAnsi="Cambria Math" w:cs="Arial"/>
                        </w:rPr>
                        <m:t xml:space="preserve">           &amp;</m:t>
                      </m:r>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t>
                          </m:r>
                        </m:sup>
                      </m:sSubSup>
                      <m:r>
                        <w:rPr>
                          <w:rFonts w:ascii="Cambria Math" w:hAnsi="Cambria Math" w:cs="Arial"/>
                        </w:rPr>
                        <m:t>&gt;0</m:t>
                      </m:r>
                    </m:e>
                    <m:e>
                      <m:r>
                        <w:rPr>
                          <w:rFonts w:ascii="Cambria Math" w:hAnsi="Cambria Math" w:cs="Arial"/>
                        </w:rPr>
                        <m:t xml:space="preserve">0           </m:t>
                      </m:r>
                      <m:r>
                        <w:rPr>
                          <w:rFonts w:ascii="Cambria Math" w:hAnsi="Cambria Math" w:cs="Arial"/>
                        </w:rPr>
                        <m:t>if</m:t>
                      </m:r>
                      <m:r>
                        <w:rPr>
                          <w:rFonts w:ascii="Cambria Math" w:hAnsi="Cambria Math" w:cs="Arial"/>
                        </w:rPr>
                        <m:t xml:space="preserve">           </m:t>
                      </m:r>
                      <m:sSubSup>
                        <m:sSubSupPr>
                          <m:ctrlPr>
                            <w:rPr>
                              <w:rFonts w:ascii="Cambria Math" w:hAnsi="Cambria Math" w:cs="Arial"/>
                              <w:i/>
                            </w:rPr>
                          </m:ctrlPr>
                        </m:sSubSupPr>
                        <m:e>
                          <m:r>
                            <w:rPr>
                              <w:rFonts w:ascii="Cambria Math" w:hAnsi="Cambria Math" w:cs="Arial"/>
                            </w:rPr>
                            <m:t>s</m:t>
                          </m:r>
                        </m:e>
                        <m:sub>
                          <m:r>
                            <w:rPr>
                              <w:rFonts w:ascii="Cambria Math" w:hAnsi="Cambria Math" w:cs="Arial"/>
                            </w:rPr>
                            <m:t>i</m:t>
                          </m:r>
                        </m:sub>
                        <m:sup>
                          <m:r>
                            <w:rPr>
                              <w:rFonts w:ascii="Cambria Math" w:hAnsi="Cambria Math" w:cs="Arial"/>
                            </w:rPr>
                            <m:t>*</m:t>
                          </m:r>
                        </m:sup>
                      </m:sSubSup>
                      <m:r>
                        <w:rPr>
                          <w:rFonts w:ascii="Cambria Math" w:hAnsi="Cambria Math" w:cs="Arial"/>
                        </w:rPr>
                        <m:t>&gt;0</m:t>
                      </m:r>
                    </m:e>
                  </m:eqArr>
                </m:e>
              </m:d>
              <m:r>
                <w:rPr>
                  <w:rFonts w:ascii="Cambria Math" w:hAnsi="Cambria Math" w:cs="Arial"/>
                </w:rPr>
                <m:t>#</m:t>
              </m:r>
              <m:d>
                <m:dPr>
                  <m:ctrlPr>
                    <w:rPr>
                      <w:rFonts w:ascii="Cambria Math" w:hAnsi="Cambria Math" w:cs="Arial"/>
                      <w:i/>
                    </w:rPr>
                  </m:ctrlPr>
                </m:dPr>
                <m:e>
                  <m:r>
                    <w:rPr>
                      <w:rFonts w:ascii="Cambria Math" w:hAnsi="Cambria Math" w:cs="Arial"/>
                    </w:rPr>
                    <m:t>2</m:t>
                  </m:r>
                </m:e>
              </m:d>
            </m:e>
          </m:eqArr>
        </m:oMath>
      </m:oMathPara>
    </w:p>
    <w:p w14:paraId="1D92775D" w14:textId="77777777" w:rsidR="003B26A3" w:rsidRPr="003B26A3" w:rsidRDefault="003B26A3" w:rsidP="003B26A3">
      <w:pPr>
        <w:pStyle w:val="Body"/>
        <w:spacing w:after="0"/>
        <w:rPr>
          <w:rFonts w:ascii="Arial" w:hAnsi="Arial" w:cs="Arial"/>
        </w:rPr>
      </w:pPr>
    </w:p>
    <w:p w14:paraId="53175D78" w14:textId="77777777" w:rsidR="003B26A3" w:rsidRPr="003B26A3" w:rsidRDefault="003B26A3" w:rsidP="003B26A3">
      <w:pPr>
        <w:pStyle w:val="Body"/>
        <w:spacing w:after="0"/>
        <w:rPr>
          <w:rFonts w:ascii="Arial" w:hAnsi="Arial" w:cs="Arial"/>
        </w:rPr>
      </w:pPr>
    </w:p>
    <w:p w14:paraId="1F1690C6" w14:textId="021B74F2" w:rsidR="003B26A3" w:rsidRPr="003B26A3" w:rsidRDefault="003B26A3" w:rsidP="003B26A3">
      <w:pPr>
        <w:pStyle w:val="Body"/>
        <w:rPr>
          <w:rFonts w:ascii="Arial" w:hAnsi="Arial" w:cs="Arial"/>
        </w:rPr>
      </w:pPr>
      <w:r w:rsidRPr="003B26A3">
        <w:rPr>
          <w:rFonts w:ascii="Arial" w:hAnsi="Arial" w:cs="Arial"/>
        </w:rPr>
        <w:t xml:space="preserve">Where, </w:t>
      </w:r>
      <w:proofErr w:type="spellStart"/>
      <w:r w:rsidRPr="003B26A3">
        <w:rPr>
          <w:rFonts w:ascii="Arial" w:hAnsi="Arial" w:cs="Arial"/>
        </w:rPr>
        <w:t>s_i</w:t>
      </w:r>
      <w:proofErr w:type="spellEnd"/>
      <w:r w:rsidRPr="003B26A3">
        <w:rPr>
          <w:rFonts w:ascii="Arial" w:hAnsi="Arial" w:cs="Arial"/>
        </w:rPr>
        <w:t xml:space="preserve">^* refers to the selection of an individual to be rice farmers (1) or </w:t>
      </w:r>
      <w:proofErr w:type="spellStart"/>
      <w:r w:rsidRPr="003B26A3">
        <w:rPr>
          <w:rFonts w:ascii="Arial" w:hAnsi="Arial" w:cs="Arial"/>
        </w:rPr>
        <w:t>non rice</w:t>
      </w:r>
      <w:proofErr w:type="spellEnd"/>
      <w:r w:rsidRPr="003B26A3">
        <w:rPr>
          <w:rFonts w:ascii="Arial" w:hAnsi="Arial" w:cs="Arial"/>
        </w:rPr>
        <w:t xml:space="preserve"> farmers (0) given a suitable selection based from filtration applied.</w:t>
      </w:r>
    </w:p>
    <w:p w14:paraId="536CCD02" w14:textId="3FBCCFB3" w:rsidR="003B26A3" w:rsidRDefault="003B26A3" w:rsidP="003B26A3">
      <w:pPr>
        <w:pStyle w:val="Body"/>
        <w:spacing w:after="0"/>
        <w:rPr>
          <w:rFonts w:ascii="Arial" w:hAnsi="Arial" w:cs="Arial"/>
        </w:rPr>
      </w:pPr>
      <w:r w:rsidRPr="003B26A3">
        <w:rPr>
          <w:rFonts w:ascii="Arial" w:hAnsi="Arial" w:cs="Arial"/>
        </w:rPr>
        <w:t>The second step was the prediction of the natural logarithm of net income incorporating the estimated employment status. Moreover, this study used an Inverse Mill Ratio (Dizon, 2020) to account for the selection bias in the model. This is given by the equation:</w:t>
      </w:r>
    </w:p>
    <w:p w14:paraId="0AA1AC73" w14:textId="77777777" w:rsidR="00540A02" w:rsidRDefault="00540A02" w:rsidP="003B26A3">
      <w:pPr>
        <w:pStyle w:val="Body"/>
        <w:spacing w:after="0"/>
        <w:rPr>
          <w:rFonts w:ascii="Arial" w:hAnsi="Arial" w:cs="Arial"/>
        </w:rPr>
      </w:pPr>
    </w:p>
    <w:p w14:paraId="72943889" w14:textId="77777777" w:rsidR="00540A02" w:rsidRPr="00540A02" w:rsidRDefault="00155B15" w:rsidP="00540A02">
      <w:pPr>
        <w:jc w:val="both"/>
        <w:rPr>
          <w:rFonts w:ascii="Arial" w:eastAsiaTheme="minorEastAsia" w:hAnsi="Arial" w:cs="Arial"/>
        </w:rPr>
      </w:pPr>
      <m:oMathPara>
        <m:oMath>
          <m:eqArr>
            <m:eqArrPr>
              <m:maxDist m:val="1"/>
              <m:ctrlPr>
                <w:rPr>
                  <w:rFonts w:ascii="Cambria Math" w:hAnsi="Cambria Math" w:cs="Arial"/>
                  <w:i/>
                </w:rPr>
              </m:ctrlPr>
            </m:eqArrPr>
            <m:e>
              <m:sSub>
                <m:sSubPr>
                  <m:ctrlPr>
                    <w:rPr>
                      <w:rFonts w:ascii="Cambria Math" w:hAnsi="Cambria Math" w:cs="Arial"/>
                      <w:i/>
                    </w:rPr>
                  </m:ctrlPr>
                </m:sSubPr>
                <m:e>
                  <m:r>
                    <w:rPr>
                      <w:rFonts w:ascii="Cambria Math" w:hAnsi="Cambria Math" w:cs="Arial"/>
                    </w:rPr>
                    <m:t>lo</m:t>
                  </m:r>
                  <m:r>
                    <w:rPr>
                      <w:rFonts w:ascii="Cambria Math" w:hAnsi="Cambria Math" w:cs="Arial"/>
                    </w:rPr>
                    <m:t>g</m:t>
                  </m:r>
                  <m:r>
                    <w:rPr>
                      <w:rFonts w:ascii="Cambria Math" w:hAnsi="Cambria Math" w:cs="Arial"/>
                    </w:rPr>
                    <m:t xml:space="preserve"> </m:t>
                  </m:r>
                  <m:r>
                    <w:rPr>
                      <w:rFonts w:ascii="Cambria Math" w:hAnsi="Cambria Math" w:cs="Arial"/>
                    </w:rPr>
                    <m:t>w</m:t>
                  </m:r>
                </m:e>
                <m:sub>
                  <m:r>
                    <w:rPr>
                      <w:rFonts w:ascii="Cambria Math" w:hAnsi="Cambria Math" w:cs="Arial"/>
                    </w:rPr>
                    <m:t>mi</m:t>
                  </m:r>
                </m:sub>
              </m:sSub>
              <m:r>
                <w:rPr>
                  <w:rFonts w:ascii="Cambria Math" w:hAnsi="Cambria Math" w:cs="Arial"/>
                </w:rPr>
                <m:t>=</m:t>
              </m:r>
              <m:sSub>
                <m:sSubPr>
                  <m:ctrlPr>
                    <w:rPr>
                      <w:rFonts w:ascii="Cambria Math" w:hAnsi="Cambria Math" w:cs="Arial"/>
                      <w:i/>
                    </w:rPr>
                  </m:ctrlPr>
                </m:sSubPr>
                <m:e>
                  <m:r>
                    <w:rPr>
                      <w:rFonts w:ascii="Cambria Math" w:hAnsi="Cambria Math" w:cs="Arial"/>
                    </w:rPr>
                    <m:t>a</m:t>
                  </m:r>
                </m:e>
                <m:sub>
                  <m:r>
                    <w:rPr>
                      <w:rFonts w:ascii="Cambria Math" w:hAnsi="Cambria Math" w:cs="Arial"/>
                    </w:rPr>
                    <m:t>g</m:t>
                  </m:r>
                  <m:d>
                    <m:dPr>
                      <m:ctrlPr>
                        <w:rPr>
                          <w:rFonts w:ascii="Cambria Math" w:hAnsi="Cambria Math" w:cs="Arial"/>
                          <w:i/>
                        </w:rPr>
                      </m:ctrlPr>
                    </m:dPr>
                    <m:e>
                      <m:r>
                        <w:rPr>
                          <w:rFonts w:ascii="Cambria Math" w:hAnsi="Cambria Math" w:cs="Arial"/>
                        </w:rPr>
                        <m:t>mi</m:t>
                      </m:r>
                    </m:e>
                  </m:d>
                </m:sub>
              </m:sSub>
              <m:r>
                <w:rPr>
                  <w:rFonts w:ascii="Cambria Math" w:hAnsi="Cambria Math" w:cs="Arial"/>
                </w:rPr>
                <m:t>+</m:t>
              </m:r>
              <m:sSub>
                <m:sSubPr>
                  <m:ctrlPr>
                    <w:rPr>
                      <w:rFonts w:ascii="Cambria Math" w:hAnsi="Cambria Math" w:cs="Arial"/>
                      <w:i/>
                    </w:rPr>
                  </m:ctrlPr>
                </m:sSubPr>
                <m:e>
                  <m:r>
                    <w:rPr>
                      <w:rFonts w:ascii="Cambria Math" w:hAnsi="Cambria Math" w:cs="Arial"/>
                    </w:rPr>
                    <m:t>x</m:t>
                  </m:r>
                </m:e>
                <m:sub>
                  <m:r>
                    <w:rPr>
                      <w:rFonts w:ascii="Cambria Math" w:hAnsi="Cambria Math" w:cs="Arial"/>
                    </w:rPr>
                    <m:t>mi</m:t>
                  </m:r>
                </m:sub>
              </m:sSub>
              <m:sSub>
                <m:sSubPr>
                  <m:ctrlPr>
                    <w:rPr>
                      <w:rFonts w:ascii="Cambria Math" w:hAnsi="Cambria Math" w:cs="Arial"/>
                      <w:i/>
                    </w:rPr>
                  </m:ctrlPr>
                </m:sSubPr>
                <m:e>
                  <m:r>
                    <w:rPr>
                      <w:rFonts w:ascii="Cambria Math" w:hAnsi="Cambria Math" w:cs="Arial"/>
                    </w:rPr>
                    <m:t>β</m:t>
                  </m:r>
                </m:e>
                <m:sub>
                  <m:r>
                    <w:rPr>
                      <w:rFonts w:ascii="Cambria Math" w:hAnsi="Cambria Math" w:cs="Arial"/>
                    </w:rPr>
                    <m:t>g</m:t>
                  </m:r>
                  <m:d>
                    <m:dPr>
                      <m:ctrlPr>
                        <w:rPr>
                          <w:rFonts w:ascii="Cambria Math" w:hAnsi="Cambria Math" w:cs="Arial"/>
                          <w:i/>
                        </w:rPr>
                      </m:ctrlPr>
                    </m:dPr>
                    <m:e>
                      <m:r>
                        <w:rPr>
                          <w:rFonts w:ascii="Cambria Math" w:hAnsi="Cambria Math" w:cs="Arial"/>
                        </w:rPr>
                        <m:t>mi</m:t>
                      </m:r>
                    </m:e>
                  </m:d>
                </m:sub>
              </m:sSub>
              <m:r>
                <w:rPr>
                  <w:rFonts w:ascii="Cambria Math" w:hAnsi="Cambria Math" w:cs="Arial"/>
                </w:rPr>
                <m:t>+</m:t>
              </m:r>
              <m:sSub>
                <m:sSubPr>
                  <m:ctrlPr>
                    <w:rPr>
                      <w:rFonts w:ascii="Cambria Math" w:hAnsi="Cambria Math" w:cs="Arial"/>
                      <w:i/>
                    </w:rPr>
                  </m:ctrlPr>
                </m:sSubPr>
                <m:e>
                  <m:r>
                    <w:rPr>
                      <w:rFonts w:ascii="Cambria Math" w:hAnsi="Cambria Math" w:cs="Arial"/>
                    </w:rPr>
                    <m:t>v</m:t>
                  </m:r>
                </m:e>
                <m:sub>
                  <m:r>
                    <w:rPr>
                      <w:rFonts w:ascii="Cambria Math" w:hAnsi="Cambria Math" w:cs="Arial"/>
                    </w:rPr>
                    <m:t>mi</m:t>
                  </m:r>
                </m:sub>
              </m:sSub>
              <m:r>
                <w:rPr>
                  <w:rFonts w:ascii="Cambria Math" w:hAnsi="Cambria Math" w:cs="Arial"/>
                </w:rPr>
                <m:t>#</m:t>
              </m:r>
              <m:d>
                <m:dPr>
                  <m:ctrlPr>
                    <w:rPr>
                      <w:rFonts w:ascii="Cambria Math" w:hAnsi="Cambria Math" w:cs="Arial"/>
                      <w:i/>
                    </w:rPr>
                  </m:ctrlPr>
                </m:dPr>
                <m:e>
                  <m:r>
                    <w:rPr>
                      <w:rFonts w:ascii="Cambria Math" w:hAnsi="Cambria Math" w:cs="Arial"/>
                    </w:rPr>
                    <m:t>3</m:t>
                  </m:r>
                </m:e>
              </m:d>
            </m:e>
          </m:eqArr>
        </m:oMath>
      </m:oMathPara>
    </w:p>
    <w:p w14:paraId="4ABCE7B0" w14:textId="77777777" w:rsidR="00540A02" w:rsidRDefault="00540A02" w:rsidP="00540A02">
      <w:pPr>
        <w:jc w:val="both"/>
        <w:rPr>
          <w:rFonts w:ascii="Arial" w:eastAsiaTheme="minorEastAsia" w:hAnsi="Arial" w:cs="Arial"/>
        </w:rPr>
      </w:pPr>
    </w:p>
    <w:p w14:paraId="394949C8" w14:textId="36936615" w:rsidR="00540A02" w:rsidRDefault="00540A02" w:rsidP="00540A02">
      <w:pPr>
        <w:jc w:val="both"/>
        <w:rPr>
          <w:rFonts w:ascii="Arial" w:eastAsiaTheme="minorEastAsia" w:hAnsi="Arial" w:cs="Arial"/>
        </w:rPr>
      </w:pPr>
      <w:r w:rsidRPr="00540A02">
        <w:rPr>
          <w:rFonts w:ascii="Arial" w:eastAsiaTheme="minorEastAsia" w:hAnsi="Arial" w:cs="Arial"/>
        </w:rPr>
        <w:t xml:space="preserve">The log of wage, </w:t>
      </w:r>
      <w:r w:rsidRPr="00540A02">
        <w:rPr>
          <w:rFonts w:ascii="Arial" w:eastAsiaTheme="minorEastAsia" w:hAnsi="Arial" w:cs="Arial" w:hint="eastAsia"/>
        </w:rPr>
        <w:t>〖</w:t>
      </w:r>
      <w:r w:rsidRPr="00540A02">
        <w:rPr>
          <w:rFonts w:ascii="Arial" w:eastAsiaTheme="minorEastAsia" w:hAnsi="Arial" w:cs="Arial"/>
        </w:rPr>
        <w:t xml:space="preserve">log </w:t>
      </w:r>
      <w:proofErr w:type="spellStart"/>
      <w:r w:rsidRPr="00540A02">
        <w:rPr>
          <w:rFonts w:ascii="Arial" w:eastAsiaTheme="minorEastAsia" w:hAnsi="Arial" w:cs="Arial"/>
        </w:rPr>
        <w:t>w</w:t>
      </w:r>
      <w:r w:rsidRPr="00540A02">
        <w:rPr>
          <w:rFonts w:ascii="Arial" w:eastAsiaTheme="minorEastAsia" w:hAnsi="Arial" w:cs="Arial" w:hint="eastAsia"/>
        </w:rPr>
        <w:t>〗</w:t>
      </w:r>
      <w:r w:rsidRPr="00540A02">
        <w:rPr>
          <w:rFonts w:ascii="Arial" w:eastAsiaTheme="minorEastAsia" w:hAnsi="Arial" w:cs="Arial"/>
        </w:rPr>
        <w:t>_</w:t>
      </w:r>
      <w:proofErr w:type="gramStart"/>
      <w:r w:rsidRPr="00540A02">
        <w:rPr>
          <w:rFonts w:ascii="Arial" w:eastAsiaTheme="minorEastAsia" w:hAnsi="Arial" w:cs="Arial"/>
        </w:rPr>
        <w:t>mi</w:t>
      </w:r>
      <w:proofErr w:type="spellEnd"/>
      <w:r w:rsidRPr="00540A02">
        <w:rPr>
          <w:rFonts w:ascii="Arial" w:eastAsiaTheme="minorEastAsia" w:hAnsi="Arial" w:cs="Arial"/>
        </w:rPr>
        <w:t xml:space="preserve">  of</w:t>
      </w:r>
      <w:proofErr w:type="gramEnd"/>
      <w:r w:rsidRPr="00540A02">
        <w:rPr>
          <w:rFonts w:ascii="Arial" w:eastAsiaTheme="minorEastAsia" w:hAnsi="Arial" w:cs="Arial"/>
        </w:rPr>
        <w:t xml:space="preserve"> member </w:t>
      </w:r>
      <w:proofErr w:type="spellStart"/>
      <w:r w:rsidRPr="00540A02">
        <w:rPr>
          <w:rFonts w:ascii="Arial" w:eastAsiaTheme="minorEastAsia" w:hAnsi="Arial" w:cs="Arial"/>
        </w:rPr>
        <w:t>i</w:t>
      </w:r>
      <w:proofErr w:type="spellEnd"/>
      <w:r w:rsidRPr="00540A02">
        <w:rPr>
          <w:rFonts w:ascii="Arial" w:eastAsiaTheme="minorEastAsia" w:hAnsi="Arial" w:cs="Arial"/>
        </w:rPr>
        <w:t xml:space="preserve"> of household m is a function of personal characteristics x i.e. age, sex, marital status, region, urban classification, and number of </w:t>
      </w:r>
      <w:proofErr w:type="spellStart"/>
      <w:r w:rsidRPr="00540A02">
        <w:rPr>
          <w:rFonts w:ascii="Arial" w:eastAsiaTheme="minorEastAsia" w:hAnsi="Arial" w:cs="Arial"/>
        </w:rPr>
        <w:t>children.The</w:t>
      </w:r>
      <w:proofErr w:type="spellEnd"/>
      <w:r w:rsidRPr="00540A02">
        <w:rPr>
          <w:rFonts w:ascii="Arial" w:eastAsiaTheme="minorEastAsia" w:hAnsi="Arial" w:cs="Arial"/>
        </w:rPr>
        <w:t xml:space="preserve"> occupational determination of the farmers was composed of four categories such as: (1) Wage (2) Entrepreneurial Rice Farming; (3) Entrepreneurial Non Rice Farming; and (4) Unemployed. The individual farmers household labor supply was estimated using the multinomial logistic regression model which represents the discreet-utility maximizing framework. The estimated equation is shown below</w:t>
      </w:r>
      <w:r>
        <w:rPr>
          <w:rFonts w:ascii="Arial" w:eastAsiaTheme="minorEastAsia" w:hAnsi="Arial" w:cs="Arial"/>
        </w:rPr>
        <w:t>:</w:t>
      </w:r>
    </w:p>
    <w:p w14:paraId="1F476AF8" w14:textId="0DB58AAC" w:rsidR="00540A02" w:rsidRDefault="00540A02" w:rsidP="00540A02">
      <w:pPr>
        <w:jc w:val="both"/>
        <w:rPr>
          <w:rFonts w:ascii="Arial" w:eastAsiaTheme="minorEastAsia" w:hAnsi="Arial" w:cs="Arial"/>
        </w:rPr>
      </w:pPr>
      <w:r w:rsidRPr="00CB0CD6">
        <w:rPr>
          <w:rFonts w:ascii="Times New Roman" w:hAnsi="Times New Roman"/>
          <w:noProof/>
        </w:rPr>
        <mc:AlternateContent>
          <mc:Choice Requires="wps">
            <w:drawing>
              <wp:anchor distT="0" distB="0" distL="114300" distR="114300" simplePos="0" relativeHeight="251661312" behindDoc="0" locked="0" layoutInCell="1" allowOverlap="1" wp14:anchorId="16C4E178" wp14:editId="6BB3C3F3">
                <wp:simplePos x="0" y="0"/>
                <wp:positionH relativeFrom="column">
                  <wp:posOffset>5678805</wp:posOffset>
                </wp:positionH>
                <wp:positionV relativeFrom="paragraph">
                  <wp:posOffset>215900</wp:posOffset>
                </wp:positionV>
                <wp:extent cx="278295" cy="318052"/>
                <wp:effectExtent l="0" t="0" r="0" b="6350"/>
                <wp:wrapNone/>
                <wp:docPr id="70030845" name="Rectangle 1"/>
                <wp:cNvGraphicFramePr/>
                <a:graphic xmlns:a="http://schemas.openxmlformats.org/drawingml/2006/main">
                  <a:graphicData uri="http://schemas.microsoft.com/office/word/2010/wordprocessingShape">
                    <wps:wsp>
                      <wps:cNvSpPr/>
                      <wps:spPr>
                        <a:xfrm>
                          <a:off x="0" y="0"/>
                          <a:ext cx="278295" cy="3180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65297018" w14:textId="1F8BCD79" w:rsidR="00540A02" w:rsidRPr="001E07DC" w:rsidRDefault="00155B15"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4</m:t>
                                    </m:r>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4E178" id="Rectangle 1" o:spid="_x0000_s1026" style="position:absolute;left:0;text-align:left;margin-left:447.15pt;margin-top:17pt;width:21.9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" filled="f" stroked="f">
                <v:textbox>
                  <w:txbxContent>
                    <w:p w14:paraId="65297018" w14:textId="1F8BCD79" w:rsidR="00540A02" w:rsidRPr="001E07DC" w:rsidRDefault="00155B15"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4</m:t>
                              </m:r>
                            </m:e>
                          </m:d>
                        </m:oMath>
                      </m:oMathPara>
                    </w:p>
                  </w:txbxContent>
                </v:textbox>
              </v:rect>
            </w:pict>
          </mc:Fallback>
        </mc:AlternateContent>
      </w:r>
    </w:p>
    <w:p w14:paraId="601295E4" w14:textId="77777777" w:rsidR="00540A02" w:rsidRPr="00CB0CD6" w:rsidRDefault="00155B15" w:rsidP="00540A02">
      <w:pPr>
        <w:jc w:val="both"/>
        <w:rPr>
          <w:rFonts w:ascii="Times New Roman" w:eastAsiaTheme="minorEastAsia" w:hAnsi="Times New Roman"/>
        </w:rPr>
      </w:pPr>
      <m:oMathPara>
        <m:oMath>
          <m:func>
            <m:funcPr>
              <m:ctrlPr>
                <w:rPr>
                  <w:rFonts w:ascii="Cambria Math" w:hAnsi="Cambria Math"/>
                  <w:i/>
                </w:rPr>
              </m:ctrlPr>
            </m:funcPr>
            <m:fName>
              <m:r>
                <w:rPr>
                  <w:rFonts w:ascii="Cambria Math" w:hAnsi="Cambria Math"/>
                </w:rPr>
                <m:t>ln</m:t>
              </m:r>
            </m:fName>
            <m:e>
              <m:f>
                <m:fPr>
                  <m:ctrlPr>
                    <w:rPr>
                      <w:rFonts w:ascii="Cambria Math" w:hAnsi="Cambria Math"/>
                      <w:i/>
                    </w:rPr>
                  </m:ctrlPr>
                </m:fPr>
                <m:num>
                  <m:r>
                    <w:rPr>
                      <w:rFonts w:ascii="Cambria Math" w:hAnsi="Cambria Math"/>
                    </w:rPr>
                    <m:t>P</m:t>
                  </m:r>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m:t>
                  </m:r>
                  <m:r>
                    <w:rPr>
                      <w:rFonts w:ascii="Cambria Math" w:hAnsi="Cambria Math"/>
                    </w:rPr>
                    <m:t>m</m:t>
                  </m:r>
                  <m:r>
                    <w:rPr>
                      <w:rFonts w:ascii="Cambria Math" w:hAnsi="Cambria Math"/>
                    </w:rPr>
                    <m:t>)</m:t>
                  </m:r>
                </m:num>
                <m:den>
                  <m:r>
                    <w:rPr>
                      <w:rFonts w:ascii="Cambria Math" w:hAnsi="Cambria Math"/>
                    </w:rPr>
                    <m:t>P</m:t>
                  </m:r>
                  <m:r>
                    <w:rPr>
                      <w:rFonts w:ascii="Cambria Math" w:hAnsi="Cambria Math"/>
                    </w:rPr>
                    <m:t>(</m:t>
                  </m:r>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=3)</m:t>
                  </m:r>
                </m:den>
              </m:f>
            </m:e>
          </m:func>
          <m:r>
            <w:rPr>
              <w:rFonts w:ascii="Cambria Math" w:hAnsi="Cambria Math"/>
            </w:rPr>
            <m:t>=</m:t>
          </m:r>
          <m:sSub>
            <m:sSubPr>
              <m:ctrlPr>
                <w:rPr>
                  <w:rFonts w:ascii="Cambria Math" w:hAnsi="Cambria Math"/>
                  <w:i/>
                </w:rPr>
              </m:ctrlPr>
            </m:sSubPr>
            <m:e>
              <m:r>
                <w:rPr>
                  <w:rFonts w:ascii="Cambria Math" w:hAnsi="Cambria Math"/>
                </w:rPr>
                <m:t>α</m:t>
              </m:r>
            </m:e>
            <m:sub>
              <m:r>
                <w:rPr>
                  <w:rFonts w:ascii="Cambria Math" w:hAnsi="Cambria Math"/>
                </w:rPr>
                <m:t>m</m:t>
              </m:r>
            </m:sub>
          </m:sSub>
          <m:r>
            <w:rPr>
              <w:rFonts w:ascii="Cambria Math" w:hAnsi="Cambria Math"/>
            </w:rPr>
            <m:t>+</m:t>
          </m:r>
          <m:nary>
            <m:naryPr>
              <m:chr m:val="∑"/>
              <m:ctrlPr>
                <w:rPr>
                  <w:rFonts w:ascii="Cambria Math" w:hAnsi="Cambria Math"/>
                  <w:i/>
                </w:rPr>
              </m:ctrlPr>
            </m:naryPr>
            <m:sub>
              <m:r>
                <w:rPr>
                  <w:rFonts w:ascii="Cambria Math" w:hAnsi="Cambria Math"/>
                </w:rPr>
                <m:t>j</m:t>
              </m:r>
              <m:r>
                <w:rPr>
                  <w:rFonts w:ascii="Cambria Math" w:hAnsi="Cambria Math"/>
                </w:rPr>
                <m:t>=1</m:t>
              </m:r>
            </m:sub>
            <m:sup>
              <m:r>
                <w:rPr>
                  <w:rFonts w:ascii="Cambria Math" w:hAnsi="Cambria Math"/>
                </w:rPr>
                <m:t>J</m:t>
              </m:r>
            </m:sup>
            <m:e>
              <m:sSub>
                <m:sSubPr>
                  <m:ctrlPr>
                    <w:rPr>
                      <w:rFonts w:ascii="Cambria Math" w:hAnsi="Cambria Math"/>
                      <w:i/>
                    </w:rPr>
                  </m:ctrlPr>
                </m:sSubPr>
                <m:e>
                  <m:r>
                    <w:rPr>
                      <w:rFonts w:ascii="Cambria Math" w:hAnsi="Cambria Math"/>
                    </w:rPr>
                    <m:t>β</m:t>
                  </m:r>
                </m:e>
                <m:sub>
                  <m:r>
                    <w:rPr>
                      <w:rFonts w:ascii="Cambria Math" w:hAnsi="Cambria Math"/>
                    </w:rPr>
                    <m:t>mj</m:t>
                  </m:r>
                </m:sub>
              </m:sSub>
              <m:sSub>
                <m:sSubPr>
                  <m:ctrlPr>
                    <w:rPr>
                      <w:rFonts w:ascii="Cambria Math" w:hAnsi="Cambria Math"/>
                      <w:i/>
                    </w:rPr>
                  </m:ctrlPr>
                </m:sSubPr>
                <m:e>
                  <m:r>
                    <w:rPr>
                      <w:rFonts w:ascii="Cambria Math" w:hAnsi="Cambria Math"/>
                    </w:rPr>
                    <m:t>X</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u</m:t>
                  </m:r>
                </m:e>
                <m:sub>
                  <m:r>
                    <w:rPr>
                      <w:rFonts w:ascii="Cambria Math" w:hAnsi="Cambria Math"/>
                    </w:rPr>
                    <m:t>ij</m:t>
                  </m:r>
                </m:sub>
              </m:sSub>
              <m:r>
                <w:rPr>
                  <w:rFonts w:ascii="Cambria Math" w:hAnsi="Cambria Math"/>
                </w:rPr>
                <m:t>=</m:t>
              </m:r>
              <m:sSub>
                <m:sSubPr>
                  <m:ctrlPr>
                    <w:rPr>
                      <w:rFonts w:ascii="Cambria Math" w:hAnsi="Cambria Math"/>
                      <w:i/>
                    </w:rPr>
                  </m:ctrlPr>
                </m:sSubPr>
                <m:e>
                  <m:r>
                    <w:rPr>
                      <w:rFonts w:ascii="Cambria Math" w:hAnsi="Cambria Math"/>
                    </w:rPr>
                    <m:t>Z</m:t>
                  </m:r>
                </m:e>
                <m:sub>
                  <m:r>
                    <w:rPr>
                      <w:rFonts w:ascii="Cambria Math" w:hAnsi="Cambria Math"/>
                    </w:rPr>
                    <m:t>mi</m:t>
                  </m:r>
                </m:sub>
              </m:sSub>
            </m:e>
          </m:nary>
          <m:r>
            <w:rPr>
              <w:rFonts w:ascii="Cambria Math" w:hAnsi="Cambria Math"/>
            </w:rPr>
            <m:t xml:space="preserve">     </m:t>
          </m:r>
        </m:oMath>
      </m:oMathPara>
    </w:p>
    <w:p w14:paraId="70DC6268" w14:textId="31B6FA11" w:rsidR="00540A02" w:rsidRDefault="00540A02" w:rsidP="00540A02">
      <w:pPr>
        <w:jc w:val="both"/>
        <w:rPr>
          <w:rFonts w:ascii="Arial" w:eastAsiaTheme="minorEastAsia" w:hAnsi="Arial" w:cs="Arial"/>
        </w:rPr>
      </w:pPr>
      <w:r w:rsidRPr="00540A02">
        <w:rPr>
          <w:rFonts w:ascii="Arial" w:eastAsiaTheme="minorEastAsia" w:hAnsi="Arial" w:cs="Arial"/>
        </w:rPr>
        <w:t xml:space="preserve">The  </w:t>
      </w:r>
      <w:r w:rsidRPr="00CB0CD6">
        <w:rPr>
          <w:rFonts w:ascii="Times New Roman" w:hAnsi="Times New Roman"/>
          <w:position w:val="-12"/>
        </w:rPr>
        <w:object w:dxaOrig="380" w:dyaOrig="360" w14:anchorId="11DD2E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pt;height:21.9pt" o:ole="">
            <v:imagedata r:id="rId14" o:title=""/>
          </v:shape>
          <o:OLEObject Type="Embed" ProgID="Equation.DSMT4" ShapeID="_x0000_i1025" DrawAspect="Content" ObjectID="_1824374916" r:id="rId15"/>
        </w:object>
      </w:r>
      <w:r w:rsidRPr="00540A02">
        <w:rPr>
          <w:rFonts w:ascii="Arial" w:eastAsiaTheme="minorEastAsia" w:hAnsi="Arial" w:cs="Arial"/>
        </w:rPr>
        <w:t xml:space="preserve"> represents the actual individual utility function associated with each occupational choice. The notation   represents the individual’s characteristics such as area of classification (urban/rural), number of children, marital status, gender, education, and estimated income.</w:t>
      </w:r>
    </w:p>
    <w:p w14:paraId="44D774C5" w14:textId="6370E556" w:rsidR="00540A02" w:rsidRPr="00540A02" w:rsidRDefault="00540A02" w:rsidP="00540A02">
      <w:pPr>
        <w:jc w:val="both"/>
        <w:rPr>
          <w:rFonts w:ascii="Arial" w:eastAsiaTheme="minorEastAsia" w:hAnsi="Arial" w:cs="Arial"/>
        </w:rPr>
      </w:pPr>
    </w:p>
    <w:p w14:paraId="06832838" w14:textId="040AAEF3" w:rsidR="00540A02" w:rsidRDefault="00540A02" w:rsidP="00540A02">
      <w:pPr>
        <w:jc w:val="both"/>
        <w:rPr>
          <w:rFonts w:ascii="Arial" w:eastAsiaTheme="minorEastAsia" w:hAnsi="Arial" w:cs="Arial"/>
        </w:rPr>
      </w:pPr>
      <w:r w:rsidRPr="00540A02">
        <w:rPr>
          <w:rFonts w:ascii="Arial" w:eastAsiaTheme="minorEastAsia" w:hAnsi="Arial" w:cs="Arial"/>
        </w:rPr>
        <w:t>After estimating the individual actual utility associated with each occupational choice, the probabilities associated with each occupational choice are estimated which is represented by the equation:</w:t>
      </w:r>
    </w:p>
    <w:p w14:paraId="5FC297E5" w14:textId="0895AAF3" w:rsidR="00540A02" w:rsidRDefault="00540A02" w:rsidP="00540A02">
      <w:pPr>
        <w:jc w:val="both"/>
        <w:rPr>
          <w:rFonts w:ascii="Arial" w:eastAsiaTheme="minorEastAsia" w:hAnsi="Arial" w:cs="Arial"/>
        </w:rPr>
      </w:pPr>
      <w:r w:rsidRPr="00CB0CD6">
        <w:rPr>
          <w:rFonts w:ascii="Times New Roman" w:hAnsi="Times New Roman"/>
          <w:noProof/>
        </w:rPr>
        <mc:AlternateContent>
          <mc:Choice Requires="wps">
            <w:drawing>
              <wp:anchor distT="0" distB="0" distL="114300" distR="114300" simplePos="0" relativeHeight="251663360" behindDoc="0" locked="0" layoutInCell="1" allowOverlap="1" wp14:anchorId="704AEF60" wp14:editId="601145A5">
                <wp:simplePos x="0" y="0"/>
                <wp:positionH relativeFrom="column">
                  <wp:posOffset>5676900</wp:posOffset>
                </wp:positionH>
                <wp:positionV relativeFrom="paragraph">
                  <wp:posOffset>271780</wp:posOffset>
                </wp:positionV>
                <wp:extent cx="278295" cy="318052"/>
                <wp:effectExtent l="0" t="0" r="0" b="6350"/>
                <wp:wrapNone/>
                <wp:docPr id="1462552878" name="Rectangle 1"/>
                <wp:cNvGraphicFramePr/>
                <a:graphic xmlns:a="http://schemas.openxmlformats.org/drawingml/2006/main">
                  <a:graphicData uri="http://schemas.microsoft.com/office/word/2010/wordprocessingShape">
                    <wps:wsp>
                      <wps:cNvSpPr/>
                      <wps:spPr>
                        <a:xfrm>
                          <a:off x="0" y="0"/>
                          <a:ext cx="278295" cy="3180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0F6080FF" w14:textId="77777777" w:rsidR="00540A02" w:rsidRPr="001E07DC" w:rsidRDefault="00155B15"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5</m:t>
                                    </m:r>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4AEF60" id="_x0000_s1027" style="position:absolute;left:0;text-align:left;margin-left:447pt;margin-top:21.4pt;width:21.9pt;height:2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" filled="f" stroked="f">
                <v:textbox>
                  <w:txbxContent>
                    <w:p w14:paraId="0F6080FF" w14:textId="77777777" w:rsidR="00540A02" w:rsidRPr="001E07DC" w:rsidRDefault="00155B15"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5</m:t>
                              </m:r>
                            </m:e>
                          </m:d>
                        </m:oMath>
                      </m:oMathPara>
                    </w:p>
                  </w:txbxContent>
                </v:textbox>
              </v:rect>
            </w:pict>
          </mc:Fallback>
        </mc:AlternateContent>
      </w:r>
    </w:p>
    <w:p w14:paraId="6AABE7D4" w14:textId="77777777" w:rsidR="00540A02" w:rsidRPr="00CB0CD6" w:rsidRDefault="00540A02" w:rsidP="00540A02">
      <w:pPr>
        <w:jc w:val="both"/>
        <w:rPr>
          <w:rFonts w:ascii="Times New Roman" w:eastAsiaTheme="minorEastAsia" w:hAnsi="Times New Roman"/>
        </w:rPr>
      </w:pPr>
      <m:oMathPara>
        <m:oMath>
          <m:r>
            <w:rPr>
              <w:rFonts w:ascii="Cambria Math" w:hAnsi="Cambria Math"/>
            </w:rPr>
            <m:t>P</m:t>
          </m:r>
          <m:d>
            <m:dPr>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i</m:t>
                  </m:r>
                </m:sub>
              </m:sSub>
              <m:r>
                <w:rPr>
                  <w:rFonts w:ascii="Cambria Math" w:hAnsi="Cambria Math"/>
                </w:rPr>
                <m:t>=3</m:t>
              </m:r>
            </m:e>
          </m:d>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1+</m:t>
              </m:r>
              <m:nary>
                <m:naryPr>
                  <m:chr m:val="∑"/>
                  <m:ctrlPr>
                    <w:rPr>
                      <w:rFonts w:ascii="Cambria Math" w:hAnsi="Cambria Math"/>
                      <w:i/>
                    </w:rPr>
                  </m:ctrlPr>
                </m:naryPr>
                <m:sub>
                  <m:r>
                    <w:rPr>
                      <w:rFonts w:ascii="Cambria Math" w:hAnsi="Cambria Math"/>
                    </w:rPr>
                    <m:t>m=1</m:t>
                  </m:r>
                </m:sub>
                <m:sup>
                  <m:r>
                    <w:rPr>
                      <w:rFonts w:ascii="Cambria Math" w:hAnsi="Cambria Math"/>
                    </w:rPr>
                    <m:t>m=3</m:t>
                  </m:r>
                </m:sup>
                <m:e>
                  <m:func>
                    <m:funcPr>
                      <m:ctrlPr>
                        <w:rPr>
                          <w:rFonts w:ascii="Cambria Math" w:hAnsi="Cambria Math"/>
                          <w:i/>
                        </w:rPr>
                      </m:ctrlPr>
                    </m:funcPr>
                    <m:fName>
                      <m:r>
                        <w:rPr>
                          <w:rFonts w:ascii="Cambria Math" w:hAnsi="Cambria Math"/>
                        </w:rPr>
                        <m:t>exp</m:t>
                      </m:r>
                    </m:fName>
                    <m:e>
                      <m:sSub>
                        <m:sSubPr>
                          <m:ctrlPr>
                            <w:rPr>
                              <w:rFonts w:ascii="Cambria Math" w:hAnsi="Cambria Math"/>
                              <w:i/>
                            </w:rPr>
                          </m:ctrlPr>
                        </m:sSubPr>
                        <m:e>
                          <m:r>
                            <w:rPr>
                              <w:rFonts w:ascii="Cambria Math" w:hAnsi="Cambria Math"/>
                            </w:rPr>
                            <m:t>Z</m:t>
                          </m:r>
                        </m:e>
                        <m:sub>
                          <m:r>
                            <w:rPr>
                              <w:rFonts w:ascii="Cambria Math" w:hAnsi="Cambria Math"/>
                            </w:rPr>
                            <m:t>mi</m:t>
                          </m:r>
                        </m:sub>
                      </m:sSub>
                    </m:e>
                  </m:func>
                </m:e>
              </m:nary>
            </m:den>
          </m:f>
        </m:oMath>
      </m:oMathPara>
    </w:p>
    <w:p w14:paraId="5FE9A2CE" w14:textId="3F4984C8" w:rsidR="00540A02" w:rsidRPr="00CB0CD6" w:rsidRDefault="00540A02" w:rsidP="00540A02">
      <w:pPr>
        <w:jc w:val="both"/>
        <w:rPr>
          <w:rFonts w:ascii="Times New Roman" w:eastAsiaTheme="minorEastAsia" w:hAnsi="Times New Roman"/>
        </w:rPr>
      </w:pPr>
      <w:r w:rsidRPr="00CB0CD6">
        <w:rPr>
          <w:rFonts w:ascii="Times New Roman" w:hAnsi="Times New Roman"/>
          <w:noProof/>
        </w:rPr>
        <mc:AlternateContent>
          <mc:Choice Requires="wps">
            <w:drawing>
              <wp:anchor distT="0" distB="0" distL="114300" distR="114300" simplePos="0" relativeHeight="251659264" behindDoc="0" locked="0" layoutInCell="1" allowOverlap="1" wp14:anchorId="21F5366B" wp14:editId="57355866">
                <wp:simplePos x="0" y="0"/>
                <wp:positionH relativeFrom="column">
                  <wp:posOffset>5685183</wp:posOffset>
                </wp:positionH>
                <wp:positionV relativeFrom="paragraph">
                  <wp:posOffset>174929</wp:posOffset>
                </wp:positionV>
                <wp:extent cx="278295" cy="318052"/>
                <wp:effectExtent l="0" t="0" r="0" b="6350"/>
                <wp:wrapNone/>
                <wp:docPr id="49675817" name="Rectangle 1"/>
                <wp:cNvGraphicFramePr/>
                <a:graphic xmlns:a="http://schemas.openxmlformats.org/drawingml/2006/main">
                  <a:graphicData uri="http://schemas.microsoft.com/office/word/2010/wordprocessingShape">
                    <wps:wsp>
                      <wps:cNvSpPr/>
                      <wps:spPr>
                        <a:xfrm>
                          <a:off x="0" y="0"/>
                          <a:ext cx="278295" cy="318052"/>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CE4A821" w14:textId="77777777" w:rsidR="00540A02" w:rsidRPr="001E07DC" w:rsidRDefault="00155B15"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6</m:t>
                                    </m:r>
                                  </m:e>
                                </m:d>
                              </m:oMath>
                            </m:oMathPara>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F5366B" id="_x0000_s1028" style="position:absolute;left:0;text-align:left;margin-left:447.65pt;margin-top:13.75pt;width:21.9pt;height:25.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" filled="f" stroked="f">
                <v:textbox>
                  <w:txbxContent>
                    <w:p w14:paraId="1CE4A821" w14:textId="77777777" w:rsidR="00540A02" w:rsidRPr="001E07DC" w:rsidRDefault="00155B15" w:rsidP="00540A02">
                      <w:pPr>
                        <w:jc w:val="center"/>
                        <w:rPr>
                          <w:color w:val="000000" w:themeColor="text1"/>
                        </w:rPr>
                      </w:pPr>
                      <m:oMathPara>
                        <m:oMath>
                          <m:d>
                            <m:dPr>
                              <m:ctrlPr>
                                <w:rPr>
                                  <w:rFonts w:ascii="Cambria Math" w:hAnsi="Cambria Math" w:cs="Arial"/>
                                  <w:i/>
                                  <w:color w:val="000000" w:themeColor="text1"/>
                                </w:rPr>
                              </m:ctrlPr>
                            </m:dPr>
                            <m:e>
                              <m:r>
                                <w:rPr>
                                  <w:rFonts w:ascii="Cambria Math" w:hAnsi="Cambria Math" w:cs="Arial"/>
                                  <w:color w:val="000000" w:themeColor="text1"/>
                                </w:rPr>
                                <m:t>6</m:t>
                              </m:r>
                            </m:e>
                          </m:d>
                        </m:oMath>
                      </m:oMathPara>
                    </w:p>
                  </w:txbxContent>
                </v:textbox>
              </v:rect>
            </w:pict>
          </mc:Fallback>
        </mc:AlternateContent>
      </w:r>
    </w:p>
    <w:p w14:paraId="21179D2B" w14:textId="6839A8C1" w:rsidR="00540A02" w:rsidRPr="00CB0CD6" w:rsidRDefault="00540A02" w:rsidP="00540A02">
      <w:pPr>
        <w:jc w:val="center"/>
        <w:rPr>
          <w:rFonts w:ascii="Times New Roman" w:hAnsi="Times New Roman"/>
        </w:rPr>
      </w:pPr>
      <w:r w:rsidRPr="00CB0CD6">
        <w:rPr>
          <w:rFonts w:ascii="Times New Roman" w:hAnsi="Times New Roman"/>
          <w:position w:val="-60"/>
        </w:rPr>
        <w:object w:dxaOrig="2600" w:dyaOrig="980" w14:anchorId="02449A6B">
          <v:shape id="_x0000_i1026" type="#_x0000_t75" style="width:108.85pt;height:42.6pt" o:ole="">
            <v:imagedata r:id="rId16" o:title=""/>
          </v:shape>
          <o:OLEObject Type="Embed" ProgID="Equation.DSMT4" ShapeID="_x0000_i1026" DrawAspect="Content" ObjectID="_1824374917" r:id="rId17"/>
        </w:object>
      </w:r>
    </w:p>
    <w:p w14:paraId="52675302" w14:textId="77777777" w:rsidR="00540A02" w:rsidRPr="00540A02" w:rsidRDefault="00540A02" w:rsidP="00540A02">
      <w:pPr>
        <w:jc w:val="both"/>
        <w:rPr>
          <w:rFonts w:ascii="Arial" w:eastAsiaTheme="minorEastAsia" w:hAnsi="Arial" w:cs="Arial"/>
        </w:rPr>
      </w:pPr>
    </w:p>
    <w:p w14:paraId="5AA13EBC" w14:textId="45073224" w:rsidR="00540A02" w:rsidRDefault="00540A02" w:rsidP="003B26A3">
      <w:pPr>
        <w:pStyle w:val="Body"/>
        <w:spacing w:after="0"/>
        <w:rPr>
          <w:rFonts w:ascii="Arial" w:hAnsi="Arial" w:cs="Arial"/>
        </w:rPr>
      </w:pPr>
      <w:r w:rsidRPr="00540A02">
        <w:rPr>
          <w:rFonts w:ascii="Arial" w:hAnsi="Arial" w:cs="Arial"/>
        </w:rPr>
        <w:t>Equations 5 and Equation 6 show the individual probabilities of being in one of the four categories for the reference category (4 = unemployed), and for other reference categories, respectively. The individual changes his occupational status according to his probability, where the individual prefers to work if the utility associated with wage worker is higher than the utility associated with the other activities.</w:t>
      </w:r>
    </w:p>
    <w:p w14:paraId="1EC0B07F" w14:textId="77777777" w:rsidR="00540A02" w:rsidRPr="003B26A3" w:rsidRDefault="00540A02" w:rsidP="003B26A3">
      <w:pPr>
        <w:pStyle w:val="Body"/>
        <w:spacing w:after="0"/>
        <w:rPr>
          <w:rFonts w:ascii="Arial" w:hAnsi="Arial" w:cs="Arial"/>
        </w:rPr>
      </w:pPr>
    </w:p>
    <w:p w14:paraId="666084A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FCDB51D" w14:textId="77777777" w:rsidR="00790ADA" w:rsidRPr="00FB3A86" w:rsidRDefault="00790ADA" w:rsidP="00441B6F">
      <w:pPr>
        <w:pStyle w:val="Head1"/>
        <w:spacing w:after="0"/>
        <w:jc w:val="both"/>
        <w:rPr>
          <w:rFonts w:ascii="Arial" w:hAnsi="Arial" w:cs="Arial"/>
        </w:rPr>
      </w:pPr>
    </w:p>
    <w:p w14:paraId="79401D2C" w14:textId="77777777" w:rsidR="00540A02" w:rsidRPr="00540A02" w:rsidRDefault="00540A02" w:rsidP="00540A02">
      <w:pPr>
        <w:pStyle w:val="Body"/>
        <w:rPr>
          <w:rFonts w:ascii="Arial" w:hAnsi="Arial" w:cs="Arial"/>
        </w:rPr>
      </w:pPr>
      <w:r w:rsidRPr="00540A02">
        <w:rPr>
          <w:rFonts w:ascii="Arial" w:hAnsi="Arial" w:cs="Arial"/>
        </w:rPr>
        <w:t>The coefficients in Table 1 are derived from the estimated net income equation. The variables region, urbanization, and marital status have p-values lower than the five percent level of significance, indicating their statistical significance. On the other hand, the variables sex and education have p-values greater than the five percent level of significance, suggesting they are not statistically significant. Specifically, region and education show a positive effect on the logarithm of net income, while the other variables have a negative effect.</w:t>
      </w:r>
    </w:p>
    <w:p w14:paraId="2BAC0923" w14:textId="77777777" w:rsidR="00540A02" w:rsidRPr="00540A02" w:rsidRDefault="00540A02" w:rsidP="00540A02">
      <w:pPr>
        <w:pStyle w:val="Body"/>
        <w:rPr>
          <w:rFonts w:ascii="Arial" w:hAnsi="Arial" w:cs="Arial"/>
        </w:rPr>
      </w:pPr>
    </w:p>
    <w:p w14:paraId="01E749C7" w14:textId="77777777" w:rsidR="00540A02" w:rsidRPr="00540A02" w:rsidRDefault="00540A02" w:rsidP="00540A02">
      <w:pPr>
        <w:pStyle w:val="Body"/>
        <w:rPr>
          <w:rFonts w:ascii="Arial" w:hAnsi="Arial" w:cs="Arial"/>
        </w:rPr>
      </w:pPr>
      <w:r w:rsidRPr="00540A02">
        <w:rPr>
          <w:rFonts w:ascii="Arial" w:hAnsi="Arial" w:cs="Arial"/>
        </w:rPr>
        <w:t xml:space="preserve">Geographical location such as region have significant impact on the income classification of households. Highly urbanized region </w:t>
      </w:r>
      <w:proofErr w:type="gramStart"/>
      <w:r w:rsidRPr="00540A02">
        <w:rPr>
          <w:rFonts w:ascii="Arial" w:hAnsi="Arial" w:cs="Arial"/>
        </w:rPr>
        <w:t>have</w:t>
      </w:r>
      <w:proofErr w:type="gramEnd"/>
      <w:r w:rsidRPr="00540A02">
        <w:rPr>
          <w:rFonts w:ascii="Arial" w:hAnsi="Arial" w:cs="Arial"/>
        </w:rPr>
        <w:t xml:space="preserve"> more opportunities to improve household income ranking given that they have skills set that they can use to compete in the market (Azam 2016). Moreover, remote regions with low development </w:t>
      </w:r>
      <w:proofErr w:type="gramStart"/>
      <w:r w:rsidRPr="00540A02">
        <w:rPr>
          <w:rFonts w:ascii="Arial" w:hAnsi="Arial" w:cs="Arial"/>
        </w:rPr>
        <w:t>have  small</w:t>
      </w:r>
      <w:proofErr w:type="gramEnd"/>
      <w:r w:rsidRPr="00540A02">
        <w:rPr>
          <w:rFonts w:ascii="Arial" w:hAnsi="Arial" w:cs="Arial"/>
        </w:rPr>
        <w:t xml:space="preserve"> chance of income advancement as their capacity to have greater opportunities to earn more is more adaptable in the city and highly urbanize region (Villejo et al., 2014).</w:t>
      </w:r>
    </w:p>
    <w:p w14:paraId="04DD5839" w14:textId="21060467" w:rsidR="00086B6F" w:rsidRDefault="00540A02" w:rsidP="00540A02">
      <w:pPr>
        <w:pStyle w:val="Body"/>
        <w:spacing w:after="0"/>
        <w:rPr>
          <w:rFonts w:ascii="Arial" w:hAnsi="Arial" w:cs="Arial"/>
        </w:rPr>
      </w:pPr>
      <w:r w:rsidRPr="00540A02">
        <w:rPr>
          <w:rFonts w:ascii="Arial" w:hAnsi="Arial" w:cs="Arial"/>
        </w:rPr>
        <w:t xml:space="preserve">Based on the estimate reveled in table 1, farmers irrigating from regions CAR, I, II, III, and IVB experience higher net income, making them the most prosperous regions for agricultural rice farming in terms of geographical location. Conversely, regions with high urbanization, such as NCR, IVA, VII, and VIII, show a decrease in net income for rice farmers located in urban </w:t>
      </w:r>
      <w:proofErr w:type="spellStart"/>
      <w:proofErr w:type="gramStart"/>
      <w:r w:rsidRPr="00540A02">
        <w:rPr>
          <w:rFonts w:ascii="Arial" w:hAnsi="Arial" w:cs="Arial"/>
        </w:rPr>
        <w:t>areas.Nowadays</w:t>
      </w:r>
      <w:proofErr w:type="spellEnd"/>
      <w:proofErr w:type="gramEnd"/>
      <w:r w:rsidRPr="00540A02">
        <w:rPr>
          <w:rFonts w:ascii="Arial" w:hAnsi="Arial" w:cs="Arial"/>
        </w:rPr>
        <w:t xml:space="preserve"> the gap of income between male and female has go down (Capuno, 2019). The status of female in the labor market is improving. There are more equal job opportunities for both gender the gender pay gap has been improving overtime (</w:t>
      </w:r>
      <w:proofErr w:type="spellStart"/>
      <w:r w:rsidRPr="00540A02">
        <w:rPr>
          <w:rFonts w:ascii="Arial" w:hAnsi="Arial" w:cs="Arial"/>
        </w:rPr>
        <w:t>Conchada</w:t>
      </w:r>
      <w:proofErr w:type="spellEnd"/>
      <w:r w:rsidRPr="00540A02">
        <w:rPr>
          <w:rFonts w:ascii="Arial" w:hAnsi="Arial" w:cs="Arial"/>
        </w:rPr>
        <w:t xml:space="preserve"> 2019). As implicated in the estimate above gender status is not statistically significant in determining the impact of net income among rice farmers.</w:t>
      </w:r>
    </w:p>
    <w:p w14:paraId="3F05BC6B" w14:textId="77777777" w:rsidR="00540A02" w:rsidRDefault="00540A02" w:rsidP="00540A02">
      <w:pPr>
        <w:pStyle w:val="Body"/>
        <w:spacing w:after="0"/>
        <w:rPr>
          <w:rFonts w:ascii="Arial" w:hAnsi="Arial" w:cs="Arial"/>
        </w:rPr>
      </w:pPr>
    </w:p>
    <w:p w14:paraId="0CD83A00" w14:textId="75C96628" w:rsidR="00540A02" w:rsidRDefault="00540A02" w:rsidP="00540A02">
      <w:pPr>
        <w:pStyle w:val="Body"/>
        <w:spacing w:after="0"/>
        <w:rPr>
          <w:rFonts w:ascii="Arial" w:hAnsi="Arial" w:cs="Arial"/>
          <w:b/>
          <w:bCs/>
        </w:rPr>
      </w:pPr>
      <w:r w:rsidRPr="00540A02">
        <w:rPr>
          <w:rFonts w:ascii="Arial" w:hAnsi="Arial" w:cs="Arial"/>
          <w:b/>
          <w:bCs/>
        </w:rPr>
        <w:t>Table 1: The Estimation of Rice Farmers Net Income</w:t>
      </w:r>
    </w:p>
    <w:tbl>
      <w:tblPr>
        <w:tblW w:w="4519" w:type="pct"/>
        <w:tblInd w:w="360" w:type="dxa"/>
        <w:tblLayout w:type="fixed"/>
        <w:tblLook w:val="04A0" w:firstRow="1" w:lastRow="0" w:firstColumn="1" w:lastColumn="0" w:noHBand="0" w:noVBand="1"/>
      </w:tblPr>
      <w:tblGrid>
        <w:gridCol w:w="3691"/>
        <w:gridCol w:w="2351"/>
        <w:gridCol w:w="2418"/>
      </w:tblGrid>
      <w:tr w:rsidR="00540A02" w:rsidRPr="00CB0CD6" w14:paraId="70153F6A" w14:textId="77777777" w:rsidTr="00D13FC4">
        <w:trPr>
          <w:trHeight w:val="300"/>
        </w:trPr>
        <w:tc>
          <w:tcPr>
            <w:tcW w:w="2181" w:type="pct"/>
            <w:tcBorders>
              <w:top w:val="single" w:sz="4" w:space="0" w:color="auto"/>
              <w:bottom w:val="single" w:sz="4" w:space="0" w:color="auto"/>
            </w:tcBorders>
            <w:noWrap/>
            <w:vAlign w:val="bottom"/>
            <w:hideMark/>
          </w:tcPr>
          <w:p w14:paraId="2E52ACD3" w14:textId="77777777" w:rsidR="00540A02" w:rsidRPr="00540A02" w:rsidRDefault="00540A02" w:rsidP="00D13FC4">
            <w:pPr>
              <w:contextualSpacing/>
              <w:rPr>
                <w:rFonts w:ascii="Arial" w:hAnsi="Arial" w:cs="Arial"/>
                <w:color w:val="000000"/>
                <w:lang w:eastAsia="en-PH"/>
              </w:rPr>
            </w:pPr>
            <w:bookmarkStart w:id="1" w:name="_Hlk143132724"/>
            <w:r w:rsidRPr="00540A02">
              <w:rPr>
                <w:rFonts w:ascii="Arial" w:hAnsi="Arial" w:cs="Arial"/>
                <w:color w:val="000000"/>
                <w:lang w:eastAsia="en-PH"/>
              </w:rPr>
              <w:t> </w:t>
            </w:r>
          </w:p>
        </w:tc>
        <w:tc>
          <w:tcPr>
            <w:tcW w:w="1389" w:type="pct"/>
            <w:tcBorders>
              <w:top w:val="single" w:sz="4" w:space="0" w:color="auto"/>
              <w:bottom w:val="single" w:sz="4" w:space="0" w:color="auto"/>
            </w:tcBorders>
            <w:noWrap/>
            <w:vAlign w:val="bottom"/>
            <w:hideMark/>
          </w:tcPr>
          <w:p w14:paraId="34BCDAB8" w14:textId="77777777" w:rsidR="00540A02" w:rsidRPr="00540A02" w:rsidRDefault="00540A02" w:rsidP="00D13FC4">
            <w:pPr>
              <w:contextualSpacing/>
              <w:jc w:val="center"/>
              <w:rPr>
                <w:rFonts w:ascii="Arial" w:hAnsi="Arial" w:cs="Arial"/>
                <w:b/>
                <w:bCs/>
                <w:color w:val="000000"/>
                <w:lang w:eastAsia="en-PH"/>
              </w:rPr>
            </w:pPr>
            <w:r w:rsidRPr="00540A02">
              <w:rPr>
                <w:rFonts w:ascii="Arial" w:hAnsi="Arial" w:cs="Arial"/>
                <w:b/>
                <w:bCs/>
                <w:color w:val="000000"/>
                <w:lang w:eastAsia="en-PH"/>
              </w:rPr>
              <w:t>Coefficient</w:t>
            </w:r>
          </w:p>
        </w:tc>
        <w:tc>
          <w:tcPr>
            <w:tcW w:w="1429" w:type="pct"/>
            <w:tcBorders>
              <w:top w:val="single" w:sz="4" w:space="0" w:color="auto"/>
              <w:bottom w:val="single" w:sz="4" w:space="0" w:color="auto"/>
            </w:tcBorders>
            <w:noWrap/>
            <w:vAlign w:val="bottom"/>
            <w:hideMark/>
          </w:tcPr>
          <w:p w14:paraId="4C1F83EF" w14:textId="77777777" w:rsidR="00540A02" w:rsidRPr="00540A02" w:rsidRDefault="00540A02" w:rsidP="00D13FC4">
            <w:pPr>
              <w:contextualSpacing/>
              <w:jc w:val="center"/>
              <w:rPr>
                <w:rFonts w:ascii="Arial" w:hAnsi="Arial" w:cs="Arial"/>
                <w:b/>
                <w:bCs/>
                <w:color w:val="000000"/>
                <w:lang w:eastAsia="en-PH"/>
              </w:rPr>
            </w:pPr>
            <w:r w:rsidRPr="00540A02">
              <w:rPr>
                <w:rFonts w:ascii="Arial" w:hAnsi="Arial" w:cs="Arial"/>
                <w:b/>
                <w:bCs/>
                <w:color w:val="000000"/>
                <w:lang w:eastAsia="en-PH"/>
              </w:rPr>
              <w:t>Standard error</w:t>
            </w:r>
          </w:p>
        </w:tc>
      </w:tr>
      <w:tr w:rsidR="00540A02" w:rsidRPr="00CB0CD6" w14:paraId="6283F35C" w14:textId="77777777" w:rsidTr="00D13FC4">
        <w:trPr>
          <w:trHeight w:val="300"/>
        </w:trPr>
        <w:tc>
          <w:tcPr>
            <w:tcW w:w="2181" w:type="pct"/>
            <w:tcBorders>
              <w:top w:val="single" w:sz="4" w:space="0" w:color="auto"/>
            </w:tcBorders>
            <w:noWrap/>
            <w:vAlign w:val="bottom"/>
            <w:hideMark/>
          </w:tcPr>
          <w:p w14:paraId="7A2EAC4E"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Dependent Variable: Logarithm of Net Income</w:t>
            </w:r>
          </w:p>
        </w:tc>
        <w:tc>
          <w:tcPr>
            <w:tcW w:w="1389" w:type="pct"/>
            <w:tcBorders>
              <w:top w:val="single" w:sz="4" w:space="0" w:color="auto"/>
            </w:tcBorders>
            <w:noWrap/>
            <w:vAlign w:val="bottom"/>
            <w:hideMark/>
          </w:tcPr>
          <w:p w14:paraId="6B9534A1"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 </w:t>
            </w:r>
          </w:p>
        </w:tc>
        <w:tc>
          <w:tcPr>
            <w:tcW w:w="1429" w:type="pct"/>
            <w:tcBorders>
              <w:top w:val="single" w:sz="4" w:space="0" w:color="auto"/>
            </w:tcBorders>
            <w:noWrap/>
            <w:vAlign w:val="bottom"/>
            <w:hideMark/>
          </w:tcPr>
          <w:p w14:paraId="5610EDE9"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 </w:t>
            </w:r>
          </w:p>
        </w:tc>
      </w:tr>
      <w:tr w:rsidR="00540A02" w:rsidRPr="00CB0CD6" w14:paraId="39118CA0" w14:textId="77777777" w:rsidTr="00D13FC4">
        <w:trPr>
          <w:trHeight w:val="300"/>
        </w:trPr>
        <w:tc>
          <w:tcPr>
            <w:tcW w:w="2181" w:type="pct"/>
            <w:noWrap/>
            <w:vAlign w:val="bottom"/>
            <w:hideMark/>
          </w:tcPr>
          <w:p w14:paraId="7B1C09F4"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Region</w:t>
            </w:r>
          </w:p>
        </w:tc>
        <w:tc>
          <w:tcPr>
            <w:tcW w:w="1389" w:type="pct"/>
            <w:noWrap/>
            <w:vAlign w:val="bottom"/>
            <w:hideMark/>
          </w:tcPr>
          <w:p w14:paraId="7DB6C74E"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4900.244</w:t>
            </w:r>
            <w:r w:rsidRPr="00540A02">
              <w:rPr>
                <w:rFonts w:ascii="Arial" w:hAnsi="Arial" w:cs="Arial"/>
              </w:rPr>
              <w:t>***</w:t>
            </w:r>
          </w:p>
        </w:tc>
        <w:tc>
          <w:tcPr>
            <w:tcW w:w="1429" w:type="pct"/>
            <w:noWrap/>
            <w:vAlign w:val="bottom"/>
            <w:hideMark/>
          </w:tcPr>
          <w:p w14:paraId="6808EA4D"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945.2352</w:t>
            </w:r>
          </w:p>
        </w:tc>
      </w:tr>
      <w:tr w:rsidR="00540A02" w:rsidRPr="00CB0CD6" w14:paraId="42F5C685" w14:textId="77777777" w:rsidTr="00D13FC4">
        <w:trPr>
          <w:trHeight w:val="300"/>
        </w:trPr>
        <w:tc>
          <w:tcPr>
            <w:tcW w:w="2181" w:type="pct"/>
            <w:noWrap/>
            <w:vAlign w:val="bottom"/>
            <w:hideMark/>
          </w:tcPr>
          <w:p w14:paraId="714CAB3E"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Urbanization</w:t>
            </w:r>
          </w:p>
        </w:tc>
        <w:tc>
          <w:tcPr>
            <w:tcW w:w="1389" w:type="pct"/>
            <w:noWrap/>
            <w:vAlign w:val="bottom"/>
            <w:hideMark/>
          </w:tcPr>
          <w:p w14:paraId="2552508D"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-64245.54</w:t>
            </w:r>
            <w:r w:rsidRPr="00540A02">
              <w:rPr>
                <w:rFonts w:ascii="Arial" w:hAnsi="Arial" w:cs="Arial"/>
              </w:rPr>
              <w:t>***</w:t>
            </w:r>
          </w:p>
        </w:tc>
        <w:tc>
          <w:tcPr>
            <w:tcW w:w="1429" w:type="pct"/>
            <w:noWrap/>
            <w:vAlign w:val="bottom"/>
            <w:hideMark/>
          </w:tcPr>
          <w:p w14:paraId="61E901C5" w14:textId="77777777" w:rsidR="00540A02" w:rsidRPr="00540A02" w:rsidRDefault="00540A02" w:rsidP="00D13FC4">
            <w:pPr>
              <w:ind w:hanging="102"/>
              <w:contextualSpacing/>
              <w:jc w:val="center"/>
              <w:rPr>
                <w:rFonts w:ascii="Arial" w:hAnsi="Arial" w:cs="Arial"/>
                <w:color w:val="000000"/>
                <w:lang w:eastAsia="en-PH"/>
              </w:rPr>
            </w:pPr>
            <w:r w:rsidRPr="00540A02">
              <w:rPr>
                <w:rFonts w:ascii="Arial" w:hAnsi="Arial" w:cs="Arial"/>
                <w:color w:val="000000"/>
                <w:lang w:eastAsia="en-PH"/>
              </w:rPr>
              <w:t>15519.39</w:t>
            </w:r>
          </w:p>
        </w:tc>
      </w:tr>
      <w:tr w:rsidR="00540A02" w:rsidRPr="00CB0CD6" w14:paraId="29928A6C" w14:textId="77777777" w:rsidTr="00D13FC4">
        <w:trPr>
          <w:trHeight w:val="300"/>
        </w:trPr>
        <w:tc>
          <w:tcPr>
            <w:tcW w:w="2181" w:type="pct"/>
            <w:noWrap/>
            <w:vAlign w:val="bottom"/>
            <w:hideMark/>
          </w:tcPr>
          <w:p w14:paraId="69CDC1FE"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Sex HH Head</w:t>
            </w:r>
          </w:p>
        </w:tc>
        <w:tc>
          <w:tcPr>
            <w:tcW w:w="1389" w:type="pct"/>
            <w:noWrap/>
            <w:vAlign w:val="bottom"/>
            <w:hideMark/>
          </w:tcPr>
          <w:p w14:paraId="159819C6"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-25869.24</w:t>
            </w:r>
            <w:r w:rsidRPr="00540A02">
              <w:rPr>
                <w:rFonts w:ascii="Arial" w:hAnsi="Arial" w:cs="Arial"/>
              </w:rPr>
              <w:t>*</w:t>
            </w:r>
          </w:p>
        </w:tc>
        <w:tc>
          <w:tcPr>
            <w:tcW w:w="1429" w:type="pct"/>
            <w:noWrap/>
            <w:vAlign w:val="bottom"/>
            <w:hideMark/>
          </w:tcPr>
          <w:p w14:paraId="07217502"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19428.74</w:t>
            </w:r>
          </w:p>
        </w:tc>
      </w:tr>
      <w:tr w:rsidR="00540A02" w:rsidRPr="00CB0CD6" w14:paraId="52B33089" w14:textId="77777777" w:rsidTr="00D13FC4">
        <w:trPr>
          <w:trHeight w:val="300"/>
        </w:trPr>
        <w:tc>
          <w:tcPr>
            <w:tcW w:w="2181" w:type="pct"/>
            <w:noWrap/>
            <w:vAlign w:val="bottom"/>
            <w:hideMark/>
          </w:tcPr>
          <w:p w14:paraId="75D509A7"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Marital Status</w:t>
            </w:r>
          </w:p>
        </w:tc>
        <w:tc>
          <w:tcPr>
            <w:tcW w:w="1389" w:type="pct"/>
            <w:noWrap/>
            <w:vAlign w:val="bottom"/>
            <w:hideMark/>
          </w:tcPr>
          <w:p w14:paraId="08E04342"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-25588.27</w:t>
            </w:r>
            <w:r w:rsidRPr="00540A02">
              <w:rPr>
                <w:rFonts w:ascii="Arial" w:hAnsi="Arial" w:cs="Arial"/>
              </w:rPr>
              <w:t>**</w:t>
            </w:r>
          </w:p>
        </w:tc>
        <w:tc>
          <w:tcPr>
            <w:tcW w:w="1429" w:type="pct"/>
            <w:noWrap/>
            <w:vAlign w:val="bottom"/>
            <w:hideMark/>
          </w:tcPr>
          <w:p w14:paraId="1E80EA8F"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12928.99</w:t>
            </w:r>
          </w:p>
        </w:tc>
      </w:tr>
      <w:tr w:rsidR="00540A02" w:rsidRPr="00CB0CD6" w14:paraId="1BE84F56" w14:textId="77777777" w:rsidTr="00D13FC4">
        <w:trPr>
          <w:trHeight w:val="300"/>
        </w:trPr>
        <w:tc>
          <w:tcPr>
            <w:tcW w:w="2181" w:type="pct"/>
            <w:noWrap/>
            <w:vAlign w:val="bottom"/>
            <w:hideMark/>
          </w:tcPr>
          <w:p w14:paraId="3F59E7A3"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Highest Grade Completed</w:t>
            </w:r>
          </w:p>
        </w:tc>
        <w:tc>
          <w:tcPr>
            <w:tcW w:w="1389" w:type="pct"/>
            <w:noWrap/>
            <w:vAlign w:val="bottom"/>
            <w:hideMark/>
          </w:tcPr>
          <w:p w14:paraId="77183952"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2394.966</w:t>
            </w:r>
            <w:r w:rsidRPr="00540A02">
              <w:rPr>
                <w:rFonts w:ascii="Arial" w:hAnsi="Arial" w:cs="Arial"/>
              </w:rPr>
              <w:t>*</w:t>
            </w:r>
          </w:p>
        </w:tc>
        <w:tc>
          <w:tcPr>
            <w:tcW w:w="1429" w:type="pct"/>
            <w:noWrap/>
            <w:vAlign w:val="bottom"/>
            <w:hideMark/>
          </w:tcPr>
          <w:p w14:paraId="775BE836"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1770.898</w:t>
            </w:r>
          </w:p>
        </w:tc>
      </w:tr>
      <w:tr w:rsidR="00540A02" w:rsidRPr="00CB0CD6" w14:paraId="4BEB422B" w14:textId="77777777" w:rsidTr="00D13FC4">
        <w:trPr>
          <w:trHeight w:val="300"/>
        </w:trPr>
        <w:tc>
          <w:tcPr>
            <w:tcW w:w="2181" w:type="pct"/>
            <w:tcBorders>
              <w:bottom w:val="single" w:sz="4" w:space="0" w:color="auto"/>
            </w:tcBorders>
            <w:noWrap/>
            <w:vAlign w:val="bottom"/>
            <w:hideMark/>
          </w:tcPr>
          <w:p w14:paraId="3A38697D"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Constant</w:t>
            </w:r>
          </w:p>
        </w:tc>
        <w:tc>
          <w:tcPr>
            <w:tcW w:w="1389" w:type="pct"/>
            <w:tcBorders>
              <w:bottom w:val="single" w:sz="4" w:space="0" w:color="auto"/>
            </w:tcBorders>
            <w:noWrap/>
            <w:vAlign w:val="bottom"/>
            <w:hideMark/>
          </w:tcPr>
          <w:p w14:paraId="2133B2AF"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292800.5</w:t>
            </w:r>
          </w:p>
        </w:tc>
        <w:tc>
          <w:tcPr>
            <w:tcW w:w="1429" w:type="pct"/>
            <w:tcBorders>
              <w:bottom w:val="single" w:sz="4" w:space="0" w:color="auto"/>
            </w:tcBorders>
            <w:noWrap/>
            <w:vAlign w:val="bottom"/>
            <w:hideMark/>
          </w:tcPr>
          <w:p w14:paraId="575AA7FC"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42228.67</w:t>
            </w:r>
          </w:p>
        </w:tc>
      </w:tr>
      <w:tr w:rsidR="00540A02" w:rsidRPr="00CB0CD6" w14:paraId="254468E6" w14:textId="77777777" w:rsidTr="00D13FC4">
        <w:trPr>
          <w:trHeight w:val="300"/>
        </w:trPr>
        <w:tc>
          <w:tcPr>
            <w:tcW w:w="2181" w:type="pct"/>
            <w:tcBorders>
              <w:top w:val="single" w:sz="4" w:space="0" w:color="auto"/>
            </w:tcBorders>
            <w:noWrap/>
            <w:vAlign w:val="bottom"/>
            <w:hideMark/>
          </w:tcPr>
          <w:p w14:paraId="1B563A60"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Mill</w:t>
            </w:r>
          </w:p>
        </w:tc>
        <w:tc>
          <w:tcPr>
            <w:tcW w:w="1389" w:type="pct"/>
            <w:tcBorders>
              <w:top w:val="single" w:sz="4" w:space="0" w:color="auto"/>
            </w:tcBorders>
            <w:noWrap/>
            <w:vAlign w:val="bottom"/>
            <w:hideMark/>
          </w:tcPr>
          <w:p w14:paraId="560A24AE"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0.000</w:t>
            </w:r>
          </w:p>
        </w:tc>
        <w:tc>
          <w:tcPr>
            <w:tcW w:w="1429" w:type="pct"/>
            <w:tcBorders>
              <w:top w:val="single" w:sz="4" w:space="0" w:color="auto"/>
            </w:tcBorders>
            <w:noWrap/>
            <w:vAlign w:val="bottom"/>
            <w:hideMark/>
          </w:tcPr>
          <w:p w14:paraId="5E2DFCB4"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 xml:space="preserve">Wald Chi-Square:  </w:t>
            </w:r>
            <w:r w:rsidRPr="00540A02">
              <w:rPr>
                <w:rFonts w:ascii="Arial" w:hAnsi="Arial" w:cs="Arial"/>
                <w:color w:val="000000"/>
                <w:lang w:eastAsia="en-PH"/>
              </w:rPr>
              <w:t>56.39</w:t>
            </w:r>
          </w:p>
        </w:tc>
      </w:tr>
      <w:tr w:rsidR="00540A02" w:rsidRPr="00CB0CD6" w14:paraId="73635177" w14:textId="77777777" w:rsidTr="00D13FC4">
        <w:trPr>
          <w:trHeight w:val="300"/>
        </w:trPr>
        <w:tc>
          <w:tcPr>
            <w:tcW w:w="2181" w:type="pct"/>
            <w:noWrap/>
            <w:vAlign w:val="bottom"/>
            <w:hideMark/>
          </w:tcPr>
          <w:p w14:paraId="4C78FB6C"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rho</w:t>
            </w:r>
          </w:p>
        </w:tc>
        <w:tc>
          <w:tcPr>
            <w:tcW w:w="1389" w:type="pct"/>
            <w:noWrap/>
            <w:vAlign w:val="bottom"/>
            <w:hideMark/>
          </w:tcPr>
          <w:p w14:paraId="58523D18"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0.000</w:t>
            </w:r>
          </w:p>
        </w:tc>
        <w:tc>
          <w:tcPr>
            <w:tcW w:w="1429" w:type="pct"/>
            <w:noWrap/>
            <w:vAlign w:val="bottom"/>
            <w:hideMark/>
          </w:tcPr>
          <w:p w14:paraId="65FE99E8" w14:textId="77777777" w:rsidR="00540A02" w:rsidRPr="00540A02" w:rsidRDefault="00540A02" w:rsidP="00D13FC4">
            <w:pPr>
              <w:contextualSpacing/>
              <w:rPr>
                <w:rFonts w:ascii="Arial" w:hAnsi="Arial" w:cs="Arial"/>
                <w:b/>
                <w:bCs/>
                <w:color w:val="000000"/>
                <w:lang w:eastAsia="en-PH"/>
              </w:rPr>
            </w:pPr>
            <w:proofErr w:type="gramStart"/>
            <w:r w:rsidRPr="00540A02">
              <w:rPr>
                <w:rFonts w:ascii="Arial" w:hAnsi="Arial" w:cs="Arial"/>
                <w:b/>
                <w:bCs/>
                <w:color w:val="000000"/>
                <w:lang w:eastAsia="en-PH"/>
              </w:rPr>
              <w:t>Probability  :</w:t>
            </w:r>
            <w:proofErr w:type="gramEnd"/>
            <w:r w:rsidRPr="00540A02">
              <w:rPr>
                <w:rFonts w:ascii="Arial" w:hAnsi="Arial" w:cs="Arial"/>
                <w:b/>
                <w:bCs/>
                <w:color w:val="000000"/>
                <w:lang w:eastAsia="en-PH"/>
              </w:rPr>
              <w:t xml:space="preserve">           </w:t>
            </w:r>
            <w:r w:rsidRPr="00540A02">
              <w:rPr>
                <w:rFonts w:ascii="Arial" w:hAnsi="Arial" w:cs="Arial"/>
                <w:color w:val="000000"/>
                <w:lang w:eastAsia="en-PH"/>
              </w:rPr>
              <w:t>0.000</w:t>
            </w:r>
          </w:p>
        </w:tc>
      </w:tr>
      <w:tr w:rsidR="00540A02" w:rsidRPr="00CB0CD6" w14:paraId="03FDA658" w14:textId="77777777" w:rsidTr="00D13FC4">
        <w:trPr>
          <w:trHeight w:val="300"/>
        </w:trPr>
        <w:tc>
          <w:tcPr>
            <w:tcW w:w="2181" w:type="pct"/>
            <w:tcBorders>
              <w:bottom w:val="single" w:sz="4" w:space="0" w:color="auto"/>
            </w:tcBorders>
            <w:noWrap/>
            <w:vAlign w:val="bottom"/>
            <w:hideMark/>
          </w:tcPr>
          <w:p w14:paraId="4439298F"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Sigma</w:t>
            </w:r>
          </w:p>
        </w:tc>
        <w:tc>
          <w:tcPr>
            <w:tcW w:w="1389" w:type="pct"/>
            <w:tcBorders>
              <w:bottom w:val="single" w:sz="4" w:space="0" w:color="auto"/>
            </w:tcBorders>
            <w:noWrap/>
            <w:vAlign w:val="bottom"/>
            <w:hideMark/>
          </w:tcPr>
          <w:p w14:paraId="5FFC1901"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240285.35</w:t>
            </w:r>
          </w:p>
        </w:tc>
        <w:tc>
          <w:tcPr>
            <w:tcW w:w="1429" w:type="pct"/>
            <w:tcBorders>
              <w:bottom w:val="single" w:sz="4" w:space="0" w:color="auto"/>
            </w:tcBorders>
            <w:noWrap/>
            <w:vAlign w:val="bottom"/>
            <w:hideMark/>
          </w:tcPr>
          <w:p w14:paraId="65583532"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 </w:t>
            </w:r>
          </w:p>
        </w:tc>
      </w:tr>
    </w:tbl>
    <w:bookmarkEnd w:id="1"/>
    <w:p w14:paraId="6BA9D7BA" w14:textId="30712DF2" w:rsidR="00540A02" w:rsidRPr="00540A02" w:rsidRDefault="00540A02" w:rsidP="00540A02">
      <w:pPr>
        <w:pStyle w:val="Body"/>
        <w:spacing w:after="0"/>
        <w:rPr>
          <w:rFonts w:ascii="Arial" w:hAnsi="Arial" w:cs="Arial"/>
          <w:b/>
          <w:bCs/>
        </w:rPr>
      </w:pPr>
      <w:r>
        <w:rPr>
          <w:rFonts w:ascii="Arial" w:hAnsi="Arial" w:cs="Arial"/>
        </w:rPr>
        <w:t xml:space="preserve">       </w:t>
      </w:r>
      <w:r w:rsidRPr="00540A02">
        <w:rPr>
          <w:rFonts w:ascii="Arial" w:hAnsi="Arial" w:cs="Arial"/>
          <w:b/>
          <w:bCs/>
          <w:sz w:val="18"/>
          <w:szCs w:val="18"/>
        </w:rPr>
        <w:t>Note: *p&lt;0.1, **p&lt;0.05, ***p&lt;0.01</w:t>
      </w:r>
    </w:p>
    <w:p w14:paraId="467A80C0" w14:textId="77777777" w:rsidR="00540A02" w:rsidRDefault="00540A02" w:rsidP="00540A02">
      <w:pPr>
        <w:pStyle w:val="Body"/>
        <w:rPr>
          <w:rFonts w:ascii="Arial" w:hAnsi="Arial" w:cs="Arial"/>
          <w:b/>
          <w:bCs/>
        </w:rPr>
      </w:pPr>
    </w:p>
    <w:p w14:paraId="2933F225" w14:textId="414D1DBC" w:rsidR="00540A02" w:rsidRPr="00540A02" w:rsidRDefault="00540A02" w:rsidP="00540A02">
      <w:pPr>
        <w:pStyle w:val="Body"/>
        <w:rPr>
          <w:rFonts w:ascii="Arial" w:hAnsi="Arial" w:cs="Arial"/>
        </w:rPr>
      </w:pPr>
      <w:r w:rsidRPr="00540A02">
        <w:rPr>
          <w:rFonts w:ascii="Arial" w:hAnsi="Arial" w:cs="Arial"/>
        </w:rPr>
        <w:t xml:space="preserve">Based on the estimate reveled in table 1, farmers irrigating from regions CAR, I, II, III, and IVB experience higher net income, making them the most prosperous regions for agricultural rice farming in terms of geographical location. Conversely, regions with high urbanization, such as NCR, IVA, VII, and VIII, show a decrease in net income for rice farmers located in urban </w:t>
      </w:r>
      <w:proofErr w:type="spellStart"/>
      <w:proofErr w:type="gramStart"/>
      <w:r w:rsidRPr="00540A02">
        <w:rPr>
          <w:rFonts w:ascii="Arial" w:hAnsi="Arial" w:cs="Arial"/>
        </w:rPr>
        <w:t>areas.Nowadays</w:t>
      </w:r>
      <w:proofErr w:type="spellEnd"/>
      <w:proofErr w:type="gramEnd"/>
      <w:r w:rsidRPr="00540A02">
        <w:rPr>
          <w:rFonts w:ascii="Arial" w:hAnsi="Arial" w:cs="Arial"/>
        </w:rPr>
        <w:t xml:space="preserve"> the gap of income between male and female has go down (Capuno, 2019). The status of female in the labor market is improving. There are more equal job opportunities for both gender the gender pay gap has been improving overtime (</w:t>
      </w:r>
      <w:proofErr w:type="spellStart"/>
      <w:r w:rsidRPr="00540A02">
        <w:rPr>
          <w:rFonts w:ascii="Arial" w:hAnsi="Arial" w:cs="Arial"/>
        </w:rPr>
        <w:t>Conchada</w:t>
      </w:r>
      <w:proofErr w:type="spellEnd"/>
      <w:r w:rsidRPr="00540A02">
        <w:rPr>
          <w:rFonts w:ascii="Arial" w:hAnsi="Arial" w:cs="Arial"/>
        </w:rPr>
        <w:t xml:space="preserve"> 2019). As implicated in the estimate above gender status is not statistically significant in determining the impact of net income among rice farmers.</w:t>
      </w:r>
    </w:p>
    <w:p w14:paraId="48DD46B3" w14:textId="77777777" w:rsidR="00540A02" w:rsidRPr="00540A02" w:rsidRDefault="00540A02" w:rsidP="00540A02">
      <w:pPr>
        <w:pStyle w:val="Body"/>
        <w:rPr>
          <w:rFonts w:ascii="Arial" w:hAnsi="Arial" w:cs="Arial"/>
        </w:rPr>
      </w:pPr>
      <w:r w:rsidRPr="00540A02">
        <w:rPr>
          <w:rFonts w:ascii="Arial" w:hAnsi="Arial" w:cs="Arial"/>
        </w:rPr>
        <w:t>Single individual has the flexibility of increasing their income as compared to married, separated or widowed individual as they have more opportunities to choose and decide for their careers. As for the others which have responsibilities for their children and has limited opportunities to quit and change job right away (</w:t>
      </w:r>
      <w:proofErr w:type="spellStart"/>
      <w:r w:rsidRPr="00540A02">
        <w:rPr>
          <w:rFonts w:ascii="Arial" w:hAnsi="Arial" w:cs="Arial"/>
        </w:rPr>
        <w:t>Monsura</w:t>
      </w:r>
      <w:proofErr w:type="spellEnd"/>
      <w:r w:rsidRPr="00540A02">
        <w:rPr>
          <w:rFonts w:ascii="Arial" w:hAnsi="Arial" w:cs="Arial"/>
        </w:rPr>
        <w:t xml:space="preserve">, 2021). These individuals </w:t>
      </w:r>
      <w:proofErr w:type="gramStart"/>
      <w:r w:rsidRPr="00540A02">
        <w:rPr>
          <w:rFonts w:ascii="Arial" w:hAnsi="Arial" w:cs="Arial"/>
        </w:rPr>
        <w:t>tends</w:t>
      </w:r>
      <w:proofErr w:type="gramEnd"/>
      <w:r w:rsidRPr="00540A02">
        <w:rPr>
          <w:rFonts w:ascii="Arial" w:hAnsi="Arial" w:cs="Arial"/>
        </w:rPr>
        <w:t xml:space="preserve"> to be more committed to their job showing higher productivity on their respective job which lead them to a higher position (Lerman, 2002). Table 1, implicated </w:t>
      </w:r>
      <w:proofErr w:type="gramStart"/>
      <w:r w:rsidRPr="00540A02">
        <w:rPr>
          <w:rFonts w:ascii="Arial" w:hAnsi="Arial" w:cs="Arial"/>
        </w:rPr>
        <w:t>that  marital</w:t>
      </w:r>
      <w:proofErr w:type="gramEnd"/>
      <w:r w:rsidRPr="00540A02">
        <w:rPr>
          <w:rFonts w:ascii="Arial" w:hAnsi="Arial" w:cs="Arial"/>
        </w:rPr>
        <w:t xml:space="preserve"> status is statistically significant in determining the net income of rice farmers as marital status increases the net income decreases. Moreover, education level positively influences net income in rice farming, with higher education, like completing college, leading to increased earnings. This phenomenon can be explained by human capital theories presented by Mincer (1958), Becker (1962), and Schultz (1961), which </w:t>
      </w:r>
      <w:r w:rsidRPr="00540A02">
        <w:rPr>
          <w:rFonts w:ascii="Arial" w:hAnsi="Arial" w:cs="Arial"/>
        </w:rPr>
        <w:lastRenderedPageBreak/>
        <w:t>suggest that individuals with higher education and training tend to have higher productivity and can command higher wages.</w:t>
      </w:r>
    </w:p>
    <w:p w14:paraId="6BEE2DA2" w14:textId="77777777" w:rsidR="00540A02" w:rsidRPr="00540A02" w:rsidRDefault="00540A02" w:rsidP="00540A02">
      <w:pPr>
        <w:pStyle w:val="Body"/>
        <w:rPr>
          <w:rFonts w:ascii="Arial" w:hAnsi="Arial" w:cs="Arial"/>
        </w:rPr>
      </w:pPr>
      <w:r w:rsidRPr="00540A02">
        <w:rPr>
          <w:rFonts w:ascii="Arial" w:hAnsi="Arial" w:cs="Arial"/>
        </w:rPr>
        <w:t>During the simulated period, the total household income aligns with the expected trends and patterns outlined in the wage equation. Notably, both households that receive Rice Tariffication Law (RTL) benefits and those that do not, experienced increased total income in specific regions (</w:t>
      </w:r>
      <w:proofErr w:type="gramStart"/>
      <w:r w:rsidRPr="00540A02">
        <w:rPr>
          <w:rFonts w:ascii="Arial" w:hAnsi="Arial" w:cs="Arial"/>
        </w:rPr>
        <w:t>I,II</w:t>
      </w:r>
      <w:proofErr w:type="gramEnd"/>
      <w:r w:rsidRPr="00540A02">
        <w:rPr>
          <w:rFonts w:ascii="Arial" w:hAnsi="Arial" w:cs="Arial"/>
        </w:rPr>
        <w:t xml:space="preserve">, VI, XIII,III,IVB,X,I,VIII, and XII). Some of these regions, namely I, II, III, and VI, are known as high-income regions based on the </w:t>
      </w:r>
      <w:proofErr w:type="spellStart"/>
      <w:proofErr w:type="gramStart"/>
      <w:r w:rsidRPr="00540A02">
        <w:rPr>
          <w:rFonts w:ascii="Arial" w:hAnsi="Arial" w:cs="Arial"/>
        </w:rPr>
        <w:t>data.The</w:t>
      </w:r>
      <w:proofErr w:type="spellEnd"/>
      <w:proofErr w:type="gramEnd"/>
      <w:r w:rsidRPr="00540A02">
        <w:rPr>
          <w:rFonts w:ascii="Arial" w:hAnsi="Arial" w:cs="Arial"/>
        </w:rPr>
        <w:t xml:space="preserve"> incorporation of Rice Tariffication Law specifications into the model resulted in a notable increase in total income for households in the mentioned regions, whether they were RTL recipients or not. During the simulated period, the total household income aligns with the expected trends and patterns outlined in the wage equation. Notably, both households that receive Rice Tariffication Law (RTL) benefits and those that do not, experienced increased total income in specific regions (</w:t>
      </w:r>
      <w:proofErr w:type="gramStart"/>
      <w:r w:rsidRPr="00540A02">
        <w:rPr>
          <w:rFonts w:ascii="Arial" w:hAnsi="Arial" w:cs="Arial"/>
        </w:rPr>
        <w:t>I,II</w:t>
      </w:r>
      <w:proofErr w:type="gramEnd"/>
      <w:r w:rsidRPr="00540A02">
        <w:rPr>
          <w:rFonts w:ascii="Arial" w:hAnsi="Arial" w:cs="Arial"/>
        </w:rPr>
        <w:t>, VI, XIII,III,IVB,X,I,VIII, and XII). Some of these regions, namely I, II, III, and VI, are known as high-income regions based on the data. The incorporation of Rice Tariffication Law specifications into the model resulted in a notable increase in total income for households in the mentioned regions, whether they were RTL recipients or not.</w:t>
      </w:r>
    </w:p>
    <w:p w14:paraId="123B05AB" w14:textId="2B5997E3" w:rsidR="00540A02" w:rsidRPr="00540A02" w:rsidRDefault="00540A02" w:rsidP="00540A02">
      <w:pPr>
        <w:pStyle w:val="Body"/>
        <w:spacing w:after="0"/>
        <w:rPr>
          <w:rFonts w:ascii="Arial" w:hAnsi="Arial" w:cs="Arial"/>
        </w:rPr>
      </w:pPr>
      <w:r w:rsidRPr="00540A02">
        <w:rPr>
          <w:rFonts w:ascii="Arial" w:hAnsi="Arial" w:cs="Arial"/>
        </w:rPr>
        <w:t>The recorded results for Regions XI, VII, NCR and BARMM indicated a negative change ranging from 0.07 to 0.68 percent decrease. These findings suggest that these regions predominantly consist of non-rice farmers who have not received subsidies from RTL. Consequently, their net income has significantly decreased. On the other hand, Regions II, VI, XIII, III, IVB, X, and I exhibited positive changes in net income, ranging from 61 to 16 percent increase for both RTL recipients and non-recipients.</w:t>
      </w:r>
    </w:p>
    <w:p w14:paraId="77E0C54E" w14:textId="77777777" w:rsidR="00540A02" w:rsidRDefault="00540A02" w:rsidP="00540A02">
      <w:pPr>
        <w:pStyle w:val="Body"/>
        <w:spacing w:after="0"/>
        <w:rPr>
          <w:rFonts w:ascii="Arial" w:hAnsi="Arial" w:cs="Arial"/>
          <w:b/>
          <w:bCs/>
        </w:rPr>
      </w:pPr>
    </w:p>
    <w:p w14:paraId="63CBDE12" w14:textId="09874076" w:rsidR="00540A02" w:rsidRDefault="00540A02" w:rsidP="00540A02">
      <w:pPr>
        <w:pStyle w:val="Body"/>
        <w:spacing w:after="0"/>
        <w:rPr>
          <w:rFonts w:ascii="Arial" w:hAnsi="Arial" w:cs="Arial"/>
          <w:b/>
          <w:bCs/>
        </w:rPr>
      </w:pPr>
      <w:r w:rsidRPr="00540A02">
        <w:rPr>
          <w:rFonts w:ascii="Arial" w:hAnsi="Arial" w:cs="Arial"/>
          <w:b/>
          <w:bCs/>
        </w:rPr>
        <w:t xml:space="preserve">  Table </w:t>
      </w:r>
      <w:proofErr w:type="gramStart"/>
      <w:r w:rsidRPr="00540A02">
        <w:rPr>
          <w:rFonts w:ascii="Arial" w:hAnsi="Arial" w:cs="Arial"/>
          <w:b/>
          <w:bCs/>
        </w:rPr>
        <w:t>2 :</w:t>
      </w:r>
      <w:proofErr w:type="gramEnd"/>
      <w:r w:rsidRPr="00540A02">
        <w:rPr>
          <w:rFonts w:ascii="Arial" w:hAnsi="Arial" w:cs="Arial"/>
          <w:b/>
          <w:bCs/>
        </w:rPr>
        <w:t xml:space="preserve"> Household Income Based on the Estimation Model Before and After RTL</w:t>
      </w:r>
    </w:p>
    <w:tbl>
      <w:tblPr>
        <w:tblW w:w="4663" w:type="pct"/>
        <w:tblInd w:w="108" w:type="dxa"/>
        <w:tblLayout w:type="fixed"/>
        <w:tblLook w:val="04A0" w:firstRow="1" w:lastRow="0" w:firstColumn="1" w:lastColumn="0" w:noHBand="0" w:noVBand="1"/>
      </w:tblPr>
      <w:tblGrid>
        <w:gridCol w:w="3514"/>
        <w:gridCol w:w="1947"/>
        <w:gridCol w:w="2107"/>
        <w:gridCol w:w="1161"/>
      </w:tblGrid>
      <w:tr w:rsidR="00540A02" w:rsidRPr="00540A02" w14:paraId="316E3E94" w14:textId="77777777" w:rsidTr="00540A02">
        <w:trPr>
          <w:trHeight w:val="310"/>
        </w:trPr>
        <w:tc>
          <w:tcPr>
            <w:tcW w:w="2013" w:type="pct"/>
            <w:tcBorders>
              <w:top w:val="single" w:sz="12" w:space="0" w:color="000000"/>
              <w:bottom w:val="single" w:sz="12" w:space="0" w:color="000000"/>
            </w:tcBorders>
            <w:noWrap/>
            <w:vAlign w:val="bottom"/>
            <w:hideMark/>
          </w:tcPr>
          <w:p w14:paraId="68852BA6" w14:textId="77777777" w:rsidR="00540A02" w:rsidRPr="00540A02" w:rsidRDefault="00540A02" w:rsidP="00D13FC4">
            <w:pPr>
              <w:contextualSpacing/>
              <w:jc w:val="center"/>
              <w:rPr>
                <w:rFonts w:ascii="Arial" w:hAnsi="Arial" w:cs="Arial"/>
                <w:b/>
                <w:bCs/>
                <w:color w:val="000000"/>
                <w:lang w:eastAsia="en-PH"/>
              </w:rPr>
            </w:pPr>
            <w:r w:rsidRPr="00540A02">
              <w:rPr>
                <w:rFonts w:ascii="Arial" w:hAnsi="Arial" w:cs="Arial"/>
                <w:b/>
                <w:bCs/>
                <w:color w:val="000000"/>
                <w:lang w:eastAsia="en-PH"/>
              </w:rPr>
              <w:t>Region</w:t>
            </w:r>
          </w:p>
        </w:tc>
        <w:tc>
          <w:tcPr>
            <w:tcW w:w="1115" w:type="pct"/>
            <w:tcBorders>
              <w:top w:val="single" w:sz="12" w:space="0" w:color="000000"/>
              <w:bottom w:val="single" w:sz="12" w:space="0" w:color="000000"/>
            </w:tcBorders>
            <w:noWrap/>
            <w:vAlign w:val="bottom"/>
            <w:hideMark/>
          </w:tcPr>
          <w:p w14:paraId="57E875B1" w14:textId="77777777" w:rsidR="00540A02" w:rsidRPr="00540A02" w:rsidRDefault="00540A02" w:rsidP="00D13FC4">
            <w:pPr>
              <w:contextualSpacing/>
              <w:jc w:val="center"/>
              <w:rPr>
                <w:rFonts w:ascii="Arial" w:hAnsi="Arial" w:cs="Arial"/>
                <w:b/>
                <w:bCs/>
                <w:color w:val="000000"/>
                <w:lang w:eastAsia="en-PH"/>
              </w:rPr>
            </w:pPr>
            <w:r w:rsidRPr="00540A02">
              <w:rPr>
                <w:rFonts w:ascii="Arial" w:hAnsi="Arial" w:cs="Arial"/>
                <w:b/>
                <w:bCs/>
                <w:color w:val="000000"/>
                <w:lang w:eastAsia="en-PH"/>
              </w:rPr>
              <w:t>Based Period</w:t>
            </w:r>
          </w:p>
        </w:tc>
        <w:tc>
          <w:tcPr>
            <w:tcW w:w="1207" w:type="pct"/>
            <w:tcBorders>
              <w:top w:val="single" w:sz="12" w:space="0" w:color="000000"/>
              <w:bottom w:val="single" w:sz="12" w:space="0" w:color="000000"/>
            </w:tcBorders>
            <w:noWrap/>
            <w:vAlign w:val="bottom"/>
            <w:hideMark/>
          </w:tcPr>
          <w:p w14:paraId="0BF7E0D8" w14:textId="77777777" w:rsidR="00540A02" w:rsidRPr="00540A02" w:rsidRDefault="00540A02" w:rsidP="00D13FC4">
            <w:pPr>
              <w:contextualSpacing/>
              <w:jc w:val="center"/>
              <w:rPr>
                <w:rFonts w:ascii="Arial" w:hAnsi="Arial" w:cs="Arial"/>
                <w:b/>
                <w:bCs/>
                <w:color w:val="000000"/>
                <w:lang w:eastAsia="en-PH"/>
              </w:rPr>
            </w:pPr>
            <w:r w:rsidRPr="00540A02">
              <w:rPr>
                <w:rFonts w:ascii="Arial" w:hAnsi="Arial" w:cs="Arial"/>
                <w:b/>
                <w:bCs/>
                <w:color w:val="000000"/>
                <w:lang w:eastAsia="en-PH"/>
              </w:rPr>
              <w:t>Estimated Period</w:t>
            </w:r>
          </w:p>
        </w:tc>
        <w:tc>
          <w:tcPr>
            <w:tcW w:w="665" w:type="pct"/>
            <w:tcBorders>
              <w:top w:val="single" w:sz="12" w:space="0" w:color="000000"/>
              <w:bottom w:val="single" w:sz="12" w:space="0" w:color="000000"/>
            </w:tcBorders>
            <w:noWrap/>
            <w:vAlign w:val="bottom"/>
            <w:hideMark/>
          </w:tcPr>
          <w:p w14:paraId="3F797445" w14:textId="77777777" w:rsidR="00540A02" w:rsidRPr="00540A02" w:rsidRDefault="00540A02" w:rsidP="00D13FC4">
            <w:pPr>
              <w:contextualSpacing/>
              <w:jc w:val="center"/>
              <w:rPr>
                <w:rFonts w:ascii="Arial" w:hAnsi="Arial" w:cs="Arial"/>
                <w:b/>
                <w:bCs/>
                <w:color w:val="000000"/>
                <w:lang w:eastAsia="en-PH"/>
              </w:rPr>
            </w:pPr>
            <w:r w:rsidRPr="00540A02">
              <w:rPr>
                <w:rFonts w:ascii="Arial" w:hAnsi="Arial" w:cs="Arial"/>
                <w:b/>
                <w:bCs/>
                <w:color w:val="000000"/>
                <w:lang w:eastAsia="en-PH"/>
              </w:rPr>
              <w:t>Change</w:t>
            </w:r>
          </w:p>
        </w:tc>
      </w:tr>
      <w:tr w:rsidR="00540A02" w:rsidRPr="00540A02" w14:paraId="6BC7778E" w14:textId="77777777" w:rsidTr="00540A02">
        <w:trPr>
          <w:trHeight w:val="296"/>
        </w:trPr>
        <w:tc>
          <w:tcPr>
            <w:tcW w:w="2013" w:type="pct"/>
            <w:tcBorders>
              <w:top w:val="single" w:sz="12" w:space="0" w:color="000000"/>
            </w:tcBorders>
            <w:noWrap/>
            <w:vAlign w:val="bottom"/>
            <w:hideMark/>
          </w:tcPr>
          <w:p w14:paraId="6D63807D"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II (Cagayan Valley)</w:t>
            </w:r>
          </w:p>
        </w:tc>
        <w:tc>
          <w:tcPr>
            <w:tcW w:w="1115" w:type="pct"/>
            <w:tcBorders>
              <w:top w:val="single" w:sz="12" w:space="0" w:color="000000"/>
            </w:tcBorders>
            <w:noWrap/>
            <w:vAlign w:val="bottom"/>
            <w:hideMark/>
          </w:tcPr>
          <w:p w14:paraId="1D453B9D"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19,882,150.00</w:t>
            </w:r>
          </w:p>
        </w:tc>
        <w:tc>
          <w:tcPr>
            <w:tcW w:w="1207" w:type="pct"/>
            <w:tcBorders>
              <w:top w:val="single" w:sz="12" w:space="0" w:color="000000"/>
            </w:tcBorders>
            <w:noWrap/>
            <w:vAlign w:val="bottom"/>
            <w:hideMark/>
          </w:tcPr>
          <w:p w14:paraId="040CC7C9"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31,962,920.00</w:t>
            </w:r>
          </w:p>
        </w:tc>
        <w:tc>
          <w:tcPr>
            <w:tcW w:w="665" w:type="pct"/>
            <w:tcBorders>
              <w:top w:val="single" w:sz="12" w:space="0" w:color="000000"/>
            </w:tcBorders>
            <w:noWrap/>
            <w:vAlign w:val="bottom"/>
            <w:hideMark/>
          </w:tcPr>
          <w:p w14:paraId="79592403"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60.76</w:t>
            </w:r>
          </w:p>
        </w:tc>
      </w:tr>
      <w:tr w:rsidR="00540A02" w:rsidRPr="00540A02" w14:paraId="52738EA8" w14:textId="77777777" w:rsidTr="00540A02">
        <w:trPr>
          <w:trHeight w:val="283"/>
        </w:trPr>
        <w:tc>
          <w:tcPr>
            <w:tcW w:w="2013" w:type="pct"/>
            <w:noWrap/>
            <w:vAlign w:val="bottom"/>
            <w:hideMark/>
          </w:tcPr>
          <w:p w14:paraId="5E427526"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VI (Western Visayas)</w:t>
            </w:r>
          </w:p>
        </w:tc>
        <w:tc>
          <w:tcPr>
            <w:tcW w:w="1115" w:type="pct"/>
            <w:noWrap/>
            <w:vAlign w:val="bottom"/>
            <w:hideMark/>
          </w:tcPr>
          <w:p w14:paraId="369528AB"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24,893,822.00</w:t>
            </w:r>
          </w:p>
        </w:tc>
        <w:tc>
          <w:tcPr>
            <w:tcW w:w="1207" w:type="pct"/>
            <w:noWrap/>
            <w:vAlign w:val="bottom"/>
            <w:hideMark/>
          </w:tcPr>
          <w:p w14:paraId="1345F74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36,774,405.00</w:t>
            </w:r>
          </w:p>
        </w:tc>
        <w:tc>
          <w:tcPr>
            <w:tcW w:w="665" w:type="pct"/>
            <w:noWrap/>
            <w:vAlign w:val="bottom"/>
            <w:hideMark/>
          </w:tcPr>
          <w:p w14:paraId="7E2AFE87"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47.73</w:t>
            </w:r>
          </w:p>
        </w:tc>
      </w:tr>
      <w:tr w:rsidR="00540A02" w:rsidRPr="00540A02" w14:paraId="09C95753" w14:textId="77777777" w:rsidTr="00540A02">
        <w:trPr>
          <w:trHeight w:val="283"/>
        </w:trPr>
        <w:tc>
          <w:tcPr>
            <w:tcW w:w="2013" w:type="pct"/>
            <w:noWrap/>
            <w:vAlign w:val="bottom"/>
            <w:hideMark/>
          </w:tcPr>
          <w:p w14:paraId="3634A88F"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XIII (CARAGA)</w:t>
            </w:r>
          </w:p>
        </w:tc>
        <w:tc>
          <w:tcPr>
            <w:tcW w:w="1115" w:type="pct"/>
            <w:noWrap/>
            <w:vAlign w:val="bottom"/>
            <w:hideMark/>
          </w:tcPr>
          <w:p w14:paraId="1D335483"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11,769,373.00</w:t>
            </w:r>
          </w:p>
        </w:tc>
        <w:tc>
          <w:tcPr>
            <w:tcW w:w="1207" w:type="pct"/>
            <w:noWrap/>
            <w:vAlign w:val="bottom"/>
            <w:hideMark/>
          </w:tcPr>
          <w:p w14:paraId="553DE1E8"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15,323,605.50</w:t>
            </w:r>
          </w:p>
        </w:tc>
        <w:tc>
          <w:tcPr>
            <w:tcW w:w="665" w:type="pct"/>
            <w:noWrap/>
            <w:vAlign w:val="bottom"/>
            <w:hideMark/>
          </w:tcPr>
          <w:p w14:paraId="42106396"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30.20</w:t>
            </w:r>
          </w:p>
        </w:tc>
      </w:tr>
      <w:tr w:rsidR="00540A02" w:rsidRPr="00540A02" w14:paraId="48B8EFCD" w14:textId="77777777" w:rsidTr="00540A02">
        <w:trPr>
          <w:trHeight w:val="283"/>
        </w:trPr>
        <w:tc>
          <w:tcPr>
            <w:tcW w:w="2013" w:type="pct"/>
            <w:noWrap/>
            <w:vAlign w:val="bottom"/>
            <w:hideMark/>
          </w:tcPr>
          <w:p w14:paraId="0C27B8DD"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III (Central Luzon)</w:t>
            </w:r>
          </w:p>
        </w:tc>
        <w:tc>
          <w:tcPr>
            <w:tcW w:w="1115" w:type="pct"/>
            <w:noWrap/>
            <w:vAlign w:val="bottom"/>
            <w:hideMark/>
          </w:tcPr>
          <w:p w14:paraId="6AEBA21E"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43,161,264.00</w:t>
            </w:r>
          </w:p>
        </w:tc>
        <w:tc>
          <w:tcPr>
            <w:tcW w:w="1207" w:type="pct"/>
            <w:noWrap/>
            <w:vAlign w:val="bottom"/>
            <w:hideMark/>
          </w:tcPr>
          <w:p w14:paraId="6CB73CB3"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52,956,945.10</w:t>
            </w:r>
          </w:p>
        </w:tc>
        <w:tc>
          <w:tcPr>
            <w:tcW w:w="665" w:type="pct"/>
            <w:noWrap/>
            <w:vAlign w:val="bottom"/>
            <w:hideMark/>
          </w:tcPr>
          <w:p w14:paraId="4CA09D22"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22.70</w:t>
            </w:r>
          </w:p>
        </w:tc>
      </w:tr>
      <w:tr w:rsidR="00540A02" w:rsidRPr="00540A02" w14:paraId="26F12D7B" w14:textId="77777777" w:rsidTr="00540A02">
        <w:trPr>
          <w:trHeight w:val="283"/>
        </w:trPr>
        <w:tc>
          <w:tcPr>
            <w:tcW w:w="2013" w:type="pct"/>
            <w:noWrap/>
            <w:vAlign w:val="bottom"/>
            <w:hideMark/>
          </w:tcPr>
          <w:p w14:paraId="79D46C2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IVB (MIMAROPA)</w:t>
            </w:r>
          </w:p>
        </w:tc>
        <w:tc>
          <w:tcPr>
            <w:tcW w:w="1115" w:type="pct"/>
            <w:noWrap/>
            <w:vAlign w:val="bottom"/>
            <w:hideMark/>
          </w:tcPr>
          <w:p w14:paraId="654513F7"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28,684,372.00</w:t>
            </w:r>
          </w:p>
        </w:tc>
        <w:tc>
          <w:tcPr>
            <w:tcW w:w="1207" w:type="pct"/>
            <w:noWrap/>
            <w:vAlign w:val="bottom"/>
            <w:hideMark/>
          </w:tcPr>
          <w:p w14:paraId="261BCCD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33,874,984.30</w:t>
            </w:r>
          </w:p>
        </w:tc>
        <w:tc>
          <w:tcPr>
            <w:tcW w:w="665" w:type="pct"/>
            <w:noWrap/>
            <w:vAlign w:val="bottom"/>
            <w:hideMark/>
          </w:tcPr>
          <w:p w14:paraId="138D187D"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18.10</w:t>
            </w:r>
          </w:p>
        </w:tc>
      </w:tr>
      <w:tr w:rsidR="00540A02" w:rsidRPr="00540A02" w14:paraId="779CA8EC" w14:textId="77777777" w:rsidTr="00540A02">
        <w:trPr>
          <w:trHeight w:val="283"/>
        </w:trPr>
        <w:tc>
          <w:tcPr>
            <w:tcW w:w="2013" w:type="pct"/>
            <w:noWrap/>
            <w:vAlign w:val="bottom"/>
            <w:hideMark/>
          </w:tcPr>
          <w:p w14:paraId="0D6A98C2"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X (Northern Mindanao)</w:t>
            </w:r>
          </w:p>
        </w:tc>
        <w:tc>
          <w:tcPr>
            <w:tcW w:w="1115" w:type="pct"/>
            <w:noWrap/>
            <w:vAlign w:val="bottom"/>
            <w:hideMark/>
          </w:tcPr>
          <w:p w14:paraId="4D73127B"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9,179,536.00</w:t>
            </w:r>
          </w:p>
        </w:tc>
        <w:tc>
          <w:tcPr>
            <w:tcW w:w="1207" w:type="pct"/>
            <w:noWrap/>
            <w:vAlign w:val="bottom"/>
            <w:hideMark/>
          </w:tcPr>
          <w:p w14:paraId="5298E7E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10,725,020.50</w:t>
            </w:r>
          </w:p>
        </w:tc>
        <w:tc>
          <w:tcPr>
            <w:tcW w:w="665" w:type="pct"/>
            <w:noWrap/>
            <w:vAlign w:val="bottom"/>
            <w:hideMark/>
          </w:tcPr>
          <w:p w14:paraId="4F046B7E"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16.84</w:t>
            </w:r>
          </w:p>
        </w:tc>
      </w:tr>
      <w:tr w:rsidR="00540A02" w:rsidRPr="00540A02" w14:paraId="16309FB0" w14:textId="77777777" w:rsidTr="00540A02">
        <w:trPr>
          <w:trHeight w:val="283"/>
        </w:trPr>
        <w:tc>
          <w:tcPr>
            <w:tcW w:w="2013" w:type="pct"/>
            <w:noWrap/>
            <w:vAlign w:val="bottom"/>
            <w:hideMark/>
          </w:tcPr>
          <w:p w14:paraId="50095201"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I (</w:t>
            </w:r>
            <w:proofErr w:type="spellStart"/>
            <w:r w:rsidRPr="00540A02">
              <w:rPr>
                <w:rFonts w:ascii="Arial" w:hAnsi="Arial" w:cs="Arial"/>
                <w:color w:val="000000"/>
                <w:lang w:eastAsia="en-PH"/>
              </w:rPr>
              <w:t>Ilocos</w:t>
            </w:r>
            <w:proofErr w:type="spellEnd"/>
            <w:r w:rsidRPr="00540A02">
              <w:rPr>
                <w:rFonts w:ascii="Arial" w:hAnsi="Arial" w:cs="Arial"/>
                <w:color w:val="000000"/>
                <w:lang w:eastAsia="en-PH"/>
              </w:rPr>
              <w:t xml:space="preserve"> Region)</w:t>
            </w:r>
          </w:p>
        </w:tc>
        <w:tc>
          <w:tcPr>
            <w:tcW w:w="1115" w:type="pct"/>
            <w:noWrap/>
            <w:vAlign w:val="bottom"/>
            <w:hideMark/>
          </w:tcPr>
          <w:p w14:paraId="109BDC57"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30,734,909.00</w:t>
            </w:r>
          </w:p>
        </w:tc>
        <w:tc>
          <w:tcPr>
            <w:tcW w:w="1207" w:type="pct"/>
            <w:noWrap/>
            <w:vAlign w:val="bottom"/>
            <w:hideMark/>
          </w:tcPr>
          <w:p w14:paraId="46609F44"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35,601,184.40</w:t>
            </w:r>
          </w:p>
        </w:tc>
        <w:tc>
          <w:tcPr>
            <w:tcW w:w="665" w:type="pct"/>
            <w:noWrap/>
            <w:vAlign w:val="bottom"/>
            <w:hideMark/>
          </w:tcPr>
          <w:p w14:paraId="03CACD3F"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15.83</w:t>
            </w:r>
          </w:p>
        </w:tc>
      </w:tr>
      <w:tr w:rsidR="00540A02" w:rsidRPr="00540A02" w14:paraId="72860A33" w14:textId="77777777" w:rsidTr="00540A02">
        <w:trPr>
          <w:trHeight w:val="283"/>
        </w:trPr>
        <w:tc>
          <w:tcPr>
            <w:tcW w:w="2013" w:type="pct"/>
            <w:noWrap/>
            <w:vAlign w:val="bottom"/>
            <w:hideMark/>
          </w:tcPr>
          <w:p w14:paraId="626AE672"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VIII (Eastern Visayas)</w:t>
            </w:r>
          </w:p>
        </w:tc>
        <w:tc>
          <w:tcPr>
            <w:tcW w:w="1115" w:type="pct"/>
            <w:noWrap/>
            <w:vAlign w:val="bottom"/>
            <w:hideMark/>
          </w:tcPr>
          <w:p w14:paraId="3A179681"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6,685,517.00</w:t>
            </w:r>
          </w:p>
        </w:tc>
        <w:tc>
          <w:tcPr>
            <w:tcW w:w="1207" w:type="pct"/>
            <w:noWrap/>
            <w:vAlign w:val="bottom"/>
            <w:hideMark/>
          </w:tcPr>
          <w:p w14:paraId="35F5ACB4"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7,473,130.40</w:t>
            </w:r>
          </w:p>
        </w:tc>
        <w:tc>
          <w:tcPr>
            <w:tcW w:w="665" w:type="pct"/>
            <w:noWrap/>
            <w:vAlign w:val="bottom"/>
            <w:hideMark/>
          </w:tcPr>
          <w:p w14:paraId="2CEF4710"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11.78</w:t>
            </w:r>
          </w:p>
        </w:tc>
      </w:tr>
      <w:tr w:rsidR="00540A02" w:rsidRPr="00540A02" w14:paraId="4562E42C" w14:textId="77777777" w:rsidTr="00540A02">
        <w:trPr>
          <w:trHeight w:val="283"/>
        </w:trPr>
        <w:tc>
          <w:tcPr>
            <w:tcW w:w="2013" w:type="pct"/>
            <w:noWrap/>
            <w:vAlign w:val="bottom"/>
            <w:hideMark/>
          </w:tcPr>
          <w:p w14:paraId="1B423B1E"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XII (SOCCSKSARGEN)</w:t>
            </w:r>
          </w:p>
        </w:tc>
        <w:tc>
          <w:tcPr>
            <w:tcW w:w="1115" w:type="pct"/>
            <w:noWrap/>
            <w:vAlign w:val="bottom"/>
            <w:hideMark/>
          </w:tcPr>
          <w:p w14:paraId="56E2B9A6"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14,146,292.00</w:t>
            </w:r>
          </w:p>
        </w:tc>
        <w:tc>
          <w:tcPr>
            <w:tcW w:w="1207" w:type="pct"/>
            <w:noWrap/>
            <w:vAlign w:val="bottom"/>
            <w:hideMark/>
          </w:tcPr>
          <w:p w14:paraId="52F907A5"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15,699,444.50</w:t>
            </w:r>
          </w:p>
        </w:tc>
        <w:tc>
          <w:tcPr>
            <w:tcW w:w="665" w:type="pct"/>
            <w:noWrap/>
            <w:vAlign w:val="bottom"/>
            <w:hideMark/>
          </w:tcPr>
          <w:p w14:paraId="36A725D3"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10.98</w:t>
            </w:r>
          </w:p>
        </w:tc>
      </w:tr>
      <w:tr w:rsidR="00540A02" w:rsidRPr="00540A02" w14:paraId="373DCBF3" w14:textId="77777777" w:rsidTr="00540A02">
        <w:trPr>
          <w:trHeight w:val="283"/>
        </w:trPr>
        <w:tc>
          <w:tcPr>
            <w:tcW w:w="2013" w:type="pct"/>
            <w:noWrap/>
            <w:vAlign w:val="bottom"/>
            <w:hideMark/>
          </w:tcPr>
          <w:p w14:paraId="7DD841A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IVA (CALABARZON)</w:t>
            </w:r>
          </w:p>
        </w:tc>
        <w:tc>
          <w:tcPr>
            <w:tcW w:w="1115" w:type="pct"/>
            <w:noWrap/>
            <w:vAlign w:val="bottom"/>
            <w:hideMark/>
          </w:tcPr>
          <w:p w14:paraId="6C5A889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3,627,442.00</w:t>
            </w:r>
          </w:p>
        </w:tc>
        <w:tc>
          <w:tcPr>
            <w:tcW w:w="1207" w:type="pct"/>
            <w:noWrap/>
            <w:vAlign w:val="bottom"/>
            <w:hideMark/>
          </w:tcPr>
          <w:p w14:paraId="6835FCD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3,780,716.45</w:t>
            </w:r>
          </w:p>
        </w:tc>
        <w:tc>
          <w:tcPr>
            <w:tcW w:w="665" w:type="pct"/>
            <w:noWrap/>
            <w:vAlign w:val="bottom"/>
            <w:hideMark/>
          </w:tcPr>
          <w:p w14:paraId="7A30A52E"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4.23</w:t>
            </w:r>
          </w:p>
        </w:tc>
      </w:tr>
      <w:tr w:rsidR="00540A02" w:rsidRPr="00540A02" w14:paraId="29DFC2D2" w14:textId="77777777" w:rsidTr="00540A02">
        <w:trPr>
          <w:trHeight w:val="283"/>
        </w:trPr>
        <w:tc>
          <w:tcPr>
            <w:tcW w:w="2013" w:type="pct"/>
            <w:noWrap/>
            <w:vAlign w:val="bottom"/>
            <w:hideMark/>
          </w:tcPr>
          <w:p w14:paraId="58C5F507"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CAR</w:t>
            </w:r>
          </w:p>
        </w:tc>
        <w:tc>
          <w:tcPr>
            <w:tcW w:w="1115" w:type="pct"/>
            <w:noWrap/>
            <w:vAlign w:val="bottom"/>
            <w:hideMark/>
          </w:tcPr>
          <w:p w14:paraId="3D55FFE2"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52,674,480.00</w:t>
            </w:r>
          </w:p>
        </w:tc>
        <w:tc>
          <w:tcPr>
            <w:tcW w:w="1207" w:type="pct"/>
            <w:noWrap/>
            <w:vAlign w:val="bottom"/>
            <w:hideMark/>
          </w:tcPr>
          <w:p w14:paraId="274661FC"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54,437,492.04</w:t>
            </w:r>
          </w:p>
        </w:tc>
        <w:tc>
          <w:tcPr>
            <w:tcW w:w="665" w:type="pct"/>
            <w:noWrap/>
            <w:vAlign w:val="bottom"/>
            <w:hideMark/>
          </w:tcPr>
          <w:p w14:paraId="5229D511"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3.35</w:t>
            </w:r>
          </w:p>
        </w:tc>
      </w:tr>
      <w:tr w:rsidR="00540A02" w:rsidRPr="00540A02" w14:paraId="6A078105" w14:textId="77777777" w:rsidTr="00540A02">
        <w:trPr>
          <w:trHeight w:val="283"/>
        </w:trPr>
        <w:tc>
          <w:tcPr>
            <w:tcW w:w="2013" w:type="pct"/>
            <w:noWrap/>
            <w:vAlign w:val="bottom"/>
            <w:hideMark/>
          </w:tcPr>
          <w:p w14:paraId="0841BD5F"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V (Bicol Region)</w:t>
            </w:r>
          </w:p>
        </w:tc>
        <w:tc>
          <w:tcPr>
            <w:tcW w:w="1115" w:type="pct"/>
            <w:noWrap/>
            <w:vAlign w:val="bottom"/>
            <w:hideMark/>
          </w:tcPr>
          <w:p w14:paraId="5D0A9923"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10,279,790.00</w:t>
            </w:r>
          </w:p>
        </w:tc>
        <w:tc>
          <w:tcPr>
            <w:tcW w:w="1207" w:type="pct"/>
            <w:noWrap/>
            <w:vAlign w:val="bottom"/>
            <w:hideMark/>
          </w:tcPr>
          <w:p w14:paraId="7AA1B352"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10,548,307.88</w:t>
            </w:r>
          </w:p>
        </w:tc>
        <w:tc>
          <w:tcPr>
            <w:tcW w:w="665" w:type="pct"/>
            <w:noWrap/>
            <w:vAlign w:val="bottom"/>
            <w:hideMark/>
          </w:tcPr>
          <w:p w14:paraId="2869484D"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2.61</w:t>
            </w:r>
          </w:p>
        </w:tc>
      </w:tr>
      <w:tr w:rsidR="00540A02" w:rsidRPr="00540A02" w14:paraId="2EDF8DA8" w14:textId="77777777" w:rsidTr="00540A02">
        <w:trPr>
          <w:trHeight w:val="283"/>
        </w:trPr>
        <w:tc>
          <w:tcPr>
            <w:tcW w:w="2013" w:type="pct"/>
            <w:noWrap/>
            <w:vAlign w:val="bottom"/>
            <w:hideMark/>
          </w:tcPr>
          <w:p w14:paraId="3CED8EDC"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IX (Zamboanga Peninsula)</w:t>
            </w:r>
          </w:p>
        </w:tc>
        <w:tc>
          <w:tcPr>
            <w:tcW w:w="1115" w:type="pct"/>
            <w:noWrap/>
            <w:vAlign w:val="bottom"/>
            <w:hideMark/>
          </w:tcPr>
          <w:p w14:paraId="008E52EF"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13,937,028.00</w:t>
            </w:r>
          </w:p>
        </w:tc>
        <w:tc>
          <w:tcPr>
            <w:tcW w:w="1207" w:type="pct"/>
            <w:noWrap/>
            <w:vAlign w:val="bottom"/>
            <w:hideMark/>
          </w:tcPr>
          <w:p w14:paraId="6F105976"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14,298,924.56</w:t>
            </w:r>
          </w:p>
        </w:tc>
        <w:tc>
          <w:tcPr>
            <w:tcW w:w="665" w:type="pct"/>
            <w:noWrap/>
            <w:vAlign w:val="bottom"/>
            <w:hideMark/>
          </w:tcPr>
          <w:p w14:paraId="6144FE60"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2.60</w:t>
            </w:r>
          </w:p>
        </w:tc>
      </w:tr>
      <w:tr w:rsidR="00540A02" w:rsidRPr="00540A02" w14:paraId="7FFA84C2" w14:textId="77777777" w:rsidTr="00540A02">
        <w:trPr>
          <w:trHeight w:val="283"/>
        </w:trPr>
        <w:tc>
          <w:tcPr>
            <w:tcW w:w="2013" w:type="pct"/>
            <w:noWrap/>
            <w:vAlign w:val="bottom"/>
            <w:hideMark/>
          </w:tcPr>
          <w:p w14:paraId="514A2545"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XI (Davao Region)</w:t>
            </w:r>
          </w:p>
        </w:tc>
        <w:tc>
          <w:tcPr>
            <w:tcW w:w="1115" w:type="pct"/>
            <w:noWrap/>
            <w:vAlign w:val="bottom"/>
            <w:hideMark/>
          </w:tcPr>
          <w:p w14:paraId="2484AD99"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31,470,045.00</w:t>
            </w:r>
          </w:p>
        </w:tc>
        <w:tc>
          <w:tcPr>
            <w:tcW w:w="1207" w:type="pct"/>
            <w:noWrap/>
            <w:vAlign w:val="bottom"/>
            <w:hideMark/>
          </w:tcPr>
          <w:p w14:paraId="11047EC8"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29,267,141.85</w:t>
            </w:r>
          </w:p>
        </w:tc>
        <w:tc>
          <w:tcPr>
            <w:tcW w:w="665" w:type="pct"/>
            <w:noWrap/>
            <w:vAlign w:val="bottom"/>
            <w:hideMark/>
          </w:tcPr>
          <w:p w14:paraId="74807AF8"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-0.07</w:t>
            </w:r>
          </w:p>
        </w:tc>
      </w:tr>
      <w:tr w:rsidR="00540A02" w:rsidRPr="00540A02" w14:paraId="0BA0B013" w14:textId="77777777" w:rsidTr="00540A02">
        <w:trPr>
          <w:trHeight w:val="283"/>
        </w:trPr>
        <w:tc>
          <w:tcPr>
            <w:tcW w:w="2013" w:type="pct"/>
            <w:noWrap/>
            <w:vAlign w:val="bottom"/>
            <w:hideMark/>
          </w:tcPr>
          <w:p w14:paraId="48C412AB"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VII (Central Visayas)</w:t>
            </w:r>
          </w:p>
        </w:tc>
        <w:tc>
          <w:tcPr>
            <w:tcW w:w="1115" w:type="pct"/>
            <w:noWrap/>
            <w:vAlign w:val="bottom"/>
            <w:hideMark/>
          </w:tcPr>
          <w:p w14:paraId="250CFE44"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2,233,878.00</w:t>
            </w:r>
          </w:p>
        </w:tc>
        <w:tc>
          <w:tcPr>
            <w:tcW w:w="1207" w:type="pct"/>
            <w:noWrap/>
            <w:vAlign w:val="bottom"/>
            <w:hideMark/>
          </w:tcPr>
          <w:p w14:paraId="7E834FDD"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1,921,135.08</w:t>
            </w:r>
          </w:p>
        </w:tc>
        <w:tc>
          <w:tcPr>
            <w:tcW w:w="665" w:type="pct"/>
            <w:noWrap/>
            <w:vAlign w:val="bottom"/>
            <w:hideMark/>
          </w:tcPr>
          <w:p w14:paraId="0E9BD756"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-0.14</w:t>
            </w:r>
          </w:p>
        </w:tc>
      </w:tr>
      <w:tr w:rsidR="00540A02" w:rsidRPr="00540A02" w14:paraId="6DE9DC7B" w14:textId="77777777" w:rsidTr="00540A02">
        <w:trPr>
          <w:trHeight w:val="283"/>
        </w:trPr>
        <w:tc>
          <w:tcPr>
            <w:tcW w:w="2013" w:type="pct"/>
            <w:noWrap/>
            <w:vAlign w:val="bottom"/>
            <w:hideMark/>
          </w:tcPr>
          <w:p w14:paraId="2E8F745D"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National Capital Region</w:t>
            </w:r>
          </w:p>
        </w:tc>
        <w:tc>
          <w:tcPr>
            <w:tcW w:w="1115" w:type="pct"/>
            <w:noWrap/>
            <w:vAlign w:val="bottom"/>
            <w:hideMark/>
          </w:tcPr>
          <w:p w14:paraId="506FD4BF"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210,805.00</w:t>
            </w:r>
          </w:p>
        </w:tc>
        <w:tc>
          <w:tcPr>
            <w:tcW w:w="1207" w:type="pct"/>
            <w:noWrap/>
            <w:vAlign w:val="bottom"/>
            <w:hideMark/>
          </w:tcPr>
          <w:p w14:paraId="6D418FBB"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143,347.40</w:t>
            </w:r>
          </w:p>
        </w:tc>
        <w:tc>
          <w:tcPr>
            <w:tcW w:w="665" w:type="pct"/>
            <w:noWrap/>
            <w:vAlign w:val="bottom"/>
            <w:hideMark/>
          </w:tcPr>
          <w:p w14:paraId="0733EBCD"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-0.32</w:t>
            </w:r>
          </w:p>
        </w:tc>
      </w:tr>
      <w:tr w:rsidR="00540A02" w:rsidRPr="00540A02" w14:paraId="217A7414" w14:textId="77777777" w:rsidTr="00540A02">
        <w:trPr>
          <w:trHeight w:val="296"/>
        </w:trPr>
        <w:tc>
          <w:tcPr>
            <w:tcW w:w="2013" w:type="pct"/>
            <w:tcBorders>
              <w:bottom w:val="single" w:sz="12" w:space="0" w:color="000000"/>
            </w:tcBorders>
            <w:noWrap/>
            <w:vAlign w:val="bottom"/>
            <w:hideMark/>
          </w:tcPr>
          <w:p w14:paraId="3FBC3FB0"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BARMM</w:t>
            </w:r>
          </w:p>
        </w:tc>
        <w:tc>
          <w:tcPr>
            <w:tcW w:w="1115" w:type="pct"/>
            <w:tcBorders>
              <w:bottom w:val="single" w:sz="12" w:space="0" w:color="000000"/>
            </w:tcBorders>
            <w:noWrap/>
            <w:vAlign w:val="bottom"/>
            <w:hideMark/>
          </w:tcPr>
          <w:p w14:paraId="33E41715"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1,993,269.00</w:t>
            </w:r>
          </w:p>
        </w:tc>
        <w:tc>
          <w:tcPr>
            <w:tcW w:w="1207" w:type="pct"/>
            <w:tcBorders>
              <w:bottom w:val="single" w:sz="12" w:space="0" w:color="000000"/>
            </w:tcBorders>
            <w:noWrap/>
            <w:vAlign w:val="bottom"/>
            <w:hideMark/>
          </w:tcPr>
          <w:p w14:paraId="505659CB"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637,846.08</w:t>
            </w:r>
          </w:p>
        </w:tc>
        <w:tc>
          <w:tcPr>
            <w:tcW w:w="665" w:type="pct"/>
            <w:tcBorders>
              <w:bottom w:val="single" w:sz="12" w:space="0" w:color="000000"/>
            </w:tcBorders>
            <w:noWrap/>
            <w:vAlign w:val="bottom"/>
            <w:hideMark/>
          </w:tcPr>
          <w:p w14:paraId="1BBFA06F"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-0.68</w:t>
            </w:r>
          </w:p>
        </w:tc>
      </w:tr>
      <w:tr w:rsidR="00540A02" w:rsidRPr="00540A02" w14:paraId="43F060B9" w14:textId="77777777" w:rsidTr="00540A02">
        <w:trPr>
          <w:trHeight w:val="268"/>
        </w:trPr>
        <w:tc>
          <w:tcPr>
            <w:tcW w:w="2013" w:type="pct"/>
            <w:tcBorders>
              <w:top w:val="single" w:sz="12" w:space="0" w:color="000000"/>
              <w:bottom w:val="single" w:sz="12" w:space="0" w:color="000000"/>
            </w:tcBorders>
            <w:noWrap/>
            <w:vAlign w:val="bottom"/>
            <w:hideMark/>
          </w:tcPr>
          <w:p w14:paraId="71C3EE1E"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Total Household Net Income</w:t>
            </w:r>
          </w:p>
        </w:tc>
        <w:tc>
          <w:tcPr>
            <w:tcW w:w="1115" w:type="pct"/>
            <w:tcBorders>
              <w:top w:val="single" w:sz="12" w:space="0" w:color="000000"/>
              <w:bottom w:val="single" w:sz="12" w:space="0" w:color="000000"/>
            </w:tcBorders>
            <w:noWrap/>
            <w:vAlign w:val="bottom"/>
            <w:hideMark/>
          </w:tcPr>
          <w:p w14:paraId="0492E059"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305,563,972.00</w:t>
            </w:r>
          </w:p>
        </w:tc>
        <w:tc>
          <w:tcPr>
            <w:tcW w:w="1207" w:type="pct"/>
            <w:tcBorders>
              <w:top w:val="single" w:sz="12" w:space="0" w:color="000000"/>
              <w:bottom w:val="single" w:sz="12" w:space="0" w:color="000000"/>
            </w:tcBorders>
            <w:noWrap/>
            <w:vAlign w:val="bottom"/>
            <w:hideMark/>
          </w:tcPr>
          <w:p w14:paraId="11B57C18"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355,426,551.04</w:t>
            </w:r>
          </w:p>
        </w:tc>
        <w:tc>
          <w:tcPr>
            <w:tcW w:w="665" w:type="pct"/>
            <w:tcBorders>
              <w:top w:val="single" w:sz="12" w:space="0" w:color="000000"/>
              <w:bottom w:val="single" w:sz="12" w:space="0" w:color="000000"/>
            </w:tcBorders>
            <w:noWrap/>
            <w:vAlign w:val="bottom"/>
            <w:hideMark/>
          </w:tcPr>
          <w:p w14:paraId="7A665C50" w14:textId="77777777" w:rsidR="00540A02" w:rsidRPr="00540A02" w:rsidRDefault="00540A02" w:rsidP="00D13FC4">
            <w:pPr>
              <w:contextualSpacing/>
              <w:jc w:val="center"/>
              <w:rPr>
                <w:rFonts w:ascii="Arial" w:hAnsi="Arial" w:cs="Arial"/>
                <w:b/>
                <w:bCs/>
                <w:color w:val="000000"/>
                <w:lang w:eastAsia="en-PH"/>
              </w:rPr>
            </w:pPr>
            <w:r w:rsidRPr="00540A02">
              <w:rPr>
                <w:rFonts w:ascii="Arial" w:hAnsi="Arial" w:cs="Arial"/>
                <w:b/>
                <w:bCs/>
                <w:color w:val="000000"/>
                <w:lang w:eastAsia="en-PH"/>
              </w:rPr>
              <w:t>0.16</w:t>
            </w:r>
          </w:p>
        </w:tc>
      </w:tr>
      <w:tr w:rsidR="00540A02" w:rsidRPr="00540A02" w14:paraId="6DB21F99" w14:textId="77777777" w:rsidTr="00D13FC4">
        <w:trPr>
          <w:trHeight w:val="268"/>
        </w:trPr>
        <w:tc>
          <w:tcPr>
            <w:tcW w:w="5000" w:type="pct"/>
            <w:gridSpan w:val="4"/>
            <w:tcBorders>
              <w:top w:val="single" w:sz="12" w:space="0" w:color="000000"/>
              <w:bottom w:val="single" w:sz="12" w:space="0" w:color="000000"/>
            </w:tcBorders>
            <w:noWrap/>
            <w:vAlign w:val="bottom"/>
            <w:hideMark/>
          </w:tcPr>
          <w:p w14:paraId="77BB7631" w14:textId="77777777" w:rsidR="00540A02" w:rsidRPr="00540A02" w:rsidRDefault="00540A02" w:rsidP="00D13FC4">
            <w:pPr>
              <w:contextualSpacing/>
              <w:rPr>
                <w:rFonts w:ascii="Arial" w:hAnsi="Arial" w:cs="Arial"/>
                <w:b/>
                <w:bCs/>
                <w:color w:val="000000"/>
                <w:lang w:eastAsia="en-PH"/>
              </w:rPr>
            </w:pPr>
            <w:r w:rsidRPr="00540A02">
              <w:rPr>
                <w:rFonts w:ascii="Arial" w:hAnsi="Arial" w:cs="Arial"/>
                <w:b/>
                <w:bCs/>
                <w:color w:val="000000"/>
                <w:lang w:eastAsia="en-PH"/>
              </w:rPr>
              <w:t>Recipient Status</w:t>
            </w:r>
          </w:p>
        </w:tc>
      </w:tr>
      <w:tr w:rsidR="00540A02" w:rsidRPr="00540A02" w14:paraId="348ADB1C" w14:textId="77777777" w:rsidTr="00540A02">
        <w:trPr>
          <w:trHeight w:val="296"/>
        </w:trPr>
        <w:tc>
          <w:tcPr>
            <w:tcW w:w="2013" w:type="pct"/>
            <w:tcBorders>
              <w:top w:val="single" w:sz="12" w:space="0" w:color="000000"/>
            </w:tcBorders>
            <w:noWrap/>
            <w:vAlign w:val="bottom"/>
            <w:hideMark/>
          </w:tcPr>
          <w:p w14:paraId="65731CB4"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Rice Farmers</w:t>
            </w:r>
          </w:p>
        </w:tc>
        <w:tc>
          <w:tcPr>
            <w:tcW w:w="1115" w:type="pct"/>
            <w:tcBorders>
              <w:top w:val="single" w:sz="12" w:space="0" w:color="000000"/>
            </w:tcBorders>
            <w:noWrap/>
            <w:vAlign w:val="bottom"/>
            <w:hideMark/>
          </w:tcPr>
          <w:p w14:paraId="0C21036E"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305,563,972.00</w:t>
            </w:r>
          </w:p>
        </w:tc>
        <w:tc>
          <w:tcPr>
            <w:tcW w:w="1207" w:type="pct"/>
            <w:tcBorders>
              <w:top w:val="single" w:sz="12" w:space="0" w:color="000000"/>
            </w:tcBorders>
            <w:noWrap/>
            <w:vAlign w:val="bottom"/>
            <w:hideMark/>
          </w:tcPr>
          <w:p w14:paraId="698D44DC"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463,009,018.00</w:t>
            </w:r>
          </w:p>
        </w:tc>
        <w:tc>
          <w:tcPr>
            <w:tcW w:w="665" w:type="pct"/>
            <w:tcBorders>
              <w:top w:val="single" w:sz="12" w:space="0" w:color="000000"/>
            </w:tcBorders>
            <w:noWrap/>
            <w:vAlign w:val="bottom"/>
            <w:hideMark/>
          </w:tcPr>
          <w:p w14:paraId="6B97AB13"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0.52</w:t>
            </w:r>
          </w:p>
        </w:tc>
      </w:tr>
      <w:tr w:rsidR="00540A02" w:rsidRPr="00540A02" w14:paraId="1AFA5536" w14:textId="77777777" w:rsidTr="00540A02">
        <w:trPr>
          <w:trHeight w:val="296"/>
        </w:trPr>
        <w:tc>
          <w:tcPr>
            <w:tcW w:w="2013" w:type="pct"/>
            <w:tcBorders>
              <w:bottom w:val="single" w:sz="12" w:space="0" w:color="000000"/>
            </w:tcBorders>
            <w:noWrap/>
            <w:vAlign w:val="bottom"/>
          </w:tcPr>
          <w:p w14:paraId="4E048787"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Non-Rice Farmers</w:t>
            </w:r>
          </w:p>
        </w:tc>
        <w:tc>
          <w:tcPr>
            <w:tcW w:w="1115" w:type="pct"/>
            <w:tcBorders>
              <w:bottom w:val="single" w:sz="12" w:space="0" w:color="000000"/>
            </w:tcBorders>
            <w:noWrap/>
            <w:vAlign w:val="bottom"/>
          </w:tcPr>
          <w:p w14:paraId="1ED03564"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399,502,424.00</w:t>
            </w:r>
          </w:p>
        </w:tc>
        <w:tc>
          <w:tcPr>
            <w:tcW w:w="1207" w:type="pct"/>
            <w:tcBorders>
              <w:bottom w:val="single" w:sz="12" w:space="0" w:color="000000"/>
            </w:tcBorders>
            <w:noWrap/>
            <w:vAlign w:val="bottom"/>
          </w:tcPr>
          <w:p w14:paraId="349CEDA8" w14:textId="77777777" w:rsidR="00540A02" w:rsidRPr="00540A02" w:rsidRDefault="00540A02" w:rsidP="00D13FC4">
            <w:pPr>
              <w:contextualSpacing/>
              <w:rPr>
                <w:rFonts w:ascii="Arial" w:hAnsi="Arial" w:cs="Arial"/>
                <w:color w:val="000000"/>
                <w:lang w:eastAsia="en-PH"/>
              </w:rPr>
            </w:pPr>
            <w:r w:rsidRPr="00540A02">
              <w:rPr>
                <w:rFonts w:ascii="Arial" w:hAnsi="Arial" w:cs="Arial"/>
                <w:color w:val="000000"/>
                <w:lang w:eastAsia="en-PH"/>
              </w:rPr>
              <w:t>323,922,578.48</w:t>
            </w:r>
          </w:p>
        </w:tc>
        <w:tc>
          <w:tcPr>
            <w:tcW w:w="665" w:type="pct"/>
            <w:tcBorders>
              <w:bottom w:val="single" w:sz="12" w:space="0" w:color="000000"/>
            </w:tcBorders>
            <w:noWrap/>
            <w:vAlign w:val="bottom"/>
          </w:tcPr>
          <w:p w14:paraId="035625F2" w14:textId="77777777" w:rsidR="00540A02" w:rsidRPr="00540A02" w:rsidRDefault="00540A02" w:rsidP="00D13FC4">
            <w:pPr>
              <w:contextualSpacing/>
              <w:jc w:val="center"/>
              <w:rPr>
                <w:rFonts w:ascii="Arial" w:hAnsi="Arial" w:cs="Arial"/>
                <w:color w:val="000000"/>
                <w:lang w:eastAsia="en-PH"/>
              </w:rPr>
            </w:pPr>
            <w:r w:rsidRPr="00540A02">
              <w:rPr>
                <w:rFonts w:ascii="Arial" w:hAnsi="Arial" w:cs="Arial"/>
                <w:color w:val="000000"/>
                <w:lang w:eastAsia="en-PH"/>
              </w:rPr>
              <w:t>-0.19</w:t>
            </w:r>
          </w:p>
        </w:tc>
      </w:tr>
    </w:tbl>
    <w:p w14:paraId="6B804BE0" w14:textId="04217C23" w:rsidR="00540A02" w:rsidRDefault="00540A02" w:rsidP="00540A02">
      <w:pPr>
        <w:pStyle w:val="Body"/>
        <w:spacing w:after="0"/>
        <w:rPr>
          <w:rFonts w:ascii="Arial" w:hAnsi="Arial" w:cs="Arial"/>
        </w:rPr>
      </w:pPr>
      <w:r>
        <w:rPr>
          <w:rFonts w:ascii="Times New Roman" w:hAnsi="Times New Roman"/>
        </w:rPr>
        <w:t xml:space="preserve">  </w:t>
      </w:r>
      <w:r w:rsidRPr="00540A02">
        <w:rPr>
          <w:rFonts w:ascii="Arial" w:hAnsi="Arial" w:cs="Arial"/>
        </w:rPr>
        <w:t>Source: Author’s calculation based on PSA FIES</w:t>
      </w:r>
    </w:p>
    <w:p w14:paraId="13A3F67A" w14:textId="77777777" w:rsidR="00540A02" w:rsidRDefault="00540A02">
      <w:pPr>
        <w:rPr>
          <w:rFonts w:ascii="Arial" w:hAnsi="Arial" w:cs="Arial"/>
        </w:rPr>
      </w:pPr>
      <w:r>
        <w:rPr>
          <w:rFonts w:ascii="Arial" w:hAnsi="Arial" w:cs="Arial"/>
        </w:rPr>
        <w:br w:type="page"/>
      </w:r>
    </w:p>
    <w:p w14:paraId="3339361F" w14:textId="0CBBFAEB" w:rsidR="00540A02" w:rsidRPr="00540A02" w:rsidRDefault="00540A02" w:rsidP="00540A02">
      <w:pPr>
        <w:pStyle w:val="Body"/>
        <w:rPr>
          <w:rFonts w:ascii="Arial" w:hAnsi="Arial" w:cs="Arial"/>
        </w:rPr>
      </w:pPr>
      <w:r w:rsidRPr="00540A02">
        <w:rPr>
          <w:rFonts w:ascii="Arial" w:hAnsi="Arial" w:cs="Arial"/>
        </w:rPr>
        <w:lastRenderedPageBreak/>
        <w:t xml:space="preserve">This suggests that these regions have lower production costs, and with the implementation of RTL, expenses decreased while net income increased. Additionally, the number of rice farmers in the identified regions is relatively larger compared to the latter regions, particularly since these areas are rural and have irrigated rice fields. Analyzing the data specifically for rice farmers, it becomes evident that they are better off after the RTL implementation. Table 2 illustrated a 52% increase in the net income of rice farmers, whereas non-recipients experienced a decrease of 19%. </w:t>
      </w:r>
    </w:p>
    <w:p w14:paraId="47BBE3DE" w14:textId="77989641" w:rsidR="00540A02" w:rsidRPr="00540A02" w:rsidRDefault="00540A02" w:rsidP="00540A02">
      <w:pPr>
        <w:pStyle w:val="Body"/>
        <w:rPr>
          <w:rFonts w:ascii="Arial" w:hAnsi="Arial" w:cs="Arial"/>
        </w:rPr>
      </w:pPr>
      <w:r w:rsidRPr="00540A02">
        <w:rPr>
          <w:rFonts w:ascii="Arial" w:hAnsi="Arial" w:cs="Arial"/>
        </w:rPr>
        <w:t xml:space="preserve">This disparity indicates that other farming activities did not fare as well after the implementation of RTL. In line with this result Balie et al. (2020) using microsimulation model observed that there is an increase of income and decrease of poverty incidence for those recipients of rice tariffication law with effect largely in rural areas and smaller in urban areas. Moreover, according to </w:t>
      </w:r>
      <w:proofErr w:type="spellStart"/>
      <w:r w:rsidRPr="00540A02">
        <w:rPr>
          <w:rFonts w:ascii="Arial" w:hAnsi="Arial" w:cs="Arial"/>
        </w:rPr>
        <w:t>Cororaton</w:t>
      </w:r>
      <w:proofErr w:type="spellEnd"/>
      <w:r w:rsidRPr="00540A02">
        <w:rPr>
          <w:rFonts w:ascii="Arial" w:hAnsi="Arial" w:cs="Arial"/>
        </w:rPr>
        <w:t xml:space="preserve"> (2004) based on simulation results when the government reduce and remove the quantitative restrictions it will lead to higher poverty incidence which the government should subsidize to reverse the effects to the affected groups.</w:t>
      </w:r>
    </w:p>
    <w:p w14:paraId="0E219976" w14:textId="77777777" w:rsidR="00540A02" w:rsidRPr="00540A02" w:rsidRDefault="00540A02" w:rsidP="00540A02">
      <w:pPr>
        <w:pStyle w:val="Body"/>
        <w:rPr>
          <w:rFonts w:ascii="Arial" w:hAnsi="Arial" w:cs="Arial"/>
        </w:rPr>
      </w:pPr>
      <w:r w:rsidRPr="00540A02">
        <w:rPr>
          <w:rFonts w:ascii="Arial" w:hAnsi="Arial" w:cs="Arial"/>
        </w:rPr>
        <w:t xml:space="preserve">The individual farmers' household labor supply was estimated using the multinomial logistic regression model which represents the discreet-utility maximizing framework. The occupational determination of the farmers was composed of four categories such as Wage, Rice Farming, </w:t>
      </w:r>
      <w:proofErr w:type="gramStart"/>
      <w:r w:rsidRPr="00540A02">
        <w:rPr>
          <w:rFonts w:ascii="Arial" w:hAnsi="Arial" w:cs="Arial"/>
        </w:rPr>
        <w:t>Non Rice</w:t>
      </w:r>
      <w:proofErr w:type="gramEnd"/>
      <w:r w:rsidRPr="00540A02">
        <w:rPr>
          <w:rFonts w:ascii="Arial" w:hAnsi="Arial" w:cs="Arial"/>
        </w:rPr>
        <w:t xml:space="preserve"> Farming, and Unemployed.</w:t>
      </w:r>
    </w:p>
    <w:p w14:paraId="3A09073A" w14:textId="77777777" w:rsidR="00540A02" w:rsidRPr="00540A02" w:rsidRDefault="00540A02" w:rsidP="00540A02">
      <w:pPr>
        <w:pStyle w:val="Body"/>
        <w:rPr>
          <w:rFonts w:ascii="Arial" w:hAnsi="Arial" w:cs="Arial"/>
        </w:rPr>
      </w:pPr>
      <w:r w:rsidRPr="00540A02">
        <w:rPr>
          <w:rFonts w:ascii="Arial" w:hAnsi="Arial" w:cs="Arial"/>
        </w:rPr>
        <w:t>The findings revealed that region, age, and sex are associated with negative coefficients, indicating that the likelihood of being employed is less likely in a chosen job category is less probable compared to the base category of being unemployed. These results align with Colombo's (2010) study. Das (2012) also noted that acquiring capital through education no longer guarantees access to higher-quality jobs; certain worker groups may be excluded from better job opportunities not due to social unacceptability, but rather because of their lack of skills. Furthermore, when an increase in income, married, and have children, living in urban areas, and finished education suggest a higher probability of being employed in the wage sector as compared to the base category.</w:t>
      </w:r>
    </w:p>
    <w:p w14:paraId="0767213A" w14:textId="77777777" w:rsidR="00540A02" w:rsidRDefault="00540A02" w:rsidP="00540A02">
      <w:pPr>
        <w:pStyle w:val="Body"/>
        <w:rPr>
          <w:rFonts w:ascii="Arial" w:hAnsi="Arial" w:cs="Arial"/>
        </w:rPr>
      </w:pPr>
      <w:r w:rsidRPr="00540A02">
        <w:rPr>
          <w:rFonts w:ascii="Arial" w:hAnsi="Arial" w:cs="Arial"/>
        </w:rPr>
        <w:t>The statistics presented in Table 3 suggested that the model is well-fitted, as evident from the likelihood ratio test p-values being 0.00. The likelihood ratio test examines whether all predictor regression coefficients in the model are collectively equal to zero, with reference to the base outcome (unemployed, category 4). The regression results revealed that for the wage sector (category 1), the explanatory variables—namely, region, no. of children, sex, age, and marital status, were statistically significant in various comparisons at a 5% level of significance, with each coefficient showing distinct variations.</w:t>
      </w:r>
    </w:p>
    <w:p w14:paraId="2C035F6B" w14:textId="74B18C78" w:rsidR="00540A02" w:rsidRPr="00540A02" w:rsidRDefault="00540A02" w:rsidP="00540A02">
      <w:pPr>
        <w:pStyle w:val="Body"/>
        <w:rPr>
          <w:rFonts w:ascii="Arial" w:hAnsi="Arial" w:cs="Arial"/>
        </w:rPr>
      </w:pPr>
      <w:r w:rsidRPr="00540A02">
        <w:rPr>
          <w:rFonts w:ascii="Arial" w:hAnsi="Arial" w:cs="Arial"/>
        </w:rPr>
        <w:t xml:space="preserve">The statistics presented in Table </w:t>
      </w:r>
      <w:r w:rsidR="00154FC1">
        <w:rPr>
          <w:rFonts w:ascii="Arial" w:hAnsi="Arial" w:cs="Arial"/>
        </w:rPr>
        <w:t>5</w:t>
      </w:r>
      <w:r w:rsidRPr="00540A02">
        <w:rPr>
          <w:rFonts w:ascii="Arial" w:hAnsi="Arial" w:cs="Arial"/>
        </w:rPr>
        <w:t xml:space="preserve"> suggested that the model is well-fitted, as evident from the likelihood ratio test p-values being 0.00. The likelihood ratio test examines whether all predictor regression coefficients in the model are collectively equal to zero, with reference to the base outcome (unemployed, category 4). The regression results revealed that for the wage sector (category 1), the explanatory variables—namely, region, no. of children, sex, age, and marital status, were statistically significant in various comparisons at a 5% level of significance, with each coefficient showing distinct variations.</w:t>
      </w:r>
    </w:p>
    <w:p w14:paraId="28C0B661" w14:textId="6801546A" w:rsidR="00540A02" w:rsidRDefault="00540A02" w:rsidP="00540A02">
      <w:pPr>
        <w:pStyle w:val="Body"/>
        <w:spacing w:after="0"/>
        <w:rPr>
          <w:rFonts w:ascii="Arial" w:hAnsi="Arial" w:cs="Arial"/>
        </w:rPr>
      </w:pPr>
      <w:r w:rsidRPr="00540A02">
        <w:rPr>
          <w:rFonts w:ascii="Arial" w:hAnsi="Arial" w:cs="Arial"/>
        </w:rPr>
        <w:t>The findings revealed that region, age, and sex are associated with negative coefficients, indicating that the likelihood of being employed is less likely in a chosen job category is less probable compared to the base category of being unemployed. These results align with Colombo's (2010) study. Das (2012) also noted that acquiring capital through education no longer guarantees access to higher-quality jobs; certain worker groups may be excluded from better job opportunities not due to social unacceptability, but rather because of their lack of skills. Furthermore, when an increase in income, married, and have children, living in urban areas, and finished education suggest a higher probability of being employed in the wage sector as compared to the base category.</w:t>
      </w:r>
    </w:p>
    <w:p w14:paraId="16106643" w14:textId="77777777" w:rsidR="00540A02" w:rsidRDefault="00540A02">
      <w:pPr>
        <w:rPr>
          <w:rFonts w:ascii="Arial" w:hAnsi="Arial" w:cs="Arial"/>
        </w:rPr>
      </w:pPr>
      <w:r>
        <w:rPr>
          <w:rFonts w:ascii="Arial" w:hAnsi="Arial" w:cs="Arial"/>
        </w:rPr>
        <w:br w:type="page"/>
      </w:r>
    </w:p>
    <w:p w14:paraId="11BF03CC" w14:textId="77777777" w:rsidR="00540A02" w:rsidRDefault="00540A02" w:rsidP="00540A02">
      <w:pPr>
        <w:pStyle w:val="Body"/>
        <w:spacing w:after="0"/>
        <w:rPr>
          <w:rFonts w:ascii="Arial" w:hAnsi="Arial" w:cs="Arial"/>
        </w:rPr>
      </w:pPr>
    </w:p>
    <w:p w14:paraId="50753671" w14:textId="77777777" w:rsidR="00540A02" w:rsidRPr="00540A02" w:rsidRDefault="00540A02" w:rsidP="00540A02">
      <w:pPr>
        <w:rPr>
          <w:rFonts w:ascii="Arial" w:hAnsi="Arial" w:cs="Arial"/>
        </w:rPr>
      </w:pPr>
      <w:r w:rsidRPr="00540A02">
        <w:rPr>
          <w:rFonts w:ascii="Arial" w:hAnsi="Arial" w:cs="Arial"/>
          <w:b/>
          <w:bCs/>
        </w:rPr>
        <w:t>Table 3</w:t>
      </w:r>
      <w:r w:rsidRPr="00540A02">
        <w:rPr>
          <w:rFonts w:ascii="Arial" w:hAnsi="Arial" w:cs="Arial"/>
        </w:rPr>
        <w:t>: Multinomial Regression Result of the Occupational Choice of Farmers after RTL</w:t>
      </w:r>
    </w:p>
    <w:tbl>
      <w:tblPr>
        <w:tblW w:w="5000" w:type="pct"/>
        <w:tblLook w:val="04A0" w:firstRow="1" w:lastRow="0" w:firstColumn="1" w:lastColumn="0" w:noHBand="0" w:noVBand="1"/>
      </w:tblPr>
      <w:tblGrid>
        <w:gridCol w:w="4377"/>
        <w:gridCol w:w="2085"/>
        <w:gridCol w:w="1683"/>
        <w:gridCol w:w="1215"/>
      </w:tblGrid>
      <w:tr w:rsidR="00540A02" w:rsidRPr="00540A02" w14:paraId="16AAA5E1" w14:textId="77777777" w:rsidTr="00D13FC4">
        <w:trPr>
          <w:trHeight w:val="192"/>
        </w:trPr>
        <w:tc>
          <w:tcPr>
            <w:tcW w:w="2338" w:type="pct"/>
            <w:tcBorders>
              <w:top w:val="single" w:sz="12" w:space="0" w:color="000000"/>
            </w:tcBorders>
            <w:noWrap/>
            <w:vAlign w:val="center"/>
            <w:hideMark/>
          </w:tcPr>
          <w:p w14:paraId="3BB672E1" w14:textId="77777777" w:rsidR="00540A02" w:rsidRPr="00540A02" w:rsidRDefault="00540A02" w:rsidP="00D13FC4">
            <w:pPr>
              <w:rPr>
                <w:rFonts w:ascii="Arial" w:hAnsi="Arial" w:cs="Arial"/>
                <w:b/>
                <w:bCs/>
                <w:color w:val="000000"/>
                <w:lang w:eastAsia="en-PH"/>
              </w:rPr>
            </w:pPr>
            <w:bookmarkStart w:id="2" w:name="_Hlk143224170"/>
            <w:r w:rsidRPr="00540A02">
              <w:rPr>
                <w:rFonts w:ascii="Arial" w:hAnsi="Arial" w:cs="Arial"/>
                <w:b/>
                <w:bCs/>
                <w:color w:val="000000"/>
                <w:lang w:eastAsia="en-PH"/>
              </w:rPr>
              <w:t xml:space="preserve">Dependent Variable: </w:t>
            </w:r>
          </w:p>
        </w:tc>
        <w:tc>
          <w:tcPr>
            <w:tcW w:w="1114" w:type="pct"/>
            <w:vMerge w:val="restart"/>
            <w:tcBorders>
              <w:top w:val="single" w:sz="12" w:space="0" w:color="000000"/>
            </w:tcBorders>
            <w:noWrap/>
            <w:vAlign w:val="center"/>
            <w:hideMark/>
          </w:tcPr>
          <w:p w14:paraId="6161F5CE" w14:textId="77777777" w:rsidR="00540A02" w:rsidRPr="00540A02" w:rsidRDefault="00540A02" w:rsidP="00D13FC4">
            <w:pPr>
              <w:jc w:val="center"/>
              <w:rPr>
                <w:rFonts w:ascii="Arial" w:hAnsi="Arial" w:cs="Arial"/>
                <w:b/>
                <w:bCs/>
                <w:color w:val="000000"/>
                <w:lang w:eastAsia="en-PH"/>
              </w:rPr>
            </w:pPr>
            <w:r w:rsidRPr="00540A02">
              <w:rPr>
                <w:rFonts w:ascii="Arial" w:hAnsi="Arial" w:cs="Arial"/>
                <w:b/>
                <w:bCs/>
                <w:color w:val="000000"/>
                <w:lang w:eastAsia="en-PH"/>
              </w:rPr>
              <w:t>Coef.</w:t>
            </w:r>
          </w:p>
        </w:tc>
        <w:tc>
          <w:tcPr>
            <w:tcW w:w="899" w:type="pct"/>
            <w:vMerge w:val="restart"/>
            <w:tcBorders>
              <w:top w:val="single" w:sz="12" w:space="0" w:color="000000"/>
            </w:tcBorders>
            <w:noWrap/>
            <w:vAlign w:val="center"/>
            <w:hideMark/>
          </w:tcPr>
          <w:p w14:paraId="061FD866" w14:textId="77777777" w:rsidR="00540A02" w:rsidRPr="00540A02" w:rsidRDefault="00540A02" w:rsidP="00D13FC4">
            <w:pPr>
              <w:jc w:val="center"/>
              <w:rPr>
                <w:rFonts w:ascii="Arial" w:hAnsi="Arial" w:cs="Arial"/>
                <w:b/>
                <w:bCs/>
                <w:color w:val="000000"/>
                <w:lang w:eastAsia="en-PH"/>
              </w:rPr>
            </w:pPr>
            <w:r w:rsidRPr="00540A02">
              <w:rPr>
                <w:rFonts w:ascii="Arial" w:hAnsi="Arial" w:cs="Arial"/>
                <w:b/>
                <w:bCs/>
                <w:color w:val="000000"/>
                <w:lang w:eastAsia="en-PH"/>
              </w:rPr>
              <w:t>Std. Err.</w:t>
            </w:r>
          </w:p>
        </w:tc>
        <w:tc>
          <w:tcPr>
            <w:tcW w:w="649" w:type="pct"/>
            <w:vMerge w:val="restart"/>
            <w:tcBorders>
              <w:top w:val="single" w:sz="12" w:space="0" w:color="000000"/>
            </w:tcBorders>
            <w:noWrap/>
            <w:vAlign w:val="center"/>
            <w:hideMark/>
          </w:tcPr>
          <w:p w14:paraId="0EBD7E80" w14:textId="77777777" w:rsidR="00540A02" w:rsidRPr="00540A02" w:rsidRDefault="00540A02" w:rsidP="00D13FC4">
            <w:pPr>
              <w:jc w:val="center"/>
              <w:rPr>
                <w:rFonts w:ascii="Arial" w:hAnsi="Arial" w:cs="Arial"/>
                <w:b/>
                <w:bCs/>
                <w:color w:val="000000"/>
                <w:lang w:eastAsia="en-PH"/>
              </w:rPr>
            </w:pPr>
            <w:r w:rsidRPr="00540A02">
              <w:rPr>
                <w:rFonts w:ascii="Arial" w:hAnsi="Arial" w:cs="Arial"/>
                <w:b/>
                <w:bCs/>
                <w:color w:val="000000"/>
                <w:lang w:eastAsia="en-PH"/>
              </w:rPr>
              <w:t>z</w:t>
            </w:r>
          </w:p>
        </w:tc>
      </w:tr>
      <w:tr w:rsidR="00540A02" w:rsidRPr="00540A02" w14:paraId="6771BE11" w14:textId="77777777" w:rsidTr="00D13FC4">
        <w:trPr>
          <w:trHeight w:val="201"/>
        </w:trPr>
        <w:tc>
          <w:tcPr>
            <w:tcW w:w="2338" w:type="pct"/>
            <w:tcBorders>
              <w:bottom w:val="single" w:sz="12" w:space="0" w:color="000000"/>
            </w:tcBorders>
            <w:noWrap/>
            <w:vAlign w:val="center"/>
            <w:hideMark/>
          </w:tcPr>
          <w:p w14:paraId="2BAA771D" w14:textId="77777777" w:rsidR="00540A02" w:rsidRPr="00540A02" w:rsidRDefault="00540A02" w:rsidP="00D13FC4">
            <w:pPr>
              <w:rPr>
                <w:rFonts w:ascii="Arial" w:hAnsi="Arial" w:cs="Arial"/>
                <w:color w:val="000000"/>
                <w:lang w:eastAsia="en-PH"/>
              </w:rPr>
            </w:pPr>
            <w:r w:rsidRPr="00540A02">
              <w:rPr>
                <w:rFonts w:ascii="Arial" w:hAnsi="Arial" w:cs="Arial"/>
                <w:color w:val="000000"/>
                <w:lang w:eastAsia="en-PH"/>
              </w:rPr>
              <w:t>Workers Occupational Choice</w:t>
            </w:r>
          </w:p>
        </w:tc>
        <w:tc>
          <w:tcPr>
            <w:tcW w:w="1114" w:type="pct"/>
            <w:vMerge/>
            <w:tcBorders>
              <w:bottom w:val="single" w:sz="12" w:space="0" w:color="000000"/>
            </w:tcBorders>
            <w:vAlign w:val="center"/>
            <w:hideMark/>
          </w:tcPr>
          <w:p w14:paraId="45A86D39" w14:textId="77777777" w:rsidR="00540A02" w:rsidRPr="00540A02" w:rsidRDefault="00540A02" w:rsidP="00D13FC4">
            <w:pPr>
              <w:rPr>
                <w:rFonts w:ascii="Arial" w:hAnsi="Arial" w:cs="Arial"/>
                <w:color w:val="000000"/>
                <w:lang w:eastAsia="en-PH"/>
              </w:rPr>
            </w:pPr>
          </w:p>
        </w:tc>
        <w:tc>
          <w:tcPr>
            <w:tcW w:w="899" w:type="pct"/>
            <w:vMerge/>
            <w:tcBorders>
              <w:bottom w:val="single" w:sz="12" w:space="0" w:color="000000"/>
            </w:tcBorders>
            <w:vAlign w:val="center"/>
            <w:hideMark/>
          </w:tcPr>
          <w:p w14:paraId="69730DCE" w14:textId="77777777" w:rsidR="00540A02" w:rsidRPr="00540A02" w:rsidRDefault="00540A02" w:rsidP="00D13FC4">
            <w:pPr>
              <w:rPr>
                <w:rFonts w:ascii="Arial" w:hAnsi="Arial" w:cs="Arial"/>
                <w:color w:val="000000"/>
                <w:lang w:eastAsia="en-PH"/>
              </w:rPr>
            </w:pPr>
          </w:p>
        </w:tc>
        <w:tc>
          <w:tcPr>
            <w:tcW w:w="649" w:type="pct"/>
            <w:vMerge/>
            <w:tcBorders>
              <w:bottom w:val="single" w:sz="12" w:space="0" w:color="000000"/>
            </w:tcBorders>
            <w:vAlign w:val="center"/>
            <w:hideMark/>
          </w:tcPr>
          <w:p w14:paraId="7DE57977" w14:textId="77777777" w:rsidR="00540A02" w:rsidRPr="00540A02" w:rsidRDefault="00540A02" w:rsidP="00D13FC4">
            <w:pPr>
              <w:rPr>
                <w:rFonts w:ascii="Arial" w:hAnsi="Arial" w:cs="Arial"/>
                <w:color w:val="000000"/>
                <w:lang w:eastAsia="en-PH"/>
              </w:rPr>
            </w:pPr>
          </w:p>
        </w:tc>
      </w:tr>
      <w:tr w:rsidR="00540A02" w:rsidRPr="00540A02" w14:paraId="3114F0CF" w14:textId="77777777" w:rsidTr="00D13FC4">
        <w:trPr>
          <w:trHeight w:val="192"/>
        </w:trPr>
        <w:tc>
          <w:tcPr>
            <w:tcW w:w="5000" w:type="pct"/>
            <w:gridSpan w:val="4"/>
            <w:tcBorders>
              <w:top w:val="single" w:sz="12" w:space="0" w:color="000000"/>
            </w:tcBorders>
            <w:noWrap/>
            <w:vAlign w:val="center"/>
            <w:hideMark/>
          </w:tcPr>
          <w:p w14:paraId="11958B7D" w14:textId="77777777" w:rsidR="00540A02" w:rsidRPr="00540A02" w:rsidRDefault="00540A02" w:rsidP="00D13FC4">
            <w:pPr>
              <w:rPr>
                <w:rFonts w:ascii="Arial" w:hAnsi="Arial" w:cs="Arial"/>
                <w:color w:val="000000"/>
                <w:lang w:eastAsia="en-PH"/>
              </w:rPr>
            </w:pPr>
            <w:r w:rsidRPr="00540A02">
              <w:rPr>
                <w:rFonts w:ascii="Arial" w:hAnsi="Arial" w:cs="Arial"/>
                <w:b/>
                <w:bCs/>
                <w:color w:val="000000"/>
                <w:lang w:eastAsia="en-PH"/>
              </w:rPr>
              <w:t>1-      Wage Workers</w:t>
            </w:r>
          </w:p>
        </w:tc>
      </w:tr>
      <w:tr w:rsidR="00540A02" w:rsidRPr="00540A02" w14:paraId="074D1583" w14:textId="77777777" w:rsidTr="00D13FC4">
        <w:trPr>
          <w:trHeight w:val="192"/>
        </w:trPr>
        <w:tc>
          <w:tcPr>
            <w:tcW w:w="2338" w:type="pct"/>
            <w:noWrap/>
            <w:vAlign w:val="center"/>
          </w:tcPr>
          <w:p w14:paraId="0B670A19"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Net Income</w:t>
            </w:r>
          </w:p>
        </w:tc>
        <w:tc>
          <w:tcPr>
            <w:tcW w:w="1114" w:type="pct"/>
            <w:noWrap/>
            <w:vAlign w:val="center"/>
          </w:tcPr>
          <w:p w14:paraId="0AFB0CD8"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w:t>
            </w:r>
          </w:p>
        </w:tc>
        <w:tc>
          <w:tcPr>
            <w:tcW w:w="899" w:type="pct"/>
            <w:noWrap/>
            <w:vAlign w:val="center"/>
          </w:tcPr>
          <w:p w14:paraId="5C2870F1"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w:t>
            </w:r>
          </w:p>
        </w:tc>
        <w:tc>
          <w:tcPr>
            <w:tcW w:w="649" w:type="pct"/>
            <w:noWrap/>
            <w:vAlign w:val="center"/>
          </w:tcPr>
          <w:p w14:paraId="1681A96A"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0.35</w:t>
            </w:r>
          </w:p>
        </w:tc>
      </w:tr>
      <w:tr w:rsidR="00540A02" w:rsidRPr="00540A02" w14:paraId="58A1E52E" w14:textId="77777777" w:rsidTr="00D13FC4">
        <w:trPr>
          <w:trHeight w:val="192"/>
        </w:trPr>
        <w:tc>
          <w:tcPr>
            <w:tcW w:w="2338" w:type="pct"/>
            <w:noWrap/>
            <w:vAlign w:val="center"/>
            <w:hideMark/>
          </w:tcPr>
          <w:p w14:paraId="333EF970"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Region</w:t>
            </w:r>
          </w:p>
        </w:tc>
        <w:tc>
          <w:tcPr>
            <w:tcW w:w="1114" w:type="pct"/>
            <w:noWrap/>
            <w:vAlign w:val="center"/>
            <w:hideMark/>
          </w:tcPr>
          <w:p w14:paraId="11F41608"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-0.0040509**</w:t>
            </w:r>
          </w:p>
        </w:tc>
        <w:tc>
          <w:tcPr>
            <w:tcW w:w="899" w:type="pct"/>
            <w:noWrap/>
            <w:vAlign w:val="center"/>
            <w:hideMark/>
          </w:tcPr>
          <w:p w14:paraId="5BFDEA4D"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0.0016968</w:t>
            </w:r>
          </w:p>
        </w:tc>
        <w:tc>
          <w:tcPr>
            <w:tcW w:w="649" w:type="pct"/>
            <w:noWrap/>
            <w:vAlign w:val="center"/>
            <w:hideMark/>
          </w:tcPr>
          <w:p w14:paraId="37126B0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-2.39</w:t>
            </w:r>
          </w:p>
        </w:tc>
      </w:tr>
      <w:tr w:rsidR="00540A02" w:rsidRPr="00540A02" w14:paraId="4C14845F" w14:textId="77777777" w:rsidTr="00D13FC4">
        <w:trPr>
          <w:trHeight w:val="192"/>
        </w:trPr>
        <w:tc>
          <w:tcPr>
            <w:tcW w:w="2338" w:type="pct"/>
            <w:noWrap/>
            <w:vAlign w:val="center"/>
            <w:hideMark/>
          </w:tcPr>
          <w:p w14:paraId="55E20188"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Urbanization</w:t>
            </w:r>
          </w:p>
        </w:tc>
        <w:tc>
          <w:tcPr>
            <w:tcW w:w="1114" w:type="pct"/>
            <w:noWrap/>
            <w:vAlign w:val="center"/>
            <w:hideMark/>
          </w:tcPr>
          <w:p w14:paraId="5A61A6DB"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0.020173*</w:t>
            </w:r>
          </w:p>
        </w:tc>
        <w:tc>
          <w:tcPr>
            <w:tcW w:w="899" w:type="pct"/>
            <w:noWrap/>
            <w:vAlign w:val="center"/>
            <w:hideMark/>
          </w:tcPr>
          <w:p w14:paraId="6F4B0156"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0.0161529</w:t>
            </w:r>
          </w:p>
        </w:tc>
        <w:tc>
          <w:tcPr>
            <w:tcW w:w="649" w:type="pct"/>
            <w:noWrap/>
            <w:vAlign w:val="center"/>
            <w:hideMark/>
          </w:tcPr>
          <w:p w14:paraId="2B7F4205"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1.25</w:t>
            </w:r>
          </w:p>
        </w:tc>
      </w:tr>
      <w:tr w:rsidR="00540A02" w:rsidRPr="00540A02" w14:paraId="3B8AB69F" w14:textId="77777777" w:rsidTr="00D13FC4">
        <w:trPr>
          <w:trHeight w:val="192"/>
        </w:trPr>
        <w:tc>
          <w:tcPr>
            <w:tcW w:w="2338" w:type="pct"/>
            <w:noWrap/>
            <w:vAlign w:val="center"/>
            <w:hideMark/>
          </w:tcPr>
          <w:p w14:paraId="4A270016"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No. Children</w:t>
            </w:r>
          </w:p>
        </w:tc>
        <w:tc>
          <w:tcPr>
            <w:tcW w:w="1114" w:type="pct"/>
            <w:noWrap/>
            <w:vAlign w:val="center"/>
            <w:hideMark/>
          </w:tcPr>
          <w:p w14:paraId="553B2215"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0.0242138***</w:t>
            </w:r>
          </w:p>
        </w:tc>
        <w:tc>
          <w:tcPr>
            <w:tcW w:w="899" w:type="pct"/>
            <w:noWrap/>
            <w:vAlign w:val="center"/>
            <w:hideMark/>
          </w:tcPr>
          <w:p w14:paraId="5897748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0.0242138</w:t>
            </w:r>
          </w:p>
        </w:tc>
        <w:tc>
          <w:tcPr>
            <w:tcW w:w="649" w:type="pct"/>
            <w:noWrap/>
            <w:vAlign w:val="center"/>
            <w:hideMark/>
          </w:tcPr>
          <w:p w14:paraId="455DD39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4.44</w:t>
            </w:r>
          </w:p>
        </w:tc>
      </w:tr>
      <w:tr w:rsidR="00540A02" w:rsidRPr="00540A02" w14:paraId="2011657E" w14:textId="77777777" w:rsidTr="00D13FC4">
        <w:trPr>
          <w:trHeight w:val="192"/>
        </w:trPr>
        <w:tc>
          <w:tcPr>
            <w:tcW w:w="2338" w:type="pct"/>
            <w:noWrap/>
            <w:vAlign w:val="center"/>
            <w:hideMark/>
          </w:tcPr>
          <w:p w14:paraId="538CD424"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Sex of HH Head</w:t>
            </w:r>
          </w:p>
        </w:tc>
        <w:tc>
          <w:tcPr>
            <w:tcW w:w="1114" w:type="pct"/>
            <w:noWrap/>
            <w:vAlign w:val="center"/>
            <w:hideMark/>
          </w:tcPr>
          <w:p w14:paraId="5CB355D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-1.442759***</w:t>
            </w:r>
          </w:p>
        </w:tc>
        <w:tc>
          <w:tcPr>
            <w:tcW w:w="899" w:type="pct"/>
            <w:noWrap/>
            <w:vAlign w:val="center"/>
            <w:hideMark/>
          </w:tcPr>
          <w:p w14:paraId="66F24252"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0.0196091</w:t>
            </w:r>
          </w:p>
        </w:tc>
        <w:tc>
          <w:tcPr>
            <w:tcW w:w="649" w:type="pct"/>
            <w:noWrap/>
            <w:vAlign w:val="center"/>
            <w:hideMark/>
          </w:tcPr>
          <w:p w14:paraId="76E73CB8"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-73.58</w:t>
            </w:r>
          </w:p>
        </w:tc>
      </w:tr>
      <w:tr w:rsidR="00540A02" w:rsidRPr="00540A02" w14:paraId="4E611496" w14:textId="77777777" w:rsidTr="00D13FC4">
        <w:trPr>
          <w:trHeight w:val="192"/>
        </w:trPr>
        <w:tc>
          <w:tcPr>
            <w:tcW w:w="2338" w:type="pct"/>
            <w:noWrap/>
            <w:vAlign w:val="center"/>
            <w:hideMark/>
          </w:tcPr>
          <w:p w14:paraId="566F55FC"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Age of HH Head</w:t>
            </w:r>
          </w:p>
        </w:tc>
        <w:tc>
          <w:tcPr>
            <w:tcW w:w="1114" w:type="pct"/>
            <w:noWrap/>
            <w:vAlign w:val="center"/>
            <w:hideMark/>
          </w:tcPr>
          <w:p w14:paraId="08427BC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-0.0885943***</w:t>
            </w:r>
          </w:p>
        </w:tc>
        <w:tc>
          <w:tcPr>
            <w:tcW w:w="899" w:type="pct"/>
            <w:noWrap/>
            <w:vAlign w:val="center"/>
            <w:hideMark/>
          </w:tcPr>
          <w:p w14:paraId="7992D229"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0.0006678</w:t>
            </w:r>
          </w:p>
        </w:tc>
        <w:tc>
          <w:tcPr>
            <w:tcW w:w="649" w:type="pct"/>
            <w:noWrap/>
            <w:vAlign w:val="center"/>
            <w:hideMark/>
          </w:tcPr>
          <w:p w14:paraId="1095656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-132.7</w:t>
            </w:r>
          </w:p>
        </w:tc>
      </w:tr>
      <w:tr w:rsidR="00540A02" w:rsidRPr="00540A02" w14:paraId="524A4D77" w14:textId="77777777" w:rsidTr="00D13FC4">
        <w:trPr>
          <w:trHeight w:val="192"/>
        </w:trPr>
        <w:tc>
          <w:tcPr>
            <w:tcW w:w="2338" w:type="pct"/>
            <w:noWrap/>
            <w:vAlign w:val="center"/>
            <w:hideMark/>
          </w:tcPr>
          <w:p w14:paraId="7D5FA058"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Marital Status of HH Head</w:t>
            </w:r>
          </w:p>
        </w:tc>
        <w:tc>
          <w:tcPr>
            <w:tcW w:w="1114" w:type="pct"/>
            <w:noWrap/>
            <w:vAlign w:val="center"/>
            <w:hideMark/>
          </w:tcPr>
          <w:p w14:paraId="589758B6"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0.2131413***</w:t>
            </w:r>
          </w:p>
        </w:tc>
        <w:tc>
          <w:tcPr>
            <w:tcW w:w="899" w:type="pct"/>
            <w:noWrap/>
            <w:vAlign w:val="center"/>
            <w:hideMark/>
          </w:tcPr>
          <w:p w14:paraId="41332AFD"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0.0148495</w:t>
            </w:r>
          </w:p>
        </w:tc>
        <w:tc>
          <w:tcPr>
            <w:tcW w:w="649" w:type="pct"/>
            <w:noWrap/>
            <w:vAlign w:val="center"/>
            <w:hideMark/>
          </w:tcPr>
          <w:p w14:paraId="630502D3"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14.35</w:t>
            </w:r>
          </w:p>
        </w:tc>
      </w:tr>
      <w:tr w:rsidR="00540A02" w:rsidRPr="00540A02" w14:paraId="289351F9" w14:textId="77777777" w:rsidTr="00D13FC4">
        <w:trPr>
          <w:trHeight w:val="192"/>
        </w:trPr>
        <w:tc>
          <w:tcPr>
            <w:tcW w:w="2338" w:type="pct"/>
            <w:noWrap/>
            <w:vAlign w:val="center"/>
            <w:hideMark/>
          </w:tcPr>
          <w:p w14:paraId="078AAEE4"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Education</w:t>
            </w:r>
          </w:p>
        </w:tc>
        <w:tc>
          <w:tcPr>
            <w:tcW w:w="1114" w:type="pct"/>
            <w:noWrap/>
            <w:vAlign w:val="center"/>
            <w:hideMark/>
          </w:tcPr>
          <w:p w14:paraId="6E642071"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0.0044208*</w:t>
            </w:r>
          </w:p>
        </w:tc>
        <w:tc>
          <w:tcPr>
            <w:tcW w:w="899" w:type="pct"/>
            <w:noWrap/>
            <w:vAlign w:val="center"/>
            <w:hideMark/>
          </w:tcPr>
          <w:p w14:paraId="123D710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0.0027215</w:t>
            </w:r>
          </w:p>
        </w:tc>
        <w:tc>
          <w:tcPr>
            <w:tcW w:w="649" w:type="pct"/>
            <w:noWrap/>
            <w:vAlign w:val="center"/>
            <w:hideMark/>
          </w:tcPr>
          <w:p w14:paraId="5A271667"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1.62</w:t>
            </w:r>
          </w:p>
        </w:tc>
      </w:tr>
      <w:tr w:rsidR="00540A02" w:rsidRPr="00540A02" w14:paraId="3807A499" w14:textId="77777777" w:rsidTr="00D13FC4">
        <w:trPr>
          <w:trHeight w:val="201"/>
        </w:trPr>
        <w:tc>
          <w:tcPr>
            <w:tcW w:w="2338" w:type="pct"/>
            <w:tcBorders>
              <w:bottom w:val="single" w:sz="12" w:space="0" w:color="000000"/>
            </w:tcBorders>
            <w:noWrap/>
            <w:vAlign w:val="center"/>
            <w:hideMark/>
          </w:tcPr>
          <w:p w14:paraId="36BC8E28"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Constant</w:t>
            </w:r>
          </w:p>
        </w:tc>
        <w:tc>
          <w:tcPr>
            <w:tcW w:w="1114" w:type="pct"/>
            <w:tcBorders>
              <w:bottom w:val="single" w:sz="12" w:space="0" w:color="000000"/>
            </w:tcBorders>
            <w:noWrap/>
            <w:vAlign w:val="center"/>
            <w:hideMark/>
          </w:tcPr>
          <w:p w14:paraId="7AA6600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6.704436***</w:t>
            </w:r>
          </w:p>
        </w:tc>
        <w:tc>
          <w:tcPr>
            <w:tcW w:w="899" w:type="pct"/>
            <w:tcBorders>
              <w:bottom w:val="single" w:sz="12" w:space="0" w:color="000000"/>
            </w:tcBorders>
            <w:noWrap/>
            <w:vAlign w:val="center"/>
            <w:hideMark/>
          </w:tcPr>
          <w:p w14:paraId="5BBFFCE2"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0.0577689</w:t>
            </w:r>
          </w:p>
        </w:tc>
        <w:tc>
          <w:tcPr>
            <w:tcW w:w="649" w:type="pct"/>
            <w:tcBorders>
              <w:bottom w:val="single" w:sz="12" w:space="0" w:color="000000"/>
            </w:tcBorders>
            <w:noWrap/>
            <w:vAlign w:val="center"/>
            <w:hideMark/>
          </w:tcPr>
          <w:p w14:paraId="6F55576B"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116.06</w:t>
            </w:r>
          </w:p>
        </w:tc>
      </w:tr>
      <w:tr w:rsidR="00540A02" w:rsidRPr="00540A02" w14:paraId="45160BC5" w14:textId="77777777" w:rsidTr="00D13FC4">
        <w:trPr>
          <w:trHeight w:val="192"/>
        </w:trPr>
        <w:tc>
          <w:tcPr>
            <w:tcW w:w="5000" w:type="pct"/>
            <w:gridSpan w:val="4"/>
            <w:tcBorders>
              <w:top w:val="single" w:sz="12" w:space="0" w:color="000000"/>
            </w:tcBorders>
            <w:noWrap/>
            <w:vAlign w:val="center"/>
            <w:hideMark/>
          </w:tcPr>
          <w:p w14:paraId="18425DD2" w14:textId="77777777" w:rsidR="00540A02" w:rsidRPr="00540A02" w:rsidRDefault="00540A02" w:rsidP="00D13FC4">
            <w:pPr>
              <w:rPr>
                <w:rFonts w:ascii="Arial" w:hAnsi="Arial" w:cs="Arial"/>
                <w:color w:val="000000"/>
                <w:lang w:eastAsia="en-PH"/>
              </w:rPr>
            </w:pPr>
            <w:r w:rsidRPr="00540A02">
              <w:rPr>
                <w:rFonts w:ascii="Arial" w:hAnsi="Arial" w:cs="Arial"/>
                <w:b/>
                <w:bCs/>
                <w:color w:val="000000"/>
                <w:lang w:eastAsia="en-PH"/>
              </w:rPr>
              <w:t>2-      Entrepreneurial Non-Rice Farming</w:t>
            </w:r>
          </w:p>
        </w:tc>
      </w:tr>
      <w:tr w:rsidR="00540A02" w:rsidRPr="00540A02" w14:paraId="664C9A9B" w14:textId="77777777" w:rsidTr="00D13FC4">
        <w:trPr>
          <w:trHeight w:val="192"/>
        </w:trPr>
        <w:tc>
          <w:tcPr>
            <w:tcW w:w="2338" w:type="pct"/>
            <w:tcBorders>
              <w:top w:val="single" w:sz="12" w:space="0" w:color="000000"/>
            </w:tcBorders>
            <w:noWrap/>
            <w:vAlign w:val="center"/>
            <w:hideMark/>
          </w:tcPr>
          <w:p w14:paraId="79CE4D2B"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Net Income</w:t>
            </w:r>
          </w:p>
        </w:tc>
        <w:tc>
          <w:tcPr>
            <w:tcW w:w="1114" w:type="pct"/>
            <w:tcBorders>
              <w:top w:val="single" w:sz="12" w:space="0" w:color="000000"/>
            </w:tcBorders>
            <w:noWrap/>
            <w:vAlign w:val="center"/>
            <w:hideMark/>
          </w:tcPr>
          <w:p w14:paraId="7A736B32"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w:t>
            </w:r>
          </w:p>
        </w:tc>
        <w:tc>
          <w:tcPr>
            <w:tcW w:w="899" w:type="pct"/>
            <w:tcBorders>
              <w:top w:val="single" w:sz="12" w:space="0" w:color="000000"/>
            </w:tcBorders>
            <w:noWrap/>
            <w:vAlign w:val="center"/>
            <w:hideMark/>
          </w:tcPr>
          <w:p w14:paraId="38E451A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w:t>
            </w:r>
          </w:p>
        </w:tc>
        <w:tc>
          <w:tcPr>
            <w:tcW w:w="649" w:type="pct"/>
            <w:tcBorders>
              <w:top w:val="single" w:sz="12" w:space="0" w:color="000000"/>
            </w:tcBorders>
            <w:noWrap/>
            <w:vAlign w:val="center"/>
            <w:hideMark/>
          </w:tcPr>
          <w:p w14:paraId="2A1E4512"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39.77</w:t>
            </w:r>
          </w:p>
        </w:tc>
      </w:tr>
      <w:tr w:rsidR="00540A02" w:rsidRPr="00540A02" w14:paraId="7803386A" w14:textId="77777777" w:rsidTr="00D13FC4">
        <w:trPr>
          <w:trHeight w:val="192"/>
        </w:trPr>
        <w:tc>
          <w:tcPr>
            <w:tcW w:w="2338" w:type="pct"/>
            <w:noWrap/>
            <w:vAlign w:val="center"/>
            <w:hideMark/>
          </w:tcPr>
          <w:p w14:paraId="23D408B2"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Region</w:t>
            </w:r>
          </w:p>
        </w:tc>
        <w:tc>
          <w:tcPr>
            <w:tcW w:w="1114" w:type="pct"/>
            <w:noWrap/>
            <w:vAlign w:val="center"/>
            <w:hideMark/>
          </w:tcPr>
          <w:p w14:paraId="185E6D15"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0.0243732***</w:t>
            </w:r>
          </w:p>
        </w:tc>
        <w:tc>
          <w:tcPr>
            <w:tcW w:w="899" w:type="pct"/>
            <w:noWrap/>
            <w:vAlign w:val="center"/>
            <w:hideMark/>
          </w:tcPr>
          <w:p w14:paraId="798B7EFD"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0.0017066</w:t>
            </w:r>
          </w:p>
        </w:tc>
        <w:tc>
          <w:tcPr>
            <w:tcW w:w="649" w:type="pct"/>
            <w:noWrap/>
            <w:vAlign w:val="center"/>
            <w:hideMark/>
          </w:tcPr>
          <w:p w14:paraId="7793B13C"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14.28</w:t>
            </w:r>
          </w:p>
        </w:tc>
      </w:tr>
      <w:tr w:rsidR="00540A02" w:rsidRPr="00540A02" w14:paraId="4458BAC7" w14:textId="77777777" w:rsidTr="00D13FC4">
        <w:trPr>
          <w:trHeight w:val="192"/>
        </w:trPr>
        <w:tc>
          <w:tcPr>
            <w:tcW w:w="2338" w:type="pct"/>
            <w:noWrap/>
            <w:vAlign w:val="center"/>
            <w:hideMark/>
          </w:tcPr>
          <w:p w14:paraId="2E9830D2"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Urbanization</w:t>
            </w:r>
          </w:p>
        </w:tc>
        <w:tc>
          <w:tcPr>
            <w:tcW w:w="1114" w:type="pct"/>
            <w:noWrap/>
            <w:vAlign w:val="center"/>
            <w:hideMark/>
          </w:tcPr>
          <w:p w14:paraId="1F95BAF0"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0.6319132***</w:t>
            </w:r>
          </w:p>
        </w:tc>
        <w:tc>
          <w:tcPr>
            <w:tcW w:w="899" w:type="pct"/>
            <w:noWrap/>
            <w:vAlign w:val="center"/>
            <w:hideMark/>
          </w:tcPr>
          <w:p w14:paraId="4E314A13"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0.0167136</w:t>
            </w:r>
          </w:p>
        </w:tc>
        <w:tc>
          <w:tcPr>
            <w:tcW w:w="649" w:type="pct"/>
            <w:noWrap/>
            <w:vAlign w:val="center"/>
            <w:hideMark/>
          </w:tcPr>
          <w:p w14:paraId="53F3A048"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37.81</w:t>
            </w:r>
          </w:p>
        </w:tc>
      </w:tr>
      <w:tr w:rsidR="00540A02" w:rsidRPr="00540A02" w14:paraId="00A88697" w14:textId="77777777" w:rsidTr="00D13FC4">
        <w:trPr>
          <w:trHeight w:val="192"/>
        </w:trPr>
        <w:tc>
          <w:tcPr>
            <w:tcW w:w="2338" w:type="pct"/>
            <w:noWrap/>
            <w:vAlign w:val="center"/>
            <w:hideMark/>
          </w:tcPr>
          <w:p w14:paraId="1B024F38"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No. Children</w:t>
            </w:r>
          </w:p>
        </w:tc>
        <w:tc>
          <w:tcPr>
            <w:tcW w:w="1114" w:type="pct"/>
            <w:noWrap/>
            <w:vAlign w:val="center"/>
            <w:hideMark/>
          </w:tcPr>
          <w:p w14:paraId="42A5D28A"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0.0511153***</w:t>
            </w:r>
          </w:p>
        </w:tc>
        <w:tc>
          <w:tcPr>
            <w:tcW w:w="899" w:type="pct"/>
            <w:noWrap/>
            <w:vAlign w:val="center"/>
            <w:hideMark/>
          </w:tcPr>
          <w:p w14:paraId="6E8ABEA3"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0.0054963</w:t>
            </w:r>
          </w:p>
        </w:tc>
        <w:tc>
          <w:tcPr>
            <w:tcW w:w="649" w:type="pct"/>
            <w:noWrap/>
            <w:vAlign w:val="center"/>
            <w:hideMark/>
          </w:tcPr>
          <w:p w14:paraId="5BC0707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9.3</w:t>
            </w:r>
          </w:p>
        </w:tc>
      </w:tr>
      <w:tr w:rsidR="00540A02" w:rsidRPr="00540A02" w14:paraId="61E840F1" w14:textId="77777777" w:rsidTr="00D13FC4">
        <w:trPr>
          <w:trHeight w:val="192"/>
        </w:trPr>
        <w:tc>
          <w:tcPr>
            <w:tcW w:w="2338" w:type="pct"/>
            <w:noWrap/>
            <w:vAlign w:val="center"/>
            <w:hideMark/>
          </w:tcPr>
          <w:p w14:paraId="5C400926"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Sex of HH Head</w:t>
            </w:r>
          </w:p>
        </w:tc>
        <w:tc>
          <w:tcPr>
            <w:tcW w:w="1114" w:type="pct"/>
            <w:noWrap/>
            <w:vAlign w:val="center"/>
            <w:hideMark/>
          </w:tcPr>
          <w:p w14:paraId="1FABDCC9"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-0.9727304***</w:t>
            </w:r>
          </w:p>
        </w:tc>
        <w:tc>
          <w:tcPr>
            <w:tcW w:w="899" w:type="pct"/>
            <w:noWrap/>
            <w:vAlign w:val="center"/>
            <w:hideMark/>
          </w:tcPr>
          <w:p w14:paraId="1F41D221"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0.0195698</w:t>
            </w:r>
          </w:p>
        </w:tc>
        <w:tc>
          <w:tcPr>
            <w:tcW w:w="649" w:type="pct"/>
            <w:noWrap/>
            <w:vAlign w:val="center"/>
            <w:hideMark/>
          </w:tcPr>
          <w:p w14:paraId="3B26FDED"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-49.71</w:t>
            </w:r>
          </w:p>
        </w:tc>
      </w:tr>
      <w:tr w:rsidR="00540A02" w:rsidRPr="00540A02" w14:paraId="1CA8F8AE" w14:textId="77777777" w:rsidTr="00D13FC4">
        <w:trPr>
          <w:trHeight w:val="192"/>
        </w:trPr>
        <w:tc>
          <w:tcPr>
            <w:tcW w:w="2338" w:type="pct"/>
            <w:noWrap/>
            <w:vAlign w:val="center"/>
            <w:hideMark/>
          </w:tcPr>
          <w:p w14:paraId="26104135"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Age of HH Head</w:t>
            </w:r>
          </w:p>
        </w:tc>
        <w:tc>
          <w:tcPr>
            <w:tcW w:w="1114" w:type="pct"/>
            <w:noWrap/>
            <w:vAlign w:val="center"/>
            <w:hideMark/>
          </w:tcPr>
          <w:p w14:paraId="58A2580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-0.0539204***</w:t>
            </w:r>
          </w:p>
        </w:tc>
        <w:tc>
          <w:tcPr>
            <w:tcW w:w="899" w:type="pct"/>
            <w:noWrap/>
            <w:vAlign w:val="center"/>
            <w:hideMark/>
          </w:tcPr>
          <w:p w14:paraId="67190E10"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0.000653</w:t>
            </w:r>
          </w:p>
        </w:tc>
        <w:tc>
          <w:tcPr>
            <w:tcW w:w="649" w:type="pct"/>
            <w:noWrap/>
            <w:vAlign w:val="center"/>
            <w:hideMark/>
          </w:tcPr>
          <w:p w14:paraId="473D7B1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-82.57</w:t>
            </w:r>
          </w:p>
        </w:tc>
      </w:tr>
      <w:tr w:rsidR="00540A02" w:rsidRPr="00540A02" w14:paraId="6EB279C8" w14:textId="77777777" w:rsidTr="00D13FC4">
        <w:trPr>
          <w:trHeight w:val="192"/>
        </w:trPr>
        <w:tc>
          <w:tcPr>
            <w:tcW w:w="2338" w:type="pct"/>
            <w:noWrap/>
            <w:vAlign w:val="center"/>
            <w:hideMark/>
          </w:tcPr>
          <w:p w14:paraId="1958E954"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Marital Status of HH Head</w:t>
            </w:r>
          </w:p>
        </w:tc>
        <w:tc>
          <w:tcPr>
            <w:tcW w:w="1114" w:type="pct"/>
            <w:noWrap/>
            <w:vAlign w:val="center"/>
            <w:hideMark/>
          </w:tcPr>
          <w:p w14:paraId="02FC0540"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0.1554935***</w:t>
            </w:r>
          </w:p>
        </w:tc>
        <w:tc>
          <w:tcPr>
            <w:tcW w:w="899" w:type="pct"/>
            <w:noWrap/>
            <w:vAlign w:val="center"/>
            <w:hideMark/>
          </w:tcPr>
          <w:p w14:paraId="1962118A"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0.0151697</w:t>
            </w:r>
          </w:p>
        </w:tc>
        <w:tc>
          <w:tcPr>
            <w:tcW w:w="649" w:type="pct"/>
            <w:noWrap/>
            <w:vAlign w:val="center"/>
            <w:hideMark/>
          </w:tcPr>
          <w:p w14:paraId="624791D5"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10.25</w:t>
            </w:r>
          </w:p>
        </w:tc>
      </w:tr>
      <w:tr w:rsidR="00540A02" w:rsidRPr="00540A02" w14:paraId="522588AD" w14:textId="77777777" w:rsidTr="00D13FC4">
        <w:trPr>
          <w:trHeight w:val="192"/>
        </w:trPr>
        <w:tc>
          <w:tcPr>
            <w:tcW w:w="2338" w:type="pct"/>
            <w:noWrap/>
            <w:vAlign w:val="center"/>
            <w:hideMark/>
          </w:tcPr>
          <w:p w14:paraId="4FF6F2F4"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Education</w:t>
            </w:r>
          </w:p>
        </w:tc>
        <w:tc>
          <w:tcPr>
            <w:tcW w:w="1114" w:type="pct"/>
            <w:noWrap/>
            <w:vAlign w:val="center"/>
            <w:hideMark/>
          </w:tcPr>
          <w:p w14:paraId="4FD359E0"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-0.0216841***</w:t>
            </w:r>
          </w:p>
        </w:tc>
        <w:tc>
          <w:tcPr>
            <w:tcW w:w="899" w:type="pct"/>
            <w:noWrap/>
            <w:vAlign w:val="center"/>
            <w:hideMark/>
          </w:tcPr>
          <w:p w14:paraId="7A2BBB0A"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0.0027033</w:t>
            </w:r>
          </w:p>
        </w:tc>
        <w:tc>
          <w:tcPr>
            <w:tcW w:w="649" w:type="pct"/>
            <w:noWrap/>
            <w:vAlign w:val="center"/>
            <w:hideMark/>
          </w:tcPr>
          <w:p w14:paraId="7AB37893"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-8.02</w:t>
            </w:r>
          </w:p>
        </w:tc>
      </w:tr>
      <w:tr w:rsidR="00540A02" w:rsidRPr="00540A02" w14:paraId="5E25697F" w14:textId="77777777" w:rsidTr="00D13FC4">
        <w:trPr>
          <w:trHeight w:val="201"/>
        </w:trPr>
        <w:tc>
          <w:tcPr>
            <w:tcW w:w="2338" w:type="pct"/>
            <w:tcBorders>
              <w:bottom w:val="single" w:sz="12" w:space="0" w:color="000000"/>
            </w:tcBorders>
            <w:noWrap/>
            <w:vAlign w:val="center"/>
            <w:hideMark/>
          </w:tcPr>
          <w:p w14:paraId="04F936A2"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Constant</w:t>
            </w:r>
          </w:p>
        </w:tc>
        <w:tc>
          <w:tcPr>
            <w:tcW w:w="1114" w:type="pct"/>
            <w:tcBorders>
              <w:bottom w:val="single" w:sz="12" w:space="0" w:color="000000"/>
            </w:tcBorders>
            <w:noWrap/>
            <w:vAlign w:val="center"/>
            <w:hideMark/>
          </w:tcPr>
          <w:p w14:paraId="67B199E6"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2.978808***</w:t>
            </w:r>
          </w:p>
        </w:tc>
        <w:tc>
          <w:tcPr>
            <w:tcW w:w="899" w:type="pct"/>
            <w:tcBorders>
              <w:bottom w:val="single" w:sz="12" w:space="0" w:color="000000"/>
            </w:tcBorders>
            <w:noWrap/>
            <w:vAlign w:val="center"/>
            <w:hideMark/>
          </w:tcPr>
          <w:p w14:paraId="2369FD79"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0.05735</w:t>
            </w:r>
          </w:p>
        </w:tc>
        <w:tc>
          <w:tcPr>
            <w:tcW w:w="649" w:type="pct"/>
            <w:tcBorders>
              <w:bottom w:val="single" w:sz="12" w:space="0" w:color="000000"/>
            </w:tcBorders>
            <w:noWrap/>
            <w:vAlign w:val="center"/>
            <w:hideMark/>
          </w:tcPr>
          <w:p w14:paraId="342DDA88"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51.94</w:t>
            </w:r>
          </w:p>
        </w:tc>
      </w:tr>
      <w:tr w:rsidR="00540A02" w:rsidRPr="00540A02" w14:paraId="161F27CF" w14:textId="77777777" w:rsidTr="00D13FC4">
        <w:trPr>
          <w:trHeight w:val="192"/>
        </w:trPr>
        <w:tc>
          <w:tcPr>
            <w:tcW w:w="5000" w:type="pct"/>
            <w:gridSpan w:val="4"/>
            <w:tcBorders>
              <w:top w:val="single" w:sz="12" w:space="0" w:color="000000"/>
              <w:bottom w:val="single" w:sz="12" w:space="0" w:color="000000"/>
            </w:tcBorders>
            <w:noWrap/>
            <w:vAlign w:val="center"/>
            <w:hideMark/>
          </w:tcPr>
          <w:p w14:paraId="5C4D2206" w14:textId="77777777" w:rsidR="00540A02" w:rsidRPr="00540A02" w:rsidRDefault="00540A02" w:rsidP="00D13FC4">
            <w:pPr>
              <w:rPr>
                <w:rFonts w:ascii="Arial" w:hAnsi="Arial" w:cs="Arial"/>
                <w:color w:val="000000"/>
                <w:lang w:eastAsia="en-PH"/>
              </w:rPr>
            </w:pPr>
            <w:r w:rsidRPr="00540A02">
              <w:rPr>
                <w:rFonts w:ascii="Arial" w:hAnsi="Arial" w:cs="Arial"/>
                <w:b/>
                <w:bCs/>
                <w:color w:val="000000"/>
                <w:lang w:eastAsia="en-PH"/>
              </w:rPr>
              <w:t>3-      Entrepreneurial Rice Farming</w:t>
            </w:r>
          </w:p>
        </w:tc>
      </w:tr>
      <w:tr w:rsidR="00540A02" w:rsidRPr="00540A02" w14:paraId="2D28CE6C" w14:textId="77777777" w:rsidTr="00D13FC4">
        <w:trPr>
          <w:trHeight w:val="192"/>
        </w:trPr>
        <w:tc>
          <w:tcPr>
            <w:tcW w:w="2338" w:type="pct"/>
            <w:tcBorders>
              <w:top w:val="single" w:sz="12" w:space="0" w:color="000000"/>
            </w:tcBorders>
            <w:noWrap/>
            <w:vAlign w:val="center"/>
            <w:hideMark/>
          </w:tcPr>
          <w:p w14:paraId="4446EBB1"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Net Income</w:t>
            </w:r>
          </w:p>
        </w:tc>
        <w:tc>
          <w:tcPr>
            <w:tcW w:w="1114" w:type="pct"/>
            <w:tcBorders>
              <w:top w:val="single" w:sz="12" w:space="0" w:color="000000"/>
            </w:tcBorders>
            <w:noWrap/>
            <w:vAlign w:val="center"/>
            <w:hideMark/>
          </w:tcPr>
          <w:p w14:paraId="6FCCC7A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w:t>
            </w:r>
          </w:p>
        </w:tc>
        <w:tc>
          <w:tcPr>
            <w:tcW w:w="899" w:type="pct"/>
            <w:tcBorders>
              <w:top w:val="single" w:sz="12" w:space="0" w:color="000000"/>
            </w:tcBorders>
            <w:noWrap/>
            <w:vAlign w:val="center"/>
            <w:hideMark/>
          </w:tcPr>
          <w:p w14:paraId="1E154B02"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w:t>
            </w:r>
          </w:p>
        </w:tc>
        <w:tc>
          <w:tcPr>
            <w:tcW w:w="649" w:type="pct"/>
            <w:tcBorders>
              <w:top w:val="single" w:sz="12" w:space="0" w:color="000000"/>
            </w:tcBorders>
            <w:noWrap/>
            <w:vAlign w:val="center"/>
            <w:hideMark/>
          </w:tcPr>
          <w:p w14:paraId="31EB5BAD"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35.78</w:t>
            </w:r>
          </w:p>
        </w:tc>
      </w:tr>
      <w:tr w:rsidR="00540A02" w:rsidRPr="00540A02" w14:paraId="27F7AF05" w14:textId="77777777" w:rsidTr="00D13FC4">
        <w:trPr>
          <w:trHeight w:val="66"/>
        </w:trPr>
        <w:tc>
          <w:tcPr>
            <w:tcW w:w="2338" w:type="pct"/>
            <w:noWrap/>
            <w:vAlign w:val="center"/>
            <w:hideMark/>
          </w:tcPr>
          <w:p w14:paraId="1183BF28"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Region</w:t>
            </w:r>
          </w:p>
        </w:tc>
        <w:tc>
          <w:tcPr>
            <w:tcW w:w="1114" w:type="pct"/>
            <w:noWrap/>
            <w:vAlign w:val="center"/>
            <w:hideMark/>
          </w:tcPr>
          <w:p w14:paraId="064924AC"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-0.0309162***</w:t>
            </w:r>
          </w:p>
        </w:tc>
        <w:tc>
          <w:tcPr>
            <w:tcW w:w="899" w:type="pct"/>
            <w:noWrap/>
            <w:vAlign w:val="center"/>
            <w:hideMark/>
          </w:tcPr>
          <w:p w14:paraId="3F10845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0.0030446</w:t>
            </w:r>
          </w:p>
        </w:tc>
        <w:tc>
          <w:tcPr>
            <w:tcW w:w="649" w:type="pct"/>
            <w:noWrap/>
            <w:vAlign w:val="center"/>
            <w:hideMark/>
          </w:tcPr>
          <w:p w14:paraId="77B2F897"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-10.15</w:t>
            </w:r>
          </w:p>
        </w:tc>
      </w:tr>
      <w:tr w:rsidR="00540A02" w:rsidRPr="00540A02" w14:paraId="01E51DCD" w14:textId="77777777" w:rsidTr="00D13FC4">
        <w:trPr>
          <w:trHeight w:val="192"/>
        </w:trPr>
        <w:tc>
          <w:tcPr>
            <w:tcW w:w="2338" w:type="pct"/>
            <w:noWrap/>
            <w:vAlign w:val="center"/>
            <w:hideMark/>
          </w:tcPr>
          <w:p w14:paraId="64021786"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Urbanization</w:t>
            </w:r>
          </w:p>
        </w:tc>
        <w:tc>
          <w:tcPr>
            <w:tcW w:w="1114" w:type="pct"/>
            <w:noWrap/>
            <w:vAlign w:val="center"/>
            <w:hideMark/>
          </w:tcPr>
          <w:p w14:paraId="3F4D5F2C"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0.7737009***</w:t>
            </w:r>
          </w:p>
        </w:tc>
        <w:tc>
          <w:tcPr>
            <w:tcW w:w="899" w:type="pct"/>
            <w:noWrap/>
            <w:vAlign w:val="center"/>
            <w:hideMark/>
          </w:tcPr>
          <w:p w14:paraId="1648FF9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0.0320249</w:t>
            </w:r>
          </w:p>
        </w:tc>
        <w:tc>
          <w:tcPr>
            <w:tcW w:w="649" w:type="pct"/>
            <w:noWrap/>
            <w:vAlign w:val="center"/>
            <w:hideMark/>
          </w:tcPr>
          <w:p w14:paraId="098301B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24.16</w:t>
            </w:r>
          </w:p>
        </w:tc>
      </w:tr>
      <w:tr w:rsidR="00540A02" w:rsidRPr="00540A02" w14:paraId="5D3BA113" w14:textId="77777777" w:rsidTr="00D13FC4">
        <w:trPr>
          <w:trHeight w:val="192"/>
        </w:trPr>
        <w:tc>
          <w:tcPr>
            <w:tcW w:w="2338" w:type="pct"/>
            <w:noWrap/>
            <w:vAlign w:val="center"/>
            <w:hideMark/>
          </w:tcPr>
          <w:p w14:paraId="4DB4F8EB"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No. Children</w:t>
            </w:r>
          </w:p>
        </w:tc>
        <w:tc>
          <w:tcPr>
            <w:tcW w:w="1114" w:type="pct"/>
            <w:noWrap/>
            <w:vAlign w:val="center"/>
            <w:hideMark/>
          </w:tcPr>
          <w:p w14:paraId="32BE3919"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-0.0331958***</w:t>
            </w:r>
          </w:p>
        </w:tc>
        <w:tc>
          <w:tcPr>
            <w:tcW w:w="899" w:type="pct"/>
            <w:noWrap/>
            <w:vAlign w:val="center"/>
            <w:hideMark/>
          </w:tcPr>
          <w:p w14:paraId="46A149E0"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0.0100385</w:t>
            </w:r>
          </w:p>
        </w:tc>
        <w:tc>
          <w:tcPr>
            <w:tcW w:w="649" w:type="pct"/>
            <w:noWrap/>
            <w:vAlign w:val="center"/>
            <w:hideMark/>
          </w:tcPr>
          <w:p w14:paraId="349BEF6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-3.31</w:t>
            </w:r>
          </w:p>
        </w:tc>
      </w:tr>
      <w:tr w:rsidR="00540A02" w:rsidRPr="00540A02" w14:paraId="58E8EBEB" w14:textId="77777777" w:rsidTr="00D13FC4">
        <w:trPr>
          <w:trHeight w:val="192"/>
        </w:trPr>
        <w:tc>
          <w:tcPr>
            <w:tcW w:w="2338" w:type="pct"/>
            <w:noWrap/>
            <w:vAlign w:val="center"/>
            <w:hideMark/>
          </w:tcPr>
          <w:p w14:paraId="539F3642"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Sex of HH Head</w:t>
            </w:r>
          </w:p>
        </w:tc>
        <w:tc>
          <w:tcPr>
            <w:tcW w:w="1114" w:type="pct"/>
            <w:noWrap/>
            <w:vAlign w:val="center"/>
            <w:hideMark/>
          </w:tcPr>
          <w:p w14:paraId="1DF17272"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-1.438753***</w:t>
            </w:r>
          </w:p>
        </w:tc>
        <w:tc>
          <w:tcPr>
            <w:tcW w:w="899" w:type="pct"/>
            <w:noWrap/>
            <w:vAlign w:val="center"/>
            <w:hideMark/>
          </w:tcPr>
          <w:p w14:paraId="52C04B8A"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0.0439623</w:t>
            </w:r>
          </w:p>
        </w:tc>
        <w:tc>
          <w:tcPr>
            <w:tcW w:w="649" w:type="pct"/>
            <w:noWrap/>
            <w:vAlign w:val="center"/>
            <w:hideMark/>
          </w:tcPr>
          <w:p w14:paraId="361EDBF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-32.73</w:t>
            </w:r>
          </w:p>
        </w:tc>
      </w:tr>
      <w:tr w:rsidR="00540A02" w:rsidRPr="00540A02" w14:paraId="608DF1CF" w14:textId="77777777" w:rsidTr="00D13FC4">
        <w:trPr>
          <w:trHeight w:val="192"/>
        </w:trPr>
        <w:tc>
          <w:tcPr>
            <w:tcW w:w="2338" w:type="pct"/>
            <w:noWrap/>
            <w:vAlign w:val="center"/>
            <w:hideMark/>
          </w:tcPr>
          <w:p w14:paraId="7AAF6CC3"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Age of HH Head</w:t>
            </w:r>
          </w:p>
        </w:tc>
        <w:tc>
          <w:tcPr>
            <w:tcW w:w="1114" w:type="pct"/>
            <w:noWrap/>
            <w:vAlign w:val="center"/>
            <w:hideMark/>
          </w:tcPr>
          <w:p w14:paraId="36EC5F3D"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-0.0423839***</w:t>
            </w:r>
          </w:p>
        </w:tc>
        <w:tc>
          <w:tcPr>
            <w:tcW w:w="899" w:type="pct"/>
            <w:noWrap/>
            <w:vAlign w:val="center"/>
            <w:hideMark/>
          </w:tcPr>
          <w:p w14:paraId="250E7E4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0.0011589</w:t>
            </w:r>
          </w:p>
        </w:tc>
        <w:tc>
          <w:tcPr>
            <w:tcW w:w="649" w:type="pct"/>
            <w:noWrap/>
            <w:vAlign w:val="center"/>
            <w:hideMark/>
          </w:tcPr>
          <w:p w14:paraId="3810335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-36.57</w:t>
            </w:r>
          </w:p>
        </w:tc>
      </w:tr>
      <w:tr w:rsidR="00540A02" w:rsidRPr="00540A02" w14:paraId="4FBB712C" w14:textId="77777777" w:rsidTr="00D13FC4">
        <w:trPr>
          <w:trHeight w:val="192"/>
        </w:trPr>
        <w:tc>
          <w:tcPr>
            <w:tcW w:w="2338" w:type="pct"/>
            <w:noWrap/>
            <w:vAlign w:val="center"/>
            <w:hideMark/>
          </w:tcPr>
          <w:p w14:paraId="4082794D"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Marital Status of HH Head</w:t>
            </w:r>
          </w:p>
        </w:tc>
        <w:tc>
          <w:tcPr>
            <w:tcW w:w="1114" w:type="pct"/>
            <w:noWrap/>
            <w:vAlign w:val="center"/>
            <w:hideMark/>
          </w:tcPr>
          <w:p w14:paraId="68745669"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0.0204255*</w:t>
            </w:r>
          </w:p>
        </w:tc>
        <w:tc>
          <w:tcPr>
            <w:tcW w:w="899" w:type="pct"/>
            <w:noWrap/>
            <w:vAlign w:val="center"/>
            <w:hideMark/>
          </w:tcPr>
          <w:p w14:paraId="5223F95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0.0310047</w:t>
            </w:r>
          </w:p>
        </w:tc>
        <w:tc>
          <w:tcPr>
            <w:tcW w:w="649" w:type="pct"/>
            <w:noWrap/>
            <w:vAlign w:val="center"/>
            <w:hideMark/>
          </w:tcPr>
          <w:p w14:paraId="49229BAF"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0.66</w:t>
            </w:r>
          </w:p>
        </w:tc>
      </w:tr>
      <w:tr w:rsidR="00540A02" w:rsidRPr="00540A02" w14:paraId="4ED965B5" w14:textId="77777777" w:rsidTr="00D13FC4">
        <w:trPr>
          <w:trHeight w:val="192"/>
        </w:trPr>
        <w:tc>
          <w:tcPr>
            <w:tcW w:w="2338" w:type="pct"/>
            <w:noWrap/>
            <w:vAlign w:val="center"/>
            <w:hideMark/>
          </w:tcPr>
          <w:p w14:paraId="64F194B3"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Education</w:t>
            </w:r>
          </w:p>
        </w:tc>
        <w:tc>
          <w:tcPr>
            <w:tcW w:w="1114" w:type="pct"/>
            <w:noWrap/>
            <w:vAlign w:val="center"/>
            <w:hideMark/>
          </w:tcPr>
          <w:p w14:paraId="22E29090"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0.0101191**</w:t>
            </w:r>
          </w:p>
        </w:tc>
        <w:tc>
          <w:tcPr>
            <w:tcW w:w="899" w:type="pct"/>
            <w:noWrap/>
            <w:vAlign w:val="center"/>
            <w:hideMark/>
          </w:tcPr>
          <w:p w14:paraId="68D0AF9D"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0.0048593</w:t>
            </w:r>
          </w:p>
        </w:tc>
        <w:tc>
          <w:tcPr>
            <w:tcW w:w="649" w:type="pct"/>
            <w:noWrap/>
            <w:vAlign w:val="center"/>
            <w:hideMark/>
          </w:tcPr>
          <w:p w14:paraId="28EE08EE"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2.08</w:t>
            </w:r>
          </w:p>
        </w:tc>
      </w:tr>
      <w:tr w:rsidR="00540A02" w:rsidRPr="00540A02" w14:paraId="4E5CC499" w14:textId="77777777" w:rsidTr="00D13FC4">
        <w:trPr>
          <w:trHeight w:val="201"/>
        </w:trPr>
        <w:tc>
          <w:tcPr>
            <w:tcW w:w="2338" w:type="pct"/>
            <w:tcBorders>
              <w:bottom w:val="single" w:sz="12" w:space="0" w:color="000000"/>
            </w:tcBorders>
            <w:noWrap/>
            <w:vAlign w:val="center"/>
            <w:hideMark/>
          </w:tcPr>
          <w:p w14:paraId="051FA307" w14:textId="77777777" w:rsidR="00540A02" w:rsidRPr="00540A02" w:rsidRDefault="00540A02" w:rsidP="00D13FC4">
            <w:pPr>
              <w:jc w:val="both"/>
              <w:rPr>
                <w:rFonts w:ascii="Arial" w:hAnsi="Arial" w:cs="Arial"/>
                <w:color w:val="000000"/>
                <w:lang w:eastAsia="en-PH"/>
              </w:rPr>
            </w:pPr>
            <w:r w:rsidRPr="00540A02">
              <w:rPr>
                <w:rFonts w:ascii="Arial" w:hAnsi="Arial" w:cs="Arial"/>
                <w:color w:val="000000"/>
                <w:lang w:eastAsia="en-PH"/>
              </w:rPr>
              <w:t>Constant</w:t>
            </w:r>
          </w:p>
        </w:tc>
        <w:tc>
          <w:tcPr>
            <w:tcW w:w="1114" w:type="pct"/>
            <w:tcBorders>
              <w:bottom w:val="single" w:sz="12" w:space="0" w:color="000000"/>
            </w:tcBorders>
            <w:noWrap/>
            <w:vAlign w:val="center"/>
            <w:hideMark/>
          </w:tcPr>
          <w:p w14:paraId="29BE07F4"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1.365382***</w:t>
            </w:r>
          </w:p>
        </w:tc>
        <w:tc>
          <w:tcPr>
            <w:tcW w:w="899" w:type="pct"/>
            <w:tcBorders>
              <w:bottom w:val="single" w:sz="12" w:space="0" w:color="000000"/>
            </w:tcBorders>
            <w:noWrap/>
            <w:vAlign w:val="center"/>
            <w:hideMark/>
          </w:tcPr>
          <w:p w14:paraId="7A43EF42"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0.1094111</w:t>
            </w:r>
          </w:p>
        </w:tc>
        <w:tc>
          <w:tcPr>
            <w:tcW w:w="649" w:type="pct"/>
            <w:noWrap/>
            <w:vAlign w:val="center"/>
            <w:hideMark/>
          </w:tcPr>
          <w:p w14:paraId="1B3EAC18" w14:textId="77777777" w:rsidR="00540A02" w:rsidRPr="00540A02" w:rsidRDefault="00540A02" w:rsidP="00D13FC4">
            <w:pPr>
              <w:jc w:val="center"/>
              <w:rPr>
                <w:rFonts w:ascii="Arial" w:hAnsi="Arial" w:cs="Arial"/>
                <w:color w:val="000000"/>
                <w:lang w:eastAsia="en-PH"/>
              </w:rPr>
            </w:pPr>
            <w:r w:rsidRPr="00540A02">
              <w:rPr>
                <w:rFonts w:ascii="Arial" w:hAnsi="Arial" w:cs="Arial"/>
                <w:color w:val="000000"/>
                <w:lang w:eastAsia="en-PH"/>
              </w:rPr>
              <w:t>12.48</w:t>
            </w:r>
          </w:p>
        </w:tc>
      </w:tr>
      <w:tr w:rsidR="00540A02" w:rsidRPr="00540A02" w14:paraId="154B2AD9" w14:textId="77777777" w:rsidTr="00D13FC4">
        <w:trPr>
          <w:trHeight w:val="201"/>
        </w:trPr>
        <w:tc>
          <w:tcPr>
            <w:tcW w:w="2338" w:type="pct"/>
            <w:tcBorders>
              <w:top w:val="single" w:sz="12" w:space="0" w:color="000000"/>
              <w:bottom w:val="single" w:sz="12" w:space="0" w:color="000000"/>
            </w:tcBorders>
            <w:noWrap/>
            <w:vAlign w:val="center"/>
            <w:hideMark/>
          </w:tcPr>
          <w:p w14:paraId="57EEFE0B" w14:textId="77777777" w:rsidR="00540A02" w:rsidRPr="00540A02" w:rsidRDefault="00540A02" w:rsidP="00D13FC4">
            <w:pPr>
              <w:jc w:val="both"/>
              <w:rPr>
                <w:rFonts w:ascii="Arial" w:hAnsi="Arial" w:cs="Arial"/>
                <w:b/>
                <w:bCs/>
                <w:color w:val="000000"/>
                <w:lang w:eastAsia="en-PH"/>
              </w:rPr>
            </w:pPr>
            <w:r w:rsidRPr="00540A02">
              <w:rPr>
                <w:rFonts w:ascii="Arial" w:hAnsi="Arial" w:cs="Arial"/>
                <w:b/>
                <w:bCs/>
                <w:color w:val="000000"/>
                <w:lang w:eastAsia="en-PH"/>
              </w:rPr>
              <w:t>4-      Unemployed</w:t>
            </w:r>
          </w:p>
        </w:tc>
        <w:tc>
          <w:tcPr>
            <w:tcW w:w="2662" w:type="pct"/>
            <w:gridSpan w:val="3"/>
            <w:tcBorders>
              <w:top w:val="single" w:sz="12" w:space="0" w:color="000000"/>
              <w:bottom w:val="single" w:sz="12" w:space="0" w:color="000000"/>
            </w:tcBorders>
            <w:noWrap/>
            <w:vAlign w:val="center"/>
            <w:hideMark/>
          </w:tcPr>
          <w:p w14:paraId="0694CB62" w14:textId="77777777" w:rsidR="00540A02" w:rsidRPr="00540A02" w:rsidRDefault="00540A02" w:rsidP="00D13FC4">
            <w:pPr>
              <w:rPr>
                <w:rFonts w:ascii="Arial" w:hAnsi="Arial" w:cs="Arial"/>
              </w:rPr>
            </w:pPr>
            <w:r w:rsidRPr="00540A02">
              <w:rPr>
                <w:rFonts w:ascii="Arial" w:hAnsi="Arial" w:cs="Arial"/>
                <w:color w:val="000000"/>
                <w:lang w:eastAsia="en-PH"/>
              </w:rPr>
              <w:t>(base outcome)</w:t>
            </w:r>
          </w:p>
        </w:tc>
      </w:tr>
    </w:tbl>
    <w:bookmarkEnd w:id="2"/>
    <w:p w14:paraId="7FB77BCE" w14:textId="77777777" w:rsidR="00540A02" w:rsidRPr="00540A02" w:rsidRDefault="00540A02" w:rsidP="00540A02">
      <w:pPr>
        <w:rPr>
          <w:rFonts w:ascii="Arial" w:eastAsiaTheme="minorEastAsia" w:hAnsi="Arial" w:cs="Arial"/>
          <w:b/>
          <w:bCs/>
        </w:rPr>
      </w:pPr>
      <w:r w:rsidRPr="00540A02">
        <w:rPr>
          <w:rFonts w:ascii="Arial" w:hAnsi="Arial" w:cs="Arial"/>
        </w:rPr>
        <w:t>Source: Author’s calculation based on PSA FIES</w:t>
      </w:r>
    </w:p>
    <w:p w14:paraId="7A363834" w14:textId="77777777" w:rsidR="00540A02" w:rsidRDefault="00540A02" w:rsidP="00540A02">
      <w:pPr>
        <w:pStyle w:val="Body"/>
        <w:spacing w:after="0"/>
        <w:rPr>
          <w:rFonts w:ascii="Arial" w:hAnsi="Arial" w:cs="Arial"/>
        </w:rPr>
      </w:pPr>
    </w:p>
    <w:p w14:paraId="226BCB1C" w14:textId="02C73546" w:rsidR="00540A02" w:rsidRDefault="00540A02" w:rsidP="00540A02">
      <w:pPr>
        <w:pStyle w:val="Body"/>
        <w:spacing w:after="0"/>
        <w:rPr>
          <w:rFonts w:ascii="Arial" w:hAnsi="Arial" w:cs="Arial"/>
        </w:rPr>
      </w:pPr>
      <w:r w:rsidRPr="00540A02">
        <w:rPr>
          <w:rFonts w:ascii="Arial" w:hAnsi="Arial" w:cs="Arial"/>
        </w:rPr>
        <w:t>As the net income increases for married individuals with more children in rural areas and higher regions, there is a higher likelihood of opting for non-rice farming over other occupations. On the other hand, for married individuals with lower numbers of children, higher education, and residing in rural areas, the probability of choosing rice farming increases with a rise in net income. Table 3 presents the anticipated shifts in household occupational status, transitioning from unemployment to various options like wage worker, non-rice farming, and rice farming. These shifts are determined by comparing the utility generated from each occupational choice, with individuals selecting the option that offers the highest level of utility. The probability of joining rice farming and wage sector is more likely to happen when income increases for married, male and living in rural areas having more children.</w:t>
      </w:r>
    </w:p>
    <w:p w14:paraId="6ABBAD75" w14:textId="77777777" w:rsidR="00540A02" w:rsidRDefault="00540A02" w:rsidP="00540A02">
      <w:pPr>
        <w:pStyle w:val="Body"/>
        <w:spacing w:after="0"/>
        <w:rPr>
          <w:rFonts w:ascii="Arial" w:hAnsi="Arial" w:cs="Arial"/>
        </w:rPr>
      </w:pPr>
    </w:p>
    <w:p w14:paraId="640553E9" w14:textId="1B814354" w:rsidR="00540A02" w:rsidRDefault="00540A02" w:rsidP="00540A02">
      <w:pPr>
        <w:pStyle w:val="Body"/>
        <w:spacing w:after="0"/>
        <w:rPr>
          <w:rFonts w:ascii="Arial" w:hAnsi="Arial" w:cs="Arial"/>
        </w:rPr>
      </w:pPr>
      <w:r w:rsidRPr="00540A02">
        <w:rPr>
          <w:rFonts w:ascii="Arial" w:hAnsi="Arial" w:cs="Arial"/>
        </w:rPr>
        <w:t xml:space="preserve">Table 4 revealed a relatively conservative number of farmers who moved in household occupational choices across several regions, including Regions 1, 2, 3, 4 (A and B), 5, 6, 8, 9, 10, 12, NCR, CAR, CARAGA, and MIMAROPA. Notably, the CALABARZON region exhibits the most significant changes in labor occupational choices, attributed to the implementation of RTL. Total household income exhibited a significant increase in Table </w:t>
      </w:r>
      <w:r w:rsidR="00154FC1">
        <w:rPr>
          <w:rFonts w:ascii="Arial" w:hAnsi="Arial" w:cs="Arial"/>
        </w:rPr>
        <w:t>5</w:t>
      </w:r>
      <w:r w:rsidRPr="00540A02">
        <w:rPr>
          <w:rFonts w:ascii="Arial" w:hAnsi="Arial" w:cs="Arial"/>
        </w:rPr>
        <w:t>, as evidenced by a p-value of 0.000, indicating a level of significance of less than 5 percent. The predicted change in household occupational status from being unemployed to the other occupational choices such as employed, non- rice farming, and rice farming. The movement in occupational status is being determined by comparing the utility generated from each occupational choice (Dizon, 2019).</w:t>
      </w:r>
    </w:p>
    <w:p w14:paraId="0C99CF39" w14:textId="77777777" w:rsidR="00540A02" w:rsidRPr="00540A02" w:rsidRDefault="00540A02" w:rsidP="00540A02">
      <w:pPr>
        <w:jc w:val="both"/>
        <w:rPr>
          <w:rFonts w:ascii="Arial" w:hAnsi="Arial" w:cs="Arial"/>
        </w:rPr>
      </w:pPr>
      <w:r w:rsidRPr="00540A02">
        <w:rPr>
          <w:rFonts w:ascii="Arial" w:hAnsi="Arial" w:cs="Arial"/>
          <w:b/>
          <w:bCs/>
        </w:rPr>
        <w:lastRenderedPageBreak/>
        <w:t xml:space="preserve">Table 4: </w:t>
      </w:r>
      <w:r w:rsidRPr="00540A02">
        <w:rPr>
          <w:rFonts w:ascii="Arial" w:hAnsi="Arial" w:cs="Arial"/>
        </w:rPr>
        <w:t>Farmer's Aggregated Number of Farmers Occupational Movement After the Implementation of RTL</w:t>
      </w:r>
    </w:p>
    <w:tbl>
      <w:tblPr>
        <w:tblpPr w:leftFromText="180" w:rightFromText="180" w:vertAnchor="text" w:horzAnchor="margin" w:tblpX="108" w:tblpY="145"/>
        <w:tblW w:w="5000" w:type="pct"/>
        <w:tblLayout w:type="fixed"/>
        <w:tblLook w:val="04A0" w:firstRow="1" w:lastRow="0" w:firstColumn="1" w:lastColumn="0" w:noHBand="0" w:noVBand="1"/>
      </w:tblPr>
      <w:tblGrid>
        <w:gridCol w:w="989"/>
        <w:gridCol w:w="680"/>
        <w:gridCol w:w="663"/>
        <w:gridCol w:w="691"/>
        <w:gridCol w:w="631"/>
        <w:gridCol w:w="717"/>
        <w:gridCol w:w="689"/>
        <w:gridCol w:w="698"/>
        <w:gridCol w:w="691"/>
        <w:gridCol w:w="711"/>
        <w:gridCol w:w="715"/>
        <w:gridCol w:w="691"/>
        <w:gridCol w:w="794"/>
      </w:tblGrid>
      <w:tr w:rsidR="00540A02" w:rsidRPr="00540A02" w14:paraId="76A3020B" w14:textId="77777777" w:rsidTr="00D13FC4">
        <w:trPr>
          <w:trHeight w:val="249"/>
        </w:trPr>
        <w:tc>
          <w:tcPr>
            <w:tcW w:w="529" w:type="pct"/>
            <w:vMerge w:val="restart"/>
            <w:tcBorders>
              <w:top w:val="single" w:sz="12" w:space="0" w:color="000000"/>
              <w:right w:val="single" w:sz="12" w:space="0" w:color="000000"/>
            </w:tcBorders>
            <w:noWrap/>
            <w:vAlign w:val="center"/>
            <w:hideMark/>
          </w:tcPr>
          <w:p w14:paraId="03AF85B8"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Region</w:t>
            </w:r>
          </w:p>
        </w:tc>
        <w:tc>
          <w:tcPr>
            <w:tcW w:w="1423" w:type="pct"/>
            <w:gridSpan w:val="4"/>
            <w:tcBorders>
              <w:top w:val="single" w:sz="12" w:space="0" w:color="000000"/>
              <w:left w:val="single" w:sz="12" w:space="0" w:color="000000"/>
              <w:bottom w:val="single" w:sz="12" w:space="0" w:color="000000"/>
              <w:right w:val="single" w:sz="12" w:space="0" w:color="000000"/>
            </w:tcBorders>
            <w:noWrap/>
            <w:vAlign w:val="bottom"/>
            <w:hideMark/>
          </w:tcPr>
          <w:p w14:paraId="7FA9864F"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BEFORE RTL</w:t>
            </w:r>
          </w:p>
        </w:tc>
        <w:tc>
          <w:tcPr>
            <w:tcW w:w="1493" w:type="pct"/>
            <w:gridSpan w:val="4"/>
            <w:tcBorders>
              <w:top w:val="single" w:sz="12" w:space="0" w:color="000000"/>
              <w:left w:val="single" w:sz="12" w:space="0" w:color="000000"/>
              <w:bottom w:val="single" w:sz="12" w:space="0" w:color="000000"/>
              <w:right w:val="single" w:sz="12" w:space="0" w:color="000000"/>
            </w:tcBorders>
            <w:noWrap/>
            <w:vAlign w:val="bottom"/>
            <w:hideMark/>
          </w:tcPr>
          <w:p w14:paraId="259273D2"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AFTER RTL</w:t>
            </w:r>
          </w:p>
        </w:tc>
        <w:tc>
          <w:tcPr>
            <w:tcW w:w="1555" w:type="pct"/>
            <w:gridSpan w:val="4"/>
            <w:tcBorders>
              <w:top w:val="single" w:sz="12" w:space="0" w:color="000000"/>
              <w:left w:val="single" w:sz="12" w:space="0" w:color="000000"/>
              <w:bottom w:val="single" w:sz="12" w:space="0" w:color="000000"/>
            </w:tcBorders>
            <w:noWrap/>
            <w:vAlign w:val="bottom"/>
            <w:hideMark/>
          </w:tcPr>
          <w:p w14:paraId="7E720126"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PERCENTAGE CHANGE</w:t>
            </w:r>
          </w:p>
        </w:tc>
      </w:tr>
      <w:tr w:rsidR="00540A02" w:rsidRPr="00540A02" w14:paraId="1038E10A" w14:textId="77777777" w:rsidTr="00D13FC4">
        <w:trPr>
          <w:trHeight w:val="708"/>
        </w:trPr>
        <w:tc>
          <w:tcPr>
            <w:tcW w:w="529" w:type="pct"/>
            <w:vMerge/>
            <w:tcBorders>
              <w:bottom w:val="single" w:sz="12" w:space="0" w:color="000000"/>
              <w:right w:val="single" w:sz="12" w:space="0" w:color="000000"/>
            </w:tcBorders>
            <w:vAlign w:val="center"/>
            <w:hideMark/>
          </w:tcPr>
          <w:p w14:paraId="669247EB" w14:textId="77777777" w:rsidR="00540A02" w:rsidRPr="00540A02" w:rsidRDefault="00540A02" w:rsidP="00D13FC4">
            <w:pPr>
              <w:rPr>
                <w:rFonts w:ascii="Arial" w:hAnsi="Arial" w:cs="Arial"/>
                <w:b/>
                <w:bCs/>
                <w:color w:val="000000"/>
                <w:sz w:val="18"/>
                <w:szCs w:val="18"/>
                <w:lang w:eastAsia="en-PH"/>
              </w:rPr>
            </w:pPr>
          </w:p>
        </w:tc>
        <w:tc>
          <w:tcPr>
            <w:tcW w:w="363" w:type="pct"/>
            <w:tcBorders>
              <w:top w:val="single" w:sz="12" w:space="0" w:color="000000"/>
              <w:left w:val="single" w:sz="12" w:space="0" w:color="000000"/>
              <w:bottom w:val="single" w:sz="12" w:space="0" w:color="000000"/>
            </w:tcBorders>
            <w:vAlign w:val="center"/>
            <w:hideMark/>
          </w:tcPr>
          <w:p w14:paraId="14DE002E"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Wage</w:t>
            </w:r>
          </w:p>
        </w:tc>
        <w:tc>
          <w:tcPr>
            <w:tcW w:w="354" w:type="pct"/>
            <w:tcBorders>
              <w:top w:val="single" w:sz="12" w:space="0" w:color="000000"/>
              <w:bottom w:val="single" w:sz="12" w:space="0" w:color="000000"/>
            </w:tcBorders>
            <w:vAlign w:val="center"/>
            <w:hideMark/>
          </w:tcPr>
          <w:p w14:paraId="23B99737" w14:textId="77777777" w:rsidR="00540A02" w:rsidRPr="00540A02" w:rsidRDefault="00540A02" w:rsidP="00D13FC4">
            <w:pPr>
              <w:jc w:val="center"/>
              <w:rPr>
                <w:rFonts w:ascii="Arial" w:hAnsi="Arial" w:cs="Arial"/>
                <w:b/>
                <w:bCs/>
                <w:color w:val="000000"/>
                <w:sz w:val="18"/>
                <w:szCs w:val="18"/>
                <w:lang w:eastAsia="en-PH"/>
              </w:rPr>
            </w:pPr>
            <w:proofErr w:type="gramStart"/>
            <w:r w:rsidRPr="00540A02">
              <w:rPr>
                <w:rFonts w:ascii="Arial" w:hAnsi="Arial" w:cs="Arial"/>
                <w:b/>
                <w:bCs/>
                <w:color w:val="000000"/>
                <w:sz w:val="18"/>
                <w:szCs w:val="18"/>
                <w:lang w:eastAsia="en-PH"/>
              </w:rPr>
              <w:t>Non Rice</w:t>
            </w:r>
            <w:proofErr w:type="gramEnd"/>
            <w:r w:rsidRPr="00540A02">
              <w:rPr>
                <w:rFonts w:ascii="Arial" w:hAnsi="Arial" w:cs="Arial"/>
                <w:b/>
                <w:bCs/>
                <w:color w:val="000000"/>
                <w:sz w:val="18"/>
                <w:szCs w:val="18"/>
                <w:lang w:eastAsia="en-PH"/>
              </w:rPr>
              <w:t xml:space="preserve"> Farning</w:t>
            </w:r>
          </w:p>
        </w:tc>
        <w:tc>
          <w:tcPr>
            <w:tcW w:w="369" w:type="pct"/>
            <w:tcBorders>
              <w:top w:val="single" w:sz="12" w:space="0" w:color="000000"/>
              <w:bottom w:val="single" w:sz="12" w:space="0" w:color="000000"/>
            </w:tcBorders>
            <w:vAlign w:val="center"/>
            <w:hideMark/>
          </w:tcPr>
          <w:p w14:paraId="21EADCCB"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Rice Farming</w:t>
            </w:r>
          </w:p>
        </w:tc>
        <w:tc>
          <w:tcPr>
            <w:tcW w:w="336" w:type="pct"/>
            <w:tcBorders>
              <w:top w:val="single" w:sz="12" w:space="0" w:color="000000"/>
              <w:bottom w:val="single" w:sz="12" w:space="0" w:color="000000"/>
              <w:right w:val="single" w:sz="12" w:space="0" w:color="000000"/>
            </w:tcBorders>
            <w:vAlign w:val="center"/>
            <w:hideMark/>
          </w:tcPr>
          <w:p w14:paraId="4A2519FB"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Unemployed</w:t>
            </w:r>
          </w:p>
        </w:tc>
        <w:tc>
          <w:tcPr>
            <w:tcW w:w="383" w:type="pct"/>
            <w:tcBorders>
              <w:top w:val="single" w:sz="12" w:space="0" w:color="000000"/>
              <w:left w:val="single" w:sz="12" w:space="0" w:color="000000"/>
              <w:bottom w:val="single" w:sz="12" w:space="0" w:color="000000"/>
            </w:tcBorders>
            <w:vAlign w:val="center"/>
            <w:hideMark/>
          </w:tcPr>
          <w:p w14:paraId="0C62A1E8"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Wage</w:t>
            </w:r>
          </w:p>
        </w:tc>
        <w:tc>
          <w:tcPr>
            <w:tcW w:w="368" w:type="pct"/>
            <w:tcBorders>
              <w:top w:val="single" w:sz="12" w:space="0" w:color="000000"/>
              <w:bottom w:val="single" w:sz="12" w:space="0" w:color="000000"/>
            </w:tcBorders>
            <w:vAlign w:val="center"/>
            <w:hideMark/>
          </w:tcPr>
          <w:p w14:paraId="3EE9EE17" w14:textId="77777777" w:rsidR="00540A02" w:rsidRPr="00540A02" w:rsidRDefault="00540A02" w:rsidP="00D13FC4">
            <w:pPr>
              <w:jc w:val="center"/>
              <w:rPr>
                <w:rFonts w:ascii="Arial" w:hAnsi="Arial" w:cs="Arial"/>
                <w:b/>
                <w:bCs/>
                <w:color w:val="000000"/>
                <w:sz w:val="18"/>
                <w:szCs w:val="18"/>
                <w:lang w:eastAsia="en-PH"/>
              </w:rPr>
            </w:pPr>
            <w:proofErr w:type="gramStart"/>
            <w:r w:rsidRPr="00540A02">
              <w:rPr>
                <w:rFonts w:ascii="Arial" w:hAnsi="Arial" w:cs="Arial"/>
                <w:b/>
                <w:bCs/>
                <w:color w:val="000000"/>
                <w:sz w:val="18"/>
                <w:szCs w:val="18"/>
                <w:lang w:eastAsia="en-PH"/>
              </w:rPr>
              <w:t>Non Rice</w:t>
            </w:r>
            <w:proofErr w:type="gramEnd"/>
            <w:r w:rsidRPr="00540A02">
              <w:rPr>
                <w:rFonts w:ascii="Arial" w:hAnsi="Arial" w:cs="Arial"/>
                <w:b/>
                <w:bCs/>
                <w:color w:val="000000"/>
                <w:sz w:val="18"/>
                <w:szCs w:val="18"/>
                <w:lang w:eastAsia="en-PH"/>
              </w:rPr>
              <w:t xml:space="preserve"> Farning</w:t>
            </w:r>
          </w:p>
        </w:tc>
        <w:tc>
          <w:tcPr>
            <w:tcW w:w="373" w:type="pct"/>
            <w:tcBorders>
              <w:top w:val="single" w:sz="12" w:space="0" w:color="000000"/>
              <w:bottom w:val="single" w:sz="12" w:space="0" w:color="000000"/>
            </w:tcBorders>
            <w:vAlign w:val="center"/>
            <w:hideMark/>
          </w:tcPr>
          <w:p w14:paraId="2F5FB3A9"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Rice Farming</w:t>
            </w:r>
          </w:p>
        </w:tc>
        <w:tc>
          <w:tcPr>
            <w:tcW w:w="369" w:type="pct"/>
            <w:tcBorders>
              <w:top w:val="single" w:sz="12" w:space="0" w:color="000000"/>
              <w:bottom w:val="single" w:sz="12" w:space="0" w:color="000000"/>
              <w:right w:val="single" w:sz="12" w:space="0" w:color="000000"/>
            </w:tcBorders>
            <w:vAlign w:val="center"/>
            <w:hideMark/>
          </w:tcPr>
          <w:p w14:paraId="057C22EE"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Unemployed</w:t>
            </w:r>
          </w:p>
        </w:tc>
        <w:tc>
          <w:tcPr>
            <w:tcW w:w="380" w:type="pct"/>
            <w:tcBorders>
              <w:top w:val="single" w:sz="12" w:space="0" w:color="000000"/>
              <w:left w:val="single" w:sz="12" w:space="0" w:color="000000"/>
              <w:bottom w:val="single" w:sz="12" w:space="0" w:color="000000"/>
            </w:tcBorders>
            <w:vAlign w:val="center"/>
            <w:hideMark/>
          </w:tcPr>
          <w:p w14:paraId="0654B159"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Wage</w:t>
            </w:r>
          </w:p>
        </w:tc>
        <w:tc>
          <w:tcPr>
            <w:tcW w:w="382" w:type="pct"/>
            <w:tcBorders>
              <w:top w:val="single" w:sz="12" w:space="0" w:color="000000"/>
              <w:bottom w:val="single" w:sz="12" w:space="0" w:color="000000"/>
            </w:tcBorders>
            <w:vAlign w:val="center"/>
            <w:hideMark/>
          </w:tcPr>
          <w:p w14:paraId="7A244F3D" w14:textId="77777777" w:rsidR="00540A02" w:rsidRPr="00540A02" w:rsidRDefault="00540A02" w:rsidP="00D13FC4">
            <w:pPr>
              <w:jc w:val="center"/>
              <w:rPr>
                <w:rFonts w:ascii="Arial" w:hAnsi="Arial" w:cs="Arial"/>
                <w:b/>
                <w:bCs/>
                <w:color w:val="000000"/>
                <w:sz w:val="18"/>
                <w:szCs w:val="18"/>
                <w:lang w:eastAsia="en-PH"/>
              </w:rPr>
            </w:pPr>
            <w:proofErr w:type="gramStart"/>
            <w:r w:rsidRPr="00540A02">
              <w:rPr>
                <w:rFonts w:ascii="Arial" w:hAnsi="Arial" w:cs="Arial"/>
                <w:b/>
                <w:bCs/>
                <w:color w:val="000000"/>
                <w:sz w:val="18"/>
                <w:szCs w:val="18"/>
                <w:lang w:eastAsia="en-PH"/>
              </w:rPr>
              <w:t>Non Rice</w:t>
            </w:r>
            <w:proofErr w:type="gramEnd"/>
            <w:r w:rsidRPr="00540A02">
              <w:rPr>
                <w:rFonts w:ascii="Arial" w:hAnsi="Arial" w:cs="Arial"/>
                <w:b/>
                <w:bCs/>
                <w:color w:val="000000"/>
                <w:sz w:val="18"/>
                <w:szCs w:val="18"/>
                <w:lang w:eastAsia="en-PH"/>
              </w:rPr>
              <w:t xml:space="preserve"> Farning</w:t>
            </w:r>
          </w:p>
        </w:tc>
        <w:tc>
          <w:tcPr>
            <w:tcW w:w="369" w:type="pct"/>
            <w:tcBorders>
              <w:top w:val="single" w:sz="12" w:space="0" w:color="000000"/>
              <w:bottom w:val="single" w:sz="12" w:space="0" w:color="000000"/>
            </w:tcBorders>
            <w:vAlign w:val="center"/>
            <w:hideMark/>
          </w:tcPr>
          <w:p w14:paraId="5E00C1EE"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Rice Farming</w:t>
            </w:r>
          </w:p>
        </w:tc>
        <w:tc>
          <w:tcPr>
            <w:tcW w:w="424" w:type="pct"/>
            <w:tcBorders>
              <w:top w:val="single" w:sz="12" w:space="0" w:color="000000"/>
              <w:bottom w:val="single" w:sz="12" w:space="0" w:color="000000"/>
            </w:tcBorders>
            <w:vAlign w:val="center"/>
            <w:hideMark/>
          </w:tcPr>
          <w:p w14:paraId="5E1CC185" w14:textId="77777777" w:rsidR="00540A02" w:rsidRPr="00540A02" w:rsidRDefault="00540A02" w:rsidP="00D13FC4">
            <w:pPr>
              <w:jc w:val="center"/>
              <w:rPr>
                <w:rFonts w:ascii="Arial" w:hAnsi="Arial" w:cs="Arial"/>
                <w:b/>
                <w:bCs/>
                <w:color w:val="000000"/>
                <w:sz w:val="18"/>
                <w:szCs w:val="18"/>
                <w:lang w:eastAsia="en-PH"/>
              </w:rPr>
            </w:pPr>
            <w:r w:rsidRPr="00540A02">
              <w:rPr>
                <w:rFonts w:ascii="Arial" w:hAnsi="Arial" w:cs="Arial"/>
                <w:b/>
                <w:bCs/>
                <w:color w:val="000000"/>
                <w:sz w:val="18"/>
                <w:szCs w:val="18"/>
                <w:lang w:eastAsia="en-PH"/>
              </w:rPr>
              <w:t>Unemployed</w:t>
            </w:r>
          </w:p>
        </w:tc>
      </w:tr>
      <w:tr w:rsidR="00540A02" w:rsidRPr="00540A02" w14:paraId="7BD63A12" w14:textId="77777777" w:rsidTr="00D13FC4">
        <w:trPr>
          <w:trHeight w:val="239"/>
        </w:trPr>
        <w:tc>
          <w:tcPr>
            <w:tcW w:w="529" w:type="pct"/>
            <w:tcBorders>
              <w:top w:val="single" w:sz="12" w:space="0" w:color="000000"/>
              <w:right w:val="single" w:sz="12" w:space="0" w:color="000000"/>
            </w:tcBorders>
            <w:noWrap/>
            <w:vAlign w:val="bottom"/>
            <w:hideMark/>
          </w:tcPr>
          <w:p w14:paraId="711DE850"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I</w:t>
            </w:r>
          </w:p>
        </w:tc>
        <w:tc>
          <w:tcPr>
            <w:tcW w:w="363" w:type="pct"/>
            <w:tcBorders>
              <w:top w:val="single" w:sz="12" w:space="0" w:color="000000"/>
              <w:left w:val="single" w:sz="12" w:space="0" w:color="000000"/>
            </w:tcBorders>
            <w:noWrap/>
            <w:vAlign w:val="bottom"/>
            <w:hideMark/>
          </w:tcPr>
          <w:p w14:paraId="2366414C"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2413</w:t>
            </w:r>
          </w:p>
        </w:tc>
        <w:tc>
          <w:tcPr>
            <w:tcW w:w="354" w:type="pct"/>
            <w:tcBorders>
              <w:top w:val="single" w:sz="12" w:space="0" w:color="000000"/>
            </w:tcBorders>
            <w:noWrap/>
            <w:vAlign w:val="bottom"/>
            <w:hideMark/>
          </w:tcPr>
          <w:p w14:paraId="24E3BA6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1241</w:t>
            </w:r>
          </w:p>
        </w:tc>
        <w:tc>
          <w:tcPr>
            <w:tcW w:w="369" w:type="pct"/>
            <w:tcBorders>
              <w:top w:val="single" w:sz="12" w:space="0" w:color="000000"/>
            </w:tcBorders>
            <w:noWrap/>
            <w:vAlign w:val="bottom"/>
            <w:hideMark/>
          </w:tcPr>
          <w:p w14:paraId="4F71F6C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835</w:t>
            </w:r>
          </w:p>
        </w:tc>
        <w:tc>
          <w:tcPr>
            <w:tcW w:w="336" w:type="pct"/>
            <w:tcBorders>
              <w:top w:val="single" w:sz="12" w:space="0" w:color="000000"/>
              <w:right w:val="single" w:sz="12" w:space="0" w:color="000000"/>
            </w:tcBorders>
            <w:noWrap/>
            <w:vAlign w:val="bottom"/>
            <w:hideMark/>
          </w:tcPr>
          <w:p w14:paraId="6215EEF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1403</w:t>
            </w:r>
          </w:p>
        </w:tc>
        <w:tc>
          <w:tcPr>
            <w:tcW w:w="383" w:type="pct"/>
            <w:tcBorders>
              <w:top w:val="single" w:sz="12" w:space="0" w:color="000000"/>
              <w:left w:val="single" w:sz="12" w:space="0" w:color="000000"/>
            </w:tcBorders>
            <w:noWrap/>
            <w:vAlign w:val="bottom"/>
            <w:hideMark/>
          </w:tcPr>
          <w:p w14:paraId="7E7D410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2415</w:t>
            </w:r>
          </w:p>
        </w:tc>
        <w:tc>
          <w:tcPr>
            <w:tcW w:w="368" w:type="pct"/>
            <w:tcBorders>
              <w:top w:val="single" w:sz="12" w:space="0" w:color="000000"/>
            </w:tcBorders>
            <w:noWrap/>
            <w:vAlign w:val="bottom"/>
            <w:hideMark/>
          </w:tcPr>
          <w:p w14:paraId="2635D9A8"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1283</w:t>
            </w:r>
          </w:p>
        </w:tc>
        <w:tc>
          <w:tcPr>
            <w:tcW w:w="373" w:type="pct"/>
            <w:tcBorders>
              <w:top w:val="single" w:sz="12" w:space="0" w:color="000000"/>
            </w:tcBorders>
            <w:noWrap/>
            <w:vAlign w:val="bottom"/>
            <w:hideMark/>
          </w:tcPr>
          <w:p w14:paraId="7AEBC99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1331</w:t>
            </w:r>
          </w:p>
        </w:tc>
        <w:tc>
          <w:tcPr>
            <w:tcW w:w="369" w:type="pct"/>
            <w:tcBorders>
              <w:top w:val="single" w:sz="12" w:space="0" w:color="000000"/>
              <w:right w:val="single" w:sz="12" w:space="0" w:color="000000"/>
            </w:tcBorders>
            <w:noWrap/>
            <w:vAlign w:val="bottom"/>
            <w:hideMark/>
          </w:tcPr>
          <w:p w14:paraId="42A16B3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1626</w:t>
            </w:r>
          </w:p>
        </w:tc>
        <w:tc>
          <w:tcPr>
            <w:tcW w:w="380" w:type="pct"/>
            <w:tcBorders>
              <w:top w:val="single" w:sz="12" w:space="0" w:color="000000"/>
              <w:left w:val="single" w:sz="12" w:space="0" w:color="000000"/>
            </w:tcBorders>
            <w:noWrap/>
            <w:vAlign w:val="center"/>
            <w:hideMark/>
          </w:tcPr>
          <w:p w14:paraId="459BE4CB"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tcBorders>
              <w:top w:val="single" w:sz="12" w:space="0" w:color="000000"/>
            </w:tcBorders>
            <w:noWrap/>
            <w:vAlign w:val="center"/>
            <w:hideMark/>
          </w:tcPr>
          <w:p w14:paraId="08A50D3A"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69" w:type="pct"/>
            <w:tcBorders>
              <w:top w:val="single" w:sz="12" w:space="0" w:color="000000"/>
            </w:tcBorders>
            <w:noWrap/>
            <w:vAlign w:val="center"/>
            <w:hideMark/>
          </w:tcPr>
          <w:p w14:paraId="3EF9168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0.59</w:t>
            </w:r>
          </w:p>
        </w:tc>
        <w:tc>
          <w:tcPr>
            <w:tcW w:w="424" w:type="pct"/>
            <w:tcBorders>
              <w:top w:val="single" w:sz="12" w:space="0" w:color="000000"/>
            </w:tcBorders>
            <w:noWrap/>
            <w:vAlign w:val="center"/>
            <w:hideMark/>
          </w:tcPr>
          <w:p w14:paraId="74E121AF"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0.16</w:t>
            </w:r>
          </w:p>
        </w:tc>
      </w:tr>
      <w:tr w:rsidR="00540A02" w:rsidRPr="00540A02" w14:paraId="2D7D79CF" w14:textId="77777777" w:rsidTr="00D13FC4">
        <w:trPr>
          <w:trHeight w:val="226"/>
        </w:trPr>
        <w:tc>
          <w:tcPr>
            <w:tcW w:w="529" w:type="pct"/>
            <w:tcBorders>
              <w:right w:val="single" w:sz="12" w:space="0" w:color="000000"/>
            </w:tcBorders>
            <w:noWrap/>
            <w:vAlign w:val="bottom"/>
            <w:hideMark/>
          </w:tcPr>
          <w:p w14:paraId="647EBC59"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II</w:t>
            </w:r>
          </w:p>
        </w:tc>
        <w:tc>
          <w:tcPr>
            <w:tcW w:w="363" w:type="pct"/>
            <w:tcBorders>
              <w:left w:val="single" w:sz="12" w:space="0" w:color="000000"/>
            </w:tcBorders>
            <w:noWrap/>
            <w:vAlign w:val="bottom"/>
            <w:hideMark/>
          </w:tcPr>
          <w:p w14:paraId="6D0C8D4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2733</w:t>
            </w:r>
          </w:p>
        </w:tc>
        <w:tc>
          <w:tcPr>
            <w:tcW w:w="354" w:type="pct"/>
            <w:noWrap/>
            <w:vAlign w:val="bottom"/>
            <w:hideMark/>
          </w:tcPr>
          <w:p w14:paraId="1593D82C"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2220</w:t>
            </w:r>
          </w:p>
        </w:tc>
        <w:tc>
          <w:tcPr>
            <w:tcW w:w="369" w:type="pct"/>
            <w:noWrap/>
            <w:vAlign w:val="bottom"/>
            <w:hideMark/>
          </w:tcPr>
          <w:p w14:paraId="63D8D6A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235</w:t>
            </w:r>
          </w:p>
        </w:tc>
        <w:tc>
          <w:tcPr>
            <w:tcW w:w="336" w:type="pct"/>
            <w:tcBorders>
              <w:right w:val="single" w:sz="12" w:space="0" w:color="000000"/>
            </w:tcBorders>
            <w:noWrap/>
            <w:vAlign w:val="bottom"/>
            <w:hideMark/>
          </w:tcPr>
          <w:p w14:paraId="10AF366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1090</w:t>
            </w:r>
          </w:p>
        </w:tc>
        <w:tc>
          <w:tcPr>
            <w:tcW w:w="383" w:type="pct"/>
            <w:tcBorders>
              <w:left w:val="single" w:sz="12" w:space="0" w:color="000000"/>
            </w:tcBorders>
            <w:noWrap/>
            <w:vAlign w:val="bottom"/>
            <w:hideMark/>
          </w:tcPr>
          <w:p w14:paraId="2CC8068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2761</w:t>
            </w:r>
          </w:p>
        </w:tc>
        <w:tc>
          <w:tcPr>
            <w:tcW w:w="368" w:type="pct"/>
            <w:noWrap/>
            <w:vAlign w:val="bottom"/>
            <w:hideMark/>
          </w:tcPr>
          <w:p w14:paraId="10AF70D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2236</w:t>
            </w:r>
          </w:p>
        </w:tc>
        <w:tc>
          <w:tcPr>
            <w:tcW w:w="373" w:type="pct"/>
            <w:noWrap/>
            <w:vAlign w:val="bottom"/>
            <w:hideMark/>
          </w:tcPr>
          <w:p w14:paraId="3587BA7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367</w:t>
            </w:r>
          </w:p>
        </w:tc>
        <w:tc>
          <w:tcPr>
            <w:tcW w:w="369" w:type="pct"/>
            <w:tcBorders>
              <w:right w:val="single" w:sz="12" w:space="0" w:color="000000"/>
            </w:tcBorders>
            <w:noWrap/>
            <w:vAlign w:val="bottom"/>
            <w:hideMark/>
          </w:tcPr>
          <w:p w14:paraId="330A794C"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1168</w:t>
            </w:r>
          </w:p>
        </w:tc>
        <w:tc>
          <w:tcPr>
            <w:tcW w:w="380" w:type="pct"/>
            <w:tcBorders>
              <w:left w:val="single" w:sz="12" w:space="0" w:color="000000"/>
            </w:tcBorders>
            <w:noWrap/>
            <w:vAlign w:val="center"/>
            <w:hideMark/>
          </w:tcPr>
          <w:p w14:paraId="33DC2650"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FB68C67"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39350DE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0.56</w:t>
            </w:r>
          </w:p>
        </w:tc>
        <w:tc>
          <w:tcPr>
            <w:tcW w:w="424" w:type="pct"/>
            <w:noWrap/>
            <w:vAlign w:val="center"/>
            <w:hideMark/>
          </w:tcPr>
          <w:p w14:paraId="43624F00"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2FA6304D" w14:textId="77777777" w:rsidTr="00D13FC4">
        <w:trPr>
          <w:trHeight w:val="226"/>
        </w:trPr>
        <w:tc>
          <w:tcPr>
            <w:tcW w:w="529" w:type="pct"/>
            <w:tcBorders>
              <w:right w:val="single" w:sz="12" w:space="0" w:color="000000"/>
            </w:tcBorders>
            <w:noWrap/>
            <w:vAlign w:val="bottom"/>
            <w:hideMark/>
          </w:tcPr>
          <w:p w14:paraId="41B6C6A0"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III</w:t>
            </w:r>
          </w:p>
        </w:tc>
        <w:tc>
          <w:tcPr>
            <w:tcW w:w="363" w:type="pct"/>
            <w:tcBorders>
              <w:left w:val="single" w:sz="12" w:space="0" w:color="000000"/>
            </w:tcBorders>
            <w:noWrap/>
            <w:vAlign w:val="bottom"/>
            <w:hideMark/>
          </w:tcPr>
          <w:p w14:paraId="1BEECC75"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5593</w:t>
            </w:r>
          </w:p>
        </w:tc>
        <w:tc>
          <w:tcPr>
            <w:tcW w:w="354" w:type="pct"/>
            <w:noWrap/>
            <w:vAlign w:val="bottom"/>
            <w:hideMark/>
          </w:tcPr>
          <w:p w14:paraId="3326604C"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2676</w:t>
            </w:r>
          </w:p>
        </w:tc>
        <w:tc>
          <w:tcPr>
            <w:tcW w:w="369" w:type="pct"/>
            <w:noWrap/>
            <w:vAlign w:val="bottom"/>
            <w:hideMark/>
          </w:tcPr>
          <w:p w14:paraId="62491B8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479</w:t>
            </w:r>
          </w:p>
        </w:tc>
        <w:tc>
          <w:tcPr>
            <w:tcW w:w="336" w:type="pct"/>
            <w:tcBorders>
              <w:right w:val="single" w:sz="12" w:space="0" w:color="000000"/>
            </w:tcBorders>
            <w:noWrap/>
            <w:vAlign w:val="bottom"/>
            <w:hideMark/>
          </w:tcPr>
          <w:p w14:paraId="29B0D9D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3059</w:t>
            </w:r>
          </w:p>
        </w:tc>
        <w:tc>
          <w:tcPr>
            <w:tcW w:w="383" w:type="pct"/>
            <w:tcBorders>
              <w:left w:val="single" w:sz="12" w:space="0" w:color="000000"/>
            </w:tcBorders>
            <w:noWrap/>
            <w:vAlign w:val="bottom"/>
            <w:hideMark/>
          </w:tcPr>
          <w:p w14:paraId="00A0D20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5609</w:t>
            </w:r>
          </w:p>
        </w:tc>
        <w:tc>
          <w:tcPr>
            <w:tcW w:w="368" w:type="pct"/>
            <w:noWrap/>
            <w:vAlign w:val="bottom"/>
            <w:hideMark/>
          </w:tcPr>
          <w:p w14:paraId="34A5819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2701</w:t>
            </w:r>
          </w:p>
        </w:tc>
        <w:tc>
          <w:tcPr>
            <w:tcW w:w="373" w:type="pct"/>
            <w:noWrap/>
            <w:vAlign w:val="bottom"/>
            <w:hideMark/>
          </w:tcPr>
          <w:p w14:paraId="4C68BEFE"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744</w:t>
            </w:r>
          </w:p>
        </w:tc>
        <w:tc>
          <w:tcPr>
            <w:tcW w:w="369" w:type="pct"/>
            <w:tcBorders>
              <w:right w:val="single" w:sz="12" w:space="0" w:color="000000"/>
            </w:tcBorders>
            <w:noWrap/>
            <w:vAlign w:val="bottom"/>
            <w:hideMark/>
          </w:tcPr>
          <w:p w14:paraId="6973EC67"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3279</w:t>
            </w:r>
          </w:p>
        </w:tc>
        <w:tc>
          <w:tcPr>
            <w:tcW w:w="380" w:type="pct"/>
            <w:tcBorders>
              <w:left w:val="single" w:sz="12" w:space="0" w:color="000000"/>
            </w:tcBorders>
            <w:noWrap/>
            <w:vAlign w:val="center"/>
            <w:hideMark/>
          </w:tcPr>
          <w:p w14:paraId="1F41109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noWrap/>
            <w:vAlign w:val="center"/>
            <w:hideMark/>
          </w:tcPr>
          <w:p w14:paraId="1E25931F"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2289DD30"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0.55</w:t>
            </w:r>
          </w:p>
        </w:tc>
        <w:tc>
          <w:tcPr>
            <w:tcW w:w="424" w:type="pct"/>
            <w:noWrap/>
            <w:vAlign w:val="center"/>
            <w:hideMark/>
          </w:tcPr>
          <w:p w14:paraId="1DF73482"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5B4FC1B4" w14:textId="77777777" w:rsidTr="00D13FC4">
        <w:trPr>
          <w:trHeight w:val="226"/>
        </w:trPr>
        <w:tc>
          <w:tcPr>
            <w:tcW w:w="529" w:type="pct"/>
            <w:tcBorders>
              <w:right w:val="single" w:sz="12" w:space="0" w:color="000000"/>
            </w:tcBorders>
            <w:noWrap/>
            <w:vAlign w:val="bottom"/>
            <w:hideMark/>
          </w:tcPr>
          <w:p w14:paraId="1597C1FB"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IVA</w:t>
            </w:r>
          </w:p>
        </w:tc>
        <w:tc>
          <w:tcPr>
            <w:tcW w:w="363" w:type="pct"/>
            <w:tcBorders>
              <w:left w:val="single" w:sz="12" w:space="0" w:color="000000"/>
            </w:tcBorders>
            <w:noWrap/>
            <w:vAlign w:val="bottom"/>
            <w:hideMark/>
          </w:tcPr>
          <w:p w14:paraId="79F9830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3587</w:t>
            </w:r>
          </w:p>
        </w:tc>
        <w:tc>
          <w:tcPr>
            <w:tcW w:w="354" w:type="pct"/>
            <w:noWrap/>
            <w:vAlign w:val="bottom"/>
            <w:hideMark/>
          </w:tcPr>
          <w:p w14:paraId="7423F935"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1743</w:t>
            </w:r>
          </w:p>
        </w:tc>
        <w:tc>
          <w:tcPr>
            <w:tcW w:w="369" w:type="pct"/>
            <w:noWrap/>
            <w:vAlign w:val="bottom"/>
            <w:hideMark/>
          </w:tcPr>
          <w:p w14:paraId="231C4E7B"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248</w:t>
            </w:r>
          </w:p>
        </w:tc>
        <w:tc>
          <w:tcPr>
            <w:tcW w:w="336" w:type="pct"/>
            <w:tcBorders>
              <w:right w:val="single" w:sz="12" w:space="0" w:color="000000"/>
            </w:tcBorders>
            <w:noWrap/>
            <w:vAlign w:val="bottom"/>
            <w:hideMark/>
          </w:tcPr>
          <w:p w14:paraId="0FFB91A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1775</w:t>
            </w:r>
          </w:p>
        </w:tc>
        <w:tc>
          <w:tcPr>
            <w:tcW w:w="383" w:type="pct"/>
            <w:tcBorders>
              <w:left w:val="single" w:sz="12" w:space="0" w:color="000000"/>
            </w:tcBorders>
            <w:noWrap/>
            <w:vAlign w:val="bottom"/>
            <w:hideMark/>
          </w:tcPr>
          <w:p w14:paraId="410EE29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3614</w:t>
            </w:r>
          </w:p>
        </w:tc>
        <w:tc>
          <w:tcPr>
            <w:tcW w:w="368" w:type="pct"/>
            <w:noWrap/>
            <w:vAlign w:val="bottom"/>
            <w:hideMark/>
          </w:tcPr>
          <w:p w14:paraId="7317CCE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1762</w:t>
            </w:r>
          </w:p>
        </w:tc>
        <w:tc>
          <w:tcPr>
            <w:tcW w:w="373" w:type="pct"/>
            <w:noWrap/>
            <w:vAlign w:val="bottom"/>
            <w:hideMark/>
          </w:tcPr>
          <w:p w14:paraId="731C2157"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335</w:t>
            </w:r>
          </w:p>
        </w:tc>
        <w:tc>
          <w:tcPr>
            <w:tcW w:w="369" w:type="pct"/>
            <w:tcBorders>
              <w:right w:val="single" w:sz="12" w:space="0" w:color="000000"/>
            </w:tcBorders>
            <w:noWrap/>
            <w:vAlign w:val="bottom"/>
            <w:hideMark/>
          </w:tcPr>
          <w:p w14:paraId="1937F0A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1929</w:t>
            </w:r>
          </w:p>
        </w:tc>
        <w:tc>
          <w:tcPr>
            <w:tcW w:w="380" w:type="pct"/>
            <w:tcBorders>
              <w:left w:val="single" w:sz="12" w:space="0" w:color="000000"/>
            </w:tcBorders>
            <w:noWrap/>
            <w:vAlign w:val="center"/>
            <w:hideMark/>
          </w:tcPr>
          <w:p w14:paraId="12172B3B"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DE228A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083DC385"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0.35</w:t>
            </w:r>
          </w:p>
        </w:tc>
        <w:tc>
          <w:tcPr>
            <w:tcW w:w="424" w:type="pct"/>
            <w:noWrap/>
            <w:vAlign w:val="center"/>
            <w:hideMark/>
          </w:tcPr>
          <w:p w14:paraId="448271AD"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0.09</w:t>
            </w:r>
          </w:p>
        </w:tc>
      </w:tr>
      <w:tr w:rsidR="00540A02" w:rsidRPr="00540A02" w14:paraId="7C231AD6" w14:textId="77777777" w:rsidTr="00D13FC4">
        <w:trPr>
          <w:trHeight w:val="226"/>
        </w:trPr>
        <w:tc>
          <w:tcPr>
            <w:tcW w:w="529" w:type="pct"/>
            <w:tcBorders>
              <w:right w:val="single" w:sz="12" w:space="0" w:color="000000"/>
            </w:tcBorders>
            <w:noWrap/>
            <w:vAlign w:val="bottom"/>
            <w:hideMark/>
          </w:tcPr>
          <w:p w14:paraId="1DC6F7A6"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IVB</w:t>
            </w:r>
          </w:p>
        </w:tc>
        <w:tc>
          <w:tcPr>
            <w:tcW w:w="363" w:type="pct"/>
            <w:tcBorders>
              <w:left w:val="single" w:sz="12" w:space="0" w:color="000000"/>
            </w:tcBorders>
            <w:noWrap/>
            <w:vAlign w:val="bottom"/>
            <w:hideMark/>
          </w:tcPr>
          <w:p w14:paraId="75176C4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3396</w:t>
            </w:r>
          </w:p>
        </w:tc>
        <w:tc>
          <w:tcPr>
            <w:tcW w:w="354" w:type="pct"/>
            <w:noWrap/>
            <w:vAlign w:val="bottom"/>
            <w:hideMark/>
          </w:tcPr>
          <w:p w14:paraId="1EA2AD6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2696</w:t>
            </w:r>
          </w:p>
        </w:tc>
        <w:tc>
          <w:tcPr>
            <w:tcW w:w="369" w:type="pct"/>
            <w:noWrap/>
            <w:vAlign w:val="bottom"/>
            <w:hideMark/>
          </w:tcPr>
          <w:p w14:paraId="61E208D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301</w:t>
            </w:r>
          </w:p>
        </w:tc>
        <w:tc>
          <w:tcPr>
            <w:tcW w:w="336" w:type="pct"/>
            <w:tcBorders>
              <w:right w:val="single" w:sz="12" w:space="0" w:color="000000"/>
            </w:tcBorders>
            <w:noWrap/>
            <w:vAlign w:val="bottom"/>
            <w:hideMark/>
          </w:tcPr>
          <w:p w14:paraId="3779756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1556</w:t>
            </w:r>
          </w:p>
        </w:tc>
        <w:tc>
          <w:tcPr>
            <w:tcW w:w="383" w:type="pct"/>
            <w:tcBorders>
              <w:left w:val="single" w:sz="12" w:space="0" w:color="000000"/>
            </w:tcBorders>
            <w:noWrap/>
            <w:vAlign w:val="bottom"/>
            <w:hideMark/>
          </w:tcPr>
          <w:p w14:paraId="49998F5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3422</w:t>
            </w:r>
          </w:p>
        </w:tc>
        <w:tc>
          <w:tcPr>
            <w:tcW w:w="368" w:type="pct"/>
            <w:noWrap/>
            <w:vAlign w:val="bottom"/>
            <w:hideMark/>
          </w:tcPr>
          <w:p w14:paraId="231DBD4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2720</w:t>
            </w:r>
          </w:p>
        </w:tc>
        <w:tc>
          <w:tcPr>
            <w:tcW w:w="373" w:type="pct"/>
            <w:noWrap/>
            <w:vAlign w:val="bottom"/>
            <w:hideMark/>
          </w:tcPr>
          <w:p w14:paraId="46F3F6A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459</w:t>
            </w:r>
          </w:p>
        </w:tc>
        <w:tc>
          <w:tcPr>
            <w:tcW w:w="369" w:type="pct"/>
            <w:tcBorders>
              <w:right w:val="single" w:sz="12" w:space="0" w:color="000000"/>
            </w:tcBorders>
            <w:noWrap/>
            <w:vAlign w:val="bottom"/>
            <w:hideMark/>
          </w:tcPr>
          <w:p w14:paraId="18497F8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1682</w:t>
            </w:r>
          </w:p>
        </w:tc>
        <w:tc>
          <w:tcPr>
            <w:tcW w:w="380" w:type="pct"/>
            <w:tcBorders>
              <w:left w:val="single" w:sz="12" w:space="0" w:color="000000"/>
            </w:tcBorders>
            <w:noWrap/>
            <w:vAlign w:val="center"/>
            <w:hideMark/>
          </w:tcPr>
          <w:p w14:paraId="56ADBC8D"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62273FA4"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16C16F4A"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0.52</w:t>
            </w:r>
          </w:p>
        </w:tc>
        <w:tc>
          <w:tcPr>
            <w:tcW w:w="424" w:type="pct"/>
            <w:noWrap/>
            <w:vAlign w:val="center"/>
            <w:hideMark/>
          </w:tcPr>
          <w:p w14:paraId="15D7354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0.08</w:t>
            </w:r>
          </w:p>
        </w:tc>
      </w:tr>
      <w:tr w:rsidR="00540A02" w:rsidRPr="00540A02" w14:paraId="02CA020F" w14:textId="77777777" w:rsidTr="00D13FC4">
        <w:trPr>
          <w:trHeight w:val="317"/>
        </w:trPr>
        <w:tc>
          <w:tcPr>
            <w:tcW w:w="529" w:type="pct"/>
            <w:tcBorders>
              <w:right w:val="single" w:sz="12" w:space="0" w:color="000000"/>
            </w:tcBorders>
            <w:noWrap/>
            <w:vAlign w:val="bottom"/>
            <w:hideMark/>
          </w:tcPr>
          <w:p w14:paraId="69C9793A"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V</w:t>
            </w:r>
          </w:p>
        </w:tc>
        <w:tc>
          <w:tcPr>
            <w:tcW w:w="363" w:type="pct"/>
            <w:tcBorders>
              <w:left w:val="single" w:sz="12" w:space="0" w:color="000000"/>
            </w:tcBorders>
            <w:noWrap/>
            <w:vAlign w:val="bottom"/>
            <w:hideMark/>
          </w:tcPr>
          <w:p w14:paraId="713C9F1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3224</w:t>
            </w:r>
          </w:p>
        </w:tc>
        <w:tc>
          <w:tcPr>
            <w:tcW w:w="354" w:type="pct"/>
            <w:noWrap/>
            <w:vAlign w:val="bottom"/>
            <w:hideMark/>
          </w:tcPr>
          <w:p w14:paraId="3DAFA98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2786</w:t>
            </w:r>
          </w:p>
        </w:tc>
        <w:tc>
          <w:tcPr>
            <w:tcW w:w="369" w:type="pct"/>
            <w:noWrap/>
            <w:vAlign w:val="bottom"/>
            <w:hideMark/>
          </w:tcPr>
          <w:p w14:paraId="1707127C"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290</w:t>
            </w:r>
          </w:p>
        </w:tc>
        <w:tc>
          <w:tcPr>
            <w:tcW w:w="336" w:type="pct"/>
            <w:tcBorders>
              <w:right w:val="single" w:sz="12" w:space="0" w:color="000000"/>
            </w:tcBorders>
            <w:noWrap/>
            <w:vAlign w:val="bottom"/>
            <w:hideMark/>
          </w:tcPr>
          <w:p w14:paraId="055CD73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1899</w:t>
            </w:r>
          </w:p>
        </w:tc>
        <w:tc>
          <w:tcPr>
            <w:tcW w:w="383" w:type="pct"/>
            <w:tcBorders>
              <w:left w:val="single" w:sz="12" w:space="0" w:color="000000"/>
            </w:tcBorders>
            <w:noWrap/>
            <w:vAlign w:val="bottom"/>
            <w:hideMark/>
          </w:tcPr>
          <w:p w14:paraId="55BA483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3253</w:t>
            </w:r>
          </w:p>
        </w:tc>
        <w:tc>
          <w:tcPr>
            <w:tcW w:w="368" w:type="pct"/>
            <w:noWrap/>
            <w:vAlign w:val="bottom"/>
            <w:hideMark/>
          </w:tcPr>
          <w:p w14:paraId="6670D53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2822</w:t>
            </w:r>
          </w:p>
        </w:tc>
        <w:tc>
          <w:tcPr>
            <w:tcW w:w="373" w:type="pct"/>
            <w:noWrap/>
            <w:vAlign w:val="bottom"/>
            <w:hideMark/>
          </w:tcPr>
          <w:p w14:paraId="11AFC4F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434</w:t>
            </w:r>
          </w:p>
        </w:tc>
        <w:tc>
          <w:tcPr>
            <w:tcW w:w="369" w:type="pct"/>
            <w:tcBorders>
              <w:right w:val="single" w:sz="12" w:space="0" w:color="000000"/>
            </w:tcBorders>
            <w:noWrap/>
            <w:vAlign w:val="bottom"/>
            <w:hideMark/>
          </w:tcPr>
          <w:p w14:paraId="1F251858"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2023</w:t>
            </w:r>
          </w:p>
        </w:tc>
        <w:tc>
          <w:tcPr>
            <w:tcW w:w="380" w:type="pct"/>
            <w:tcBorders>
              <w:left w:val="single" w:sz="12" w:space="0" w:color="000000"/>
            </w:tcBorders>
            <w:noWrap/>
            <w:vAlign w:val="center"/>
            <w:hideMark/>
          </w:tcPr>
          <w:p w14:paraId="6D23BA2A"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0EA9C11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21605A8E"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0.50</w:t>
            </w:r>
          </w:p>
        </w:tc>
        <w:tc>
          <w:tcPr>
            <w:tcW w:w="424" w:type="pct"/>
            <w:noWrap/>
            <w:vAlign w:val="center"/>
            <w:hideMark/>
          </w:tcPr>
          <w:p w14:paraId="087EC7F7"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08B51057" w14:textId="77777777" w:rsidTr="00D13FC4">
        <w:trPr>
          <w:trHeight w:val="226"/>
        </w:trPr>
        <w:tc>
          <w:tcPr>
            <w:tcW w:w="529" w:type="pct"/>
            <w:tcBorders>
              <w:right w:val="single" w:sz="12" w:space="0" w:color="000000"/>
            </w:tcBorders>
            <w:noWrap/>
            <w:vAlign w:val="bottom"/>
            <w:hideMark/>
          </w:tcPr>
          <w:p w14:paraId="1ABDBD30"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VI</w:t>
            </w:r>
          </w:p>
        </w:tc>
        <w:tc>
          <w:tcPr>
            <w:tcW w:w="363" w:type="pct"/>
            <w:tcBorders>
              <w:left w:val="single" w:sz="12" w:space="0" w:color="000000"/>
            </w:tcBorders>
            <w:noWrap/>
            <w:vAlign w:val="bottom"/>
            <w:hideMark/>
          </w:tcPr>
          <w:p w14:paraId="7C0F95B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4568</w:t>
            </w:r>
          </w:p>
        </w:tc>
        <w:tc>
          <w:tcPr>
            <w:tcW w:w="354" w:type="pct"/>
            <w:noWrap/>
            <w:vAlign w:val="bottom"/>
            <w:hideMark/>
          </w:tcPr>
          <w:p w14:paraId="7CEF253B"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2960</w:t>
            </w:r>
          </w:p>
        </w:tc>
        <w:tc>
          <w:tcPr>
            <w:tcW w:w="369" w:type="pct"/>
            <w:noWrap/>
            <w:vAlign w:val="bottom"/>
            <w:hideMark/>
          </w:tcPr>
          <w:p w14:paraId="7D74389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584</w:t>
            </w:r>
          </w:p>
        </w:tc>
        <w:tc>
          <w:tcPr>
            <w:tcW w:w="336" w:type="pct"/>
            <w:tcBorders>
              <w:right w:val="single" w:sz="12" w:space="0" w:color="000000"/>
            </w:tcBorders>
            <w:noWrap/>
            <w:vAlign w:val="bottom"/>
            <w:hideMark/>
          </w:tcPr>
          <w:p w14:paraId="6EAC42A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2568</w:t>
            </w:r>
          </w:p>
        </w:tc>
        <w:tc>
          <w:tcPr>
            <w:tcW w:w="383" w:type="pct"/>
            <w:tcBorders>
              <w:left w:val="single" w:sz="12" w:space="0" w:color="000000"/>
            </w:tcBorders>
            <w:noWrap/>
            <w:vAlign w:val="bottom"/>
            <w:hideMark/>
          </w:tcPr>
          <w:p w14:paraId="6185473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4594</w:t>
            </w:r>
          </w:p>
        </w:tc>
        <w:tc>
          <w:tcPr>
            <w:tcW w:w="368" w:type="pct"/>
            <w:noWrap/>
            <w:vAlign w:val="bottom"/>
            <w:hideMark/>
          </w:tcPr>
          <w:p w14:paraId="51093D3A"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2976</w:t>
            </w:r>
          </w:p>
        </w:tc>
        <w:tc>
          <w:tcPr>
            <w:tcW w:w="373" w:type="pct"/>
            <w:noWrap/>
            <w:vAlign w:val="bottom"/>
            <w:hideMark/>
          </w:tcPr>
          <w:p w14:paraId="6A7EC1C5"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964</w:t>
            </w:r>
          </w:p>
        </w:tc>
        <w:tc>
          <w:tcPr>
            <w:tcW w:w="369" w:type="pct"/>
            <w:tcBorders>
              <w:right w:val="single" w:sz="12" w:space="0" w:color="000000"/>
            </w:tcBorders>
            <w:noWrap/>
            <w:vAlign w:val="bottom"/>
            <w:hideMark/>
          </w:tcPr>
          <w:p w14:paraId="1BDC8B65"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2770</w:t>
            </w:r>
          </w:p>
        </w:tc>
        <w:tc>
          <w:tcPr>
            <w:tcW w:w="380" w:type="pct"/>
            <w:tcBorders>
              <w:left w:val="single" w:sz="12" w:space="0" w:color="000000"/>
            </w:tcBorders>
            <w:noWrap/>
            <w:vAlign w:val="center"/>
            <w:hideMark/>
          </w:tcPr>
          <w:p w14:paraId="76DC5996"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7E65BCA9"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2003924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0.65</w:t>
            </w:r>
          </w:p>
        </w:tc>
        <w:tc>
          <w:tcPr>
            <w:tcW w:w="424" w:type="pct"/>
            <w:noWrap/>
            <w:vAlign w:val="center"/>
            <w:hideMark/>
          </w:tcPr>
          <w:p w14:paraId="440ED959"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0.08</w:t>
            </w:r>
          </w:p>
        </w:tc>
      </w:tr>
      <w:tr w:rsidR="00540A02" w:rsidRPr="00540A02" w14:paraId="35ABE5E5" w14:textId="77777777" w:rsidTr="00D13FC4">
        <w:trPr>
          <w:trHeight w:val="226"/>
        </w:trPr>
        <w:tc>
          <w:tcPr>
            <w:tcW w:w="529" w:type="pct"/>
            <w:tcBorders>
              <w:right w:val="single" w:sz="12" w:space="0" w:color="000000"/>
            </w:tcBorders>
            <w:noWrap/>
            <w:vAlign w:val="bottom"/>
            <w:hideMark/>
          </w:tcPr>
          <w:p w14:paraId="25408763"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VII</w:t>
            </w:r>
          </w:p>
        </w:tc>
        <w:tc>
          <w:tcPr>
            <w:tcW w:w="363" w:type="pct"/>
            <w:tcBorders>
              <w:left w:val="single" w:sz="12" w:space="0" w:color="000000"/>
            </w:tcBorders>
            <w:noWrap/>
            <w:vAlign w:val="bottom"/>
            <w:hideMark/>
          </w:tcPr>
          <w:p w14:paraId="3796BA2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3716</w:t>
            </w:r>
          </w:p>
        </w:tc>
        <w:tc>
          <w:tcPr>
            <w:tcW w:w="354" w:type="pct"/>
            <w:noWrap/>
            <w:vAlign w:val="bottom"/>
            <w:hideMark/>
          </w:tcPr>
          <w:p w14:paraId="2C6F63AC"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2356</w:t>
            </w:r>
          </w:p>
        </w:tc>
        <w:tc>
          <w:tcPr>
            <w:tcW w:w="369" w:type="pct"/>
            <w:noWrap/>
            <w:vAlign w:val="bottom"/>
            <w:hideMark/>
          </w:tcPr>
          <w:p w14:paraId="484F959A"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144</w:t>
            </w:r>
          </w:p>
        </w:tc>
        <w:tc>
          <w:tcPr>
            <w:tcW w:w="336" w:type="pct"/>
            <w:tcBorders>
              <w:right w:val="single" w:sz="12" w:space="0" w:color="000000"/>
            </w:tcBorders>
            <w:noWrap/>
            <w:vAlign w:val="bottom"/>
            <w:hideMark/>
          </w:tcPr>
          <w:p w14:paraId="302AFFC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1840</w:t>
            </w:r>
          </w:p>
        </w:tc>
        <w:tc>
          <w:tcPr>
            <w:tcW w:w="383" w:type="pct"/>
            <w:tcBorders>
              <w:left w:val="single" w:sz="12" w:space="0" w:color="000000"/>
            </w:tcBorders>
            <w:noWrap/>
            <w:vAlign w:val="bottom"/>
            <w:hideMark/>
          </w:tcPr>
          <w:p w14:paraId="7CA4208E"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3729</w:t>
            </w:r>
          </w:p>
        </w:tc>
        <w:tc>
          <w:tcPr>
            <w:tcW w:w="368" w:type="pct"/>
            <w:noWrap/>
            <w:vAlign w:val="bottom"/>
            <w:hideMark/>
          </w:tcPr>
          <w:p w14:paraId="3F81D38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2367</w:t>
            </w:r>
          </w:p>
        </w:tc>
        <w:tc>
          <w:tcPr>
            <w:tcW w:w="373" w:type="pct"/>
            <w:noWrap/>
            <w:vAlign w:val="bottom"/>
            <w:hideMark/>
          </w:tcPr>
          <w:p w14:paraId="729DE50B"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178</w:t>
            </w:r>
          </w:p>
        </w:tc>
        <w:tc>
          <w:tcPr>
            <w:tcW w:w="369" w:type="pct"/>
            <w:tcBorders>
              <w:right w:val="single" w:sz="12" w:space="0" w:color="000000"/>
            </w:tcBorders>
            <w:noWrap/>
            <w:vAlign w:val="bottom"/>
            <w:hideMark/>
          </w:tcPr>
          <w:p w14:paraId="2E68DDDE"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1960</w:t>
            </w:r>
          </w:p>
        </w:tc>
        <w:tc>
          <w:tcPr>
            <w:tcW w:w="380" w:type="pct"/>
            <w:tcBorders>
              <w:left w:val="single" w:sz="12" w:space="0" w:color="000000"/>
            </w:tcBorders>
            <w:noWrap/>
            <w:vAlign w:val="center"/>
            <w:hideMark/>
          </w:tcPr>
          <w:p w14:paraId="081465B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noWrap/>
            <w:vAlign w:val="center"/>
            <w:hideMark/>
          </w:tcPr>
          <w:p w14:paraId="118DFB30"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69" w:type="pct"/>
            <w:noWrap/>
            <w:vAlign w:val="center"/>
            <w:hideMark/>
          </w:tcPr>
          <w:p w14:paraId="0EEA29A5"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0.24</w:t>
            </w:r>
          </w:p>
        </w:tc>
        <w:tc>
          <w:tcPr>
            <w:tcW w:w="424" w:type="pct"/>
            <w:noWrap/>
            <w:vAlign w:val="center"/>
            <w:hideMark/>
          </w:tcPr>
          <w:p w14:paraId="484C642D"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2838C5A7" w14:textId="77777777" w:rsidTr="00D13FC4">
        <w:trPr>
          <w:trHeight w:val="226"/>
        </w:trPr>
        <w:tc>
          <w:tcPr>
            <w:tcW w:w="529" w:type="pct"/>
            <w:tcBorders>
              <w:right w:val="single" w:sz="12" w:space="0" w:color="000000"/>
            </w:tcBorders>
            <w:noWrap/>
            <w:vAlign w:val="bottom"/>
            <w:hideMark/>
          </w:tcPr>
          <w:p w14:paraId="1E9F49FA"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VIII</w:t>
            </w:r>
          </w:p>
        </w:tc>
        <w:tc>
          <w:tcPr>
            <w:tcW w:w="363" w:type="pct"/>
            <w:tcBorders>
              <w:left w:val="single" w:sz="12" w:space="0" w:color="000000"/>
            </w:tcBorders>
            <w:noWrap/>
            <w:vAlign w:val="bottom"/>
            <w:hideMark/>
          </w:tcPr>
          <w:p w14:paraId="5FE5AFBE"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3807</w:t>
            </w:r>
          </w:p>
        </w:tc>
        <w:tc>
          <w:tcPr>
            <w:tcW w:w="354" w:type="pct"/>
            <w:noWrap/>
            <w:vAlign w:val="bottom"/>
            <w:hideMark/>
          </w:tcPr>
          <w:p w14:paraId="0994078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3453</w:t>
            </w:r>
          </w:p>
        </w:tc>
        <w:tc>
          <w:tcPr>
            <w:tcW w:w="369" w:type="pct"/>
            <w:noWrap/>
            <w:vAlign w:val="bottom"/>
            <w:hideMark/>
          </w:tcPr>
          <w:p w14:paraId="0EF0C6E5"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275</w:t>
            </w:r>
          </w:p>
        </w:tc>
        <w:tc>
          <w:tcPr>
            <w:tcW w:w="336" w:type="pct"/>
            <w:tcBorders>
              <w:right w:val="single" w:sz="12" w:space="0" w:color="000000"/>
            </w:tcBorders>
            <w:noWrap/>
            <w:vAlign w:val="bottom"/>
            <w:hideMark/>
          </w:tcPr>
          <w:p w14:paraId="460AE94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1974</w:t>
            </w:r>
          </w:p>
        </w:tc>
        <w:tc>
          <w:tcPr>
            <w:tcW w:w="383" w:type="pct"/>
            <w:tcBorders>
              <w:left w:val="single" w:sz="12" w:space="0" w:color="000000"/>
            </w:tcBorders>
            <w:noWrap/>
            <w:vAlign w:val="bottom"/>
            <w:hideMark/>
          </w:tcPr>
          <w:p w14:paraId="2BA50BF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3844</w:t>
            </w:r>
          </w:p>
        </w:tc>
        <w:tc>
          <w:tcPr>
            <w:tcW w:w="368" w:type="pct"/>
            <w:noWrap/>
            <w:vAlign w:val="bottom"/>
            <w:hideMark/>
          </w:tcPr>
          <w:p w14:paraId="75C89FC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3478</w:t>
            </w:r>
          </w:p>
        </w:tc>
        <w:tc>
          <w:tcPr>
            <w:tcW w:w="373" w:type="pct"/>
            <w:noWrap/>
            <w:vAlign w:val="bottom"/>
            <w:hideMark/>
          </w:tcPr>
          <w:p w14:paraId="2CA76798"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392</w:t>
            </w:r>
          </w:p>
        </w:tc>
        <w:tc>
          <w:tcPr>
            <w:tcW w:w="369" w:type="pct"/>
            <w:tcBorders>
              <w:right w:val="single" w:sz="12" w:space="0" w:color="000000"/>
            </w:tcBorders>
            <w:noWrap/>
            <w:vAlign w:val="bottom"/>
            <w:hideMark/>
          </w:tcPr>
          <w:p w14:paraId="2D3E104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2122</w:t>
            </w:r>
          </w:p>
        </w:tc>
        <w:tc>
          <w:tcPr>
            <w:tcW w:w="380" w:type="pct"/>
            <w:tcBorders>
              <w:left w:val="single" w:sz="12" w:space="0" w:color="000000"/>
            </w:tcBorders>
            <w:noWrap/>
            <w:vAlign w:val="center"/>
            <w:hideMark/>
          </w:tcPr>
          <w:p w14:paraId="410265E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40B4188"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0EDDBB40"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0.43</w:t>
            </w:r>
          </w:p>
        </w:tc>
        <w:tc>
          <w:tcPr>
            <w:tcW w:w="424" w:type="pct"/>
            <w:noWrap/>
            <w:vAlign w:val="center"/>
            <w:hideMark/>
          </w:tcPr>
          <w:p w14:paraId="6B654C9B"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610808CF" w14:textId="77777777" w:rsidTr="00D13FC4">
        <w:trPr>
          <w:trHeight w:val="226"/>
        </w:trPr>
        <w:tc>
          <w:tcPr>
            <w:tcW w:w="529" w:type="pct"/>
            <w:tcBorders>
              <w:right w:val="single" w:sz="12" w:space="0" w:color="000000"/>
            </w:tcBorders>
            <w:noWrap/>
            <w:vAlign w:val="bottom"/>
            <w:hideMark/>
          </w:tcPr>
          <w:p w14:paraId="25036E83"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IX</w:t>
            </w:r>
          </w:p>
        </w:tc>
        <w:tc>
          <w:tcPr>
            <w:tcW w:w="363" w:type="pct"/>
            <w:tcBorders>
              <w:left w:val="single" w:sz="12" w:space="0" w:color="000000"/>
            </w:tcBorders>
            <w:noWrap/>
            <w:vAlign w:val="bottom"/>
            <w:hideMark/>
          </w:tcPr>
          <w:p w14:paraId="0FB35F1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2335</w:t>
            </w:r>
          </w:p>
        </w:tc>
        <w:tc>
          <w:tcPr>
            <w:tcW w:w="354" w:type="pct"/>
            <w:noWrap/>
            <w:vAlign w:val="bottom"/>
            <w:hideMark/>
          </w:tcPr>
          <w:p w14:paraId="6F531A5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2181</w:t>
            </w:r>
          </w:p>
        </w:tc>
        <w:tc>
          <w:tcPr>
            <w:tcW w:w="369" w:type="pct"/>
            <w:noWrap/>
            <w:vAlign w:val="bottom"/>
            <w:hideMark/>
          </w:tcPr>
          <w:p w14:paraId="62257B07"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193</w:t>
            </w:r>
          </w:p>
        </w:tc>
        <w:tc>
          <w:tcPr>
            <w:tcW w:w="336" w:type="pct"/>
            <w:tcBorders>
              <w:right w:val="single" w:sz="12" w:space="0" w:color="000000"/>
            </w:tcBorders>
            <w:noWrap/>
            <w:vAlign w:val="bottom"/>
            <w:hideMark/>
          </w:tcPr>
          <w:p w14:paraId="52EDA11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1114</w:t>
            </w:r>
          </w:p>
        </w:tc>
        <w:tc>
          <w:tcPr>
            <w:tcW w:w="383" w:type="pct"/>
            <w:tcBorders>
              <w:left w:val="single" w:sz="12" w:space="0" w:color="000000"/>
            </w:tcBorders>
            <w:noWrap/>
            <w:vAlign w:val="bottom"/>
            <w:hideMark/>
          </w:tcPr>
          <w:p w14:paraId="01490E1A"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2373</w:t>
            </w:r>
          </w:p>
        </w:tc>
        <w:tc>
          <w:tcPr>
            <w:tcW w:w="368" w:type="pct"/>
            <w:noWrap/>
            <w:vAlign w:val="bottom"/>
            <w:hideMark/>
          </w:tcPr>
          <w:p w14:paraId="6AAEB7C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2218</w:t>
            </w:r>
          </w:p>
        </w:tc>
        <w:tc>
          <w:tcPr>
            <w:tcW w:w="373" w:type="pct"/>
            <w:noWrap/>
            <w:vAlign w:val="bottom"/>
            <w:hideMark/>
          </w:tcPr>
          <w:p w14:paraId="4BCC962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288</w:t>
            </w:r>
          </w:p>
        </w:tc>
        <w:tc>
          <w:tcPr>
            <w:tcW w:w="369" w:type="pct"/>
            <w:tcBorders>
              <w:right w:val="single" w:sz="12" w:space="0" w:color="000000"/>
            </w:tcBorders>
            <w:noWrap/>
            <w:vAlign w:val="bottom"/>
            <w:hideMark/>
          </w:tcPr>
          <w:p w14:paraId="02A8FAB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1141</w:t>
            </w:r>
          </w:p>
        </w:tc>
        <w:tc>
          <w:tcPr>
            <w:tcW w:w="380" w:type="pct"/>
            <w:tcBorders>
              <w:left w:val="single" w:sz="12" w:space="0" w:color="000000"/>
            </w:tcBorders>
            <w:noWrap/>
            <w:vAlign w:val="center"/>
            <w:hideMark/>
          </w:tcPr>
          <w:p w14:paraId="27A7CA5A"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82" w:type="pct"/>
            <w:noWrap/>
            <w:vAlign w:val="center"/>
            <w:hideMark/>
          </w:tcPr>
          <w:p w14:paraId="6B0AA02F"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69" w:type="pct"/>
            <w:noWrap/>
            <w:vAlign w:val="center"/>
            <w:hideMark/>
          </w:tcPr>
          <w:p w14:paraId="11B0127A"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0.49</w:t>
            </w:r>
          </w:p>
        </w:tc>
        <w:tc>
          <w:tcPr>
            <w:tcW w:w="424" w:type="pct"/>
            <w:noWrap/>
            <w:vAlign w:val="center"/>
            <w:hideMark/>
          </w:tcPr>
          <w:p w14:paraId="2AC19F46"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r>
      <w:tr w:rsidR="00540A02" w:rsidRPr="00540A02" w14:paraId="6B1DB40D" w14:textId="77777777" w:rsidTr="00D13FC4">
        <w:trPr>
          <w:trHeight w:val="226"/>
        </w:trPr>
        <w:tc>
          <w:tcPr>
            <w:tcW w:w="529" w:type="pct"/>
            <w:tcBorders>
              <w:right w:val="single" w:sz="12" w:space="0" w:color="000000"/>
            </w:tcBorders>
            <w:noWrap/>
            <w:vAlign w:val="bottom"/>
            <w:hideMark/>
          </w:tcPr>
          <w:p w14:paraId="0C46D8E0"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X</w:t>
            </w:r>
          </w:p>
        </w:tc>
        <w:tc>
          <w:tcPr>
            <w:tcW w:w="363" w:type="pct"/>
            <w:tcBorders>
              <w:left w:val="single" w:sz="12" w:space="0" w:color="000000"/>
            </w:tcBorders>
            <w:noWrap/>
            <w:vAlign w:val="bottom"/>
            <w:hideMark/>
          </w:tcPr>
          <w:p w14:paraId="14FABD87"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4221</w:t>
            </w:r>
          </w:p>
        </w:tc>
        <w:tc>
          <w:tcPr>
            <w:tcW w:w="354" w:type="pct"/>
            <w:noWrap/>
            <w:vAlign w:val="bottom"/>
            <w:hideMark/>
          </w:tcPr>
          <w:p w14:paraId="7245A7B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2714</w:t>
            </w:r>
          </w:p>
        </w:tc>
        <w:tc>
          <w:tcPr>
            <w:tcW w:w="369" w:type="pct"/>
            <w:noWrap/>
            <w:vAlign w:val="bottom"/>
            <w:hideMark/>
          </w:tcPr>
          <w:p w14:paraId="753F7F0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350</w:t>
            </w:r>
          </w:p>
        </w:tc>
        <w:tc>
          <w:tcPr>
            <w:tcW w:w="336" w:type="pct"/>
            <w:tcBorders>
              <w:right w:val="single" w:sz="12" w:space="0" w:color="000000"/>
            </w:tcBorders>
            <w:noWrap/>
            <w:vAlign w:val="bottom"/>
            <w:hideMark/>
          </w:tcPr>
          <w:p w14:paraId="1FFA0DD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1811</w:t>
            </w:r>
          </w:p>
        </w:tc>
        <w:tc>
          <w:tcPr>
            <w:tcW w:w="383" w:type="pct"/>
            <w:tcBorders>
              <w:left w:val="single" w:sz="12" w:space="0" w:color="000000"/>
            </w:tcBorders>
            <w:noWrap/>
            <w:vAlign w:val="bottom"/>
            <w:hideMark/>
          </w:tcPr>
          <w:p w14:paraId="56F184C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4271</w:t>
            </w:r>
          </w:p>
        </w:tc>
        <w:tc>
          <w:tcPr>
            <w:tcW w:w="368" w:type="pct"/>
            <w:noWrap/>
            <w:vAlign w:val="bottom"/>
            <w:hideMark/>
          </w:tcPr>
          <w:p w14:paraId="0A80F0A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2760</w:t>
            </w:r>
          </w:p>
        </w:tc>
        <w:tc>
          <w:tcPr>
            <w:tcW w:w="373" w:type="pct"/>
            <w:noWrap/>
            <w:vAlign w:val="bottom"/>
            <w:hideMark/>
          </w:tcPr>
          <w:p w14:paraId="0F9C653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524</w:t>
            </w:r>
          </w:p>
        </w:tc>
        <w:tc>
          <w:tcPr>
            <w:tcW w:w="369" w:type="pct"/>
            <w:tcBorders>
              <w:right w:val="single" w:sz="12" w:space="0" w:color="000000"/>
            </w:tcBorders>
            <w:noWrap/>
            <w:vAlign w:val="bottom"/>
            <w:hideMark/>
          </w:tcPr>
          <w:p w14:paraId="7DE4048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1920</w:t>
            </w:r>
          </w:p>
        </w:tc>
        <w:tc>
          <w:tcPr>
            <w:tcW w:w="380" w:type="pct"/>
            <w:tcBorders>
              <w:left w:val="single" w:sz="12" w:space="0" w:color="000000"/>
            </w:tcBorders>
            <w:noWrap/>
            <w:vAlign w:val="center"/>
            <w:hideMark/>
          </w:tcPr>
          <w:p w14:paraId="2F8EEAE4"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18D5EEB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69" w:type="pct"/>
            <w:noWrap/>
            <w:vAlign w:val="center"/>
            <w:hideMark/>
          </w:tcPr>
          <w:p w14:paraId="6232C92D"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0.50</w:t>
            </w:r>
          </w:p>
        </w:tc>
        <w:tc>
          <w:tcPr>
            <w:tcW w:w="424" w:type="pct"/>
            <w:noWrap/>
            <w:vAlign w:val="center"/>
            <w:hideMark/>
          </w:tcPr>
          <w:p w14:paraId="515CAB1F"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0.06</w:t>
            </w:r>
          </w:p>
        </w:tc>
      </w:tr>
      <w:tr w:rsidR="00540A02" w:rsidRPr="00540A02" w14:paraId="2BD0CF81" w14:textId="77777777" w:rsidTr="00D13FC4">
        <w:trPr>
          <w:trHeight w:val="226"/>
        </w:trPr>
        <w:tc>
          <w:tcPr>
            <w:tcW w:w="529" w:type="pct"/>
            <w:tcBorders>
              <w:right w:val="single" w:sz="12" w:space="0" w:color="000000"/>
            </w:tcBorders>
            <w:noWrap/>
            <w:vAlign w:val="bottom"/>
            <w:hideMark/>
          </w:tcPr>
          <w:p w14:paraId="6D915739"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XI</w:t>
            </w:r>
          </w:p>
        </w:tc>
        <w:tc>
          <w:tcPr>
            <w:tcW w:w="363" w:type="pct"/>
            <w:tcBorders>
              <w:left w:val="single" w:sz="12" w:space="0" w:color="000000"/>
            </w:tcBorders>
            <w:noWrap/>
            <w:vAlign w:val="bottom"/>
            <w:hideMark/>
          </w:tcPr>
          <w:p w14:paraId="7BCC135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3841</w:t>
            </w:r>
          </w:p>
        </w:tc>
        <w:tc>
          <w:tcPr>
            <w:tcW w:w="354" w:type="pct"/>
            <w:noWrap/>
            <w:vAlign w:val="bottom"/>
            <w:hideMark/>
          </w:tcPr>
          <w:p w14:paraId="5F0E4D7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2348</w:t>
            </w:r>
          </w:p>
        </w:tc>
        <w:tc>
          <w:tcPr>
            <w:tcW w:w="369" w:type="pct"/>
            <w:noWrap/>
            <w:vAlign w:val="bottom"/>
            <w:hideMark/>
          </w:tcPr>
          <w:p w14:paraId="42BEA0E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454</w:t>
            </w:r>
          </w:p>
        </w:tc>
        <w:tc>
          <w:tcPr>
            <w:tcW w:w="336" w:type="pct"/>
            <w:tcBorders>
              <w:right w:val="single" w:sz="12" w:space="0" w:color="000000"/>
            </w:tcBorders>
            <w:noWrap/>
            <w:vAlign w:val="bottom"/>
            <w:hideMark/>
          </w:tcPr>
          <w:p w14:paraId="262E98A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1627</w:t>
            </w:r>
          </w:p>
        </w:tc>
        <w:tc>
          <w:tcPr>
            <w:tcW w:w="383" w:type="pct"/>
            <w:tcBorders>
              <w:left w:val="single" w:sz="12" w:space="0" w:color="000000"/>
            </w:tcBorders>
            <w:noWrap/>
            <w:vAlign w:val="bottom"/>
            <w:hideMark/>
          </w:tcPr>
          <w:p w14:paraId="64A2178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3900</w:t>
            </w:r>
          </w:p>
        </w:tc>
        <w:tc>
          <w:tcPr>
            <w:tcW w:w="368" w:type="pct"/>
            <w:noWrap/>
            <w:vAlign w:val="bottom"/>
            <w:hideMark/>
          </w:tcPr>
          <w:p w14:paraId="396C807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2422</w:t>
            </w:r>
          </w:p>
        </w:tc>
        <w:tc>
          <w:tcPr>
            <w:tcW w:w="373" w:type="pct"/>
            <w:noWrap/>
            <w:vAlign w:val="bottom"/>
            <w:hideMark/>
          </w:tcPr>
          <w:p w14:paraId="1289FFF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673</w:t>
            </w:r>
          </w:p>
        </w:tc>
        <w:tc>
          <w:tcPr>
            <w:tcW w:w="369" w:type="pct"/>
            <w:tcBorders>
              <w:right w:val="single" w:sz="12" w:space="0" w:color="000000"/>
            </w:tcBorders>
            <w:noWrap/>
            <w:vAlign w:val="bottom"/>
            <w:hideMark/>
          </w:tcPr>
          <w:p w14:paraId="532DAEA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1740</w:t>
            </w:r>
          </w:p>
        </w:tc>
        <w:tc>
          <w:tcPr>
            <w:tcW w:w="380" w:type="pct"/>
            <w:tcBorders>
              <w:left w:val="single" w:sz="12" w:space="0" w:color="000000"/>
            </w:tcBorders>
            <w:noWrap/>
            <w:vAlign w:val="center"/>
            <w:hideMark/>
          </w:tcPr>
          <w:p w14:paraId="1A92032E"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82" w:type="pct"/>
            <w:noWrap/>
            <w:vAlign w:val="center"/>
            <w:hideMark/>
          </w:tcPr>
          <w:p w14:paraId="6E90AC4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69" w:type="pct"/>
            <w:noWrap/>
            <w:vAlign w:val="center"/>
            <w:hideMark/>
          </w:tcPr>
          <w:p w14:paraId="3F2D7B27"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0.48</w:t>
            </w:r>
          </w:p>
        </w:tc>
        <w:tc>
          <w:tcPr>
            <w:tcW w:w="424" w:type="pct"/>
            <w:noWrap/>
            <w:vAlign w:val="center"/>
            <w:hideMark/>
          </w:tcPr>
          <w:p w14:paraId="4EDA67E6"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1657AD45" w14:textId="77777777" w:rsidTr="00D13FC4">
        <w:trPr>
          <w:trHeight w:val="226"/>
        </w:trPr>
        <w:tc>
          <w:tcPr>
            <w:tcW w:w="529" w:type="pct"/>
            <w:tcBorders>
              <w:right w:val="single" w:sz="12" w:space="0" w:color="000000"/>
            </w:tcBorders>
            <w:noWrap/>
            <w:vAlign w:val="bottom"/>
            <w:hideMark/>
          </w:tcPr>
          <w:p w14:paraId="04B53F64"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 xml:space="preserve">Region XII </w:t>
            </w:r>
          </w:p>
        </w:tc>
        <w:tc>
          <w:tcPr>
            <w:tcW w:w="363" w:type="pct"/>
            <w:tcBorders>
              <w:left w:val="single" w:sz="12" w:space="0" w:color="000000"/>
            </w:tcBorders>
            <w:noWrap/>
            <w:vAlign w:val="bottom"/>
            <w:hideMark/>
          </w:tcPr>
          <w:p w14:paraId="384D834B"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3329</w:t>
            </w:r>
          </w:p>
        </w:tc>
        <w:tc>
          <w:tcPr>
            <w:tcW w:w="354" w:type="pct"/>
            <w:noWrap/>
            <w:vAlign w:val="bottom"/>
            <w:hideMark/>
          </w:tcPr>
          <w:p w14:paraId="10B2B548"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2617</w:t>
            </w:r>
          </w:p>
        </w:tc>
        <w:tc>
          <w:tcPr>
            <w:tcW w:w="369" w:type="pct"/>
            <w:noWrap/>
            <w:vAlign w:val="bottom"/>
            <w:hideMark/>
          </w:tcPr>
          <w:p w14:paraId="32E1474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305</w:t>
            </w:r>
          </w:p>
        </w:tc>
        <w:tc>
          <w:tcPr>
            <w:tcW w:w="336" w:type="pct"/>
            <w:tcBorders>
              <w:right w:val="single" w:sz="12" w:space="0" w:color="000000"/>
            </w:tcBorders>
            <w:noWrap/>
            <w:vAlign w:val="bottom"/>
            <w:hideMark/>
          </w:tcPr>
          <w:p w14:paraId="07772FA8"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1197</w:t>
            </w:r>
          </w:p>
        </w:tc>
        <w:tc>
          <w:tcPr>
            <w:tcW w:w="383" w:type="pct"/>
            <w:tcBorders>
              <w:left w:val="single" w:sz="12" w:space="0" w:color="000000"/>
            </w:tcBorders>
            <w:noWrap/>
            <w:vAlign w:val="bottom"/>
            <w:hideMark/>
          </w:tcPr>
          <w:p w14:paraId="026BE58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3379</w:t>
            </w:r>
          </w:p>
        </w:tc>
        <w:tc>
          <w:tcPr>
            <w:tcW w:w="368" w:type="pct"/>
            <w:noWrap/>
            <w:vAlign w:val="bottom"/>
            <w:hideMark/>
          </w:tcPr>
          <w:p w14:paraId="00500C1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2644</w:t>
            </w:r>
          </w:p>
        </w:tc>
        <w:tc>
          <w:tcPr>
            <w:tcW w:w="373" w:type="pct"/>
            <w:noWrap/>
            <w:vAlign w:val="bottom"/>
            <w:hideMark/>
          </w:tcPr>
          <w:p w14:paraId="19EC5E65"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441</w:t>
            </w:r>
          </w:p>
        </w:tc>
        <w:tc>
          <w:tcPr>
            <w:tcW w:w="369" w:type="pct"/>
            <w:tcBorders>
              <w:right w:val="single" w:sz="12" w:space="0" w:color="000000"/>
            </w:tcBorders>
            <w:noWrap/>
            <w:vAlign w:val="bottom"/>
            <w:hideMark/>
          </w:tcPr>
          <w:p w14:paraId="1BEE0E3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1306</w:t>
            </w:r>
          </w:p>
        </w:tc>
        <w:tc>
          <w:tcPr>
            <w:tcW w:w="380" w:type="pct"/>
            <w:tcBorders>
              <w:left w:val="single" w:sz="12" w:space="0" w:color="000000"/>
            </w:tcBorders>
            <w:noWrap/>
            <w:vAlign w:val="center"/>
            <w:hideMark/>
          </w:tcPr>
          <w:p w14:paraId="16A4598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382" w:type="pct"/>
            <w:noWrap/>
            <w:vAlign w:val="center"/>
            <w:hideMark/>
          </w:tcPr>
          <w:p w14:paraId="3A0A7791"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3E99B70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0.45</w:t>
            </w:r>
          </w:p>
        </w:tc>
        <w:tc>
          <w:tcPr>
            <w:tcW w:w="424" w:type="pct"/>
            <w:noWrap/>
            <w:vAlign w:val="center"/>
            <w:hideMark/>
          </w:tcPr>
          <w:p w14:paraId="2A0ED6EB"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0.09</w:t>
            </w:r>
          </w:p>
        </w:tc>
      </w:tr>
      <w:tr w:rsidR="00540A02" w:rsidRPr="00540A02" w14:paraId="7DD2EC54" w14:textId="77777777" w:rsidTr="00D13FC4">
        <w:trPr>
          <w:trHeight w:val="226"/>
        </w:trPr>
        <w:tc>
          <w:tcPr>
            <w:tcW w:w="529" w:type="pct"/>
            <w:tcBorders>
              <w:right w:val="single" w:sz="12" w:space="0" w:color="000000"/>
            </w:tcBorders>
            <w:noWrap/>
            <w:vAlign w:val="bottom"/>
            <w:hideMark/>
          </w:tcPr>
          <w:p w14:paraId="3C9EF6E0"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Region XIII</w:t>
            </w:r>
          </w:p>
        </w:tc>
        <w:tc>
          <w:tcPr>
            <w:tcW w:w="363" w:type="pct"/>
            <w:tcBorders>
              <w:left w:val="single" w:sz="12" w:space="0" w:color="000000"/>
            </w:tcBorders>
            <w:noWrap/>
            <w:vAlign w:val="bottom"/>
            <w:hideMark/>
          </w:tcPr>
          <w:p w14:paraId="3971BBC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3163</w:t>
            </w:r>
          </w:p>
        </w:tc>
        <w:tc>
          <w:tcPr>
            <w:tcW w:w="354" w:type="pct"/>
            <w:noWrap/>
            <w:vAlign w:val="bottom"/>
            <w:hideMark/>
          </w:tcPr>
          <w:p w14:paraId="5B3E8BC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2477</w:t>
            </w:r>
          </w:p>
        </w:tc>
        <w:tc>
          <w:tcPr>
            <w:tcW w:w="369" w:type="pct"/>
            <w:noWrap/>
            <w:vAlign w:val="bottom"/>
            <w:hideMark/>
          </w:tcPr>
          <w:p w14:paraId="098619A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287</w:t>
            </w:r>
          </w:p>
        </w:tc>
        <w:tc>
          <w:tcPr>
            <w:tcW w:w="336" w:type="pct"/>
            <w:tcBorders>
              <w:right w:val="single" w:sz="12" w:space="0" w:color="000000"/>
            </w:tcBorders>
            <w:noWrap/>
            <w:vAlign w:val="bottom"/>
            <w:hideMark/>
          </w:tcPr>
          <w:p w14:paraId="78920D6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1660</w:t>
            </w:r>
          </w:p>
        </w:tc>
        <w:tc>
          <w:tcPr>
            <w:tcW w:w="383" w:type="pct"/>
            <w:tcBorders>
              <w:left w:val="single" w:sz="12" w:space="0" w:color="000000"/>
            </w:tcBorders>
            <w:noWrap/>
            <w:vAlign w:val="bottom"/>
            <w:hideMark/>
          </w:tcPr>
          <w:p w14:paraId="16181E8E"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3194</w:t>
            </w:r>
          </w:p>
        </w:tc>
        <w:tc>
          <w:tcPr>
            <w:tcW w:w="368" w:type="pct"/>
            <w:noWrap/>
            <w:vAlign w:val="bottom"/>
            <w:hideMark/>
          </w:tcPr>
          <w:p w14:paraId="3658D8AC"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2504</w:t>
            </w:r>
          </w:p>
        </w:tc>
        <w:tc>
          <w:tcPr>
            <w:tcW w:w="373" w:type="pct"/>
            <w:noWrap/>
            <w:vAlign w:val="bottom"/>
            <w:hideMark/>
          </w:tcPr>
          <w:p w14:paraId="097D02F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432</w:t>
            </w:r>
          </w:p>
        </w:tc>
        <w:tc>
          <w:tcPr>
            <w:tcW w:w="369" w:type="pct"/>
            <w:tcBorders>
              <w:right w:val="single" w:sz="12" w:space="0" w:color="000000"/>
            </w:tcBorders>
            <w:noWrap/>
            <w:vAlign w:val="bottom"/>
            <w:hideMark/>
          </w:tcPr>
          <w:p w14:paraId="1BE7BEA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1774</w:t>
            </w:r>
          </w:p>
        </w:tc>
        <w:tc>
          <w:tcPr>
            <w:tcW w:w="380" w:type="pct"/>
            <w:tcBorders>
              <w:left w:val="single" w:sz="12" w:space="0" w:color="000000"/>
            </w:tcBorders>
            <w:noWrap/>
            <w:vAlign w:val="center"/>
            <w:hideMark/>
          </w:tcPr>
          <w:p w14:paraId="248B0A34"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noWrap/>
            <w:vAlign w:val="center"/>
            <w:hideMark/>
          </w:tcPr>
          <w:p w14:paraId="05134370"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69" w:type="pct"/>
            <w:noWrap/>
            <w:vAlign w:val="center"/>
            <w:hideMark/>
          </w:tcPr>
          <w:p w14:paraId="4F0ECB4C"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0.51</w:t>
            </w:r>
          </w:p>
        </w:tc>
        <w:tc>
          <w:tcPr>
            <w:tcW w:w="424" w:type="pct"/>
            <w:noWrap/>
            <w:vAlign w:val="center"/>
            <w:hideMark/>
          </w:tcPr>
          <w:p w14:paraId="0599F18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0.07</w:t>
            </w:r>
          </w:p>
        </w:tc>
      </w:tr>
      <w:tr w:rsidR="00540A02" w:rsidRPr="00540A02" w14:paraId="395CCC9D" w14:textId="77777777" w:rsidTr="00D13FC4">
        <w:trPr>
          <w:trHeight w:val="226"/>
        </w:trPr>
        <w:tc>
          <w:tcPr>
            <w:tcW w:w="529" w:type="pct"/>
            <w:tcBorders>
              <w:right w:val="single" w:sz="12" w:space="0" w:color="000000"/>
            </w:tcBorders>
            <w:noWrap/>
            <w:vAlign w:val="bottom"/>
            <w:hideMark/>
          </w:tcPr>
          <w:p w14:paraId="1FC14622"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NCR</w:t>
            </w:r>
          </w:p>
        </w:tc>
        <w:tc>
          <w:tcPr>
            <w:tcW w:w="363" w:type="pct"/>
            <w:tcBorders>
              <w:left w:val="single" w:sz="12" w:space="0" w:color="000000"/>
            </w:tcBorders>
            <w:noWrap/>
            <w:vAlign w:val="bottom"/>
            <w:hideMark/>
          </w:tcPr>
          <w:p w14:paraId="54AC445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10190</w:t>
            </w:r>
          </w:p>
        </w:tc>
        <w:tc>
          <w:tcPr>
            <w:tcW w:w="354" w:type="pct"/>
            <w:noWrap/>
            <w:vAlign w:val="bottom"/>
            <w:hideMark/>
          </w:tcPr>
          <w:p w14:paraId="6FC5B99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2728</w:t>
            </w:r>
          </w:p>
        </w:tc>
        <w:tc>
          <w:tcPr>
            <w:tcW w:w="369" w:type="pct"/>
            <w:noWrap/>
            <w:vAlign w:val="bottom"/>
            <w:hideMark/>
          </w:tcPr>
          <w:p w14:paraId="0F6D610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238</w:t>
            </w:r>
          </w:p>
        </w:tc>
        <w:tc>
          <w:tcPr>
            <w:tcW w:w="336" w:type="pct"/>
            <w:tcBorders>
              <w:right w:val="single" w:sz="12" w:space="0" w:color="000000"/>
            </w:tcBorders>
            <w:noWrap/>
            <w:vAlign w:val="bottom"/>
            <w:hideMark/>
          </w:tcPr>
          <w:p w14:paraId="722FD933"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4821</w:t>
            </w:r>
          </w:p>
        </w:tc>
        <w:tc>
          <w:tcPr>
            <w:tcW w:w="383" w:type="pct"/>
            <w:tcBorders>
              <w:left w:val="single" w:sz="12" w:space="0" w:color="000000"/>
            </w:tcBorders>
            <w:noWrap/>
            <w:vAlign w:val="bottom"/>
            <w:hideMark/>
          </w:tcPr>
          <w:p w14:paraId="30AC784F"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10191</w:t>
            </w:r>
          </w:p>
        </w:tc>
        <w:tc>
          <w:tcPr>
            <w:tcW w:w="368" w:type="pct"/>
            <w:noWrap/>
            <w:vAlign w:val="bottom"/>
            <w:hideMark/>
          </w:tcPr>
          <w:p w14:paraId="63902F1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2729</w:t>
            </w:r>
          </w:p>
        </w:tc>
        <w:tc>
          <w:tcPr>
            <w:tcW w:w="373" w:type="pct"/>
            <w:noWrap/>
            <w:vAlign w:val="bottom"/>
            <w:hideMark/>
          </w:tcPr>
          <w:p w14:paraId="2D6A53C7"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242</w:t>
            </w:r>
          </w:p>
        </w:tc>
        <w:tc>
          <w:tcPr>
            <w:tcW w:w="369" w:type="pct"/>
            <w:tcBorders>
              <w:right w:val="single" w:sz="12" w:space="0" w:color="000000"/>
            </w:tcBorders>
            <w:noWrap/>
            <w:vAlign w:val="bottom"/>
            <w:hideMark/>
          </w:tcPr>
          <w:p w14:paraId="631CC06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5079</w:t>
            </w:r>
          </w:p>
        </w:tc>
        <w:tc>
          <w:tcPr>
            <w:tcW w:w="380" w:type="pct"/>
            <w:tcBorders>
              <w:left w:val="single" w:sz="12" w:space="0" w:color="000000"/>
            </w:tcBorders>
            <w:noWrap/>
            <w:vAlign w:val="center"/>
            <w:hideMark/>
          </w:tcPr>
          <w:p w14:paraId="610DF15A"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82" w:type="pct"/>
            <w:noWrap/>
            <w:vAlign w:val="center"/>
            <w:hideMark/>
          </w:tcPr>
          <w:p w14:paraId="6EF103E7"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69" w:type="pct"/>
            <w:noWrap/>
            <w:vAlign w:val="center"/>
            <w:hideMark/>
          </w:tcPr>
          <w:p w14:paraId="2F2F9893"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0.02</w:t>
            </w:r>
          </w:p>
        </w:tc>
        <w:tc>
          <w:tcPr>
            <w:tcW w:w="424" w:type="pct"/>
            <w:noWrap/>
            <w:vAlign w:val="center"/>
            <w:hideMark/>
          </w:tcPr>
          <w:p w14:paraId="4FFD095B"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0.05</w:t>
            </w:r>
          </w:p>
        </w:tc>
      </w:tr>
      <w:tr w:rsidR="00540A02" w:rsidRPr="00540A02" w14:paraId="77E6D4CA" w14:textId="77777777" w:rsidTr="00D13FC4">
        <w:trPr>
          <w:trHeight w:val="226"/>
        </w:trPr>
        <w:tc>
          <w:tcPr>
            <w:tcW w:w="529" w:type="pct"/>
            <w:tcBorders>
              <w:right w:val="single" w:sz="12" w:space="0" w:color="000000"/>
            </w:tcBorders>
            <w:noWrap/>
            <w:vAlign w:val="bottom"/>
            <w:hideMark/>
          </w:tcPr>
          <w:p w14:paraId="382273BC"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CAR</w:t>
            </w:r>
          </w:p>
        </w:tc>
        <w:tc>
          <w:tcPr>
            <w:tcW w:w="363" w:type="pct"/>
            <w:tcBorders>
              <w:left w:val="single" w:sz="12" w:space="0" w:color="000000"/>
            </w:tcBorders>
            <w:noWrap/>
            <w:vAlign w:val="bottom"/>
            <w:hideMark/>
          </w:tcPr>
          <w:p w14:paraId="1CBEBED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3297</w:t>
            </w:r>
          </w:p>
        </w:tc>
        <w:tc>
          <w:tcPr>
            <w:tcW w:w="354" w:type="pct"/>
            <w:noWrap/>
            <w:vAlign w:val="bottom"/>
            <w:hideMark/>
          </w:tcPr>
          <w:p w14:paraId="5CAB821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2922</w:t>
            </w:r>
          </w:p>
        </w:tc>
        <w:tc>
          <w:tcPr>
            <w:tcW w:w="369" w:type="pct"/>
            <w:noWrap/>
            <w:vAlign w:val="bottom"/>
            <w:hideMark/>
          </w:tcPr>
          <w:p w14:paraId="3AAA733D"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630</w:t>
            </w:r>
          </w:p>
        </w:tc>
        <w:tc>
          <w:tcPr>
            <w:tcW w:w="336" w:type="pct"/>
            <w:tcBorders>
              <w:right w:val="single" w:sz="12" w:space="0" w:color="000000"/>
            </w:tcBorders>
            <w:noWrap/>
            <w:vAlign w:val="bottom"/>
            <w:hideMark/>
          </w:tcPr>
          <w:p w14:paraId="3813BE8E"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1689</w:t>
            </w:r>
          </w:p>
        </w:tc>
        <w:tc>
          <w:tcPr>
            <w:tcW w:w="383" w:type="pct"/>
            <w:tcBorders>
              <w:left w:val="single" w:sz="12" w:space="0" w:color="000000"/>
            </w:tcBorders>
            <w:noWrap/>
            <w:vAlign w:val="bottom"/>
            <w:hideMark/>
          </w:tcPr>
          <w:p w14:paraId="68822DCB"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3389</w:t>
            </w:r>
          </w:p>
        </w:tc>
        <w:tc>
          <w:tcPr>
            <w:tcW w:w="368" w:type="pct"/>
            <w:noWrap/>
            <w:vAlign w:val="bottom"/>
            <w:hideMark/>
          </w:tcPr>
          <w:p w14:paraId="6523A746"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2998</w:t>
            </w:r>
          </w:p>
        </w:tc>
        <w:tc>
          <w:tcPr>
            <w:tcW w:w="373" w:type="pct"/>
            <w:noWrap/>
            <w:vAlign w:val="bottom"/>
            <w:hideMark/>
          </w:tcPr>
          <w:p w14:paraId="23D5232A"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996</w:t>
            </w:r>
          </w:p>
        </w:tc>
        <w:tc>
          <w:tcPr>
            <w:tcW w:w="369" w:type="pct"/>
            <w:tcBorders>
              <w:right w:val="single" w:sz="12" w:space="0" w:color="000000"/>
            </w:tcBorders>
            <w:noWrap/>
            <w:vAlign w:val="bottom"/>
            <w:hideMark/>
          </w:tcPr>
          <w:p w14:paraId="42B2C9F7"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1817</w:t>
            </w:r>
          </w:p>
        </w:tc>
        <w:tc>
          <w:tcPr>
            <w:tcW w:w="380" w:type="pct"/>
            <w:tcBorders>
              <w:left w:val="single" w:sz="12" w:space="0" w:color="000000"/>
            </w:tcBorders>
            <w:noWrap/>
            <w:vAlign w:val="center"/>
            <w:hideMark/>
          </w:tcPr>
          <w:p w14:paraId="5FFADC0D"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82" w:type="pct"/>
            <w:noWrap/>
            <w:vAlign w:val="center"/>
            <w:hideMark/>
          </w:tcPr>
          <w:p w14:paraId="35D8B7F7"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c>
          <w:tcPr>
            <w:tcW w:w="369" w:type="pct"/>
            <w:noWrap/>
            <w:vAlign w:val="center"/>
            <w:hideMark/>
          </w:tcPr>
          <w:p w14:paraId="56163F05"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0.58</w:t>
            </w:r>
          </w:p>
        </w:tc>
        <w:tc>
          <w:tcPr>
            <w:tcW w:w="424" w:type="pct"/>
            <w:noWrap/>
            <w:vAlign w:val="center"/>
            <w:hideMark/>
          </w:tcPr>
          <w:p w14:paraId="2E7C76D0"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0.08</w:t>
            </w:r>
          </w:p>
        </w:tc>
      </w:tr>
      <w:tr w:rsidR="00540A02" w:rsidRPr="00540A02" w14:paraId="56D4E7A9" w14:textId="77777777" w:rsidTr="00D13FC4">
        <w:trPr>
          <w:trHeight w:val="239"/>
        </w:trPr>
        <w:tc>
          <w:tcPr>
            <w:tcW w:w="529" w:type="pct"/>
            <w:tcBorders>
              <w:bottom w:val="single" w:sz="12" w:space="0" w:color="000000"/>
              <w:right w:val="single" w:sz="12" w:space="0" w:color="000000"/>
            </w:tcBorders>
            <w:noWrap/>
            <w:vAlign w:val="bottom"/>
            <w:hideMark/>
          </w:tcPr>
          <w:p w14:paraId="6D7E314E" w14:textId="77777777" w:rsidR="00540A02" w:rsidRPr="00540A02" w:rsidRDefault="00540A02" w:rsidP="00D13FC4">
            <w:pPr>
              <w:rPr>
                <w:rFonts w:ascii="Arial" w:hAnsi="Arial" w:cs="Arial"/>
                <w:color w:val="000000"/>
                <w:sz w:val="18"/>
                <w:szCs w:val="18"/>
                <w:lang w:eastAsia="en-PH"/>
              </w:rPr>
            </w:pPr>
            <w:r w:rsidRPr="00540A02">
              <w:rPr>
                <w:rFonts w:ascii="Arial" w:hAnsi="Arial" w:cs="Arial"/>
                <w:color w:val="000000"/>
                <w:sz w:val="18"/>
                <w:szCs w:val="18"/>
                <w:lang w:eastAsia="en-PH"/>
              </w:rPr>
              <w:t>BARMM</w:t>
            </w:r>
          </w:p>
        </w:tc>
        <w:tc>
          <w:tcPr>
            <w:tcW w:w="363" w:type="pct"/>
            <w:tcBorders>
              <w:left w:val="single" w:sz="12" w:space="0" w:color="000000"/>
              <w:bottom w:val="single" w:sz="12" w:space="0" w:color="000000"/>
            </w:tcBorders>
            <w:noWrap/>
            <w:vAlign w:val="bottom"/>
            <w:hideMark/>
          </w:tcPr>
          <w:p w14:paraId="1D367B25"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1680</w:t>
            </w:r>
          </w:p>
        </w:tc>
        <w:tc>
          <w:tcPr>
            <w:tcW w:w="354" w:type="pct"/>
            <w:tcBorders>
              <w:bottom w:val="single" w:sz="12" w:space="0" w:color="000000"/>
            </w:tcBorders>
            <w:noWrap/>
            <w:vAlign w:val="bottom"/>
            <w:hideMark/>
          </w:tcPr>
          <w:p w14:paraId="4E1EED04"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4710</w:t>
            </w:r>
          </w:p>
        </w:tc>
        <w:tc>
          <w:tcPr>
            <w:tcW w:w="369" w:type="pct"/>
            <w:tcBorders>
              <w:bottom w:val="single" w:sz="12" w:space="0" w:color="000000"/>
            </w:tcBorders>
            <w:noWrap/>
            <w:vAlign w:val="bottom"/>
            <w:hideMark/>
          </w:tcPr>
          <w:p w14:paraId="1377A399"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216</w:t>
            </w:r>
          </w:p>
        </w:tc>
        <w:tc>
          <w:tcPr>
            <w:tcW w:w="336" w:type="pct"/>
            <w:tcBorders>
              <w:bottom w:val="single" w:sz="12" w:space="0" w:color="000000"/>
              <w:right w:val="single" w:sz="12" w:space="0" w:color="000000"/>
            </w:tcBorders>
            <w:noWrap/>
            <w:vAlign w:val="bottom"/>
            <w:hideMark/>
          </w:tcPr>
          <w:p w14:paraId="6FCBE2B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649</w:t>
            </w:r>
          </w:p>
        </w:tc>
        <w:tc>
          <w:tcPr>
            <w:tcW w:w="383" w:type="pct"/>
            <w:tcBorders>
              <w:left w:val="single" w:sz="12" w:space="0" w:color="000000"/>
              <w:bottom w:val="single" w:sz="12" w:space="0" w:color="000000"/>
            </w:tcBorders>
            <w:noWrap/>
            <w:vAlign w:val="bottom"/>
            <w:hideMark/>
          </w:tcPr>
          <w:p w14:paraId="7BC4B6C1"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1689</w:t>
            </w:r>
          </w:p>
        </w:tc>
        <w:tc>
          <w:tcPr>
            <w:tcW w:w="368" w:type="pct"/>
            <w:tcBorders>
              <w:bottom w:val="single" w:sz="12" w:space="0" w:color="000000"/>
            </w:tcBorders>
            <w:noWrap/>
            <w:vAlign w:val="bottom"/>
            <w:hideMark/>
          </w:tcPr>
          <w:p w14:paraId="44A40020"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4722</w:t>
            </w:r>
          </w:p>
        </w:tc>
        <w:tc>
          <w:tcPr>
            <w:tcW w:w="373" w:type="pct"/>
            <w:tcBorders>
              <w:bottom w:val="single" w:sz="12" w:space="0" w:color="000000"/>
            </w:tcBorders>
            <w:noWrap/>
            <w:vAlign w:val="bottom"/>
            <w:hideMark/>
          </w:tcPr>
          <w:p w14:paraId="62A5A8C2"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316</w:t>
            </w:r>
          </w:p>
        </w:tc>
        <w:tc>
          <w:tcPr>
            <w:tcW w:w="369" w:type="pct"/>
            <w:tcBorders>
              <w:bottom w:val="single" w:sz="12" w:space="0" w:color="000000"/>
              <w:right w:val="single" w:sz="12" w:space="0" w:color="000000"/>
            </w:tcBorders>
            <w:noWrap/>
            <w:vAlign w:val="bottom"/>
            <w:hideMark/>
          </w:tcPr>
          <w:p w14:paraId="08481237" w14:textId="77777777" w:rsidR="00540A02" w:rsidRPr="00540A02" w:rsidRDefault="00540A02" w:rsidP="00D13FC4">
            <w:pPr>
              <w:jc w:val="right"/>
              <w:rPr>
                <w:rFonts w:ascii="Arial" w:hAnsi="Arial" w:cs="Arial"/>
                <w:color w:val="000000"/>
                <w:sz w:val="18"/>
                <w:szCs w:val="18"/>
                <w:lang w:eastAsia="en-PH"/>
              </w:rPr>
            </w:pPr>
            <w:r w:rsidRPr="00540A02">
              <w:rPr>
                <w:rFonts w:ascii="Arial" w:hAnsi="Arial" w:cs="Arial"/>
                <w:color w:val="000000"/>
                <w:sz w:val="18"/>
                <w:szCs w:val="18"/>
                <w:lang w:eastAsia="en-PH"/>
              </w:rPr>
              <w:t>666</w:t>
            </w:r>
          </w:p>
        </w:tc>
        <w:tc>
          <w:tcPr>
            <w:tcW w:w="380" w:type="pct"/>
            <w:tcBorders>
              <w:left w:val="single" w:sz="12" w:space="0" w:color="000000"/>
              <w:bottom w:val="single" w:sz="12" w:space="0" w:color="000000"/>
            </w:tcBorders>
            <w:noWrap/>
            <w:vAlign w:val="center"/>
            <w:hideMark/>
          </w:tcPr>
          <w:p w14:paraId="4FEF857F"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0.01</w:t>
            </w:r>
          </w:p>
        </w:tc>
        <w:tc>
          <w:tcPr>
            <w:tcW w:w="382" w:type="pct"/>
            <w:tcBorders>
              <w:bottom w:val="single" w:sz="12" w:space="0" w:color="000000"/>
            </w:tcBorders>
            <w:noWrap/>
            <w:vAlign w:val="center"/>
            <w:hideMark/>
          </w:tcPr>
          <w:p w14:paraId="32E137D9"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0.00</w:t>
            </w:r>
          </w:p>
        </w:tc>
        <w:tc>
          <w:tcPr>
            <w:tcW w:w="369" w:type="pct"/>
            <w:tcBorders>
              <w:bottom w:val="single" w:sz="12" w:space="0" w:color="000000"/>
            </w:tcBorders>
            <w:noWrap/>
            <w:vAlign w:val="center"/>
            <w:hideMark/>
          </w:tcPr>
          <w:p w14:paraId="05284A17"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0.46</w:t>
            </w:r>
          </w:p>
        </w:tc>
        <w:tc>
          <w:tcPr>
            <w:tcW w:w="424" w:type="pct"/>
            <w:tcBorders>
              <w:bottom w:val="single" w:sz="12" w:space="0" w:color="000000"/>
            </w:tcBorders>
            <w:noWrap/>
            <w:vAlign w:val="center"/>
            <w:hideMark/>
          </w:tcPr>
          <w:p w14:paraId="75AF080E" w14:textId="77777777" w:rsidR="00540A02" w:rsidRPr="00540A02" w:rsidRDefault="00540A02" w:rsidP="00D13FC4">
            <w:pPr>
              <w:jc w:val="center"/>
              <w:rPr>
                <w:rFonts w:ascii="Arial" w:hAnsi="Arial" w:cs="Arial"/>
                <w:color w:val="000000"/>
                <w:sz w:val="18"/>
                <w:szCs w:val="18"/>
                <w:lang w:eastAsia="en-PH"/>
              </w:rPr>
            </w:pPr>
            <w:r w:rsidRPr="00540A02">
              <w:rPr>
                <w:rFonts w:ascii="Arial" w:hAnsi="Arial" w:cs="Arial"/>
                <w:color w:val="000000"/>
                <w:sz w:val="18"/>
                <w:szCs w:val="18"/>
                <w:lang w:eastAsia="en-PH"/>
              </w:rPr>
              <w:t>0.03</w:t>
            </w:r>
          </w:p>
        </w:tc>
      </w:tr>
    </w:tbl>
    <w:p w14:paraId="40C831DC" w14:textId="77777777" w:rsidR="00540A02" w:rsidRPr="00540A02" w:rsidRDefault="00540A02" w:rsidP="00540A02">
      <w:pPr>
        <w:rPr>
          <w:rFonts w:ascii="Arial" w:eastAsiaTheme="minorEastAsia" w:hAnsi="Arial" w:cs="Arial"/>
          <w:b/>
          <w:bCs/>
          <w:sz w:val="18"/>
          <w:szCs w:val="18"/>
        </w:rPr>
      </w:pPr>
      <w:r w:rsidRPr="00540A02">
        <w:rPr>
          <w:rFonts w:ascii="Arial" w:hAnsi="Arial" w:cs="Arial"/>
          <w:sz w:val="18"/>
          <w:szCs w:val="18"/>
        </w:rPr>
        <w:t xml:space="preserve">   Source: Author’s calculation based on PSA FIES</w:t>
      </w:r>
    </w:p>
    <w:p w14:paraId="20240040" w14:textId="77777777" w:rsidR="00540A02" w:rsidRDefault="00540A02" w:rsidP="00540A02">
      <w:pPr>
        <w:pStyle w:val="Body"/>
        <w:spacing w:after="0"/>
        <w:rPr>
          <w:rFonts w:ascii="Arial" w:hAnsi="Arial" w:cs="Arial"/>
        </w:rPr>
      </w:pPr>
    </w:p>
    <w:p w14:paraId="42B90AD9" w14:textId="4DF383F3" w:rsidR="00540A02" w:rsidRDefault="00540A02" w:rsidP="00540A02">
      <w:pPr>
        <w:pStyle w:val="Body"/>
        <w:spacing w:after="0"/>
        <w:rPr>
          <w:rFonts w:ascii="Arial" w:hAnsi="Arial" w:cs="Arial"/>
        </w:rPr>
      </w:pPr>
      <w:r w:rsidRPr="00540A02">
        <w:rPr>
          <w:rFonts w:ascii="Arial" w:hAnsi="Arial" w:cs="Arial"/>
        </w:rPr>
        <w:t>The individual will choose occupational choice which will yield highest level of utility. To test if there are significant differences in the rice farmer income and occupational choice, the paired sample t-test was utilized. The paired samples t-test compared two means that are from the same individual, object, or related units. It represented the pre-test and post-test of an in intervention, particularly, the RTL.  The paired samples t-test aims to determine whether there is statistical evidence that the mean difference between paired observations is significantly different from zero.</w:t>
      </w:r>
    </w:p>
    <w:p w14:paraId="038D045C" w14:textId="77777777" w:rsidR="00540A02" w:rsidRPr="00540A02" w:rsidRDefault="00540A02" w:rsidP="00540A02">
      <w:pPr>
        <w:pStyle w:val="Body"/>
        <w:spacing w:after="0"/>
        <w:rPr>
          <w:rFonts w:ascii="Arial" w:hAnsi="Arial" w:cs="Arial"/>
        </w:rPr>
      </w:pPr>
    </w:p>
    <w:p w14:paraId="5EDC663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84A7ED6" w14:textId="77777777" w:rsidR="00790ADA" w:rsidRPr="00FB3A86" w:rsidRDefault="00790ADA" w:rsidP="00441B6F">
      <w:pPr>
        <w:pStyle w:val="ConcHead"/>
        <w:spacing w:after="0"/>
        <w:jc w:val="both"/>
        <w:rPr>
          <w:rFonts w:ascii="Arial" w:hAnsi="Arial" w:cs="Arial"/>
        </w:rPr>
      </w:pPr>
    </w:p>
    <w:p w14:paraId="537CA851" w14:textId="77777777" w:rsidR="00540A02" w:rsidRPr="00540A02" w:rsidRDefault="00540A02" w:rsidP="00540A02">
      <w:pPr>
        <w:pStyle w:val="Body"/>
        <w:rPr>
          <w:rFonts w:ascii="Arial" w:hAnsi="Arial" w:cs="Arial"/>
        </w:rPr>
      </w:pPr>
      <w:r w:rsidRPr="00540A02">
        <w:rPr>
          <w:rFonts w:ascii="Arial" w:hAnsi="Arial" w:cs="Arial"/>
        </w:rPr>
        <w:t xml:space="preserve">The implementation of the Rice Tariffication Law resulted in a noteworthy 52% increase in the total income of rice farmers who were recipients of the law, while non-recipients experienced a negative 19% change in their income. The findings jibed with the results of the simulation that the implementation of RTL results to higher income of the rice farmers. The result </w:t>
      </w:r>
      <w:proofErr w:type="gramStart"/>
      <w:r w:rsidRPr="00540A02">
        <w:rPr>
          <w:rFonts w:ascii="Arial" w:hAnsi="Arial" w:cs="Arial"/>
        </w:rPr>
        <w:t>give</w:t>
      </w:r>
      <w:proofErr w:type="gramEnd"/>
      <w:r w:rsidRPr="00540A02">
        <w:rPr>
          <w:rFonts w:ascii="Arial" w:hAnsi="Arial" w:cs="Arial"/>
        </w:rPr>
        <w:t xml:space="preserve"> us the conclusion that there is a significant difference of rice farmers income and expenditure after the implementation of RTL. The average income before the implementation of RTL is at 11, 643 pesos based on the microsimulation modelling and the implementation of RTL the average monthly income of rice farmers increase by 52% that leads to 17,684 pesos. As the results revealed regions II, VI, CARAGA, III, I and VI have the highest income increase for about 15,000 pesos to 50,000 pesos monthly income for our rice farmers.</w:t>
      </w:r>
    </w:p>
    <w:p w14:paraId="70521B4B" w14:textId="77777777" w:rsidR="00540A02" w:rsidRPr="00540A02" w:rsidRDefault="00540A02" w:rsidP="00540A02">
      <w:pPr>
        <w:pStyle w:val="Body"/>
        <w:rPr>
          <w:rFonts w:ascii="Arial" w:hAnsi="Arial" w:cs="Arial"/>
        </w:rPr>
      </w:pPr>
      <w:r w:rsidRPr="00540A02">
        <w:rPr>
          <w:rFonts w:ascii="Arial" w:hAnsi="Arial" w:cs="Arial"/>
        </w:rPr>
        <w:lastRenderedPageBreak/>
        <w:t>Following the implementation of the Rice Tariffication Law it was estimated that there was a significant increase of rice farmers, equivalent to 3,000 farmers, who transitioned to rice farming from different job category.</w:t>
      </w:r>
    </w:p>
    <w:p w14:paraId="18EDED5B" w14:textId="77777777" w:rsidR="00540A02" w:rsidRPr="00540A02" w:rsidRDefault="00540A02" w:rsidP="00540A02">
      <w:pPr>
        <w:pStyle w:val="Body"/>
        <w:rPr>
          <w:rFonts w:ascii="Arial" w:hAnsi="Arial" w:cs="Arial"/>
        </w:rPr>
      </w:pPr>
      <w:r w:rsidRPr="00540A02">
        <w:rPr>
          <w:rFonts w:ascii="Arial" w:hAnsi="Arial" w:cs="Arial"/>
        </w:rPr>
        <w:t xml:space="preserve">Based on literature and statistical results RCEF is the key to countering the impact of RTL on our rice farmers. The fund should be allocated wisely and effectively from top to bottom. There should be no room for bureaucratic red tape in the implementation of RCEF to our farmers. The government specifically Congress should ensure that RCEF programs are being allocated, distributed and given to the rice farmers. By building LGU </w:t>
      </w:r>
      <w:proofErr w:type="gramStart"/>
      <w:r w:rsidRPr="00540A02">
        <w:rPr>
          <w:rFonts w:ascii="Arial" w:hAnsi="Arial" w:cs="Arial"/>
        </w:rPr>
        <w:t>offices  assigned</w:t>
      </w:r>
      <w:proofErr w:type="gramEnd"/>
      <w:r w:rsidRPr="00540A02">
        <w:rPr>
          <w:rFonts w:ascii="Arial" w:hAnsi="Arial" w:cs="Arial"/>
        </w:rPr>
        <w:t xml:space="preserve"> and focus on RCEF programs will mitigate the bureaucracy because the allocation and implementation of the program will be going straight to our farmers and avoiding to pass thru some levels such us province, districts, LGU and barangay levels that might result to corruption.</w:t>
      </w:r>
    </w:p>
    <w:p w14:paraId="7AB77F1E" w14:textId="77777777" w:rsidR="00540A02" w:rsidRPr="00540A02" w:rsidRDefault="00540A02" w:rsidP="00540A02">
      <w:pPr>
        <w:pStyle w:val="Body"/>
        <w:rPr>
          <w:rFonts w:ascii="Arial" w:hAnsi="Arial" w:cs="Arial"/>
        </w:rPr>
      </w:pPr>
      <w:r w:rsidRPr="00540A02">
        <w:rPr>
          <w:rFonts w:ascii="Arial" w:hAnsi="Arial" w:cs="Arial"/>
        </w:rPr>
        <w:t xml:space="preserve">The RCEF cash assistance should also be increased gradually it should be </w:t>
      </w:r>
      <w:proofErr w:type="gramStart"/>
      <w:r w:rsidRPr="00540A02">
        <w:rPr>
          <w:rFonts w:ascii="Arial" w:hAnsi="Arial" w:cs="Arial"/>
        </w:rPr>
        <w:t>revisit</w:t>
      </w:r>
      <w:proofErr w:type="gramEnd"/>
      <w:r w:rsidRPr="00540A02">
        <w:rPr>
          <w:rFonts w:ascii="Arial" w:hAnsi="Arial" w:cs="Arial"/>
        </w:rPr>
        <w:t xml:space="preserve"> if 10 million allocation is still enough after 5 to 10 years so that it will directly impact the income of rice farmers. DBP and LBP should also promote microfinancing and strengthening the cooperative systems to help in allocation of cash </w:t>
      </w:r>
      <w:proofErr w:type="spellStart"/>
      <w:r w:rsidRPr="00540A02">
        <w:rPr>
          <w:rFonts w:ascii="Arial" w:hAnsi="Arial" w:cs="Arial"/>
        </w:rPr>
        <w:t>disbustment</w:t>
      </w:r>
      <w:proofErr w:type="spellEnd"/>
      <w:r w:rsidRPr="00540A02">
        <w:rPr>
          <w:rFonts w:ascii="Arial" w:hAnsi="Arial" w:cs="Arial"/>
        </w:rPr>
        <w:t>.</w:t>
      </w:r>
    </w:p>
    <w:p w14:paraId="6C94918A" w14:textId="77777777" w:rsidR="00540A02" w:rsidRPr="00540A02" w:rsidRDefault="00540A02" w:rsidP="00540A02">
      <w:pPr>
        <w:pStyle w:val="Body"/>
        <w:rPr>
          <w:rFonts w:ascii="Arial" w:hAnsi="Arial" w:cs="Arial"/>
        </w:rPr>
      </w:pPr>
      <w:r w:rsidRPr="00540A02">
        <w:rPr>
          <w:rFonts w:ascii="Arial" w:hAnsi="Arial" w:cs="Arial"/>
        </w:rPr>
        <w:t xml:space="preserve">Department of Agriculture should </w:t>
      </w:r>
      <w:proofErr w:type="gramStart"/>
      <w:r w:rsidRPr="00540A02">
        <w:rPr>
          <w:rFonts w:ascii="Arial" w:hAnsi="Arial" w:cs="Arial"/>
        </w:rPr>
        <w:t>established</w:t>
      </w:r>
      <w:proofErr w:type="gramEnd"/>
      <w:r w:rsidRPr="00540A02">
        <w:rPr>
          <w:rFonts w:ascii="Arial" w:hAnsi="Arial" w:cs="Arial"/>
        </w:rPr>
        <w:t xml:space="preserve"> community based or LGU offices that focus on RCEF program. This will ensure that the implementation of the program is accessible to the farmers such as seedling and machinery distribution. Stable supply of inputs for our farmers is a big help for them to ensure their production and respond to the increasing production cost. By </w:t>
      </w:r>
      <w:proofErr w:type="spellStart"/>
      <w:r w:rsidRPr="00540A02">
        <w:rPr>
          <w:rFonts w:ascii="Arial" w:hAnsi="Arial" w:cs="Arial"/>
        </w:rPr>
        <w:t>stablsihing</w:t>
      </w:r>
      <w:proofErr w:type="spellEnd"/>
      <w:r w:rsidRPr="00540A02">
        <w:rPr>
          <w:rFonts w:ascii="Arial" w:hAnsi="Arial" w:cs="Arial"/>
        </w:rPr>
        <w:t xml:space="preserve"> local satellite </w:t>
      </w:r>
      <w:proofErr w:type="gramStart"/>
      <w:r w:rsidRPr="00540A02">
        <w:rPr>
          <w:rFonts w:ascii="Arial" w:hAnsi="Arial" w:cs="Arial"/>
        </w:rPr>
        <w:t>offices</w:t>
      </w:r>
      <w:proofErr w:type="gramEnd"/>
      <w:r w:rsidRPr="00540A02">
        <w:rPr>
          <w:rFonts w:ascii="Arial" w:hAnsi="Arial" w:cs="Arial"/>
        </w:rPr>
        <w:t xml:space="preserve"> they can facilitate forming organization for single farmers to collaborate with other farmers in producing rice in a large scale that will result a larger volume of output and productivity in the region. This will </w:t>
      </w:r>
      <w:proofErr w:type="gramStart"/>
      <w:r w:rsidRPr="00540A02">
        <w:rPr>
          <w:rFonts w:ascii="Arial" w:hAnsi="Arial" w:cs="Arial"/>
        </w:rPr>
        <w:t>encouraged</w:t>
      </w:r>
      <w:proofErr w:type="gramEnd"/>
      <w:r w:rsidRPr="00540A02">
        <w:rPr>
          <w:rFonts w:ascii="Arial" w:hAnsi="Arial" w:cs="Arial"/>
        </w:rPr>
        <w:t xml:space="preserve"> to increase their production and increase their market share for local and organic rice.</w:t>
      </w:r>
    </w:p>
    <w:p w14:paraId="1AA04DDA" w14:textId="77777777" w:rsidR="00540A02" w:rsidRPr="00540A02" w:rsidRDefault="00540A02" w:rsidP="00540A02">
      <w:pPr>
        <w:pStyle w:val="Body"/>
        <w:rPr>
          <w:rFonts w:ascii="Arial" w:hAnsi="Arial" w:cs="Arial"/>
        </w:rPr>
      </w:pPr>
      <w:r w:rsidRPr="00540A02">
        <w:rPr>
          <w:rFonts w:ascii="Arial" w:hAnsi="Arial" w:cs="Arial"/>
        </w:rPr>
        <w:t>The rate of quantitative restriction should be revisited by the Office of the President as the rice farmers are still adjusting the competition between local rice and imported are very disadvantages for farmers.</w:t>
      </w:r>
    </w:p>
    <w:p w14:paraId="12D75B45" w14:textId="77777777" w:rsidR="00540A02" w:rsidRPr="00540A02" w:rsidRDefault="00540A02" w:rsidP="00540A02">
      <w:pPr>
        <w:pStyle w:val="Body"/>
        <w:rPr>
          <w:rFonts w:ascii="Arial" w:hAnsi="Arial" w:cs="Arial"/>
        </w:rPr>
      </w:pPr>
      <w:r w:rsidRPr="00540A02">
        <w:rPr>
          <w:rFonts w:ascii="Arial" w:hAnsi="Arial" w:cs="Arial"/>
        </w:rPr>
        <w:t>The government should support the income diversification by stablishing rural investment so that farmers have other options whenever the palay prices fall.</w:t>
      </w:r>
    </w:p>
    <w:p w14:paraId="6AD52CF2" w14:textId="77777777" w:rsidR="00540A02" w:rsidRPr="00540A02" w:rsidRDefault="00540A02" w:rsidP="00540A02">
      <w:pPr>
        <w:pStyle w:val="Body"/>
        <w:rPr>
          <w:rFonts w:ascii="Arial" w:hAnsi="Arial" w:cs="Arial"/>
        </w:rPr>
      </w:pPr>
      <w:r w:rsidRPr="00540A02">
        <w:rPr>
          <w:rFonts w:ascii="Arial" w:hAnsi="Arial" w:cs="Arial"/>
        </w:rPr>
        <w:t>TESDA should impart financial literacy to our rice farmers on top of the skills training as mandated by the law.</w:t>
      </w:r>
    </w:p>
    <w:p w14:paraId="0F2A39AD" w14:textId="77777777" w:rsidR="00540A02" w:rsidRPr="00540A02" w:rsidRDefault="00540A02" w:rsidP="00540A02">
      <w:pPr>
        <w:pStyle w:val="Body"/>
        <w:rPr>
          <w:rFonts w:ascii="Arial" w:hAnsi="Arial" w:cs="Arial"/>
        </w:rPr>
      </w:pPr>
      <w:r w:rsidRPr="00540A02">
        <w:rPr>
          <w:rFonts w:ascii="Arial" w:hAnsi="Arial" w:cs="Arial"/>
        </w:rPr>
        <w:t>Like other professional track, the researcher believed that professionalizing the agricultural sector will help the country to boost its domestic supply and promote agricultural advancement in the future.</w:t>
      </w:r>
    </w:p>
    <w:p w14:paraId="2DCD9EFC" w14:textId="61F35BC4" w:rsidR="00086B6F" w:rsidRPr="00FB3A86" w:rsidRDefault="00540A02" w:rsidP="00540A02">
      <w:pPr>
        <w:pStyle w:val="Body"/>
        <w:spacing w:after="0"/>
        <w:rPr>
          <w:rFonts w:ascii="Arial" w:hAnsi="Arial" w:cs="Arial"/>
        </w:rPr>
      </w:pPr>
      <w:r w:rsidRPr="00540A02">
        <w:rPr>
          <w:rFonts w:ascii="Arial" w:hAnsi="Arial" w:cs="Arial"/>
        </w:rPr>
        <w:t xml:space="preserve">The researcher also believed that RCEF-credit assistance should also be considered for future study as </w:t>
      </w:r>
      <w:proofErr w:type="spellStart"/>
      <w:r w:rsidRPr="00540A02">
        <w:rPr>
          <w:rFonts w:ascii="Arial" w:hAnsi="Arial" w:cs="Arial"/>
        </w:rPr>
        <w:t>its</w:t>
      </w:r>
      <w:proofErr w:type="spellEnd"/>
      <w:r w:rsidRPr="00540A02">
        <w:rPr>
          <w:rFonts w:ascii="Arial" w:hAnsi="Arial" w:cs="Arial"/>
        </w:rPr>
        <w:t xml:space="preserve"> for the benefit of all to know if the government is being efficient in implementing, the program and if the 10 billion allocation is enough for all the rice farmers in the country.</w:t>
      </w:r>
    </w:p>
    <w:p w14:paraId="21852381" w14:textId="77777777" w:rsidR="00540A02" w:rsidRDefault="00540A02" w:rsidP="00441B6F">
      <w:pPr>
        <w:pStyle w:val="AcknHead"/>
        <w:spacing w:after="0"/>
        <w:jc w:val="both"/>
        <w:rPr>
          <w:rFonts w:ascii="Arial" w:hAnsi="Arial" w:cs="Arial"/>
        </w:rPr>
      </w:pPr>
    </w:p>
    <w:p w14:paraId="2295266B" w14:textId="77777777" w:rsidR="00540A02" w:rsidRDefault="00540A02">
      <w:pPr>
        <w:rPr>
          <w:rFonts w:ascii="Arial" w:hAnsi="Arial" w:cs="Arial"/>
          <w:b/>
          <w:caps/>
          <w:sz w:val="22"/>
        </w:rPr>
      </w:pPr>
      <w:r>
        <w:rPr>
          <w:rFonts w:ascii="Arial" w:hAnsi="Arial" w:cs="Arial"/>
        </w:rPr>
        <w:br w:type="page"/>
      </w:r>
    </w:p>
    <w:p w14:paraId="78AF431C" w14:textId="73890038" w:rsidR="00154FC1" w:rsidRDefault="00154FC1" w:rsidP="00441B6F">
      <w:pPr>
        <w:pStyle w:val="ReferHead"/>
        <w:spacing w:after="0"/>
        <w:jc w:val="both"/>
        <w:rPr>
          <w:rFonts w:ascii="Arial" w:hAnsi="Arial" w:cs="Arial"/>
          <w:b w:val="0"/>
          <w:caps w:val="0"/>
          <w:sz w:val="20"/>
        </w:rPr>
      </w:pPr>
      <w:bookmarkStart w:id="3" w:name="_GoBack"/>
      <w:bookmarkEnd w:id="3"/>
    </w:p>
    <w:p w14:paraId="632A9DD7" w14:textId="77777777" w:rsidR="00154FC1" w:rsidRDefault="00154FC1" w:rsidP="00154FC1">
      <w:pPr>
        <w:pStyle w:val="DefAcrHead"/>
        <w:spacing w:after="0"/>
        <w:jc w:val="both"/>
        <w:rPr>
          <w:rFonts w:ascii="Arial" w:hAnsi="Arial" w:cs="Arial"/>
        </w:rPr>
      </w:pPr>
      <w:r w:rsidRPr="00FB3A86">
        <w:rPr>
          <w:rFonts w:ascii="Arial" w:hAnsi="Arial" w:cs="Arial"/>
        </w:rPr>
        <w:t>Definitions, Acronyms, Abbreviations</w:t>
      </w:r>
    </w:p>
    <w:p w14:paraId="74F62EF3" w14:textId="77777777" w:rsidR="00154FC1" w:rsidRDefault="00154FC1" w:rsidP="00154FC1">
      <w:pPr>
        <w:pStyle w:val="Body"/>
        <w:rPr>
          <w:rFonts w:ascii="Arial" w:hAnsi="Arial" w:cs="Arial"/>
          <w:b/>
          <w:bCs/>
        </w:rPr>
      </w:pPr>
    </w:p>
    <w:p w14:paraId="2374050F" w14:textId="77777777" w:rsidR="00154FC1" w:rsidRPr="00E251F3" w:rsidRDefault="00154FC1" w:rsidP="00154FC1">
      <w:pPr>
        <w:pStyle w:val="Body"/>
        <w:rPr>
          <w:rFonts w:ascii="Arial" w:hAnsi="Arial" w:cs="Arial"/>
        </w:rPr>
      </w:pPr>
      <w:r w:rsidRPr="00E251F3">
        <w:rPr>
          <w:rFonts w:ascii="Arial" w:hAnsi="Arial" w:cs="Arial"/>
          <w:b/>
          <w:bCs/>
        </w:rPr>
        <w:t>Microsimulation</w:t>
      </w:r>
      <w:r w:rsidRPr="00E251F3">
        <w:rPr>
          <w:rFonts w:ascii="Arial" w:hAnsi="Arial" w:cs="Arial"/>
        </w:rPr>
        <w:t>: A modeling technique used to estimate the impact of policy changes on individual or household-level outcomes.</w:t>
      </w:r>
    </w:p>
    <w:p w14:paraId="34F2CFC4" w14:textId="77777777" w:rsidR="00154FC1" w:rsidRPr="00E251F3" w:rsidRDefault="00154FC1" w:rsidP="00154FC1">
      <w:pPr>
        <w:pStyle w:val="Body"/>
        <w:rPr>
          <w:rFonts w:ascii="Arial" w:hAnsi="Arial" w:cs="Arial"/>
        </w:rPr>
      </w:pPr>
      <w:r w:rsidRPr="00E251F3">
        <w:rPr>
          <w:rFonts w:ascii="Arial" w:hAnsi="Arial" w:cs="Arial"/>
          <w:b/>
          <w:bCs/>
        </w:rPr>
        <w:t>Rice Tariffication Law (RTL):</w:t>
      </w:r>
      <w:r w:rsidRPr="00E251F3">
        <w:rPr>
          <w:rFonts w:ascii="Arial" w:hAnsi="Arial" w:cs="Arial"/>
        </w:rPr>
        <w:t xml:space="preserve"> Republic Act No. 11203, liberalizing rice importation to stabilize prices while establishing the Rice Competitiveness Enhancement Fund (RCEF).</w:t>
      </w:r>
    </w:p>
    <w:p w14:paraId="62195856" w14:textId="77777777" w:rsidR="00154FC1" w:rsidRPr="00E251F3" w:rsidRDefault="00154FC1" w:rsidP="00154FC1">
      <w:pPr>
        <w:pStyle w:val="Body"/>
        <w:rPr>
          <w:rFonts w:ascii="Arial" w:hAnsi="Arial" w:cs="Arial"/>
        </w:rPr>
      </w:pPr>
      <w:r w:rsidRPr="00E251F3">
        <w:rPr>
          <w:rFonts w:ascii="Arial" w:hAnsi="Arial" w:cs="Arial"/>
          <w:b/>
          <w:bCs/>
        </w:rPr>
        <w:t>RCEF</w:t>
      </w:r>
      <w:r w:rsidRPr="00E251F3">
        <w:rPr>
          <w:rFonts w:ascii="Arial" w:hAnsi="Arial" w:cs="Arial"/>
        </w:rPr>
        <w:t>: Rice Competitiveness Enhancement Fund, created to support farmers through mechanization, seed development, credit, and extension programs.</w:t>
      </w:r>
    </w:p>
    <w:p w14:paraId="015EB5AF" w14:textId="77777777" w:rsidR="00154FC1" w:rsidRPr="00E251F3" w:rsidRDefault="00154FC1" w:rsidP="00154FC1">
      <w:pPr>
        <w:pStyle w:val="Body"/>
        <w:rPr>
          <w:rFonts w:ascii="Arial" w:hAnsi="Arial" w:cs="Arial"/>
        </w:rPr>
      </w:pPr>
      <w:r w:rsidRPr="00E251F3">
        <w:rPr>
          <w:rFonts w:ascii="Arial" w:hAnsi="Arial" w:cs="Arial"/>
          <w:b/>
          <w:bCs/>
        </w:rPr>
        <w:t>FIES</w:t>
      </w:r>
      <w:r w:rsidRPr="00E251F3">
        <w:rPr>
          <w:rFonts w:ascii="Arial" w:hAnsi="Arial" w:cs="Arial"/>
        </w:rPr>
        <w:t>: Family Income and Expenditure Survey, a national dataset by the Philippine Statistics Authority.</w:t>
      </w:r>
    </w:p>
    <w:p w14:paraId="296CB745" w14:textId="77777777" w:rsidR="00154FC1" w:rsidRPr="00E251F3" w:rsidRDefault="00154FC1" w:rsidP="00154FC1">
      <w:pPr>
        <w:pStyle w:val="Body"/>
        <w:rPr>
          <w:rFonts w:ascii="Arial" w:hAnsi="Arial" w:cs="Arial"/>
        </w:rPr>
      </w:pPr>
      <w:r w:rsidRPr="00E251F3">
        <w:rPr>
          <w:rFonts w:ascii="Arial" w:hAnsi="Arial" w:cs="Arial"/>
          <w:b/>
          <w:bCs/>
        </w:rPr>
        <w:t>Heckman Two-Step Model</w:t>
      </w:r>
      <w:r w:rsidRPr="00E251F3">
        <w:rPr>
          <w:rFonts w:ascii="Arial" w:hAnsi="Arial" w:cs="Arial"/>
        </w:rPr>
        <w:t>: An econometric method addressing selection bias in sample data.</w:t>
      </w:r>
    </w:p>
    <w:p w14:paraId="4ABF8A7D" w14:textId="77777777" w:rsidR="00154FC1" w:rsidRPr="00E251F3" w:rsidRDefault="00154FC1" w:rsidP="00154FC1">
      <w:pPr>
        <w:pStyle w:val="Body"/>
        <w:rPr>
          <w:rFonts w:ascii="Arial" w:hAnsi="Arial" w:cs="Arial"/>
        </w:rPr>
      </w:pPr>
      <w:r w:rsidRPr="00E251F3">
        <w:rPr>
          <w:rFonts w:ascii="Arial" w:hAnsi="Arial" w:cs="Arial"/>
          <w:b/>
          <w:bCs/>
        </w:rPr>
        <w:t>Multinomial Logistic Regression</w:t>
      </w:r>
      <w:r w:rsidRPr="00E251F3">
        <w:rPr>
          <w:rFonts w:ascii="Arial" w:hAnsi="Arial" w:cs="Arial"/>
        </w:rPr>
        <w:t>: A regression model predicting outcomes with more than two categories, such as occupational choices.</w:t>
      </w:r>
    </w:p>
    <w:p w14:paraId="3130BA23" w14:textId="77777777" w:rsidR="00154FC1" w:rsidRPr="00E251F3" w:rsidRDefault="00154FC1" w:rsidP="00154FC1">
      <w:pPr>
        <w:pStyle w:val="Body"/>
        <w:rPr>
          <w:rFonts w:ascii="Arial" w:hAnsi="Arial" w:cs="Arial"/>
        </w:rPr>
      </w:pPr>
      <w:r w:rsidRPr="00E251F3">
        <w:rPr>
          <w:rFonts w:ascii="Arial" w:hAnsi="Arial" w:cs="Arial"/>
          <w:b/>
          <w:bCs/>
        </w:rPr>
        <w:t>2SLS</w:t>
      </w:r>
      <w:r w:rsidRPr="00E251F3">
        <w:rPr>
          <w:rFonts w:ascii="Arial" w:hAnsi="Arial" w:cs="Arial"/>
        </w:rPr>
        <w:t>: Two-Stage Least Squares, an estimation technique for addressing endogeneity in regression models.</w:t>
      </w:r>
    </w:p>
    <w:p w14:paraId="35618EE8" w14:textId="77777777" w:rsidR="00154FC1" w:rsidRPr="00E251F3" w:rsidRDefault="00154FC1" w:rsidP="00154FC1">
      <w:pPr>
        <w:pStyle w:val="Body"/>
        <w:rPr>
          <w:rFonts w:ascii="Arial" w:hAnsi="Arial" w:cs="Arial"/>
        </w:rPr>
      </w:pPr>
      <w:r w:rsidRPr="00E251F3">
        <w:rPr>
          <w:rFonts w:ascii="Arial" w:hAnsi="Arial" w:cs="Arial"/>
          <w:b/>
          <w:bCs/>
        </w:rPr>
        <w:t>DA</w:t>
      </w:r>
      <w:r w:rsidRPr="00E251F3">
        <w:rPr>
          <w:rFonts w:ascii="Arial" w:hAnsi="Arial" w:cs="Arial"/>
        </w:rPr>
        <w:t>: Department of Agriculture.</w:t>
      </w:r>
    </w:p>
    <w:p w14:paraId="7AB42AFA" w14:textId="77777777" w:rsidR="00154FC1" w:rsidRPr="00E251F3" w:rsidRDefault="00154FC1" w:rsidP="00154FC1">
      <w:pPr>
        <w:pStyle w:val="Body"/>
        <w:rPr>
          <w:rFonts w:ascii="Arial" w:hAnsi="Arial" w:cs="Arial"/>
        </w:rPr>
      </w:pPr>
      <w:r w:rsidRPr="00E251F3">
        <w:rPr>
          <w:rFonts w:ascii="Arial" w:hAnsi="Arial" w:cs="Arial"/>
          <w:b/>
          <w:bCs/>
        </w:rPr>
        <w:t>DBP</w:t>
      </w:r>
      <w:r w:rsidRPr="00E251F3">
        <w:rPr>
          <w:rFonts w:ascii="Arial" w:hAnsi="Arial" w:cs="Arial"/>
        </w:rPr>
        <w:t>: Development Bank of the Philippines.</w:t>
      </w:r>
    </w:p>
    <w:p w14:paraId="6CE1AAB5" w14:textId="77777777" w:rsidR="00154FC1" w:rsidRPr="00E251F3" w:rsidRDefault="00154FC1" w:rsidP="00154FC1">
      <w:pPr>
        <w:pStyle w:val="Body"/>
        <w:rPr>
          <w:rFonts w:ascii="Arial" w:hAnsi="Arial" w:cs="Arial"/>
        </w:rPr>
      </w:pPr>
      <w:r w:rsidRPr="00E251F3">
        <w:rPr>
          <w:rFonts w:ascii="Arial" w:hAnsi="Arial" w:cs="Arial"/>
          <w:b/>
          <w:bCs/>
        </w:rPr>
        <w:t>LBP</w:t>
      </w:r>
      <w:r w:rsidRPr="00E251F3">
        <w:rPr>
          <w:rFonts w:ascii="Arial" w:hAnsi="Arial" w:cs="Arial"/>
        </w:rPr>
        <w:t>: Land Bank of the Philippines.</w:t>
      </w:r>
    </w:p>
    <w:p w14:paraId="7CC5107B" w14:textId="77777777" w:rsidR="00154FC1" w:rsidRDefault="00154FC1" w:rsidP="00441B6F">
      <w:pPr>
        <w:pStyle w:val="ReferHead"/>
        <w:spacing w:after="0"/>
        <w:jc w:val="both"/>
        <w:rPr>
          <w:rFonts w:ascii="Arial" w:hAnsi="Arial" w:cs="Arial"/>
          <w:b w:val="0"/>
          <w:caps w:val="0"/>
          <w:sz w:val="20"/>
        </w:rPr>
      </w:pPr>
    </w:p>
    <w:p w14:paraId="79455407" w14:textId="77777777" w:rsidR="00540A02" w:rsidRDefault="00540A02" w:rsidP="00441B6F">
      <w:pPr>
        <w:pStyle w:val="ReferHead"/>
        <w:spacing w:after="0"/>
        <w:jc w:val="both"/>
        <w:rPr>
          <w:rFonts w:ascii="Arial" w:hAnsi="Arial" w:cs="Arial"/>
        </w:rPr>
      </w:pPr>
    </w:p>
    <w:p w14:paraId="1FF906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F88C8B1" w14:textId="77777777" w:rsidR="00790ADA" w:rsidRPr="00FB3A86" w:rsidRDefault="00790ADA" w:rsidP="00441B6F">
      <w:pPr>
        <w:pStyle w:val="ReferHead"/>
        <w:spacing w:after="0"/>
        <w:jc w:val="both"/>
        <w:rPr>
          <w:rFonts w:ascii="Arial" w:hAnsi="Arial" w:cs="Arial"/>
        </w:rPr>
      </w:pPr>
    </w:p>
    <w:p w14:paraId="4B416761" w14:textId="77777777" w:rsidR="00540A02" w:rsidRPr="00E251F3" w:rsidRDefault="00540A02" w:rsidP="00540A02">
      <w:pPr>
        <w:ind w:left="630" w:hanging="630"/>
        <w:rPr>
          <w:rFonts w:ascii="Arial" w:hAnsi="Arial" w:cs="Arial"/>
        </w:rPr>
      </w:pPr>
      <w:proofErr w:type="spellStart"/>
      <w:r w:rsidRPr="00E251F3">
        <w:rPr>
          <w:rFonts w:ascii="Arial" w:hAnsi="Arial" w:cs="Arial"/>
        </w:rPr>
        <w:t>Abansi</w:t>
      </w:r>
      <w:proofErr w:type="spellEnd"/>
      <w:r w:rsidRPr="00E251F3">
        <w:rPr>
          <w:rFonts w:ascii="Arial" w:hAnsi="Arial" w:cs="Arial"/>
        </w:rPr>
        <w:t xml:space="preserve">, C. L., Duff, B., </w:t>
      </w:r>
      <w:proofErr w:type="spellStart"/>
      <w:r w:rsidRPr="00E251F3">
        <w:rPr>
          <w:rFonts w:ascii="Arial" w:hAnsi="Arial" w:cs="Arial"/>
        </w:rPr>
        <w:t>Lantican</w:t>
      </w:r>
      <w:proofErr w:type="spellEnd"/>
      <w:r w:rsidRPr="00E251F3">
        <w:rPr>
          <w:rFonts w:ascii="Arial" w:hAnsi="Arial" w:cs="Arial"/>
        </w:rPr>
        <w:t>, F. A., &amp; Juliano, B. O. (1992). Consumer demand for rice grain quality in selected rural and urban markets in the Philippines. Consumer Demand for Rice Grain Quality: Terminal Report of IDRC Projects National Grain Quality (Asia) and International Grain Quality Economics (Asia), 37-57.</w:t>
      </w:r>
    </w:p>
    <w:p w14:paraId="2727C324" w14:textId="77777777" w:rsidR="00540A02" w:rsidRPr="00E251F3" w:rsidRDefault="00540A02" w:rsidP="00540A02">
      <w:pPr>
        <w:ind w:left="630" w:hanging="630"/>
        <w:rPr>
          <w:rFonts w:ascii="Arial" w:hAnsi="Arial" w:cs="Arial"/>
        </w:rPr>
      </w:pPr>
      <w:r w:rsidRPr="00E251F3">
        <w:rPr>
          <w:rFonts w:ascii="Arial" w:hAnsi="Arial" w:cs="Arial"/>
        </w:rPr>
        <w:t>Arida, I. A. (2009). Problems in rice farming: a Filipino farmers' perspective. Philippine Journal of Crop Science (Philippines).</w:t>
      </w:r>
    </w:p>
    <w:p w14:paraId="3B75F9D2" w14:textId="77777777" w:rsidR="00540A02" w:rsidRPr="00E251F3" w:rsidRDefault="00540A02" w:rsidP="00540A02">
      <w:pPr>
        <w:ind w:left="630" w:hanging="630"/>
        <w:rPr>
          <w:rFonts w:ascii="Arial" w:hAnsi="Arial" w:cs="Arial"/>
        </w:rPr>
      </w:pPr>
      <w:proofErr w:type="spellStart"/>
      <w:r w:rsidRPr="00E251F3">
        <w:rPr>
          <w:rFonts w:ascii="Arial" w:hAnsi="Arial" w:cs="Arial"/>
        </w:rPr>
        <w:t>Balié</w:t>
      </w:r>
      <w:proofErr w:type="spellEnd"/>
      <w:r w:rsidRPr="00E251F3">
        <w:rPr>
          <w:rFonts w:ascii="Arial" w:hAnsi="Arial" w:cs="Arial"/>
        </w:rPr>
        <w:t>, J., &amp; Valera, H. G. (2020). Domestic and international impacts of the rice trade policy reform in the Philippines. Food Policy, 92, 101876.</w:t>
      </w:r>
    </w:p>
    <w:p w14:paraId="37FDBA8A" w14:textId="77777777" w:rsidR="00540A02" w:rsidRPr="00E251F3" w:rsidRDefault="00540A02" w:rsidP="00540A02">
      <w:pPr>
        <w:ind w:left="630" w:hanging="630"/>
        <w:rPr>
          <w:rFonts w:ascii="Arial" w:hAnsi="Arial" w:cs="Arial"/>
        </w:rPr>
      </w:pPr>
      <w:proofErr w:type="spellStart"/>
      <w:r w:rsidRPr="00E251F3">
        <w:rPr>
          <w:rFonts w:ascii="Arial" w:hAnsi="Arial" w:cs="Arial"/>
        </w:rPr>
        <w:t>Balié</w:t>
      </w:r>
      <w:proofErr w:type="spellEnd"/>
      <w:r w:rsidRPr="00E251F3">
        <w:rPr>
          <w:rFonts w:ascii="Arial" w:hAnsi="Arial" w:cs="Arial"/>
        </w:rPr>
        <w:t>, J., &amp; Valera, H. G. (2020). Domestic and international impacts of the rice trade policy reform in the Philippines. Food Policy, 92, 101876.</w:t>
      </w:r>
    </w:p>
    <w:p w14:paraId="1BEA2464" w14:textId="77777777" w:rsidR="00540A02" w:rsidRPr="00E251F3" w:rsidRDefault="00540A02" w:rsidP="00540A02">
      <w:pPr>
        <w:ind w:left="630" w:hanging="630"/>
        <w:rPr>
          <w:rFonts w:ascii="Arial" w:hAnsi="Arial" w:cs="Arial"/>
        </w:rPr>
      </w:pPr>
      <w:proofErr w:type="spellStart"/>
      <w:r w:rsidRPr="00E251F3">
        <w:rPr>
          <w:rFonts w:ascii="Arial" w:hAnsi="Arial" w:cs="Arial"/>
        </w:rPr>
        <w:t>Balié</w:t>
      </w:r>
      <w:proofErr w:type="spellEnd"/>
      <w:r w:rsidRPr="00E251F3">
        <w:rPr>
          <w:rFonts w:ascii="Arial" w:hAnsi="Arial" w:cs="Arial"/>
        </w:rPr>
        <w:t>, J., &amp; Valera, H. G. (2020). Is COVID-19 a threat to the stability of rice price and supply.</w:t>
      </w:r>
    </w:p>
    <w:p w14:paraId="0082C528" w14:textId="77777777" w:rsidR="00540A02" w:rsidRPr="00E251F3" w:rsidRDefault="00540A02" w:rsidP="00540A02">
      <w:pPr>
        <w:ind w:left="630" w:hanging="630"/>
        <w:rPr>
          <w:rFonts w:ascii="Arial" w:hAnsi="Arial" w:cs="Arial"/>
        </w:rPr>
      </w:pPr>
      <w:proofErr w:type="spellStart"/>
      <w:r w:rsidRPr="00E251F3">
        <w:rPr>
          <w:rFonts w:ascii="Arial" w:hAnsi="Arial" w:cs="Arial"/>
        </w:rPr>
        <w:t>Balié</w:t>
      </w:r>
      <w:proofErr w:type="spellEnd"/>
      <w:r w:rsidRPr="00E251F3">
        <w:rPr>
          <w:rFonts w:ascii="Arial" w:hAnsi="Arial" w:cs="Arial"/>
        </w:rPr>
        <w:t xml:space="preserve">, Jean; Minot, Nicholas; and Valera, Harold Glenn. 2020. Distributional impact of the rice tariffication policy in the Philippines. IFPRI Discussion Paper 1962. Washington, DC: International Food Policy Research Institute (IFPRI). </w:t>
      </w:r>
      <w:hyperlink r:id="rId18" w:history="1">
        <w:r w:rsidRPr="00E251F3">
          <w:rPr>
            <w:rStyle w:val="Hyperlink"/>
            <w:rFonts w:ascii="Arial" w:hAnsi="Arial" w:cs="Arial"/>
          </w:rPr>
          <w:t>https://doi.org/10.2499/p15738coll2.133994</w:t>
        </w:r>
      </w:hyperlink>
    </w:p>
    <w:p w14:paraId="33D2452E" w14:textId="77777777" w:rsidR="00540A02" w:rsidRPr="00E251F3" w:rsidRDefault="00540A02" w:rsidP="00540A02">
      <w:pPr>
        <w:ind w:left="630" w:hanging="630"/>
        <w:rPr>
          <w:rFonts w:ascii="Arial" w:hAnsi="Arial" w:cs="Arial"/>
        </w:rPr>
      </w:pPr>
      <w:r w:rsidRPr="00E251F3">
        <w:rPr>
          <w:rFonts w:ascii="Arial" w:hAnsi="Arial" w:cs="Arial"/>
        </w:rPr>
        <w:t xml:space="preserve">Chen, L. H., Jatuporn, C., &amp; </w:t>
      </w:r>
      <w:proofErr w:type="spellStart"/>
      <w:r w:rsidRPr="00E251F3">
        <w:rPr>
          <w:rFonts w:ascii="Arial" w:hAnsi="Arial" w:cs="Arial"/>
        </w:rPr>
        <w:t>Narreto</w:t>
      </w:r>
      <w:proofErr w:type="spellEnd"/>
      <w:r w:rsidRPr="00E251F3">
        <w:rPr>
          <w:rFonts w:ascii="Arial" w:hAnsi="Arial" w:cs="Arial"/>
        </w:rPr>
        <w:t>, O. M. C. (2011). Price analysis of domestic rice market in the Philippines. Economics Letters, 10(7), 639-646.</w:t>
      </w:r>
    </w:p>
    <w:p w14:paraId="24B4D1A7" w14:textId="77777777" w:rsidR="00540A02" w:rsidRPr="00E251F3" w:rsidRDefault="00540A02" w:rsidP="00540A02">
      <w:pPr>
        <w:ind w:left="630" w:hanging="630"/>
        <w:rPr>
          <w:rFonts w:ascii="Arial" w:hAnsi="Arial" w:cs="Arial"/>
        </w:rPr>
      </w:pPr>
      <w:proofErr w:type="spellStart"/>
      <w:r w:rsidRPr="00E251F3">
        <w:rPr>
          <w:rFonts w:ascii="Arial" w:hAnsi="Arial" w:cs="Arial"/>
        </w:rPr>
        <w:t>Chivenge</w:t>
      </w:r>
      <w:proofErr w:type="spellEnd"/>
      <w:r w:rsidRPr="00E251F3">
        <w:rPr>
          <w:rFonts w:ascii="Arial" w:hAnsi="Arial" w:cs="Arial"/>
        </w:rPr>
        <w:t>, P., &amp; Sharma, S. (2019, August). Precision agriculture in food production: Nutrient management. In International workshop on ICTs for precision agriculture (Vol. 12).</w:t>
      </w:r>
    </w:p>
    <w:p w14:paraId="47DBADC6" w14:textId="77777777" w:rsidR="00540A02" w:rsidRPr="00E251F3" w:rsidRDefault="00540A02" w:rsidP="00540A02">
      <w:pPr>
        <w:ind w:left="630" w:hanging="630"/>
        <w:rPr>
          <w:rFonts w:ascii="Arial" w:hAnsi="Arial" w:cs="Arial"/>
        </w:rPr>
      </w:pPr>
      <w:proofErr w:type="spellStart"/>
      <w:r w:rsidRPr="00E251F3">
        <w:rPr>
          <w:rFonts w:ascii="Arial" w:hAnsi="Arial" w:cs="Arial"/>
        </w:rPr>
        <w:t>Cororaton</w:t>
      </w:r>
      <w:proofErr w:type="spellEnd"/>
      <w:r w:rsidRPr="00E251F3">
        <w:rPr>
          <w:rFonts w:ascii="Arial" w:hAnsi="Arial" w:cs="Arial"/>
        </w:rPr>
        <w:t>, C. B. (2004). Rice reforms and poverty in the Philippines: a CGE analysis (No. 57). ADBI Research Paper Series.</w:t>
      </w:r>
    </w:p>
    <w:p w14:paraId="51A66CAB" w14:textId="77777777" w:rsidR="00540A02" w:rsidRPr="00E251F3" w:rsidRDefault="00540A02" w:rsidP="00540A02">
      <w:pPr>
        <w:ind w:left="630" w:hanging="630"/>
        <w:rPr>
          <w:rFonts w:ascii="Arial" w:hAnsi="Arial" w:cs="Arial"/>
        </w:rPr>
      </w:pPr>
      <w:proofErr w:type="spellStart"/>
      <w:r w:rsidRPr="00E251F3">
        <w:rPr>
          <w:rFonts w:ascii="Arial" w:hAnsi="Arial" w:cs="Arial"/>
        </w:rPr>
        <w:t>Cororaton</w:t>
      </w:r>
      <w:proofErr w:type="spellEnd"/>
      <w:r w:rsidRPr="00E251F3">
        <w:rPr>
          <w:rFonts w:ascii="Arial" w:hAnsi="Arial" w:cs="Arial"/>
        </w:rPr>
        <w:t>, C. B., &amp; Cockburn, J. (2007). Trade reform and poverty—Lessons from the Philippines: A CGE-microsimulation analysis. Journal of Policy Modeling, 29(1), 141-163.</w:t>
      </w:r>
    </w:p>
    <w:p w14:paraId="78A3B548" w14:textId="77777777" w:rsidR="00540A02" w:rsidRPr="00E251F3" w:rsidRDefault="00540A02" w:rsidP="00540A02">
      <w:pPr>
        <w:ind w:left="630" w:hanging="630"/>
        <w:rPr>
          <w:rFonts w:ascii="Arial" w:hAnsi="Arial" w:cs="Arial"/>
        </w:rPr>
      </w:pPr>
      <w:r w:rsidRPr="00E251F3">
        <w:rPr>
          <w:rFonts w:ascii="Arial" w:hAnsi="Arial" w:cs="Arial"/>
        </w:rPr>
        <w:lastRenderedPageBreak/>
        <w:t xml:space="preserve">Cuevas, R. P., Pede, V. O., McKinley, J., Velarde, O., &amp; Demont, M. (2016). Rice grain quality and consumer preferences: a case study of two rural towns in the Philippines. </w:t>
      </w:r>
      <w:proofErr w:type="spellStart"/>
      <w:r w:rsidRPr="00E251F3">
        <w:rPr>
          <w:rFonts w:ascii="Arial" w:hAnsi="Arial" w:cs="Arial"/>
        </w:rPr>
        <w:t>PloS</w:t>
      </w:r>
      <w:proofErr w:type="spellEnd"/>
      <w:r w:rsidRPr="00E251F3">
        <w:rPr>
          <w:rFonts w:ascii="Arial" w:hAnsi="Arial" w:cs="Arial"/>
        </w:rPr>
        <w:t xml:space="preserve"> one, 11(3), e0150345.</w:t>
      </w:r>
    </w:p>
    <w:p w14:paraId="3B6E9134" w14:textId="77777777" w:rsidR="00540A02" w:rsidRPr="00E251F3" w:rsidRDefault="00540A02" w:rsidP="00540A02">
      <w:pPr>
        <w:ind w:left="630" w:hanging="630"/>
        <w:rPr>
          <w:rFonts w:ascii="Arial" w:hAnsi="Arial" w:cs="Arial"/>
        </w:rPr>
      </w:pPr>
      <w:proofErr w:type="spellStart"/>
      <w:r w:rsidRPr="00E251F3">
        <w:rPr>
          <w:rFonts w:ascii="Arial" w:hAnsi="Arial" w:cs="Arial"/>
        </w:rPr>
        <w:t>Danso-Abbeam</w:t>
      </w:r>
      <w:proofErr w:type="spellEnd"/>
      <w:r w:rsidRPr="00E251F3">
        <w:rPr>
          <w:rFonts w:ascii="Arial" w:hAnsi="Arial" w:cs="Arial"/>
        </w:rPr>
        <w:t>, G., &amp; Baidoo, F. (2014). Determinants of Consumer Preference for Local Rice in Tamale Metropolis, Ghana.</w:t>
      </w:r>
    </w:p>
    <w:p w14:paraId="1BC55015" w14:textId="77777777" w:rsidR="00540A02" w:rsidRPr="00E251F3" w:rsidRDefault="00540A02" w:rsidP="00540A02">
      <w:pPr>
        <w:ind w:left="630" w:hanging="630"/>
        <w:rPr>
          <w:rFonts w:ascii="Arial" w:hAnsi="Arial" w:cs="Arial"/>
        </w:rPr>
      </w:pPr>
      <w:proofErr w:type="spellStart"/>
      <w:r w:rsidRPr="00E251F3">
        <w:rPr>
          <w:rFonts w:ascii="Arial" w:hAnsi="Arial" w:cs="Arial"/>
        </w:rPr>
        <w:t>Datoon</w:t>
      </w:r>
      <w:proofErr w:type="spellEnd"/>
      <w:r w:rsidRPr="00E251F3">
        <w:rPr>
          <w:rFonts w:ascii="Arial" w:hAnsi="Arial" w:cs="Arial"/>
        </w:rPr>
        <w:t>, R. (2016). RURAL INDUSTRIALIZATION AND THE DE-FEMINIZATION OF RICE FARMING, THE CASE OF A VILLAGE OUTSIDE THE FREEPORT AREA OF BATAAN. Journal of Management and Development Studies, 5(1), 1-1.</w:t>
      </w:r>
    </w:p>
    <w:p w14:paraId="7B9E0773" w14:textId="77777777" w:rsidR="00540A02" w:rsidRPr="00E251F3" w:rsidRDefault="00540A02" w:rsidP="00540A02">
      <w:pPr>
        <w:ind w:left="630" w:hanging="630"/>
        <w:rPr>
          <w:rFonts w:ascii="Arial" w:hAnsi="Arial" w:cs="Arial"/>
        </w:rPr>
      </w:pPr>
      <w:r w:rsidRPr="00E251F3">
        <w:rPr>
          <w:rFonts w:ascii="Arial" w:hAnsi="Arial" w:cs="Arial"/>
        </w:rPr>
        <w:t>David, C. C., &amp; Balisacan, A. M. (1995). Philippine rice supply demand: prospects and policy implications (No. 1995-28). PIDS Discussion Paper Series.</w:t>
      </w:r>
    </w:p>
    <w:p w14:paraId="7890AE1A" w14:textId="77777777" w:rsidR="00540A02" w:rsidRPr="00E251F3" w:rsidRDefault="00540A02" w:rsidP="00540A02">
      <w:pPr>
        <w:ind w:left="630" w:hanging="630"/>
        <w:rPr>
          <w:rFonts w:ascii="Arial" w:hAnsi="Arial" w:cs="Arial"/>
        </w:rPr>
      </w:pPr>
      <w:r w:rsidRPr="00E251F3">
        <w:rPr>
          <w:rFonts w:ascii="Arial" w:hAnsi="Arial" w:cs="Arial"/>
        </w:rPr>
        <w:t xml:space="preserve">Department of Agriculture. DA Bulletin No. </w:t>
      </w:r>
      <w:proofErr w:type="gramStart"/>
      <w:r w:rsidRPr="00E251F3">
        <w:rPr>
          <w:rFonts w:ascii="Arial" w:hAnsi="Arial" w:cs="Arial"/>
        </w:rPr>
        <w:t>1.Rice</w:t>
      </w:r>
      <w:proofErr w:type="gramEnd"/>
      <w:r w:rsidRPr="00E251F3">
        <w:rPr>
          <w:rFonts w:ascii="Arial" w:hAnsi="Arial" w:cs="Arial"/>
        </w:rPr>
        <w:t>: Understanding the Rice Tariffication Law (RTL) or RA 11203.https://www.da.gov.ph/understanding-the-rice-tariffication-law-rtl-or-ra-11203-and-its-ramifications/</w:t>
      </w:r>
    </w:p>
    <w:p w14:paraId="617407DD" w14:textId="77777777" w:rsidR="00540A02" w:rsidRPr="00E251F3" w:rsidRDefault="00540A02" w:rsidP="00540A02">
      <w:pPr>
        <w:ind w:left="630" w:hanging="630"/>
        <w:rPr>
          <w:rFonts w:ascii="Arial" w:hAnsi="Arial" w:cs="Arial"/>
        </w:rPr>
      </w:pPr>
      <w:r w:rsidRPr="00E251F3">
        <w:rPr>
          <w:rFonts w:ascii="Arial" w:hAnsi="Arial" w:cs="Arial"/>
        </w:rPr>
        <w:t xml:space="preserve">Department of Agriculture. Price Target FY2012-2013. </w:t>
      </w:r>
      <w:hyperlink r:id="rId19" w:history="1">
        <w:r w:rsidRPr="00E251F3">
          <w:rPr>
            <w:rStyle w:val="Hyperlink"/>
            <w:rFonts w:ascii="Arial" w:hAnsi="Arial" w:cs="Arial"/>
          </w:rPr>
          <w:t>https://www.officialgazette.gov.ph/2012/05/10/2012-rice-production-target-on-track/</w:t>
        </w:r>
      </w:hyperlink>
    </w:p>
    <w:p w14:paraId="3B5EA332" w14:textId="77777777" w:rsidR="00540A02" w:rsidRPr="00E251F3" w:rsidRDefault="00540A02" w:rsidP="00540A02">
      <w:pPr>
        <w:ind w:left="630" w:hanging="630"/>
        <w:rPr>
          <w:rFonts w:ascii="Arial" w:hAnsi="Arial" w:cs="Arial"/>
        </w:rPr>
      </w:pPr>
      <w:r w:rsidRPr="00E251F3">
        <w:rPr>
          <w:rFonts w:ascii="Arial" w:hAnsi="Arial" w:cs="Arial"/>
        </w:rPr>
        <w:t xml:space="preserve">Department of Agriculture. Price Target FY2014-2016. </w:t>
      </w:r>
      <w:hyperlink r:id="rId20" w:history="1">
        <w:r w:rsidRPr="00E251F3">
          <w:rPr>
            <w:rStyle w:val="Hyperlink"/>
            <w:rFonts w:ascii="Arial" w:hAnsi="Arial" w:cs="Arial"/>
          </w:rPr>
          <w:t>https://www.officialgazette.gov.ph/2014/07/09/rice-harvest-to-reach-60m-metric-tons-from-2014-to-2016/</w:t>
        </w:r>
      </w:hyperlink>
    </w:p>
    <w:p w14:paraId="38A77CF2" w14:textId="77777777" w:rsidR="00540A02" w:rsidRPr="00E251F3" w:rsidRDefault="00540A02" w:rsidP="00540A02">
      <w:pPr>
        <w:ind w:left="630" w:hanging="630"/>
        <w:rPr>
          <w:rFonts w:ascii="Arial" w:hAnsi="Arial" w:cs="Arial"/>
        </w:rPr>
      </w:pPr>
      <w:r w:rsidRPr="00E251F3">
        <w:rPr>
          <w:rFonts w:ascii="Arial" w:hAnsi="Arial" w:cs="Arial"/>
        </w:rPr>
        <w:t>Department of Agriculture. Price Target FY2018. https://www.officialgazette.gov.ph/2012/05/10/2012-rice-production-target-on-track/</w:t>
      </w:r>
    </w:p>
    <w:p w14:paraId="0C712A35" w14:textId="77777777" w:rsidR="00540A02" w:rsidRPr="00E251F3" w:rsidRDefault="00540A02" w:rsidP="00540A02">
      <w:pPr>
        <w:ind w:left="630" w:hanging="630"/>
        <w:rPr>
          <w:rFonts w:ascii="Arial" w:hAnsi="Arial" w:cs="Arial"/>
        </w:rPr>
      </w:pPr>
      <w:r w:rsidRPr="00E251F3">
        <w:rPr>
          <w:rFonts w:ascii="Arial" w:hAnsi="Arial" w:cs="Arial"/>
        </w:rPr>
        <w:t xml:space="preserve">Department of Agriculture. Price Watch FY2018. </w:t>
      </w:r>
      <w:hyperlink r:id="rId21" w:history="1">
        <w:r w:rsidRPr="00E251F3">
          <w:rPr>
            <w:rStyle w:val="Hyperlink"/>
            <w:rFonts w:ascii="Arial" w:hAnsi="Arial" w:cs="Arial"/>
          </w:rPr>
          <w:t>https://www.da.gov.ph/wp-content/uploads/2018/02/Price-Watch-February-1-2018.pdf</w:t>
        </w:r>
      </w:hyperlink>
    </w:p>
    <w:p w14:paraId="6C6CE202" w14:textId="77777777" w:rsidR="00540A02" w:rsidRPr="00E251F3" w:rsidRDefault="00540A02" w:rsidP="00540A02">
      <w:pPr>
        <w:ind w:left="630" w:hanging="630"/>
        <w:rPr>
          <w:rFonts w:ascii="Arial" w:hAnsi="Arial" w:cs="Arial"/>
        </w:rPr>
      </w:pPr>
      <w:r w:rsidRPr="00E251F3">
        <w:rPr>
          <w:rFonts w:ascii="Arial" w:hAnsi="Arial" w:cs="Arial"/>
        </w:rPr>
        <w:t xml:space="preserve">Department of Agriculture. Price Watch FY2019. </w:t>
      </w:r>
      <w:hyperlink r:id="rId22" w:history="1">
        <w:r w:rsidRPr="00E251F3">
          <w:rPr>
            <w:rStyle w:val="Hyperlink"/>
            <w:rFonts w:ascii="Arial" w:hAnsi="Arial" w:cs="Arial"/>
          </w:rPr>
          <w:t>https://www.da.gov.ph/wp-content/uploads/2019/12/Retail-Price-Monitoring-December-28-2019.pdf</w:t>
        </w:r>
      </w:hyperlink>
    </w:p>
    <w:p w14:paraId="28274DC1" w14:textId="77777777" w:rsidR="00540A02" w:rsidRPr="00E251F3" w:rsidRDefault="00540A02" w:rsidP="00540A02">
      <w:pPr>
        <w:ind w:left="630" w:hanging="630"/>
        <w:rPr>
          <w:rFonts w:ascii="Arial" w:hAnsi="Arial" w:cs="Arial"/>
        </w:rPr>
      </w:pPr>
      <w:r w:rsidRPr="00E251F3">
        <w:rPr>
          <w:rFonts w:ascii="Arial" w:hAnsi="Arial" w:cs="Arial"/>
        </w:rPr>
        <w:t xml:space="preserve">Department of Agriculture. Price Watch FY2020. </w:t>
      </w:r>
      <w:hyperlink r:id="rId23" w:history="1">
        <w:r w:rsidRPr="00E251F3">
          <w:rPr>
            <w:rStyle w:val="Hyperlink"/>
            <w:rFonts w:ascii="Arial" w:hAnsi="Arial" w:cs="Arial"/>
          </w:rPr>
          <w:t>https://www.da.gov.ph/wp-content/uploads/2020/12/Price-Monitoring-December-29-2020.pdf</w:t>
        </w:r>
      </w:hyperlink>
    </w:p>
    <w:p w14:paraId="06DEB5AA" w14:textId="77777777" w:rsidR="00540A02" w:rsidRPr="00E251F3" w:rsidRDefault="00540A02" w:rsidP="00540A02">
      <w:pPr>
        <w:ind w:left="630" w:hanging="630"/>
        <w:rPr>
          <w:rFonts w:ascii="Arial" w:hAnsi="Arial" w:cs="Arial"/>
        </w:rPr>
      </w:pPr>
      <w:r w:rsidRPr="00E251F3">
        <w:rPr>
          <w:rFonts w:ascii="Arial" w:hAnsi="Arial" w:cs="Arial"/>
        </w:rPr>
        <w:t xml:space="preserve">Department of Agriculture. Price Watch FY2021. </w:t>
      </w:r>
      <w:hyperlink r:id="rId24" w:history="1">
        <w:r w:rsidRPr="00E251F3">
          <w:rPr>
            <w:rStyle w:val="Hyperlink"/>
            <w:rFonts w:ascii="Arial" w:hAnsi="Arial" w:cs="Arial"/>
          </w:rPr>
          <w:t>https://www.da.gov.ph/wp-content/uploads/2021/01/Price-Monitoring-January-04-2021.pdf</w:t>
        </w:r>
      </w:hyperlink>
    </w:p>
    <w:p w14:paraId="28EBF85A" w14:textId="77777777" w:rsidR="00540A02" w:rsidRPr="00E251F3" w:rsidRDefault="00540A02" w:rsidP="00540A02">
      <w:pPr>
        <w:ind w:left="630" w:hanging="630"/>
        <w:rPr>
          <w:rFonts w:ascii="Arial" w:hAnsi="Arial" w:cs="Arial"/>
        </w:rPr>
      </w:pPr>
      <w:r w:rsidRPr="00E251F3">
        <w:rPr>
          <w:rFonts w:ascii="Arial" w:hAnsi="Arial" w:cs="Arial"/>
        </w:rPr>
        <w:t>Department of Finance, Metro Manila.https://www.dof.gov.ph/rice-tariffication-a-gamechanger-in-2019/</w:t>
      </w:r>
    </w:p>
    <w:p w14:paraId="7FA35402" w14:textId="77777777" w:rsidR="00540A02" w:rsidRPr="00E251F3" w:rsidRDefault="00540A02" w:rsidP="00540A02">
      <w:pPr>
        <w:ind w:left="630" w:hanging="630"/>
        <w:rPr>
          <w:rFonts w:ascii="Arial" w:hAnsi="Arial" w:cs="Arial"/>
        </w:rPr>
      </w:pPr>
      <w:r w:rsidRPr="00E251F3">
        <w:rPr>
          <w:rFonts w:ascii="Arial" w:hAnsi="Arial" w:cs="Arial"/>
        </w:rPr>
        <w:t xml:space="preserve">Department of Finance, Metro </w:t>
      </w:r>
      <w:proofErr w:type="spellStart"/>
      <w:r w:rsidRPr="00E251F3">
        <w:rPr>
          <w:rFonts w:ascii="Arial" w:hAnsi="Arial" w:cs="Arial"/>
        </w:rPr>
        <w:t>Manila.Rice</w:t>
      </w:r>
      <w:proofErr w:type="spellEnd"/>
      <w:r w:rsidRPr="00E251F3">
        <w:rPr>
          <w:rFonts w:ascii="Arial" w:hAnsi="Arial" w:cs="Arial"/>
        </w:rPr>
        <w:t xml:space="preserve"> </w:t>
      </w:r>
      <w:proofErr w:type="spellStart"/>
      <w:r w:rsidRPr="00E251F3">
        <w:rPr>
          <w:rFonts w:ascii="Arial" w:hAnsi="Arial" w:cs="Arial"/>
        </w:rPr>
        <w:t>tariffication</w:t>
      </w:r>
      <w:proofErr w:type="spellEnd"/>
      <w:r w:rsidRPr="00E251F3">
        <w:rPr>
          <w:rFonts w:ascii="Arial" w:hAnsi="Arial" w:cs="Arial"/>
        </w:rPr>
        <w:t xml:space="preserve"> a gamechanger in 2019.https://www.dof.gov.ph/rice-tariffication-a-gamechanger-in-2019/</w:t>
      </w:r>
    </w:p>
    <w:p w14:paraId="37DABD39" w14:textId="77777777" w:rsidR="00540A02" w:rsidRPr="00E251F3" w:rsidRDefault="00540A02" w:rsidP="00540A02">
      <w:pPr>
        <w:ind w:left="630" w:hanging="630"/>
        <w:rPr>
          <w:rFonts w:ascii="Arial" w:hAnsi="Arial" w:cs="Arial"/>
        </w:rPr>
      </w:pPr>
      <w:r w:rsidRPr="00E251F3">
        <w:rPr>
          <w:rFonts w:ascii="Arial" w:hAnsi="Arial" w:cs="Arial"/>
        </w:rPr>
        <w:t>DIZON, R. L. (2021). Tax Incidence of Philippine Tax Reform: Poverty and Distributional Effect. The Journal of Asian Finance, Economics, and Business, 8(2), 281-288.</w:t>
      </w:r>
    </w:p>
    <w:p w14:paraId="5D9A0E25" w14:textId="77777777" w:rsidR="00540A02" w:rsidRPr="00E251F3" w:rsidRDefault="00540A02" w:rsidP="00540A02">
      <w:pPr>
        <w:ind w:left="630" w:hanging="630"/>
        <w:rPr>
          <w:rFonts w:ascii="Arial" w:hAnsi="Arial" w:cs="Arial"/>
        </w:rPr>
      </w:pPr>
      <w:r w:rsidRPr="00E251F3">
        <w:rPr>
          <w:rFonts w:ascii="Arial" w:hAnsi="Arial" w:cs="Arial"/>
        </w:rPr>
        <w:t xml:space="preserve">Evangelista, J., Estrella, N. M., &amp; </w:t>
      </w:r>
      <w:proofErr w:type="spellStart"/>
      <w:r w:rsidRPr="00E251F3">
        <w:rPr>
          <w:rFonts w:ascii="Arial" w:hAnsi="Arial" w:cs="Arial"/>
        </w:rPr>
        <w:t>Suin</w:t>
      </w:r>
      <w:proofErr w:type="spellEnd"/>
      <w:r w:rsidRPr="00E251F3">
        <w:rPr>
          <w:rFonts w:ascii="Arial" w:hAnsi="Arial" w:cs="Arial"/>
        </w:rPr>
        <w:t>, K. A. (2022). Trade Liberalization: Reaping Its Effects on the Agricultural Performance of the Philippines. Journal of Economics, Finance and Accounting Studies, 4(1), 131-149.</w:t>
      </w:r>
    </w:p>
    <w:p w14:paraId="7A1D847E" w14:textId="77777777" w:rsidR="00540A02" w:rsidRPr="00E251F3" w:rsidRDefault="00540A02" w:rsidP="00540A02">
      <w:pPr>
        <w:ind w:left="630" w:hanging="630"/>
        <w:rPr>
          <w:rFonts w:ascii="Arial" w:hAnsi="Arial" w:cs="Arial"/>
        </w:rPr>
      </w:pPr>
      <w:r w:rsidRPr="00E251F3">
        <w:rPr>
          <w:rFonts w:ascii="Arial" w:hAnsi="Arial" w:cs="Arial"/>
        </w:rPr>
        <w:t>Fernandez, D. (2014). Threats and challenges to agriculture towards sustainable rice farming. Asia Pacific Journal of Education, Arts and Sciences, 1(1), 1-1.</w:t>
      </w:r>
    </w:p>
    <w:p w14:paraId="5970DAEB" w14:textId="77777777" w:rsidR="00540A02" w:rsidRPr="00E251F3" w:rsidRDefault="00540A02" w:rsidP="00540A02">
      <w:pPr>
        <w:ind w:left="630" w:hanging="630"/>
        <w:rPr>
          <w:rFonts w:ascii="Arial" w:hAnsi="Arial" w:cs="Arial"/>
        </w:rPr>
      </w:pPr>
      <w:proofErr w:type="spellStart"/>
      <w:r w:rsidRPr="00E251F3">
        <w:rPr>
          <w:rFonts w:ascii="Arial" w:hAnsi="Arial" w:cs="Arial"/>
        </w:rPr>
        <w:t>Galawat</w:t>
      </w:r>
      <w:proofErr w:type="spellEnd"/>
      <w:r w:rsidRPr="00E251F3">
        <w:rPr>
          <w:rFonts w:ascii="Arial" w:hAnsi="Arial" w:cs="Arial"/>
        </w:rPr>
        <w:t>, F., &amp; Yabe, M. (2010). Assessing Consumer’s Preference for Local Rice in Brunei: An Application of Choice Model. J. ISSAAS, 16(2), 104-115.</w:t>
      </w:r>
    </w:p>
    <w:p w14:paraId="598B6108" w14:textId="77777777" w:rsidR="00540A02" w:rsidRPr="00E251F3" w:rsidRDefault="00540A02" w:rsidP="00540A02">
      <w:pPr>
        <w:ind w:left="630" w:hanging="630"/>
        <w:rPr>
          <w:rFonts w:ascii="Arial" w:hAnsi="Arial" w:cs="Arial"/>
        </w:rPr>
      </w:pPr>
      <w:proofErr w:type="spellStart"/>
      <w:r w:rsidRPr="00E251F3">
        <w:rPr>
          <w:rFonts w:ascii="Arial" w:hAnsi="Arial" w:cs="Arial"/>
        </w:rPr>
        <w:t>Gregorioa</w:t>
      </w:r>
      <w:proofErr w:type="spellEnd"/>
      <w:r w:rsidRPr="00E251F3">
        <w:rPr>
          <w:rFonts w:ascii="Arial" w:hAnsi="Arial" w:cs="Arial"/>
        </w:rPr>
        <w:t>, G. B., &amp; Ancog, R. C. (2020). Assessing the impact of the covid-19 pandemic on agricultural production in Southeast Asia: toward transformative change in agricultural food systems. Asian Journal of Agriculture and Development, 17(1362-2020-1097), 1-13.</w:t>
      </w:r>
    </w:p>
    <w:p w14:paraId="53164CD1" w14:textId="77777777" w:rsidR="00540A02" w:rsidRPr="00E251F3" w:rsidRDefault="00540A02" w:rsidP="00540A02">
      <w:pPr>
        <w:ind w:left="630" w:hanging="630"/>
        <w:rPr>
          <w:rFonts w:ascii="Arial" w:hAnsi="Arial" w:cs="Arial"/>
        </w:rPr>
      </w:pPr>
      <w:r w:rsidRPr="00E251F3">
        <w:rPr>
          <w:rFonts w:ascii="Arial" w:hAnsi="Arial" w:cs="Arial"/>
        </w:rPr>
        <w:t>Jeli, K. PREFERENCE OF CONSUMER TOWARD IM-PORTED RICE AND LOCAL RICE IN KELANTAN.</w:t>
      </w:r>
    </w:p>
    <w:p w14:paraId="198DD0C2" w14:textId="77777777" w:rsidR="00540A02" w:rsidRPr="00E251F3" w:rsidRDefault="00540A02" w:rsidP="00540A02">
      <w:pPr>
        <w:ind w:left="630" w:hanging="630"/>
        <w:rPr>
          <w:rFonts w:ascii="Arial" w:hAnsi="Arial" w:cs="Arial"/>
        </w:rPr>
      </w:pPr>
      <w:r w:rsidRPr="00E251F3">
        <w:rPr>
          <w:rFonts w:ascii="Arial" w:hAnsi="Arial" w:cs="Arial"/>
        </w:rPr>
        <w:t>Kajisa, K., &amp; Akiyama, T. (2005). The evolution of rice price policies over four decades: Thailand, Indonesia and the Philippines. Oxford Development Studies, 33(2), 305-329.</w:t>
      </w:r>
    </w:p>
    <w:p w14:paraId="708E6C5A" w14:textId="77777777" w:rsidR="00540A02" w:rsidRPr="00E251F3" w:rsidRDefault="00540A02" w:rsidP="00540A02">
      <w:pPr>
        <w:ind w:left="630" w:hanging="630"/>
        <w:rPr>
          <w:rFonts w:ascii="Arial" w:hAnsi="Arial" w:cs="Arial"/>
        </w:rPr>
      </w:pPr>
      <w:r w:rsidRPr="00E251F3">
        <w:rPr>
          <w:rFonts w:ascii="Arial" w:hAnsi="Arial" w:cs="Arial"/>
        </w:rPr>
        <w:t xml:space="preserve">Kareem, B., Awopetu, O. O., Oke, P. K., </w:t>
      </w:r>
      <w:proofErr w:type="spellStart"/>
      <w:r w:rsidRPr="00E251F3">
        <w:rPr>
          <w:rFonts w:ascii="Arial" w:hAnsi="Arial" w:cs="Arial"/>
        </w:rPr>
        <w:t>Akinnuli</w:t>
      </w:r>
      <w:proofErr w:type="spellEnd"/>
      <w:r w:rsidRPr="00E251F3">
        <w:rPr>
          <w:rFonts w:ascii="Arial" w:hAnsi="Arial" w:cs="Arial"/>
        </w:rPr>
        <w:t xml:space="preserve">, B. O., Ayodeji, S. P., &amp; </w:t>
      </w:r>
      <w:proofErr w:type="spellStart"/>
      <w:r w:rsidRPr="00E251F3">
        <w:rPr>
          <w:rFonts w:ascii="Arial" w:hAnsi="Arial" w:cs="Arial"/>
        </w:rPr>
        <w:t>Mogaji</w:t>
      </w:r>
      <w:proofErr w:type="spellEnd"/>
      <w:r w:rsidRPr="00E251F3">
        <w:rPr>
          <w:rFonts w:ascii="Arial" w:hAnsi="Arial" w:cs="Arial"/>
        </w:rPr>
        <w:t>, P. B. (2010). Modelling Demand and Supply of Cocoa Produce in Nigeria using Regression Method. In Proceedings of the World Congress on Engineering (Vol. 3).</w:t>
      </w:r>
    </w:p>
    <w:p w14:paraId="22DFBCA5" w14:textId="77777777" w:rsidR="00540A02" w:rsidRPr="00E251F3" w:rsidRDefault="00540A02" w:rsidP="00540A02">
      <w:pPr>
        <w:ind w:left="630" w:hanging="630"/>
        <w:rPr>
          <w:rFonts w:ascii="Arial" w:hAnsi="Arial" w:cs="Arial"/>
        </w:rPr>
      </w:pPr>
      <w:r w:rsidRPr="00E251F3">
        <w:rPr>
          <w:rFonts w:ascii="Arial" w:hAnsi="Arial" w:cs="Arial"/>
        </w:rPr>
        <w:t xml:space="preserve">Kundu, A. (2020). Impact of trade </w:t>
      </w:r>
      <w:proofErr w:type="spellStart"/>
      <w:r w:rsidRPr="00E251F3">
        <w:rPr>
          <w:rFonts w:ascii="Arial" w:hAnsi="Arial" w:cs="Arial"/>
        </w:rPr>
        <w:t>liberalisation</w:t>
      </w:r>
      <w:proofErr w:type="spellEnd"/>
      <w:r w:rsidRPr="00E251F3">
        <w:rPr>
          <w:rFonts w:ascii="Arial" w:hAnsi="Arial" w:cs="Arial"/>
        </w:rPr>
        <w:t xml:space="preserve"> on formal–informal interlinkages in India: does sectoral </w:t>
      </w:r>
      <w:proofErr w:type="spellStart"/>
      <w:r w:rsidRPr="00E251F3">
        <w:rPr>
          <w:rFonts w:ascii="Arial" w:hAnsi="Arial" w:cs="Arial"/>
        </w:rPr>
        <w:t>labour</w:t>
      </w:r>
      <w:proofErr w:type="spellEnd"/>
      <w:r w:rsidRPr="00E251F3">
        <w:rPr>
          <w:rFonts w:ascii="Arial" w:hAnsi="Arial" w:cs="Arial"/>
        </w:rPr>
        <w:t xml:space="preserve"> mobility </w:t>
      </w:r>
      <w:proofErr w:type="gramStart"/>
      <w:r w:rsidRPr="00E251F3">
        <w:rPr>
          <w:rFonts w:ascii="Arial" w:hAnsi="Arial" w:cs="Arial"/>
        </w:rPr>
        <w:t>matter?.</w:t>
      </w:r>
      <w:proofErr w:type="gramEnd"/>
      <w:r w:rsidRPr="00E251F3">
        <w:rPr>
          <w:rFonts w:ascii="Arial" w:hAnsi="Arial" w:cs="Arial"/>
        </w:rPr>
        <w:t xml:space="preserve"> Journal of Economic Structures, 9(1), 1-29.</w:t>
      </w:r>
    </w:p>
    <w:p w14:paraId="7C54DAD5" w14:textId="77777777" w:rsidR="00540A02" w:rsidRPr="00E251F3" w:rsidRDefault="00540A02" w:rsidP="00540A02">
      <w:pPr>
        <w:ind w:left="630" w:hanging="630"/>
        <w:rPr>
          <w:rFonts w:ascii="Arial" w:hAnsi="Arial" w:cs="Arial"/>
        </w:rPr>
      </w:pPr>
      <w:r w:rsidRPr="00E251F3">
        <w:rPr>
          <w:rFonts w:ascii="Arial" w:hAnsi="Arial" w:cs="Arial"/>
        </w:rPr>
        <w:t>Mangabat, M. C. (1998). Effects of Trade Liberalization on Agriculture in the Philippines: Institutional and Structural Aspects (No. 1438-2016-118952).</w:t>
      </w:r>
    </w:p>
    <w:p w14:paraId="5E5C15DD" w14:textId="77777777" w:rsidR="00540A02" w:rsidRPr="00E251F3" w:rsidRDefault="00540A02" w:rsidP="00540A02">
      <w:pPr>
        <w:ind w:left="630" w:hanging="630"/>
        <w:rPr>
          <w:rFonts w:ascii="Arial" w:hAnsi="Arial" w:cs="Arial"/>
        </w:rPr>
      </w:pPr>
      <w:r w:rsidRPr="00E251F3">
        <w:rPr>
          <w:rFonts w:ascii="Arial" w:hAnsi="Arial" w:cs="Arial"/>
        </w:rPr>
        <w:t>Meller, P. (1992). Review of the Chilean trade liberalization and export expansion process (1974-90). The Bangladesh Development Studies, 155-184.</w:t>
      </w:r>
    </w:p>
    <w:p w14:paraId="0DBF9C20" w14:textId="77777777" w:rsidR="00540A02" w:rsidRPr="00E251F3" w:rsidRDefault="00540A02" w:rsidP="00540A02">
      <w:pPr>
        <w:ind w:left="630" w:hanging="630"/>
        <w:rPr>
          <w:rFonts w:ascii="Arial" w:hAnsi="Arial" w:cs="Arial"/>
        </w:rPr>
      </w:pPr>
      <w:r w:rsidRPr="00E251F3">
        <w:rPr>
          <w:rFonts w:ascii="Arial" w:hAnsi="Arial" w:cs="Arial"/>
        </w:rPr>
        <w:lastRenderedPageBreak/>
        <w:t>Ogundele, F. (2007). Trade liberalization and import demand for rice in Nigeria: A dynamic modelling. Journal of Rural Economics and Development, 16(1623-2016-134883), 34-45.</w:t>
      </w:r>
    </w:p>
    <w:p w14:paraId="0AD52D21" w14:textId="77777777" w:rsidR="00540A02" w:rsidRPr="00E251F3" w:rsidRDefault="00540A02" w:rsidP="00540A02">
      <w:pPr>
        <w:ind w:left="630" w:hanging="630"/>
        <w:rPr>
          <w:rFonts w:ascii="Arial" w:hAnsi="Arial" w:cs="Arial"/>
        </w:rPr>
      </w:pPr>
      <w:r w:rsidRPr="00E251F3">
        <w:rPr>
          <w:rFonts w:ascii="Arial" w:hAnsi="Arial" w:cs="Arial"/>
        </w:rPr>
        <w:t xml:space="preserve">Pacheco-López, P., &amp; Thirlwall, A. P. (2004). Trade </w:t>
      </w:r>
      <w:proofErr w:type="spellStart"/>
      <w:r w:rsidRPr="00E251F3">
        <w:rPr>
          <w:rFonts w:ascii="Arial" w:hAnsi="Arial" w:cs="Arial"/>
        </w:rPr>
        <w:t>liberalisation</w:t>
      </w:r>
      <w:proofErr w:type="spellEnd"/>
      <w:r w:rsidRPr="00E251F3">
        <w:rPr>
          <w:rFonts w:ascii="Arial" w:hAnsi="Arial" w:cs="Arial"/>
        </w:rPr>
        <w:t xml:space="preserve"> in Mexico: rhetoric and reality (No. 04, 03). Department of Economics Discussion Paper.</w:t>
      </w:r>
    </w:p>
    <w:p w14:paraId="2F30F2A0" w14:textId="77777777" w:rsidR="00540A02" w:rsidRPr="00E251F3" w:rsidRDefault="00540A02" w:rsidP="00540A02">
      <w:pPr>
        <w:ind w:left="630" w:hanging="630"/>
        <w:rPr>
          <w:rFonts w:ascii="Arial" w:hAnsi="Arial" w:cs="Arial"/>
        </w:rPr>
      </w:pPr>
      <w:r w:rsidRPr="00E251F3">
        <w:rPr>
          <w:rFonts w:ascii="Arial" w:hAnsi="Arial" w:cs="Arial"/>
        </w:rPr>
        <w:t>Palis, F. (2020). Aging Filipino rice farmers and their aspirations for their children. Philippine Journal of Science, 149(2), 351-361.</w:t>
      </w:r>
    </w:p>
    <w:p w14:paraId="03D8C157" w14:textId="77777777" w:rsidR="00540A02" w:rsidRPr="00E251F3" w:rsidRDefault="00540A02" w:rsidP="00540A02">
      <w:pPr>
        <w:ind w:left="630" w:hanging="630"/>
        <w:rPr>
          <w:rFonts w:ascii="Arial" w:hAnsi="Arial" w:cs="Arial"/>
        </w:rPr>
      </w:pPr>
      <w:r w:rsidRPr="00E251F3">
        <w:rPr>
          <w:rFonts w:ascii="Arial" w:hAnsi="Arial" w:cs="Arial"/>
        </w:rPr>
        <w:t>Pascua, G. G. (2020). Trade Shocks and Philippine Rice Imports Amidst SARS-CoV-2. Department of Economics, Ateneo de Manila University.</w:t>
      </w:r>
    </w:p>
    <w:p w14:paraId="2D7DD896" w14:textId="77777777" w:rsidR="00540A02" w:rsidRPr="00E251F3" w:rsidRDefault="00540A02" w:rsidP="00540A02">
      <w:pPr>
        <w:ind w:left="630" w:hanging="630"/>
        <w:rPr>
          <w:rFonts w:ascii="Arial" w:hAnsi="Arial" w:cs="Arial"/>
        </w:rPr>
      </w:pPr>
      <w:r w:rsidRPr="00E251F3">
        <w:rPr>
          <w:rFonts w:ascii="Arial" w:hAnsi="Arial" w:cs="Arial"/>
        </w:rPr>
        <w:t xml:space="preserve">Perez, N., &amp; </w:t>
      </w:r>
      <w:proofErr w:type="spellStart"/>
      <w:r w:rsidRPr="00E251F3">
        <w:rPr>
          <w:rFonts w:ascii="Arial" w:hAnsi="Arial" w:cs="Arial"/>
        </w:rPr>
        <w:t>Pradesha</w:t>
      </w:r>
      <w:proofErr w:type="spellEnd"/>
      <w:r w:rsidRPr="00E251F3">
        <w:rPr>
          <w:rFonts w:ascii="Arial" w:hAnsi="Arial" w:cs="Arial"/>
        </w:rPr>
        <w:t>, A. (2019). Philippine rice trade liberalization: Impacts on agriculture and the economy, and alternative policy actions. Intl Food Policy Res Inst.</w:t>
      </w:r>
    </w:p>
    <w:p w14:paraId="4FEAABE3" w14:textId="77777777" w:rsidR="00540A02" w:rsidRPr="00E251F3" w:rsidRDefault="00540A02" w:rsidP="00540A02">
      <w:pPr>
        <w:ind w:left="630" w:hanging="630"/>
        <w:rPr>
          <w:rFonts w:ascii="Arial" w:hAnsi="Arial" w:cs="Arial"/>
        </w:rPr>
      </w:pPr>
      <w:r w:rsidRPr="00E251F3">
        <w:rPr>
          <w:rFonts w:ascii="Arial" w:hAnsi="Arial" w:cs="Arial"/>
        </w:rPr>
        <w:t xml:space="preserve">Philippine Congress, </w:t>
      </w:r>
      <w:proofErr w:type="spellStart"/>
      <w:r w:rsidRPr="00E251F3">
        <w:rPr>
          <w:rFonts w:ascii="Arial" w:hAnsi="Arial" w:cs="Arial"/>
        </w:rPr>
        <w:t>Housebill</w:t>
      </w:r>
      <w:proofErr w:type="spellEnd"/>
      <w:r w:rsidRPr="00E251F3">
        <w:rPr>
          <w:rFonts w:ascii="Arial" w:hAnsi="Arial" w:cs="Arial"/>
        </w:rPr>
        <w:t xml:space="preserve"> #4625.AN ACT MANDATING RICE RETAILERS TO IDENTIFY LOCALLY PRODUCED RICE AS PRODUCED BY FILIPINO FARMERS, AND APPROPRIATING FUNDS THEREFOR.https://hrep-website.s3.ap-southeast-1.amazonaws.com/legisdocs/basic_18/HB04625.pdf</w:t>
      </w:r>
    </w:p>
    <w:p w14:paraId="78D1028C" w14:textId="77777777" w:rsidR="00540A02" w:rsidRPr="00E251F3" w:rsidRDefault="00540A02" w:rsidP="00540A02">
      <w:pPr>
        <w:ind w:left="630" w:hanging="630"/>
        <w:rPr>
          <w:rFonts w:ascii="Arial" w:hAnsi="Arial" w:cs="Arial"/>
        </w:rPr>
      </w:pPr>
      <w:r w:rsidRPr="00E251F3">
        <w:rPr>
          <w:rFonts w:ascii="Arial" w:hAnsi="Arial" w:cs="Arial"/>
        </w:rPr>
        <w:t>Philippine Statistic Authority. 2016 Special Release.https://psa.gov.ph/sites/default/files/CerPrSitDecWeek52016.pdf</w:t>
      </w:r>
    </w:p>
    <w:p w14:paraId="055BA1F5" w14:textId="77777777" w:rsidR="00540A02" w:rsidRPr="00E251F3" w:rsidRDefault="00540A02" w:rsidP="00540A02">
      <w:pPr>
        <w:ind w:left="630" w:hanging="630"/>
        <w:rPr>
          <w:rFonts w:ascii="Arial" w:hAnsi="Arial" w:cs="Arial"/>
        </w:rPr>
      </w:pPr>
      <w:r w:rsidRPr="00E251F3">
        <w:rPr>
          <w:rFonts w:ascii="Arial" w:hAnsi="Arial" w:cs="Arial"/>
        </w:rPr>
        <w:t>Philippine Statistic Authority. 2017 Special Release.https://psa.gov.ph/sites/default/files/CerPrSitDecWeek12017.pdf</w:t>
      </w:r>
    </w:p>
    <w:p w14:paraId="2760F977" w14:textId="77777777" w:rsidR="00540A02" w:rsidRPr="00E251F3" w:rsidRDefault="00540A02" w:rsidP="00540A02">
      <w:pPr>
        <w:ind w:left="630" w:hanging="630"/>
        <w:rPr>
          <w:rFonts w:ascii="Arial" w:hAnsi="Arial" w:cs="Arial"/>
        </w:rPr>
      </w:pPr>
      <w:r w:rsidRPr="00E251F3">
        <w:rPr>
          <w:rFonts w:ascii="Arial" w:hAnsi="Arial" w:cs="Arial"/>
        </w:rPr>
        <w:t>Philippine Statistic Authority. 2018 Special Release.https://psa.gov.ph/node/56380/56380/56380/56380?combine=2018</w:t>
      </w:r>
    </w:p>
    <w:p w14:paraId="4E4F0C51" w14:textId="77777777" w:rsidR="00540A02" w:rsidRPr="00E251F3" w:rsidRDefault="00540A02" w:rsidP="00540A02">
      <w:pPr>
        <w:ind w:left="630" w:hanging="630"/>
        <w:rPr>
          <w:rFonts w:ascii="Arial" w:hAnsi="Arial" w:cs="Arial"/>
        </w:rPr>
      </w:pPr>
      <w:r w:rsidRPr="00E251F3">
        <w:rPr>
          <w:rFonts w:ascii="Arial" w:hAnsi="Arial" w:cs="Arial"/>
        </w:rPr>
        <w:t>Philippine Statistic Authority. 2020 PSA Self-</w:t>
      </w:r>
      <w:proofErr w:type="gramStart"/>
      <w:r w:rsidRPr="00E251F3">
        <w:rPr>
          <w:rFonts w:ascii="Arial" w:hAnsi="Arial" w:cs="Arial"/>
        </w:rPr>
        <w:t>sufficiency .</w:t>
      </w:r>
      <w:proofErr w:type="gramEnd"/>
      <w:r w:rsidRPr="00E251F3">
        <w:rPr>
          <w:rFonts w:ascii="Arial" w:hAnsi="Arial" w:cs="Arial"/>
        </w:rPr>
        <w:t xml:space="preserve"> </w:t>
      </w:r>
      <w:hyperlink r:id="rId25" w:history="1">
        <w:r w:rsidRPr="00E251F3">
          <w:rPr>
            <w:rStyle w:val="Hyperlink"/>
            <w:rFonts w:ascii="Arial" w:hAnsi="Arial" w:cs="Arial"/>
          </w:rPr>
          <w:t>https://psa.gov.ph/system/files/IG_SSR_signed_0.pdf?width=950&amp;height=700&amp;iframe=true</w:t>
        </w:r>
      </w:hyperlink>
    </w:p>
    <w:p w14:paraId="49986135" w14:textId="77777777" w:rsidR="00540A02" w:rsidRPr="00E251F3" w:rsidRDefault="00540A02" w:rsidP="00540A02">
      <w:pPr>
        <w:ind w:left="630" w:hanging="630"/>
        <w:rPr>
          <w:rFonts w:ascii="Arial" w:hAnsi="Arial" w:cs="Arial"/>
        </w:rPr>
      </w:pPr>
      <w:r w:rsidRPr="00E251F3">
        <w:rPr>
          <w:rFonts w:ascii="Arial" w:hAnsi="Arial" w:cs="Arial"/>
        </w:rPr>
        <w:t xml:space="preserve">Philippine Statistic Authority. 2020 Selected Statistics on Agriculture. </w:t>
      </w:r>
      <w:hyperlink r:id="rId26" w:history="1">
        <w:r w:rsidRPr="00E251F3">
          <w:rPr>
            <w:rStyle w:val="Hyperlink"/>
            <w:rFonts w:ascii="Arial" w:hAnsi="Arial" w:cs="Arial"/>
          </w:rPr>
          <w:t>https://psa.gov.ph/sites/default/files/2_SSA2020_final_signed.pdf</w:t>
        </w:r>
      </w:hyperlink>
    </w:p>
    <w:p w14:paraId="75D609AA" w14:textId="77777777" w:rsidR="00540A02" w:rsidRPr="00E251F3" w:rsidRDefault="00540A02" w:rsidP="00540A02">
      <w:pPr>
        <w:ind w:left="630" w:hanging="630"/>
        <w:rPr>
          <w:rFonts w:ascii="Arial" w:hAnsi="Arial" w:cs="Arial"/>
        </w:rPr>
      </w:pPr>
      <w:r w:rsidRPr="00E251F3">
        <w:rPr>
          <w:rFonts w:ascii="Arial" w:hAnsi="Arial" w:cs="Arial"/>
        </w:rPr>
        <w:t xml:space="preserve">Philippine Statistic Authority. 2021 Selected Statistics on Agriculture. </w:t>
      </w:r>
      <w:hyperlink r:id="rId27" w:history="1">
        <w:r w:rsidRPr="00E251F3">
          <w:rPr>
            <w:rStyle w:val="Hyperlink"/>
            <w:rFonts w:ascii="Arial" w:hAnsi="Arial" w:cs="Arial"/>
          </w:rPr>
          <w:t>https://psa.gov.ph/sites/default/files/SSA2021_signed.pdf</w:t>
        </w:r>
      </w:hyperlink>
    </w:p>
    <w:p w14:paraId="2F3DAFAD" w14:textId="77777777" w:rsidR="00540A02" w:rsidRPr="00E251F3" w:rsidRDefault="00540A02" w:rsidP="00540A02">
      <w:pPr>
        <w:ind w:left="630" w:hanging="630"/>
        <w:rPr>
          <w:rFonts w:ascii="Arial" w:hAnsi="Arial" w:cs="Arial"/>
        </w:rPr>
      </w:pPr>
      <w:r w:rsidRPr="00E251F3">
        <w:rPr>
          <w:rFonts w:ascii="Arial" w:hAnsi="Arial" w:cs="Arial"/>
        </w:rPr>
        <w:t xml:space="preserve">Robbins, D. (2003). The impact of trade liberalization upon inequality in developing countries-A review of theory and evidence. </w:t>
      </w:r>
      <w:proofErr w:type="spellStart"/>
      <w:r w:rsidRPr="00E251F3">
        <w:rPr>
          <w:rFonts w:ascii="Arial" w:hAnsi="Arial" w:cs="Arial"/>
        </w:rPr>
        <w:t>Documentos</w:t>
      </w:r>
      <w:proofErr w:type="spellEnd"/>
      <w:r w:rsidRPr="00E251F3">
        <w:rPr>
          <w:rFonts w:ascii="Arial" w:hAnsi="Arial" w:cs="Arial"/>
        </w:rPr>
        <w:t xml:space="preserve"> de </w:t>
      </w:r>
      <w:proofErr w:type="spellStart"/>
      <w:r w:rsidRPr="00E251F3">
        <w:rPr>
          <w:rFonts w:ascii="Arial" w:hAnsi="Arial" w:cs="Arial"/>
        </w:rPr>
        <w:t>EconomÃa</w:t>
      </w:r>
      <w:proofErr w:type="spellEnd"/>
      <w:r w:rsidRPr="00E251F3">
        <w:rPr>
          <w:rFonts w:ascii="Arial" w:hAnsi="Arial" w:cs="Arial"/>
        </w:rPr>
        <w:t>, (003601).</w:t>
      </w:r>
    </w:p>
    <w:p w14:paraId="6C894F7E" w14:textId="77777777" w:rsidR="00540A02" w:rsidRPr="00E251F3" w:rsidRDefault="00540A02" w:rsidP="00540A02">
      <w:pPr>
        <w:ind w:left="630" w:hanging="630"/>
        <w:rPr>
          <w:rFonts w:ascii="Arial" w:hAnsi="Arial" w:cs="Arial"/>
        </w:rPr>
      </w:pPr>
      <w:r w:rsidRPr="00E251F3">
        <w:rPr>
          <w:rFonts w:ascii="Arial" w:hAnsi="Arial" w:cs="Arial"/>
        </w:rPr>
        <w:t>Santiago Jr, F. A. (2015, March). A historical evaluation of the emergence of Nueva Ecija as the rice granary of the Philippines. In Proceedings of the DLSU Research Congress.</w:t>
      </w:r>
    </w:p>
    <w:p w14:paraId="6ABB9832" w14:textId="77777777" w:rsidR="00540A02" w:rsidRPr="00E251F3" w:rsidRDefault="00540A02" w:rsidP="00540A02">
      <w:pPr>
        <w:ind w:left="630" w:hanging="630"/>
        <w:rPr>
          <w:rFonts w:ascii="Arial" w:hAnsi="Arial" w:cs="Arial"/>
        </w:rPr>
      </w:pPr>
      <w:r w:rsidRPr="00E251F3">
        <w:rPr>
          <w:rFonts w:ascii="Arial" w:hAnsi="Arial" w:cs="Arial"/>
        </w:rPr>
        <w:t>Santos, M. D., Clemente, M. O., &amp; Gabriel, A. G. (2018). A Comparative Analysis of Farmgate and Regulated Prices of Palay in Nueva Ecija, Philippines: A Policy Revisited. Open Journal of Social Sciences, 6(03), 50.</w:t>
      </w:r>
    </w:p>
    <w:p w14:paraId="39CAA715" w14:textId="77777777" w:rsidR="00540A02" w:rsidRPr="00E251F3" w:rsidRDefault="00540A02" w:rsidP="00540A02">
      <w:pPr>
        <w:ind w:left="630" w:hanging="630"/>
        <w:rPr>
          <w:rFonts w:ascii="Arial" w:hAnsi="Arial" w:cs="Arial"/>
        </w:rPr>
      </w:pPr>
      <w:r w:rsidRPr="00E251F3">
        <w:rPr>
          <w:rFonts w:ascii="Arial" w:hAnsi="Arial" w:cs="Arial"/>
        </w:rPr>
        <w:t>Tallada, J. G. (2019, August). Precision agriculture for rice production in the Philippines. In INTERNATIONAL WORKSHOP ON ICTs FOR PRECISION AGRICULTURE (p. 79).</w:t>
      </w:r>
    </w:p>
    <w:p w14:paraId="2E78A034" w14:textId="77777777" w:rsidR="00540A02" w:rsidRPr="00E251F3" w:rsidRDefault="00540A02" w:rsidP="00540A02">
      <w:pPr>
        <w:ind w:left="630" w:hanging="630"/>
        <w:rPr>
          <w:rFonts w:ascii="Arial" w:hAnsi="Arial" w:cs="Arial"/>
        </w:rPr>
      </w:pPr>
      <w:r w:rsidRPr="00E251F3">
        <w:rPr>
          <w:rFonts w:ascii="Arial" w:hAnsi="Arial" w:cs="Arial"/>
        </w:rPr>
        <w:t>Tolentino, V. (2002). Rice policy reforms in the Philippines: a political economy perspective. Policy Notes. Makati (Philippines): Philippine Institute for Philippine Studies. Dissemination of integrated natural resource management practices for lowland rice in the Philippines, 53.</w:t>
      </w:r>
    </w:p>
    <w:p w14:paraId="64A6C0FB" w14:textId="77777777" w:rsidR="00540A02" w:rsidRPr="00E251F3" w:rsidRDefault="00540A02" w:rsidP="00540A02">
      <w:pPr>
        <w:ind w:left="630" w:hanging="630"/>
        <w:rPr>
          <w:rFonts w:ascii="Arial" w:hAnsi="Arial" w:cs="Arial"/>
        </w:rPr>
      </w:pPr>
      <w:r w:rsidRPr="00E251F3">
        <w:rPr>
          <w:rFonts w:ascii="Arial" w:hAnsi="Arial" w:cs="Arial"/>
        </w:rPr>
        <w:t>Tolentino, V. B. J. (2002). The globalization of food security: Rice policy reforms in the Philippines. Philippine Journal of Development, 29(2), 27-61.</w:t>
      </w:r>
    </w:p>
    <w:p w14:paraId="6C465212" w14:textId="77777777" w:rsidR="00540A02" w:rsidRPr="00E251F3" w:rsidRDefault="00540A02" w:rsidP="00540A02">
      <w:pPr>
        <w:ind w:left="630" w:hanging="630"/>
        <w:rPr>
          <w:rFonts w:ascii="Arial" w:hAnsi="Arial" w:cs="Arial"/>
        </w:rPr>
      </w:pPr>
      <w:r w:rsidRPr="00E251F3">
        <w:rPr>
          <w:rFonts w:ascii="Arial" w:hAnsi="Arial" w:cs="Arial"/>
        </w:rPr>
        <w:t xml:space="preserve">Tomlins, K. I., Manful, J. T., </w:t>
      </w:r>
      <w:proofErr w:type="spellStart"/>
      <w:r w:rsidRPr="00E251F3">
        <w:rPr>
          <w:rFonts w:ascii="Arial" w:hAnsi="Arial" w:cs="Arial"/>
        </w:rPr>
        <w:t>Larwer</w:t>
      </w:r>
      <w:proofErr w:type="spellEnd"/>
      <w:r w:rsidRPr="00E251F3">
        <w:rPr>
          <w:rFonts w:ascii="Arial" w:hAnsi="Arial" w:cs="Arial"/>
        </w:rPr>
        <w:t>, P., &amp; Hammond, L. (2005). Urban consumer preferences and sensory evaluation of locally produced and imported rice in West Africa. Food quality and preference, 16(1), 79-89.</w:t>
      </w:r>
    </w:p>
    <w:p w14:paraId="60C7642A" w14:textId="77777777" w:rsidR="00540A02" w:rsidRPr="00E251F3" w:rsidRDefault="00540A02" w:rsidP="00540A02">
      <w:pPr>
        <w:ind w:left="630" w:hanging="630"/>
        <w:rPr>
          <w:rFonts w:ascii="Arial" w:hAnsi="Arial" w:cs="Arial"/>
        </w:rPr>
      </w:pPr>
      <w:r w:rsidRPr="00E251F3">
        <w:rPr>
          <w:rFonts w:ascii="Arial" w:hAnsi="Arial" w:cs="Arial"/>
        </w:rPr>
        <w:t xml:space="preserve">Vertudes, M. F., Musa, C. D., </w:t>
      </w:r>
      <w:proofErr w:type="spellStart"/>
      <w:r w:rsidRPr="00E251F3">
        <w:rPr>
          <w:rFonts w:ascii="Arial" w:hAnsi="Arial" w:cs="Arial"/>
        </w:rPr>
        <w:t>Cosilet</w:t>
      </w:r>
      <w:proofErr w:type="spellEnd"/>
      <w:r w:rsidRPr="00E251F3">
        <w:rPr>
          <w:rFonts w:ascii="Arial" w:hAnsi="Arial" w:cs="Arial"/>
        </w:rPr>
        <w:t xml:space="preserve">, M. A., Salagubang, R., &amp; </w:t>
      </w:r>
      <w:proofErr w:type="spellStart"/>
      <w:r w:rsidRPr="00E251F3">
        <w:rPr>
          <w:rFonts w:ascii="Arial" w:hAnsi="Arial" w:cs="Arial"/>
        </w:rPr>
        <w:t>Balaria</w:t>
      </w:r>
      <w:proofErr w:type="spellEnd"/>
      <w:r w:rsidRPr="00E251F3">
        <w:rPr>
          <w:rFonts w:ascii="Arial" w:hAnsi="Arial" w:cs="Arial"/>
        </w:rPr>
        <w:t xml:space="preserve">, F. (2020). Impact of rice tariffication law in selected rice farmers in </w:t>
      </w:r>
      <w:proofErr w:type="spellStart"/>
      <w:r w:rsidRPr="00E251F3">
        <w:rPr>
          <w:rFonts w:ascii="Arial" w:hAnsi="Arial" w:cs="Arial"/>
        </w:rPr>
        <w:t>nuevaecija</w:t>
      </w:r>
      <w:proofErr w:type="spellEnd"/>
      <w:r w:rsidRPr="00E251F3">
        <w:rPr>
          <w:rFonts w:ascii="Arial" w:hAnsi="Arial" w:cs="Arial"/>
        </w:rPr>
        <w:t>, Philippines. International Journal of Advanced Engineering, Management and Science (ISSN: 2454-1311), 6(3), 147-153.</w:t>
      </w:r>
    </w:p>
    <w:p w14:paraId="5C5A8130" w14:textId="77777777" w:rsidR="00540A02" w:rsidRPr="00E251F3" w:rsidRDefault="00540A02" w:rsidP="00540A02">
      <w:pPr>
        <w:ind w:left="630" w:hanging="630"/>
        <w:rPr>
          <w:rFonts w:ascii="Arial" w:hAnsi="Arial" w:cs="Arial"/>
        </w:rPr>
      </w:pPr>
      <w:r w:rsidRPr="00E251F3">
        <w:rPr>
          <w:rFonts w:ascii="Arial" w:hAnsi="Arial" w:cs="Arial"/>
        </w:rPr>
        <w:t xml:space="preserve">Wahyudi, A., </w:t>
      </w:r>
      <w:proofErr w:type="spellStart"/>
      <w:r w:rsidRPr="00E251F3">
        <w:rPr>
          <w:rFonts w:ascii="Arial" w:hAnsi="Arial" w:cs="Arial"/>
        </w:rPr>
        <w:t>Kuwornu</w:t>
      </w:r>
      <w:proofErr w:type="spellEnd"/>
      <w:r w:rsidRPr="00E251F3">
        <w:rPr>
          <w:rFonts w:ascii="Arial" w:hAnsi="Arial" w:cs="Arial"/>
        </w:rPr>
        <w:t xml:space="preserve">, J. K., Gunawan, E., Datta, A., &amp; Nguyen, L. T. (2019). Factors influencing the frequency of consumers’ purchases of locally-produced rice in Indonesia: a </w:t>
      </w:r>
      <w:proofErr w:type="spellStart"/>
      <w:r w:rsidRPr="00E251F3">
        <w:rPr>
          <w:rFonts w:ascii="Arial" w:hAnsi="Arial" w:cs="Arial"/>
        </w:rPr>
        <w:t>poisson</w:t>
      </w:r>
      <w:proofErr w:type="spellEnd"/>
      <w:r w:rsidRPr="00E251F3">
        <w:rPr>
          <w:rFonts w:ascii="Arial" w:hAnsi="Arial" w:cs="Arial"/>
        </w:rPr>
        <w:t xml:space="preserve"> regression analysis. Agriculture, 9(6), 117.</w:t>
      </w:r>
    </w:p>
    <w:p w14:paraId="171AF7CA" w14:textId="77777777" w:rsidR="00540A02" w:rsidRPr="00E251F3" w:rsidRDefault="00540A02" w:rsidP="00540A02">
      <w:pPr>
        <w:ind w:left="630" w:hanging="630"/>
        <w:rPr>
          <w:rFonts w:ascii="Arial" w:hAnsi="Arial" w:cs="Arial"/>
        </w:rPr>
      </w:pPr>
      <w:r w:rsidRPr="00E251F3">
        <w:rPr>
          <w:rFonts w:ascii="Arial" w:hAnsi="Arial" w:cs="Arial"/>
        </w:rPr>
        <w:t>World Bank. (2020). Philippines Economic Update, June 2020: Braving the New Normal. World Bank.</w:t>
      </w:r>
    </w:p>
    <w:p w14:paraId="46FBD954" w14:textId="77777777" w:rsidR="00441B6F" w:rsidRDefault="00441B6F" w:rsidP="00441B6F">
      <w:pPr>
        <w:pStyle w:val="Body"/>
        <w:spacing w:after="0"/>
        <w:jc w:val="left"/>
        <w:rPr>
          <w:rFonts w:ascii="Arial" w:hAnsi="Arial" w:cs="Arial"/>
        </w:rPr>
      </w:pPr>
    </w:p>
    <w:p w14:paraId="46CD3A91" w14:textId="77777777" w:rsidR="00B01FCD" w:rsidRPr="00FB3A86" w:rsidRDefault="00B01FCD" w:rsidP="00441B6F">
      <w:pPr>
        <w:pStyle w:val="Reference"/>
        <w:numPr>
          <w:ilvl w:val="0"/>
          <w:numId w:val="0"/>
        </w:numPr>
        <w:spacing w:line="240" w:lineRule="auto"/>
        <w:rPr>
          <w:rFonts w:ascii="Arial" w:hAnsi="Arial" w:cs="Arial"/>
        </w:rPr>
      </w:pPr>
    </w:p>
    <w:sectPr w:rsidR="00B01FCD" w:rsidRPr="00FB3A86" w:rsidSect="00A55CDB">
      <w:headerReference w:type="even" r:id="rId28"/>
      <w:headerReference w:type="default" r:id="rId29"/>
      <w:footerReference w:type="default" r:id="rId30"/>
      <w:headerReference w:type="first" r:id="rId3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474D1" w14:textId="77777777" w:rsidR="00155B15" w:rsidRDefault="00155B15" w:rsidP="00C37E61">
      <w:r>
        <w:separator/>
      </w:r>
    </w:p>
  </w:endnote>
  <w:endnote w:type="continuationSeparator" w:id="0">
    <w:p w14:paraId="60576244" w14:textId="77777777" w:rsidR="00155B15" w:rsidRDefault="00155B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8C358" w14:textId="77777777" w:rsidR="00A55CDB" w:rsidRDefault="00A55C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EBF593" w14:textId="77777777" w:rsidR="00A55CDB" w:rsidRDefault="00A55C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B739C" w14:textId="50649386" w:rsidR="00754C9A" w:rsidRPr="00A55CDB" w:rsidRDefault="00754C9A" w:rsidP="00A55CD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ECF0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1D85E0" w14:textId="77777777" w:rsidR="00155B15" w:rsidRDefault="00155B15" w:rsidP="00C37E61">
      <w:r>
        <w:separator/>
      </w:r>
    </w:p>
  </w:footnote>
  <w:footnote w:type="continuationSeparator" w:id="0">
    <w:p w14:paraId="5E1497F5" w14:textId="77777777" w:rsidR="00155B15" w:rsidRDefault="00155B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F2A4B2" w14:textId="1D24F422" w:rsidR="00A55CDB" w:rsidRDefault="00A55CDB">
    <w:pPr>
      <w:pStyle w:val="Header"/>
    </w:pPr>
    <w:r>
      <w:rPr>
        <w:noProof/>
      </w:rPr>
      <w:pict w14:anchorId="38868E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951782"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D8D19" w14:textId="404DFC85" w:rsidR="00A55CDB" w:rsidRDefault="00A55CDB">
    <w:pPr>
      <w:pStyle w:val="Header"/>
    </w:pPr>
    <w:r>
      <w:rPr>
        <w:noProof/>
      </w:rPr>
      <w:pict w14:anchorId="59482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951783"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46FB2" w14:textId="50D56B74" w:rsidR="00296529" w:rsidRPr="00296529" w:rsidRDefault="00A55CDB" w:rsidP="00296529">
    <w:pPr>
      <w:ind w:left="2160"/>
      <w:jc w:val="center"/>
      <w:rPr>
        <w:rFonts w:ascii="Times New Roman" w:eastAsia="Calibri" w:hAnsi="Times New Roman"/>
        <w:i/>
        <w:sz w:val="18"/>
        <w:szCs w:val="22"/>
      </w:rPr>
    </w:pPr>
    <w:r>
      <w:rPr>
        <w:noProof/>
      </w:rPr>
      <w:pict w14:anchorId="7D62C2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951781" o:spid="_x0000_s2049" type="#_x0000_t136" style="position:absolute;left:0;text-align:left;margin-left:0;margin-top:0;width:592.85pt;height:66.9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FCDFB7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C3420F3"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6E0F0A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E7C2EF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D22E22C"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E4B720D"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4CFCE" w14:textId="0C190069" w:rsidR="00A55CDB" w:rsidRDefault="00A55CDB">
    <w:pPr>
      <w:pStyle w:val="Header"/>
    </w:pPr>
    <w:r>
      <w:rPr>
        <w:noProof/>
      </w:rPr>
      <w:pict w14:anchorId="75BA6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951785" o:spid="_x0000_s2053" type="#_x0000_t136" style="position:absolute;margin-left:0;margin-top:0;width:592.85pt;height:66.9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E1AD" w14:textId="16583136" w:rsidR="00A55CDB" w:rsidRDefault="00A55CDB">
    <w:pPr>
      <w:pStyle w:val="Header"/>
    </w:pPr>
    <w:r>
      <w:rPr>
        <w:noProof/>
      </w:rPr>
      <w:pict w14:anchorId="6501EF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951786" o:spid="_x0000_s2054" type="#_x0000_t136" style="position:absolute;margin-left:0;margin-top:0;width:592.85pt;height:66.9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0EE766" w14:textId="3A33A9D4" w:rsidR="00A55CDB" w:rsidRDefault="00A55CDB">
    <w:pPr>
      <w:pStyle w:val="Header"/>
    </w:pPr>
    <w:r>
      <w:rPr>
        <w:noProof/>
      </w:rPr>
      <w:pict w14:anchorId="0046E10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951784" o:spid="_x0000_s2052" type="#_x0000_t136" style="position:absolute;margin-left:0;margin-top:0;width:592.85pt;height:66.9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546EEB"/>
    <w:multiLevelType w:val="multilevel"/>
    <w:tmpl w:val="E4DA0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6"/>
  </w:num>
  <w:num w:numId="27">
    <w:abstractNumId w:val="21"/>
  </w:num>
  <w:num w:numId="28">
    <w:abstractNumId w:val="28"/>
  </w:num>
  <w:num w:numId="29">
    <w:abstractNumId w:val="25"/>
  </w:num>
  <w:num w:numId="30">
    <w:abstractNumId w:val="10"/>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86B6F"/>
    <w:rsid w:val="000A47FA"/>
    <w:rsid w:val="000A65D3"/>
    <w:rsid w:val="000B1E33"/>
    <w:rsid w:val="000B2B77"/>
    <w:rsid w:val="000D689F"/>
    <w:rsid w:val="000E7B7B"/>
    <w:rsid w:val="000E7D62"/>
    <w:rsid w:val="00103357"/>
    <w:rsid w:val="00123C9F"/>
    <w:rsid w:val="00126190"/>
    <w:rsid w:val="00130F17"/>
    <w:rsid w:val="001320BF"/>
    <w:rsid w:val="00154FC1"/>
    <w:rsid w:val="00155375"/>
    <w:rsid w:val="00155B1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33B73"/>
    <w:rsid w:val="0024282C"/>
    <w:rsid w:val="002460DC"/>
    <w:rsid w:val="00250985"/>
    <w:rsid w:val="002556F6"/>
    <w:rsid w:val="00281B25"/>
    <w:rsid w:val="00283105"/>
    <w:rsid w:val="00284C4C"/>
    <w:rsid w:val="00287E68"/>
    <w:rsid w:val="00296529"/>
    <w:rsid w:val="002B27FB"/>
    <w:rsid w:val="002B685A"/>
    <w:rsid w:val="002C57D2"/>
    <w:rsid w:val="002E0D56"/>
    <w:rsid w:val="00307345"/>
    <w:rsid w:val="00315186"/>
    <w:rsid w:val="0033343E"/>
    <w:rsid w:val="003512C2"/>
    <w:rsid w:val="00371FB6"/>
    <w:rsid w:val="003763C1"/>
    <w:rsid w:val="00376BBE"/>
    <w:rsid w:val="0039224F"/>
    <w:rsid w:val="003A43A4"/>
    <w:rsid w:val="003A7E18"/>
    <w:rsid w:val="003B26A3"/>
    <w:rsid w:val="003C4C86"/>
    <w:rsid w:val="003C6258"/>
    <w:rsid w:val="003E2904"/>
    <w:rsid w:val="00401927"/>
    <w:rsid w:val="0041027F"/>
    <w:rsid w:val="00412475"/>
    <w:rsid w:val="00423789"/>
    <w:rsid w:val="00440F43"/>
    <w:rsid w:val="00441B6F"/>
    <w:rsid w:val="00446221"/>
    <w:rsid w:val="00450E62"/>
    <w:rsid w:val="004539DB"/>
    <w:rsid w:val="00471A80"/>
    <w:rsid w:val="004B3A52"/>
    <w:rsid w:val="004D305E"/>
    <w:rsid w:val="004D4277"/>
    <w:rsid w:val="00502516"/>
    <w:rsid w:val="00505F06"/>
    <w:rsid w:val="00506828"/>
    <w:rsid w:val="00514F54"/>
    <w:rsid w:val="0053056E"/>
    <w:rsid w:val="00540A02"/>
    <w:rsid w:val="00554FDA"/>
    <w:rsid w:val="005C6C99"/>
    <w:rsid w:val="005C784C"/>
    <w:rsid w:val="005D17F6"/>
    <w:rsid w:val="005E5539"/>
    <w:rsid w:val="00602BF5"/>
    <w:rsid w:val="006058CC"/>
    <w:rsid w:val="00617FDD"/>
    <w:rsid w:val="00633614"/>
    <w:rsid w:val="00633F68"/>
    <w:rsid w:val="00636EB2"/>
    <w:rsid w:val="006375B8"/>
    <w:rsid w:val="0066510A"/>
    <w:rsid w:val="00673F9F"/>
    <w:rsid w:val="00686953"/>
    <w:rsid w:val="00687DEA"/>
    <w:rsid w:val="00687E67"/>
    <w:rsid w:val="006967F7"/>
    <w:rsid w:val="006A250C"/>
    <w:rsid w:val="006A35B6"/>
    <w:rsid w:val="006B21D3"/>
    <w:rsid w:val="006B57D0"/>
    <w:rsid w:val="006D30FF"/>
    <w:rsid w:val="006D6940"/>
    <w:rsid w:val="006F11EC"/>
    <w:rsid w:val="0070082C"/>
    <w:rsid w:val="007369E6"/>
    <w:rsid w:val="00746E59"/>
    <w:rsid w:val="00754C9A"/>
    <w:rsid w:val="0075599A"/>
    <w:rsid w:val="00761D52"/>
    <w:rsid w:val="0077749E"/>
    <w:rsid w:val="00790ADA"/>
    <w:rsid w:val="007A6CB7"/>
    <w:rsid w:val="007D2288"/>
    <w:rsid w:val="007D389B"/>
    <w:rsid w:val="007E088F"/>
    <w:rsid w:val="007E7706"/>
    <w:rsid w:val="007F7B32"/>
    <w:rsid w:val="00804BC2"/>
    <w:rsid w:val="0081431A"/>
    <w:rsid w:val="0083216F"/>
    <w:rsid w:val="00844C01"/>
    <w:rsid w:val="00860000"/>
    <w:rsid w:val="00863BD3"/>
    <w:rsid w:val="008641ED"/>
    <w:rsid w:val="00866D66"/>
    <w:rsid w:val="008671C6"/>
    <w:rsid w:val="00875803"/>
    <w:rsid w:val="008B459E"/>
    <w:rsid w:val="008E13AE"/>
    <w:rsid w:val="008E1506"/>
    <w:rsid w:val="008E710C"/>
    <w:rsid w:val="008F69D6"/>
    <w:rsid w:val="00902823"/>
    <w:rsid w:val="0090708B"/>
    <w:rsid w:val="00915CA6"/>
    <w:rsid w:val="00927834"/>
    <w:rsid w:val="009500A6"/>
    <w:rsid w:val="00957C18"/>
    <w:rsid w:val="009659BA"/>
    <w:rsid w:val="00983040"/>
    <w:rsid w:val="00995BAE"/>
    <w:rsid w:val="009B3FB9"/>
    <w:rsid w:val="009C2465"/>
    <w:rsid w:val="009D35A0"/>
    <w:rsid w:val="009D7EB7"/>
    <w:rsid w:val="009E048A"/>
    <w:rsid w:val="009E08E9"/>
    <w:rsid w:val="009E3DB9"/>
    <w:rsid w:val="009E6E35"/>
    <w:rsid w:val="009F0EDA"/>
    <w:rsid w:val="00A03B96"/>
    <w:rsid w:val="00A05B19"/>
    <w:rsid w:val="00A1134E"/>
    <w:rsid w:val="00A1723F"/>
    <w:rsid w:val="00A24E7E"/>
    <w:rsid w:val="00A258C3"/>
    <w:rsid w:val="00A26BAD"/>
    <w:rsid w:val="00A347C0"/>
    <w:rsid w:val="00A51431"/>
    <w:rsid w:val="00A539AD"/>
    <w:rsid w:val="00A55CDB"/>
    <w:rsid w:val="00A62540"/>
    <w:rsid w:val="00A94063"/>
    <w:rsid w:val="00AA6219"/>
    <w:rsid w:val="00AA74E0"/>
    <w:rsid w:val="00AB703F"/>
    <w:rsid w:val="00AC6BB8"/>
    <w:rsid w:val="00AC739A"/>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408E2"/>
    <w:rsid w:val="00D74CB0"/>
    <w:rsid w:val="00D8295D"/>
    <w:rsid w:val="00DA6A8E"/>
    <w:rsid w:val="00DC2A65"/>
    <w:rsid w:val="00DE15F0"/>
    <w:rsid w:val="00DE5663"/>
    <w:rsid w:val="00DE78AA"/>
    <w:rsid w:val="00E053D0"/>
    <w:rsid w:val="00E15994"/>
    <w:rsid w:val="00E251F3"/>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B5C0C"/>
    <w:rsid w:val="00FD36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2654D11"/>
  <w15:docId w15:val="{3257015C-4F25-4492-B318-9DD30824D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FooterChar">
    <w:name w:val="Footer Char"/>
    <w:basedOn w:val="DefaultParagraphFont"/>
    <w:link w:val="Footer"/>
    <w:uiPriority w:val="99"/>
    <w:rsid w:val="003B26A3"/>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doi.org/10.2499/p15738coll2.133994" TargetMode="External"/><Relationship Id="rId26" Type="http://schemas.openxmlformats.org/officeDocument/2006/relationships/hyperlink" Target="https://psa.gov.ph/sites/default/files/2_SSA2020_final_signed.pdf" TargetMode="External"/><Relationship Id="rId3" Type="http://schemas.openxmlformats.org/officeDocument/2006/relationships/styles" Target="styles.xml"/><Relationship Id="rId21" Type="http://schemas.openxmlformats.org/officeDocument/2006/relationships/hyperlink" Target="https://www.da.gov.ph/wp-content/uploads/2018/02/Price-Watch-February-1-2018.pdf"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oleObject" Target="embeddings/oleObject2.bin"/><Relationship Id="rId25" Type="http://schemas.openxmlformats.org/officeDocument/2006/relationships/hyperlink" Target="https://psa.gov.ph/system/files/IG_SSR_signed_0.pdf?width=950&amp;height=700&amp;iframe=true"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s://www.officialgazette.gov.ph/2014/07/09/rice-harvest-to-reach-60m-metric-tons-from-2014-to-2016/"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da.gov.ph/wp-content/uploads/2021/01/Price-Monitoring-January-04-2021.pdf"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hyperlink" Target="https://www.da.gov.ph/wp-content/uploads/2020/12/Price-Monitoring-December-29-2020.pdf" TargetMode="External"/><Relationship Id="rId28" Type="http://schemas.openxmlformats.org/officeDocument/2006/relationships/header" Target="header4.xml"/><Relationship Id="rId10" Type="http://schemas.openxmlformats.org/officeDocument/2006/relationships/footer" Target="footer1.xml"/><Relationship Id="rId19" Type="http://schemas.openxmlformats.org/officeDocument/2006/relationships/hyperlink" Target="https://www.officialgazette.gov.ph/2012/05/10/2012-rice-production-target-on-track/" TargetMode="External"/><Relationship Id="rId31"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wmf"/><Relationship Id="rId22" Type="http://schemas.openxmlformats.org/officeDocument/2006/relationships/hyperlink" Target="https://www.da.gov.ph/wp-content/uploads/2019/12/Retail-Price-Monitoring-December-28-2019.pdf" TargetMode="External"/><Relationship Id="rId27" Type="http://schemas.openxmlformats.org/officeDocument/2006/relationships/hyperlink" Target="https://psa.gov.ph/sites/default/files/SSA2021_signed.pdf" TargetMode="External"/><Relationship Id="rId30" Type="http://schemas.openxmlformats.org/officeDocument/2006/relationships/footer" Target="footer4.xml"/><Relationship Id="rId8"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B4DA3F-F11B-426D-BF47-9E02A9694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19</TotalTime>
  <Pages>14</Pages>
  <Words>7774</Words>
  <Characters>44314</Characters>
  <Application>Microsoft Office Word</Application>
  <DocSecurity>0</DocSecurity>
  <Lines>369</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51985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subject/>
  <dc:creator>SDI</dc:creator>
  <cp:keywords/>
  <dc:description/>
  <cp:lastModifiedBy>SDI 1084</cp:lastModifiedBy>
  <cp:revision>10</cp:revision>
  <cp:lastPrinted>1999-07-06T11:00:00Z</cp:lastPrinted>
  <dcterms:created xsi:type="dcterms:W3CDTF">2025-11-10T06:38:00Z</dcterms:created>
  <dcterms:modified xsi:type="dcterms:W3CDTF">2025-11-11T08:32:00Z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befb6fcf-4e44-4455-bb56-04bd8cbe991d</vt:lpwstr>
  </property>
</Properties>
</file>