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12B9" w14:textId="2C0904D0" w:rsidR="00063BCA" w:rsidRPr="00B72A13" w:rsidRDefault="00063BCA" w:rsidP="00063BCA">
      <w:pPr>
        <w:spacing w:line="240" w:lineRule="auto"/>
        <w:jc w:val="center"/>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Investigating Corporate Governance and Firms Performanc</w:t>
      </w:r>
      <w:r w:rsidR="00C7020D" w:rsidRPr="00B72A13">
        <w:rPr>
          <w:rFonts w:ascii="Times New Roman" w:eastAsia="Times New Roman" w:hAnsi="Times New Roman" w:cs="Times New Roman"/>
          <w:b/>
          <w:bCs/>
          <w:kern w:val="0"/>
          <w14:ligatures w14:val="none"/>
        </w:rPr>
        <w:t>e Nexus in Nigeria</w:t>
      </w:r>
    </w:p>
    <w:p w14:paraId="22C9E495" w14:textId="77777777" w:rsidR="000A12A8" w:rsidRDefault="000A12A8" w:rsidP="00063BCA">
      <w:pPr>
        <w:spacing w:before="240" w:line="240" w:lineRule="auto"/>
        <w:jc w:val="center"/>
        <w:rPr>
          <w:rFonts w:ascii="Times New Roman" w:eastAsia="Times New Roman" w:hAnsi="Times New Roman" w:cs="Times New Roman"/>
          <w:b/>
          <w:bCs/>
          <w:kern w:val="0"/>
          <w14:ligatures w14:val="none"/>
        </w:rPr>
      </w:pPr>
    </w:p>
    <w:p w14:paraId="42243B26" w14:textId="282B5E35" w:rsidR="00063BCA" w:rsidRPr="00B72A13" w:rsidRDefault="00063BCA" w:rsidP="00063BCA">
      <w:pPr>
        <w:spacing w:before="240" w:line="240" w:lineRule="auto"/>
        <w:jc w:val="center"/>
        <w:rPr>
          <w:rFonts w:ascii="Times New Roman" w:eastAsia="Times New Roman" w:hAnsi="Times New Roman" w:cs="Times New Roman"/>
          <w:kern w:val="0"/>
          <w14:ligatures w14:val="none"/>
        </w:rPr>
      </w:pPr>
      <w:bookmarkStart w:id="0" w:name="_GoBack"/>
      <w:bookmarkEnd w:id="0"/>
      <w:r w:rsidRPr="00B72A13">
        <w:rPr>
          <w:rFonts w:ascii="Times New Roman" w:eastAsia="Times New Roman" w:hAnsi="Times New Roman" w:cs="Times New Roman"/>
          <w:b/>
          <w:bCs/>
          <w:kern w:val="0"/>
          <w14:ligatures w14:val="none"/>
        </w:rPr>
        <w:t>ABSTRACT</w:t>
      </w:r>
    </w:p>
    <w:p w14:paraId="02FDE717" w14:textId="77777777"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Annual time series data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We deepened our investigation by conducting estimations for Blue-chips and Penny Firms’ specific effects in which the results also suggested the existence of a long-run relationship between corporate governance and firms’ performance. This study further employed panel generalized method of moment (GMM) estimation technique for robustness check. Findings from GMM models confirmed the existence of long-run relationships between corporate governance and firms’ performance in Nigeria. However, policies such as enhancement of the corporate governance and institutional qualities in Nigeria were recommended. </w:t>
      </w:r>
    </w:p>
    <w:p w14:paraId="61971F5E"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Keywords: Corporate Governance, and Firms Performance.</w:t>
      </w:r>
    </w:p>
    <w:p w14:paraId="7D9B33F6" w14:textId="77777777" w:rsidR="00063BCA" w:rsidRPr="00B72A13" w:rsidRDefault="00063BCA" w:rsidP="00063BCA">
      <w:pPr>
        <w:numPr>
          <w:ilvl w:val="0"/>
          <w:numId w:val="1"/>
        </w:numPr>
        <w:spacing w:line="240" w:lineRule="auto"/>
        <w:ind w:left="360"/>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Introduction </w:t>
      </w:r>
    </w:p>
    <w:p w14:paraId="0AB20D03" w14:textId="6DCB54AD" w:rsidR="004B670E"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The relevance of corporate governance as a yardstick for measuring firm’s performance has been widely discussed in many research works in recent times due to the special role it plays in determining credible firms’ performance. </w:t>
      </w:r>
      <w:r w:rsidR="00531BAE" w:rsidRPr="00B72A13">
        <w:rPr>
          <w:rFonts w:ascii="Times New Roman" w:eastAsia="Times New Roman" w:hAnsi="Times New Roman" w:cs="Times New Roman"/>
          <w:kern w:val="0"/>
          <w14:ligatures w14:val="none"/>
        </w:rPr>
        <w:t xml:space="preserve">The Global financial crises </w:t>
      </w:r>
      <w:r w:rsidR="004B670E" w:rsidRPr="00B72A13">
        <w:rPr>
          <w:rFonts w:ascii="Times New Roman" w:eastAsia="Times New Roman" w:hAnsi="Times New Roman" w:cs="Times New Roman"/>
          <w:kern w:val="0"/>
          <w14:ligatures w14:val="none"/>
        </w:rPr>
        <w:t>and rapid increase in privatization have necessitated the improvement of corporate governance practices in several institutions around the world. Adherence to corporate governance mechanisms play a vital role in firm performance as revealed by many studies. Firm performance has been affected by so many factors such as board &amp; ownership structure, disclosure &amp; transparency, shareholders rights &amp; investors relations etc.</w:t>
      </w:r>
    </w:p>
    <w:p w14:paraId="221D378C" w14:textId="1661CA1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Corporate governance measures the accountability, ethics, and social responsibility to the society and stakeholder as it relates to the structures and procedures associated with the direction in which an organization plans to chart the firm (Shamsher, 2002). Corporate governance promotes fairness, openness and transparency in its responsibilities to stakeholders. It has become noteworthy to clearly emphasize that the structure of the corporate governance of a firm serves as the heart of the firm’s performance, which involves structure of rules, practices, and processes by which a firm is directed and controlled (James Chen, 2020). A good corporate governance functions as a rule governing the relationships between company’s management and shareholders, their rights and obligations (Shamsher and </w:t>
      </w:r>
      <w:proofErr w:type="spellStart"/>
      <w:r w:rsidRPr="00B72A13">
        <w:rPr>
          <w:rFonts w:ascii="Times New Roman" w:eastAsia="Times New Roman" w:hAnsi="Times New Roman" w:cs="Times New Roman"/>
          <w:kern w:val="0"/>
          <w14:ligatures w14:val="none"/>
        </w:rPr>
        <w:t>Zulkamain</w:t>
      </w:r>
      <w:proofErr w:type="spellEnd"/>
      <w:r w:rsidRPr="00B72A13">
        <w:rPr>
          <w:rFonts w:ascii="Times New Roman" w:eastAsia="Times New Roman" w:hAnsi="Times New Roman" w:cs="Times New Roman"/>
          <w:kern w:val="0"/>
          <w14:ligatures w14:val="none"/>
        </w:rPr>
        <w:t xml:space="preserve">, 2011). Lessons drawn from corporate governance are numerous, the systemic failure of investor protection mechanisms, as well as weak firms’ regulation can lead to failures of confidence which affect firms’ performance. Insufficient financial disclosure, lack of minority shareholder protection and failure of board and controlling shareholder accountability all supported lending and investment practices based on relationships rather than on a prudent analysis of risk and reward (Millstein, 1998). The shifts of the world markets from local to </w:t>
      </w:r>
      <w:r w:rsidRPr="00B72A13">
        <w:rPr>
          <w:rFonts w:ascii="Times New Roman" w:eastAsia="Times New Roman" w:hAnsi="Times New Roman" w:cs="Times New Roman"/>
          <w:kern w:val="0"/>
          <w14:ligatures w14:val="none"/>
        </w:rPr>
        <w:lastRenderedPageBreak/>
        <w:t>international due to globalization, makes most firms in the various countries to place greater reliance on the private sector to catalyze their economic growth. Corporate governance becomes an indispensable guide to help economic entities such as firms to employ assets efficiently, attract low-cost capital, meet societal expectations and improve overall performance. Corporate governance should allow management to act in the best interest of the corporation and contribute to businesses prosperity through transparency and accountability. From the firm's perspective, the relevance of corporate governance seems to increase shareholders’ wealth through better capital selection (McKinsey, 2002). </w:t>
      </w:r>
    </w:p>
    <w:p w14:paraId="55E8B15A"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As Ganesan (2003) would portray it, for effective corporate governance in firms’, it must revolve around creating and enhancing a corporation’s competitive advantage; providing protection of shareholders’ interest; promotion of the valuation of an enterprise; enabling the smooth performance of the corporation efficiently and prevention of fraud; as well as compliance with laws and regulations. In light of this, the convention on business integrity (CBI) in partnership with the Nigerian stock exchange (NSE) established a corporate governance rating system (CGRS) for the listed companies in Nigeria among which are financial institutions, multinational companies, local companies and business associations. Its objective lies in bringing integrity, and transparency through rating and ranking of companies, provision of opportunities for companies to differentiate themselves in the market, and provision of incentives to develop better governance practices. It scores companies on their compliance with various governance indicators from local and international standards based on business ethics and anti-corruption; transparency and disclosure; stakeholder and shareholder rights; board structure and responsibilities; internal and external audit and control (Basel Institute on Governance publication, 2020).. </w:t>
      </w:r>
    </w:p>
    <w:p w14:paraId="5AE8AC1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The major determinants of firms’ performance revolve around factors such as characteristics of the industry which the firm competes with, firm’s position relative to its competitors and the quality or quantity of the firm’s resources. Moreover, when companies abide by the standards of the ethics of corporate governance, it reduces the conflict of interest between stakeholders who participate in governance, which in turn reduces the agency cost of the firm. Responsible corporate governance which consists of strong risk management and internal controls makes it easier to recognize potential problems and creates pre-conditions for the long-term development of the firm. Good corporate governance gives a firm reputation and goodwill in terms of value and fulfilment of the firm’s obligations. It also aids in firm’s decision making as directors and stakeholders are expected to make better decisions when the firm’s governance structure allows them to understand their roles and responsibilities clearly. </w:t>
      </w:r>
    </w:p>
    <w:p w14:paraId="2B1E41B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It has been discovered that many researchers especially in Nigeria conducted various research on corporate governance relationships with firms’, banks, industries, SMEs performance, and economic growth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2021). With most of the scholars focusing on corporate governance failure, bank performance, ownership of firms’, shareholders’ earning and so on. However, this research paper will be based on investigating the nexus between corporate governance and firms’ performance in the 30 selected firms in the Nigerian stock exchange from 1990 to 2020. The selection of the firm was based on the blue chips and penny stocks classification of firms in the Nigerian stock exchange (NSE). In order to measure the firms’ performance, indicators such as firm’s return on assets (ROA) and return on equity (ROE) was used utilized and in the same vein, the various measures of corporate governance such as board size (BSZ), board governance and remuneration committee (BGRC), number of meetings held (NMH), number of shareholders committee (NSHC), number of remuneration committee (NRMC) and number of audit committee (NAC) while controlling for shareholders funds (SHF) and gross earnings (GRE). This study will lay great emphasis on assessing the nature of corporate governance and how it affected the performance of firms. The main objective of implementing corporate governance is to optimize value for the shareholders in the long-run and this research work aims at investigating whether corporate governance improves firms’ performance or not in Nigeria. The rest of the paper will be structured as follows Section 2 deals with evaluation of corporate governance and firms’ performance in Nigeria. In section 3 we carried out a review of related literature on corporate governance and firms’ performance. Section 4 describes data, model and methodology. Section 5 presents and discusses the empirical results. Section 6 concludes the study.</w:t>
      </w:r>
    </w:p>
    <w:p w14:paraId="42CB3FF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br/>
      </w:r>
      <w:r w:rsidRPr="00B72A13">
        <w:rPr>
          <w:rFonts w:ascii="Times New Roman" w:eastAsia="Times New Roman" w:hAnsi="Times New Roman" w:cs="Times New Roman"/>
          <w:kern w:val="0"/>
          <w14:ligatures w14:val="none"/>
        </w:rPr>
        <w:br/>
      </w:r>
    </w:p>
    <w:p w14:paraId="514C7FEA" w14:textId="77777777" w:rsidR="00415FAF" w:rsidRPr="00B72A13" w:rsidRDefault="00063BCA" w:rsidP="006C6DA6">
      <w:pPr>
        <w:numPr>
          <w:ilvl w:val="0"/>
          <w:numId w:val="3"/>
        </w:numPr>
        <w:spacing w:line="240" w:lineRule="auto"/>
        <w:ind w:left="360" w:hanging="360"/>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Review of Related Literature </w:t>
      </w:r>
    </w:p>
    <w:p w14:paraId="734DD89C" w14:textId="7ED40C6B" w:rsidR="00063BCA" w:rsidRPr="00B72A13" w:rsidRDefault="00063BCA" w:rsidP="00415FAF">
      <w:pPr>
        <w:spacing w:line="240" w:lineRule="auto"/>
        <w:ind w:left="360"/>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Many theorists and researchers have documented several principles, guides, arguments, opinions and suggestions relating to corporate governance and firm performance. This study will review agency theory, resource-dependency theory and stewardship theory as well as empirical literature relating to corporate governance and firm performance nexus. Corporate governance is seen as the guiding principles used to regulate the activities such as daily activities, production and sales, rights of the stakeholders, directors, managers, workers and shareholders of the firm. As portrayed by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xml:space="preserve"> (2021), “corporate governance is the heart of a firm”. With a good corporate governance measure, firms are to yield credible results in terms of product, sales and general performance. </w:t>
      </w:r>
    </w:p>
    <w:p w14:paraId="0C7BC22D"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In his agency theory, Smith (17776) suggested that non-executive directors should be included in the board to monitor the work of managers. The board should also be composed in a way that will guarantee independence in decision-making. For instance, inclusion of independent directors to mitigate conflict interests. Malik and Makhdoom (2016) are one of the major supporters of this theory. They affirmed that a board with independent directors positively affects the performance of a firm. Smith (1776) opined that if a firm is managed by persons who are not the shareholders, there is a possibility that the managers may not work for the interest of the owners’ benefits. Agency theory occurs when the shareholder(s) (principal) engages another individual(s) (the agent) to undertake some assignments on their behalf. If the principal and the agent are utility maximizers, the agent may not perform in the best interests of the shareholders (principal) at all times (Jensen and </w:t>
      </w:r>
      <w:proofErr w:type="spellStart"/>
      <w:r w:rsidRPr="00B72A13">
        <w:rPr>
          <w:rFonts w:ascii="Times New Roman" w:eastAsia="Times New Roman" w:hAnsi="Times New Roman" w:cs="Times New Roman"/>
          <w:kern w:val="0"/>
          <w14:ligatures w14:val="none"/>
        </w:rPr>
        <w:t>Mecking</w:t>
      </w:r>
      <w:proofErr w:type="spellEnd"/>
      <w:r w:rsidRPr="00B72A13">
        <w:rPr>
          <w:rFonts w:ascii="Times New Roman" w:eastAsia="Times New Roman" w:hAnsi="Times New Roman" w:cs="Times New Roman"/>
          <w:kern w:val="0"/>
          <w14:ligatures w14:val="none"/>
        </w:rPr>
        <w:t>, 1976). There are groups of individuals in firms who have different risk preferences and their actions differ (Berle and Means, 1932). In some cases, the principal invests their funds in a firm and accepts risks to attain financial benefits. However, managers (agents) are risk-averse and focus on maximizing their benefits. Therefore, the risk tolerance of the agent and the principal is not aligned thus creating agency conflict.  </w:t>
      </w:r>
    </w:p>
    <w:p w14:paraId="02D4E23D" w14:textId="738412E5"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In the like manner, stewardship theory was viewed as an alternative and/complementary to agency theory by many scholars. Whereas agency theory focuses on control and conflict, stewardship theory focuses on cooperation and collaboration in the firm (</w:t>
      </w:r>
      <w:proofErr w:type="spellStart"/>
      <w:r w:rsidRPr="00B72A13">
        <w:rPr>
          <w:rFonts w:ascii="Times New Roman" w:eastAsia="Times New Roman" w:hAnsi="Times New Roman" w:cs="Times New Roman"/>
          <w:kern w:val="0"/>
          <w14:ligatures w14:val="none"/>
        </w:rPr>
        <w:t>Sundaramuthy</w:t>
      </w:r>
      <w:proofErr w:type="spellEnd"/>
      <w:r w:rsidRPr="00B72A13">
        <w:rPr>
          <w:rFonts w:ascii="Times New Roman" w:eastAsia="Times New Roman" w:hAnsi="Times New Roman" w:cs="Times New Roman"/>
          <w:kern w:val="0"/>
          <w14:ligatures w14:val="none"/>
        </w:rPr>
        <w:t xml:space="preserve"> and Lewis, 2003). Essentially, this theory entails that directors act as stewards and will not be connected about fostering their own economic interests, but will be willing to act in the best interests of their company, and they will act in a way that leads to organizational utility rather than self-serving benefits. In working towards organizational </w:t>
      </w:r>
      <w:r w:rsidR="00563BAA" w:rsidRPr="00B72A13">
        <w:rPr>
          <w:rFonts w:ascii="Times New Roman" w:eastAsia="Times New Roman" w:hAnsi="Times New Roman" w:cs="Times New Roman"/>
          <w:kern w:val="0"/>
          <w14:ligatures w14:val="none"/>
        </w:rPr>
        <w:t>ends,</w:t>
      </w:r>
      <w:r w:rsidRPr="00B72A13">
        <w:rPr>
          <w:rFonts w:ascii="Times New Roman" w:eastAsia="Times New Roman" w:hAnsi="Times New Roman" w:cs="Times New Roman"/>
          <w:kern w:val="0"/>
          <w14:ligatures w14:val="none"/>
        </w:rPr>
        <w:t xml:space="preserve"> the personal needs of the directors are fulfilled (</w:t>
      </w:r>
      <w:proofErr w:type="spellStart"/>
      <w:r w:rsidRPr="00B72A13">
        <w:rPr>
          <w:rFonts w:ascii="Times New Roman" w:eastAsia="Times New Roman" w:hAnsi="Times New Roman" w:cs="Times New Roman"/>
          <w:kern w:val="0"/>
          <w14:ligatures w14:val="none"/>
        </w:rPr>
        <w:t>Sundaramuthy</w:t>
      </w:r>
      <w:proofErr w:type="spellEnd"/>
      <w:r w:rsidRPr="00B72A13">
        <w:rPr>
          <w:rFonts w:ascii="Times New Roman" w:eastAsia="Times New Roman" w:hAnsi="Times New Roman" w:cs="Times New Roman"/>
          <w:kern w:val="0"/>
          <w14:ligatures w14:val="none"/>
        </w:rPr>
        <w:t xml:space="preserve"> and Lewis, 2003; </w:t>
      </w:r>
      <w:proofErr w:type="spellStart"/>
      <w:r w:rsidRPr="00B72A13">
        <w:rPr>
          <w:rFonts w:ascii="Times New Roman" w:eastAsia="Times New Roman" w:hAnsi="Times New Roman" w:cs="Times New Roman"/>
          <w:kern w:val="0"/>
          <w14:ligatures w14:val="none"/>
        </w:rPr>
        <w:t>Kluvers</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Tippett</w:t>
      </w:r>
      <w:proofErr w:type="spellEnd"/>
      <w:r w:rsidRPr="00B72A13">
        <w:rPr>
          <w:rFonts w:ascii="Times New Roman" w:eastAsia="Times New Roman" w:hAnsi="Times New Roman" w:cs="Times New Roman"/>
          <w:kern w:val="0"/>
          <w14:ligatures w14:val="none"/>
        </w:rPr>
        <w:t xml:space="preserve">, 2011). The directors acting as stewards are concerned about acting </w:t>
      </w:r>
      <w:proofErr w:type="spellStart"/>
      <w:r w:rsidRPr="00B72A13">
        <w:rPr>
          <w:rFonts w:ascii="Times New Roman" w:eastAsia="Times New Roman" w:hAnsi="Times New Roman" w:cs="Times New Roman"/>
          <w:kern w:val="0"/>
          <w14:ligatures w14:val="none"/>
        </w:rPr>
        <w:t>honourably</w:t>
      </w:r>
      <w:proofErr w:type="spellEnd"/>
      <w:r w:rsidRPr="00B72A13">
        <w:rPr>
          <w:rFonts w:ascii="Times New Roman" w:eastAsia="Times New Roman" w:hAnsi="Times New Roman" w:cs="Times New Roman"/>
          <w:kern w:val="0"/>
          <w14:ligatures w14:val="none"/>
        </w:rPr>
        <w:t xml:space="preserve"> and “doing the right thing” (Stout 2003). In the light of this, Block (1993) posited that stewardship theory is marked by the idea of service for others and not self-interest. Stewardship theory argues generally that individuals (directors) can often be motivated by considering justice, firmness, and concerns for the interests of others (Buchanan 1996) and directors often see themselves as stewards of the company.</w:t>
      </w:r>
    </w:p>
    <w:p w14:paraId="3BF7DFE1" w14:textId="2CD5DC38"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On their own view, the proponents of the resource-dependency theory argue that a board of a firm is critical because it provides resources to the managers who in turn utilize them to achieve organizational objectives (Hillman and Dalziel, 2003). The theory recommends the board to provide support to the executives like financial human resource and intangible support. The board members who have the expertise and professional training should offer training and mentoring services to the executives to enhance their skills and improve performance. The board members can also link the organization with their network and attract valuable resources into the firm. This theory further recommends that the executives should be allowed to make most of the firms’ decisions and present some at the board meeting for approval. In addition, resource-dependency theory advocates for inclusion of professionals in a board of a firm and </w:t>
      </w:r>
      <w:proofErr w:type="spellStart"/>
      <w:r w:rsidRPr="00B72A13">
        <w:rPr>
          <w:rFonts w:ascii="Times New Roman" w:eastAsia="Times New Roman" w:hAnsi="Times New Roman" w:cs="Times New Roman"/>
          <w:kern w:val="0"/>
          <w14:ligatures w14:val="none"/>
        </w:rPr>
        <w:t>emphasises</w:t>
      </w:r>
      <w:proofErr w:type="spellEnd"/>
      <w:r w:rsidRPr="00B72A13">
        <w:rPr>
          <w:rFonts w:ascii="Times New Roman" w:eastAsia="Times New Roman" w:hAnsi="Times New Roman" w:cs="Times New Roman"/>
          <w:kern w:val="0"/>
          <w14:ligatures w14:val="none"/>
        </w:rPr>
        <w:t xml:space="preserve"> that directors employed from outside the firm are critical since they bring along best practices applied elsewhere </w:t>
      </w:r>
      <w:r w:rsidRPr="00B72A13">
        <w:rPr>
          <w:rFonts w:ascii="Times New Roman" w:eastAsia="Times New Roman" w:hAnsi="Times New Roman" w:cs="Times New Roman"/>
          <w:kern w:val="0"/>
          <w14:ligatures w14:val="none"/>
        </w:rPr>
        <w:lastRenderedPageBreak/>
        <w:t xml:space="preserve">for the growth of the firm. Some researchers such as (Cheng et al., 2010; </w:t>
      </w:r>
      <w:proofErr w:type="spellStart"/>
      <w:r w:rsidRPr="00B72A13">
        <w:rPr>
          <w:rFonts w:ascii="Times New Roman" w:eastAsia="Times New Roman" w:hAnsi="Times New Roman" w:cs="Times New Roman"/>
          <w:kern w:val="0"/>
          <w14:ligatures w14:val="none"/>
        </w:rPr>
        <w:t>Ujunwa</w:t>
      </w:r>
      <w:proofErr w:type="spellEnd"/>
      <w:r w:rsidRPr="00B72A13">
        <w:rPr>
          <w:rFonts w:ascii="Times New Roman" w:eastAsia="Times New Roman" w:hAnsi="Times New Roman" w:cs="Times New Roman"/>
          <w:kern w:val="0"/>
          <w14:ligatures w14:val="none"/>
        </w:rPr>
        <w:t>, 2012; Francis et al. 2015; and Mori, 2014) advocates that an increase in board size to accommodate more directors with divers</w:t>
      </w:r>
      <w:r w:rsidR="00563BAA" w:rsidRPr="00B72A13">
        <w:rPr>
          <w:rFonts w:ascii="Times New Roman" w:eastAsia="Times New Roman" w:hAnsi="Times New Roman" w:cs="Times New Roman"/>
          <w:kern w:val="0"/>
          <w14:ligatures w14:val="none"/>
        </w:rPr>
        <w:t>e</w:t>
      </w:r>
      <w:r w:rsidRPr="00B72A13">
        <w:rPr>
          <w:rFonts w:ascii="Times New Roman" w:eastAsia="Times New Roman" w:hAnsi="Times New Roman" w:cs="Times New Roman"/>
          <w:kern w:val="0"/>
          <w14:ligatures w14:val="none"/>
        </w:rPr>
        <w:t xml:space="preserve"> knowledge and expertise and a firm should thus incorporate in their boards’ non-executive directors and professionals with diverse experience and skills. </w:t>
      </w:r>
    </w:p>
    <w:p w14:paraId="2F548A8A" w14:textId="28311F31"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Much empirical literature has been conducted relating to corporate governance and how it affects firms’ performance. For instance, </w:t>
      </w:r>
      <w:proofErr w:type="spellStart"/>
      <w:r w:rsidRPr="00B72A13">
        <w:rPr>
          <w:rFonts w:ascii="Times New Roman" w:eastAsia="Times New Roman" w:hAnsi="Times New Roman" w:cs="Times New Roman"/>
          <w:kern w:val="0"/>
          <w14:ligatures w14:val="none"/>
        </w:rPr>
        <w:t>Azutoru</w:t>
      </w:r>
      <w:proofErr w:type="spellEnd"/>
      <w:r w:rsidRPr="00B72A13">
        <w:rPr>
          <w:rFonts w:ascii="Times New Roman" w:eastAsia="Times New Roman" w:hAnsi="Times New Roman" w:cs="Times New Roman"/>
          <w:kern w:val="0"/>
          <w14:ligatures w14:val="none"/>
        </w:rPr>
        <w:t>, et al. (2017) explained the impact of mechanisms of corporate governance on the firm's financial performance. This study took a sample of 20 listed insurance companies in Nigeria from 2011-15. This research</w:t>
      </w:r>
      <w:r w:rsidR="00563BAA"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 xml:space="preserve">employed </w:t>
      </w:r>
      <w:r w:rsidR="00563BAA" w:rsidRPr="00B72A13">
        <w:rPr>
          <w:rFonts w:ascii="Times New Roman" w:eastAsia="Times New Roman" w:hAnsi="Times New Roman" w:cs="Times New Roman"/>
          <w:kern w:val="0"/>
          <w14:ligatures w14:val="none"/>
        </w:rPr>
        <w:t>board size, independence</w:t>
      </w:r>
      <w:r w:rsidR="006C6DA6" w:rsidRPr="00B72A13">
        <w:rPr>
          <w:rFonts w:ascii="Times New Roman" w:eastAsia="Times New Roman" w:hAnsi="Times New Roman" w:cs="Times New Roman"/>
          <w:kern w:val="0"/>
          <w14:ligatures w14:val="none"/>
        </w:rPr>
        <w:t>, remuneration of </w:t>
      </w:r>
      <w:r w:rsidRPr="00B72A13">
        <w:rPr>
          <w:rFonts w:ascii="Times New Roman" w:eastAsia="Times New Roman" w:hAnsi="Times New Roman" w:cs="Times New Roman"/>
          <w:kern w:val="0"/>
          <w14:ligatures w14:val="none"/>
        </w:rPr>
        <w:t xml:space="preserve">executives, </w:t>
      </w:r>
      <w:proofErr w:type="gramStart"/>
      <w:r w:rsidRPr="00B72A13">
        <w:rPr>
          <w:rFonts w:ascii="Times New Roman" w:eastAsia="Times New Roman" w:hAnsi="Times New Roman" w:cs="Times New Roman"/>
          <w:kern w:val="0"/>
          <w14:ligatures w14:val="none"/>
        </w:rPr>
        <w:t>director’s  ownership</w:t>
      </w:r>
      <w:proofErr w:type="gramEnd"/>
      <w:r w:rsidRPr="00B72A13">
        <w:rPr>
          <w:rFonts w:ascii="Times New Roman" w:eastAsia="Times New Roman" w:hAnsi="Times New Roman" w:cs="Times New Roman"/>
          <w:kern w:val="0"/>
          <w14:ligatures w14:val="none"/>
        </w:rPr>
        <w:t>,  and  institutional  ownership  as corporate  governance  mechanisms. This study used firm size as a control variable. This study used an ex-post facto research design and used panel data.  The fixed-effects model was used for data interpretation. Firm performance was measured by return on assets in this research study. The results showed that there is a negative link between board size, non-executive directors’ remuneration, and firm performance, but there was a positive relationship between board independence, institutional ownership, and firm performance. These research findings supported the agency model. This research recommended a manageable size of the board and performance-based remuneration to the executive directors. This study added that the appointment of non-executive directors would increase the effectiveness of the board and help in mitigating agency costs. </w:t>
      </w:r>
    </w:p>
    <w:p w14:paraId="5953ABC5" w14:textId="121BA874"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In the same vein, Rohani Md Rus (2018) tried to examine the impact of board structure on the financial performance of the corporate firm. This study took a sample of 589 observations for distress firms from the period 2004-09. This research study employed univariate as well as multi-period logistic regression methods. </w:t>
      </w:r>
      <w:r w:rsidR="00563BAA" w:rsidRPr="00B72A13">
        <w:rPr>
          <w:rFonts w:ascii="Times New Roman" w:eastAsia="Times New Roman" w:hAnsi="Times New Roman" w:cs="Times New Roman"/>
          <w:kern w:val="0"/>
          <w14:ligatures w14:val="none"/>
        </w:rPr>
        <w:t xml:space="preserve">This </w:t>
      </w:r>
      <w:proofErr w:type="gramStart"/>
      <w:r w:rsidR="00563BAA" w:rsidRPr="00B72A13">
        <w:rPr>
          <w:rFonts w:ascii="Times New Roman" w:eastAsia="Times New Roman" w:hAnsi="Times New Roman" w:cs="Times New Roman"/>
          <w:kern w:val="0"/>
          <w14:ligatures w14:val="none"/>
        </w:rPr>
        <w:t>study</w:t>
      </w:r>
      <w:r w:rsidRPr="00B72A13">
        <w:rPr>
          <w:rFonts w:ascii="Times New Roman" w:eastAsia="Times New Roman" w:hAnsi="Times New Roman" w:cs="Times New Roman"/>
          <w:kern w:val="0"/>
          <w14:ligatures w14:val="none"/>
        </w:rPr>
        <w:t>  considered</w:t>
      </w:r>
      <w:proofErr w:type="gramEnd"/>
      <w:r w:rsidRPr="00B72A13">
        <w:rPr>
          <w:rFonts w:ascii="Times New Roman" w:eastAsia="Times New Roman" w:hAnsi="Times New Roman" w:cs="Times New Roman"/>
          <w:kern w:val="0"/>
          <w14:ligatures w14:val="none"/>
        </w:rPr>
        <w:t>  board  size,  percentage  of  inside directors, CEO founder,  and  the  duality of CEO/chairman. This study took leverage, market return, and lagged market return, and GDP growth for measuring financial distress. The results depicted a negative relationship between board size and CEO founder with financial distress. As founders are personally connected to their corporate firms, they have more incentives to care about the survival of the firm. The results showed a positive link between a fraction of independent directors and CEO duality that explains distress. The results stated that market and economic variables did not have a significant influence on the probability of distress.</w:t>
      </w:r>
    </w:p>
    <w:p w14:paraId="79F18406" w14:textId="48D0B393"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Adebiyi (2017) explored the impact of board composition on the financial reporting quality of the corporate firm. The study used a sample size of 20 deposit money banks, of which 15 were selected.  These were listed on the Nigeria Stock Exchange. This study used financial reports of the banks for the period 2005-2016. The study used independent variables, dependent variables, and control variables.  This study used board composition attributes, i.e.  Board size, board independence, and board meetings as the independent variables. This study used financial reporting quality as the dependent variable. Bank size was used as a control variable in this research study. This study used an ordinary least square (OLS) regression method for data analysis.  The results found a positive and significant impact of financial reporting quality on board size and board independence. The results further showed a </w:t>
      </w:r>
      <w:r w:rsidR="00563BAA" w:rsidRPr="00B72A13">
        <w:rPr>
          <w:rFonts w:ascii="Times New Roman" w:eastAsia="Times New Roman" w:hAnsi="Times New Roman" w:cs="Times New Roman"/>
          <w:kern w:val="0"/>
          <w14:ligatures w14:val="none"/>
        </w:rPr>
        <w:t xml:space="preserve">negative </w:t>
      </w:r>
      <w:proofErr w:type="gramStart"/>
      <w:r w:rsidR="00563BAA" w:rsidRPr="00B72A13">
        <w:rPr>
          <w:rFonts w:ascii="Times New Roman" w:eastAsia="Times New Roman" w:hAnsi="Times New Roman" w:cs="Times New Roman"/>
          <w:kern w:val="0"/>
          <w14:ligatures w14:val="none"/>
        </w:rPr>
        <w:t>impact</w:t>
      </w:r>
      <w:r w:rsidRPr="00B72A13">
        <w:rPr>
          <w:rFonts w:ascii="Times New Roman" w:eastAsia="Times New Roman" w:hAnsi="Times New Roman" w:cs="Times New Roman"/>
          <w:kern w:val="0"/>
          <w14:ligatures w14:val="none"/>
        </w:rPr>
        <w:t>  of</w:t>
      </w:r>
      <w:proofErr w:type="gramEnd"/>
      <w:r w:rsidRPr="00B72A13">
        <w:rPr>
          <w:rFonts w:ascii="Times New Roman" w:eastAsia="Times New Roman" w:hAnsi="Times New Roman" w:cs="Times New Roman"/>
          <w:kern w:val="0"/>
          <w14:ligatures w14:val="none"/>
        </w:rPr>
        <w:t xml:space="preserve">  financial  reporting quality  on  the  frequency  of  board  meetings.  This study concluded that board composition is a key component of the quality of financial reporting. The study recommended small board size and regular meetings to carry out their functions.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Uadiale</w:t>
      </w:r>
      <w:proofErr w:type="spellEnd"/>
      <w:r w:rsidRPr="00B72A13">
        <w:rPr>
          <w:rFonts w:ascii="Times New Roman" w:eastAsia="Times New Roman" w:hAnsi="Times New Roman" w:cs="Times New Roman"/>
          <w:kern w:val="0"/>
          <w14:ligatures w14:val="none"/>
        </w:rPr>
        <w:t xml:space="preserve"> (2017) investigate whether ownership concentration influences bank profitability in Nigeria. Ownership concentration was measured as the </w:t>
      </w:r>
      <w:r w:rsidR="00563BAA" w:rsidRPr="00B72A13">
        <w:rPr>
          <w:rFonts w:ascii="Times New Roman" w:eastAsia="Times New Roman" w:hAnsi="Times New Roman" w:cs="Times New Roman"/>
          <w:kern w:val="0"/>
          <w14:ligatures w14:val="none"/>
        </w:rPr>
        <w:t>number</w:t>
      </w:r>
      <w:r w:rsidRPr="00B72A13">
        <w:rPr>
          <w:rFonts w:ascii="Times New Roman" w:eastAsia="Times New Roman" w:hAnsi="Times New Roman" w:cs="Times New Roman"/>
          <w:kern w:val="0"/>
          <w14:ligatures w14:val="none"/>
        </w:rPr>
        <w:t xml:space="preserve"> of shareholders’ direct equity holding. They find that banks with high ownership concentration perform better because they have higher return on assets, higher net interest margin and higher recurring earning power while banks with dispersed ownership have lower return on assets but have higher return on equity. To sum up, although these studies show conflicting effects of ownership structure on firm performance, it also shows that certain ownership structures can improve the performance of firms in Nigeria particularly higher ownership concentration and higher directors’ equity holding. Ahmad (2016a) shows that corporate governance failures in Nigeria are caused by conflicting regulatory laws, the ineffectiveness of the board of directors and lack of auditor independence arising from the nature of firm ownership structure in Nigeria. </w:t>
      </w:r>
      <w:proofErr w:type="spellStart"/>
      <w:r w:rsidRPr="00B72A13">
        <w:rPr>
          <w:rFonts w:ascii="Times New Roman" w:eastAsia="Times New Roman" w:hAnsi="Times New Roman" w:cs="Times New Roman"/>
          <w:kern w:val="0"/>
          <w14:ligatures w14:val="none"/>
        </w:rPr>
        <w:lastRenderedPageBreak/>
        <w:t>Osemeke</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Adegbite</w:t>
      </w:r>
      <w:proofErr w:type="spellEnd"/>
      <w:r w:rsidRPr="00B72A13">
        <w:rPr>
          <w:rFonts w:ascii="Times New Roman" w:eastAsia="Times New Roman" w:hAnsi="Times New Roman" w:cs="Times New Roman"/>
          <w:kern w:val="0"/>
          <w14:ligatures w14:val="none"/>
        </w:rPr>
        <w:t xml:space="preserve"> (2016) show that conflict among the various codes of corporate governance and regulatory multiplicity are causes of corporate governance failures in Nigeria.</w:t>
      </w:r>
    </w:p>
    <w:p w14:paraId="4162C3C1" w14:textId="77777777"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Shittu et al. (2018) investigate the effect of audit committee independence, abnormal directors’ compensation and information disclosure on firm performance measured as price to earnings ratio. They </w:t>
      </w:r>
      <w:proofErr w:type="spellStart"/>
      <w:r w:rsidRPr="00B72A13">
        <w:rPr>
          <w:rFonts w:ascii="Times New Roman" w:eastAsia="Times New Roman" w:hAnsi="Times New Roman" w:cs="Times New Roman"/>
          <w:kern w:val="0"/>
          <w14:ligatures w14:val="none"/>
        </w:rPr>
        <w:t>analyse</w:t>
      </w:r>
      <w:proofErr w:type="spellEnd"/>
      <w:r w:rsidRPr="00B72A13">
        <w:rPr>
          <w:rFonts w:ascii="Times New Roman" w:eastAsia="Times New Roman" w:hAnsi="Times New Roman" w:cs="Times New Roman"/>
          <w:kern w:val="0"/>
          <w14:ligatures w14:val="none"/>
        </w:rPr>
        <w:t xml:space="preserve"> 100 listed firms and find that audit committee independence has a significant positive impact on firm performance, measured as price to earnings ratio. </w:t>
      </w:r>
      <w:proofErr w:type="spellStart"/>
      <w:r w:rsidRPr="00B72A13">
        <w:rPr>
          <w:rFonts w:ascii="Times New Roman" w:eastAsia="Times New Roman" w:hAnsi="Times New Roman" w:cs="Times New Roman"/>
          <w:kern w:val="0"/>
          <w14:ligatures w14:val="none"/>
        </w:rPr>
        <w:t>Odoemelam</w:t>
      </w:r>
      <w:proofErr w:type="spellEnd"/>
      <w:r w:rsidRPr="00B72A13">
        <w:rPr>
          <w:rFonts w:ascii="Times New Roman" w:eastAsia="Times New Roman" w:hAnsi="Times New Roman" w:cs="Times New Roman"/>
          <w:kern w:val="0"/>
          <w14:ligatures w14:val="none"/>
        </w:rPr>
        <w:t xml:space="preserve"> and Okafor (2018) investigate the influence of corporate governance on environmental disclosure for listed non-financial firms, and find that audit committee independence, having a Big-4 auditor, board size and industry membership have an insignificant effect on environmental disclosure. Abdulazeez et al. (2016) examines the impact of corporate governance on the performance of all listed deposit money banks in Nigeria using the Pearson correlation and regression analyses. They find that larger board size contributes positively and significantly to the performance of deposit money banks in Nigeria.</w:t>
      </w:r>
    </w:p>
    <w:p w14:paraId="04FC9A69" w14:textId="77777777" w:rsidR="00063BCA" w:rsidRPr="00B72A13" w:rsidRDefault="00063BCA" w:rsidP="00063BCA">
      <w:pPr>
        <w:numPr>
          <w:ilvl w:val="0"/>
          <w:numId w:val="5"/>
        </w:numPr>
        <w:spacing w:after="0" w:line="240" w:lineRule="auto"/>
        <w:ind w:left="360" w:hanging="360"/>
        <w:jc w:val="both"/>
        <w:textAlignment w:val="baseline"/>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Data Description and Methodology</w:t>
      </w:r>
    </w:p>
    <w:p w14:paraId="69BC52B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p w14:paraId="78BDDC2B" w14:textId="77777777"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The study on the relationship between corporate governance and firm performance used data from 30 selected firms listed on the Nigerian exchange from 1990 to 2020. The table below shows the measurements of corporate governance, firms' performance, and selected control variables.</w:t>
      </w:r>
    </w:p>
    <w:p w14:paraId="39BC453E" w14:textId="264C34F5" w:rsidR="00063BCA" w:rsidRPr="00B72A13" w:rsidRDefault="00063BCA" w:rsidP="008738A0">
      <w:pPr>
        <w:spacing w:after="0"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br/>
      </w:r>
      <w:r w:rsidRPr="00B72A13">
        <w:rPr>
          <w:rFonts w:ascii="Times New Roman" w:eastAsia="Times New Roman" w:hAnsi="Times New Roman" w:cs="Times New Roman"/>
          <w:b/>
          <w:bCs/>
          <w:kern w:val="0"/>
          <w14:ligatures w14:val="none"/>
        </w:rPr>
        <w:t>Methodology –</w:t>
      </w:r>
      <w:r w:rsidRPr="00B72A13">
        <w:rPr>
          <w:rFonts w:ascii="Times New Roman" w:eastAsia="Times New Roman" w:hAnsi="Times New Roman" w:cs="Times New Roman"/>
          <w:kern w:val="0"/>
          <w14:ligatures w14:val="none"/>
        </w:rPr>
        <w:t>We investigated the nexus between corporate governance and firm performance in Nigeria following multiple econometric approaches as adopted by Gyamfi Gyimah et al. (2021) in a similar study. The general simplified baseline model for corporate governance and firm performance in Nigeria is specified as follows: </w:t>
      </w:r>
    </w:p>
    <w:p w14:paraId="06B9276E" w14:textId="15BEAACB"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802CFD6" wp14:editId="2EEEAF0F">
            <wp:extent cx="4210685" cy="180340"/>
            <wp:effectExtent l="0" t="0" r="0" b="0"/>
            <wp:docPr id="20106396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685" cy="180340"/>
                    </a:xfrm>
                    <a:prstGeom prst="rect">
                      <a:avLst/>
                    </a:prstGeom>
                    <a:noFill/>
                    <a:ln>
                      <a:noFill/>
                    </a:ln>
                  </pic:spPr>
                </pic:pic>
              </a:graphicData>
            </a:graphic>
          </wp:inline>
        </w:drawing>
      </w:r>
    </w:p>
    <w:p w14:paraId="082A5A84"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Where, FPM represents firm performance measures which serve as dependent variables. Furthermore, CGM represents corporate governance measures; and Control represents the control variables. Substituting the variables of the model in equation 1, we have the following outcome:</w:t>
      </w:r>
    </w:p>
    <w:p w14:paraId="5BDF2C3B" w14:textId="20382385"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EEC1883" wp14:editId="384B2C52">
            <wp:extent cx="5943600" cy="161925"/>
            <wp:effectExtent l="0" t="0" r="0" b="9525"/>
            <wp:docPr id="118756289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192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Where FPM denotes Firm Performance Measures (proxied with return on assets (ROA) and return on equity (ROE)); BGRC is board governance and remuneration committee; BS is board size; NMH is number of meetings held, NSHC is number of shareholders committee, NRMC is number of remuneration committee, NAC is number of audit committee, SHF is shareholders fund and GRE represents gross earnings. Also, t represents the time period, while </w:t>
      </w:r>
      <w:proofErr w:type="spellStart"/>
      <w:r w:rsidRPr="00B72A13">
        <w:rPr>
          <w:rFonts w:ascii="Times New Roman" w:eastAsia="Times New Roman" w:hAnsi="Times New Roman" w:cs="Times New Roman"/>
          <w:kern w:val="0"/>
          <w14:ligatures w14:val="none"/>
        </w:rPr>
        <w:t>εt</w:t>
      </w:r>
      <w:proofErr w:type="spellEnd"/>
      <w:r w:rsidRPr="00B72A13">
        <w:rPr>
          <w:rFonts w:ascii="Times New Roman" w:eastAsia="Times New Roman" w:hAnsi="Times New Roman" w:cs="Times New Roman"/>
          <w:kern w:val="0"/>
          <w14:ligatures w14:val="none"/>
        </w:rPr>
        <w:t xml:space="preserve"> is the error term. </w:t>
      </w:r>
    </w:p>
    <w:p w14:paraId="1BB0A8B4" w14:textId="4525FA2D"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study adopted the autoregressive regressive distributed lag model (ARDL) as proposed by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(1997),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xml:space="preserve"> and Shin (1998) and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Shin and Smith (2001) to investigate the nexus between corporate governance and firm performance. The choice for the model was based on its copious benefits it has over other estimation techniques like Engel and Granger (1987). ARDL model can estimate equations irrespective of whether the individual regressors are integrated of the order I(0) or I(1), regardless of stationarity, the model takes sufficient number of lags to capture the data generating process from a general to specific modelling framework, the ARDL approach yields superior estimates of long-run coefficient, and, the diagnostic tests of the estimated equations are more reliable, one can derive a dynamic error correction model (ECM) through a simple linear transformation and it is a more appropriate measure in the case of a smaller sample (</w:t>
      </w:r>
      <w:proofErr w:type="spellStart"/>
      <w:r w:rsidRPr="00B72A13">
        <w:rPr>
          <w:rFonts w:ascii="Times New Roman" w:eastAsia="Times New Roman" w:hAnsi="Times New Roman" w:cs="Times New Roman"/>
          <w:kern w:val="0"/>
          <w14:ligatures w14:val="none"/>
        </w:rPr>
        <w:t>Laurenceson</w:t>
      </w:r>
      <w:proofErr w:type="spellEnd"/>
      <w:r w:rsidRPr="00B72A13">
        <w:rPr>
          <w:rFonts w:ascii="Times New Roman" w:eastAsia="Times New Roman" w:hAnsi="Times New Roman" w:cs="Times New Roman"/>
          <w:kern w:val="0"/>
          <w14:ligatures w14:val="none"/>
        </w:rPr>
        <w:t xml:space="preserve"> and Chai, 2003; Gerrard and Godfrey, 1998; </w:t>
      </w:r>
      <w:proofErr w:type="spellStart"/>
      <w:r w:rsidRPr="00B72A13">
        <w:rPr>
          <w:rFonts w:ascii="Times New Roman" w:eastAsia="Times New Roman" w:hAnsi="Times New Roman" w:cs="Times New Roman"/>
          <w:kern w:val="0"/>
          <w14:ligatures w14:val="none"/>
        </w:rPr>
        <w:t>Laurenceson</w:t>
      </w:r>
      <w:proofErr w:type="spellEnd"/>
      <w:r w:rsidRPr="00B72A13">
        <w:rPr>
          <w:rFonts w:ascii="Times New Roman" w:eastAsia="Times New Roman" w:hAnsi="Times New Roman" w:cs="Times New Roman"/>
          <w:kern w:val="0"/>
          <w14:ligatures w14:val="none"/>
        </w:rPr>
        <w:t xml:space="preserve"> and Chai 1998; and  </w:t>
      </w:r>
      <w:proofErr w:type="spellStart"/>
      <w:r w:rsidRPr="00B72A13">
        <w:rPr>
          <w:rFonts w:ascii="Times New Roman" w:eastAsia="Times New Roman" w:hAnsi="Times New Roman" w:cs="Times New Roman"/>
          <w:kern w:val="0"/>
          <w14:ligatures w14:val="none"/>
        </w:rPr>
        <w:t>Banarjee</w:t>
      </w:r>
      <w:proofErr w:type="spellEnd"/>
      <w:r w:rsidRPr="00B72A13">
        <w:rPr>
          <w:rFonts w:ascii="Times New Roman" w:eastAsia="Times New Roman" w:hAnsi="Times New Roman" w:cs="Times New Roman"/>
          <w:kern w:val="0"/>
          <w14:ligatures w14:val="none"/>
        </w:rPr>
        <w:t xml:space="preserve"> et al, 1994).</w:t>
      </w:r>
    </w:p>
    <w:p w14:paraId="6344CFFD" w14:textId="4EAAE724"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study adopted Mean Group (MG), Pooled Mean Group (PMG) and Dynamic Fixed Effects (DFE) but our choice of appropriate estimator is based on the properties of the data.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xml:space="preserve"> et al. (2001) suggested the use of the Mean Group (MG) technique to solve the bias from heterogeneous slopes associated with </w:t>
      </w:r>
      <w:r w:rsidRPr="00B72A13">
        <w:rPr>
          <w:rFonts w:ascii="Times New Roman" w:eastAsia="Times New Roman" w:hAnsi="Times New Roman" w:cs="Times New Roman"/>
          <w:kern w:val="0"/>
          <w14:ligatures w14:val="none"/>
        </w:rPr>
        <w:lastRenderedPageBreak/>
        <w:t>dynamic panels. The MG method provides long-run parameters for the panel by estimating an average of the long-run parameters from the ARDL technique for individual firms. Thus, using the Hausman test, it entails that PMG has consistent and efficient performance over the MG and DFE estimators. In addition, the PMG can permit estimation of short-run coefficients, which includes the intercepts, the speed of adjustment to the long-run equilibrium values, and error variances to be heterogeneous entity by entity while the long-run slope coefficients are restricted to be homogenous across entities. The panel ARDL (</w:t>
      </w:r>
      <w:proofErr w:type="spellStart"/>
      <w:proofErr w:type="gramStart"/>
      <w:r w:rsidRPr="00B72A13">
        <w:rPr>
          <w:rFonts w:ascii="Times New Roman" w:eastAsia="Times New Roman" w:hAnsi="Times New Roman" w:cs="Times New Roman"/>
          <w:kern w:val="0"/>
          <w14:ligatures w14:val="none"/>
        </w:rPr>
        <w:t>p,q</w:t>
      </w:r>
      <w:proofErr w:type="spellEnd"/>
      <w:proofErr w:type="gramEnd"/>
      <w:r w:rsidRPr="00B72A13">
        <w:rPr>
          <w:rFonts w:ascii="Times New Roman" w:eastAsia="Times New Roman" w:hAnsi="Times New Roman" w:cs="Times New Roman"/>
          <w:kern w:val="0"/>
          <w14:ligatures w14:val="none"/>
        </w:rPr>
        <w:t>) model specification are presented as in below: </w:t>
      </w:r>
    </w:p>
    <w:p w14:paraId="61EC0B81" w14:textId="6B57AB10"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br/>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2753647" wp14:editId="3C50303F">
            <wp:extent cx="419100" cy="186690"/>
            <wp:effectExtent l="0" t="0" r="0" b="3810"/>
            <wp:docPr id="13093768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18669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vector (kx1) of the explanatory variables for group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5B00FB9" wp14:editId="6886B06E">
            <wp:extent cx="87630" cy="163195"/>
            <wp:effectExtent l="0" t="0" r="7620" b="8255"/>
            <wp:docPr id="28633376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E57DC16" wp14:editId="4315A194">
            <wp:extent cx="163195" cy="163195"/>
            <wp:effectExtent l="0" t="0" r="8255" b="8255"/>
            <wp:docPr id="212625287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entry fixed effects. In theory,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BA31475" wp14:editId="020E35FC">
            <wp:extent cx="151130" cy="163195"/>
            <wp:effectExtent l="0" t="0" r="1270" b="8255"/>
            <wp:docPr id="119849880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A548586" wp14:editId="12F86EB4">
            <wp:extent cx="122555" cy="163195"/>
            <wp:effectExtent l="0" t="0" r="0" b="8255"/>
            <wp:docPr id="17655004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555"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may differ across firms. The ARDL model may be re-parameterized as in below.</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77934848" wp14:editId="1E6ED35F">
            <wp:extent cx="5189220" cy="460375"/>
            <wp:effectExtent l="0" t="0" r="0" b="0"/>
            <wp:docPr id="8070475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9220" cy="460375"/>
                    </a:xfrm>
                    <a:prstGeom prst="rect">
                      <a:avLst/>
                    </a:prstGeom>
                    <a:noFill/>
                    <a:ln>
                      <a:noFill/>
                    </a:ln>
                  </pic:spPr>
                </pic:pic>
              </a:graphicData>
            </a:graphic>
          </wp:inline>
        </w:drawing>
      </w:r>
    </w:p>
    <w:p w14:paraId="37823199" w14:textId="5A05857E"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848F3DB" wp14:editId="73D8AA2D">
            <wp:extent cx="5264785" cy="460375"/>
            <wp:effectExtent l="0" t="0" r="0" b="0"/>
            <wp:docPr id="12499651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4785" cy="460375"/>
                    </a:xfrm>
                    <a:prstGeom prst="rect">
                      <a:avLst/>
                    </a:prstGeom>
                    <a:noFill/>
                    <a:ln>
                      <a:noFill/>
                    </a:ln>
                  </pic:spPr>
                </pic:pic>
              </a:graphicData>
            </a:graphic>
          </wp:inline>
        </w:drawing>
      </w:r>
    </w:p>
    <w:p w14:paraId="18B59D57" w14:textId="4CB78DD8"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1C00295" wp14:editId="1A626B35">
            <wp:extent cx="186690" cy="163195"/>
            <wp:effectExtent l="0" t="0" r="3810" b="8255"/>
            <wp:docPr id="20489051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long-run parameters 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E2FE8CB" wp14:editId="3FD78A31">
            <wp:extent cx="163195" cy="139700"/>
            <wp:effectExtent l="0" t="0" r="8255" b="0"/>
            <wp:docPr id="145240880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 the speed of adjustment coefficient or error correction parameter and it is expected that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F028558" wp14:editId="68C14E61">
            <wp:extent cx="163195" cy="139700"/>
            <wp:effectExtent l="0" t="0" r="8255" b="0"/>
            <wp:docPr id="18260638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&lt; 0. The PMG restricts all the members of the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EC25364" wp14:editId="699DFC92">
            <wp:extent cx="163195" cy="139700"/>
            <wp:effectExtent l="0" t="0" r="8255" b="0"/>
            <wp:docPr id="95713538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has common characteristics across countries. By substituting the FPM, equation 3 can be rewritten as follows:</w:t>
      </w:r>
    </w:p>
    <w:p w14:paraId="0A61D585" w14:textId="15ABF005"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005F5AD" wp14:editId="6298A983">
            <wp:extent cx="5742940" cy="460375"/>
            <wp:effectExtent l="0" t="0" r="0" b="0"/>
            <wp:docPr id="6702018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2940" cy="460375"/>
                    </a:xfrm>
                    <a:prstGeom prst="rect">
                      <a:avLst/>
                    </a:prstGeom>
                    <a:noFill/>
                    <a:ln>
                      <a:noFill/>
                    </a:ln>
                  </pic:spPr>
                </pic:pic>
              </a:graphicData>
            </a:graphic>
          </wp:inline>
        </w:drawing>
      </w:r>
    </w:p>
    <w:p w14:paraId="66490AA8" w14:textId="2924B02C"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Where FPM represent the firm performance measures – a proxy of return on assets (ROA) and return on equity (ROE), X is set of explanatory variables (board governance and remuneration committee (BGRC), board size (BS), number of meetings held (NMH), number of shareholders’ committee (NSHC), number of remuneration committee (NRMC), number of audit committee (NAC), shareholders fund (SHF) and gross earning (GRE)). Furthermore,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AEB93A" wp14:editId="3610449B">
            <wp:extent cx="104775" cy="221615"/>
            <wp:effectExtent l="0" t="0" r="9525" b="6985"/>
            <wp:docPr id="181809235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22161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D04B592" wp14:editId="1FFC7909">
            <wp:extent cx="139700" cy="163195"/>
            <wp:effectExtent l="0" t="0" r="0" b="8255"/>
            <wp:docPr id="21205951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70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short-run coefficients of the dependent variable and independent variables respectively;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8B6712A" wp14:editId="2B7D053A">
            <wp:extent cx="151130" cy="139700"/>
            <wp:effectExtent l="0" t="0" r="1270" b="0"/>
            <wp:docPr id="20078491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30"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long-run equilibrium;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7A202AE7" wp14:editId="4E57635F">
            <wp:extent cx="163195" cy="151130"/>
            <wp:effectExtent l="0" t="0" r="8255" b="1270"/>
            <wp:docPr id="111648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195" cy="15113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coefficient of the speed of adjustment to equilibrium; while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1AC72B" wp14:editId="7368F6E4">
            <wp:extent cx="87630" cy="163195"/>
            <wp:effectExtent l="0" t="0" r="7620" b="8255"/>
            <wp:docPr id="19686568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157A227" wp14:editId="535ED181">
            <wp:extent cx="87630" cy="151130"/>
            <wp:effectExtent l="0" t="0" r="7620" b="1270"/>
            <wp:docPr id="123785310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 cy="15113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firm and time respectively.</w:t>
      </w:r>
    </w:p>
    <w:p w14:paraId="1B2AC9D7"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Furthermore, we introduced another estimation technique as a robustness check for the findings in the earlier technique – panel ARDL. The general method of moment (GMM) model is capable of solving the problems of endogeneity which the ARDL model cannot fix. Panel generalized method of moment (GMM) was first proposed by Holtz-Eakin et al in 1988 but was subsequently extended by Arellano and Bond (1995) and Blundell and Bond (1998). GMM model can control for country-fixed effects and time effects, and also allow the use of appropriate lags of the dependent variable as instruments to deal with possible endogeneity in the regressor. Thus, below is the generalized method of moment equation for corporate governance and firm performance nexus in Nigeria.</w:t>
      </w:r>
    </w:p>
    <w:p w14:paraId="538E0BC8" w14:textId="6BC6B0A4"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9F46A5E" wp14:editId="12A1FF2A">
            <wp:extent cx="4828540" cy="180340"/>
            <wp:effectExtent l="0" t="0" r="0" b="0"/>
            <wp:docPr id="18232978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285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w:t>
      </w:r>
    </w:p>
    <w:p w14:paraId="0B66C6DC" w14:textId="77777777"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This equation can be rewritten alternatively as follows:</w:t>
      </w:r>
    </w:p>
    <w:p w14:paraId="00E7992D" w14:textId="3DD8997B"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0A15477" wp14:editId="379A8477">
            <wp:extent cx="4857115" cy="180340"/>
            <wp:effectExtent l="0" t="0" r="635" b="0"/>
            <wp:docPr id="15809799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7115" cy="180340"/>
                    </a:xfrm>
                    <a:prstGeom prst="rect">
                      <a:avLst/>
                    </a:prstGeom>
                    <a:noFill/>
                    <a:ln>
                      <a:noFill/>
                    </a:ln>
                  </pic:spPr>
                </pic:pic>
              </a:graphicData>
            </a:graphic>
          </wp:inline>
        </w:drawing>
      </w:r>
    </w:p>
    <w:p w14:paraId="4FEC101D" w14:textId="7DCEAEA8"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8324709" wp14:editId="3601CAD2">
            <wp:extent cx="93345" cy="180340"/>
            <wp:effectExtent l="0" t="0" r="1905" b="0"/>
            <wp:docPr id="206567667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denotes country index,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BDC18B6" wp14:editId="0437FCB5">
            <wp:extent cx="93345" cy="180340"/>
            <wp:effectExtent l="0" t="0" r="1905" b="0"/>
            <wp:docPr id="1769830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time index,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5ACBBEE" wp14:editId="5E9FA7AB">
            <wp:extent cx="180340" cy="180340"/>
            <wp:effectExtent l="0" t="0" r="0" b="0"/>
            <wp:docPr id="1124361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denotes the corporate governance measures,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2EB2940C" wp14:editId="2AE58CDA">
            <wp:extent cx="180340" cy="180340"/>
            <wp:effectExtent l="0" t="0" r="0" b="0"/>
            <wp:docPr id="13674393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firm performance measures,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13E64A22" wp14:editId="6C06AFD4">
            <wp:extent cx="180340" cy="180340"/>
            <wp:effectExtent l="0" t="0" r="0" b="0"/>
            <wp:docPr id="2459836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vector of the explanatory variables that firm performance,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4B6AF8E" wp14:editId="6F1CC9F7">
            <wp:extent cx="180340" cy="180340"/>
            <wp:effectExtent l="0" t="0" r="0" b="0"/>
            <wp:docPr id="5150829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unobserved country fixed effects,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6F798CB6" wp14:editId="6BD4F956">
            <wp:extent cx="180340" cy="180340"/>
            <wp:effectExtent l="0" t="0" r="0" b="0"/>
            <wp:docPr id="189285240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time fixed effects and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25180FD0" wp14:editId="2CC9D338">
            <wp:extent cx="180340" cy="180340"/>
            <wp:effectExtent l="0" t="0" r="0" b="0"/>
            <wp:docPr id="16005220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error term. To estimate equation 7, if we apply within group (fixed effects) estimation method, it will lead to spurious result due to existence of country fixed effects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7237568" wp14:editId="6488A31D">
            <wp:extent cx="180340" cy="180340"/>
            <wp:effectExtent l="0" t="0" r="0" b="0"/>
            <wp:docPr id="6976006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that normally correlate with lagged dependent variable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65BDE44" wp14:editId="32FBB5E3">
            <wp:extent cx="361315" cy="180340"/>
            <wp:effectExtent l="0" t="0" r="635" b="0"/>
            <wp:docPr id="16735930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3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Thus, to remove the country's fixed effects, we will transform equation 7 into the first difference as in below. </w:t>
      </w:r>
    </w:p>
    <w:p w14:paraId="2E330E4A" w14:textId="21F824F9"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D6A951E" wp14:editId="7F3150DD">
            <wp:extent cx="5943600" cy="172085"/>
            <wp:effectExtent l="0" t="0" r="0" b="0"/>
            <wp:docPr id="8444770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17208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Equation 8 can be estimated using instruments since there is new error term</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CE78580" wp14:editId="58F57BCE">
            <wp:extent cx="734060" cy="180340"/>
            <wp:effectExtent l="0" t="0" r="8890" b="0"/>
            <wp:docPr id="21428222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3406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and it correlated with lagged dependent variable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8F96507" wp14:editId="555E81FA">
            <wp:extent cx="1007745" cy="180340"/>
            <wp:effectExtent l="0" t="0" r="1905" b="0"/>
            <wp:docPr id="1711079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 and explanatory variables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2A59C1A" wp14:editId="754759F8">
            <wp:extent cx="734060" cy="180340"/>
            <wp:effectExtent l="0" t="0" r="8890" b="0"/>
            <wp:docPr id="2212041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406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are potentially endogenous. Haven spotted this issue which panel ARDL model cannot solve, Arellano and Bond (1991) proposed an estimation method where lagged levels of the regressors are used as the instruments under these two conditions: (a) the idiosyncratic error term is not serially correlated; and (b) the explanatory variables are weakly exogenous (which implies that they are uncorrelated with the future realizations of the idiosyncratic errors) and a GMM estimator that fulfils the above conditions are referred to as differenced GMM estimator which is based under the following these moment conditions:  </w:t>
      </w:r>
    </w:p>
    <w:p w14:paraId="77B80572" w14:textId="59EC953B"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6627420" wp14:editId="00806D45">
            <wp:extent cx="1555115" cy="180340"/>
            <wp:effectExtent l="0" t="0" r="6985" b="0"/>
            <wp:docPr id="13508735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7A0DD1ED" wp14:editId="17462804">
            <wp:extent cx="1007745" cy="180340"/>
            <wp:effectExtent l="0" t="0" r="1905" b="0"/>
            <wp:docPr id="20437554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7F3B7D49" wp14:editId="21EF0F24">
            <wp:extent cx="1555115" cy="180340"/>
            <wp:effectExtent l="0" t="0" r="6985" b="0"/>
            <wp:docPr id="21474689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8425407" wp14:editId="2C467F0B">
            <wp:extent cx="1007745" cy="180340"/>
            <wp:effectExtent l="0" t="0" r="1905" b="0"/>
            <wp:docPr id="17476206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and </w:t>
      </w:r>
    </w:p>
    <w:p w14:paraId="69B5DB13" w14:textId="2BFAEE03"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39E69C9" wp14:editId="73CA1E57">
            <wp:extent cx="1555115" cy="180340"/>
            <wp:effectExtent l="0" t="0" r="6985" b="0"/>
            <wp:docPr id="51792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4D044F" wp14:editId="78488418">
            <wp:extent cx="1007745" cy="180340"/>
            <wp:effectExtent l="0" t="0" r="1905" b="0"/>
            <wp:docPr id="9595827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p>
    <w:p w14:paraId="00A26111" w14:textId="7361AAB7"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The above moment conditions </w:t>
      </w:r>
      <w:r w:rsidR="00563BAA" w:rsidRPr="00B72A13">
        <w:rPr>
          <w:rFonts w:ascii="Times New Roman" w:eastAsia="Times New Roman" w:hAnsi="Times New Roman" w:cs="Times New Roman"/>
          <w:kern w:val="0"/>
          <w14:ligatures w14:val="none"/>
        </w:rPr>
        <w:t>connote</w:t>
      </w:r>
      <w:r w:rsidRPr="00B72A13">
        <w:rPr>
          <w:rFonts w:ascii="Times New Roman" w:eastAsia="Times New Roman" w:hAnsi="Times New Roman" w:cs="Times New Roman"/>
          <w:kern w:val="0"/>
          <w14:ligatures w14:val="none"/>
        </w:rPr>
        <w:t xml:space="preserve"> that 2 times further lagged value of corporate governance and firm performance and other explanatory variables can be used as the instruments to obtain the first differenced GMM estimators. Although the results of the differenced GMM estimators obtained can control for fixed effects and endogeneity misconceptions, Alonso-</w:t>
      </w:r>
      <w:proofErr w:type="spellStart"/>
      <w:r w:rsidRPr="00B72A13">
        <w:rPr>
          <w:rFonts w:ascii="Times New Roman" w:eastAsia="Times New Roman" w:hAnsi="Times New Roman" w:cs="Times New Roman"/>
          <w:kern w:val="0"/>
          <w14:ligatures w14:val="none"/>
        </w:rPr>
        <w:t>Barrego</w:t>
      </w:r>
      <w:proofErr w:type="spellEnd"/>
      <w:r w:rsidRPr="00B72A13">
        <w:rPr>
          <w:rFonts w:ascii="Times New Roman" w:eastAsia="Times New Roman" w:hAnsi="Times New Roman" w:cs="Times New Roman"/>
          <w:kern w:val="0"/>
          <w14:ligatures w14:val="none"/>
        </w:rPr>
        <w:t xml:space="preserve"> and Arellano (1999) and Blundell and Bond (1998) further argued that lagged dependent variables becomes weak instruments in the first difference equations when the explanatory variables are persistent over time and this can lead to finite sample bias as the variance of the coefficients may get larger asymptotically. </w:t>
      </w:r>
    </w:p>
    <w:p w14:paraId="707271A2" w14:textId="72A883A3"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Based on the above discoveries, Arellano and Bover (1995) suggested an alternative estimator which combines equations (6) and (7) in difference and in level. They suggested that the differences of the explanatory variables be the instruments of the equation in the levels. The estimator’s moment conditions will be associated with system equations known as system GMM estimators. They made additional assumptions which states that the first differences of the independent variables in equation 8 are uncorrelated with fixed effects</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8AB1EB3" wp14:editId="0E5F2203">
            <wp:extent cx="180340" cy="180340"/>
            <wp:effectExtent l="0" t="0" r="0" b="0"/>
            <wp:docPr id="13306089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to attests for the validation of the instruments. Thus, this can only be possible with the following moment conditions:</w:t>
      </w:r>
    </w:p>
    <w:p w14:paraId="717E5759" w14:textId="6C23F706"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7C55DE5" wp14:editId="302DE7D7">
            <wp:extent cx="1828800" cy="180340"/>
            <wp:effectExtent l="0" t="0" r="0" b="0"/>
            <wp:docPr id="433174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for</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9AFDBC1" wp14:editId="01B74E61">
            <wp:extent cx="279400" cy="180340"/>
            <wp:effectExtent l="0" t="0" r="6350" b="0"/>
            <wp:docPr id="1318914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A8E527B" wp14:editId="6A47F6F9">
            <wp:extent cx="1828800" cy="180340"/>
            <wp:effectExtent l="0" t="0" r="0" b="0"/>
            <wp:docPr id="507053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for</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0FF0A94" wp14:editId="46BDBF58">
            <wp:extent cx="279400" cy="180340"/>
            <wp:effectExtent l="0" t="0" r="6350" b="0"/>
            <wp:docPr id="513144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345BE0F" wp14:editId="6CC54DA2">
            <wp:extent cx="1828800" cy="180340"/>
            <wp:effectExtent l="0" t="0" r="0" b="0"/>
            <wp:docPr id="770291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5992DAE" wp14:editId="490DAEBD">
            <wp:extent cx="279400" cy="180340"/>
            <wp:effectExtent l="0" t="0" r="6350" b="0"/>
            <wp:docPr id="148173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p>
    <w:p w14:paraId="16E9F4AF"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When the moment condition holds, the consistency of the GMM estimator depends on two specification tests (the Hansen J test of over-identifications and serial correlation test in the disturbances. The Hansen J test has the null hypothesis “the instruments as a group are exogenous”. If we fail to reject the null of the Hansen J test, it would imply that instruments are valid and the model is correctly specified. The higher the coefficient of the J test, the better. With respect to the serial correlation test, we will reject the null in the absence of the first order serial correlation (AR1) and should not reject the absence of the second order serial correlation (AR2).</w:t>
      </w:r>
    </w:p>
    <w:p w14:paraId="285CA116" w14:textId="77777777" w:rsidR="00063BCA" w:rsidRPr="00B72A13" w:rsidRDefault="00063BCA" w:rsidP="00063BCA">
      <w:pPr>
        <w:spacing w:line="240" w:lineRule="auto"/>
        <w:ind w:hanging="426"/>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lastRenderedPageBreak/>
        <w:t>5.  Results Presentation and Discussion</w:t>
      </w:r>
    </w:p>
    <w:p w14:paraId="049C95B9" w14:textId="4FDB994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section presents the results of the empirical findings. We employed various econometrics tests such as descriptive statistics, correlation matrix, unit root test, and diagnostic tests, in order to fulfil the assumptions of the OLS. For the estimation of the specified models, panel dynamic autoregressive distributed lag (ARDL) model and generalized method of moment (GMM) were employed in this study. This study followed the work of Rehman, Mohd Ziaur (2021) to adopt panel unit root tests which include Levine, Lin and Chu (2002), </w:t>
      </w:r>
      <w:proofErr w:type="spellStart"/>
      <w:r w:rsidRPr="00B72A13">
        <w:rPr>
          <w:rFonts w:ascii="Times New Roman" w:eastAsia="Times New Roman" w:hAnsi="Times New Roman" w:cs="Times New Roman"/>
          <w:kern w:val="0"/>
          <w14:ligatures w14:val="none"/>
        </w:rPr>
        <w:t>Im</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and Shin (2003), and Fisher based tests – Fisher-ADF and Fisher-PP as proposed (Madala and Wu, 1999) and the results are presented in table </w:t>
      </w:r>
      <w:r w:rsidR="001B1976">
        <w:rPr>
          <w:rFonts w:ascii="Times New Roman" w:eastAsia="Times New Roman" w:hAnsi="Times New Roman" w:cs="Times New Roman"/>
          <w:kern w:val="0"/>
          <w14:ligatures w14:val="none"/>
        </w:rPr>
        <w:t>2</w:t>
      </w:r>
      <w:r w:rsidRPr="00B72A13">
        <w:rPr>
          <w:rFonts w:ascii="Times New Roman" w:eastAsia="Times New Roman" w:hAnsi="Times New Roman" w:cs="Times New Roman"/>
          <w:kern w:val="0"/>
          <w14:ligatures w14:val="none"/>
        </w:rPr>
        <w:t xml:space="preserve"> below. The unit root test was conducted based on the null hypothesis “has no unit root” and the decision rule is to reject the null hypothesis if the probability value is less than 0.05 significant level. Below in table </w:t>
      </w:r>
      <w:r w:rsidR="001B1976">
        <w:rPr>
          <w:rFonts w:ascii="Times New Roman" w:eastAsia="Times New Roman" w:hAnsi="Times New Roman" w:cs="Times New Roman"/>
          <w:kern w:val="0"/>
          <w14:ligatures w14:val="none"/>
        </w:rPr>
        <w:t>1</w:t>
      </w:r>
      <w:r w:rsidRPr="00B72A13">
        <w:rPr>
          <w:rFonts w:ascii="Times New Roman" w:eastAsia="Times New Roman" w:hAnsi="Times New Roman" w:cs="Times New Roman"/>
          <w:kern w:val="0"/>
          <w14:ligatures w14:val="none"/>
        </w:rPr>
        <w:t xml:space="preserve"> are the descriptive statistics and correlation matrix for corporate governance and firm in Nigeria. </w:t>
      </w:r>
    </w:p>
    <w:p w14:paraId="06288DB0" w14:textId="45B3001C"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Table </w:t>
      </w:r>
      <w:r w:rsidR="001B1976">
        <w:rPr>
          <w:rFonts w:ascii="Times New Roman" w:eastAsia="Times New Roman" w:hAnsi="Times New Roman" w:cs="Times New Roman"/>
          <w:b/>
          <w:bCs/>
          <w:kern w:val="0"/>
          <w14:ligatures w14:val="none"/>
        </w:rPr>
        <w:t>1</w:t>
      </w:r>
      <w:r w:rsidRPr="00B72A13">
        <w:rPr>
          <w:rFonts w:ascii="Times New Roman" w:eastAsia="Times New Roman" w:hAnsi="Times New Roman" w:cs="Times New Roman"/>
          <w:b/>
          <w:bCs/>
          <w:kern w:val="0"/>
          <w14:ligatures w14:val="none"/>
        </w:rPr>
        <w:t>: Summary of Descriptive Statistics and Correlation Matrix</w:t>
      </w:r>
    </w:p>
    <w:tbl>
      <w:tblPr>
        <w:tblW w:w="0" w:type="auto"/>
        <w:jc w:val="center"/>
        <w:tblCellMar>
          <w:top w:w="15" w:type="dxa"/>
          <w:left w:w="15" w:type="dxa"/>
          <w:bottom w:w="15" w:type="dxa"/>
          <w:right w:w="15" w:type="dxa"/>
        </w:tblCellMar>
        <w:tblLook w:val="04A0" w:firstRow="1" w:lastRow="0" w:firstColumn="1" w:lastColumn="0" w:noHBand="0" w:noVBand="1"/>
      </w:tblPr>
      <w:tblGrid>
        <w:gridCol w:w="1093"/>
        <w:gridCol w:w="690"/>
        <w:gridCol w:w="800"/>
        <w:gridCol w:w="690"/>
        <w:gridCol w:w="690"/>
        <w:gridCol w:w="690"/>
        <w:gridCol w:w="800"/>
        <w:gridCol w:w="800"/>
        <w:gridCol w:w="690"/>
        <w:gridCol w:w="599"/>
        <w:gridCol w:w="800"/>
      </w:tblGrid>
      <w:tr w:rsidR="00415FAF" w:rsidRPr="00B72A13" w14:paraId="2401BD66" w14:textId="77777777" w:rsidTr="00063BCA">
        <w:trPr>
          <w:trHeight w:val="163"/>
          <w:jc w:val="center"/>
        </w:trPr>
        <w:tc>
          <w:tcPr>
            <w:tcW w:w="0" w:type="auto"/>
            <w:tcBorders>
              <w:top w:val="single" w:sz="4" w:space="0" w:color="000000"/>
              <w:bottom w:val="single" w:sz="4" w:space="0" w:color="000000"/>
            </w:tcBorders>
            <w:vAlign w:val="bottom"/>
            <w:hideMark/>
          </w:tcPr>
          <w:p w14:paraId="5CD044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CD6FE4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hideMark/>
          </w:tcPr>
          <w:p w14:paraId="1EE5B80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hideMark/>
          </w:tcPr>
          <w:p w14:paraId="6DD1639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hideMark/>
          </w:tcPr>
          <w:p w14:paraId="14E5A40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hideMark/>
          </w:tcPr>
          <w:p w14:paraId="48D20E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hideMark/>
          </w:tcPr>
          <w:p w14:paraId="3D828D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hideMark/>
          </w:tcPr>
          <w:p w14:paraId="547B5B4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hideMark/>
          </w:tcPr>
          <w:p w14:paraId="1B690B8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hideMark/>
          </w:tcPr>
          <w:p w14:paraId="27EC335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hideMark/>
          </w:tcPr>
          <w:p w14:paraId="2B7AE0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GRE</w:t>
            </w:r>
          </w:p>
        </w:tc>
      </w:tr>
      <w:tr w:rsidR="00415FAF" w:rsidRPr="00B72A13" w14:paraId="25E4269E" w14:textId="77777777" w:rsidTr="00063BCA">
        <w:trPr>
          <w:trHeight w:val="181"/>
          <w:jc w:val="center"/>
        </w:trPr>
        <w:tc>
          <w:tcPr>
            <w:tcW w:w="0" w:type="auto"/>
            <w:tcBorders>
              <w:top w:val="single" w:sz="4" w:space="0" w:color="000000"/>
              <w:bottom w:val="single" w:sz="4" w:space="0" w:color="000000"/>
            </w:tcBorders>
            <w:vAlign w:val="bottom"/>
            <w:hideMark/>
          </w:tcPr>
          <w:p w14:paraId="71CBC42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Mean</w:t>
            </w:r>
          </w:p>
        </w:tc>
        <w:tc>
          <w:tcPr>
            <w:tcW w:w="0" w:type="auto"/>
            <w:tcBorders>
              <w:top w:val="single" w:sz="4" w:space="0" w:color="000000"/>
              <w:bottom w:val="single" w:sz="4" w:space="0" w:color="000000"/>
            </w:tcBorders>
            <w:vAlign w:val="bottom"/>
            <w:hideMark/>
          </w:tcPr>
          <w:p w14:paraId="3131CF2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0.327</w:t>
            </w:r>
          </w:p>
        </w:tc>
        <w:tc>
          <w:tcPr>
            <w:tcW w:w="0" w:type="auto"/>
            <w:tcBorders>
              <w:top w:val="single" w:sz="4" w:space="0" w:color="000000"/>
              <w:bottom w:val="single" w:sz="4" w:space="0" w:color="000000"/>
            </w:tcBorders>
            <w:vAlign w:val="bottom"/>
            <w:hideMark/>
          </w:tcPr>
          <w:p w14:paraId="5EE61A0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1.259</w:t>
            </w:r>
          </w:p>
        </w:tc>
        <w:tc>
          <w:tcPr>
            <w:tcW w:w="0" w:type="auto"/>
            <w:tcBorders>
              <w:top w:val="single" w:sz="4" w:space="0" w:color="000000"/>
              <w:bottom w:val="single" w:sz="4" w:space="0" w:color="000000"/>
            </w:tcBorders>
            <w:vAlign w:val="bottom"/>
            <w:hideMark/>
          </w:tcPr>
          <w:p w14:paraId="3C80BA0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-5.434</w:t>
            </w:r>
          </w:p>
        </w:tc>
        <w:tc>
          <w:tcPr>
            <w:tcW w:w="0" w:type="auto"/>
            <w:tcBorders>
              <w:top w:val="single" w:sz="4" w:space="0" w:color="000000"/>
              <w:bottom w:val="single" w:sz="4" w:space="0" w:color="000000"/>
            </w:tcBorders>
            <w:vAlign w:val="bottom"/>
            <w:hideMark/>
          </w:tcPr>
          <w:p w14:paraId="316EAA8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8.542</w:t>
            </w:r>
          </w:p>
        </w:tc>
        <w:tc>
          <w:tcPr>
            <w:tcW w:w="0" w:type="auto"/>
            <w:tcBorders>
              <w:top w:val="single" w:sz="4" w:space="0" w:color="000000"/>
              <w:bottom w:val="single" w:sz="4" w:space="0" w:color="000000"/>
            </w:tcBorders>
            <w:vAlign w:val="bottom"/>
            <w:hideMark/>
          </w:tcPr>
          <w:p w14:paraId="7D9148D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1.127</w:t>
            </w:r>
          </w:p>
        </w:tc>
        <w:tc>
          <w:tcPr>
            <w:tcW w:w="0" w:type="auto"/>
            <w:tcBorders>
              <w:top w:val="single" w:sz="4" w:space="0" w:color="000000"/>
              <w:bottom w:val="single" w:sz="4" w:space="0" w:color="000000"/>
            </w:tcBorders>
            <w:vAlign w:val="bottom"/>
            <w:hideMark/>
          </w:tcPr>
          <w:p w14:paraId="49A4891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1.511</w:t>
            </w:r>
          </w:p>
        </w:tc>
        <w:tc>
          <w:tcPr>
            <w:tcW w:w="0" w:type="auto"/>
            <w:tcBorders>
              <w:top w:val="single" w:sz="4" w:space="0" w:color="000000"/>
              <w:bottom w:val="single" w:sz="4" w:space="0" w:color="000000"/>
            </w:tcBorders>
            <w:vAlign w:val="bottom"/>
            <w:hideMark/>
          </w:tcPr>
          <w:p w14:paraId="482B4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7.908</w:t>
            </w:r>
          </w:p>
        </w:tc>
        <w:tc>
          <w:tcPr>
            <w:tcW w:w="0" w:type="auto"/>
            <w:tcBorders>
              <w:top w:val="single" w:sz="4" w:space="0" w:color="000000"/>
              <w:bottom w:val="single" w:sz="4" w:space="0" w:color="000000"/>
            </w:tcBorders>
            <w:vAlign w:val="bottom"/>
            <w:hideMark/>
          </w:tcPr>
          <w:p w14:paraId="3E9362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-5.469</w:t>
            </w:r>
          </w:p>
        </w:tc>
        <w:tc>
          <w:tcPr>
            <w:tcW w:w="0" w:type="auto"/>
            <w:tcBorders>
              <w:top w:val="single" w:sz="4" w:space="0" w:color="000000"/>
              <w:bottom w:val="single" w:sz="4" w:space="0" w:color="000000"/>
            </w:tcBorders>
            <w:vAlign w:val="bottom"/>
            <w:hideMark/>
          </w:tcPr>
          <w:p w14:paraId="372EAD5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1.147</w:t>
            </w:r>
          </w:p>
        </w:tc>
        <w:tc>
          <w:tcPr>
            <w:tcW w:w="0" w:type="auto"/>
            <w:tcBorders>
              <w:top w:val="single" w:sz="4" w:space="0" w:color="000000"/>
              <w:bottom w:val="single" w:sz="4" w:space="0" w:color="000000"/>
            </w:tcBorders>
            <w:vAlign w:val="bottom"/>
            <w:hideMark/>
          </w:tcPr>
          <w:p w14:paraId="14BCB12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1.159</w:t>
            </w:r>
          </w:p>
        </w:tc>
      </w:tr>
      <w:tr w:rsidR="00415FAF" w:rsidRPr="00B72A13" w14:paraId="5A619E10" w14:textId="77777777" w:rsidTr="00063BCA">
        <w:trPr>
          <w:trHeight w:val="70"/>
          <w:jc w:val="center"/>
        </w:trPr>
        <w:tc>
          <w:tcPr>
            <w:tcW w:w="0" w:type="auto"/>
            <w:tcBorders>
              <w:top w:val="single" w:sz="4" w:space="0" w:color="000000"/>
              <w:bottom w:val="single" w:sz="4" w:space="0" w:color="000000"/>
            </w:tcBorders>
            <w:vAlign w:val="bottom"/>
            <w:hideMark/>
          </w:tcPr>
          <w:p w14:paraId="3CAA36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Median</w:t>
            </w:r>
          </w:p>
        </w:tc>
        <w:tc>
          <w:tcPr>
            <w:tcW w:w="0" w:type="auto"/>
            <w:tcBorders>
              <w:top w:val="single" w:sz="4" w:space="0" w:color="000000"/>
              <w:bottom w:val="single" w:sz="4" w:space="0" w:color="000000"/>
            </w:tcBorders>
            <w:vAlign w:val="bottom"/>
            <w:hideMark/>
          </w:tcPr>
          <w:p w14:paraId="6908AB3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hideMark/>
          </w:tcPr>
          <w:p w14:paraId="0C9CFD0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hideMark/>
          </w:tcPr>
          <w:p w14:paraId="7DA4AB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-5.430</w:t>
            </w:r>
          </w:p>
        </w:tc>
        <w:tc>
          <w:tcPr>
            <w:tcW w:w="0" w:type="auto"/>
            <w:tcBorders>
              <w:top w:val="single" w:sz="4" w:space="0" w:color="000000"/>
              <w:bottom w:val="single" w:sz="4" w:space="0" w:color="000000"/>
            </w:tcBorders>
            <w:vAlign w:val="bottom"/>
            <w:hideMark/>
          </w:tcPr>
          <w:p w14:paraId="315AB80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8.648</w:t>
            </w:r>
          </w:p>
        </w:tc>
        <w:tc>
          <w:tcPr>
            <w:tcW w:w="0" w:type="auto"/>
            <w:tcBorders>
              <w:top w:val="single" w:sz="4" w:space="0" w:color="000000"/>
              <w:bottom w:val="single" w:sz="4" w:space="0" w:color="000000"/>
            </w:tcBorders>
            <w:vAlign w:val="bottom"/>
            <w:hideMark/>
          </w:tcPr>
          <w:p w14:paraId="0053D18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1.156</w:t>
            </w:r>
          </w:p>
        </w:tc>
        <w:tc>
          <w:tcPr>
            <w:tcW w:w="0" w:type="auto"/>
            <w:tcBorders>
              <w:top w:val="single" w:sz="4" w:space="0" w:color="000000"/>
              <w:bottom w:val="single" w:sz="4" w:space="0" w:color="000000"/>
            </w:tcBorders>
            <w:vAlign w:val="bottom"/>
            <w:hideMark/>
          </w:tcPr>
          <w:p w14:paraId="2A99AC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hideMark/>
          </w:tcPr>
          <w:p w14:paraId="6477405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8.274</w:t>
            </w:r>
          </w:p>
        </w:tc>
        <w:tc>
          <w:tcPr>
            <w:tcW w:w="0" w:type="auto"/>
            <w:tcBorders>
              <w:top w:val="single" w:sz="4" w:space="0" w:color="000000"/>
              <w:bottom w:val="single" w:sz="4" w:space="0" w:color="000000"/>
            </w:tcBorders>
            <w:vAlign w:val="bottom"/>
            <w:hideMark/>
          </w:tcPr>
          <w:p w14:paraId="4DEBFA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-5.249</w:t>
            </w:r>
          </w:p>
        </w:tc>
        <w:tc>
          <w:tcPr>
            <w:tcW w:w="0" w:type="auto"/>
            <w:tcBorders>
              <w:top w:val="single" w:sz="4" w:space="0" w:color="000000"/>
              <w:bottom w:val="single" w:sz="4" w:space="0" w:color="000000"/>
            </w:tcBorders>
            <w:vAlign w:val="bottom"/>
            <w:hideMark/>
          </w:tcPr>
          <w:p w14:paraId="70F444D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hideMark/>
          </w:tcPr>
          <w:p w14:paraId="660149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1.274</w:t>
            </w:r>
          </w:p>
        </w:tc>
      </w:tr>
      <w:tr w:rsidR="00415FAF" w:rsidRPr="00B72A13" w14:paraId="7E1642FB" w14:textId="77777777" w:rsidTr="00063BCA">
        <w:trPr>
          <w:trHeight w:val="143"/>
          <w:jc w:val="center"/>
        </w:trPr>
        <w:tc>
          <w:tcPr>
            <w:tcW w:w="0" w:type="auto"/>
            <w:tcBorders>
              <w:top w:val="single" w:sz="4" w:space="0" w:color="000000"/>
              <w:bottom w:val="single" w:sz="4" w:space="0" w:color="000000"/>
            </w:tcBorders>
            <w:vAlign w:val="bottom"/>
            <w:hideMark/>
          </w:tcPr>
          <w:p w14:paraId="6DF9AD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Maximum</w:t>
            </w:r>
          </w:p>
        </w:tc>
        <w:tc>
          <w:tcPr>
            <w:tcW w:w="0" w:type="auto"/>
            <w:tcBorders>
              <w:top w:val="single" w:sz="4" w:space="0" w:color="000000"/>
              <w:bottom w:val="single" w:sz="4" w:space="0" w:color="000000"/>
            </w:tcBorders>
            <w:vAlign w:val="bottom"/>
            <w:hideMark/>
          </w:tcPr>
          <w:p w14:paraId="1E885B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4.500</w:t>
            </w:r>
          </w:p>
        </w:tc>
        <w:tc>
          <w:tcPr>
            <w:tcW w:w="0" w:type="auto"/>
            <w:tcBorders>
              <w:top w:val="single" w:sz="4" w:space="0" w:color="000000"/>
              <w:bottom w:val="single" w:sz="4" w:space="0" w:color="000000"/>
            </w:tcBorders>
            <w:vAlign w:val="bottom"/>
            <w:hideMark/>
          </w:tcPr>
          <w:p w14:paraId="702B2A5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6.337</w:t>
            </w:r>
          </w:p>
        </w:tc>
        <w:tc>
          <w:tcPr>
            <w:tcW w:w="0" w:type="auto"/>
            <w:tcBorders>
              <w:top w:val="single" w:sz="4" w:space="0" w:color="000000"/>
              <w:bottom w:val="single" w:sz="4" w:space="0" w:color="000000"/>
            </w:tcBorders>
            <w:vAlign w:val="bottom"/>
            <w:hideMark/>
          </w:tcPr>
          <w:p w14:paraId="4305556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-2.189</w:t>
            </w:r>
          </w:p>
        </w:tc>
        <w:tc>
          <w:tcPr>
            <w:tcW w:w="0" w:type="auto"/>
            <w:tcBorders>
              <w:top w:val="single" w:sz="4" w:space="0" w:color="000000"/>
              <w:bottom w:val="single" w:sz="4" w:space="0" w:color="000000"/>
            </w:tcBorders>
            <w:vAlign w:val="bottom"/>
            <w:hideMark/>
          </w:tcPr>
          <w:p w14:paraId="3EAB2B6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11.443</w:t>
            </w:r>
          </w:p>
        </w:tc>
        <w:tc>
          <w:tcPr>
            <w:tcW w:w="0" w:type="auto"/>
            <w:tcBorders>
              <w:top w:val="single" w:sz="4" w:space="0" w:color="000000"/>
              <w:bottom w:val="single" w:sz="4" w:space="0" w:color="000000"/>
            </w:tcBorders>
            <w:vAlign w:val="bottom"/>
            <w:hideMark/>
          </w:tcPr>
          <w:p w14:paraId="47AD3B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11.276</w:t>
            </w:r>
          </w:p>
        </w:tc>
        <w:tc>
          <w:tcPr>
            <w:tcW w:w="0" w:type="auto"/>
            <w:tcBorders>
              <w:top w:val="single" w:sz="4" w:space="0" w:color="000000"/>
              <w:bottom w:val="single" w:sz="4" w:space="0" w:color="000000"/>
            </w:tcBorders>
            <w:vAlign w:val="bottom"/>
            <w:hideMark/>
          </w:tcPr>
          <w:p w14:paraId="5BDC0D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6.339</w:t>
            </w:r>
          </w:p>
        </w:tc>
        <w:tc>
          <w:tcPr>
            <w:tcW w:w="0" w:type="auto"/>
            <w:tcBorders>
              <w:top w:val="single" w:sz="4" w:space="0" w:color="000000"/>
              <w:bottom w:val="single" w:sz="4" w:space="0" w:color="000000"/>
            </w:tcBorders>
            <w:vAlign w:val="bottom"/>
            <w:hideMark/>
          </w:tcPr>
          <w:p w14:paraId="23FCD6C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12.220</w:t>
            </w:r>
          </w:p>
        </w:tc>
        <w:tc>
          <w:tcPr>
            <w:tcW w:w="0" w:type="auto"/>
            <w:tcBorders>
              <w:top w:val="single" w:sz="4" w:space="0" w:color="000000"/>
              <w:bottom w:val="single" w:sz="4" w:space="0" w:color="000000"/>
            </w:tcBorders>
            <w:vAlign w:val="bottom"/>
            <w:hideMark/>
          </w:tcPr>
          <w:p w14:paraId="35C8A6F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-2.444</w:t>
            </w:r>
          </w:p>
        </w:tc>
        <w:tc>
          <w:tcPr>
            <w:tcW w:w="0" w:type="auto"/>
            <w:tcBorders>
              <w:top w:val="single" w:sz="4" w:space="0" w:color="000000"/>
              <w:bottom w:val="single" w:sz="4" w:space="0" w:color="000000"/>
            </w:tcBorders>
            <w:vAlign w:val="bottom"/>
            <w:hideMark/>
          </w:tcPr>
          <w:p w14:paraId="6DBA830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8.635</w:t>
            </w:r>
          </w:p>
        </w:tc>
        <w:tc>
          <w:tcPr>
            <w:tcW w:w="0" w:type="auto"/>
            <w:tcBorders>
              <w:top w:val="single" w:sz="4" w:space="0" w:color="000000"/>
              <w:bottom w:val="single" w:sz="4" w:space="0" w:color="000000"/>
            </w:tcBorders>
            <w:vAlign w:val="bottom"/>
            <w:hideMark/>
          </w:tcPr>
          <w:p w14:paraId="2740DAC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6.796</w:t>
            </w:r>
          </w:p>
        </w:tc>
      </w:tr>
      <w:tr w:rsidR="00415FAF" w:rsidRPr="00B72A13" w14:paraId="56802A4D" w14:textId="77777777" w:rsidTr="00063BCA">
        <w:trPr>
          <w:trHeight w:val="89"/>
          <w:jc w:val="center"/>
        </w:trPr>
        <w:tc>
          <w:tcPr>
            <w:tcW w:w="0" w:type="auto"/>
            <w:tcBorders>
              <w:top w:val="single" w:sz="4" w:space="0" w:color="000000"/>
              <w:bottom w:val="single" w:sz="4" w:space="0" w:color="000000"/>
            </w:tcBorders>
            <w:vAlign w:val="bottom"/>
            <w:hideMark/>
          </w:tcPr>
          <w:p w14:paraId="3714A1F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Minimum</w:t>
            </w:r>
          </w:p>
        </w:tc>
        <w:tc>
          <w:tcPr>
            <w:tcW w:w="0" w:type="auto"/>
            <w:tcBorders>
              <w:top w:val="single" w:sz="4" w:space="0" w:color="000000"/>
              <w:bottom w:val="single" w:sz="4" w:space="0" w:color="000000"/>
            </w:tcBorders>
            <w:vAlign w:val="bottom"/>
            <w:hideMark/>
          </w:tcPr>
          <w:p w14:paraId="2D95D0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-3.984</w:t>
            </w:r>
          </w:p>
        </w:tc>
        <w:tc>
          <w:tcPr>
            <w:tcW w:w="0" w:type="auto"/>
            <w:tcBorders>
              <w:top w:val="single" w:sz="4" w:space="0" w:color="000000"/>
              <w:bottom w:val="single" w:sz="4" w:space="0" w:color="000000"/>
            </w:tcBorders>
            <w:vAlign w:val="bottom"/>
            <w:hideMark/>
          </w:tcPr>
          <w:p w14:paraId="6768D3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-2.937</w:t>
            </w:r>
          </w:p>
        </w:tc>
        <w:tc>
          <w:tcPr>
            <w:tcW w:w="0" w:type="auto"/>
            <w:tcBorders>
              <w:top w:val="single" w:sz="4" w:space="0" w:color="000000"/>
              <w:bottom w:val="single" w:sz="4" w:space="0" w:color="000000"/>
            </w:tcBorders>
            <w:vAlign w:val="bottom"/>
            <w:hideMark/>
          </w:tcPr>
          <w:p w14:paraId="3B7AB52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-7.915</w:t>
            </w:r>
          </w:p>
        </w:tc>
        <w:tc>
          <w:tcPr>
            <w:tcW w:w="0" w:type="auto"/>
            <w:tcBorders>
              <w:top w:val="single" w:sz="4" w:space="0" w:color="000000"/>
              <w:bottom w:val="single" w:sz="4" w:space="0" w:color="000000"/>
            </w:tcBorders>
            <w:vAlign w:val="bottom"/>
            <w:hideMark/>
          </w:tcPr>
          <w:p w14:paraId="6D835A8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5.390</w:t>
            </w:r>
          </w:p>
        </w:tc>
        <w:tc>
          <w:tcPr>
            <w:tcW w:w="0" w:type="auto"/>
            <w:tcBorders>
              <w:top w:val="single" w:sz="4" w:space="0" w:color="000000"/>
              <w:bottom w:val="single" w:sz="4" w:space="0" w:color="000000"/>
            </w:tcBorders>
            <w:vAlign w:val="bottom"/>
            <w:hideMark/>
          </w:tcPr>
          <w:p w14:paraId="6335A97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-3.365</w:t>
            </w:r>
          </w:p>
        </w:tc>
        <w:tc>
          <w:tcPr>
            <w:tcW w:w="0" w:type="auto"/>
            <w:tcBorders>
              <w:top w:val="single" w:sz="4" w:space="0" w:color="000000"/>
              <w:bottom w:val="single" w:sz="4" w:space="0" w:color="000000"/>
            </w:tcBorders>
            <w:vAlign w:val="bottom"/>
            <w:hideMark/>
          </w:tcPr>
          <w:p w14:paraId="1CB316C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-1.846</w:t>
            </w:r>
          </w:p>
        </w:tc>
        <w:tc>
          <w:tcPr>
            <w:tcW w:w="0" w:type="auto"/>
            <w:tcBorders>
              <w:top w:val="single" w:sz="4" w:space="0" w:color="000000"/>
              <w:bottom w:val="single" w:sz="4" w:space="0" w:color="000000"/>
            </w:tcBorders>
            <w:vAlign w:val="bottom"/>
            <w:hideMark/>
          </w:tcPr>
          <w:p w14:paraId="1D7D438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9957D1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-9.389</w:t>
            </w:r>
          </w:p>
        </w:tc>
        <w:tc>
          <w:tcPr>
            <w:tcW w:w="0" w:type="auto"/>
            <w:tcBorders>
              <w:top w:val="single" w:sz="4" w:space="0" w:color="000000"/>
              <w:bottom w:val="single" w:sz="4" w:space="0" w:color="000000"/>
            </w:tcBorders>
            <w:vAlign w:val="bottom"/>
            <w:hideMark/>
          </w:tcPr>
          <w:p w14:paraId="26EBF74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-3.493</w:t>
            </w:r>
          </w:p>
        </w:tc>
        <w:tc>
          <w:tcPr>
            <w:tcW w:w="0" w:type="auto"/>
            <w:tcBorders>
              <w:top w:val="single" w:sz="4" w:space="0" w:color="000000"/>
              <w:bottom w:val="single" w:sz="4" w:space="0" w:color="000000"/>
            </w:tcBorders>
            <w:vAlign w:val="bottom"/>
            <w:hideMark/>
          </w:tcPr>
          <w:p w14:paraId="457938A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-1.478</w:t>
            </w:r>
          </w:p>
        </w:tc>
      </w:tr>
      <w:tr w:rsidR="00415FAF" w:rsidRPr="00B72A13" w14:paraId="06CEE935" w14:textId="77777777" w:rsidTr="00063BCA">
        <w:trPr>
          <w:trHeight w:val="70"/>
          <w:jc w:val="center"/>
        </w:trPr>
        <w:tc>
          <w:tcPr>
            <w:tcW w:w="0" w:type="auto"/>
            <w:tcBorders>
              <w:top w:val="single" w:sz="4" w:space="0" w:color="000000"/>
              <w:bottom w:val="single" w:sz="4" w:space="0" w:color="000000"/>
            </w:tcBorders>
            <w:vAlign w:val="bottom"/>
            <w:hideMark/>
          </w:tcPr>
          <w:p w14:paraId="0DE3A39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Std. Dev.</w:t>
            </w:r>
          </w:p>
        </w:tc>
        <w:tc>
          <w:tcPr>
            <w:tcW w:w="0" w:type="auto"/>
            <w:tcBorders>
              <w:top w:val="single" w:sz="4" w:space="0" w:color="000000"/>
              <w:bottom w:val="single" w:sz="4" w:space="0" w:color="000000"/>
            </w:tcBorders>
            <w:vAlign w:val="bottom"/>
            <w:hideMark/>
          </w:tcPr>
          <w:p w14:paraId="7106B21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1.798</w:t>
            </w:r>
          </w:p>
        </w:tc>
        <w:tc>
          <w:tcPr>
            <w:tcW w:w="0" w:type="auto"/>
            <w:tcBorders>
              <w:top w:val="single" w:sz="4" w:space="0" w:color="000000"/>
              <w:bottom w:val="single" w:sz="4" w:space="0" w:color="000000"/>
            </w:tcBorders>
            <w:vAlign w:val="bottom"/>
            <w:hideMark/>
          </w:tcPr>
          <w:p w14:paraId="28EBE47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0.926</w:t>
            </w:r>
          </w:p>
        </w:tc>
        <w:tc>
          <w:tcPr>
            <w:tcW w:w="0" w:type="auto"/>
            <w:tcBorders>
              <w:top w:val="single" w:sz="4" w:space="0" w:color="000000"/>
              <w:bottom w:val="single" w:sz="4" w:space="0" w:color="000000"/>
            </w:tcBorders>
            <w:vAlign w:val="bottom"/>
            <w:hideMark/>
          </w:tcPr>
          <w:p w14:paraId="7CA892A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1.323</w:t>
            </w:r>
          </w:p>
        </w:tc>
        <w:tc>
          <w:tcPr>
            <w:tcW w:w="0" w:type="auto"/>
            <w:tcBorders>
              <w:top w:val="single" w:sz="4" w:space="0" w:color="000000"/>
              <w:bottom w:val="single" w:sz="4" w:space="0" w:color="000000"/>
            </w:tcBorders>
            <w:vAlign w:val="bottom"/>
            <w:hideMark/>
          </w:tcPr>
          <w:p w14:paraId="6A0F004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1.343</w:t>
            </w:r>
          </w:p>
        </w:tc>
        <w:tc>
          <w:tcPr>
            <w:tcW w:w="0" w:type="auto"/>
            <w:tcBorders>
              <w:top w:val="single" w:sz="4" w:space="0" w:color="000000"/>
              <w:bottom w:val="single" w:sz="4" w:space="0" w:color="000000"/>
            </w:tcBorders>
            <w:vAlign w:val="bottom"/>
            <w:hideMark/>
          </w:tcPr>
          <w:p w14:paraId="5C8BC96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1.708</w:t>
            </w:r>
          </w:p>
        </w:tc>
        <w:tc>
          <w:tcPr>
            <w:tcW w:w="0" w:type="auto"/>
            <w:tcBorders>
              <w:top w:val="single" w:sz="4" w:space="0" w:color="000000"/>
              <w:bottom w:val="single" w:sz="4" w:space="0" w:color="000000"/>
            </w:tcBorders>
            <w:vAlign w:val="bottom"/>
            <w:hideMark/>
          </w:tcPr>
          <w:p w14:paraId="79BAC4D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1.037</w:t>
            </w:r>
          </w:p>
        </w:tc>
        <w:tc>
          <w:tcPr>
            <w:tcW w:w="0" w:type="auto"/>
            <w:tcBorders>
              <w:top w:val="single" w:sz="4" w:space="0" w:color="000000"/>
              <w:bottom w:val="single" w:sz="4" w:space="0" w:color="000000"/>
            </w:tcBorders>
            <w:vAlign w:val="bottom"/>
            <w:hideMark/>
          </w:tcPr>
          <w:p w14:paraId="0D1F5EE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2.682</w:t>
            </w:r>
          </w:p>
        </w:tc>
        <w:tc>
          <w:tcPr>
            <w:tcW w:w="0" w:type="auto"/>
            <w:tcBorders>
              <w:top w:val="single" w:sz="4" w:space="0" w:color="000000"/>
              <w:bottom w:val="single" w:sz="4" w:space="0" w:color="000000"/>
            </w:tcBorders>
            <w:vAlign w:val="bottom"/>
            <w:hideMark/>
          </w:tcPr>
          <w:p w14:paraId="078981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1.541</w:t>
            </w:r>
          </w:p>
        </w:tc>
        <w:tc>
          <w:tcPr>
            <w:tcW w:w="0" w:type="auto"/>
            <w:tcBorders>
              <w:top w:val="single" w:sz="4" w:space="0" w:color="000000"/>
              <w:bottom w:val="single" w:sz="4" w:space="0" w:color="000000"/>
            </w:tcBorders>
            <w:vAlign w:val="bottom"/>
            <w:hideMark/>
          </w:tcPr>
          <w:p w14:paraId="414123B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1.759</w:t>
            </w:r>
          </w:p>
        </w:tc>
        <w:tc>
          <w:tcPr>
            <w:tcW w:w="0" w:type="auto"/>
            <w:tcBorders>
              <w:top w:val="single" w:sz="4" w:space="0" w:color="000000"/>
              <w:bottom w:val="single" w:sz="4" w:space="0" w:color="000000"/>
            </w:tcBorders>
            <w:vAlign w:val="bottom"/>
            <w:hideMark/>
          </w:tcPr>
          <w:p w14:paraId="7B04EB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0.996</w:t>
            </w:r>
          </w:p>
        </w:tc>
      </w:tr>
      <w:tr w:rsidR="00415FAF" w:rsidRPr="00B72A13" w14:paraId="3BA819C8" w14:textId="77777777" w:rsidTr="00063BCA">
        <w:trPr>
          <w:trHeight w:val="123"/>
          <w:jc w:val="center"/>
        </w:trPr>
        <w:tc>
          <w:tcPr>
            <w:tcW w:w="0" w:type="auto"/>
            <w:tcBorders>
              <w:top w:val="single" w:sz="4" w:space="0" w:color="000000"/>
              <w:bottom w:val="single" w:sz="4" w:space="0" w:color="000000"/>
            </w:tcBorders>
            <w:vAlign w:val="bottom"/>
            <w:hideMark/>
          </w:tcPr>
          <w:p w14:paraId="4AD558B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Skewness</w:t>
            </w:r>
          </w:p>
        </w:tc>
        <w:tc>
          <w:tcPr>
            <w:tcW w:w="0" w:type="auto"/>
            <w:tcBorders>
              <w:top w:val="single" w:sz="4" w:space="0" w:color="000000"/>
              <w:bottom w:val="single" w:sz="4" w:space="0" w:color="000000"/>
            </w:tcBorders>
            <w:vAlign w:val="bottom"/>
            <w:hideMark/>
          </w:tcPr>
          <w:p w14:paraId="75B942B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-0.331</w:t>
            </w:r>
          </w:p>
        </w:tc>
        <w:tc>
          <w:tcPr>
            <w:tcW w:w="0" w:type="auto"/>
            <w:tcBorders>
              <w:top w:val="single" w:sz="4" w:space="0" w:color="000000"/>
              <w:bottom w:val="single" w:sz="4" w:space="0" w:color="000000"/>
            </w:tcBorders>
            <w:vAlign w:val="bottom"/>
            <w:hideMark/>
          </w:tcPr>
          <w:p w14:paraId="5F4239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-0.133</w:t>
            </w:r>
          </w:p>
        </w:tc>
        <w:tc>
          <w:tcPr>
            <w:tcW w:w="0" w:type="auto"/>
            <w:tcBorders>
              <w:top w:val="single" w:sz="4" w:space="0" w:color="000000"/>
              <w:bottom w:val="single" w:sz="4" w:space="0" w:color="000000"/>
            </w:tcBorders>
            <w:vAlign w:val="bottom"/>
            <w:hideMark/>
          </w:tcPr>
          <w:p w14:paraId="0AB16CE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0.244</w:t>
            </w:r>
          </w:p>
        </w:tc>
        <w:tc>
          <w:tcPr>
            <w:tcW w:w="0" w:type="auto"/>
            <w:tcBorders>
              <w:top w:val="single" w:sz="4" w:space="0" w:color="000000"/>
              <w:bottom w:val="single" w:sz="4" w:space="0" w:color="000000"/>
            </w:tcBorders>
            <w:vAlign w:val="bottom"/>
            <w:hideMark/>
          </w:tcPr>
          <w:p w14:paraId="53AADF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-0.116</w:t>
            </w:r>
          </w:p>
        </w:tc>
        <w:tc>
          <w:tcPr>
            <w:tcW w:w="0" w:type="auto"/>
            <w:tcBorders>
              <w:top w:val="single" w:sz="4" w:space="0" w:color="000000"/>
              <w:bottom w:val="single" w:sz="4" w:space="0" w:color="000000"/>
            </w:tcBorders>
            <w:vAlign w:val="bottom"/>
            <w:hideMark/>
          </w:tcPr>
          <w:p w14:paraId="5D3B3A4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0.010</w:t>
            </w:r>
          </w:p>
        </w:tc>
        <w:tc>
          <w:tcPr>
            <w:tcW w:w="0" w:type="auto"/>
            <w:tcBorders>
              <w:top w:val="single" w:sz="4" w:space="0" w:color="000000"/>
              <w:bottom w:val="single" w:sz="4" w:space="0" w:color="000000"/>
            </w:tcBorders>
            <w:vAlign w:val="bottom"/>
            <w:hideMark/>
          </w:tcPr>
          <w:p w14:paraId="44389A9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0.859</w:t>
            </w:r>
          </w:p>
        </w:tc>
        <w:tc>
          <w:tcPr>
            <w:tcW w:w="0" w:type="auto"/>
            <w:tcBorders>
              <w:top w:val="single" w:sz="4" w:space="0" w:color="000000"/>
              <w:bottom w:val="single" w:sz="4" w:space="0" w:color="000000"/>
            </w:tcBorders>
            <w:vAlign w:val="bottom"/>
            <w:hideMark/>
          </w:tcPr>
          <w:p w14:paraId="4A8FDEB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-1.221</w:t>
            </w:r>
          </w:p>
        </w:tc>
        <w:tc>
          <w:tcPr>
            <w:tcW w:w="0" w:type="auto"/>
            <w:tcBorders>
              <w:top w:val="single" w:sz="4" w:space="0" w:color="000000"/>
              <w:bottom w:val="single" w:sz="4" w:space="0" w:color="000000"/>
            </w:tcBorders>
            <w:vAlign w:val="bottom"/>
            <w:hideMark/>
          </w:tcPr>
          <w:p w14:paraId="0C60B5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-0.389</w:t>
            </w:r>
          </w:p>
        </w:tc>
        <w:tc>
          <w:tcPr>
            <w:tcW w:w="0" w:type="auto"/>
            <w:tcBorders>
              <w:top w:val="single" w:sz="4" w:space="0" w:color="000000"/>
              <w:bottom w:val="single" w:sz="4" w:space="0" w:color="000000"/>
            </w:tcBorders>
            <w:vAlign w:val="bottom"/>
            <w:hideMark/>
          </w:tcPr>
          <w:p w14:paraId="751FDC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0.172</w:t>
            </w:r>
          </w:p>
        </w:tc>
        <w:tc>
          <w:tcPr>
            <w:tcW w:w="0" w:type="auto"/>
            <w:tcBorders>
              <w:top w:val="single" w:sz="4" w:space="0" w:color="000000"/>
              <w:bottom w:val="single" w:sz="4" w:space="0" w:color="000000"/>
            </w:tcBorders>
            <w:vAlign w:val="bottom"/>
            <w:hideMark/>
          </w:tcPr>
          <w:p w14:paraId="62503F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0.971</w:t>
            </w:r>
          </w:p>
        </w:tc>
      </w:tr>
      <w:tr w:rsidR="00415FAF" w:rsidRPr="00B72A13" w14:paraId="0A69B2FB" w14:textId="77777777" w:rsidTr="00063BCA">
        <w:trPr>
          <w:trHeight w:val="70"/>
          <w:jc w:val="center"/>
        </w:trPr>
        <w:tc>
          <w:tcPr>
            <w:tcW w:w="0" w:type="auto"/>
            <w:tcBorders>
              <w:top w:val="single" w:sz="4" w:space="0" w:color="000000"/>
              <w:bottom w:val="single" w:sz="4" w:space="0" w:color="000000"/>
            </w:tcBorders>
            <w:vAlign w:val="bottom"/>
            <w:hideMark/>
          </w:tcPr>
          <w:p w14:paraId="3AF1D52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Kurtosis</w:t>
            </w:r>
          </w:p>
        </w:tc>
        <w:tc>
          <w:tcPr>
            <w:tcW w:w="0" w:type="auto"/>
            <w:tcBorders>
              <w:top w:val="single" w:sz="4" w:space="0" w:color="000000"/>
              <w:bottom w:val="single" w:sz="4" w:space="0" w:color="000000"/>
            </w:tcBorders>
            <w:vAlign w:val="bottom"/>
            <w:hideMark/>
          </w:tcPr>
          <w:p w14:paraId="6A8A847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2.060</w:t>
            </w:r>
          </w:p>
        </w:tc>
        <w:tc>
          <w:tcPr>
            <w:tcW w:w="0" w:type="auto"/>
            <w:tcBorders>
              <w:top w:val="single" w:sz="4" w:space="0" w:color="000000"/>
              <w:bottom w:val="single" w:sz="4" w:space="0" w:color="000000"/>
            </w:tcBorders>
            <w:vAlign w:val="bottom"/>
            <w:hideMark/>
          </w:tcPr>
          <w:p w14:paraId="5F09BB6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7.226</w:t>
            </w:r>
          </w:p>
        </w:tc>
        <w:tc>
          <w:tcPr>
            <w:tcW w:w="0" w:type="auto"/>
            <w:tcBorders>
              <w:top w:val="single" w:sz="4" w:space="0" w:color="000000"/>
              <w:bottom w:val="single" w:sz="4" w:space="0" w:color="000000"/>
            </w:tcBorders>
            <w:vAlign w:val="bottom"/>
            <w:hideMark/>
          </w:tcPr>
          <w:p w14:paraId="1366376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2.083</w:t>
            </w:r>
          </w:p>
        </w:tc>
        <w:tc>
          <w:tcPr>
            <w:tcW w:w="0" w:type="auto"/>
            <w:tcBorders>
              <w:top w:val="single" w:sz="4" w:space="0" w:color="000000"/>
              <w:bottom w:val="single" w:sz="4" w:space="0" w:color="000000"/>
            </w:tcBorders>
            <w:vAlign w:val="bottom"/>
            <w:hideMark/>
          </w:tcPr>
          <w:p w14:paraId="536848F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2.445</w:t>
            </w:r>
          </w:p>
        </w:tc>
        <w:tc>
          <w:tcPr>
            <w:tcW w:w="0" w:type="auto"/>
            <w:tcBorders>
              <w:top w:val="single" w:sz="4" w:space="0" w:color="000000"/>
              <w:bottom w:val="single" w:sz="4" w:space="0" w:color="000000"/>
            </w:tcBorders>
            <w:vAlign w:val="bottom"/>
            <w:hideMark/>
          </w:tcPr>
          <w:p w14:paraId="62C4818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3.984</w:t>
            </w:r>
          </w:p>
        </w:tc>
        <w:tc>
          <w:tcPr>
            <w:tcW w:w="0" w:type="auto"/>
            <w:tcBorders>
              <w:top w:val="single" w:sz="4" w:space="0" w:color="000000"/>
              <w:bottom w:val="single" w:sz="4" w:space="0" w:color="000000"/>
            </w:tcBorders>
            <w:vAlign w:val="bottom"/>
            <w:hideMark/>
          </w:tcPr>
          <w:p w14:paraId="27A8ED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5.123</w:t>
            </w:r>
          </w:p>
        </w:tc>
        <w:tc>
          <w:tcPr>
            <w:tcW w:w="0" w:type="auto"/>
            <w:tcBorders>
              <w:top w:val="single" w:sz="4" w:space="0" w:color="000000"/>
              <w:bottom w:val="single" w:sz="4" w:space="0" w:color="000000"/>
            </w:tcBorders>
            <w:vAlign w:val="bottom"/>
            <w:hideMark/>
          </w:tcPr>
          <w:p w14:paraId="16B7DD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4.093</w:t>
            </w:r>
          </w:p>
        </w:tc>
        <w:tc>
          <w:tcPr>
            <w:tcW w:w="0" w:type="auto"/>
            <w:tcBorders>
              <w:top w:val="single" w:sz="4" w:space="0" w:color="000000"/>
              <w:bottom w:val="single" w:sz="4" w:space="0" w:color="000000"/>
            </w:tcBorders>
            <w:vAlign w:val="bottom"/>
            <w:hideMark/>
          </w:tcPr>
          <w:p w14:paraId="26BF96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2.294</w:t>
            </w:r>
          </w:p>
        </w:tc>
        <w:tc>
          <w:tcPr>
            <w:tcW w:w="0" w:type="auto"/>
            <w:tcBorders>
              <w:top w:val="single" w:sz="4" w:space="0" w:color="000000"/>
              <w:bottom w:val="single" w:sz="4" w:space="0" w:color="000000"/>
            </w:tcBorders>
            <w:vAlign w:val="bottom"/>
            <w:hideMark/>
          </w:tcPr>
          <w:p w14:paraId="1F0A15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2.769</w:t>
            </w:r>
          </w:p>
        </w:tc>
        <w:tc>
          <w:tcPr>
            <w:tcW w:w="0" w:type="auto"/>
            <w:tcBorders>
              <w:top w:val="single" w:sz="4" w:space="0" w:color="000000"/>
              <w:bottom w:val="single" w:sz="4" w:space="0" w:color="000000"/>
            </w:tcBorders>
            <w:vAlign w:val="bottom"/>
            <w:hideMark/>
          </w:tcPr>
          <w:p w14:paraId="60DC9C6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7.732</w:t>
            </w:r>
          </w:p>
        </w:tc>
      </w:tr>
      <w:tr w:rsidR="00415FAF" w:rsidRPr="00B72A13" w14:paraId="0F170F1C" w14:textId="77777777" w:rsidTr="00063BCA">
        <w:trPr>
          <w:trHeight w:val="70"/>
          <w:jc w:val="center"/>
        </w:trPr>
        <w:tc>
          <w:tcPr>
            <w:tcW w:w="0" w:type="auto"/>
            <w:tcBorders>
              <w:top w:val="single" w:sz="4" w:space="0" w:color="000000"/>
              <w:bottom w:val="single" w:sz="4" w:space="0" w:color="000000"/>
            </w:tcBorders>
            <w:vAlign w:val="bottom"/>
            <w:hideMark/>
          </w:tcPr>
          <w:p w14:paraId="1403EF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Jarque-Bera</w:t>
            </w:r>
          </w:p>
        </w:tc>
        <w:tc>
          <w:tcPr>
            <w:tcW w:w="0" w:type="auto"/>
            <w:tcBorders>
              <w:top w:val="single" w:sz="4" w:space="0" w:color="000000"/>
              <w:bottom w:val="single" w:sz="4" w:space="0" w:color="000000"/>
            </w:tcBorders>
            <w:vAlign w:val="bottom"/>
            <w:hideMark/>
          </w:tcPr>
          <w:p w14:paraId="75FC2AD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50.208</w:t>
            </w:r>
          </w:p>
        </w:tc>
        <w:tc>
          <w:tcPr>
            <w:tcW w:w="0" w:type="auto"/>
            <w:tcBorders>
              <w:top w:val="single" w:sz="4" w:space="0" w:color="000000"/>
              <w:bottom w:val="single" w:sz="4" w:space="0" w:color="000000"/>
            </w:tcBorders>
            <w:vAlign w:val="bottom"/>
            <w:hideMark/>
          </w:tcPr>
          <w:p w14:paraId="6604D7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666.365</w:t>
            </w:r>
          </w:p>
        </w:tc>
        <w:tc>
          <w:tcPr>
            <w:tcW w:w="0" w:type="auto"/>
            <w:tcBorders>
              <w:top w:val="single" w:sz="4" w:space="0" w:color="000000"/>
              <w:bottom w:val="single" w:sz="4" w:space="0" w:color="000000"/>
            </w:tcBorders>
            <w:vAlign w:val="bottom"/>
            <w:hideMark/>
          </w:tcPr>
          <w:p w14:paraId="62C439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41.787</w:t>
            </w:r>
          </w:p>
        </w:tc>
        <w:tc>
          <w:tcPr>
            <w:tcW w:w="0" w:type="auto"/>
            <w:tcBorders>
              <w:top w:val="single" w:sz="4" w:space="0" w:color="000000"/>
              <w:bottom w:val="single" w:sz="4" w:space="0" w:color="000000"/>
            </w:tcBorders>
            <w:vAlign w:val="bottom"/>
            <w:hideMark/>
          </w:tcPr>
          <w:p w14:paraId="1CED3A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11.747</w:t>
            </w:r>
          </w:p>
        </w:tc>
        <w:tc>
          <w:tcPr>
            <w:tcW w:w="0" w:type="auto"/>
            <w:tcBorders>
              <w:top w:val="single" w:sz="4" w:space="0" w:color="000000"/>
              <w:bottom w:val="single" w:sz="4" w:space="0" w:color="000000"/>
            </w:tcBorders>
            <w:vAlign w:val="bottom"/>
            <w:hideMark/>
          </w:tcPr>
          <w:p w14:paraId="53DF22C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36.792</w:t>
            </w:r>
          </w:p>
        </w:tc>
        <w:tc>
          <w:tcPr>
            <w:tcW w:w="0" w:type="auto"/>
            <w:tcBorders>
              <w:top w:val="single" w:sz="4" w:space="0" w:color="000000"/>
              <w:bottom w:val="single" w:sz="4" w:space="0" w:color="000000"/>
            </w:tcBorders>
            <w:vAlign w:val="bottom"/>
            <w:hideMark/>
          </w:tcPr>
          <w:p w14:paraId="3245FB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278.271</w:t>
            </w:r>
          </w:p>
        </w:tc>
        <w:tc>
          <w:tcPr>
            <w:tcW w:w="0" w:type="auto"/>
            <w:tcBorders>
              <w:top w:val="single" w:sz="4" w:space="0" w:color="000000"/>
              <w:bottom w:val="single" w:sz="4" w:space="0" w:color="000000"/>
            </w:tcBorders>
            <w:vAlign w:val="bottom"/>
            <w:hideMark/>
          </w:tcPr>
          <w:p w14:paraId="41BF8B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272.713</w:t>
            </w:r>
          </w:p>
        </w:tc>
        <w:tc>
          <w:tcPr>
            <w:tcW w:w="0" w:type="auto"/>
            <w:tcBorders>
              <w:top w:val="single" w:sz="4" w:space="0" w:color="000000"/>
              <w:bottom w:val="single" w:sz="4" w:space="0" w:color="000000"/>
            </w:tcBorders>
            <w:vAlign w:val="bottom"/>
            <w:hideMark/>
          </w:tcPr>
          <w:p w14:paraId="6C45A9A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42.788</w:t>
            </w:r>
          </w:p>
        </w:tc>
        <w:tc>
          <w:tcPr>
            <w:tcW w:w="0" w:type="auto"/>
            <w:tcBorders>
              <w:top w:val="single" w:sz="4" w:space="0" w:color="000000"/>
              <w:bottom w:val="single" w:sz="4" w:space="0" w:color="000000"/>
            </w:tcBorders>
            <w:vAlign w:val="bottom"/>
            <w:hideMark/>
          </w:tcPr>
          <w:p w14:paraId="4789DC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6.575</w:t>
            </w:r>
          </w:p>
        </w:tc>
        <w:tc>
          <w:tcPr>
            <w:tcW w:w="0" w:type="auto"/>
            <w:tcBorders>
              <w:top w:val="single" w:sz="4" w:space="0" w:color="000000"/>
              <w:bottom w:val="single" w:sz="4" w:space="0" w:color="000000"/>
            </w:tcBorders>
            <w:vAlign w:val="bottom"/>
            <w:hideMark/>
          </w:tcPr>
          <w:p w14:paraId="0EDB53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975.866</w:t>
            </w:r>
          </w:p>
        </w:tc>
      </w:tr>
      <w:tr w:rsidR="00415FAF" w:rsidRPr="00B72A13" w14:paraId="01CE3633" w14:textId="77777777" w:rsidTr="00063BCA">
        <w:trPr>
          <w:trHeight w:val="131"/>
          <w:jc w:val="center"/>
        </w:trPr>
        <w:tc>
          <w:tcPr>
            <w:tcW w:w="0" w:type="auto"/>
            <w:tcBorders>
              <w:top w:val="single" w:sz="4" w:space="0" w:color="000000"/>
              <w:bottom w:val="single" w:sz="4" w:space="0" w:color="000000"/>
            </w:tcBorders>
            <w:vAlign w:val="bottom"/>
            <w:hideMark/>
          </w:tcPr>
          <w:p w14:paraId="02AB54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Probability</w:t>
            </w:r>
          </w:p>
        </w:tc>
        <w:tc>
          <w:tcPr>
            <w:tcW w:w="0" w:type="auto"/>
            <w:tcBorders>
              <w:top w:val="single" w:sz="4" w:space="0" w:color="000000"/>
              <w:bottom w:val="single" w:sz="4" w:space="0" w:color="000000"/>
            </w:tcBorders>
            <w:vAlign w:val="bottom"/>
            <w:hideMark/>
          </w:tcPr>
          <w:p w14:paraId="01DF30B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A5C32E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E1973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169035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0.003</w:t>
            </w:r>
          </w:p>
        </w:tc>
        <w:tc>
          <w:tcPr>
            <w:tcW w:w="0" w:type="auto"/>
            <w:tcBorders>
              <w:top w:val="single" w:sz="4" w:space="0" w:color="000000"/>
              <w:bottom w:val="single" w:sz="4" w:space="0" w:color="000000"/>
            </w:tcBorders>
            <w:vAlign w:val="bottom"/>
            <w:hideMark/>
          </w:tcPr>
          <w:p w14:paraId="14B163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743EBDC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260476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144E972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0.0000</w:t>
            </w:r>
          </w:p>
        </w:tc>
        <w:tc>
          <w:tcPr>
            <w:tcW w:w="0" w:type="auto"/>
            <w:tcBorders>
              <w:top w:val="single" w:sz="4" w:space="0" w:color="000000"/>
              <w:bottom w:val="single" w:sz="4" w:space="0" w:color="000000"/>
            </w:tcBorders>
            <w:vAlign w:val="bottom"/>
            <w:hideMark/>
          </w:tcPr>
          <w:p w14:paraId="26087BB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0.037</w:t>
            </w:r>
          </w:p>
        </w:tc>
        <w:tc>
          <w:tcPr>
            <w:tcW w:w="0" w:type="auto"/>
            <w:tcBorders>
              <w:top w:val="single" w:sz="4" w:space="0" w:color="000000"/>
              <w:bottom w:val="single" w:sz="4" w:space="0" w:color="000000"/>
            </w:tcBorders>
            <w:vAlign w:val="bottom"/>
            <w:hideMark/>
          </w:tcPr>
          <w:p w14:paraId="2E800F0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r>
      <w:tr w:rsidR="00415FAF" w:rsidRPr="00B72A13" w14:paraId="704771EB" w14:textId="77777777" w:rsidTr="00063BCA">
        <w:trPr>
          <w:trHeight w:val="199"/>
          <w:jc w:val="center"/>
        </w:trPr>
        <w:tc>
          <w:tcPr>
            <w:tcW w:w="0" w:type="auto"/>
            <w:tcBorders>
              <w:top w:val="single" w:sz="4" w:space="0" w:color="000000"/>
              <w:bottom w:val="single" w:sz="4" w:space="0" w:color="000000"/>
            </w:tcBorders>
            <w:vAlign w:val="bottom"/>
            <w:hideMark/>
          </w:tcPr>
          <w:p w14:paraId="5F01F92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hideMark/>
          </w:tcPr>
          <w:p w14:paraId="69C0109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0849E71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632727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85CDE7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DCE984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9B3AB1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CB8458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45075F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CAF68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E60527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542B3315" w14:textId="77777777" w:rsidTr="00063BCA">
        <w:trPr>
          <w:trHeight w:val="131"/>
          <w:jc w:val="center"/>
        </w:trPr>
        <w:tc>
          <w:tcPr>
            <w:tcW w:w="0" w:type="auto"/>
            <w:tcBorders>
              <w:top w:val="single" w:sz="4" w:space="0" w:color="000000"/>
              <w:bottom w:val="single" w:sz="4" w:space="0" w:color="000000"/>
            </w:tcBorders>
            <w:vAlign w:val="bottom"/>
            <w:hideMark/>
          </w:tcPr>
          <w:p w14:paraId="7FEA3F6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hideMark/>
          </w:tcPr>
          <w:p w14:paraId="588F362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0.201</w:t>
            </w:r>
          </w:p>
        </w:tc>
        <w:tc>
          <w:tcPr>
            <w:tcW w:w="0" w:type="auto"/>
            <w:tcBorders>
              <w:top w:val="single" w:sz="4" w:space="0" w:color="000000"/>
              <w:bottom w:val="single" w:sz="4" w:space="0" w:color="000000"/>
            </w:tcBorders>
            <w:vAlign w:val="bottom"/>
            <w:hideMark/>
          </w:tcPr>
          <w:p w14:paraId="091D20A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3D7A802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F926D8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F815B7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09FBD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B2751F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E8116D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95574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E59555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2FC8D84B" w14:textId="77777777" w:rsidTr="00063BCA">
        <w:trPr>
          <w:trHeight w:val="78"/>
          <w:jc w:val="center"/>
        </w:trPr>
        <w:tc>
          <w:tcPr>
            <w:tcW w:w="0" w:type="auto"/>
            <w:tcBorders>
              <w:top w:val="single" w:sz="4" w:space="0" w:color="000000"/>
              <w:bottom w:val="single" w:sz="4" w:space="0" w:color="000000"/>
            </w:tcBorders>
            <w:vAlign w:val="bottom"/>
            <w:hideMark/>
          </w:tcPr>
          <w:p w14:paraId="185395F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hideMark/>
          </w:tcPr>
          <w:p w14:paraId="59AD807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0.773</w:t>
            </w:r>
          </w:p>
        </w:tc>
        <w:tc>
          <w:tcPr>
            <w:tcW w:w="0" w:type="auto"/>
            <w:tcBorders>
              <w:top w:val="single" w:sz="4" w:space="0" w:color="000000"/>
              <w:bottom w:val="single" w:sz="4" w:space="0" w:color="000000"/>
            </w:tcBorders>
            <w:vAlign w:val="bottom"/>
            <w:hideMark/>
          </w:tcPr>
          <w:p w14:paraId="702758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-0.354</w:t>
            </w:r>
          </w:p>
        </w:tc>
        <w:tc>
          <w:tcPr>
            <w:tcW w:w="0" w:type="auto"/>
            <w:tcBorders>
              <w:top w:val="single" w:sz="4" w:space="0" w:color="000000"/>
              <w:bottom w:val="single" w:sz="4" w:space="0" w:color="000000"/>
            </w:tcBorders>
            <w:vAlign w:val="bottom"/>
            <w:hideMark/>
          </w:tcPr>
          <w:p w14:paraId="307975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3EAD84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1B28B9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59A273D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8426089"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57E3D6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706D69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C63127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97E1DEE" w14:textId="77777777" w:rsidTr="00063BCA">
        <w:trPr>
          <w:trHeight w:val="165"/>
          <w:jc w:val="center"/>
        </w:trPr>
        <w:tc>
          <w:tcPr>
            <w:tcW w:w="0" w:type="auto"/>
            <w:tcBorders>
              <w:top w:val="single" w:sz="4" w:space="0" w:color="000000"/>
              <w:bottom w:val="single" w:sz="4" w:space="0" w:color="000000"/>
            </w:tcBorders>
            <w:vAlign w:val="bottom"/>
            <w:hideMark/>
          </w:tcPr>
          <w:p w14:paraId="471E86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hideMark/>
          </w:tcPr>
          <w:p w14:paraId="79169FA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0.994</w:t>
            </w:r>
          </w:p>
        </w:tc>
        <w:tc>
          <w:tcPr>
            <w:tcW w:w="0" w:type="auto"/>
            <w:tcBorders>
              <w:top w:val="single" w:sz="4" w:space="0" w:color="000000"/>
              <w:bottom w:val="single" w:sz="4" w:space="0" w:color="000000"/>
            </w:tcBorders>
            <w:vAlign w:val="bottom"/>
            <w:hideMark/>
          </w:tcPr>
          <w:p w14:paraId="73F827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0.819</w:t>
            </w:r>
          </w:p>
        </w:tc>
        <w:tc>
          <w:tcPr>
            <w:tcW w:w="0" w:type="auto"/>
            <w:tcBorders>
              <w:top w:val="single" w:sz="4" w:space="0" w:color="000000"/>
              <w:bottom w:val="single" w:sz="4" w:space="0" w:color="000000"/>
            </w:tcBorders>
            <w:vAlign w:val="bottom"/>
            <w:hideMark/>
          </w:tcPr>
          <w:p w14:paraId="121CDF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0.567</w:t>
            </w:r>
          </w:p>
        </w:tc>
        <w:tc>
          <w:tcPr>
            <w:tcW w:w="0" w:type="auto"/>
            <w:tcBorders>
              <w:top w:val="single" w:sz="4" w:space="0" w:color="000000"/>
              <w:bottom w:val="single" w:sz="4" w:space="0" w:color="000000"/>
            </w:tcBorders>
            <w:vAlign w:val="bottom"/>
            <w:hideMark/>
          </w:tcPr>
          <w:p w14:paraId="78BA42C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1CA18CF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CAA899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56C80B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E924B2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595E1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87AC90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11A4D5D" w14:textId="77777777" w:rsidTr="00063BCA">
        <w:trPr>
          <w:trHeight w:val="111"/>
          <w:jc w:val="center"/>
        </w:trPr>
        <w:tc>
          <w:tcPr>
            <w:tcW w:w="0" w:type="auto"/>
            <w:tcBorders>
              <w:top w:val="single" w:sz="4" w:space="0" w:color="000000"/>
              <w:bottom w:val="single" w:sz="4" w:space="0" w:color="000000"/>
            </w:tcBorders>
            <w:vAlign w:val="bottom"/>
            <w:hideMark/>
          </w:tcPr>
          <w:p w14:paraId="364F02E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hideMark/>
          </w:tcPr>
          <w:p w14:paraId="102E86A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0.757</w:t>
            </w:r>
          </w:p>
        </w:tc>
        <w:tc>
          <w:tcPr>
            <w:tcW w:w="0" w:type="auto"/>
            <w:tcBorders>
              <w:top w:val="single" w:sz="4" w:space="0" w:color="000000"/>
              <w:bottom w:val="single" w:sz="4" w:space="0" w:color="000000"/>
            </w:tcBorders>
            <w:vAlign w:val="bottom"/>
            <w:hideMark/>
          </w:tcPr>
          <w:p w14:paraId="63EF588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0.471</w:t>
            </w:r>
          </w:p>
        </w:tc>
        <w:tc>
          <w:tcPr>
            <w:tcW w:w="0" w:type="auto"/>
            <w:tcBorders>
              <w:top w:val="single" w:sz="4" w:space="0" w:color="000000"/>
              <w:bottom w:val="single" w:sz="4" w:space="0" w:color="000000"/>
            </w:tcBorders>
            <w:vAlign w:val="bottom"/>
            <w:hideMark/>
          </w:tcPr>
          <w:p w14:paraId="702419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-0.017</w:t>
            </w:r>
          </w:p>
        </w:tc>
        <w:tc>
          <w:tcPr>
            <w:tcW w:w="0" w:type="auto"/>
            <w:tcBorders>
              <w:top w:val="single" w:sz="4" w:space="0" w:color="000000"/>
              <w:bottom w:val="single" w:sz="4" w:space="0" w:color="000000"/>
            </w:tcBorders>
            <w:vAlign w:val="bottom"/>
            <w:hideMark/>
          </w:tcPr>
          <w:p w14:paraId="3403354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hideMark/>
          </w:tcPr>
          <w:p w14:paraId="7A1F7D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25168F4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84238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15513B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7E159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5B24E2B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04DE0332" w14:textId="77777777" w:rsidTr="00063BCA">
        <w:trPr>
          <w:trHeight w:val="70"/>
          <w:jc w:val="center"/>
        </w:trPr>
        <w:tc>
          <w:tcPr>
            <w:tcW w:w="0" w:type="auto"/>
            <w:tcBorders>
              <w:top w:val="single" w:sz="4" w:space="0" w:color="000000"/>
              <w:bottom w:val="single" w:sz="4" w:space="0" w:color="000000"/>
            </w:tcBorders>
            <w:vAlign w:val="bottom"/>
            <w:hideMark/>
          </w:tcPr>
          <w:p w14:paraId="5916BC2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hideMark/>
          </w:tcPr>
          <w:p w14:paraId="583E10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0.473</w:t>
            </w:r>
          </w:p>
        </w:tc>
        <w:tc>
          <w:tcPr>
            <w:tcW w:w="0" w:type="auto"/>
            <w:tcBorders>
              <w:top w:val="single" w:sz="4" w:space="0" w:color="000000"/>
              <w:bottom w:val="single" w:sz="4" w:space="0" w:color="000000"/>
            </w:tcBorders>
            <w:vAlign w:val="bottom"/>
            <w:hideMark/>
          </w:tcPr>
          <w:p w14:paraId="601BE9E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0.012</w:t>
            </w:r>
          </w:p>
        </w:tc>
        <w:tc>
          <w:tcPr>
            <w:tcW w:w="0" w:type="auto"/>
            <w:tcBorders>
              <w:top w:val="single" w:sz="4" w:space="0" w:color="000000"/>
              <w:bottom w:val="single" w:sz="4" w:space="0" w:color="000000"/>
            </w:tcBorders>
            <w:vAlign w:val="bottom"/>
            <w:hideMark/>
          </w:tcPr>
          <w:p w14:paraId="29E9174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0.115</w:t>
            </w:r>
          </w:p>
        </w:tc>
        <w:tc>
          <w:tcPr>
            <w:tcW w:w="0" w:type="auto"/>
            <w:tcBorders>
              <w:top w:val="single" w:sz="4" w:space="0" w:color="000000"/>
              <w:bottom w:val="single" w:sz="4" w:space="0" w:color="000000"/>
            </w:tcBorders>
            <w:vAlign w:val="bottom"/>
            <w:hideMark/>
          </w:tcPr>
          <w:p w14:paraId="6E2F39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0.022</w:t>
            </w:r>
          </w:p>
        </w:tc>
        <w:tc>
          <w:tcPr>
            <w:tcW w:w="0" w:type="auto"/>
            <w:tcBorders>
              <w:top w:val="single" w:sz="4" w:space="0" w:color="000000"/>
              <w:bottom w:val="single" w:sz="4" w:space="0" w:color="000000"/>
            </w:tcBorders>
            <w:vAlign w:val="bottom"/>
            <w:hideMark/>
          </w:tcPr>
          <w:p w14:paraId="24C1292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-0.008</w:t>
            </w:r>
          </w:p>
        </w:tc>
        <w:tc>
          <w:tcPr>
            <w:tcW w:w="0" w:type="auto"/>
            <w:tcBorders>
              <w:top w:val="single" w:sz="4" w:space="0" w:color="000000"/>
              <w:bottom w:val="single" w:sz="4" w:space="0" w:color="000000"/>
            </w:tcBorders>
            <w:vAlign w:val="bottom"/>
            <w:hideMark/>
          </w:tcPr>
          <w:p w14:paraId="21557C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7996D2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3FCF87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AD3ABE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57717E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182A1380" w14:textId="77777777" w:rsidTr="00063BCA">
        <w:trPr>
          <w:trHeight w:val="145"/>
          <w:jc w:val="center"/>
        </w:trPr>
        <w:tc>
          <w:tcPr>
            <w:tcW w:w="0" w:type="auto"/>
            <w:tcBorders>
              <w:top w:val="single" w:sz="4" w:space="0" w:color="000000"/>
              <w:bottom w:val="single" w:sz="4" w:space="0" w:color="000000"/>
            </w:tcBorders>
            <w:vAlign w:val="bottom"/>
            <w:hideMark/>
          </w:tcPr>
          <w:p w14:paraId="542D40B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hideMark/>
          </w:tcPr>
          <w:p w14:paraId="6717DAF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0.441</w:t>
            </w:r>
          </w:p>
        </w:tc>
        <w:tc>
          <w:tcPr>
            <w:tcW w:w="0" w:type="auto"/>
            <w:tcBorders>
              <w:top w:val="single" w:sz="4" w:space="0" w:color="000000"/>
              <w:bottom w:val="single" w:sz="4" w:space="0" w:color="000000"/>
            </w:tcBorders>
            <w:vAlign w:val="bottom"/>
            <w:hideMark/>
          </w:tcPr>
          <w:p w14:paraId="1937D13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0.150</w:t>
            </w:r>
          </w:p>
        </w:tc>
        <w:tc>
          <w:tcPr>
            <w:tcW w:w="0" w:type="auto"/>
            <w:tcBorders>
              <w:top w:val="single" w:sz="4" w:space="0" w:color="000000"/>
              <w:bottom w:val="single" w:sz="4" w:space="0" w:color="000000"/>
            </w:tcBorders>
            <w:vAlign w:val="bottom"/>
            <w:hideMark/>
          </w:tcPr>
          <w:p w14:paraId="0D6291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0.293</w:t>
            </w:r>
          </w:p>
        </w:tc>
        <w:tc>
          <w:tcPr>
            <w:tcW w:w="0" w:type="auto"/>
            <w:tcBorders>
              <w:top w:val="single" w:sz="4" w:space="0" w:color="000000"/>
              <w:bottom w:val="single" w:sz="4" w:space="0" w:color="000000"/>
            </w:tcBorders>
            <w:vAlign w:val="bottom"/>
            <w:hideMark/>
          </w:tcPr>
          <w:p w14:paraId="196D6B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0.178</w:t>
            </w:r>
          </w:p>
        </w:tc>
        <w:tc>
          <w:tcPr>
            <w:tcW w:w="0" w:type="auto"/>
            <w:tcBorders>
              <w:top w:val="single" w:sz="4" w:space="0" w:color="000000"/>
              <w:bottom w:val="single" w:sz="4" w:space="0" w:color="000000"/>
            </w:tcBorders>
            <w:vAlign w:val="bottom"/>
            <w:hideMark/>
          </w:tcPr>
          <w:p w14:paraId="15C0F0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0.001</w:t>
            </w:r>
          </w:p>
        </w:tc>
        <w:tc>
          <w:tcPr>
            <w:tcW w:w="0" w:type="auto"/>
            <w:tcBorders>
              <w:top w:val="single" w:sz="4" w:space="0" w:color="000000"/>
              <w:bottom w:val="single" w:sz="4" w:space="0" w:color="000000"/>
            </w:tcBorders>
            <w:vAlign w:val="bottom"/>
            <w:hideMark/>
          </w:tcPr>
          <w:p w14:paraId="25E0CF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0.004</w:t>
            </w:r>
          </w:p>
        </w:tc>
        <w:tc>
          <w:tcPr>
            <w:tcW w:w="0" w:type="auto"/>
            <w:tcBorders>
              <w:top w:val="single" w:sz="4" w:space="0" w:color="000000"/>
              <w:bottom w:val="single" w:sz="4" w:space="0" w:color="000000"/>
            </w:tcBorders>
            <w:vAlign w:val="bottom"/>
            <w:hideMark/>
          </w:tcPr>
          <w:p w14:paraId="3C94250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1A5CACF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065825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146E77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68AA3178" w14:textId="77777777" w:rsidTr="00063BCA">
        <w:trPr>
          <w:trHeight w:val="91"/>
          <w:jc w:val="center"/>
        </w:trPr>
        <w:tc>
          <w:tcPr>
            <w:tcW w:w="0" w:type="auto"/>
            <w:tcBorders>
              <w:top w:val="single" w:sz="4" w:space="0" w:color="000000"/>
              <w:bottom w:val="single" w:sz="4" w:space="0" w:color="000000"/>
            </w:tcBorders>
            <w:vAlign w:val="bottom"/>
            <w:hideMark/>
          </w:tcPr>
          <w:p w14:paraId="213ADE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hideMark/>
          </w:tcPr>
          <w:p w14:paraId="6A75F6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0.670</w:t>
            </w:r>
          </w:p>
        </w:tc>
        <w:tc>
          <w:tcPr>
            <w:tcW w:w="0" w:type="auto"/>
            <w:tcBorders>
              <w:top w:val="single" w:sz="4" w:space="0" w:color="000000"/>
              <w:bottom w:val="single" w:sz="4" w:space="0" w:color="000000"/>
            </w:tcBorders>
            <w:vAlign w:val="bottom"/>
            <w:hideMark/>
          </w:tcPr>
          <w:p w14:paraId="4A8CDDE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0.080</w:t>
            </w:r>
          </w:p>
        </w:tc>
        <w:tc>
          <w:tcPr>
            <w:tcW w:w="0" w:type="auto"/>
            <w:tcBorders>
              <w:top w:val="single" w:sz="4" w:space="0" w:color="000000"/>
              <w:bottom w:val="single" w:sz="4" w:space="0" w:color="000000"/>
            </w:tcBorders>
            <w:vAlign w:val="bottom"/>
            <w:hideMark/>
          </w:tcPr>
          <w:p w14:paraId="192AE0D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0.207</w:t>
            </w:r>
          </w:p>
        </w:tc>
        <w:tc>
          <w:tcPr>
            <w:tcW w:w="0" w:type="auto"/>
            <w:tcBorders>
              <w:top w:val="single" w:sz="4" w:space="0" w:color="000000"/>
              <w:bottom w:val="single" w:sz="4" w:space="0" w:color="000000"/>
            </w:tcBorders>
            <w:vAlign w:val="bottom"/>
            <w:hideMark/>
          </w:tcPr>
          <w:p w14:paraId="1D0112E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0.258</w:t>
            </w:r>
          </w:p>
        </w:tc>
        <w:tc>
          <w:tcPr>
            <w:tcW w:w="0" w:type="auto"/>
            <w:tcBorders>
              <w:top w:val="single" w:sz="4" w:space="0" w:color="000000"/>
              <w:bottom w:val="single" w:sz="4" w:space="0" w:color="000000"/>
            </w:tcBorders>
            <w:vAlign w:val="bottom"/>
            <w:hideMark/>
          </w:tcPr>
          <w:p w14:paraId="4D3E8CC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hideMark/>
          </w:tcPr>
          <w:p w14:paraId="73AC2B0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-0.394</w:t>
            </w:r>
          </w:p>
        </w:tc>
        <w:tc>
          <w:tcPr>
            <w:tcW w:w="0" w:type="auto"/>
            <w:tcBorders>
              <w:top w:val="single" w:sz="4" w:space="0" w:color="000000"/>
              <w:bottom w:val="single" w:sz="4" w:space="0" w:color="000000"/>
            </w:tcBorders>
            <w:vAlign w:val="bottom"/>
            <w:hideMark/>
          </w:tcPr>
          <w:p w14:paraId="2EFB78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0.521</w:t>
            </w:r>
          </w:p>
        </w:tc>
        <w:tc>
          <w:tcPr>
            <w:tcW w:w="0" w:type="auto"/>
            <w:tcBorders>
              <w:top w:val="single" w:sz="4" w:space="0" w:color="000000"/>
              <w:bottom w:val="single" w:sz="4" w:space="0" w:color="000000"/>
            </w:tcBorders>
            <w:vAlign w:val="bottom"/>
            <w:hideMark/>
          </w:tcPr>
          <w:p w14:paraId="0058C7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8F88D1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24914A8"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5EFC115D" w14:textId="77777777" w:rsidTr="00063BCA">
        <w:trPr>
          <w:trHeight w:val="70"/>
          <w:jc w:val="center"/>
        </w:trPr>
        <w:tc>
          <w:tcPr>
            <w:tcW w:w="0" w:type="auto"/>
            <w:tcBorders>
              <w:top w:val="single" w:sz="4" w:space="0" w:color="000000"/>
              <w:bottom w:val="single" w:sz="4" w:space="0" w:color="000000"/>
            </w:tcBorders>
            <w:vAlign w:val="bottom"/>
            <w:hideMark/>
          </w:tcPr>
          <w:p w14:paraId="6438AA8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hideMark/>
          </w:tcPr>
          <w:p w14:paraId="6CF2C00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0.913</w:t>
            </w:r>
          </w:p>
        </w:tc>
        <w:tc>
          <w:tcPr>
            <w:tcW w:w="0" w:type="auto"/>
            <w:tcBorders>
              <w:top w:val="single" w:sz="4" w:space="0" w:color="000000"/>
              <w:bottom w:val="single" w:sz="4" w:space="0" w:color="000000"/>
            </w:tcBorders>
            <w:vAlign w:val="bottom"/>
            <w:hideMark/>
          </w:tcPr>
          <w:p w14:paraId="37BDB5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hideMark/>
          </w:tcPr>
          <w:p w14:paraId="03DDF5B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-0.010</w:t>
            </w:r>
          </w:p>
        </w:tc>
        <w:tc>
          <w:tcPr>
            <w:tcW w:w="0" w:type="auto"/>
            <w:tcBorders>
              <w:top w:val="single" w:sz="4" w:space="0" w:color="000000"/>
              <w:bottom w:val="single" w:sz="4" w:space="0" w:color="000000"/>
            </w:tcBorders>
            <w:vAlign w:val="bottom"/>
            <w:hideMark/>
          </w:tcPr>
          <w:p w14:paraId="752950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0.005</w:t>
            </w:r>
          </w:p>
        </w:tc>
        <w:tc>
          <w:tcPr>
            <w:tcW w:w="0" w:type="auto"/>
            <w:tcBorders>
              <w:top w:val="single" w:sz="4" w:space="0" w:color="000000"/>
              <w:bottom w:val="single" w:sz="4" w:space="0" w:color="000000"/>
            </w:tcBorders>
            <w:vAlign w:val="bottom"/>
            <w:hideMark/>
          </w:tcPr>
          <w:p w14:paraId="4CF07D8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hideMark/>
          </w:tcPr>
          <w:p w14:paraId="410D760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-0.007</w:t>
            </w:r>
          </w:p>
        </w:tc>
        <w:tc>
          <w:tcPr>
            <w:tcW w:w="0" w:type="auto"/>
            <w:tcBorders>
              <w:top w:val="single" w:sz="4" w:space="0" w:color="000000"/>
              <w:bottom w:val="single" w:sz="4" w:space="0" w:color="000000"/>
            </w:tcBorders>
            <w:vAlign w:val="bottom"/>
            <w:hideMark/>
          </w:tcPr>
          <w:p w14:paraId="3C766C7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0.108</w:t>
            </w:r>
          </w:p>
        </w:tc>
        <w:tc>
          <w:tcPr>
            <w:tcW w:w="0" w:type="auto"/>
            <w:tcBorders>
              <w:top w:val="single" w:sz="4" w:space="0" w:color="000000"/>
              <w:bottom w:val="single" w:sz="4" w:space="0" w:color="000000"/>
            </w:tcBorders>
            <w:vAlign w:val="bottom"/>
            <w:hideMark/>
          </w:tcPr>
          <w:p w14:paraId="262B33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0.045</w:t>
            </w:r>
          </w:p>
        </w:tc>
        <w:tc>
          <w:tcPr>
            <w:tcW w:w="0" w:type="auto"/>
            <w:tcBorders>
              <w:top w:val="single" w:sz="4" w:space="0" w:color="000000"/>
              <w:bottom w:val="single" w:sz="4" w:space="0" w:color="000000"/>
            </w:tcBorders>
            <w:vAlign w:val="bottom"/>
            <w:hideMark/>
          </w:tcPr>
          <w:p w14:paraId="6257E09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04F585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5CAB6C5" w14:textId="77777777" w:rsidTr="00063BCA">
        <w:trPr>
          <w:trHeight w:val="125"/>
          <w:jc w:val="center"/>
        </w:trPr>
        <w:tc>
          <w:tcPr>
            <w:tcW w:w="0" w:type="auto"/>
            <w:tcBorders>
              <w:top w:val="single" w:sz="4" w:space="0" w:color="000000"/>
              <w:bottom w:val="single" w:sz="4" w:space="0" w:color="000000"/>
            </w:tcBorders>
            <w:vAlign w:val="bottom"/>
            <w:hideMark/>
          </w:tcPr>
          <w:p w14:paraId="0732F2E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GRE</w:t>
            </w:r>
          </w:p>
        </w:tc>
        <w:tc>
          <w:tcPr>
            <w:tcW w:w="0" w:type="auto"/>
            <w:tcBorders>
              <w:top w:val="single" w:sz="4" w:space="0" w:color="000000"/>
              <w:bottom w:val="single" w:sz="4" w:space="0" w:color="000000"/>
            </w:tcBorders>
            <w:vAlign w:val="bottom"/>
            <w:hideMark/>
          </w:tcPr>
          <w:p w14:paraId="489C704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-0.493</w:t>
            </w:r>
          </w:p>
        </w:tc>
        <w:tc>
          <w:tcPr>
            <w:tcW w:w="0" w:type="auto"/>
            <w:tcBorders>
              <w:top w:val="single" w:sz="4" w:space="0" w:color="000000"/>
              <w:bottom w:val="single" w:sz="4" w:space="0" w:color="000000"/>
            </w:tcBorders>
            <w:vAlign w:val="bottom"/>
            <w:hideMark/>
          </w:tcPr>
          <w:p w14:paraId="348BA1F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0.027</w:t>
            </w:r>
          </w:p>
        </w:tc>
        <w:tc>
          <w:tcPr>
            <w:tcW w:w="0" w:type="auto"/>
            <w:tcBorders>
              <w:top w:val="single" w:sz="4" w:space="0" w:color="000000"/>
              <w:bottom w:val="single" w:sz="4" w:space="0" w:color="000000"/>
            </w:tcBorders>
            <w:vAlign w:val="bottom"/>
            <w:hideMark/>
          </w:tcPr>
          <w:p w14:paraId="6BD162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-0.013</w:t>
            </w:r>
          </w:p>
        </w:tc>
        <w:tc>
          <w:tcPr>
            <w:tcW w:w="0" w:type="auto"/>
            <w:tcBorders>
              <w:top w:val="single" w:sz="4" w:space="0" w:color="000000"/>
              <w:bottom w:val="single" w:sz="4" w:space="0" w:color="000000"/>
            </w:tcBorders>
            <w:vAlign w:val="bottom"/>
            <w:hideMark/>
          </w:tcPr>
          <w:p w14:paraId="5ABFF6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-0.020</w:t>
            </w:r>
          </w:p>
        </w:tc>
        <w:tc>
          <w:tcPr>
            <w:tcW w:w="0" w:type="auto"/>
            <w:tcBorders>
              <w:top w:val="single" w:sz="4" w:space="0" w:color="000000"/>
              <w:bottom w:val="single" w:sz="4" w:space="0" w:color="000000"/>
            </w:tcBorders>
            <w:vAlign w:val="bottom"/>
            <w:hideMark/>
          </w:tcPr>
          <w:p w14:paraId="116EB5E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-0.282</w:t>
            </w:r>
          </w:p>
        </w:tc>
        <w:tc>
          <w:tcPr>
            <w:tcW w:w="0" w:type="auto"/>
            <w:tcBorders>
              <w:top w:val="single" w:sz="4" w:space="0" w:color="000000"/>
              <w:bottom w:val="single" w:sz="4" w:space="0" w:color="000000"/>
            </w:tcBorders>
            <w:vAlign w:val="bottom"/>
            <w:hideMark/>
          </w:tcPr>
          <w:p w14:paraId="5F44760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-0.015</w:t>
            </w:r>
          </w:p>
        </w:tc>
        <w:tc>
          <w:tcPr>
            <w:tcW w:w="0" w:type="auto"/>
            <w:tcBorders>
              <w:top w:val="single" w:sz="4" w:space="0" w:color="000000"/>
              <w:bottom w:val="single" w:sz="4" w:space="0" w:color="000000"/>
            </w:tcBorders>
            <w:vAlign w:val="bottom"/>
            <w:hideMark/>
          </w:tcPr>
          <w:p w14:paraId="60706C4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-0.364</w:t>
            </w:r>
          </w:p>
        </w:tc>
        <w:tc>
          <w:tcPr>
            <w:tcW w:w="0" w:type="auto"/>
            <w:tcBorders>
              <w:top w:val="single" w:sz="4" w:space="0" w:color="000000"/>
              <w:bottom w:val="single" w:sz="4" w:space="0" w:color="000000"/>
            </w:tcBorders>
            <w:vAlign w:val="bottom"/>
            <w:hideMark/>
          </w:tcPr>
          <w:p w14:paraId="53F64D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0.030</w:t>
            </w:r>
          </w:p>
        </w:tc>
        <w:tc>
          <w:tcPr>
            <w:tcW w:w="0" w:type="auto"/>
            <w:tcBorders>
              <w:top w:val="single" w:sz="4" w:space="0" w:color="000000"/>
              <w:bottom w:val="single" w:sz="4" w:space="0" w:color="000000"/>
            </w:tcBorders>
            <w:vAlign w:val="bottom"/>
            <w:hideMark/>
          </w:tcPr>
          <w:p w14:paraId="2B02A8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-0.003</w:t>
            </w:r>
          </w:p>
        </w:tc>
        <w:tc>
          <w:tcPr>
            <w:tcW w:w="0" w:type="auto"/>
            <w:tcBorders>
              <w:top w:val="single" w:sz="4" w:space="0" w:color="000000"/>
              <w:bottom w:val="single" w:sz="4" w:space="0" w:color="000000"/>
            </w:tcBorders>
            <w:vAlign w:val="bottom"/>
            <w:hideMark/>
          </w:tcPr>
          <w:p w14:paraId="2003331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r>
    </w:tbl>
    <w:p w14:paraId="3CD261C2"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Source: Author’s Computation </w:t>
      </w:r>
    </w:p>
    <w:p w14:paraId="6DFD202C" w14:textId="55D4405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From table </w:t>
      </w:r>
      <w:r w:rsidR="001B1976">
        <w:rPr>
          <w:rFonts w:ascii="Times New Roman" w:eastAsia="Times New Roman" w:hAnsi="Times New Roman" w:cs="Times New Roman"/>
          <w:kern w:val="0"/>
          <w14:ligatures w14:val="none"/>
        </w:rPr>
        <w:t>1</w:t>
      </w:r>
      <w:r w:rsidRPr="00B72A13">
        <w:rPr>
          <w:rFonts w:ascii="Times New Roman" w:eastAsia="Times New Roman" w:hAnsi="Times New Roman" w:cs="Times New Roman"/>
          <w:kern w:val="0"/>
          <w14:ligatures w14:val="none"/>
        </w:rPr>
        <w:t>, we learned that the minimum and maximum coefficients were -9.389 and 11.443 respectively, that is the least and the highest values in the series. The skewness of the distribution and the kurtosis shows that the series are normally distributed. However, the distribution does not deviate more from the normal distribution of the mean and standard deviation. The Jarque-Bera statistics are statistically significant which entails that the series are normally distributed. In the same vein, the result of the correlation matrix shows that positive correlation exists between corporate governance and firm performance in Nigeria. Strong positive correlation exists between firm performance, board governance and remuneration committee, board size, number of meetings held, number of shareholders committee, number of remuneration committee, number of audit committee and shareholders’ fund. </w:t>
      </w:r>
    </w:p>
    <w:p w14:paraId="22C829E1" w14:textId="219C2305"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Table </w:t>
      </w:r>
      <w:r w:rsidR="001B1976">
        <w:rPr>
          <w:rFonts w:ascii="Times New Roman" w:eastAsia="Times New Roman" w:hAnsi="Times New Roman" w:cs="Times New Roman"/>
          <w:b/>
          <w:bCs/>
          <w:kern w:val="0"/>
          <w14:ligatures w14:val="none"/>
        </w:rPr>
        <w:t>2</w:t>
      </w:r>
      <w:r w:rsidRPr="00B72A13">
        <w:rPr>
          <w:rFonts w:ascii="Times New Roman" w:eastAsia="Times New Roman" w:hAnsi="Times New Roman" w:cs="Times New Roman"/>
          <w:b/>
          <w:bCs/>
          <w:kern w:val="0"/>
          <w14:ligatures w14:val="none"/>
        </w:rPr>
        <w:t>: Results for Unit Root Test</w:t>
      </w:r>
    </w:p>
    <w:tbl>
      <w:tblPr>
        <w:tblW w:w="0" w:type="auto"/>
        <w:tblCellMar>
          <w:top w:w="15" w:type="dxa"/>
          <w:left w:w="15" w:type="dxa"/>
          <w:bottom w:w="15" w:type="dxa"/>
          <w:right w:w="15" w:type="dxa"/>
        </w:tblCellMar>
        <w:tblLook w:val="04A0" w:firstRow="1" w:lastRow="0" w:firstColumn="1" w:lastColumn="0" w:noHBand="0" w:noVBand="1"/>
      </w:tblPr>
      <w:tblGrid>
        <w:gridCol w:w="974"/>
        <w:gridCol w:w="1225"/>
        <w:gridCol w:w="1335"/>
        <w:gridCol w:w="1316"/>
        <w:gridCol w:w="1316"/>
        <w:gridCol w:w="730"/>
        <w:gridCol w:w="1145"/>
      </w:tblGrid>
      <w:tr w:rsidR="00415FAF" w:rsidRPr="00B72A13" w14:paraId="798BAD09" w14:textId="77777777" w:rsidTr="00063BCA">
        <w:trPr>
          <w:trHeight w:val="274"/>
        </w:trPr>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FB53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Variable</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CB19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LLC</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99BFDF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IPS</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6A8E2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Fisher-ADF</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DC2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Fisher-PP</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14C7D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Integration Order</w:t>
            </w:r>
          </w:p>
          <w:p w14:paraId="524343C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211CC9E8" w14:textId="77777777" w:rsidTr="00063BCA">
        <w:trPr>
          <w:trHeight w:val="70"/>
        </w:trPr>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E7A359E"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3167D84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7E0C23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048832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7FC421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7FAC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Level</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40FE6F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First Diff.</w:t>
            </w:r>
          </w:p>
        </w:tc>
      </w:tr>
      <w:tr w:rsidR="00415FAF" w:rsidRPr="00B72A13" w14:paraId="16B7A2CE"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87A8F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lastRenderedPageBreak/>
              <w:t>ROA</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CE50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-22.653***</w:t>
            </w:r>
          </w:p>
          <w:p w14:paraId="45F6A88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2ABACD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-16.107***</w:t>
            </w:r>
          </w:p>
          <w:p w14:paraId="2F137D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9B3B1C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261.070***</w:t>
            </w:r>
          </w:p>
          <w:p w14:paraId="1DB7FCE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6D188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267.368***</w:t>
            </w:r>
          </w:p>
          <w:p w14:paraId="1253F11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5553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96D71E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5FA6107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DED84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ROE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BF8E15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-17.688***</w:t>
            </w:r>
          </w:p>
          <w:p w14:paraId="55EA04B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DC31A0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-20.174***</w:t>
            </w:r>
          </w:p>
          <w:p w14:paraId="10CB2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E79D2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457.164***</w:t>
            </w:r>
          </w:p>
          <w:p w14:paraId="5F83CD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6EE7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460.567***</w:t>
            </w:r>
          </w:p>
          <w:p w14:paraId="5FAEA2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98B4F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83E99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41A7BF4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D181D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BGRC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6DE7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-20.253***</w:t>
            </w:r>
          </w:p>
          <w:p w14:paraId="136251C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3DE82E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-106.515***</w:t>
            </w:r>
          </w:p>
          <w:p w14:paraId="0F47D3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51842E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238.706***</w:t>
            </w:r>
          </w:p>
          <w:p w14:paraId="56F18E4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EB094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267.634***</w:t>
            </w:r>
          </w:p>
          <w:p w14:paraId="52CF2B4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0BC17C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AE86CE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2E0145A7"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60DD8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BS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1F77B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-73.582***</w:t>
            </w:r>
          </w:p>
          <w:p w14:paraId="08412C2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4747D19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-22.938***</w:t>
            </w:r>
          </w:p>
          <w:p w14:paraId="2940B6F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32B8208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228.267***</w:t>
            </w:r>
          </w:p>
          <w:p w14:paraId="5CC401F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8BC89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463.742***</w:t>
            </w:r>
          </w:p>
          <w:p w14:paraId="1B9BA96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DBF2F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99EC0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5D4DCC55"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1D9E1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NMH</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EABB59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-24.440***</w:t>
            </w:r>
          </w:p>
          <w:p w14:paraId="3C61A15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08778E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-23.530***</w:t>
            </w:r>
          </w:p>
          <w:p w14:paraId="6DAC372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02CD10D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522.370***</w:t>
            </w:r>
          </w:p>
          <w:p w14:paraId="100ACB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922B3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477.545***</w:t>
            </w:r>
          </w:p>
          <w:p w14:paraId="1353FB9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E8BB5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678B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3C7E809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A4C0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NSHC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77CD6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-24.039***</w:t>
            </w:r>
          </w:p>
          <w:p w14:paraId="7B413D1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0D26EB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-20.500***</w:t>
            </w:r>
          </w:p>
          <w:p w14:paraId="73EDE24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80DC2E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346.095***</w:t>
            </w:r>
          </w:p>
          <w:p w14:paraId="12FB42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39E5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348.481***</w:t>
            </w:r>
          </w:p>
          <w:p w14:paraId="6425521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6CBDF6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4552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6C92F532"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C16EB0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NRMC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642654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-20.409***</w:t>
            </w:r>
          </w:p>
          <w:p w14:paraId="6C33F51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04E31E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-21.011***</w:t>
            </w:r>
          </w:p>
          <w:p w14:paraId="72DDF7F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7F62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472.406***</w:t>
            </w:r>
          </w:p>
          <w:p w14:paraId="59FE2D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730482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452.091***</w:t>
            </w:r>
          </w:p>
          <w:p w14:paraId="624CAD7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2A8DD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3B7F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6EE7D69E"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CD55F2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NAC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B0028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-11.049***</w:t>
            </w:r>
          </w:p>
          <w:p w14:paraId="7B5CF69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86BDB2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-30.104***</w:t>
            </w:r>
          </w:p>
          <w:p w14:paraId="1CC2B7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09E89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305.911***</w:t>
            </w:r>
          </w:p>
          <w:p w14:paraId="182C75F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CB67CD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299.730***</w:t>
            </w:r>
          </w:p>
          <w:p w14:paraId="7FE0247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4E3B3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6976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2C3F3DEA"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215A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SHF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A021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-26.329***</w:t>
            </w:r>
          </w:p>
          <w:p w14:paraId="13421F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BA41A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-25.094***</w:t>
            </w:r>
          </w:p>
          <w:p w14:paraId="06764C3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35771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542.839***</w:t>
            </w:r>
          </w:p>
          <w:p w14:paraId="4C9A4A4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209E9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497.852***</w:t>
            </w:r>
          </w:p>
          <w:p w14:paraId="3C702E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C3B13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72D41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65C9CE53"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36FF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GRE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5F080D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-13.722***</w:t>
            </w:r>
          </w:p>
          <w:p w14:paraId="768A6B1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3B9F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-16.559***</w:t>
            </w:r>
          </w:p>
          <w:p w14:paraId="056226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16037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382.857***</w:t>
            </w:r>
          </w:p>
          <w:p w14:paraId="0336C82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A9AD6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389.993***</w:t>
            </w:r>
          </w:p>
          <w:p w14:paraId="736E20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E029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AEB7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bl>
    <w:p w14:paraId="09FD3BDE"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Source: Author’s Computation. Note: (.) Probability value; ***, **, and * represents 1%, 5% and 10% level of significance; I(0) represents integration order at level; and I(1) represents integration order at first difference. </w:t>
      </w:r>
    </w:p>
    <w:p w14:paraId="52EE74D6" w14:textId="36B1977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Findings from the results in table </w:t>
      </w:r>
      <w:r w:rsidR="001B1976">
        <w:rPr>
          <w:rFonts w:ascii="Times New Roman" w:eastAsia="Times New Roman" w:hAnsi="Times New Roman" w:cs="Times New Roman"/>
          <w:kern w:val="0"/>
          <w14:ligatures w14:val="none"/>
        </w:rPr>
        <w:t>2</w:t>
      </w:r>
      <w:r w:rsidRPr="00B72A13">
        <w:rPr>
          <w:rFonts w:ascii="Times New Roman" w:eastAsia="Times New Roman" w:hAnsi="Times New Roman" w:cs="Times New Roman"/>
          <w:kern w:val="0"/>
          <w14:ligatures w14:val="none"/>
        </w:rPr>
        <w:t xml:space="preserve"> entails that the null hypothesis “has no unit root” be rejected since the probability values for the model variables are significant at 1% which is less than 0.05 critical level. Furthermore, the variables have mixed integration order. Some variables were integrated at level while others were integrated at first difference, which is very suitable for ARDL estimation.  </w:t>
      </w:r>
    </w:p>
    <w:p w14:paraId="210510A2"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5.2 Results of Panel Cointegration Test</w:t>
      </w:r>
    </w:p>
    <w:p w14:paraId="5A5BD6FD" w14:textId="15FBCF5F"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Having confirmed the level of integration of the variables, it becomes imperative to further </w:t>
      </w:r>
      <w:r w:rsidR="00172F26" w:rsidRPr="00B72A13">
        <w:rPr>
          <w:rFonts w:ascii="Times New Roman" w:eastAsia="Times New Roman" w:hAnsi="Times New Roman" w:cs="Times New Roman"/>
          <w:kern w:val="0"/>
          <w14:ligatures w14:val="none"/>
        </w:rPr>
        <w:t>investigate</w:t>
      </w:r>
      <w:r w:rsidRPr="00B72A13">
        <w:rPr>
          <w:rFonts w:ascii="Times New Roman" w:eastAsia="Times New Roman" w:hAnsi="Times New Roman" w:cs="Times New Roman"/>
          <w:kern w:val="0"/>
          <w14:ligatures w14:val="none"/>
        </w:rPr>
        <w:t xml:space="preserve"> if the model variables are cointegrated or not. To do this, we employed two panel cointegration tests – Pedroni cointegration test for the estimation and Kao cointegration test as the robustness check and the results are presented in table </w:t>
      </w:r>
      <w:r w:rsidR="001B1976">
        <w:rPr>
          <w:rFonts w:ascii="Times New Roman" w:eastAsia="Times New Roman" w:hAnsi="Times New Roman" w:cs="Times New Roman"/>
          <w:kern w:val="0"/>
          <w14:ligatures w14:val="none"/>
        </w:rPr>
        <w:t>3</w:t>
      </w:r>
      <w:r w:rsidRPr="00B72A13">
        <w:rPr>
          <w:rFonts w:ascii="Times New Roman" w:eastAsia="Times New Roman" w:hAnsi="Times New Roman" w:cs="Times New Roman"/>
          <w:kern w:val="0"/>
          <w14:ligatures w14:val="none"/>
        </w:rPr>
        <w:t>.</w:t>
      </w:r>
    </w:p>
    <w:p w14:paraId="10539456" w14:textId="0E713BEC"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Table </w:t>
      </w:r>
      <w:r w:rsidR="001B1976">
        <w:rPr>
          <w:rFonts w:ascii="Times New Roman" w:eastAsia="Times New Roman" w:hAnsi="Times New Roman" w:cs="Times New Roman"/>
          <w:b/>
          <w:bCs/>
          <w:kern w:val="0"/>
          <w14:ligatures w14:val="none"/>
        </w:rPr>
        <w:t>3</w:t>
      </w:r>
      <w:r w:rsidRPr="00B72A13">
        <w:rPr>
          <w:rFonts w:ascii="Times New Roman" w:eastAsia="Times New Roman" w:hAnsi="Times New Roman" w:cs="Times New Roman"/>
          <w:b/>
          <w:bCs/>
          <w:kern w:val="0"/>
          <w14:ligatures w14:val="none"/>
        </w:rPr>
        <w:t>: Summary of Cointegration Results</w:t>
      </w:r>
    </w:p>
    <w:tbl>
      <w:tblPr>
        <w:tblW w:w="0" w:type="auto"/>
        <w:jc w:val="center"/>
        <w:tblCellMar>
          <w:top w:w="15" w:type="dxa"/>
          <w:left w:w="15" w:type="dxa"/>
          <w:bottom w:w="15" w:type="dxa"/>
          <w:right w:w="15" w:type="dxa"/>
        </w:tblCellMar>
        <w:tblLook w:val="04A0" w:firstRow="1" w:lastRow="0" w:firstColumn="1" w:lastColumn="0" w:noHBand="0" w:noVBand="1"/>
      </w:tblPr>
      <w:tblGrid>
        <w:gridCol w:w="840"/>
        <w:gridCol w:w="996"/>
        <w:gridCol w:w="995"/>
        <w:gridCol w:w="1099"/>
        <w:gridCol w:w="1099"/>
        <w:gridCol w:w="891"/>
        <w:gridCol w:w="1099"/>
        <w:gridCol w:w="1099"/>
        <w:gridCol w:w="1232"/>
      </w:tblGrid>
      <w:tr w:rsidR="00415FAF" w:rsidRPr="00B72A13" w14:paraId="61DAA908"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16E545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Models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A6C18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Panel-v</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85A76B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88FFD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CB4E7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58D2A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3A46E7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2E3EF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3185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Kao test (Robustness Check)</w:t>
            </w:r>
          </w:p>
        </w:tc>
      </w:tr>
      <w:tr w:rsidR="00415FAF" w:rsidRPr="00B72A13" w14:paraId="2BD8B342"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C9380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Model 1</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1B8A4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-3.593***</w:t>
            </w:r>
          </w:p>
          <w:p w14:paraId="0389C53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75EB4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-1.496***</w:t>
            </w:r>
          </w:p>
          <w:p w14:paraId="673E97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(0.067)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4E464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-16.120***</w:t>
            </w:r>
          </w:p>
          <w:p w14:paraId="40EBF27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C231D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-13.791***</w:t>
            </w:r>
          </w:p>
          <w:p w14:paraId="52FF318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1B6D1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-0.683</w:t>
            </w:r>
          </w:p>
          <w:p w14:paraId="6E3416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(0.247)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F4BE5C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-20.752***</w:t>
            </w:r>
          </w:p>
          <w:p w14:paraId="7DBAC90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1BFD5B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-15.485***</w:t>
            </w:r>
          </w:p>
          <w:p w14:paraId="37756C0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BDE6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2.355***</w:t>
            </w:r>
          </w:p>
          <w:p w14:paraId="4646F95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(0.009)</w:t>
            </w:r>
          </w:p>
        </w:tc>
      </w:tr>
      <w:tr w:rsidR="00415FAF" w:rsidRPr="00B72A13" w14:paraId="0FB5C438"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61C25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Model 2</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697BD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-5.662***</w:t>
            </w:r>
          </w:p>
          <w:p w14:paraId="11C1BB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04604F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-2.622***</w:t>
            </w:r>
          </w:p>
          <w:p w14:paraId="293A512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(0.004)</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D4806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-19.675***</w:t>
            </w:r>
          </w:p>
          <w:p w14:paraId="0F314B9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12C871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-16.143***</w:t>
            </w:r>
          </w:p>
          <w:p w14:paraId="5447448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1D2B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-1.760**</w:t>
            </w:r>
          </w:p>
          <w:p w14:paraId="730EAE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(0.039)</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39D0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-22.795***</w:t>
            </w:r>
          </w:p>
          <w:p w14:paraId="660EC2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F39E13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-17.541***</w:t>
            </w:r>
          </w:p>
          <w:p w14:paraId="4A8135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9E9612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6.316***</w:t>
            </w:r>
          </w:p>
          <w:p w14:paraId="6941786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r>
    </w:tbl>
    <w:p w14:paraId="4B354AEC"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Source: Computed by the Author. Note: ***, **, and * represents 1%, 5% and 10% level of significant; (.) represents probability value. </w:t>
      </w:r>
    </w:p>
    <w:p w14:paraId="56880A83" w14:textId="13FD187B"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 xml:space="preserve">Pedroni (2004) proposed seven cointegration tests which are very reliable for estimation of cointegration in panel models. The null hypothesis to reject the null is “no cointegration”. From table </w:t>
      </w:r>
      <w:r w:rsidR="001B1976">
        <w:rPr>
          <w:rFonts w:ascii="Times New Roman" w:eastAsia="Times New Roman" w:hAnsi="Times New Roman" w:cs="Times New Roman"/>
          <w:kern w:val="0"/>
          <w14:ligatures w14:val="none"/>
        </w:rPr>
        <w:t>3</w:t>
      </w:r>
      <w:r w:rsidRPr="00B72A13">
        <w:rPr>
          <w:rFonts w:ascii="Times New Roman" w:eastAsia="Times New Roman" w:hAnsi="Times New Roman" w:cs="Times New Roman"/>
          <w:kern w:val="0"/>
          <w14:ligatures w14:val="none"/>
        </w:rPr>
        <w:t>, it was observed that 6 out of 7 and 7 out of 7 Pedroni cointegration tests for models 1 and 2 are statistically significant and their P-values are less than 0.05. Thus, this will lead to rejection of the null hypothesis and therefore we conclude that there is cointegration between corporate governance and firm performance in Nigeria. In order to deepen our findings from Pedroni cointegration results, this study employed the Kao (1999) cointegration test as a robustness check. Findings from the results confirmed the existence of cointegration between corporate governance and firm performance in Nigeria since the P-values of the ADF-statistic for model 1 and 2 are less than 0.05. Thus, the results conclude that cointegration exists between corporate governance and firm performance in Nigeria, hence we move further for estimation of the long-run relationship between corporate governance and firm performance. </w:t>
      </w:r>
    </w:p>
    <w:p w14:paraId="4577FDCC" w14:textId="77777777" w:rsidR="008738A0" w:rsidRPr="00B72A13" w:rsidRDefault="008738A0" w:rsidP="008738A0">
      <w:pPr>
        <w:pStyle w:val="Heading3"/>
        <w:rPr>
          <w:sz w:val="22"/>
          <w:szCs w:val="22"/>
        </w:rPr>
      </w:pPr>
      <w:r w:rsidRPr="00B72A13">
        <w:rPr>
          <w:sz w:val="22"/>
          <w:szCs w:val="22"/>
        </w:rPr>
        <w:t>5.3 Estimated Results for Nexus between Corporate Governance and Firms’ Performance in Nigeria</w:t>
      </w:r>
    </w:p>
    <w:p w14:paraId="2750570C" w14:textId="77777777" w:rsidR="008738A0" w:rsidRPr="00B72A13" w:rsidRDefault="008738A0" w:rsidP="008738A0">
      <w:pPr>
        <w:pStyle w:val="NormalWeb"/>
        <w:rPr>
          <w:sz w:val="22"/>
          <w:szCs w:val="22"/>
        </w:rPr>
      </w:pPr>
      <w:r w:rsidRPr="00B72A13">
        <w:rPr>
          <w:rStyle w:val="citation-107"/>
          <w:sz w:val="22"/>
          <w:szCs w:val="22"/>
        </w:rPr>
        <w:t>Following the confirmation of cointegration, we investigated the long-run relationship using panel dynamic ARDL estimators: Mean Group (MG), Dynamic Fixed Effects (DFE), and Pooled Mean Group (PMG</w:t>
      </w:r>
      <w:proofErr w:type="gramStart"/>
      <w:r w:rsidRPr="00B72A13">
        <w:rPr>
          <w:rStyle w:val="citation-107"/>
          <w:sz w:val="22"/>
          <w:szCs w:val="22"/>
        </w:rPr>
        <w:t xml:space="preserve">) </w:t>
      </w:r>
      <w:r w:rsidRPr="00B72A13">
        <w:rPr>
          <w:sz w:val="22"/>
          <w:szCs w:val="22"/>
        </w:rPr>
        <w:t>.</w:t>
      </w:r>
      <w:proofErr w:type="gramEnd"/>
      <w:r w:rsidRPr="00B72A13">
        <w:rPr>
          <w:sz w:val="22"/>
          <w:szCs w:val="22"/>
        </w:rPr>
        <w:t xml:space="preserve"> </w:t>
      </w:r>
      <w:r w:rsidRPr="00B72A13">
        <w:rPr>
          <w:rStyle w:val="citation-106"/>
          <w:sz w:val="22"/>
          <w:szCs w:val="22"/>
        </w:rPr>
        <w:t xml:space="preserve">Based on the Hausman test, the PMG estimator was selected as the most appropriate model, supporting the rationality of a long-run homogeneity restriction across </w:t>
      </w:r>
      <w:proofErr w:type="gramStart"/>
      <w:r w:rsidRPr="00B72A13">
        <w:rPr>
          <w:rStyle w:val="citation-106"/>
          <w:sz w:val="22"/>
          <w:szCs w:val="22"/>
        </w:rPr>
        <w:t xml:space="preserve">firms </w:t>
      </w:r>
      <w:r w:rsidRPr="00B72A13">
        <w:rPr>
          <w:sz w:val="22"/>
          <w:szCs w:val="22"/>
        </w:rPr>
        <w:t>.</w:t>
      </w:r>
      <w:proofErr w:type="gramEnd"/>
    </w:p>
    <w:p w14:paraId="50283C54" w14:textId="0900A705" w:rsidR="008738A0" w:rsidRPr="00B72A13" w:rsidRDefault="008738A0" w:rsidP="008738A0">
      <w:pPr>
        <w:pStyle w:val="NormalWeb"/>
        <w:rPr>
          <w:sz w:val="22"/>
          <w:szCs w:val="22"/>
        </w:rPr>
      </w:pPr>
      <w:r w:rsidRPr="00B72A13">
        <w:rPr>
          <w:rStyle w:val="citation-105"/>
          <w:sz w:val="22"/>
          <w:szCs w:val="22"/>
        </w:rPr>
        <w:t xml:space="preserve">Evidence from the main findings in Table </w:t>
      </w:r>
      <w:r w:rsidR="001B1976">
        <w:rPr>
          <w:rStyle w:val="citation-105"/>
          <w:sz w:val="22"/>
          <w:szCs w:val="22"/>
        </w:rPr>
        <w:t>4</w:t>
      </w:r>
      <w:r w:rsidRPr="00B72A13">
        <w:rPr>
          <w:rStyle w:val="citation-105"/>
          <w:sz w:val="22"/>
          <w:szCs w:val="22"/>
        </w:rPr>
        <w:t xml:space="preserve"> shows a </w:t>
      </w:r>
      <w:r w:rsidRPr="00B72A13">
        <w:rPr>
          <w:rStyle w:val="citation-105"/>
          <w:b/>
          <w:bCs/>
          <w:sz w:val="22"/>
          <w:szCs w:val="22"/>
        </w:rPr>
        <w:t>positive and significant long-run relationship</w:t>
      </w:r>
      <w:r w:rsidRPr="00B72A13">
        <w:rPr>
          <w:rStyle w:val="citation-105"/>
          <w:sz w:val="22"/>
          <w:szCs w:val="22"/>
        </w:rPr>
        <w:t xml:space="preserve"> between corporate governance and firms’ performance in Nigeria</w:t>
      </w:r>
      <w:r w:rsidRPr="00B72A13">
        <w:rPr>
          <w:sz w:val="22"/>
          <w:szCs w:val="22"/>
        </w:rPr>
        <w:t xml:space="preserve">. </w:t>
      </w:r>
      <w:r w:rsidRPr="00B72A13">
        <w:rPr>
          <w:rStyle w:val="citation-104"/>
          <w:sz w:val="22"/>
          <w:szCs w:val="22"/>
        </w:rPr>
        <w:t>This supports arguments that good governance promotes firm performance by enhancing financial reporting, information disclosure, and board regulation</w:t>
      </w:r>
      <w:r w:rsidRPr="00B72A13">
        <w:rPr>
          <w:sz w:val="22"/>
          <w:szCs w:val="22"/>
        </w:rPr>
        <w:t xml:space="preserve">. </w:t>
      </w:r>
      <w:r w:rsidRPr="00B72A13">
        <w:rPr>
          <w:rStyle w:val="citation-103"/>
          <w:sz w:val="22"/>
          <w:szCs w:val="22"/>
        </w:rPr>
        <w:t xml:space="preserve">In the short-run, the error correction model (ECM) coefficients for all models were negative and statistically significant, confirming that speeds of adjustment exist to correct short-run disequilibrium and return to the long-run </w:t>
      </w:r>
      <w:proofErr w:type="gramStart"/>
      <w:r w:rsidRPr="00B72A13">
        <w:rPr>
          <w:rStyle w:val="citation-103"/>
          <w:sz w:val="22"/>
          <w:szCs w:val="22"/>
        </w:rPr>
        <w:t xml:space="preserve">path </w:t>
      </w:r>
      <w:r w:rsidRPr="00B72A13">
        <w:rPr>
          <w:sz w:val="22"/>
          <w:szCs w:val="22"/>
        </w:rPr>
        <w:t>.</w:t>
      </w:r>
      <w:proofErr w:type="gramEnd"/>
    </w:p>
    <w:p w14:paraId="7F1E827C" w14:textId="17EA8D45" w:rsidR="008738A0" w:rsidRPr="00B72A13" w:rsidRDefault="008738A0" w:rsidP="008738A0">
      <w:pPr>
        <w:pStyle w:val="NormalWeb"/>
        <w:rPr>
          <w:sz w:val="22"/>
          <w:szCs w:val="22"/>
        </w:rPr>
      </w:pPr>
      <w:r w:rsidRPr="00B72A13">
        <w:rPr>
          <w:rStyle w:val="citation-102"/>
          <w:sz w:val="22"/>
          <w:szCs w:val="22"/>
        </w:rPr>
        <w:t xml:space="preserve">To account for potential endogeneity, we employed panel differenced and system GMM as a robustness </w:t>
      </w:r>
      <w:proofErr w:type="gramStart"/>
      <w:r w:rsidRPr="00B72A13">
        <w:rPr>
          <w:rStyle w:val="citation-102"/>
          <w:sz w:val="22"/>
          <w:szCs w:val="22"/>
        </w:rPr>
        <w:t xml:space="preserve">check </w:t>
      </w:r>
      <w:r w:rsidRPr="00B72A13">
        <w:rPr>
          <w:sz w:val="22"/>
          <w:szCs w:val="22"/>
        </w:rPr>
        <w:t>.</w:t>
      </w:r>
      <w:proofErr w:type="gramEnd"/>
      <w:r w:rsidRPr="00B72A13">
        <w:rPr>
          <w:sz w:val="22"/>
          <w:szCs w:val="22"/>
        </w:rPr>
        <w:t xml:space="preserve"> </w:t>
      </w:r>
      <w:r w:rsidRPr="00B72A13">
        <w:rPr>
          <w:rStyle w:val="citation-101"/>
          <w:sz w:val="22"/>
          <w:szCs w:val="22"/>
        </w:rPr>
        <w:t xml:space="preserve">The GMM estimations also </w:t>
      </w:r>
      <w:r w:rsidRPr="00B72A13">
        <w:rPr>
          <w:rStyle w:val="citation-101"/>
          <w:b/>
          <w:bCs/>
          <w:sz w:val="22"/>
          <w:szCs w:val="22"/>
        </w:rPr>
        <w:t>confirmed the existence of a long-run relationship</w:t>
      </w:r>
      <w:r w:rsidRPr="00B72A13">
        <w:rPr>
          <w:sz w:val="22"/>
          <w:szCs w:val="22"/>
        </w:rPr>
        <w:t xml:space="preserve">. </w:t>
      </w:r>
      <w:r w:rsidRPr="00B72A13">
        <w:rPr>
          <w:rStyle w:val="citation-100"/>
          <w:sz w:val="22"/>
          <w:szCs w:val="22"/>
        </w:rPr>
        <w:t xml:space="preserve">These models were correctly specified, as the </w:t>
      </w:r>
      <w:proofErr w:type="spellStart"/>
      <w:r w:rsidRPr="00B72A13">
        <w:rPr>
          <w:rStyle w:val="citation-100"/>
          <w:sz w:val="22"/>
          <w:szCs w:val="22"/>
        </w:rPr>
        <w:t>Sargan</w:t>
      </w:r>
      <w:proofErr w:type="spellEnd"/>
      <w:r w:rsidRPr="00B72A13">
        <w:rPr>
          <w:rStyle w:val="citation-100"/>
          <w:sz w:val="22"/>
          <w:szCs w:val="22"/>
        </w:rPr>
        <w:t>-J test indicated valid instruments, and the Arellano-Bond test showed no evidence of second-order serial correlation (AR2 p &gt; 0.05</w:t>
      </w:r>
      <w:proofErr w:type="gramStart"/>
      <w:r w:rsidRPr="00B72A13">
        <w:rPr>
          <w:rStyle w:val="citation-100"/>
          <w:sz w:val="22"/>
          <w:szCs w:val="22"/>
        </w:rPr>
        <w:t xml:space="preserve">) </w:t>
      </w:r>
      <w:r w:rsidRPr="00B72A13">
        <w:rPr>
          <w:sz w:val="22"/>
          <w:szCs w:val="22"/>
        </w:rPr>
        <w:t>.</w:t>
      </w:r>
      <w:proofErr w:type="gramEnd"/>
      <w:r w:rsidRPr="00B72A13">
        <w:rPr>
          <w:sz w:val="22"/>
          <w:szCs w:val="22"/>
        </w:rPr>
        <w:t xml:space="preserve"> These findings are consistent with previous scholars such as </w:t>
      </w:r>
      <w:proofErr w:type="spellStart"/>
      <w:r w:rsidRPr="00B72A13">
        <w:rPr>
          <w:sz w:val="22"/>
          <w:szCs w:val="22"/>
        </w:rPr>
        <w:t>Azutoru</w:t>
      </w:r>
      <w:proofErr w:type="spellEnd"/>
      <w:r w:rsidRPr="00B72A13">
        <w:rPr>
          <w:sz w:val="22"/>
          <w:szCs w:val="22"/>
        </w:rPr>
        <w:t xml:space="preserve"> et al. (2017) </w:t>
      </w:r>
      <w:r w:rsidRPr="00B72A13">
        <w:rPr>
          <w:rStyle w:val="citation-99"/>
          <w:sz w:val="22"/>
          <w:szCs w:val="22"/>
        </w:rPr>
        <w:t xml:space="preserve">and </w:t>
      </w:r>
      <w:proofErr w:type="spellStart"/>
      <w:r w:rsidRPr="00B72A13">
        <w:rPr>
          <w:rStyle w:val="citation-99"/>
          <w:sz w:val="22"/>
          <w:szCs w:val="22"/>
        </w:rPr>
        <w:t>Ozili</w:t>
      </w:r>
      <w:proofErr w:type="spellEnd"/>
      <w:r w:rsidRPr="00B72A13">
        <w:rPr>
          <w:rStyle w:val="citation-99"/>
          <w:sz w:val="22"/>
          <w:szCs w:val="22"/>
        </w:rPr>
        <w:t xml:space="preserve"> and </w:t>
      </w:r>
      <w:proofErr w:type="spellStart"/>
      <w:r w:rsidRPr="00B72A13">
        <w:rPr>
          <w:rStyle w:val="citation-99"/>
          <w:sz w:val="22"/>
          <w:szCs w:val="22"/>
        </w:rPr>
        <w:t>Uadiale</w:t>
      </w:r>
      <w:proofErr w:type="spellEnd"/>
      <w:r w:rsidRPr="00B72A13">
        <w:rPr>
          <w:rStyle w:val="citation-99"/>
          <w:sz w:val="22"/>
          <w:szCs w:val="22"/>
        </w:rPr>
        <w:t xml:space="preserve"> (2017</w:t>
      </w:r>
      <w:proofErr w:type="gramStart"/>
      <w:r w:rsidRPr="00B72A13">
        <w:rPr>
          <w:rStyle w:val="citation-99"/>
          <w:sz w:val="22"/>
          <w:szCs w:val="22"/>
        </w:rPr>
        <w:t xml:space="preserve">) </w:t>
      </w:r>
      <w:r w:rsidRPr="00B72A13">
        <w:rPr>
          <w:sz w:val="22"/>
          <w:szCs w:val="22"/>
        </w:rPr>
        <w:t>.</w:t>
      </w:r>
      <w:proofErr w:type="gramEnd"/>
    </w:p>
    <w:p w14:paraId="5080D76B" w14:textId="40ABBFD1" w:rsidR="008738A0" w:rsidRPr="00B72A13" w:rsidRDefault="008738A0" w:rsidP="008738A0">
      <w:pPr>
        <w:rPr>
          <w:rFonts w:ascii="Times New Roman" w:hAnsi="Times New Roman" w:cs="Times New Roman"/>
        </w:rPr>
      </w:pPr>
    </w:p>
    <w:p w14:paraId="79D4F95C" w14:textId="6DEEA518" w:rsidR="008738A0" w:rsidRPr="00B72A13" w:rsidRDefault="00734C69" w:rsidP="008738A0">
      <w:pPr>
        <w:pStyle w:val="Heading3"/>
        <w:rPr>
          <w:sz w:val="22"/>
          <w:szCs w:val="22"/>
        </w:rPr>
      </w:pPr>
      <w:r w:rsidRPr="00B72A13">
        <w:rPr>
          <w:sz w:val="22"/>
          <w:szCs w:val="22"/>
        </w:rPr>
        <w:t>5.4</w:t>
      </w:r>
      <w:r w:rsidR="008738A0" w:rsidRPr="00B72A13">
        <w:rPr>
          <w:sz w:val="22"/>
          <w:szCs w:val="22"/>
        </w:rPr>
        <w:t xml:space="preserve"> Evaluation of Blue-Chip Firm Performance</w:t>
      </w:r>
    </w:p>
    <w:p w14:paraId="7A6F4849" w14:textId="71C38BFC" w:rsidR="008738A0" w:rsidRPr="00B72A13" w:rsidRDefault="008738A0" w:rsidP="008738A0">
      <w:pPr>
        <w:pStyle w:val="NormalWeb"/>
        <w:rPr>
          <w:sz w:val="22"/>
          <w:szCs w:val="22"/>
        </w:rPr>
      </w:pPr>
      <w:r w:rsidRPr="00B72A13">
        <w:rPr>
          <w:rStyle w:val="citation-119"/>
          <w:sz w:val="22"/>
          <w:szCs w:val="22"/>
        </w:rPr>
        <w:t>To deepen the investigation, this study classified firms with a net worth of N100 Billion or more as "Blue-Chips"</w:t>
      </w:r>
      <w:r w:rsidRPr="00B72A13">
        <w:rPr>
          <w:sz w:val="22"/>
          <w:szCs w:val="22"/>
        </w:rPr>
        <w:t xml:space="preserve">. </w:t>
      </w:r>
      <w:r w:rsidRPr="00B72A13">
        <w:rPr>
          <w:rStyle w:val="citation-118"/>
          <w:sz w:val="22"/>
          <w:szCs w:val="22"/>
        </w:rPr>
        <w:t xml:space="preserve">We then examined this group separately, conducting a sub-period analysis to assess the impact of different policy regimes in Nigeria across three stages: 1990–2000, 2001–2011, and 2012–2020 (Results are presented in Tables </w:t>
      </w:r>
      <w:r w:rsidR="001B1976">
        <w:rPr>
          <w:rStyle w:val="citation-118"/>
          <w:sz w:val="22"/>
          <w:szCs w:val="22"/>
        </w:rPr>
        <w:t>5</w:t>
      </w:r>
      <w:r w:rsidRPr="00B72A13">
        <w:rPr>
          <w:rStyle w:val="citation-118"/>
          <w:sz w:val="22"/>
          <w:szCs w:val="22"/>
        </w:rPr>
        <w:t>A–</w:t>
      </w:r>
      <w:r w:rsidR="001B1976">
        <w:rPr>
          <w:rStyle w:val="citation-118"/>
          <w:sz w:val="22"/>
          <w:szCs w:val="22"/>
        </w:rPr>
        <w:t>5</w:t>
      </w:r>
      <w:r w:rsidRPr="00B72A13">
        <w:rPr>
          <w:rStyle w:val="citation-118"/>
          <w:sz w:val="22"/>
          <w:szCs w:val="22"/>
        </w:rPr>
        <w:t>C)</w:t>
      </w:r>
      <w:r w:rsidRPr="00B72A13">
        <w:rPr>
          <w:sz w:val="22"/>
          <w:szCs w:val="22"/>
        </w:rPr>
        <w:t>.</w:t>
      </w:r>
    </w:p>
    <w:p w14:paraId="1A35211E" w14:textId="77777777" w:rsidR="008738A0" w:rsidRPr="00B72A13" w:rsidRDefault="008738A0" w:rsidP="008738A0">
      <w:pPr>
        <w:pStyle w:val="NormalWeb"/>
        <w:rPr>
          <w:sz w:val="22"/>
          <w:szCs w:val="22"/>
        </w:rPr>
      </w:pPr>
      <w:r w:rsidRPr="00B72A13">
        <w:rPr>
          <w:rStyle w:val="citation-117"/>
          <w:sz w:val="22"/>
          <w:szCs w:val="22"/>
        </w:rPr>
        <w:t xml:space="preserve">The findings for this group confirm the main hypothesis: a </w:t>
      </w:r>
      <w:r w:rsidRPr="00B72A13">
        <w:rPr>
          <w:rStyle w:val="citation-117"/>
          <w:b/>
          <w:bCs/>
          <w:sz w:val="22"/>
          <w:szCs w:val="22"/>
        </w:rPr>
        <w:t>positive long-run relationship exists</w:t>
      </w:r>
      <w:r w:rsidRPr="00B72A13">
        <w:rPr>
          <w:rStyle w:val="citation-117"/>
          <w:sz w:val="22"/>
          <w:szCs w:val="22"/>
        </w:rPr>
        <w:t xml:space="preserve"> between corporate governance and the performance of Blue-Chip firms</w:t>
      </w:r>
      <w:r w:rsidRPr="00B72A13">
        <w:rPr>
          <w:sz w:val="22"/>
          <w:szCs w:val="22"/>
        </w:rPr>
        <w:t>. This was supported by most governance measures showing significant relationships.</w:t>
      </w:r>
    </w:p>
    <w:p w14:paraId="03443479" w14:textId="77777777" w:rsidR="008738A0" w:rsidRPr="00B72A13" w:rsidRDefault="008738A0" w:rsidP="008738A0">
      <w:pPr>
        <w:pStyle w:val="NormalWeb"/>
        <w:rPr>
          <w:sz w:val="22"/>
          <w:szCs w:val="22"/>
        </w:rPr>
      </w:pPr>
      <w:r w:rsidRPr="00B72A13">
        <w:rPr>
          <w:sz w:val="22"/>
          <w:szCs w:val="22"/>
        </w:rPr>
        <w:t xml:space="preserve">Furthermore, the short-run dynamics were validated. </w:t>
      </w:r>
      <w:r w:rsidRPr="00B72A13">
        <w:rPr>
          <w:rStyle w:val="citation-116"/>
          <w:sz w:val="22"/>
          <w:szCs w:val="22"/>
        </w:rPr>
        <w:t>The error correction model (ECM) coefficients for the MG, DFE, and PMG models were negative and statistically significant, indicating a functional speed of adjustment from short-run shocks back to the long-run equilibrium</w:t>
      </w:r>
      <w:r w:rsidRPr="00B72A13">
        <w:rPr>
          <w:sz w:val="22"/>
          <w:szCs w:val="22"/>
        </w:rPr>
        <w:t>.</w:t>
      </w:r>
    </w:p>
    <w:p w14:paraId="449AD4E0" w14:textId="09D3B882" w:rsidR="008738A0" w:rsidRPr="00B72A13" w:rsidRDefault="008738A0" w:rsidP="00734C69">
      <w:pPr>
        <w:pStyle w:val="NormalWeb"/>
        <w:rPr>
          <w:sz w:val="22"/>
          <w:szCs w:val="22"/>
        </w:rPr>
      </w:pPr>
      <w:r w:rsidRPr="00B72A13">
        <w:rPr>
          <w:rStyle w:val="citation-115"/>
          <w:sz w:val="22"/>
          <w:szCs w:val="22"/>
        </w:rPr>
        <w:lastRenderedPageBreak/>
        <w:t>Finally, robustness checks using differenced and system GMM also confirmed the existence of this long-run relationship</w:t>
      </w:r>
      <w:r w:rsidRPr="00B72A13">
        <w:rPr>
          <w:sz w:val="22"/>
          <w:szCs w:val="22"/>
        </w:rPr>
        <w:t xml:space="preserve">. These results align with previous findings by scholars such as </w:t>
      </w:r>
      <w:proofErr w:type="spellStart"/>
      <w:r w:rsidRPr="00B72A13">
        <w:rPr>
          <w:sz w:val="22"/>
          <w:szCs w:val="22"/>
        </w:rPr>
        <w:t>Odoemelam</w:t>
      </w:r>
      <w:proofErr w:type="spellEnd"/>
      <w:r w:rsidRPr="00B72A13">
        <w:rPr>
          <w:sz w:val="22"/>
          <w:szCs w:val="22"/>
        </w:rPr>
        <w:t xml:space="preserve"> and Okafor (2018), Abdulazeez et al. (2</w:t>
      </w:r>
      <w:r w:rsidR="00734C69" w:rsidRPr="00B72A13">
        <w:rPr>
          <w:sz w:val="22"/>
          <w:szCs w:val="22"/>
        </w:rPr>
        <w:t>016), and Shitu et al. (2018</w:t>
      </w:r>
      <w:proofErr w:type="gramStart"/>
      <w:r w:rsidR="00734C69" w:rsidRPr="00B72A13">
        <w:rPr>
          <w:sz w:val="22"/>
          <w:szCs w:val="22"/>
        </w:rPr>
        <w:t>) .</w:t>
      </w:r>
      <w:proofErr w:type="gramEnd"/>
    </w:p>
    <w:p w14:paraId="02E5634E" w14:textId="404E916C" w:rsidR="008738A0" w:rsidRPr="00B72A13" w:rsidRDefault="008738A0" w:rsidP="008738A0">
      <w:pPr>
        <w:pStyle w:val="Heading3"/>
        <w:rPr>
          <w:sz w:val="22"/>
          <w:szCs w:val="22"/>
        </w:rPr>
      </w:pPr>
      <w:r w:rsidRPr="00B72A13">
        <w:rPr>
          <w:sz w:val="22"/>
          <w:szCs w:val="22"/>
        </w:rPr>
        <w:t>5</w:t>
      </w:r>
      <w:r w:rsidR="00734C69" w:rsidRPr="00B72A13">
        <w:rPr>
          <w:sz w:val="22"/>
          <w:szCs w:val="22"/>
        </w:rPr>
        <w:t>.5</w:t>
      </w:r>
      <w:r w:rsidRPr="00B72A13">
        <w:rPr>
          <w:sz w:val="22"/>
          <w:szCs w:val="22"/>
        </w:rPr>
        <w:t xml:space="preserve"> Discussion of Findings</w:t>
      </w:r>
    </w:p>
    <w:p w14:paraId="1DCEBE16" w14:textId="1EC6BAAC" w:rsidR="008738A0" w:rsidRPr="00B72A13" w:rsidRDefault="008738A0" w:rsidP="008738A0">
      <w:pPr>
        <w:pStyle w:val="NormalWeb"/>
        <w:rPr>
          <w:sz w:val="22"/>
          <w:szCs w:val="22"/>
        </w:rPr>
      </w:pPr>
      <w:r w:rsidRPr="00B72A13">
        <w:rPr>
          <w:sz w:val="22"/>
          <w:szCs w:val="22"/>
        </w:rPr>
        <w:t xml:space="preserve">The central objective of this paper was to investigate the nexus between corporate governance and firm performance in Nigeria. </w:t>
      </w:r>
      <w:r w:rsidRPr="00B72A13">
        <w:rPr>
          <w:rStyle w:val="citation-89"/>
          <w:sz w:val="22"/>
          <w:szCs w:val="22"/>
        </w:rPr>
        <w:t xml:space="preserve">After employing a series of rigorous econometric tests, our findings confirm a positive and significant long-run relationship between corporate governance mechanisms and the performance of Nigerian firms, as measured by both Return on Assets (ROA) and Return on Equity (ROE) </w:t>
      </w:r>
      <w:r w:rsidRPr="00B72A13">
        <w:rPr>
          <w:sz w:val="22"/>
          <w:szCs w:val="22"/>
        </w:rPr>
        <w:t>.</w:t>
      </w:r>
      <w:r w:rsidRPr="00B72A13">
        <w:rPr>
          <w:rStyle w:val="citation-88"/>
          <w:sz w:val="22"/>
          <w:szCs w:val="22"/>
        </w:rPr>
        <w:t>This core finding remained robust after using panel dynamic ARDL models to capture long-run and short-run effects, and was subsequently confirmed using differenced and system GMM estimations to account for potential endogeneity</w:t>
      </w:r>
      <w:r w:rsidRPr="00B72A13">
        <w:rPr>
          <w:sz w:val="22"/>
          <w:szCs w:val="22"/>
        </w:rPr>
        <w:t>.</w:t>
      </w:r>
    </w:p>
    <w:p w14:paraId="557AA670" w14:textId="527C8CDE" w:rsidR="008738A0" w:rsidRPr="00B72A13" w:rsidRDefault="008738A0" w:rsidP="008738A0">
      <w:pPr>
        <w:pStyle w:val="NormalWeb"/>
        <w:rPr>
          <w:sz w:val="22"/>
          <w:szCs w:val="22"/>
        </w:rPr>
      </w:pPr>
      <w:r w:rsidRPr="00B72A13">
        <w:rPr>
          <w:sz w:val="22"/>
          <w:szCs w:val="22"/>
        </w:rPr>
        <w:t xml:space="preserve">This affirmative finding strongly supports the foundational theories of corporate governance. The positive relationship aligns with Agency Theory (Smith, 1776; Jensen and </w:t>
      </w:r>
      <w:proofErr w:type="spellStart"/>
      <w:r w:rsidRPr="00B72A13">
        <w:rPr>
          <w:sz w:val="22"/>
          <w:szCs w:val="22"/>
        </w:rPr>
        <w:t>Mecking</w:t>
      </w:r>
      <w:proofErr w:type="spellEnd"/>
      <w:r w:rsidRPr="00B72A13">
        <w:rPr>
          <w:sz w:val="22"/>
          <w:szCs w:val="22"/>
        </w:rPr>
        <w:t>, 1976), suggesting that the governance structures measured such as board committees and meeting frequency are effective in mitigating principal-agent conflicts. By enhancing oversight, transparency, and accountability, these mechanisms appear to successfully align the interests of managers with those of shareholders, thereby reducing agency costs and driving superior financial performance.</w:t>
      </w:r>
    </w:p>
    <w:p w14:paraId="5D4FF03A" w14:textId="77777777" w:rsidR="008738A0" w:rsidRPr="00B72A13" w:rsidRDefault="008738A0" w:rsidP="008738A0">
      <w:pPr>
        <w:pStyle w:val="NormalWeb"/>
        <w:rPr>
          <w:sz w:val="22"/>
          <w:szCs w:val="22"/>
        </w:rPr>
      </w:pPr>
      <w:r w:rsidRPr="00B72A13">
        <w:rPr>
          <w:sz w:val="22"/>
          <w:szCs w:val="22"/>
        </w:rPr>
        <w:t xml:space="preserve">Similarly, the results support Stewardship Theory, which posits that managers, when operating within a well-designed governance framework, will act as responsible stewards of corporate assets. </w:t>
      </w:r>
      <w:r w:rsidRPr="00B72A13">
        <w:rPr>
          <w:rStyle w:val="citation-87"/>
          <w:sz w:val="22"/>
          <w:szCs w:val="22"/>
        </w:rPr>
        <w:t>Our findings indicate that corporate governance is a noteworthy and vital tool for revitalizing firms</w:t>
      </w:r>
      <w:r w:rsidRPr="00B72A13">
        <w:rPr>
          <w:sz w:val="22"/>
          <w:szCs w:val="22"/>
        </w:rPr>
        <w:t xml:space="preserve">. </w:t>
      </w:r>
      <w:r w:rsidRPr="00B72A13">
        <w:rPr>
          <w:rStyle w:val="citation-86"/>
          <w:sz w:val="22"/>
          <w:szCs w:val="22"/>
        </w:rPr>
        <w:t>It provides the rules, ethical codes, and operational conduct that guide directors and managers, translating their daily activities into sustainable growth and development for the firm</w:t>
      </w:r>
      <w:r w:rsidRPr="00B72A13">
        <w:rPr>
          <w:sz w:val="22"/>
          <w:szCs w:val="22"/>
        </w:rPr>
        <w:t>.</w:t>
      </w:r>
    </w:p>
    <w:p w14:paraId="7CCB6A4E" w14:textId="77777777" w:rsidR="008738A0" w:rsidRPr="00B72A13" w:rsidRDefault="008738A0" w:rsidP="008738A0">
      <w:pPr>
        <w:pStyle w:val="NormalWeb"/>
        <w:rPr>
          <w:sz w:val="22"/>
          <w:szCs w:val="22"/>
        </w:rPr>
      </w:pPr>
      <w:r w:rsidRPr="00B72A13">
        <w:rPr>
          <w:rStyle w:val="citation-85"/>
          <w:sz w:val="22"/>
          <w:szCs w:val="22"/>
        </w:rPr>
        <w:t>A significant and unique contribution of this study is the disaggregation of firms into "Blue-Chip" (net worth &gt; N100 Billion) and "Penny" (net worth &lt; N100 Billion) categories</w:t>
      </w:r>
      <w:r w:rsidRPr="00B72A13">
        <w:rPr>
          <w:sz w:val="22"/>
          <w:szCs w:val="22"/>
        </w:rPr>
        <w:t>. Our analysis revealed that the governance-performance relationship is not monolithic; specific governance mechanisms have different impacts depending on firm stature.</w:t>
      </w:r>
    </w:p>
    <w:p w14:paraId="22BA256E" w14:textId="77777777" w:rsidR="008738A0" w:rsidRPr="00B72A13" w:rsidRDefault="008738A0" w:rsidP="008738A0">
      <w:pPr>
        <w:pStyle w:val="NormalWeb"/>
        <w:numPr>
          <w:ilvl w:val="0"/>
          <w:numId w:val="9"/>
        </w:numPr>
        <w:rPr>
          <w:sz w:val="22"/>
          <w:szCs w:val="22"/>
        </w:rPr>
      </w:pPr>
      <w:r w:rsidRPr="00B72A13">
        <w:rPr>
          <w:rStyle w:val="citation-84"/>
          <w:b/>
          <w:bCs/>
          <w:sz w:val="22"/>
          <w:szCs w:val="22"/>
        </w:rPr>
        <w:t>For Blue-Chip Firms:</w:t>
      </w:r>
      <w:r w:rsidRPr="00B72A13">
        <w:rPr>
          <w:rStyle w:val="citation-84"/>
          <w:sz w:val="22"/>
          <w:szCs w:val="22"/>
        </w:rPr>
        <w:t xml:space="preserve"> We found that the number of shareholders committee (NSHC) and shareholders’ funds (SHF) had insignificant relationships with </w:t>
      </w:r>
      <w:proofErr w:type="gramStart"/>
      <w:r w:rsidRPr="00B72A13">
        <w:rPr>
          <w:rStyle w:val="citation-84"/>
          <w:sz w:val="22"/>
          <w:szCs w:val="22"/>
        </w:rPr>
        <w:t xml:space="preserve">performance </w:t>
      </w:r>
      <w:r w:rsidRPr="00B72A13">
        <w:rPr>
          <w:sz w:val="22"/>
          <w:szCs w:val="22"/>
        </w:rPr>
        <w:t>.</w:t>
      </w:r>
      <w:proofErr w:type="gramEnd"/>
      <w:r w:rsidRPr="00B72A13">
        <w:rPr>
          <w:sz w:val="22"/>
          <w:szCs w:val="22"/>
        </w:rPr>
        <w:t xml:space="preserve"> This suggests that for large, highly established, and capital-rich firms, performance may be less sensitive to these specific variables. Their established market reputation, diversified operations, and high levels of institutional ownership may be stronger drivers of performance than the formal count of shareholder committees. Likewise, their vast shareholder funds may be so large that the marginal impact of changes in SHF on ROA or ROE becomes negligible.</w:t>
      </w:r>
    </w:p>
    <w:p w14:paraId="5A3AA06F" w14:textId="77777777" w:rsidR="008738A0" w:rsidRPr="00B72A13" w:rsidRDefault="008738A0" w:rsidP="008738A0">
      <w:pPr>
        <w:pStyle w:val="NormalWeb"/>
        <w:numPr>
          <w:ilvl w:val="0"/>
          <w:numId w:val="9"/>
        </w:numPr>
        <w:rPr>
          <w:sz w:val="22"/>
          <w:szCs w:val="22"/>
        </w:rPr>
      </w:pPr>
      <w:r w:rsidRPr="00B72A13">
        <w:rPr>
          <w:rStyle w:val="citation-83"/>
          <w:b/>
          <w:bCs/>
          <w:sz w:val="22"/>
          <w:szCs w:val="22"/>
        </w:rPr>
        <w:t>For Penny Firms:</w:t>
      </w:r>
      <w:r w:rsidRPr="00B72A13">
        <w:rPr>
          <w:rStyle w:val="citation-83"/>
          <w:sz w:val="22"/>
          <w:szCs w:val="22"/>
        </w:rPr>
        <w:t xml:space="preserve"> Conversely, the number of meetings held (NMH) and the number of audit committee (NAC) depicted insignificant relationships with performance</w:t>
      </w:r>
      <w:r w:rsidRPr="00B72A13">
        <w:rPr>
          <w:sz w:val="22"/>
          <w:szCs w:val="22"/>
        </w:rPr>
        <w:t xml:space="preserve">. This implies that for smaller, often more volatile firms, performance might be driven more by market niches, operational agility, or macroeconomic factors than by the </w:t>
      </w:r>
      <w:r w:rsidRPr="00B72A13">
        <w:rPr>
          <w:i/>
          <w:iCs/>
          <w:sz w:val="22"/>
          <w:szCs w:val="22"/>
        </w:rPr>
        <w:t>formality</w:t>
      </w:r>
      <w:r w:rsidRPr="00B72A13">
        <w:rPr>
          <w:sz w:val="22"/>
          <w:szCs w:val="22"/>
        </w:rPr>
        <w:t xml:space="preserve"> of governance processes. While audit is crucial, the formal existence of the committee (NAC) may have less impact than its actual </w:t>
      </w:r>
      <w:r w:rsidRPr="00B72A13">
        <w:rPr>
          <w:i/>
          <w:iCs/>
          <w:sz w:val="22"/>
          <w:szCs w:val="22"/>
        </w:rPr>
        <w:t>quality</w:t>
      </w:r>
      <w:r w:rsidRPr="00B72A13">
        <w:rPr>
          <w:sz w:val="22"/>
          <w:szCs w:val="22"/>
        </w:rPr>
        <w:t xml:space="preserve"> or </w:t>
      </w:r>
      <w:r w:rsidRPr="00B72A13">
        <w:rPr>
          <w:i/>
          <w:iCs/>
          <w:sz w:val="22"/>
          <w:szCs w:val="22"/>
        </w:rPr>
        <w:t>power</w:t>
      </w:r>
      <w:r w:rsidRPr="00B72A13">
        <w:rPr>
          <w:sz w:val="22"/>
          <w:szCs w:val="22"/>
        </w:rPr>
        <w:t>—factors not measured here. Similarly, meeting frequency (NMH) may be less important than the strategic decisions made, regardless of how often the board convenes.</w:t>
      </w:r>
    </w:p>
    <w:p w14:paraId="1629BA5D" w14:textId="77777777" w:rsidR="008738A0" w:rsidRPr="00B72A13" w:rsidRDefault="008738A0" w:rsidP="008738A0">
      <w:pPr>
        <w:pStyle w:val="NormalWeb"/>
        <w:rPr>
          <w:sz w:val="22"/>
          <w:szCs w:val="22"/>
        </w:rPr>
      </w:pPr>
      <w:r w:rsidRPr="00B72A13">
        <w:rPr>
          <w:sz w:val="22"/>
          <w:szCs w:val="22"/>
        </w:rPr>
        <w:t>These findings add to the literature by demonstrating that a "one-size-fits-all" approach to corporate governance policy in Nigeria may be ineffective.</w:t>
      </w:r>
    </w:p>
    <w:p w14:paraId="62F9DDC9" w14:textId="77777777" w:rsidR="008738A0" w:rsidRPr="00B72A13" w:rsidRDefault="008738A0" w:rsidP="008738A0">
      <w:pPr>
        <w:pStyle w:val="NormalWeb"/>
        <w:rPr>
          <w:sz w:val="22"/>
          <w:szCs w:val="22"/>
        </w:rPr>
      </w:pPr>
      <w:r w:rsidRPr="00B72A13">
        <w:rPr>
          <w:sz w:val="22"/>
          <w:szCs w:val="22"/>
        </w:rPr>
        <w:lastRenderedPageBreak/>
        <w:t xml:space="preserve">Our findings are consistent with the general conclusions of scholars like </w:t>
      </w:r>
      <w:proofErr w:type="spellStart"/>
      <w:r w:rsidRPr="00B72A13">
        <w:rPr>
          <w:sz w:val="22"/>
          <w:szCs w:val="22"/>
        </w:rPr>
        <w:t>Ozili</w:t>
      </w:r>
      <w:proofErr w:type="spellEnd"/>
      <w:r w:rsidRPr="00B72A13">
        <w:rPr>
          <w:sz w:val="22"/>
          <w:szCs w:val="22"/>
        </w:rPr>
        <w:t xml:space="preserve"> and </w:t>
      </w:r>
      <w:proofErr w:type="spellStart"/>
      <w:r w:rsidRPr="00B72A13">
        <w:rPr>
          <w:sz w:val="22"/>
          <w:szCs w:val="22"/>
        </w:rPr>
        <w:t>Uadiale</w:t>
      </w:r>
      <w:proofErr w:type="spellEnd"/>
      <w:r w:rsidRPr="00B72A13">
        <w:rPr>
          <w:sz w:val="22"/>
          <w:szCs w:val="22"/>
        </w:rPr>
        <w:t xml:space="preserve"> (2017) and </w:t>
      </w:r>
      <w:proofErr w:type="spellStart"/>
      <w:r w:rsidRPr="00B72A13">
        <w:rPr>
          <w:sz w:val="22"/>
          <w:szCs w:val="22"/>
        </w:rPr>
        <w:t>Azutoru</w:t>
      </w:r>
      <w:proofErr w:type="spellEnd"/>
      <w:r w:rsidRPr="00B72A13">
        <w:rPr>
          <w:sz w:val="22"/>
          <w:szCs w:val="22"/>
        </w:rPr>
        <w:t xml:space="preserve"> et al. (2017)</w:t>
      </w:r>
      <w:r w:rsidRPr="00B72A13">
        <w:rPr>
          <w:rStyle w:val="citation-82"/>
          <w:sz w:val="22"/>
          <w:szCs w:val="22"/>
        </w:rPr>
        <w:t>, who also found that corporate governance promotes firm performance in Nigeria</w:t>
      </w:r>
      <w:r w:rsidRPr="00B72A13">
        <w:rPr>
          <w:sz w:val="22"/>
          <w:szCs w:val="22"/>
        </w:rPr>
        <w:t>. However, our study is unique and extends this literature in several critical ways.</w:t>
      </w:r>
    </w:p>
    <w:p w14:paraId="26BE5A23" w14:textId="77777777" w:rsidR="008738A0" w:rsidRPr="00B72A13" w:rsidRDefault="008738A0" w:rsidP="008738A0">
      <w:pPr>
        <w:pStyle w:val="NormalWeb"/>
        <w:rPr>
          <w:sz w:val="22"/>
          <w:szCs w:val="22"/>
        </w:rPr>
      </w:pPr>
      <w:r w:rsidRPr="00B72A13">
        <w:rPr>
          <w:sz w:val="22"/>
          <w:szCs w:val="22"/>
        </w:rPr>
        <w:t xml:space="preserve">First, the extensive 30-year scope (1990–2020) provides a much wider and more robust view of these long-term relationships compared to studies with shorter timeframes, such as </w:t>
      </w:r>
      <w:proofErr w:type="spellStart"/>
      <w:r w:rsidRPr="00B72A13">
        <w:rPr>
          <w:sz w:val="22"/>
          <w:szCs w:val="22"/>
        </w:rPr>
        <w:t>Azutoru</w:t>
      </w:r>
      <w:proofErr w:type="spellEnd"/>
      <w:r w:rsidRPr="00B72A13">
        <w:rPr>
          <w:sz w:val="22"/>
          <w:szCs w:val="22"/>
        </w:rPr>
        <w:t xml:space="preserve"> et al. (2017) </w:t>
      </w:r>
      <w:r w:rsidRPr="00B72A13">
        <w:rPr>
          <w:rStyle w:val="citation-81"/>
          <w:rFonts w:eastAsiaTheme="majorEastAsia"/>
          <w:sz w:val="22"/>
          <w:szCs w:val="22"/>
        </w:rPr>
        <w:t>covering 2011-2015 or Adebiyi (2017) covering 2005-</w:t>
      </w:r>
      <w:proofErr w:type="gramStart"/>
      <w:r w:rsidRPr="00B72A13">
        <w:rPr>
          <w:rStyle w:val="citation-81"/>
          <w:rFonts w:eastAsiaTheme="majorEastAsia"/>
          <w:sz w:val="22"/>
          <w:szCs w:val="22"/>
        </w:rPr>
        <w:t xml:space="preserve">2016 </w:t>
      </w:r>
      <w:r w:rsidRPr="00B72A13">
        <w:rPr>
          <w:sz w:val="22"/>
          <w:szCs w:val="22"/>
        </w:rPr>
        <w:t>.</w:t>
      </w:r>
      <w:proofErr w:type="gramEnd"/>
    </w:p>
    <w:p w14:paraId="6F94BCB1" w14:textId="77777777" w:rsidR="008738A0" w:rsidRPr="00B72A13" w:rsidRDefault="008738A0" w:rsidP="008738A0">
      <w:pPr>
        <w:pStyle w:val="NormalWeb"/>
        <w:rPr>
          <w:sz w:val="22"/>
          <w:szCs w:val="22"/>
        </w:rPr>
      </w:pPr>
      <w:r w:rsidRPr="00B72A13">
        <w:rPr>
          <w:rStyle w:val="citation-80"/>
          <w:sz w:val="22"/>
          <w:szCs w:val="22"/>
        </w:rPr>
        <w:t>Second, our study deliberately moves beyond the limitations of static Ordinary Least Squares (OLS) models used in some prior research</w:t>
      </w:r>
      <w:r w:rsidRPr="00B72A13">
        <w:rPr>
          <w:sz w:val="22"/>
          <w:szCs w:val="22"/>
        </w:rPr>
        <w:t xml:space="preserve">. </w:t>
      </w:r>
      <w:r w:rsidRPr="00B72A13">
        <w:rPr>
          <w:rStyle w:val="citation-79"/>
          <w:sz w:val="22"/>
          <w:szCs w:val="22"/>
        </w:rPr>
        <w:t>By employing panel dynamic ARDL estimators (MG, DFE, and PMG), we were able to distinguish between short-run and long-run effects</w:t>
      </w:r>
      <w:r w:rsidRPr="00B72A13">
        <w:rPr>
          <w:sz w:val="22"/>
          <w:szCs w:val="22"/>
        </w:rPr>
        <w:t xml:space="preserve">. </w:t>
      </w:r>
      <w:r w:rsidRPr="00B72A13">
        <w:rPr>
          <w:rStyle w:val="citation-78"/>
          <w:sz w:val="22"/>
          <w:szCs w:val="22"/>
        </w:rPr>
        <w:t>The negative and statistically significant error correction term (ECM) coefficients confirmed that short-run deviations are corrected at various speeds, pointing to a stable long-run equilibrium</w:t>
      </w:r>
      <w:r w:rsidRPr="00B72A13">
        <w:rPr>
          <w:sz w:val="22"/>
          <w:szCs w:val="22"/>
        </w:rPr>
        <w:t>.</w:t>
      </w:r>
    </w:p>
    <w:p w14:paraId="3817B32F" w14:textId="77777777" w:rsidR="008738A0" w:rsidRPr="00B72A13" w:rsidRDefault="008738A0" w:rsidP="008738A0">
      <w:pPr>
        <w:pStyle w:val="NormalWeb"/>
        <w:rPr>
          <w:sz w:val="22"/>
          <w:szCs w:val="22"/>
        </w:rPr>
      </w:pPr>
      <w:r w:rsidRPr="00B72A13">
        <w:rPr>
          <w:rStyle w:val="citation-77"/>
          <w:sz w:val="22"/>
          <w:szCs w:val="22"/>
        </w:rPr>
        <w:t>Third, we explicitly addressed the issue of endogeneity, which can arise from firm-specific effects and bias OLS results</w:t>
      </w:r>
      <w:r w:rsidRPr="00B72A13">
        <w:rPr>
          <w:sz w:val="22"/>
          <w:szCs w:val="22"/>
        </w:rPr>
        <w:t xml:space="preserve">. </w:t>
      </w:r>
      <w:r w:rsidRPr="00B72A13">
        <w:rPr>
          <w:rStyle w:val="citation-76"/>
          <w:sz w:val="22"/>
          <w:szCs w:val="22"/>
        </w:rPr>
        <w:t xml:space="preserve">The use of differenced and system GMM as a robustness check—a technique also used by </w:t>
      </w:r>
      <w:proofErr w:type="spellStart"/>
      <w:r w:rsidRPr="00B72A13">
        <w:rPr>
          <w:rStyle w:val="citation-76"/>
          <w:sz w:val="22"/>
          <w:szCs w:val="22"/>
        </w:rPr>
        <w:t>Ozili</w:t>
      </w:r>
      <w:proofErr w:type="spellEnd"/>
      <w:r w:rsidRPr="00B72A13">
        <w:rPr>
          <w:rStyle w:val="citation-76"/>
          <w:sz w:val="22"/>
          <w:szCs w:val="22"/>
        </w:rPr>
        <w:t xml:space="preserve"> and </w:t>
      </w:r>
      <w:proofErr w:type="spellStart"/>
      <w:r w:rsidRPr="00B72A13">
        <w:rPr>
          <w:rStyle w:val="citation-76"/>
          <w:sz w:val="22"/>
          <w:szCs w:val="22"/>
        </w:rPr>
        <w:t>Uadiale</w:t>
      </w:r>
      <w:proofErr w:type="spellEnd"/>
      <w:r w:rsidRPr="00B72A13">
        <w:rPr>
          <w:rStyle w:val="citation-76"/>
          <w:sz w:val="22"/>
          <w:szCs w:val="22"/>
        </w:rPr>
        <w:t xml:space="preserve"> (2017) but not by others like Adebiyi (2017) </w:t>
      </w:r>
      <w:r w:rsidRPr="00B72A13">
        <w:rPr>
          <w:rStyle w:val="citation-75"/>
          <w:sz w:val="22"/>
          <w:szCs w:val="22"/>
        </w:rPr>
        <w:t>—confirmed that the positive long-run relationship holds, strengthening the validity of our conclusions</w:t>
      </w:r>
      <w:r w:rsidRPr="00B72A13">
        <w:rPr>
          <w:sz w:val="22"/>
          <w:szCs w:val="22"/>
        </w:rPr>
        <w:t>.</w:t>
      </w:r>
    </w:p>
    <w:p w14:paraId="0041E6AC" w14:textId="77777777" w:rsidR="008738A0" w:rsidRPr="00B72A13" w:rsidRDefault="008738A0" w:rsidP="008738A0">
      <w:pPr>
        <w:pStyle w:val="NormalWeb"/>
        <w:rPr>
          <w:sz w:val="22"/>
          <w:szCs w:val="22"/>
        </w:rPr>
      </w:pPr>
      <w:r w:rsidRPr="00B72A13">
        <w:rPr>
          <w:rStyle w:val="citation-74"/>
          <w:sz w:val="22"/>
          <w:szCs w:val="22"/>
        </w:rPr>
        <w:t xml:space="preserve">Finally, where many studies focus on specific mechanisms (like board composition or ownership concentration), our study considers corporate governance more holistically while </w:t>
      </w:r>
      <w:r w:rsidRPr="00B72A13">
        <w:rPr>
          <w:rStyle w:val="citation-74"/>
          <w:i/>
          <w:iCs/>
          <w:sz w:val="22"/>
          <w:szCs w:val="22"/>
        </w:rPr>
        <w:t>also</w:t>
      </w:r>
      <w:r w:rsidRPr="00B72A13">
        <w:rPr>
          <w:rStyle w:val="citation-74"/>
          <w:sz w:val="22"/>
          <w:szCs w:val="22"/>
        </w:rPr>
        <w:t xml:space="preserve"> providing the novel disaggregation between Blue-Chip and Penny firms</w:t>
      </w:r>
      <w:r w:rsidRPr="00B72A13">
        <w:rPr>
          <w:sz w:val="22"/>
          <w:szCs w:val="22"/>
        </w:rPr>
        <w:t>.</w:t>
      </w:r>
    </w:p>
    <w:p w14:paraId="23179542" w14:textId="77777777" w:rsidR="008738A0" w:rsidRPr="00B72A13" w:rsidRDefault="008738A0" w:rsidP="008738A0">
      <w:pPr>
        <w:pStyle w:val="NormalWeb"/>
        <w:rPr>
          <w:sz w:val="22"/>
          <w:szCs w:val="22"/>
        </w:rPr>
      </w:pPr>
      <w:r w:rsidRPr="00B72A13">
        <w:rPr>
          <w:sz w:val="22"/>
          <w:szCs w:val="22"/>
        </w:rPr>
        <w:t xml:space="preserve">Despite the study's robust methodology, some limitations must be acknowledged. </w:t>
      </w:r>
      <w:r w:rsidRPr="00B72A13">
        <w:rPr>
          <w:rStyle w:val="citation-73"/>
          <w:sz w:val="22"/>
          <w:szCs w:val="22"/>
        </w:rPr>
        <w:t>First, the classification of firms as Blue-Chip or Penny was based on their net worth as of 2021</w:t>
      </w:r>
      <w:r w:rsidRPr="00B72A13">
        <w:rPr>
          <w:sz w:val="22"/>
          <w:szCs w:val="22"/>
        </w:rPr>
        <w:t xml:space="preserve">. Over the 30-year data span, it is possible that some firms transitioned between these categories, a dynamic not captured by this static classification. </w:t>
      </w:r>
      <w:r w:rsidRPr="00B72A13">
        <w:rPr>
          <w:rStyle w:val="citation-72"/>
          <w:sz w:val="22"/>
          <w:szCs w:val="22"/>
        </w:rPr>
        <w:t>Second, the sample of 30 firms was determined by data availability</w:t>
      </w:r>
      <w:r w:rsidRPr="00B72A13">
        <w:rPr>
          <w:sz w:val="22"/>
          <w:szCs w:val="22"/>
        </w:rPr>
        <w:t>, and while representative, a larger sample could yield further insights.</w:t>
      </w:r>
    </w:p>
    <w:p w14:paraId="5AC5C770" w14:textId="77777777" w:rsidR="008738A0" w:rsidRPr="00B72A13" w:rsidRDefault="008738A0" w:rsidP="008738A0">
      <w:pPr>
        <w:pStyle w:val="NormalWeb"/>
        <w:rPr>
          <w:sz w:val="22"/>
          <w:szCs w:val="22"/>
        </w:rPr>
      </w:pPr>
      <w:r w:rsidRPr="00B72A13">
        <w:rPr>
          <w:sz w:val="22"/>
          <w:szCs w:val="22"/>
        </w:rPr>
        <w:t>Future research could build on these findings by exploring qualitative aspects of governance, such as the independence, expertise, and "boardroom culture" of these firms, rather than relying solely on quantitative metrics (e.g., BS, NMH). Further studies could also apply this dynamic ARDL-GMM framework to specific high-growth sectors (like FinTech or telecommunications) to see if these governance relationships differ.</w:t>
      </w:r>
    </w:p>
    <w:p w14:paraId="784A472C" w14:textId="77777777" w:rsidR="008738A0" w:rsidRPr="00B72A13" w:rsidRDefault="008738A0" w:rsidP="00063BCA">
      <w:pPr>
        <w:spacing w:line="240" w:lineRule="auto"/>
        <w:jc w:val="both"/>
        <w:rPr>
          <w:rFonts w:ascii="Times New Roman" w:eastAsia="Times New Roman" w:hAnsi="Times New Roman" w:cs="Times New Roman"/>
          <w:kern w:val="0"/>
          <w14:ligatures w14:val="none"/>
        </w:rPr>
      </w:pPr>
    </w:p>
    <w:p w14:paraId="347007EF" w14:textId="18B87AC3"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w:t>
      </w:r>
    </w:p>
    <w:p w14:paraId="20ECF28A" w14:textId="77777777" w:rsidR="008738A0" w:rsidRPr="00B72A13" w:rsidRDefault="008738A0" w:rsidP="008738A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6.0 Conclusion and Recommendations</w:t>
      </w:r>
    </w:p>
    <w:p w14:paraId="3D216D8D" w14:textId="77777777"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This study confirms a positive and significant long-run relationship between corporate governance and firm performance among 30 firms listed on the Nigerian Stock Exchange from 1990 to 2020. Cointegration tests, panel ARDL models, and GMM estimations (used to control for endogeneity) all support this conclusion. The findings affirm that sound corporate governance is a major contributor to firm performance, as it provides the essential rules, ethics, and codes of conduct that guide stakeholders and managers toward growth .</w:t>
      </w:r>
    </w:p>
    <w:p w14:paraId="467496C2" w14:textId="77777777"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While the positive long-run relationship holds broadly, we found specific differences between firm types: number of shareholders committee (NSHC) and shareholders’ funds (SHF) were insignificant for Blue-</w:t>
      </w:r>
      <w:r w:rsidRPr="00B72A13">
        <w:rPr>
          <w:rFonts w:ascii="Times New Roman" w:eastAsia="Times New Roman" w:hAnsi="Times New Roman" w:cs="Times New Roman"/>
          <w:kern w:val="0"/>
          <w14:ligatures w14:val="none"/>
        </w:rPr>
        <w:lastRenderedPageBreak/>
        <w:t xml:space="preserve">Chip firms, while number of meetings held (NMH) and number of audit committee (NAC) were insignificant for Penny </w:t>
      </w:r>
      <w:proofErr w:type="gramStart"/>
      <w:r w:rsidRPr="00B72A13">
        <w:rPr>
          <w:rFonts w:ascii="Times New Roman" w:eastAsia="Times New Roman" w:hAnsi="Times New Roman" w:cs="Times New Roman"/>
          <w:kern w:val="0"/>
          <w14:ligatures w14:val="none"/>
        </w:rPr>
        <w:t>firms .</w:t>
      </w:r>
      <w:proofErr w:type="gramEnd"/>
    </w:p>
    <w:p w14:paraId="01C876D5" w14:textId="77777777"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Based on these findings, we recommend that the Nigerian government prioritize improving the business environment. Nigeria’s low "ease of doing business" ranking (133rd out of 190) is linked to corruption and poor institutional quality, which deters investors. To improve firm performance, the government must provide and enforce a robust regulatory framework for corporate governance bodies, ensuring that these structures are checked regularly to yield their desired results.</w:t>
      </w:r>
    </w:p>
    <w:p w14:paraId="377BF7B1" w14:textId="77777777" w:rsidR="008738A0" w:rsidRPr="00B72A13" w:rsidRDefault="008738A0" w:rsidP="00063BCA">
      <w:pPr>
        <w:spacing w:line="240" w:lineRule="auto"/>
        <w:jc w:val="both"/>
        <w:rPr>
          <w:rFonts w:ascii="Times New Roman" w:eastAsia="Times New Roman" w:hAnsi="Times New Roman" w:cs="Times New Roman"/>
          <w:b/>
          <w:bCs/>
          <w:kern w:val="0"/>
          <w14:ligatures w14:val="none"/>
        </w:rPr>
      </w:pPr>
    </w:p>
    <w:p w14:paraId="27AA6677"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Reference</w:t>
      </w:r>
    </w:p>
    <w:p w14:paraId="4F29B49A"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Abdullahi, B.A., Rohami, B.S., and Kuwata, G. (2017). Corporate governance as a mechanism for measuring financial performance of banks in Nigeria. Journal of Accounting and Management, 8(1), 1-19.</w:t>
      </w:r>
    </w:p>
    <w:p w14:paraId="0E02675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Almontaser Abdallah Mohammad </w:t>
      </w:r>
      <w:proofErr w:type="spellStart"/>
      <w:r w:rsidRPr="00B72A13">
        <w:rPr>
          <w:rFonts w:ascii="Times New Roman" w:eastAsia="Times New Roman" w:hAnsi="Times New Roman" w:cs="Times New Roman"/>
          <w:kern w:val="0"/>
          <w14:ligatures w14:val="none"/>
        </w:rPr>
        <w:t>Qadorah</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Faudziah</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Hanim</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Bt</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Fadzil</w:t>
      </w:r>
      <w:proofErr w:type="spellEnd"/>
      <w:r w:rsidRPr="00B72A13">
        <w:rPr>
          <w:rFonts w:ascii="Times New Roman" w:eastAsia="Times New Roman" w:hAnsi="Times New Roman" w:cs="Times New Roman"/>
          <w:kern w:val="0"/>
          <w14:ligatures w14:val="none"/>
        </w:rPr>
        <w:t xml:space="preserve">, The Relationship Between Board Size and CEO Duality and Firm Performance: Evidence from Jordan, International Journal of Accounting, Finance and Risk Management. Vol. 3, No. 3, 2018, pp. 16-20. </w:t>
      </w:r>
      <w:proofErr w:type="spellStart"/>
      <w:r w:rsidRPr="00B72A13">
        <w:rPr>
          <w:rFonts w:ascii="Times New Roman" w:eastAsia="Times New Roman" w:hAnsi="Times New Roman" w:cs="Times New Roman"/>
          <w:kern w:val="0"/>
          <w14:ligatures w14:val="none"/>
        </w:rPr>
        <w:t>doi</w:t>
      </w:r>
      <w:proofErr w:type="spellEnd"/>
      <w:r w:rsidRPr="00B72A13">
        <w:rPr>
          <w:rFonts w:ascii="Times New Roman" w:eastAsia="Times New Roman" w:hAnsi="Times New Roman" w:cs="Times New Roman"/>
          <w:kern w:val="0"/>
          <w14:ligatures w14:val="none"/>
        </w:rPr>
        <w:t>: 10.11648/j.ijafrm.20180303.11</w:t>
      </w:r>
    </w:p>
    <w:p w14:paraId="0D42C88D"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Arun T.G. and Turner J. D. (2000). Corporate Governance of Banks in Developing Economies: concepts and issues. Journal of Corporate Governance and International Review 12(3):371-377 DOI:10.1111/j.1467-8683.2004.00378.</w:t>
      </w:r>
    </w:p>
    <w:p w14:paraId="56148431"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Azutoru</w:t>
      </w:r>
      <w:proofErr w:type="spellEnd"/>
      <w:r w:rsidRPr="00B72A13">
        <w:rPr>
          <w:rFonts w:ascii="Times New Roman" w:eastAsia="Times New Roman" w:hAnsi="Times New Roman" w:cs="Times New Roman"/>
          <w:kern w:val="0"/>
          <w14:ligatures w14:val="none"/>
        </w:rPr>
        <w:t xml:space="preserve"> IHC, </w:t>
      </w:r>
      <w:proofErr w:type="spellStart"/>
      <w:r w:rsidRPr="00B72A13">
        <w:rPr>
          <w:rFonts w:ascii="Times New Roman" w:eastAsia="Times New Roman" w:hAnsi="Times New Roman" w:cs="Times New Roman"/>
          <w:kern w:val="0"/>
          <w14:ligatures w14:val="none"/>
        </w:rPr>
        <w:t>Obinne</w:t>
      </w:r>
      <w:proofErr w:type="spellEnd"/>
      <w:r w:rsidRPr="00B72A13">
        <w:rPr>
          <w:rFonts w:ascii="Times New Roman" w:eastAsia="Times New Roman" w:hAnsi="Times New Roman" w:cs="Times New Roman"/>
          <w:kern w:val="0"/>
          <w14:ligatures w14:val="none"/>
        </w:rPr>
        <w:t xml:space="preserve"> UG, and Chinelo OO (2017). Effect of corporate governance mechanisms on financial performance of insurance companies in Nigeria. Journal of Finance and Accounting 5(3):93- 103.</w:t>
      </w:r>
    </w:p>
    <w:p w14:paraId="6C2023C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Chen, James (2020). Corporate Governance-definition available at https://www.investopedia.com/c/corporategovernance.asp. </w:t>
      </w:r>
    </w:p>
    <w:p w14:paraId="2808F97C"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Ciftci, I., Ekrem T., Wood, G., </w:t>
      </w:r>
      <w:proofErr w:type="spellStart"/>
      <w:r w:rsidRPr="00B72A13">
        <w:rPr>
          <w:rFonts w:ascii="Times New Roman" w:eastAsia="Times New Roman" w:hAnsi="Times New Roman" w:cs="Times New Roman"/>
          <w:kern w:val="0"/>
          <w14:ligatures w14:val="none"/>
        </w:rPr>
        <w:t>Demirbag</w:t>
      </w:r>
      <w:proofErr w:type="spellEnd"/>
      <w:r w:rsidRPr="00B72A13">
        <w:rPr>
          <w:rFonts w:ascii="Times New Roman" w:eastAsia="Times New Roman" w:hAnsi="Times New Roman" w:cs="Times New Roman"/>
          <w:kern w:val="0"/>
          <w14:ligatures w14:val="none"/>
        </w:rPr>
        <w:t>, M. &amp; Selim, Z. (2019). "Corporate governance and firm performance in emerging markets: Evidence from Turkey," International Business Review, Elsevier, vol. 28(1), pages 90-103.</w:t>
      </w:r>
    </w:p>
    <w:p w14:paraId="7B57D772"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Coleman A.K. and </w:t>
      </w:r>
      <w:proofErr w:type="spellStart"/>
      <w:r w:rsidRPr="00B72A13">
        <w:rPr>
          <w:rFonts w:ascii="Times New Roman" w:eastAsia="Times New Roman" w:hAnsi="Times New Roman" w:cs="Times New Roman"/>
          <w:kern w:val="0"/>
          <w14:ligatures w14:val="none"/>
        </w:rPr>
        <w:t>Biekpe</w:t>
      </w:r>
      <w:proofErr w:type="spellEnd"/>
      <w:r w:rsidRPr="00B72A13">
        <w:rPr>
          <w:rFonts w:ascii="Times New Roman" w:eastAsia="Times New Roman" w:hAnsi="Times New Roman" w:cs="Times New Roman"/>
          <w:kern w:val="0"/>
          <w14:ligatures w14:val="none"/>
        </w:rPr>
        <w:t xml:space="preserve"> N. (2016). The Relationship between Board Size, Board Composition, CEO Duality and Firm Performance: Experience from Ghana. Journal of Corporate Ownership and Control 4(2) DOI: 10.22495/cocv4i2p11 </w:t>
      </w:r>
    </w:p>
    <w:p w14:paraId="73F1229A"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Ghatak, S. and </w:t>
      </w:r>
      <w:proofErr w:type="spellStart"/>
      <w:r w:rsidRPr="00B72A13">
        <w:rPr>
          <w:rFonts w:ascii="Times New Roman" w:eastAsia="Times New Roman" w:hAnsi="Times New Roman" w:cs="Times New Roman"/>
          <w:kern w:val="0"/>
          <w14:ligatures w14:val="none"/>
        </w:rPr>
        <w:t>Siddiki</w:t>
      </w:r>
      <w:proofErr w:type="spellEnd"/>
      <w:r w:rsidRPr="00B72A13">
        <w:rPr>
          <w:rFonts w:ascii="Times New Roman" w:eastAsia="Times New Roman" w:hAnsi="Times New Roman" w:cs="Times New Roman"/>
          <w:kern w:val="0"/>
          <w14:ligatures w14:val="none"/>
        </w:rPr>
        <w:t>, J. (2001). The use of ARDL approach in estimating virtual exchange rates in India. Journal of Applied Statistics, Vol.11, 573-583.</w:t>
      </w:r>
    </w:p>
    <w:p w14:paraId="04C96742" w14:textId="225715BB"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Habib, Md, Relationship between Corporate Governance and Firm Performance: A Case Study in Bangladesh (2016). International Scholar Journal of Accounting and Finance, Volume-2, No.1 (2016)11</w:t>
      </w:r>
      <w:r w:rsidR="00E44CB9"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Available at SSRN: https://ssrn.com/abstract=2819099</w:t>
      </w:r>
    </w:p>
    <w:p w14:paraId="3D8B057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Hausman, Jerry. 1978. Specification Tests in Econometrics. </w:t>
      </w:r>
      <w:proofErr w:type="spellStart"/>
      <w:r w:rsidRPr="00B72A13">
        <w:rPr>
          <w:rFonts w:ascii="Times New Roman" w:eastAsia="Times New Roman" w:hAnsi="Times New Roman" w:cs="Times New Roman"/>
          <w:i/>
          <w:iCs/>
          <w:kern w:val="0"/>
          <w14:ligatures w14:val="none"/>
        </w:rPr>
        <w:t>Econometrica</w:t>
      </w:r>
      <w:proofErr w:type="spellEnd"/>
      <w:r w:rsidRPr="00B72A13">
        <w:rPr>
          <w:rFonts w:ascii="Times New Roman" w:eastAsia="Times New Roman" w:hAnsi="Times New Roman" w:cs="Times New Roman"/>
          <w:kern w:val="0"/>
          <w14:ligatures w14:val="none"/>
        </w:rPr>
        <w:t> 46: 1251–1272.</w:t>
      </w:r>
    </w:p>
    <w:p w14:paraId="195CE8A4"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IFC (2018). IFC Corporate Governance Methodology. International Finance Corporation 2018.</w:t>
      </w:r>
    </w:p>
    <w:p w14:paraId="1C55A995" w14:textId="01E96906"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Im</w:t>
      </w:r>
      <w:proofErr w:type="spellEnd"/>
      <w:r w:rsidRPr="00B72A13">
        <w:rPr>
          <w:rFonts w:ascii="Times New Roman" w:eastAsia="Times New Roman" w:hAnsi="Times New Roman" w:cs="Times New Roman"/>
          <w:kern w:val="0"/>
          <w14:ligatures w14:val="none"/>
        </w:rPr>
        <w:t xml:space="preserve">, K.S.,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M.H., and Shin, Y. (2003), </w:t>
      </w:r>
      <w:proofErr w:type="spellStart"/>
      <w:r w:rsidRPr="00B72A13">
        <w:rPr>
          <w:rFonts w:ascii="Times New Roman" w:eastAsia="Times New Roman" w:hAnsi="Times New Roman" w:cs="Times New Roman"/>
          <w:kern w:val="0"/>
          <w14:ligatures w14:val="none"/>
        </w:rPr>
        <w:t>ìTesting</w:t>
      </w:r>
      <w:proofErr w:type="spellEnd"/>
      <w:r w:rsidRPr="00B72A13">
        <w:rPr>
          <w:rFonts w:ascii="Times New Roman" w:eastAsia="Times New Roman" w:hAnsi="Times New Roman" w:cs="Times New Roman"/>
          <w:kern w:val="0"/>
          <w14:ligatures w14:val="none"/>
        </w:rPr>
        <w:t xml:space="preserve"> for Unit Roots in Heterogeneous Panels, Journal of Econometrics, 115, 1, 53-74.</w:t>
      </w:r>
    </w:p>
    <w:p w14:paraId="1D576FFB" w14:textId="4DB22B04"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Irine, H., &amp; Indah, M. S. (2017). The Effect of Corporate Governance on the Performance of a Company.</w:t>
      </w:r>
      <w:r w:rsidR="002F15FA"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Some Empirical Findings from Indonesia. Journal of Management and Business Administration. Central Europe, 25(1), 33-52.</w:t>
      </w:r>
    </w:p>
    <w:p w14:paraId="3E6FA229"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 xml:space="preserve">Johansen (1991). “Estimation and Hypothesis Testing of Cointegration Vectors in Gaussian Vector Autoregressive Models,” </w:t>
      </w:r>
      <w:proofErr w:type="spellStart"/>
      <w:r w:rsidRPr="00B72A13">
        <w:rPr>
          <w:rFonts w:ascii="Times New Roman" w:eastAsia="Times New Roman" w:hAnsi="Times New Roman" w:cs="Times New Roman"/>
          <w:kern w:val="0"/>
          <w14:ligatures w14:val="none"/>
        </w:rPr>
        <w:t>Econometrica</w:t>
      </w:r>
      <w:proofErr w:type="spellEnd"/>
      <w:r w:rsidRPr="00B72A13">
        <w:rPr>
          <w:rFonts w:ascii="Times New Roman" w:eastAsia="Times New Roman" w:hAnsi="Times New Roman" w:cs="Times New Roman"/>
          <w:kern w:val="0"/>
          <w14:ligatures w14:val="none"/>
        </w:rPr>
        <w:t>, Vol. 59, No. 6, pp. 1551–1580.  </w:t>
      </w:r>
    </w:p>
    <w:p w14:paraId="5BACDEA7"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Johansen (1995). Likelihood-Based Inference in Cointegrated Vector Autoregressive Models (New York: Oxford University Press).</w:t>
      </w:r>
    </w:p>
    <w:p w14:paraId="11E68BC1"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Johansen and Juselius, K., (1990). “Maximum Likelihood Estimation and Inference on Cointegration– with Applications to the Demand for Money,” Oxford Bulletin of Economics and Statistics, Vol. 52, No. 2, pp. 169–210.</w:t>
      </w:r>
    </w:p>
    <w:p w14:paraId="548C31D8"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Kalsie</w:t>
      </w:r>
      <w:proofErr w:type="spellEnd"/>
      <w:r w:rsidRPr="00B72A13">
        <w:rPr>
          <w:rFonts w:ascii="Times New Roman" w:eastAsia="Times New Roman" w:hAnsi="Times New Roman" w:cs="Times New Roman"/>
          <w:kern w:val="0"/>
          <w14:ligatures w14:val="none"/>
        </w:rPr>
        <w:t>, A. and Mittal S.S., (2016). The Relationship between CEO Duality and Firm Performance: An Analysis Using Panel Data Approach (October 18, 2016). The IUP Journal of Corporate Governance, Vol. XV, No. 2, April 2016, pp. 37-58, Available at SSRN: https://ssrn.com/abstract=2853984</w:t>
      </w:r>
    </w:p>
    <w:p w14:paraId="2161174B"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Levin, A., Lin, C. F. and Chu, C. S. J (2002) Unit root tests in panel data: asymptotic and finite sample properties, Journal of Econometrics 108, 1–24.</w:t>
      </w:r>
    </w:p>
    <w:p w14:paraId="24C75A56" w14:textId="6C26A1F6"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Maddala, G.S. and Wu, S. (1999), A Comparative Study of Unit Root Tests with Panel Data and a New Simple Test Oxford Bulletin of Economics and Statistics, special issue, 631- 652.</w:t>
      </w:r>
    </w:p>
    <w:p w14:paraId="0EE150AA" w14:textId="1EC5B700"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Manasseh, C.O., </w:t>
      </w:r>
      <w:proofErr w:type="spellStart"/>
      <w:r w:rsidRPr="00B72A13">
        <w:rPr>
          <w:rFonts w:ascii="Times New Roman" w:eastAsia="Times New Roman" w:hAnsi="Times New Roman" w:cs="Times New Roman"/>
          <w:kern w:val="0"/>
          <w14:ligatures w14:val="none"/>
        </w:rPr>
        <w:t>Ogbuabor</w:t>
      </w:r>
      <w:proofErr w:type="spellEnd"/>
      <w:r w:rsidRPr="00B72A13">
        <w:rPr>
          <w:rFonts w:ascii="Times New Roman" w:eastAsia="Times New Roman" w:hAnsi="Times New Roman" w:cs="Times New Roman"/>
          <w:kern w:val="0"/>
          <w14:ligatures w14:val="none"/>
        </w:rPr>
        <w:t xml:space="preserve">, J.E., </w:t>
      </w:r>
      <w:proofErr w:type="spellStart"/>
      <w:r w:rsidRPr="00B72A13">
        <w:rPr>
          <w:rFonts w:ascii="Times New Roman" w:eastAsia="Times New Roman" w:hAnsi="Times New Roman" w:cs="Times New Roman"/>
          <w:kern w:val="0"/>
          <w14:ligatures w14:val="none"/>
        </w:rPr>
        <w:t>Anumudu</w:t>
      </w:r>
      <w:proofErr w:type="spellEnd"/>
      <w:r w:rsidRPr="00B72A13">
        <w:rPr>
          <w:rFonts w:ascii="Times New Roman" w:eastAsia="Times New Roman" w:hAnsi="Times New Roman" w:cs="Times New Roman"/>
          <w:kern w:val="0"/>
          <w14:ligatures w14:val="none"/>
        </w:rPr>
        <w:t>, C.N., Abada F.C., Okolie, M.A. &amp; Okoro E.O. (2018). "The Causal Effect of Stock Market Development, Financial Sector Reforms and Economic Growth: The Application of Vector Autoregressive and Error Correction Model," International Journal of Economics and Financial Issues, Econ</w:t>
      </w:r>
      <w:r w:rsidR="00E44CB9"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journals, vol. 8(2), pages 357-369</w:t>
      </w:r>
    </w:p>
    <w:p w14:paraId="74E03ECE"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Narayan (2004). Determinants of Demand for Fiji's Exports: An Empirical Investigation. https://doi.org/10.1111/j.1746-1049.2004.tb01017</w:t>
      </w:r>
    </w:p>
    <w:p w14:paraId="59D655C0"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Paniagua, Jordi &amp; </w:t>
      </w:r>
      <w:proofErr w:type="spellStart"/>
      <w:r w:rsidRPr="00B72A13">
        <w:rPr>
          <w:rFonts w:ascii="Times New Roman" w:eastAsia="Times New Roman" w:hAnsi="Times New Roman" w:cs="Times New Roman"/>
          <w:kern w:val="0"/>
          <w14:ligatures w14:val="none"/>
        </w:rPr>
        <w:t>Rivelles</w:t>
      </w:r>
      <w:proofErr w:type="spellEnd"/>
      <w:r w:rsidRPr="00B72A13">
        <w:rPr>
          <w:rFonts w:ascii="Times New Roman" w:eastAsia="Times New Roman" w:hAnsi="Times New Roman" w:cs="Times New Roman"/>
          <w:kern w:val="0"/>
          <w14:ligatures w14:val="none"/>
        </w:rPr>
        <w:t xml:space="preserve">, Rafael &amp; </w:t>
      </w:r>
      <w:proofErr w:type="spellStart"/>
      <w:r w:rsidRPr="00B72A13">
        <w:rPr>
          <w:rFonts w:ascii="Times New Roman" w:eastAsia="Times New Roman" w:hAnsi="Times New Roman" w:cs="Times New Roman"/>
          <w:kern w:val="0"/>
          <w14:ligatures w14:val="none"/>
        </w:rPr>
        <w:t>Sapena</w:t>
      </w:r>
      <w:proofErr w:type="spellEnd"/>
      <w:r w:rsidRPr="00B72A13">
        <w:rPr>
          <w:rFonts w:ascii="Times New Roman" w:eastAsia="Times New Roman" w:hAnsi="Times New Roman" w:cs="Times New Roman"/>
          <w:kern w:val="0"/>
          <w14:ligatures w14:val="none"/>
        </w:rPr>
        <w:t>, Juan, 2018. "Corporate governance and financial performance: The role of ownership and board structure," Journal of Business Research, Elsevier, vol. 89(C), pages 229-234.</w:t>
      </w:r>
    </w:p>
    <w:p w14:paraId="0EA49CC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M.H., Shin, Y., and Smith, R.J. (2001). 'Bounds testing approaches to the analysis of level relationships', Journal of Applied Econometrics, Vol 16, pp 289-326.</w:t>
      </w:r>
    </w:p>
    <w:p w14:paraId="5C1EC1E6" w14:textId="41398578" w:rsidR="00063BCA" w:rsidRPr="00B72A13" w:rsidRDefault="00063BCA" w:rsidP="00063BCA">
      <w:pPr>
        <w:spacing w:line="240" w:lineRule="auto"/>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H.M., and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B. (1997), Micro</w:t>
      </w:r>
      <w:r w:rsidR="00E44CB9" w:rsidRPr="00B72A13">
        <w:rPr>
          <w:rFonts w:ascii="Times New Roman" w:eastAsia="Times New Roman" w:hAnsi="Times New Roman" w:cs="Times New Roman"/>
          <w:kern w:val="0"/>
          <w14:ligatures w14:val="none"/>
        </w:rPr>
        <w:t>sof</w:t>
      </w:r>
      <w:r w:rsidRPr="00B72A13">
        <w:rPr>
          <w:rFonts w:ascii="Times New Roman" w:eastAsia="Times New Roman" w:hAnsi="Times New Roman" w:cs="Times New Roman"/>
          <w:kern w:val="0"/>
          <w14:ligatures w14:val="none"/>
        </w:rPr>
        <w:t>t 4.0, Oxford University Press, England.</w:t>
      </w:r>
    </w:p>
    <w:p w14:paraId="23018553"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Scafarto</w:t>
      </w:r>
      <w:proofErr w:type="spellEnd"/>
      <w:r w:rsidRPr="00B72A13">
        <w:rPr>
          <w:rFonts w:ascii="Times New Roman" w:eastAsia="Times New Roman" w:hAnsi="Times New Roman" w:cs="Times New Roman"/>
          <w:kern w:val="0"/>
          <w14:ligatures w14:val="none"/>
        </w:rPr>
        <w:t xml:space="preserve">, V., Ricci, F., &amp; </w:t>
      </w:r>
      <w:proofErr w:type="spellStart"/>
      <w:r w:rsidRPr="00B72A13">
        <w:rPr>
          <w:rFonts w:ascii="Times New Roman" w:eastAsia="Times New Roman" w:hAnsi="Times New Roman" w:cs="Times New Roman"/>
          <w:kern w:val="0"/>
          <w14:ligatures w14:val="none"/>
        </w:rPr>
        <w:t>Scafarto</w:t>
      </w:r>
      <w:proofErr w:type="spellEnd"/>
      <w:r w:rsidRPr="00B72A13">
        <w:rPr>
          <w:rFonts w:ascii="Times New Roman" w:eastAsia="Times New Roman" w:hAnsi="Times New Roman" w:cs="Times New Roman"/>
          <w:kern w:val="0"/>
          <w14:ligatures w14:val="none"/>
        </w:rPr>
        <w:t>, F. (2016). Intellectual capital and firm performance in the global agribusiness industry: The moderating role of human capital. Journal of Intellectual Capital, 17(3), 530–552.</w:t>
      </w:r>
    </w:p>
    <w:p w14:paraId="0C6482CB"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Sewpersadh</w:t>
      </w:r>
      <w:proofErr w:type="spellEnd"/>
      <w:r w:rsidRPr="00B72A13">
        <w:rPr>
          <w:rFonts w:ascii="Times New Roman" w:eastAsia="Times New Roman" w:hAnsi="Times New Roman" w:cs="Times New Roman"/>
          <w:kern w:val="0"/>
          <w14:ligatures w14:val="none"/>
        </w:rPr>
        <w:t xml:space="preserve"> (2019). Governing Board Attributes as Profitability Influencers under Endogeneity: An Econometric Analysis in South Africa. ACRN Journal of Finance and Risk Perspectives.</w:t>
      </w:r>
    </w:p>
    <w:p w14:paraId="06FA5DB9" w14:textId="56C21400"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Zabri, S. M., Ahmad, K. &amp; Wah, K. K. (2016). Corporate governance practices and firm performance: Evidence from top 100 public listed companies in Malaysia. 7th International Economics and Business Management Conference, 5th and 6thOctober, 2015. Procedia Economics and Finance, 35, 287 – 296.</w:t>
      </w:r>
    </w:p>
    <w:p w14:paraId="4576C1CD" w14:textId="77777777" w:rsidR="004D0067" w:rsidRPr="00B72A13" w:rsidRDefault="004D0067">
      <w:pPr>
        <w:rPr>
          <w:rFonts w:ascii="Times New Roman" w:hAnsi="Times New Roman" w:cs="Times New Roman"/>
        </w:rPr>
      </w:pPr>
    </w:p>
    <w:sectPr w:rsidR="004D0067" w:rsidRPr="00B72A1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3CBF" w14:textId="77777777" w:rsidR="007C3B7A" w:rsidRDefault="007C3B7A" w:rsidP="000A12A8">
      <w:pPr>
        <w:spacing w:after="0" w:line="240" w:lineRule="auto"/>
      </w:pPr>
      <w:r>
        <w:separator/>
      </w:r>
    </w:p>
  </w:endnote>
  <w:endnote w:type="continuationSeparator" w:id="0">
    <w:p w14:paraId="1D75B6FA" w14:textId="77777777" w:rsidR="007C3B7A" w:rsidRDefault="007C3B7A" w:rsidP="000A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49C1" w14:textId="77777777" w:rsidR="000A12A8" w:rsidRDefault="000A1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0336" w14:textId="77777777" w:rsidR="000A12A8" w:rsidRDefault="000A1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191D" w14:textId="77777777" w:rsidR="000A12A8" w:rsidRDefault="000A1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74BB" w14:textId="77777777" w:rsidR="007C3B7A" w:rsidRDefault="007C3B7A" w:rsidP="000A12A8">
      <w:pPr>
        <w:spacing w:after="0" w:line="240" w:lineRule="auto"/>
      </w:pPr>
      <w:r>
        <w:separator/>
      </w:r>
    </w:p>
  </w:footnote>
  <w:footnote w:type="continuationSeparator" w:id="0">
    <w:p w14:paraId="26418A72" w14:textId="77777777" w:rsidR="007C3B7A" w:rsidRDefault="007C3B7A" w:rsidP="000A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7271" w14:textId="22337139" w:rsidR="000A12A8" w:rsidRDefault="000A12A8">
    <w:pPr>
      <w:pStyle w:val="Header"/>
    </w:pPr>
    <w:r>
      <w:rPr>
        <w:noProof/>
      </w:rPr>
      <w:pict w14:anchorId="46B17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D9B7" w14:textId="76CCF469" w:rsidR="000A12A8" w:rsidRDefault="000A12A8">
    <w:pPr>
      <w:pStyle w:val="Header"/>
    </w:pPr>
    <w:r>
      <w:rPr>
        <w:noProof/>
      </w:rPr>
      <w:pict w14:anchorId="48E79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A273" w14:textId="723388DA" w:rsidR="000A12A8" w:rsidRDefault="000A12A8">
    <w:pPr>
      <w:pStyle w:val="Header"/>
    </w:pPr>
    <w:r>
      <w:rPr>
        <w:noProof/>
      </w:rPr>
      <w:pict w14:anchorId="1CB54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497"/>
    <w:multiLevelType w:val="multilevel"/>
    <w:tmpl w:val="72CA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B5821"/>
    <w:multiLevelType w:val="multilevel"/>
    <w:tmpl w:val="55A62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75577"/>
    <w:multiLevelType w:val="multilevel"/>
    <w:tmpl w:val="FB44E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942EA"/>
    <w:multiLevelType w:val="multilevel"/>
    <w:tmpl w:val="9F7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7417B"/>
    <w:multiLevelType w:val="multilevel"/>
    <w:tmpl w:val="866C5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81EF5"/>
    <w:multiLevelType w:val="multilevel"/>
    <w:tmpl w:val="B1C4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
    <w:lvlOverride w:ilvl="0">
      <w:lvl w:ilvl="0">
        <w:numFmt w:val="decimal"/>
        <w:lvlText w:val="%1."/>
        <w:lvlJc w:val="left"/>
      </w:lvl>
    </w:lvlOverride>
  </w:num>
  <w:num w:numId="4">
    <w:abstractNumId w:val="2"/>
  </w:num>
  <w:num w:numId="5">
    <w:abstractNumId w:val="2"/>
    <w:lvlOverride w:ilvl="0">
      <w:lvl w:ilvl="0">
        <w:numFmt w:val="decimal"/>
        <w:lvlText w:val="%1."/>
        <w:lvlJc w:val="left"/>
      </w:lvl>
    </w:lvlOverride>
  </w:num>
  <w:num w:numId="6">
    <w:abstractNumId w:val="0"/>
  </w:num>
  <w:num w:numId="7">
    <w:abstractNumId w:val="4"/>
  </w:num>
  <w:num w:numId="8">
    <w:abstractNumId w:val="4"/>
    <w:lvlOverride w:ilvl="0">
      <w:lvl w:ilvl="0">
        <w:numFmt w:val="decimal"/>
        <w:lvlText w:val="%1."/>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CA"/>
    <w:rsid w:val="00063BCA"/>
    <w:rsid w:val="000A12A8"/>
    <w:rsid w:val="00172F26"/>
    <w:rsid w:val="001B1976"/>
    <w:rsid w:val="00240FF8"/>
    <w:rsid w:val="002F15FA"/>
    <w:rsid w:val="00307C4D"/>
    <w:rsid w:val="003E66A0"/>
    <w:rsid w:val="00415FAF"/>
    <w:rsid w:val="004B670E"/>
    <w:rsid w:val="004D0067"/>
    <w:rsid w:val="00531BAE"/>
    <w:rsid w:val="00563BAA"/>
    <w:rsid w:val="006C6DA6"/>
    <w:rsid w:val="006E63FC"/>
    <w:rsid w:val="00734C69"/>
    <w:rsid w:val="007C3B7A"/>
    <w:rsid w:val="00833696"/>
    <w:rsid w:val="00855F1E"/>
    <w:rsid w:val="00856001"/>
    <w:rsid w:val="008738A0"/>
    <w:rsid w:val="00875E63"/>
    <w:rsid w:val="008873DB"/>
    <w:rsid w:val="00953C52"/>
    <w:rsid w:val="009E5E56"/>
    <w:rsid w:val="00A94201"/>
    <w:rsid w:val="00AF620B"/>
    <w:rsid w:val="00B72A13"/>
    <w:rsid w:val="00C37AE3"/>
    <w:rsid w:val="00C7020D"/>
    <w:rsid w:val="00D37F37"/>
    <w:rsid w:val="00E44CB9"/>
    <w:rsid w:val="00F1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0B2DF3"/>
  <w15:chartTrackingRefBased/>
  <w15:docId w15:val="{561E5E22-C735-4206-B0D6-1873C2D3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738A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73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63B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063B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063BCA"/>
  </w:style>
  <w:style w:type="character" w:styleId="Hyperlink">
    <w:name w:val="Hyperlink"/>
    <w:basedOn w:val="DefaultParagraphFont"/>
    <w:uiPriority w:val="99"/>
    <w:unhideWhenUsed/>
    <w:rsid w:val="00953C52"/>
    <w:rPr>
      <w:color w:val="0563C1" w:themeColor="hyperlink"/>
      <w:u w:val="single"/>
    </w:rPr>
  </w:style>
  <w:style w:type="character" w:customStyle="1" w:styleId="Heading3Char">
    <w:name w:val="Heading 3 Char"/>
    <w:basedOn w:val="DefaultParagraphFont"/>
    <w:link w:val="Heading3"/>
    <w:uiPriority w:val="9"/>
    <w:rsid w:val="008738A0"/>
    <w:rPr>
      <w:rFonts w:ascii="Times New Roman" w:eastAsia="Times New Roman" w:hAnsi="Times New Roman" w:cs="Times New Roman"/>
      <w:b/>
      <w:bCs/>
      <w:kern w:val="0"/>
      <w:sz w:val="27"/>
      <w:szCs w:val="27"/>
      <w14:ligatures w14:val="none"/>
    </w:rPr>
  </w:style>
  <w:style w:type="character" w:customStyle="1" w:styleId="citation-35">
    <w:name w:val="citation-35"/>
    <w:basedOn w:val="DefaultParagraphFont"/>
    <w:rsid w:val="008738A0"/>
  </w:style>
  <w:style w:type="character" w:customStyle="1" w:styleId="citation-34">
    <w:name w:val="citation-34"/>
    <w:basedOn w:val="DefaultParagraphFont"/>
    <w:rsid w:val="008738A0"/>
  </w:style>
  <w:style w:type="character" w:customStyle="1" w:styleId="citation-33">
    <w:name w:val="citation-33"/>
    <w:basedOn w:val="DefaultParagraphFont"/>
    <w:rsid w:val="008738A0"/>
  </w:style>
  <w:style w:type="character" w:customStyle="1" w:styleId="citation-32">
    <w:name w:val="citation-32"/>
    <w:basedOn w:val="DefaultParagraphFont"/>
    <w:rsid w:val="008738A0"/>
  </w:style>
  <w:style w:type="character" w:customStyle="1" w:styleId="citation-31">
    <w:name w:val="citation-31"/>
    <w:basedOn w:val="DefaultParagraphFont"/>
    <w:rsid w:val="008738A0"/>
  </w:style>
  <w:style w:type="character" w:customStyle="1" w:styleId="citation-30">
    <w:name w:val="citation-30"/>
    <w:basedOn w:val="DefaultParagraphFont"/>
    <w:rsid w:val="008738A0"/>
  </w:style>
  <w:style w:type="character" w:customStyle="1" w:styleId="Heading4Char">
    <w:name w:val="Heading 4 Char"/>
    <w:basedOn w:val="DefaultParagraphFont"/>
    <w:link w:val="Heading4"/>
    <w:uiPriority w:val="9"/>
    <w:semiHidden/>
    <w:rsid w:val="008738A0"/>
    <w:rPr>
      <w:rFonts w:asciiTheme="majorHAnsi" w:eastAsiaTheme="majorEastAsia" w:hAnsiTheme="majorHAnsi" w:cstheme="majorBidi"/>
      <w:i/>
      <w:iCs/>
      <w:color w:val="2F5496" w:themeColor="accent1" w:themeShade="BF"/>
    </w:rPr>
  </w:style>
  <w:style w:type="character" w:customStyle="1" w:styleId="citation-89">
    <w:name w:val="citation-89"/>
    <w:basedOn w:val="DefaultParagraphFont"/>
    <w:rsid w:val="008738A0"/>
  </w:style>
  <w:style w:type="character" w:customStyle="1" w:styleId="citation-88">
    <w:name w:val="citation-88"/>
    <w:basedOn w:val="DefaultParagraphFont"/>
    <w:rsid w:val="008738A0"/>
  </w:style>
  <w:style w:type="character" w:customStyle="1" w:styleId="citation-87">
    <w:name w:val="citation-87"/>
    <w:basedOn w:val="DefaultParagraphFont"/>
    <w:rsid w:val="008738A0"/>
  </w:style>
  <w:style w:type="character" w:customStyle="1" w:styleId="citation-86">
    <w:name w:val="citation-86"/>
    <w:basedOn w:val="DefaultParagraphFont"/>
    <w:rsid w:val="008738A0"/>
  </w:style>
  <w:style w:type="character" w:customStyle="1" w:styleId="citation-85">
    <w:name w:val="citation-85"/>
    <w:basedOn w:val="DefaultParagraphFont"/>
    <w:rsid w:val="008738A0"/>
  </w:style>
  <w:style w:type="character" w:customStyle="1" w:styleId="citation-84">
    <w:name w:val="citation-84"/>
    <w:basedOn w:val="DefaultParagraphFont"/>
    <w:rsid w:val="008738A0"/>
  </w:style>
  <w:style w:type="character" w:customStyle="1" w:styleId="citation-83">
    <w:name w:val="citation-83"/>
    <w:basedOn w:val="DefaultParagraphFont"/>
    <w:rsid w:val="008738A0"/>
  </w:style>
  <w:style w:type="character" w:customStyle="1" w:styleId="citation-82">
    <w:name w:val="citation-82"/>
    <w:basedOn w:val="DefaultParagraphFont"/>
    <w:rsid w:val="008738A0"/>
  </w:style>
  <w:style w:type="character" w:customStyle="1" w:styleId="citation-81">
    <w:name w:val="citation-81"/>
    <w:basedOn w:val="DefaultParagraphFont"/>
    <w:rsid w:val="008738A0"/>
  </w:style>
  <w:style w:type="character" w:customStyle="1" w:styleId="citation-80">
    <w:name w:val="citation-80"/>
    <w:basedOn w:val="DefaultParagraphFont"/>
    <w:rsid w:val="008738A0"/>
  </w:style>
  <w:style w:type="character" w:customStyle="1" w:styleId="citation-79">
    <w:name w:val="citation-79"/>
    <w:basedOn w:val="DefaultParagraphFont"/>
    <w:rsid w:val="008738A0"/>
  </w:style>
  <w:style w:type="character" w:customStyle="1" w:styleId="citation-78">
    <w:name w:val="citation-78"/>
    <w:basedOn w:val="DefaultParagraphFont"/>
    <w:rsid w:val="008738A0"/>
  </w:style>
  <w:style w:type="character" w:customStyle="1" w:styleId="citation-77">
    <w:name w:val="citation-77"/>
    <w:basedOn w:val="DefaultParagraphFont"/>
    <w:rsid w:val="008738A0"/>
  </w:style>
  <w:style w:type="character" w:customStyle="1" w:styleId="citation-76">
    <w:name w:val="citation-76"/>
    <w:basedOn w:val="DefaultParagraphFont"/>
    <w:rsid w:val="008738A0"/>
  </w:style>
  <w:style w:type="character" w:customStyle="1" w:styleId="citation-75">
    <w:name w:val="citation-75"/>
    <w:basedOn w:val="DefaultParagraphFont"/>
    <w:rsid w:val="008738A0"/>
  </w:style>
  <w:style w:type="character" w:customStyle="1" w:styleId="citation-74">
    <w:name w:val="citation-74"/>
    <w:basedOn w:val="DefaultParagraphFont"/>
    <w:rsid w:val="008738A0"/>
  </w:style>
  <w:style w:type="character" w:customStyle="1" w:styleId="citation-73">
    <w:name w:val="citation-73"/>
    <w:basedOn w:val="DefaultParagraphFont"/>
    <w:rsid w:val="008738A0"/>
  </w:style>
  <w:style w:type="character" w:customStyle="1" w:styleId="citation-72">
    <w:name w:val="citation-72"/>
    <w:basedOn w:val="DefaultParagraphFont"/>
    <w:rsid w:val="008738A0"/>
  </w:style>
  <w:style w:type="character" w:customStyle="1" w:styleId="citation-107">
    <w:name w:val="citation-107"/>
    <w:basedOn w:val="DefaultParagraphFont"/>
    <w:rsid w:val="008738A0"/>
  </w:style>
  <w:style w:type="character" w:customStyle="1" w:styleId="citation-106">
    <w:name w:val="citation-106"/>
    <w:basedOn w:val="DefaultParagraphFont"/>
    <w:rsid w:val="008738A0"/>
  </w:style>
  <w:style w:type="character" w:customStyle="1" w:styleId="citation-105">
    <w:name w:val="citation-105"/>
    <w:basedOn w:val="DefaultParagraphFont"/>
    <w:rsid w:val="008738A0"/>
  </w:style>
  <w:style w:type="character" w:customStyle="1" w:styleId="citation-104">
    <w:name w:val="citation-104"/>
    <w:basedOn w:val="DefaultParagraphFont"/>
    <w:rsid w:val="008738A0"/>
  </w:style>
  <w:style w:type="character" w:customStyle="1" w:styleId="citation-103">
    <w:name w:val="citation-103"/>
    <w:basedOn w:val="DefaultParagraphFont"/>
    <w:rsid w:val="008738A0"/>
  </w:style>
  <w:style w:type="character" w:customStyle="1" w:styleId="citation-102">
    <w:name w:val="citation-102"/>
    <w:basedOn w:val="DefaultParagraphFont"/>
    <w:rsid w:val="008738A0"/>
  </w:style>
  <w:style w:type="character" w:customStyle="1" w:styleId="citation-101">
    <w:name w:val="citation-101"/>
    <w:basedOn w:val="DefaultParagraphFont"/>
    <w:rsid w:val="008738A0"/>
  </w:style>
  <w:style w:type="character" w:customStyle="1" w:styleId="citation-100">
    <w:name w:val="citation-100"/>
    <w:basedOn w:val="DefaultParagraphFont"/>
    <w:rsid w:val="008738A0"/>
  </w:style>
  <w:style w:type="character" w:customStyle="1" w:styleId="citation-99">
    <w:name w:val="citation-99"/>
    <w:basedOn w:val="DefaultParagraphFont"/>
    <w:rsid w:val="008738A0"/>
  </w:style>
  <w:style w:type="character" w:customStyle="1" w:styleId="citation-119">
    <w:name w:val="citation-119"/>
    <w:basedOn w:val="DefaultParagraphFont"/>
    <w:rsid w:val="008738A0"/>
  </w:style>
  <w:style w:type="character" w:customStyle="1" w:styleId="citation-118">
    <w:name w:val="citation-118"/>
    <w:basedOn w:val="DefaultParagraphFont"/>
    <w:rsid w:val="008738A0"/>
  </w:style>
  <w:style w:type="character" w:customStyle="1" w:styleId="citation-117">
    <w:name w:val="citation-117"/>
    <w:basedOn w:val="DefaultParagraphFont"/>
    <w:rsid w:val="008738A0"/>
  </w:style>
  <w:style w:type="character" w:customStyle="1" w:styleId="citation-116">
    <w:name w:val="citation-116"/>
    <w:basedOn w:val="DefaultParagraphFont"/>
    <w:rsid w:val="008738A0"/>
  </w:style>
  <w:style w:type="character" w:customStyle="1" w:styleId="citation-115">
    <w:name w:val="citation-115"/>
    <w:basedOn w:val="DefaultParagraphFont"/>
    <w:rsid w:val="008738A0"/>
  </w:style>
  <w:style w:type="character" w:styleId="UnresolvedMention">
    <w:name w:val="Unresolved Mention"/>
    <w:basedOn w:val="DefaultParagraphFont"/>
    <w:uiPriority w:val="99"/>
    <w:semiHidden/>
    <w:unhideWhenUsed/>
    <w:rsid w:val="00D37F37"/>
    <w:rPr>
      <w:color w:val="605E5C"/>
      <w:shd w:val="clear" w:color="auto" w:fill="E1DFDD"/>
    </w:rPr>
  </w:style>
  <w:style w:type="paragraph" w:styleId="Header">
    <w:name w:val="header"/>
    <w:basedOn w:val="Normal"/>
    <w:link w:val="HeaderChar"/>
    <w:uiPriority w:val="99"/>
    <w:unhideWhenUsed/>
    <w:rsid w:val="000A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A8"/>
  </w:style>
  <w:style w:type="paragraph" w:styleId="Footer">
    <w:name w:val="footer"/>
    <w:basedOn w:val="Normal"/>
    <w:link w:val="FooterChar"/>
    <w:uiPriority w:val="99"/>
    <w:unhideWhenUsed/>
    <w:rsid w:val="000A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66">
      <w:bodyDiv w:val="1"/>
      <w:marLeft w:val="0"/>
      <w:marRight w:val="0"/>
      <w:marTop w:val="0"/>
      <w:marBottom w:val="0"/>
      <w:divBdr>
        <w:top w:val="none" w:sz="0" w:space="0" w:color="auto"/>
        <w:left w:val="none" w:sz="0" w:space="0" w:color="auto"/>
        <w:bottom w:val="none" w:sz="0" w:space="0" w:color="auto"/>
        <w:right w:val="none" w:sz="0" w:space="0" w:color="auto"/>
      </w:divBdr>
    </w:div>
    <w:div w:id="493301637">
      <w:bodyDiv w:val="1"/>
      <w:marLeft w:val="0"/>
      <w:marRight w:val="0"/>
      <w:marTop w:val="0"/>
      <w:marBottom w:val="0"/>
      <w:divBdr>
        <w:top w:val="none" w:sz="0" w:space="0" w:color="auto"/>
        <w:left w:val="none" w:sz="0" w:space="0" w:color="auto"/>
        <w:bottom w:val="none" w:sz="0" w:space="0" w:color="auto"/>
        <w:right w:val="none" w:sz="0" w:space="0" w:color="auto"/>
      </w:divBdr>
      <w:divsChild>
        <w:div w:id="585918284">
          <w:marLeft w:val="-5"/>
          <w:marRight w:val="0"/>
          <w:marTop w:val="0"/>
          <w:marBottom w:val="0"/>
          <w:divBdr>
            <w:top w:val="none" w:sz="0" w:space="0" w:color="auto"/>
            <w:left w:val="none" w:sz="0" w:space="0" w:color="auto"/>
            <w:bottom w:val="none" w:sz="0" w:space="0" w:color="auto"/>
            <w:right w:val="none" w:sz="0" w:space="0" w:color="auto"/>
          </w:divBdr>
        </w:div>
      </w:divsChild>
    </w:div>
    <w:div w:id="1434285512">
      <w:bodyDiv w:val="1"/>
      <w:marLeft w:val="0"/>
      <w:marRight w:val="0"/>
      <w:marTop w:val="0"/>
      <w:marBottom w:val="0"/>
      <w:divBdr>
        <w:top w:val="none" w:sz="0" w:space="0" w:color="auto"/>
        <w:left w:val="none" w:sz="0" w:space="0" w:color="auto"/>
        <w:bottom w:val="none" w:sz="0" w:space="0" w:color="auto"/>
        <w:right w:val="none" w:sz="0" w:space="0" w:color="auto"/>
      </w:divBdr>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9882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7603</Words>
  <Characters>43343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Anyanwu</dc:creator>
  <cp:keywords/>
  <dc:description/>
  <cp:lastModifiedBy>SDI 1084</cp:lastModifiedBy>
  <cp:revision>16</cp:revision>
  <dcterms:created xsi:type="dcterms:W3CDTF">2025-11-03T10:38:00Z</dcterms:created>
  <dcterms:modified xsi:type="dcterms:W3CDTF">2025-11-11T10:44:00Z</dcterms:modified>
</cp:coreProperties>
</file>