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A884A" w14:textId="77777777" w:rsidR="00240F67" w:rsidRDefault="00947DED" w:rsidP="00070C0E">
      <w:pPr>
        <w:jc w:val="center"/>
        <w:rPr>
          <w:rFonts w:ascii="Times New Roman" w:hAnsi="Times New Roman" w:cs="Times New Roman"/>
          <w:b/>
          <w:sz w:val="28"/>
        </w:rPr>
      </w:pPr>
      <w:r w:rsidRPr="00947DED">
        <w:rPr>
          <w:rFonts w:ascii="Times New Roman" w:hAnsi="Times New Roman" w:cs="Times New Roman"/>
          <w:b/>
          <w:sz w:val="28"/>
        </w:rPr>
        <w:t>Impact of Mergers and Amalgamations on the Efficien</w:t>
      </w:r>
      <w:r>
        <w:rPr>
          <w:rFonts w:ascii="Times New Roman" w:hAnsi="Times New Roman" w:cs="Times New Roman"/>
          <w:b/>
          <w:sz w:val="28"/>
        </w:rPr>
        <w:t xml:space="preserve">cy of Regional Rural Banks: A Case Study of </w:t>
      </w:r>
      <w:r w:rsidRPr="00947DED">
        <w:rPr>
          <w:rFonts w:ascii="Times New Roman" w:hAnsi="Times New Roman" w:cs="Times New Roman"/>
          <w:b/>
          <w:sz w:val="28"/>
        </w:rPr>
        <w:t>Jharkhand Rajya Gramin Bank</w:t>
      </w:r>
    </w:p>
    <w:p w14:paraId="00EE371F" w14:textId="77777777" w:rsidR="00CF7987" w:rsidRPr="00CF7987" w:rsidRDefault="00CF7987" w:rsidP="00CF7987">
      <w:pPr>
        <w:jc w:val="center"/>
        <w:rPr>
          <w:rFonts w:ascii="Times New Roman" w:hAnsi="Times New Roman" w:cs="Times New Roman"/>
          <w:b/>
          <w:sz w:val="28"/>
        </w:rPr>
      </w:pPr>
    </w:p>
    <w:p w14:paraId="07C32115" w14:textId="0759F298" w:rsidR="00CF7987" w:rsidRDefault="00CF7987" w:rsidP="00070C0E">
      <w:pPr>
        <w:jc w:val="center"/>
        <w:rPr>
          <w:rFonts w:ascii="Times New Roman" w:hAnsi="Times New Roman" w:cs="Times New Roman"/>
          <w:b/>
          <w:sz w:val="28"/>
        </w:rPr>
      </w:pPr>
      <w:bookmarkStart w:id="0" w:name="_GoBack"/>
      <w:bookmarkEnd w:id="0"/>
    </w:p>
    <w:p w14:paraId="69CB3F3E" w14:textId="77777777" w:rsidR="00DC2B1B" w:rsidRPr="00DC2B1B" w:rsidRDefault="00DC2B1B" w:rsidP="00DC2B1B">
      <w:pPr>
        <w:jc w:val="both"/>
        <w:rPr>
          <w:rFonts w:ascii="Times New Roman" w:hAnsi="Times New Roman" w:cs="Times New Roman"/>
          <w:b/>
          <w:i/>
          <w:sz w:val="27"/>
          <w:szCs w:val="27"/>
        </w:rPr>
      </w:pPr>
      <w:proofErr w:type="spellStart"/>
      <w:r>
        <w:rPr>
          <w:rFonts w:ascii="Times New Roman" w:hAnsi="Times New Roman" w:cs="Times New Roman"/>
          <w:b/>
          <w:i/>
          <w:sz w:val="27"/>
          <w:szCs w:val="27"/>
        </w:rPr>
        <w:t>Absract</w:t>
      </w:r>
      <w:proofErr w:type="spellEnd"/>
    </w:p>
    <w:p w14:paraId="35462EDA" w14:textId="77777777" w:rsidR="00DC2B1B" w:rsidRDefault="00DC2B1B" w:rsidP="00DC2B1B">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C2B1B">
        <w:rPr>
          <w:rFonts w:ascii="Times New Roman" w:eastAsia="Times New Roman" w:hAnsi="Times New Roman" w:cs="Times New Roman"/>
          <w:sz w:val="24"/>
          <w:szCs w:val="24"/>
          <w:lang w:val="en-IN" w:eastAsia="en-IN"/>
        </w:rPr>
        <w:t xml:space="preserve">This research examines how mergers and consolidations affect the efficiency and financial performance of Regional Rural Banks (RRBs) in India, with a particular emphasis on the Jharkhand Rajya Gramin Bank (JRGB). RRBs were established in 1975 to fill the gap in formal financial services in rural regions, aiming to counteract the exploitative practices of moneylenders and promote financial inclusion. However, their initial fragmentation and operational inefficiencies raised concerns about their sustainability, leading the Government of India to initiate a phased amalgamation strategy starting in 2005. JRGB was created on April 1, 2019, through the merger of Jharkhand </w:t>
      </w:r>
      <w:proofErr w:type="spellStart"/>
      <w:r w:rsidRPr="00DC2B1B">
        <w:rPr>
          <w:rFonts w:ascii="Times New Roman" w:eastAsia="Times New Roman" w:hAnsi="Times New Roman" w:cs="Times New Roman"/>
          <w:sz w:val="24"/>
          <w:szCs w:val="24"/>
          <w:lang w:val="en-IN" w:eastAsia="en-IN"/>
        </w:rPr>
        <w:t>Gramin</w:t>
      </w:r>
      <w:proofErr w:type="spellEnd"/>
      <w:r w:rsidRPr="00DC2B1B">
        <w:rPr>
          <w:rFonts w:ascii="Times New Roman" w:eastAsia="Times New Roman" w:hAnsi="Times New Roman" w:cs="Times New Roman"/>
          <w:sz w:val="24"/>
          <w:szCs w:val="24"/>
          <w:lang w:val="en-IN" w:eastAsia="en-IN"/>
        </w:rPr>
        <w:t xml:space="preserve"> Bank and </w:t>
      </w:r>
      <w:proofErr w:type="spellStart"/>
      <w:r w:rsidRPr="00DC2B1B">
        <w:rPr>
          <w:rFonts w:ascii="Times New Roman" w:eastAsia="Times New Roman" w:hAnsi="Times New Roman" w:cs="Times New Roman"/>
          <w:sz w:val="24"/>
          <w:szCs w:val="24"/>
          <w:lang w:val="en-IN" w:eastAsia="en-IN"/>
        </w:rPr>
        <w:t>Vananchal</w:t>
      </w:r>
      <w:proofErr w:type="spellEnd"/>
      <w:r w:rsidRPr="00DC2B1B">
        <w:rPr>
          <w:rFonts w:ascii="Times New Roman" w:eastAsia="Times New Roman" w:hAnsi="Times New Roman" w:cs="Times New Roman"/>
          <w:sz w:val="24"/>
          <w:szCs w:val="24"/>
          <w:lang w:val="en-IN" w:eastAsia="en-IN"/>
        </w:rPr>
        <w:t xml:space="preserve"> </w:t>
      </w:r>
      <w:proofErr w:type="spellStart"/>
      <w:r w:rsidRPr="00DC2B1B">
        <w:rPr>
          <w:rFonts w:ascii="Times New Roman" w:eastAsia="Times New Roman" w:hAnsi="Times New Roman" w:cs="Times New Roman"/>
          <w:sz w:val="24"/>
          <w:szCs w:val="24"/>
          <w:lang w:val="en-IN" w:eastAsia="en-IN"/>
        </w:rPr>
        <w:t>Gramin</w:t>
      </w:r>
      <w:proofErr w:type="spellEnd"/>
      <w:r w:rsidRPr="00DC2B1B">
        <w:rPr>
          <w:rFonts w:ascii="Times New Roman" w:eastAsia="Times New Roman" w:hAnsi="Times New Roman" w:cs="Times New Roman"/>
          <w:sz w:val="24"/>
          <w:szCs w:val="24"/>
          <w:lang w:val="en-IN" w:eastAsia="en-IN"/>
        </w:rPr>
        <w:t xml:space="preserve"> Bank, functioning as a unified RRB across all 24 districts of Jharkhand. This study employs a descriptive and analytical methodology, utilizing secondary data from RBI, NABARD, and JRGB’s annual financial statements for the years 2014–15 to 2022–23. It </w:t>
      </w:r>
      <w:proofErr w:type="spellStart"/>
      <w:r w:rsidRPr="00DC2B1B">
        <w:rPr>
          <w:rFonts w:ascii="Times New Roman" w:eastAsia="Times New Roman" w:hAnsi="Times New Roman" w:cs="Times New Roman"/>
          <w:sz w:val="24"/>
          <w:szCs w:val="24"/>
          <w:lang w:val="en-IN" w:eastAsia="en-IN"/>
        </w:rPr>
        <w:t>analyzes</w:t>
      </w:r>
      <w:proofErr w:type="spellEnd"/>
      <w:r w:rsidRPr="00DC2B1B">
        <w:rPr>
          <w:rFonts w:ascii="Times New Roman" w:eastAsia="Times New Roman" w:hAnsi="Times New Roman" w:cs="Times New Roman"/>
          <w:sz w:val="24"/>
          <w:szCs w:val="24"/>
          <w:lang w:val="en-IN" w:eastAsia="en-IN"/>
        </w:rPr>
        <w:t xml:space="preserve"> key performance indicators such as the Credit-Deposit Ratio, Net Profit, Net Non-Performing Assets (NPA) ratio, Business per Employee, and Branch Network for both pre-merger (2014–15 to 2018–19) and post-merger (2019–20 to 2022–23) periods. Statistical tools like percentage analysis, Compound Annual Growth Rate (CAGR), and paired t-tests are used to assess significant changes. The results indicate a significant positive impact of the merger on JRGB’s operational and financial performance. There were notable improvements in t</w:t>
      </w:r>
      <w:r>
        <w:rPr>
          <w:rFonts w:ascii="Times New Roman" w:eastAsia="Times New Roman" w:hAnsi="Times New Roman" w:cs="Times New Roman"/>
          <w:sz w:val="24"/>
          <w:szCs w:val="24"/>
          <w:lang w:val="en-IN" w:eastAsia="en-IN"/>
        </w:rPr>
        <w:t>he Credit-Deposit Ratio, Net Profit</w:t>
      </w:r>
      <w:r w:rsidRPr="00DC2B1B">
        <w:rPr>
          <w:rFonts w:ascii="Times New Roman" w:eastAsia="Times New Roman" w:hAnsi="Times New Roman" w:cs="Times New Roman"/>
          <w:sz w:val="24"/>
          <w:szCs w:val="24"/>
          <w:lang w:val="en-IN" w:eastAsia="en-IN"/>
        </w:rPr>
        <w:t xml:space="preserve"> and </w:t>
      </w:r>
      <w:r>
        <w:rPr>
          <w:rFonts w:ascii="Times New Roman" w:eastAsia="Times New Roman" w:hAnsi="Times New Roman" w:cs="Times New Roman"/>
          <w:sz w:val="24"/>
          <w:szCs w:val="24"/>
          <w:lang w:val="en-IN" w:eastAsia="en-IN"/>
        </w:rPr>
        <w:t>Business per Employee,</w:t>
      </w:r>
      <w:r w:rsidRPr="00DC2B1B">
        <w:rPr>
          <w:rFonts w:ascii="Times New Roman" w:eastAsia="Times New Roman" w:hAnsi="Times New Roman" w:cs="Times New Roman"/>
          <w:sz w:val="24"/>
          <w:szCs w:val="24"/>
          <w:lang w:val="en-IN" w:eastAsia="en-IN"/>
        </w:rPr>
        <w:t xml:space="preserve"> along with a significant decrea</w:t>
      </w:r>
      <w:r>
        <w:rPr>
          <w:rFonts w:ascii="Times New Roman" w:eastAsia="Times New Roman" w:hAnsi="Times New Roman" w:cs="Times New Roman"/>
          <w:sz w:val="24"/>
          <w:szCs w:val="24"/>
          <w:lang w:val="en-IN" w:eastAsia="en-IN"/>
        </w:rPr>
        <w:t>se in the Net NPA ratio</w:t>
      </w:r>
      <w:r w:rsidRPr="00DC2B1B">
        <w:rPr>
          <w:rFonts w:ascii="Times New Roman" w:eastAsia="Times New Roman" w:hAnsi="Times New Roman" w:cs="Times New Roman"/>
          <w:sz w:val="24"/>
          <w:szCs w:val="24"/>
          <w:lang w:val="en-IN" w:eastAsia="en-IN"/>
        </w:rPr>
        <w:t>. Although the Branch Network experie</w:t>
      </w:r>
      <w:r>
        <w:rPr>
          <w:rFonts w:ascii="Times New Roman" w:eastAsia="Times New Roman" w:hAnsi="Times New Roman" w:cs="Times New Roman"/>
          <w:sz w:val="24"/>
          <w:szCs w:val="24"/>
          <w:lang w:val="en-IN" w:eastAsia="en-IN"/>
        </w:rPr>
        <w:t>nced only slight growth</w:t>
      </w:r>
      <w:r w:rsidRPr="00DC2B1B">
        <w:rPr>
          <w:rFonts w:ascii="Times New Roman" w:eastAsia="Times New Roman" w:hAnsi="Times New Roman" w:cs="Times New Roman"/>
          <w:sz w:val="24"/>
          <w:szCs w:val="24"/>
          <w:lang w:val="en-IN" w:eastAsia="en-IN"/>
        </w:rPr>
        <w:t xml:space="preserve"> suggesting a strategy of consolidation rather than expansion, the overall findings confirm enhanced profitability, productivity, credit delivery efficiency, and asset quality. This supports the policy goal of creating a more robust, efficient, and inclusive rural banking system through mergers, thereby aiding regional economic development and financial inclusion in Jharkhand.</w:t>
      </w:r>
    </w:p>
    <w:p w14:paraId="6080284D" w14:textId="77777777" w:rsidR="00DC2B1B" w:rsidRPr="00DC2B1B" w:rsidRDefault="00DC2B1B" w:rsidP="00DC2B1B">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i/>
          <w:sz w:val="24"/>
          <w:szCs w:val="24"/>
          <w:lang w:val="en-IN" w:eastAsia="en-IN"/>
        </w:rPr>
        <w:t xml:space="preserve">Keywords: </w:t>
      </w:r>
      <w:r>
        <w:rPr>
          <w:rFonts w:ascii="Times New Roman" w:eastAsia="Times New Roman" w:hAnsi="Times New Roman" w:cs="Times New Roman"/>
          <w:sz w:val="24"/>
          <w:szCs w:val="24"/>
          <w:lang w:val="en-IN" w:eastAsia="en-IN"/>
        </w:rPr>
        <w:t>Regional Rural Banks, Merger &amp; Amalgamation, Financial Inclusion, Financial Performance, NABARD and RBI.</w:t>
      </w:r>
    </w:p>
    <w:p w14:paraId="2F96FA46" w14:textId="77777777" w:rsidR="00947DED" w:rsidRDefault="00947DED" w:rsidP="005447DF">
      <w:pPr>
        <w:spacing w:after="30"/>
        <w:jc w:val="both"/>
        <w:rPr>
          <w:rFonts w:ascii="Times New Roman" w:hAnsi="Times New Roman" w:cs="Times New Roman"/>
          <w:b/>
          <w:sz w:val="27"/>
          <w:szCs w:val="27"/>
        </w:rPr>
      </w:pPr>
      <w:r w:rsidRPr="00947DED">
        <w:rPr>
          <w:rFonts w:ascii="Times New Roman" w:hAnsi="Times New Roman" w:cs="Times New Roman"/>
          <w:b/>
          <w:sz w:val="27"/>
          <w:szCs w:val="27"/>
        </w:rPr>
        <w:t>1. Introduction</w:t>
      </w:r>
    </w:p>
    <w:p w14:paraId="4E0C2346" w14:textId="77777777" w:rsidR="009002CD" w:rsidRDefault="00947DED" w:rsidP="005447DF">
      <w:pPr>
        <w:spacing w:after="30"/>
        <w:jc w:val="both"/>
        <w:rPr>
          <w:rFonts w:ascii="Times New Roman" w:hAnsi="Times New Roman" w:cs="Times New Roman"/>
          <w:sz w:val="24"/>
          <w:szCs w:val="24"/>
        </w:rPr>
      </w:pPr>
      <w:r w:rsidRPr="00947DED">
        <w:rPr>
          <w:rFonts w:ascii="Times New Roman" w:hAnsi="Times New Roman" w:cs="Times New Roman"/>
          <w:sz w:val="24"/>
          <w:szCs w:val="24"/>
        </w:rPr>
        <w:t xml:space="preserve">Regional Rural Bank is a specialized financial institution dedicated to the rural banking services, established in 1975 by the recommendation of </w:t>
      </w:r>
      <w:proofErr w:type="spellStart"/>
      <w:r w:rsidRPr="00947DED">
        <w:rPr>
          <w:rFonts w:ascii="Times New Roman" w:hAnsi="Times New Roman" w:cs="Times New Roman"/>
          <w:sz w:val="24"/>
          <w:szCs w:val="24"/>
        </w:rPr>
        <w:t>Narasimham</w:t>
      </w:r>
      <w:proofErr w:type="spellEnd"/>
      <w:r w:rsidRPr="00947DED">
        <w:rPr>
          <w:rFonts w:ascii="Times New Roman" w:hAnsi="Times New Roman" w:cs="Times New Roman"/>
          <w:sz w:val="24"/>
          <w:szCs w:val="24"/>
        </w:rPr>
        <w:t xml:space="preserve"> Committee under the provision of Regional Rural Bank Act 1976. RRBs were designed to bridge the gap of formal financial services from urban to rural areas. As the early years of independence financial imbalance at their peak, commercial banks were more focused in urban areas due to higher profitable opportunities and co-operative banks were seen incapable to meet the rural demand due to lack of resources. As the formal financial services were found weak in rural areas the omnipresent moneylenders became an only option before the rural people to meet their financial needs. The dependence on moneylenders for financial assistance was an exploitative </w:t>
      </w:r>
      <w:r w:rsidRPr="00947DED">
        <w:rPr>
          <w:rFonts w:ascii="Times New Roman" w:hAnsi="Times New Roman" w:cs="Times New Roman"/>
          <w:sz w:val="24"/>
          <w:szCs w:val="24"/>
        </w:rPr>
        <w:lastRenderedPageBreak/>
        <w:t>historical truth. They charged exorbitant rate of interest on advances which compounded frequently, leading to the debt trap for borrowers. To address the financial imbalances there was a need of accessible and affordable banking services in rural areas. Accordingly, the Regional Rural Bank was conceptualized as a hybrid financial institution which has the operational efficiency of commercial bank and developmental vision of cooperative bank. RRBs have been playing a commendable role over the decades to deliver financial services to the marginalized and weaker section of the society including small and marginal farmers, rural artisans and unorganized laborers. The evolution and performance of RRBs has witnessed a transformative insight in the dynamics of rural financial development through advancing financial inclusion, alleviation of poverty and promote the socio-economic development.</w:t>
      </w:r>
    </w:p>
    <w:p w14:paraId="42B21816" w14:textId="77777777" w:rsidR="009002CD" w:rsidRDefault="00231025" w:rsidP="005447DF">
      <w:pPr>
        <w:spacing w:after="30"/>
        <w:jc w:val="both"/>
        <w:rPr>
          <w:rFonts w:ascii="Times New Roman" w:hAnsi="Times New Roman" w:cs="Times New Roman"/>
          <w:sz w:val="24"/>
          <w:szCs w:val="24"/>
        </w:rPr>
      </w:pPr>
      <w:r>
        <w:rPr>
          <w:rFonts w:ascii="Times New Roman" w:hAnsi="Times New Roman" w:cs="Times New Roman"/>
          <w:sz w:val="24"/>
          <w:szCs w:val="24"/>
        </w:rPr>
        <w:t>Over the time, d</w:t>
      </w:r>
      <w:r w:rsidR="00890431" w:rsidRPr="00890431">
        <w:rPr>
          <w:rFonts w:ascii="Times New Roman" w:hAnsi="Times New Roman" w:cs="Times New Roman"/>
          <w:sz w:val="24"/>
          <w:szCs w:val="24"/>
        </w:rPr>
        <w:t>ue to their operational fragmentation and weak operational performance its philosophical objective of financial inclusion got threatened.</w:t>
      </w:r>
      <w:r w:rsidR="00890431">
        <w:rPr>
          <w:rFonts w:ascii="Times New Roman" w:hAnsi="Times New Roman" w:cs="Times New Roman"/>
          <w:sz w:val="24"/>
          <w:szCs w:val="24"/>
        </w:rPr>
        <w:t xml:space="preserve"> </w:t>
      </w:r>
      <w:r w:rsidR="00890431" w:rsidRPr="00890431">
        <w:rPr>
          <w:rFonts w:ascii="Times New Roman" w:hAnsi="Times New Roman" w:cs="Times New Roman"/>
          <w:sz w:val="24"/>
          <w:szCs w:val="24"/>
        </w:rPr>
        <w:t>The concern over the viability and sustainability of RRBs got hyped when out of 173 RRBs in 1984 130 RRBs reported aggregate losses of Rs. 15.86 crores</w:t>
      </w:r>
      <w:r w:rsidR="009572E3">
        <w:rPr>
          <w:rFonts w:ascii="Times New Roman" w:hAnsi="Times New Roman" w:cs="Times New Roman"/>
          <w:sz w:val="24"/>
          <w:szCs w:val="24"/>
        </w:rPr>
        <w:t xml:space="preserve"> </w:t>
      </w:r>
      <w:r w:rsidR="009572E3" w:rsidRPr="009572E3">
        <w:rPr>
          <w:rFonts w:ascii="Times New Roman" w:hAnsi="Times New Roman" w:cs="Times New Roman"/>
          <w:sz w:val="24"/>
          <w:szCs w:val="24"/>
        </w:rPr>
        <w:t>(Reserve Bank of India, 1987)</w:t>
      </w:r>
      <w:r w:rsidR="00890431" w:rsidRPr="009572E3">
        <w:rPr>
          <w:rFonts w:ascii="Times New Roman" w:hAnsi="Times New Roman" w:cs="Times New Roman"/>
          <w:sz w:val="24"/>
          <w:szCs w:val="24"/>
        </w:rPr>
        <w:t>.</w:t>
      </w:r>
      <w:r w:rsidR="00890431" w:rsidRPr="00890431">
        <w:rPr>
          <w:rFonts w:ascii="Times New Roman" w:hAnsi="Times New Roman" w:cs="Times New Roman"/>
          <w:sz w:val="24"/>
          <w:szCs w:val="24"/>
        </w:rPr>
        <w:t xml:space="preserve"> To overcome from the challenges of NPA, overdue and operatio</w:t>
      </w:r>
      <w:r w:rsidR="009572E3">
        <w:rPr>
          <w:rFonts w:ascii="Times New Roman" w:hAnsi="Times New Roman" w:cs="Times New Roman"/>
          <w:sz w:val="24"/>
          <w:szCs w:val="24"/>
        </w:rPr>
        <w:t xml:space="preserve">nal mismanagement </w:t>
      </w:r>
      <w:r w:rsidR="009572E3" w:rsidRPr="00890431">
        <w:rPr>
          <w:rFonts w:ascii="Times New Roman" w:hAnsi="Times New Roman" w:cs="Times New Roman"/>
          <w:sz w:val="24"/>
          <w:szCs w:val="24"/>
        </w:rPr>
        <w:t xml:space="preserve">RRBs has gone through several </w:t>
      </w:r>
      <w:r w:rsidR="00320E11">
        <w:rPr>
          <w:rFonts w:ascii="Times New Roman" w:hAnsi="Times New Roman" w:cs="Times New Roman"/>
          <w:sz w:val="24"/>
          <w:szCs w:val="24"/>
        </w:rPr>
        <w:t xml:space="preserve">transformational changes by the recommendations of the multiple </w:t>
      </w:r>
      <w:r w:rsidR="00320E11" w:rsidRPr="00320E11">
        <w:rPr>
          <w:rFonts w:ascii="Times New Roman" w:hAnsi="Times New Roman" w:cs="Times New Roman"/>
          <w:sz w:val="24"/>
          <w:szCs w:val="24"/>
        </w:rPr>
        <w:t>committees and working groups to review the functioning of RRBs</w:t>
      </w:r>
      <w:r w:rsidR="00320E11">
        <w:rPr>
          <w:rFonts w:ascii="Times New Roman" w:hAnsi="Times New Roman" w:cs="Times New Roman"/>
          <w:sz w:val="24"/>
          <w:szCs w:val="24"/>
        </w:rPr>
        <w:t xml:space="preserve">. </w:t>
      </w:r>
      <w:r w:rsidR="00D473C3">
        <w:rPr>
          <w:rFonts w:ascii="Times New Roman" w:hAnsi="Times New Roman" w:cs="Times New Roman"/>
          <w:sz w:val="24"/>
          <w:szCs w:val="24"/>
        </w:rPr>
        <w:t>On the recommendation of V.S. Vyas committee, merger and a</w:t>
      </w:r>
      <w:r w:rsidR="009572E3" w:rsidRPr="00890431">
        <w:rPr>
          <w:rFonts w:ascii="Times New Roman" w:hAnsi="Times New Roman" w:cs="Times New Roman"/>
          <w:sz w:val="24"/>
          <w:szCs w:val="24"/>
        </w:rPr>
        <w:t>malgamation in the network of</w:t>
      </w:r>
      <w:r w:rsidR="009572E3">
        <w:rPr>
          <w:rFonts w:ascii="Times New Roman" w:hAnsi="Times New Roman" w:cs="Times New Roman"/>
          <w:sz w:val="24"/>
          <w:szCs w:val="24"/>
        </w:rPr>
        <w:t xml:space="preserve"> RRBs has been emerged as a</w:t>
      </w:r>
      <w:r w:rsidR="00D473C3">
        <w:rPr>
          <w:rFonts w:ascii="Times New Roman" w:hAnsi="Times New Roman" w:cs="Times New Roman"/>
          <w:sz w:val="24"/>
          <w:szCs w:val="24"/>
        </w:rPr>
        <w:t xml:space="preserve"> strategic move to improve </w:t>
      </w:r>
      <w:r w:rsidR="005C4D48">
        <w:rPr>
          <w:rFonts w:ascii="Times New Roman" w:hAnsi="Times New Roman" w:cs="Times New Roman"/>
          <w:sz w:val="24"/>
          <w:szCs w:val="24"/>
        </w:rPr>
        <w:t>their</w:t>
      </w:r>
      <w:r w:rsidR="009572E3" w:rsidRPr="00890431">
        <w:rPr>
          <w:rFonts w:ascii="Times New Roman" w:hAnsi="Times New Roman" w:cs="Times New Roman"/>
          <w:sz w:val="24"/>
          <w:szCs w:val="24"/>
        </w:rPr>
        <w:t xml:space="preserve"> operational viability and structural efficie</w:t>
      </w:r>
      <w:r w:rsidR="00320E11">
        <w:rPr>
          <w:rFonts w:ascii="Times New Roman" w:hAnsi="Times New Roman" w:cs="Times New Roman"/>
          <w:sz w:val="24"/>
          <w:szCs w:val="24"/>
        </w:rPr>
        <w:t>ncy</w:t>
      </w:r>
      <w:r w:rsidR="00D473C3">
        <w:rPr>
          <w:rFonts w:ascii="Times New Roman" w:hAnsi="Times New Roman" w:cs="Times New Roman"/>
          <w:sz w:val="24"/>
          <w:szCs w:val="24"/>
        </w:rPr>
        <w:t xml:space="preserve"> </w:t>
      </w:r>
      <w:r w:rsidR="00D473C3" w:rsidRPr="00D473C3">
        <w:rPr>
          <w:rFonts w:ascii="Times New Roman" w:hAnsi="Times New Roman" w:cs="Times New Roman"/>
          <w:sz w:val="24"/>
          <w:szCs w:val="24"/>
        </w:rPr>
        <w:t>(Reserve Bank of India, 2004)</w:t>
      </w:r>
      <w:r w:rsidR="00320E11" w:rsidRPr="00D473C3">
        <w:rPr>
          <w:rFonts w:ascii="Times New Roman" w:hAnsi="Times New Roman" w:cs="Times New Roman"/>
          <w:sz w:val="24"/>
          <w:szCs w:val="24"/>
        </w:rPr>
        <w:t>.</w:t>
      </w:r>
      <w:r w:rsidR="00320E11">
        <w:rPr>
          <w:rFonts w:ascii="Times New Roman" w:hAnsi="Times New Roman" w:cs="Times New Roman"/>
          <w:sz w:val="24"/>
          <w:szCs w:val="24"/>
        </w:rPr>
        <w:t xml:space="preserve"> </w:t>
      </w:r>
      <w:r w:rsidR="00D473C3" w:rsidRPr="005C4D48">
        <w:rPr>
          <w:rFonts w:ascii="Times New Roman" w:hAnsi="Times New Roman" w:cs="Times New Roman"/>
          <w:sz w:val="24"/>
          <w:szCs w:val="24"/>
        </w:rPr>
        <w:t>The committee has considered it as a feasible move to achieve financial viability and operational effic</w:t>
      </w:r>
      <w:r w:rsidR="005C4D48">
        <w:rPr>
          <w:rFonts w:ascii="Times New Roman" w:hAnsi="Times New Roman" w:cs="Times New Roman"/>
          <w:sz w:val="24"/>
          <w:szCs w:val="24"/>
        </w:rPr>
        <w:t>iency of RRBs and</w:t>
      </w:r>
      <w:r w:rsidR="00D473C3" w:rsidRPr="005C4D48">
        <w:rPr>
          <w:rFonts w:ascii="Times New Roman" w:hAnsi="Times New Roman" w:cs="Times New Roman"/>
          <w:sz w:val="24"/>
          <w:szCs w:val="24"/>
        </w:rPr>
        <w:t xml:space="preserve"> made</w:t>
      </w:r>
      <w:r w:rsidR="005C4D48">
        <w:rPr>
          <w:rFonts w:ascii="Times New Roman" w:hAnsi="Times New Roman" w:cs="Times New Roman"/>
          <w:sz w:val="24"/>
          <w:szCs w:val="24"/>
        </w:rPr>
        <w:t xml:space="preserve"> the</w:t>
      </w:r>
      <w:r w:rsidR="00D473C3" w:rsidRPr="005C4D48">
        <w:rPr>
          <w:rFonts w:ascii="Times New Roman" w:hAnsi="Times New Roman" w:cs="Times New Roman"/>
          <w:sz w:val="24"/>
          <w:szCs w:val="24"/>
        </w:rPr>
        <w:t xml:space="preserve"> </w:t>
      </w:r>
      <w:r w:rsidR="005C4D48">
        <w:rPr>
          <w:rFonts w:ascii="Times New Roman" w:hAnsi="Times New Roman" w:cs="Times New Roman"/>
          <w:sz w:val="24"/>
          <w:szCs w:val="24"/>
        </w:rPr>
        <w:t>recommendation to amalgamate</w:t>
      </w:r>
      <w:r w:rsidR="00D473C3" w:rsidRPr="005C4D48">
        <w:rPr>
          <w:rFonts w:ascii="Times New Roman" w:hAnsi="Times New Roman" w:cs="Times New Roman"/>
          <w:sz w:val="24"/>
          <w:szCs w:val="24"/>
        </w:rPr>
        <w:t xml:space="preserve"> RRBs in phased man</w:t>
      </w:r>
      <w:r w:rsidR="005C4D48">
        <w:rPr>
          <w:rFonts w:ascii="Times New Roman" w:hAnsi="Times New Roman" w:cs="Times New Roman"/>
          <w:sz w:val="24"/>
          <w:szCs w:val="24"/>
        </w:rPr>
        <w:t>ner. T</w:t>
      </w:r>
      <w:r w:rsidR="00D473C3" w:rsidRPr="005C4D48">
        <w:rPr>
          <w:rFonts w:ascii="Times New Roman" w:hAnsi="Times New Roman" w:cs="Times New Roman"/>
          <w:sz w:val="24"/>
          <w:szCs w:val="24"/>
        </w:rPr>
        <w:t>he first phase of amalgamation was proposed to amalgamate the RRBs working under the same sponsor banks and the same state. Therefore, government of India has initiat</w:t>
      </w:r>
      <w:r w:rsidR="005C4D48" w:rsidRPr="005C4D48">
        <w:rPr>
          <w:rFonts w:ascii="Times New Roman" w:hAnsi="Times New Roman" w:cs="Times New Roman"/>
          <w:sz w:val="24"/>
          <w:szCs w:val="24"/>
        </w:rPr>
        <w:t>ed the process</w:t>
      </w:r>
      <w:r w:rsidR="00D473C3" w:rsidRPr="005C4D48">
        <w:rPr>
          <w:rFonts w:ascii="Times New Roman" w:hAnsi="Times New Roman" w:cs="Times New Roman"/>
          <w:sz w:val="24"/>
          <w:szCs w:val="24"/>
        </w:rPr>
        <w:t xml:space="preserve"> from September, 200</w:t>
      </w:r>
      <w:r w:rsidR="005C4D48">
        <w:rPr>
          <w:rFonts w:ascii="Times New Roman" w:hAnsi="Times New Roman" w:cs="Times New Roman"/>
          <w:sz w:val="24"/>
          <w:szCs w:val="24"/>
        </w:rPr>
        <w:t>5 which reduces the numbers of RRBs from 196 in 2005 to 82 in 2010 (NABARD, 2011).</w:t>
      </w:r>
    </w:p>
    <w:p w14:paraId="4552CDCC" w14:textId="77777777" w:rsidR="008A7261" w:rsidRDefault="00B31033" w:rsidP="005447DF">
      <w:pPr>
        <w:spacing w:after="30"/>
        <w:jc w:val="both"/>
        <w:rPr>
          <w:rFonts w:ascii="Times New Roman" w:hAnsi="Times New Roman" w:cs="Times New Roman"/>
          <w:sz w:val="24"/>
          <w:szCs w:val="24"/>
        </w:rPr>
      </w:pPr>
      <w:r>
        <w:rPr>
          <w:rFonts w:ascii="Times New Roman" w:hAnsi="Times New Roman" w:cs="Times New Roman"/>
          <w:sz w:val="24"/>
          <w:szCs w:val="24"/>
        </w:rPr>
        <w:t xml:space="preserve">Accordingly, the </w:t>
      </w:r>
      <w:r w:rsidRPr="00B31033">
        <w:rPr>
          <w:rFonts w:ascii="Times New Roman" w:hAnsi="Times New Roman" w:cs="Times New Roman"/>
          <w:sz w:val="24"/>
          <w:szCs w:val="24"/>
        </w:rPr>
        <w:t xml:space="preserve">second phase of amalgamation has been initiated from the financial year 2012-13 within a state, sponsored by different sponsor banks and decided to operate only one and two RRBs within a state. Only geographically large state has been permitted to operate two or three RRBs. It has been decided that the major public sector bank operating in a state </w:t>
      </w:r>
      <w:r>
        <w:rPr>
          <w:rFonts w:ascii="Times New Roman" w:hAnsi="Times New Roman" w:cs="Times New Roman"/>
          <w:sz w:val="24"/>
          <w:szCs w:val="24"/>
        </w:rPr>
        <w:t xml:space="preserve">would </w:t>
      </w:r>
      <w:r w:rsidRPr="00B31033">
        <w:rPr>
          <w:rFonts w:ascii="Times New Roman" w:hAnsi="Times New Roman" w:cs="Times New Roman"/>
          <w:sz w:val="24"/>
          <w:szCs w:val="24"/>
        </w:rPr>
        <w:t>sponsor the newly amalgamated RRB in a me</w:t>
      </w:r>
      <w:r>
        <w:rPr>
          <w:rFonts w:ascii="Times New Roman" w:hAnsi="Times New Roman" w:cs="Times New Roman"/>
          <w:sz w:val="24"/>
          <w:szCs w:val="24"/>
        </w:rPr>
        <w:t xml:space="preserve">dium and small size state. Resultantly, </w:t>
      </w:r>
      <w:r w:rsidRPr="00B31033">
        <w:rPr>
          <w:rFonts w:ascii="Times New Roman" w:hAnsi="Times New Roman" w:cs="Times New Roman"/>
          <w:sz w:val="24"/>
          <w:szCs w:val="24"/>
        </w:rPr>
        <w:t xml:space="preserve"> </w:t>
      </w:r>
      <w:r>
        <w:rPr>
          <w:rFonts w:ascii="Times New Roman" w:hAnsi="Times New Roman" w:cs="Times New Roman"/>
          <w:sz w:val="24"/>
          <w:szCs w:val="24"/>
        </w:rPr>
        <w:t xml:space="preserve">the second phase of amalgamation has </w:t>
      </w:r>
      <w:r w:rsidRPr="00B31033">
        <w:rPr>
          <w:rFonts w:ascii="Times New Roman" w:hAnsi="Times New Roman" w:cs="Times New Roman"/>
          <w:sz w:val="24"/>
          <w:szCs w:val="24"/>
        </w:rPr>
        <w:t xml:space="preserve">reduced the numbers of RRBs from 82 </w:t>
      </w:r>
      <w:r>
        <w:rPr>
          <w:rFonts w:ascii="Times New Roman" w:hAnsi="Times New Roman" w:cs="Times New Roman"/>
          <w:sz w:val="24"/>
          <w:szCs w:val="24"/>
        </w:rPr>
        <w:t>in 2010 to 56 in 20</w:t>
      </w:r>
      <w:r w:rsidRPr="00B31033">
        <w:rPr>
          <w:rFonts w:ascii="Times New Roman" w:hAnsi="Times New Roman" w:cs="Times New Roman"/>
          <w:sz w:val="24"/>
          <w:szCs w:val="24"/>
        </w:rPr>
        <w:t>18</w:t>
      </w:r>
      <w:r w:rsidR="004915C9">
        <w:rPr>
          <w:rFonts w:ascii="Times New Roman" w:hAnsi="Times New Roman" w:cs="Times New Roman"/>
          <w:sz w:val="24"/>
          <w:szCs w:val="24"/>
        </w:rPr>
        <w:t xml:space="preserve"> (</w:t>
      </w:r>
      <w:r w:rsidR="004915C9" w:rsidRPr="004915C9">
        <w:rPr>
          <w:rStyle w:val="Strong"/>
          <w:rFonts w:ascii="Times New Roman" w:hAnsi="Times New Roman" w:cs="Times New Roman"/>
          <w:b w:val="0"/>
          <w:sz w:val="24"/>
          <w:szCs w:val="24"/>
        </w:rPr>
        <w:t>Government of India, Ministry of Finance, Departmen</w:t>
      </w:r>
      <w:r w:rsidR="004915C9">
        <w:rPr>
          <w:rStyle w:val="Strong"/>
          <w:rFonts w:ascii="Times New Roman" w:hAnsi="Times New Roman" w:cs="Times New Roman"/>
          <w:b w:val="0"/>
          <w:sz w:val="24"/>
          <w:szCs w:val="24"/>
        </w:rPr>
        <w:t>t of Financial Services, 2012)</w:t>
      </w:r>
      <w:r w:rsidRPr="00B31033">
        <w:rPr>
          <w:rFonts w:ascii="Times New Roman" w:hAnsi="Times New Roman" w:cs="Times New Roman"/>
          <w:sz w:val="24"/>
          <w:szCs w:val="24"/>
        </w:rPr>
        <w:t xml:space="preserve">. The process of amalgamation </w:t>
      </w:r>
      <w:r w:rsidR="004A4D8E">
        <w:rPr>
          <w:rFonts w:ascii="Times New Roman" w:hAnsi="Times New Roman" w:cs="Times New Roman"/>
          <w:sz w:val="24"/>
          <w:szCs w:val="24"/>
        </w:rPr>
        <w:t xml:space="preserve">has not stopped here </w:t>
      </w:r>
      <w:r w:rsidR="008A7261">
        <w:rPr>
          <w:rFonts w:ascii="Times New Roman" w:hAnsi="Times New Roman" w:cs="Times New Roman"/>
          <w:sz w:val="24"/>
          <w:szCs w:val="24"/>
        </w:rPr>
        <w:t>although the third phase of amalgamation has started from 2018 and reduced the numbers of RRB from 56 to 43 till 30</w:t>
      </w:r>
      <w:r w:rsidR="008A7261">
        <w:rPr>
          <w:rFonts w:ascii="Times New Roman" w:hAnsi="Times New Roman" w:cs="Times New Roman"/>
          <w:sz w:val="24"/>
          <w:szCs w:val="24"/>
          <w:vertAlign w:val="superscript"/>
        </w:rPr>
        <w:t xml:space="preserve">th </w:t>
      </w:r>
      <w:r w:rsidR="008A7261">
        <w:rPr>
          <w:rFonts w:ascii="Times New Roman" w:hAnsi="Times New Roman" w:cs="Times New Roman"/>
          <w:sz w:val="24"/>
          <w:szCs w:val="24"/>
        </w:rPr>
        <w:t xml:space="preserve">March 2024. </w:t>
      </w:r>
      <w:r w:rsidR="008A7261" w:rsidRPr="008A7261">
        <w:rPr>
          <w:rFonts w:ascii="Times New Roman" w:hAnsi="Times New Roman" w:cs="Times New Roman"/>
          <w:sz w:val="24"/>
          <w:szCs w:val="24"/>
        </w:rPr>
        <w:t xml:space="preserve">The </w:t>
      </w:r>
      <w:r w:rsidR="008A7261" w:rsidRPr="008A7261">
        <w:rPr>
          <w:rFonts w:ascii="Times New Roman" w:hAnsi="Times New Roman" w:cs="Times New Roman"/>
          <w:b/>
          <w:sz w:val="24"/>
          <w:szCs w:val="24"/>
        </w:rPr>
        <w:t>Jharkhand Rajya Gramin Bank</w:t>
      </w:r>
      <w:r w:rsidR="008A7261" w:rsidRPr="008A7261">
        <w:rPr>
          <w:rFonts w:ascii="Times New Roman" w:hAnsi="Times New Roman" w:cs="Times New Roman"/>
          <w:sz w:val="24"/>
          <w:szCs w:val="24"/>
        </w:rPr>
        <w:t xml:space="preserve"> has been formed during the third phase of am</w:t>
      </w:r>
      <w:r w:rsidR="008A7261">
        <w:rPr>
          <w:rFonts w:ascii="Times New Roman" w:hAnsi="Times New Roman" w:cs="Times New Roman"/>
          <w:sz w:val="24"/>
          <w:szCs w:val="24"/>
        </w:rPr>
        <w:t xml:space="preserve">algamation </w:t>
      </w:r>
      <w:r w:rsidR="008A7261" w:rsidRPr="008A7261">
        <w:rPr>
          <w:rFonts w:ascii="Times New Roman" w:hAnsi="Times New Roman" w:cs="Times New Roman"/>
          <w:sz w:val="24"/>
          <w:szCs w:val="24"/>
        </w:rPr>
        <w:t xml:space="preserve">in the network of RRBs through merging its predecessor banks Jharkhand </w:t>
      </w:r>
      <w:proofErr w:type="spellStart"/>
      <w:r w:rsidR="008A7261" w:rsidRPr="008A7261">
        <w:rPr>
          <w:rFonts w:ascii="Times New Roman" w:hAnsi="Times New Roman" w:cs="Times New Roman"/>
          <w:sz w:val="24"/>
          <w:szCs w:val="24"/>
        </w:rPr>
        <w:t>Gramin</w:t>
      </w:r>
      <w:proofErr w:type="spellEnd"/>
      <w:r w:rsidR="008A7261" w:rsidRPr="008A7261">
        <w:rPr>
          <w:rFonts w:ascii="Times New Roman" w:hAnsi="Times New Roman" w:cs="Times New Roman"/>
          <w:sz w:val="24"/>
          <w:szCs w:val="24"/>
        </w:rPr>
        <w:t xml:space="preserve"> Bank and </w:t>
      </w:r>
      <w:proofErr w:type="spellStart"/>
      <w:r w:rsidR="008A7261" w:rsidRPr="008A7261">
        <w:rPr>
          <w:rFonts w:ascii="Times New Roman" w:hAnsi="Times New Roman" w:cs="Times New Roman"/>
          <w:sz w:val="24"/>
          <w:szCs w:val="24"/>
        </w:rPr>
        <w:t>Vanachal</w:t>
      </w:r>
      <w:proofErr w:type="spellEnd"/>
      <w:r w:rsidR="008A7261" w:rsidRPr="008A7261">
        <w:rPr>
          <w:rFonts w:ascii="Times New Roman" w:hAnsi="Times New Roman" w:cs="Times New Roman"/>
          <w:sz w:val="24"/>
          <w:szCs w:val="24"/>
        </w:rPr>
        <w:t xml:space="preserve"> </w:t>
      </w:r>
      <w:proofErr w:type="spellStart"/>
      <w:r w:rsidR="008A7261" w:rsidRPr="008A7261">
        <w:rPr>
          <w:rFonts w:ascii="Times New Roman" w:hAnsi="Times New Roman" w:cs="Times New Roman"/>
          <w:sz w:val="24"/>
          <w:szCs w:val="24"/>
        </w:rPr>
        <w:t>Gramin</w:t>
      </w:r>
      <w:proofErr w:type="spellEnd"/>
      <w:r w:rsidR="008A7261" w:rsidRPr="008A7261">
        <w:rPr>
          <w:rFonts w:ascii="Times New Roman" w:hAnsi="Times New Roman" w:cs="Times New Roman"/>
          <w:sz w:val="24"/>
          <w:szCs w:val="24"/>
        </w:rPr>
        <w:t xml:space="preserve"> bank sponsored by Bank of India and State Bank of India on 1st of April 2019. </w:t>
      </w:r>
      <w:r w:rsidR="008A7261" w:rsidRPr="008A7261">
        <w:rPr>
          <w:rFonts w:ascii="Times New Roman" w:hAnsi="Times New Roman" w:cs="Times New Roman"/>
          <w:b/>
          <w:sz w:val="24"/>
          <w:szCs w:val="24"/>
        </w:rPr>
        <w:t>JRGB</w:t>
      </w:r>
      <w:r w:rsidR="008A7261" w:rsidRPr="008A7261">
        <w:rPr>
          <w:rFonts w:ascii="Times New Roman" w:hAnsi="Times New Roman" w:cs="Times New Roman"/>
          <w:sz w:val="24"/>
          <w:szCs w:val="24"/>
        </w:rPr>
        <w:t xml:space="preserve"> has started its operation as a single operating RRB in Jharkhand, sponsored by th</w:t>
      </w:r>
      <w:r w:rsidR="000500AC">
        <w:rPr>
          <w:rFonts w:ascii="Times New Roman" w:hAnsi="Times New Roman" w:cs="Times New Roman"/>
          <w:sz w:val="24"/>
          <w:szCs w:val="24"/>
        </w:rPr>
        <w:t>e State Bank of India.</w:t>
      </w:r>
    </w:p>
    <w:p w14:paraId="14ADE1BB" w14:textId="77777777" w:rsidR="000500AC" w:rsidRPr="008A0917" w:rsidRDefault="000500AC" w:rsidP="005447DF">
      <w:pPr>
        <w:spacing w:after="30"/>
        <w:jc w:val="both"/>
        <w:rPr>
          <w:rFonts w:ascii="Times New Roman" w:hAnsi="Times New Roman" w:cs="Times New Roman"/>
          <w:sz w:val="24"/>
          <w:szCs w:val="24"/>
        </w:rPr>
      </w:pPr>
      <w:r>
        <w:rPr>
          <w:rFonts w:ascii="Times New Roman" w:hAnsi="Times New Roman" w:cs="Times New Roman"/>
          <w:sz w:val="24"/>
          <w:szCs w:val="24"/>
        </w:rPr>
        <w:t>The recent fourth phase of merger and amalgamation in the network of RRBs has been initiated from 1</w:t>
      </w:r>
      <w:r w:rsidRPr="000500AC">
        <w:rPr>
          <w:rFonts w:ascii="Times New Roman" w:hAnsi="Times New Roman" w:cs="Times New Roman"/>
          <w:sz w:val="24"/>
          <w:szCs w:val="24"/>
          <w:vertAlign w:val="superscript"/>
        </w:rPr>
        <w:t>st</w:t>
      </w:r>
      <w:r>
        <w:rPr>
          <w:rFonts w:ascii="Times New Roman" w:hAnsi="Times New Roman" w:cs="Times New Roman"/>
          <w:sz w:val="24"/>
          <w:szCs w:val="24"/>
        </w:rPr>
        <w:t xml:space="preserve"> may 2025 which reduced the numbers of operational RRBs from 43 to 28. </w:t>
      </w:r>
      <w:r w:rsidRPr="008A0917">
        <w:rPr>
          <w:rFonts w:ascii="Times New Roman" w:hAnsi="Times New Roman" w:cs="Times New Roman"/>
          <w:sz w:val="24"/>
          <w:szCs w:val="24"/>
        </w:rPr>
        <w:t xml:space="preserve">The past experience of three phases of amalgamations in the network of RRBs produced </w:t>
      </w:r>
      <w:r w:rsidRPr="008A0917">
        <w:rPr>
          <w:rFonts w:ascii="Times New Roman" w:hAnsi="Times New Roman" w:cs="Times New Roman"/>
          <w:sz w:val="24"/>
          <w:szCs w:val="24"/>
        </w:rPr>
        <w:lastRenderedPageBreak/>
        <w:t>greater efficiency of scale in the operation of RRBs which encouraged the authorities to do the same for deeper integration and achieved the goal of financial inclusion with maintaining the viability of RRBs. The fourth phase of amalgamation has rolled out in the principle of “One State One RRB”. The Ministry of Finance has in the decision to carry out the fourth phase of amalgamation with the consultation of all concerned stakeholder in 10 states and 1 union territory through the amalgamation of 26 RRBs which reduces the total number of RRBs to 28 in the country with the branch network of more than 22000 covering 700 districts (Department of Financial Services, Ministry of Finance</w:t>
      </w:r>
      <w:r w:rsidR="008A0917" w:rsidRPr="008A0917">
        <w:rPr>
          <w:rFonts w:ascii="Times New Roman" w:hAnsi="Times New Roman" w:cs="Times New Roman"/>
          <w:sz w:val="24"/>
          <w:szCs w:val="24"/>
        </w:rPr>
        <w:t>, 2025)</w:t>
      </w:r>
      <w:r w:rsidRPr="008A0917">
        <w:rPr>
          <w:rFonts w:ascii="Times New Roman" w:hAnsi="Times New Roman" w:cs="Times New Roman"/>
          <w:sz w:val="24"/>
          <w:szCs w:val="24"/>
        </w:rPr>
        <w:t>. While citing the information of upcoming amalgamations the Ministry has assured that the domination of operation of RRBs will remain in the rural and semi urban areas with approximate</w:t>
      </w:r>
      <w:r w:rsidR="008A0917" w:rsidRPr="008A0917">
        <w:rPr>
          <w:rFonts w:ascii="Times New Roman" w:hAnsi="Times New Roman" w:cs="Times New Roman"/>
          <w:sz w:val="24"/>
          <w:szCs w:val="24"/>
        </w:rPr>
        <w:t>ly 92% of their branch network (Department of Financial Services, Ministry of Finance, 2025)</w:t>
      </w:r>
      <w:r w:rsidRPr="008A0917">
        <w:rPr>
          <w:rFonts w:ascii="Times New Roman" w:hAnsi="Times New Roman" w:cs="Times New Roman"/>
          <w:sz w:val="24"/>
          <w:szCs w:val="24"/>
        </w:rPr>
        <w:t>.</w:t>
      </w:r>
    </w:p>
    <w:p w14:paraId="6DB97582" w14:textId="77777777" w:rsidR="008A7261" w:rsidRDefault="008A7261" w:rsidP="005447DF">
      <w:pPr>
        <w:spacing w:before="100" w:beforeAutospacing="1" w:after="30"/>
        <w:jc w:val="both"/>
        <w:rPr>
          <w:rFonts w:ascii="Times New Roman" w:hAnsi="Times New Roman" w:cs="Times New Roman"/>
          <w:b/>
          <w:sz w:val="27"/>
          <w:szCs w:val="27"/>
        </w:rPr>
      </w:pPr>
      <w:r w:rsidRPr="008A7261">
        <w:rPr>
          <w:rFonts w:ascii="Times New Roman" w:hAnsi="Times New Roman" w:cs="Times New Roman"/>
          <w:b/>
          <w:sz w:val="27"/>
          <w:szCs w:val="27"/>
        </w:rPr>
        <w:t>2. Review of Literature</w:t>
      </w:r>
    </w:p>
    <w:p w14:paraId="7EDDED5D" w14:textId="77777777" w:rsidR="005033DE" w:rsidRDefault="005033DE" w:rsidP="005447DF">
      <w:pPr>
        <w:pStyle w:val="NormalWeb"/>
        <w:spacing w:before="30" w:beforeAutospacing="0" w:after="30" w:afterAutospacing="0"/>
        <w:jc w:val="both"/>
        <w:rPr>
          <w:rStyle w:val="ai-insert"/>
          <w:color w:val="1A1C1E"/>
        </w:rPr>
      </w:pPr>
      <w:proofErr w:type="spellStart"/>
      <w:r w:rsidRPr="005033DE">
        <w:rPr>
          <w:b/>
        </w:rPr>
        <w:t>Kuranal</w:t>
      </w:r>
      <w:proofErr w:type="spellEnd"/>
      <w:r w:rsidRPr="005033DE">
        <w:rPr>
          <w:b/>
        </w:rPr>
        <w:t>, R., &amp; K, Prof. R. (2024)</w:t>
      </w:r>
      <w:r>
        <w:rPr>
          <w:b/>
        </w:rPr>
        <w:t xml:space="preserve"> </w:t>
      </w:r>
      <w:r>
        <w:rPr>
          <w:rStyle w:val="ai-insert"/>
          <w:color w:val="1A1C1E"/>
        </w:rPr>
        <w:t>The article "Consolidation and Transformation: Evaluating the Impact of the Merger of KVG Bank and KGB on Rural Banking in Karnataka" presents a timely and pertinent analysis of bank mergers within India's rural banking sector. The study effectively underscores the global trend of consolidation and positions the merger of KVG Bank and KGB as a critical case for understanding its implications on rural banking services, customer satisfaction, and financial performance in Karnataka. The authors meticulously identify both the benefits, such as enhanced financial strength and operational efficiency, and the challenges, including customer service disruptions and integration issues. By incorporating employee perspectives and emphasizing the importance of strategic planning and stakeholder engagement, the research provides valuable insights for policymakers and stakeholders in the banking sector. The paper's contribution to understanding the dynamics of rural banking post-consolidation, particularly in the context of financial inclusion and rural development, renders it a significant addition to the existing literature.</w:t>
      </w:r>
    </w:p>
    <w:p w14:paraId="22E813C7" w14:textId="77777777" w:rsidR="005033DE" w:rsidRDefault="001704AB" w:rsidP="005447DF">
      <w:pPr>
        <w:pStyle w:val="NormalWeb"/>
        <w:spacing w:before="30" w:beforeAutospacing="0" w:after="30" w:afterAutospacing="0"/>
        <w:jc w:val="both"/>
        <w:rPr>
          <w:rStyle w:val="ai-insert"/>
          <w:color w:val="1A1C1E"/>
        </w:rPr>
      </w:pPr>
      <w:r w:rsidRPr="001704AB">
        <w:rPr>
          <w:b/>
        </w:rPr>
        <w:t>M Jorum, T., &amp; S Mali, S. (2021)</w:t>
      </w:r>
      <w:r>
        <w:t xml:space="preserve"> </w:t>
      </w:r>
      <w:r w:rsidRPr="001704AB">
        <w:rPr>
          <w:rStyle w:val="ai-insert"/>
          <w:color w:val="1A1C1E"/>
        </w:rPr>
        <w:t xml:space="preserve">This literature offers a comprehensive examination of how the amalgamation process has influenced the physical performance of Regional Rural Banks (RRBs) in India. The authors delve into the historical background of RRBs, which were established to meet rural financial needs, and thoroughly </w:t>
      </w:r>
      <w:proofErr w:type="spellStart"/>
      <w:r w:rsidRPr="001704AB">
        <w:rPr>
          <w:rStyle w:val="ai-insert"/>
          <w:color w:val="1A1C1E"/>
        </w:rPr>
        <w:t>analyze</w:t>
      </w:r>
      <w:proofErr w:type="spellEnd"/>
      <w:r w:rsidRPr="001704AB">
        <w:rPr>
          <w:rStyle w:val="ai-insert"/>
          <w:color w:val="1A1C1E"/>
        </w:rPr>
        <w:t xml:space="preserve"> key performance metrics such as branch numbers, net profit, deposit mobilization, loan advances, and Non-Performing Assets (NPAs) during the post-amalgamation period from 2005 to 2010. The study convincingly shows that, despite a decrease in the number of RRBs due to mergers, there was a notable enhancement in overall profitability, deposit mobilization, and a reduction in NPAs, reflecting improved operational efficiency and economies of scale. Nonetheless, the study identifies the fluctuating Credit-Deposit ratio as an area requiring attention, urging bank management and sponsor banks to implement corrective measures and extend services to unbanked regions and specific rural segments. This paper significantly contributes to the understanding of structural reforms in the rural banking sector and their effects on financial inclusion and economic development.</w:t>
      </w:r>
    </w:p>
    <w:p w14:paraId="3C4B9109" w14:textId="77777777" w:rsidR="001704AB" w:rsidRDefault="00B625EE" w:rsidP="005447DF">
      <w:pPr>
        <w:pStyle w:val="NormalWeb"/>
        <w:spacing w:before="30" w:beforeAutospacing="0" w:after="30" w:afterAutospacing="0"/>
        <w:jc w:val="both"/>
        <w:rPr>
          <w:color w:val="1A1C1E"/>
          <w:shd w:val="clear" w:color="auto" w:fill="FFFFFF"/>
        </w:rPr>
      </w:pPr>
      <w:proofErr w:type="spellStart"/>
      <w:r w:rsidRPr="00B625EE">
        <w:rPr>
          <w:b/>
        </w:rPr>
        <w:t>Bollimutha</w:t>
      </w:r>
      <w:proofErr w:type="spellEnd"/>
      <w:r w:rsidRPr="00B625EE">
        <w:rPr>
          <w:b/>
        </w:rPr>
        <w:t>, B. G. S. (2024)</w:t>
      </w:r>
      <w:r>
        <w:t xml:space="preserve"> </w:t>
      </w:r>
      <w:r w:rsidR="001704AB" w:rsidRPr="00B625EE">
        <w:rPr>
          <w:color w:val="1A1C1E"/>
          <w:shd w:val="clear" w:color="auto" w:fill="FFFFFF"/>
        </w:rPr>
        <w:t xml:space="preserve">The article, "Measuring the Effectiveness of </w:t>
      </w:r>
      <w:r>
        <w:rPr>
          <w:color w:val="1A1C1E"/>
          <w:shd w:val="clear" w:color="auto" w:fill="FFFFFF"/>
        </w:rPr>
        <w:t xml:space="preserve">Regional Rural Banks in India - An Empirical Analysis" </w:t>
      </w:r>
      <w:r w:rsidR="001704AB" w:rsidRPr="00B625EE">
        <w:rPr>
          <w:color w:val="1A1C1E"/>
          <w:shd w:val="clear" w:color="auto" w:fill="FFFFFF"/>
        </w:rPr>
        <w:t>presents a robust and insightful investigation into the enduring role and efficac</w:t>
      </w:r>
      <w:r>
        <w:rPr>
          <w:color w:val="1A1C1E"/>
          <w:shd w:val="clear" w:color="auto" w:fill="FFFFFF"/>
        </w:rPr>
        <w:t>y of Regional Rural Banks</w:t>
      </w:r>
      <w:r w:rsidR="001704AB" w:rsidRPr="00B625EE">
        <w:rPr>
          <w:color w:val="1A1C1E"/>
          <w:shd w:val="clear" w:color="auto" w:fill="FFFFFF"/>
        </w:rPr>
        <w:t xml:space="preserve"> in advancing financial inclusion across India from their inception in 1975 to 2022. The authors adeptly synthesize historical context with rigorous statistical analysis, meticulously evaluating critical metrics such as deposits, credit advances, and credit-deposit ratios, both for RRBs in isolation and in comparison to the broader banking sector. Their empirical findings compellingly illustrate a </w:t>
      </w:r>
      <w:r w:rsidR="001704AB" w:rsidRPr="00B625EE">
        <w:rPr>
          <w:color w:val="1A1C1E"/>
          <w:shd w:val="clear" w:color="auto" w:fill="FFFFFF"/>
        </w:rPr>
        <w:lastRenderedPageBreak/>
        <w:t>consistent positive correlation between RRB performance and overall banking industry trends, particularly emphasizing the sustained higher credit-deposit ratios maintained by RRBs over an extended period. While contextualizing these achievements within persistent challenges like capital adequacy, operational efficiency, and technological integration, the study powerfully reaffirms the indispensable contribution of RRBs to serving India's often-marginalized rural communities. The paper's strength lies in its comprehensive time-series analysis and detailed treatment of amalgamation data, rendering it an invaluable resource for both policymakers seeking informed strategies and academics delving into rural finance. Future research, however, could further enrich this valuable contribution by delving deeper into granular regional disparities and the more nuanced post-merger performance effects. Nonetheless, this work significantly enhances our understanding of the long-term trajectory and impact of RRBs within India's evolving rural financial ecosystem.</w:t>
      </w:r>
    </w:p>
    <w:p w14:paraId="3A07D4A5" w14:textId="77777777" w:rsidR="00570B54" w:rsidRDefault="007046B1" w:rsidP="005447DF">
      <w:pPr>
        <w:pStyle w:val="NormalWeb"/>
        <w:spacing w:before="30" w:beforeAutospacing="0" w:after="30" w:afterAutospacing="0"/>
        <w:jc w:val="both"/>
        <w:rPr>
          <w:rStyle w:val="ai-insert"/>
          <w:color w:val="1A1C1E"/>
        </w:rPr>
      </w:pPr>
      <w:r w:rsidRPr="007046B1">
        <w:rPr>
          <w:b/>
        </w:rPr>
        <w:t>Chaudhary, S., &amp; Kaur, M. (2022)</w:t>
      </w:r>
      <w:r w:rsidRPr="007046B1">
        <w:rPr>
          <w:rStyle w:val="ai-insert"/>
          <w:color w:val="1A1C1E"/>
        </w:rPr>
        <w:t xml:space="preserve"> </w:t>
      </w:r>
      <w:r w:rsidR="00570B54" w:rsidRPr="00570B54">
        <w:rPr>
          <w:rStyle w:val="ai-insert"/>
          <w:color w:val="1A1C1E"/>
        </w:rPr>
        <w:t>This research offers an empirical examination of how consolidation affects the profitabilit</w:t>
      </w:r>
      <w:r>
        <w:rPr>
          <w:rStyle w:val="ai-insert"/>
          <w:color w:val="1A1C1E"/>
        </w:rPr>
        <w:t>y of Regional Rural Banks</w:t>
      </w:r>
      <w:r w:rsidR="00570B54" w:rsidRPr="00570B54">
        <w:rPr>
          <w:rStyle w:val="ai-insert"/>
          <w:color w:val="1A1C1E"/>
        </w:rPr>
        <w:t xml:space="preserve"> in India, employing both univariate (paired t-test) and multivariate (panel regression) methods. The results indicate a mixed performance following amalgamation, with a notable rise in Return on Equity (ROE) but an insignificant shift in Return on Assets (ROA). The study concludes that although the Indian government's initiative to amalgamate RRBs has slightly enhanced profitability, the overall impact is not wholly positive, as some metrics exhibit a declining trend. It also emphasizes that diversification and credit risk have a positive effect on profitability, while cost inefficiency has a negative impact.</w:t>
      </w:r>
    </w:p>
    <w:p w14:paraId="597597A1" w14:textId="77777777" w:rsidR="00285B6B" w:rsidRPr="00285B6B" w:rsidRDefault="00285B6B" w:rsidP="005447DF">
      <w:pPr>
        <w:pStyle w:val="NormalWeb"/>
        <w:spacing w:before="30" w:beforeAutospacing="0" w:after="30" w:afterAutospacing="0"/>
        <w:jc w:val="both"/>
        <w:rPr>
          <w:rStyle w:val="ai-insert"/>
        </w:rPr>
      </w:pPr>
      <w:r w:rsidRPr="00285B6B">
        <w:rPr>
          <w:b/>
        </w:rPr>
        <w:t xml:space="preserve">Bhavik Barot, M., &amp; </w:t>
      </w:r>
      <w:proofErr w:type="spellStart"/>
      <w:r w:rsidRPr="00285B6B">
        <w:rPr>
          <w:b/>
        </w:rPr>
        <w:t>Japee</w:t>
      </w:r>
      <w:proofErr w:type="spellEnd"/>
      <w:r w:rsidRPr="00285B6B">
        <w:rPr>
          <w:b/>
        </w:rPr>
        <w:t>, G. (2021)</w:t>
      </w:r>
      <w:r>
        <w:t xml:space="preserve"> </w:t>
      </w:r>
      <w:r w:rsidRPr="00285B6B">
        <w:rPr>
          <w:rStyle w:val="ai-insert"/>
          <w:color w:val="1A1C1E"/>
        </w:rPr>
        <w:t>This article provides a concise yet insightful examination of the role of Regional Rural Banks (RRBs) in India's rural economy. It highlights the critical function of RRBs in extending credit to small and marginal farmers, artisans, and rural enterprises. The paper traces the origins, structure, and operational challenges of RRBs, emphasizing their importance in promoting financial inclusion and reducing dependence on informal lending sources. Utilizing secondary data, the study effectively outlines the growth patterns and geographical distribution of RRBs, although it would benefit from a more comprehensive analysis or quantitative evaluation. Ultimately, it offers a robust descriptive account of the RRB system, underscoring its significant contribution to holistic rural development in India.</w:t>
      </w:r>
      <w:r w:rsidRPr="00285B6B">
        <w:rPr>
          <w:vanish/>
        </w:rPr>
        <w:t>Bottom of Form</w:t>
      </w:r>
    </w:p>
    <w:p w14:paraId="0F46E597" w14:textId="77777777" w:rsidR="00285B6B" w:rsidRDefault="008C11C6" w:rsidP="005447DF">
      <w:pPr>
        <w:pStyle w:val="NormalWeb"/>
        <w:spacing w:before="30" w:beforeAutospacing="0" w:after="30" w:afterAutospacing="0"/>
        <w:jc w:val="both"/>
        <w:rPr>
          <w:rStyle w:val="ai-insert"/>
          <w:color w:val="1A1C1E"/>
        </w:rPr>
      </w:pPr>
      <w:r w:rsidRPr="008C11C6">
        <w:rPr>
          <w:b/>
        </w:rPr>
        <w:t xml:space="preserve">Tanmay Sarker. (2024) </w:t>
      </w:r>
      <w:r w:rsidRPr="008C11C6">
        <w:rPr>
          <w:rStyle w:val="ai-insert"/>
          <w:color w:val="1A1C1E"/>
        </w:rPr>
        <w:t>This article presents an empirical assessment of the impact of mergers on India's Regional Rural Banks (RRBs). Utilizing secondary data from the Reserve Bank of India (RBI) and the National Bank for Agriculture and Rural Development (NABARD) spanning 1993-94 to 2018-19, the study examines indicators such as branch growth, credit-deposit ratios, profitability, and non-performing assets. The findings reveal that although branch networks and investments expanded post-merger, profitability experienced only marginal improvements, and non-performing assets exhibited variability. This suggests that while structural changes enhanced reach, they did not consistently improve efficiency. The study effectively elucidates the mixed outcomes of consolidation, highlighting increased stability alongside persistent challenges in delivering rural credit. The statistical framework employed is robust; however, the inclusion of qualitative data or state-specific comparisons could further enrich the analysis.</w:t>
      </w:r>
    </w:p>
    <w:p w14:paraId="2DE28D20" w14:textId="77777777" w:rsidR="00994CE0" w:rsidRDefault="00994CE0" w:rsidP="005447DF">
      <w:pPr>
        <w:pStyle w:val="NormalWeb"/>
        <w:spacing w:after="30" w:afterAutospacing="0"/>
        <w:jc w:val="both"/>
        <w:rPr>
          <w:b/>
          <w:color w:val="1A1C1E"/>
          <w:sz w:val="27"/>
          <w:szCs w:val="27"/>
          <w:shd w:val="clear" w:color="auto" w:fill="FFFFFF"/>
        </w:rPr>
      </w:pPr>
      <w:r>
        <w:rPr>
          <w:b/>
          <w:color w:val="1A1C1E"/>
          <w:sz w:val="27"/>
          <w:szCs w:val="27"/>
          <w:shd w:val="clear" w:color="auto" w:fill="FFFFFF"/>
        </w:rPr>
        <w:t>3. Formation of JRGB as a Merged Entity</w:t>
      </w:r>
    </w:p>
    <w:p w14:paraId="674CD219" w14:textId="77777777" w:rsidR="00994CE0" w:rsidRPr="00994CE0" w:rsidRDefault="00994CE0" w:rsidP="005447DF">
      <w:pPr>
        <w:pStyle w:val="NormalWeb"/>
        <w:spacing w:before="30" w:beforeAutospacing="0" w:after="30" w:afterAutospacing="0"/>
        <w:jc w:val="both"/>
        <w:rPr>
          <w:rStyle w:val="ai-insert"/>
        </w:rPr>
      </w:pPr>
      <w:r>
        <w:t xml:space="preserve">Jharkhand Rajya Gramin Bank has been formed during the third phase of amalgamation (2018-19 to 2020-21) in the network of RRBs through merging its predecessor banks Jharkhand </w:t>
      </w:r>
      <w:proofErr w:type="spellStart"/>
      <w:r>
        <w:t>Gramin</w:t>
      </w:r>
      <w:proofErr w:type="spellEnd"/>
      <w:r>
        <w:t xml:space="preserve"> Bank and </w:t>
      </w:r>
      <w:proofErr w:type="spellStart"/>
      <w:r>
        <w:t>Vanachal</w:t>
      </w:r>
      <w:proofErr w:type="spellEnd"/>
      <w:r>
        <w:t xml:space="preserve"> </w:t>
      </w:r>
      <w:proofErr w:type="spellStart"/>
      <w:r>
        <w:t>Gramin</w:t>
      </w:r>
      <w:proofErr w:type="spellEnd"/>
      <w:r>
        <w:t xml:space="preserve"> bank sponsored by Bank of India and State Bank of India respectively, on 1st of April 2019. JRGB has started its operation as a single operating RRB in Jharkhand, sponsored by the State Bank of India to fulfil the mission of </w:t>
      </w:r>
      <w:r>
        <w:lastRenderedPageBreak/>
        <w:t xml:space="preserve">Ministry of Finance, Government of India “One State One RRB”. The pre-existed branch network of its predecessor banks i.e. JGB and VGB provided the extensive reach to the new merged entity JRGB from its first day of operation with the total numbers of branches of 443. It is the only Regional Rural Bank in the state after amalgamation of VGB and JGB, which is operating in all the 24 district of Jharkhand notified by the Ministry of Finance, Government of India. The head office of Jharkhand Rajya Gramin Bank is situated in Ranchi city, which is the state capital of Jharkhand. As on 31st March 2024 the bank has eight regional offices in Ranchi, </w:t>
      </w:r>
      <w:proofErr w:type="spellStart"/>
      <w:r>
        <w:t>Singhbhum</w:t>
      </w:r>
      <w:proofErr w:type="spellEnd"/>
      <w:r>
        <w:t xml:space="preserve">, </w:t>
      </w:r>
      <w:proofErr w:type="spellStart"/>
      <w:r>
        <w:t>Gumla</w:t>
      </w:r>
      <w:proofErr w:type="spellEnd"/>
      <w:r>
        <w:t xml:space="preserve">, </w:t>
      </w:r>
      <w:proofErr w:type="spellStart"/>
      <w:r>
        <w:t>Palamu</w:t>
      </w:r>
      <w:proofErr w:type="spellEnd"/>
      <w:r>
        <w:t xml:space="preserve">, Hazaribagh, </w:t>
      </w:r>
      <w:proofErr w:type="spellStart"/>
      <w:r>
        <w:t>Giridih</w:t>
      </w:r>
      <w:proofErr w:type="spellEnd"/>
      <w:r>
        <w:t xml:space="preserve">, </w:t>
      </w:r>
      <w:proofErr w:type="spellStart"/>
      <w:r>
        <w:t>Deoghar</w:t>
      </w:r>
      <w:proofErr w:type="spellEnd"/>
      <w:r>
        <w:t xml:space="preserve"> and </w:t>
      </w:r>
      <w:proofErr w:type="spellStart"/>
      <w:r>
        <w:t>Godda</w:t>
      </w:r>
      <w:proofErr w:type="spellEnd"/>
      <w:r>
        <w:t xml:space="preserve">, which is covering all 24 district of the state with 446 total numbers of branches. </w:t>
      </w:r>
    </w:p>
    <w:p w14:paraId="0925023F" w14:textId="77777777" w:rsidR="00877742" w:rsidRPr="00BC48FF" w:rsidRDefault="00994CE0" w:rsidP="005447DF">
      <w:pPr>
        <w:pStyle w:val="NormalWeb"/>
        <w:spacing w:after="30" w:afterAutospacing="0"/>
        <w:jc w:val="both"/>
        <w:rPr>
          <w:rStyle w:val="ai-insert"/>
          <w:b/>
          <w:color w:val="1A1C1E"/>
          <w:sz w:val="27"/>
          <w:szCs w:val="27"/>
        </w:rPr>
      </w:pPr>
      <w:r>
        <w:rPr>
          <w:rStyle w:val="ai-insert"/>
          <w:b/>
          <w:color w:val="1A1C1E"/>
          <w:sz w:val="27"/>
          <w:szCs w:val="27"/>
        </w:rPr>
        <w:t>4</w:t>
      </w:r>
      <w:r w:rsidR="00C15609">
        <w:rPr>
          <w:rStyle w:val="ai-insert"/>
          <w:b/>
          <w:color w:val="1A1C1E"/>
          <w:sz w:val="27"/>
          <w:szCs w:val="27"/>
        </w:rPr>
        <w:t xml:space="preserve">. </w:t>
      </w:r>
      <w:r w:rsidR="00BC48FF">
        <w:rPr>
          <w:rStyle w:val="ai-insert"/>
          <w:b/>
          <w:color w:val="1A1C1E"/>
          <w:sz w:val="27"/>
          <w:szCs w:val="27"/>
        </w:rPr>
        <w:t>Objectives of the Study</w:t>
      </w:r>
    </w:p>
    <w:p w14:paraId="6BD3D358" w14:textId="77777777" w:rsidR="00877742" w:rsidRPr="00BC48FF" w:rsidRDefault="00BC48FF" w:rsidP="005447DF">
      <w:pPr>
        <w:pStyle w:val="NormalWeb"/>
        <w:spacing w:before="30" w:beforeAutospacing="0" w:after="30" w:afterAutospacing="0"/>
        <w:jc w:val="both"/>
        <w:rPr>
          <w:rStyle w:val="ai-insert"/>
          <w:color w:val="1A1C1E"/>
        </w:rPr>
      </w:pPr>
      <w:r w:rsidRPr="00BC48FF">
        <w:rPr>
          <w:rStyle w:val="ai-insert"/>
          <w:color w:val="1A1C1E"/>
        </w:rPr>
        <w:t xml:space="preserve">1. </w:t>
      </w:r>
      <w:r>
        <w:rPr>
          <w:rStyle w:val="ai-insert"/>
          <w:color w:val="1A1C1E"/>
        </w:rPr>
        <w:t xml:space="preserve">To </w:t>
      </w:r>
      <w:proofErr w:type="spellStart"/>
      <w:r>
        <w:rPr>
          <w:rStyle w:val="ai-insert"/>
          <w:color w:val="1A1C1E"/>
        </w:rPr>
        <w:t>analyze</w:t>
      </w:r>
      <w:proofErr w:type="spellEnd"/>
      <w:r w:rsidR="00877742" w:rsidRPr="00BC48FF">
        <w:rPr>
          <w:rStyle w:val="ai-insert"/>
          <w:color w:val="1A1C1E"/>
        </w:rPr>
        <w:t xml:space="preserve"> a comprehensive </w:t>
      </w:r>
      <w:r>
        <w:rPr>
          <w:rStyle w:val="ai-insert"/>
          <w:color w:val="1A1C1E"/>
        </w:rPr>
        <w:t>financial performance</w:t>
      </w:r>
      <w:r w:rsidR="00877742" w:rsidRPr="00BC48FF">
        <w:rPr>
          <w:rStyle w:val="ai-insert"/>
          <w:color w:val="1A1C1E"/>
        </w:rPr>
        <w:t xml:space="preserve"> of Jharkhand Rajya Gramin Bank across pre- and post-amalgamation periods.</w:t>
      </w:r>
    </w:p>
    <w:p w14:paraId="385FDA78" w14:textId="77777777" w:rsidR="00877742" w:rsidRPr="00BC48FF" w:rsidRDefault="00BC48FF" w:rsidP="005447DF">
      <w:pPr>
        <w:pStyle w:val="NormalWeb"/>
        <w:spacing w:after="30" w:afterAutospacing="0"/>
        <w:jc w:val="both"/>
        <w:rPr>
          <w:rStyle w:val="ai-insert"/>
          <w:color w:val="1A1C1E"/>
        </w:rPr>
      </w:pPr>
      <w:r w:rsidRPr="00BC48FF">
        <w:rPr>
          <w:rStyle w:val="ai-insert"/>
          <w:color w:val="1A1C1E"/>
        </w:rPr>
        <w:t xml:space="preserve">2. </w:t>
      </w:r>
      <w:r>
        <w:rPr>
          <w:rStyle w:val="ai-insert"/>
          <w:color w:val="1A1C1E"/>
        </w:rPr>
        <w:t xml:space="preserve">To empirically </w:t>
      </w:r>
      <w:proofErr w:type="spellStart"/>
      <w:r>
        <w:rPr>
          <w:rStyle w:val="ai-insert"/>
          <w:color w:val="1A1C1E"/>
        </w:rPr>
        <w:t>analyze</w:t>
      </w:r>
      <w:proofErr w:type="spellEnd"/>
      <w:r>
        <w:rPr>
          <w:rStyle w:val="ai-insert"/>
          <w:color w:val="1A1C1E"/>
        </w:rPr>
        <w:t xml:space="preserve"> the impact </w:t>
      </w:r>
      <w:r w:rsidR="003225DC">
        <w:rPr>
          <w:rStyle w:val="ai-insert"/>
          <w:color w:val="1A1C1E"/>
        </w:rPr>
        <w:t xml:space="preserve">of </w:t>
      </w:r>
      <w:r w:rsidR="003225DC" w:rsidRPr="00BC48FF">
        <w:rPr>
          <w:rStyle w:val="ai-insert"/>
          <w:color w:val="1A1C1E"/>
        </w:rPr>
        <w:t>merger</w:t>
      </w:r>
      <w:r w:rsidR="00877742" w:rsidRPr="00BC48FF">
        <w:rPr>
          <w:rStyle w:val="ai-insert"/>
          <w:color w:val="1A1C1E"/>
        </w:rPr>
        <w:t xml:space="preserve"> on the operational and managerial efficiency of Jharkhand Rajya Gramin Bank.</w:t>
      </w:r>
    </w:p>
    <w:p w14:paraId="504CFF0A" w14:textId="77777777" w:rsidR="00C15609" w:rsidRPr="00BC48FF" w:rsidRDefault="00BC48FF" w:rsidP="005447DF">
      <w:pPr>
        <w:pStyle w:val="NormalWeb"/>
        <w:spacing w:after="30" w:afterAutospacing="0"/>
        <w:jc w:val="both"/>
        <w:rPr>
          <w:rStyle w:val="ai-insert"/>
          <w:color w:val="1A1C1E"/>
        </w:rPr>
      </w:pPr>
      <w:r w:rsidRPr="00BC48FF">
        <w:rPr>
          <w:rStyle w:val="ai-insert"/>
          <w:color w:val="1A1C1E"/>
        </w:rPr>
        <w:t xml:space="preserve">3. </w:t>
      </w:r>
      <w:r w:rsidR="00877742" w:rsidRPr="00BC48FF">
        <w:rPr>
          <w:rStyle w:val="ai-insert"/>
          <w:color w:val="1A1C1E"/>
        </w:rPr>
        <w:t>To identify and critically evaluate the post-merger challenges encountered by Jharkhand Rajya Gramin Bank and propose strategic measures for fostering sustainable growth.</w:t>
      </w:r>
    </w:p>
    <w:p w14:paraId="34E10D7B" w14:textId="77777777" w:rsidR="007046B1" w:rsidRDefault="00994CE0" w:rsidP="005447DF">
      <w:pPr>
        <w:pStyle w:val="NormalWeb"/>
        <w:spacing w:after="30" w:afterAutospacing="0"/>
        <w:jc w:val="both"/>
        <w:rPr>
          <w:b/>
          <w:sz w:val="27"/>
          <w:szCs w:val="27"/>
        </w:rPr>
      </w:pPr>
      <w:r>
        <w:rPr>
          <w:b/>
          <w:sz w:val="27"/>
          <w:szCs w:val="27"/>
        </w:rPr>
        <w:t>5</w:t>
      </w:r>
      <w:r w:rsidR="00BC48FF" w:rsidRPr="00BC48FF">
        <w:rPr>
          <w:b/>
          <w:sz w:val="27"/>
          <w:szCs w:val="27"/>
        </w:rPr>
        <w:t xml:space="preserve">. </w:t>
      </w:r>
      <w:r w:rsidR="00E9672E">
        <w:rPr>
          <w:b/>
          <w:sz w:val="27"/>
          <w:szCs w:val="27"/>
        </w:rPr>
        <w:t xml:space="preserve">Research </w:t>
      </w:r>
      <w:r w:rsidR="00BC48FF" w:rsidRPr="00BC48FF">
        <w:rPr>
          <w:b/>
          <w:sz w:val="27"/>
          <w:szCs w:val="27"/>
        </w:rPr>
        <w:t>Methodology</w:t>
      </w:r>
    </w:p>
    <w:p w14:paraId="38CF0246" w14:textId="77777777" w:rsidR="00501D52" w:rsidRPr="00994CE0" w:rsidRDefault="00BC48FF" w:rsidP="005447DF">
      <w:pPr>
        <w:pStyle w:val="NormalWeb"/>
        <w:spacing w:before="30" w:beforeAutospacing="0" w:after="30" w:afterAutospacing="0"/>
        <w:jc w:val="both"/>
        <w:rPr>
          <w:color w:val="1A1C1E"/>
          <w:shd w:val="clear" w:color="auto" w:fill="FFFFFF"/>
        </w:rPr>
      </w:pPr>
      <w:r w:rsidRPr="00E9672E">
        <w:rPr>
          <w:color w:val="1A1C1E"/>
          <w:shd w:val="clear" w:color="auto" w:fill="FFFFFF"/>
        </w:rPr>
        <w:t>This study employs a descriptive and analytical research design, utilizing secondary data from the Reserve Bank of India (RBI) publications, National Bank for Agriculture and Rural Development (NABARD) reports, and the annual financial statements of Jharkhand Rajya Gramin Bank (</w:t>
      </w:r>
      <w:r w:rsidR="00E9672E">
        <w:rPr>
          <w:color w:val="1A1C1E"/>
          <w:shd w:val="clear" w:color="auto" w:fill="FFFFFF"/>
        </w:rPr>
        <w:t>JRGB)</w:t>
      </w:r>
      <w:r w:rsidR="00855EC8">
        <w:rPr>
          <w:color w:val="1A1C1E"/>
          <w:shd w:val="clear" w:color="auto" w:fill="FFFFFF"/>
        </w:rPr>
        <w:t>.</w:t>
      </w:r>
      <w:r w:rsidRPr="00E9672E">
        <w:rPr>
          <w:color w:val="1A1C1E"/>
          <w:shd w:val="clear" w:color="auto" w:fill="FFFFFF"/>
        </w:rPr>
        <w:t xml:space="preserve"> The analytical framework deli</w:t>
      </w:r>
      <w:r w:rsidR="00E9672E">
        <w:rPr>
          <w:color w:val="1A1C1E"/>
          <w:shd w:val="clear" w:color="auto" w:fill="FFFFFF"/>
        </w:rPr>
        <w:t>neates</w:t>
      </w:r>
      <w:r w:rsidR="00855EC8">
        <w:rPr>
          <w:color w:val="1A1C1E"/>
          <w:shd w:val="clear" w:color="auto" w:fill="FFFFFF"/>
        </w:rPr>
        <w:t xml:space="preserve"> a pre-merger phase up to </w:t>
      </w:r>
      <w:r w:rsidR="00E9672E">
        <w:rPr>
          <w:color w:val="1A1C1E"/>
          <w:shd w:val="clear" w:color="auto" w:fill="FFFFFF"/>
        </w:rPr>
        <w:t>2018-</w:t>
      </w:r>
      <w:proofErr w:type="gramStart"/>
      <w:r w:rsidRPr="00E9672E">
        <w:rPr>
          <w:color w:val="1A1C1E"/>
          <w:shd w:val="clear" w:color="auto" w:fill="FFFFFF"/>
        </w:rPr>
        <w:t>19</w:t>
      </w:r>
      <w:r w:rsidR="00E9672E">
        <w:rPr>
          <w:color w:val="1A1C1E"/>
          <w:shd w:val="clear" w:color="auto" w:fill="FFFFFF"/>
        </w:rPr>
        <w:t xml:space="preserve"> </w:t>
      </w:r>
      <w:r w:rsidR="00B94A63">
        <w:rPr>
          <w:color w:val="1A1C1E"/>
          <w:shd w:val="clear" w:color="auto" w:fill="FFFFFF"/>
        </w:rPr>
        <w:t xml:space="preserve"> of</w:t>
      </w:r>
      <w:proofErr w:type="gramEnd"/>
      <w:r w:rsidR="00B94A63">
        <w:rPr>
          <w:color w:val="1A1C1E"/>
          <w:shd w:val="clear" w:color="auto" w:fill="FFFFFF"/>
        </w:rPr>
        <w:t xml:space="preserve"> combined operation of Jharkhand Gramin Bank (JGB) </w:t>
      </w:r>
      <w:r w:rsidR="00E9672E">
        <w:rPr>
          <w:color w:val="1A1C1E"/>
          <w:shd w:val="clear" w:color="auto" w:fill="FFFFFF"/>
        </w:rPr>
        <w:t>and</w:t>
      </w:r>
      <w:r w:rsidR="00B94A63">
        <w:rPr>
          <w:color w:val="1A1C1E"/>
          <w:shd w:val="clear" w:color="auto" w:fill="FFFFFF"/>
        </w:rPr>
        <w:t xml:space="preserve"> </w:t>
      </w:r>
      <w:proofErr w:type="spellStart"/>
      <w:r w:rsidR="00B94A63">
        <w:rPr>
          <w:color w:val="1A1C1E"/>
          <w:shd w:val="clear" w:color="auto" w:fill="FFFFFF"/>
        </w:rPr>
        <w:t>Vananchal</w:t>
      </w:r>
      <w:proofErr w:type="spellEnd"/>
      <w:r w:rsidR="00B94A63">
        <w:rPr>
          <w:color w:val="1A1C1E"/>
          <w:shd w:val="clear" w:color="auto" w:fill="FFFFFF"/>
        </w:rPr>
        <w:t xml:space="preserve"> </w:t>
      </w:r>
      <w:proofErr w:type="spellStart"/>
      <w:r w:rsidR="00B94A63">
        <w:rPr>
          <w:color w:val="1A1C1E"/>
          <w:shd w:val="clear" w:color="auto" w:fill="FFFFFF"/>
        </w:rPr>
        <w:t>Gramin</w:t>
      </w:r>
      <w:proofErr w:type="spellEnd"/>
      <w:r w:rsidR="00B94A63">
        <w:rPr>
          <w:color w:val="1A1C1E"/>
          <w:shd w:val="clear" w:color="auto" w:fill="FFFFFF"/>
        </w:rPr>
        <w:t xml:space="preserve"> Bank (VGB) and</w:t>
      </w:r>
      <w:r w:rsidR="00E9672E">
        <w:rPr>
          <w:color w:val="1A1C1E"/>
          <w:shd w:val="clear" w:color="auto" w:fill="FFFFFF"/>
        </w:rPr>
        <w:t xml:space="preserve"> a post-</w:t>
      </w:r>
      <w:r w:rsidR="00855EC8">
        <w:rPr>
          <w:color w:val="1A1C1E"/>
          <w:shd w:val="clear" w:color="auto" w:fill="FFFFFF"/>
        </w:rPr>
        <w:t>merger phase considered from 2019-20 onwards</w:t>
      </w:r>
      <w:r w:rsidR="00B94A63">
        <w:rPr>
          <w:color w:val="1A1C1E"/>
          <w:shd w:val="clear" w:color="auto" w:fill="FFFFFF"/>
        </w:rPr>
        <w:t xml:space="preserve"> of newly established Jharkhand Rajya Gramin Bank (JRGB)</w:t>
      </w:r>
      <w:r w:rsidRPr="00E9672E">
        <w:rPr>
          <w:color w:val="1A1C1E"/>
          <w:shd w:val="clear" w:color="auto" w:fill="FFFFFF"/>
        </w:rPr>
        <w:t xml:space="preserve">. </w:t>
      </w:r>
      <w:r w:rsidR="00B94A63">
        <w:t xml:space="preserve">However, due to the absence of digitized archival records and the institutional amalgamation of these banks into Jharkhand Rajya Gramin Bank (JRGB) in April 2019, complete bank-wise annual data for all pre-merger years were not publicly available. Therefore, FY2018–19 has been treated as the representative pre-merger baseline for analytical comparison. </w:t>
      </w:r>
      <w:r w:rsidR="00E9672E">
        <w:rPr>
          <w:color w:val="1A1C1E"/>
          <w:shd w:val="clear" w:color="auto" w:fill="FFFFFF"/>
        </w:rPr>
        <w:t>The k</w:t>
      </w:r>
      <w:r w:rsidRPr="00E9672E">
        <w:rPr>
          <w:color w:val="1A1C1E"/>
          <w:shd w:val="clear" w:color="auto" w:fill="FFFFFF"/>
        </w:rPr>
        <w:t>ey performance indicators for efficienc</w:t>
      </w:r>
      <w:r w:rsidR="00E9672E">
        <w:rPr>
          <w:color w:val="1A1C1E"/>
          <w:shd w:val="clear" w:color="auto" w:fill="FFFFFF"/>
        </w:rPr>
        <w:t>y assessment include the Credit-</w:t>
      </w:r>
      <w:r w:rsidRPr="00E9672E">
        <w:rPr>
          <w:color w:val="1A1C1E"/>
          <w:shd w:val="clear" w:color="auto" w:fill="FFFFFF"/>
        </w:rPr>
        <w:t xml:space="preserve">Deposit </w:t>
      </w:r>
      <w:r w:rsidR="00E9672E">
        <w:rPr>
          <w:color w:val="1A1C1E"/>
          <w:shd w:val="clear" w:color="auto" w:fill="FFFFFF"/>
        </w:rPr>
        <w:t xml:space="preserve">(CD) </w:t>
      </w:r>
      <w:r w:rsidR="00B94A63">
        <w:rPr>
          <w:color w:val="1A1C1E"/>
          <w:shd w:val="clear" w:color="auto" w:fill="FFFFFF"/>
        </w:rPr>
        <w:t xml:space="preserve">Ratio, Net </w:t>
      </w:r>
      <w:proofErr w:type="spellStart"/>
      <w:r w:rsidR="00B94A63">
        <w:rPr>
          <w:color w:val="1A1C1E"/>
          <w:shd w:val="clear" w:color="auto" w:fill="FFFFFF"/>
        </w:rPr>
        <w:t>profts</w:t>
      </w:r>
      <w:proofErr w:type="spellEnd"/>
      <w:r w:rsidR="00B94A63">
        <w:rPr>
          <w:color w:val="1A1C1E"/>
          <w:shd w:val="clear" w:color="auto" w:fill="FFFFFF"/>
        </w:rPr>
        <w:t>,</w:t>
      </w:r>
      <w:r w:rsidRPr="00E9672E">
        <w:rPr>
          <w:color w:val="1A1C1E"/>
          <w:shd w:val="clear" w:color="auto" w:fill="FFFFFF"/>
        </w:rPr>
        <w:t xml:space="preserve"> Non-Performing Assets (NPA) ratio, and Business per Employee. The statistical analysis incorporates percentage change analysis, Compound Annual Growth Rate (CAGR), and paired t-tests to ascertain the statistical significance of observed changes post-amalgamation. This methodological approach is designed to facilitate a robust comparison of performance enhancements and structural efficiency improvements subsequent to the merger.</w:t>
      </w:r>
    </w:p>
    <w:p w14:paraId="7897020E" w14:textId="77777777" w:rsidR="00F51DA3" w:rsidRDefault="00501D52" w:rsidP="005447DF">
      <w:pPr>
        <w:pStyle w:val="NormalWeb"/>
        <w:spacing w:after="30" w:afterAutospacing="0"/>
        <w:jc w:val="both"/>
        <w:rPr>
          <w:b/>
          <w:color w:val="1A1C1E"/>
          <w:sz w:val="27"/>
          <w:szCs w:val="27"/>
          <w:shd w:val="clear" w:color="auto" w:fill="FFFFFF"/>
        </w:rPr>
      </w:pPr>
      <w:r>
        <w:rPr>
          <w:b/>
          <w:color w:val="1A1C1E"/>
          <w:sz w:val="27"/>
          <w:szCs w:val="27"/>
          <w:shd w:val="clear" w:color="auto" w:fill="FFFFFF"/>
        </w:rPr>
        <w:t>6.</w:t>
      </w:r>
      <w:r w:rsidR="00E9672E" w:rsidRPr="00E9672E">
        <w:rPr>
          <w:b/>
          <w:color w:val="1A1C1E"/>
          <w:sz w:val="27"/>
          <w:szCs w:val="27"/>
          <w:shd w:val="clear" w:color="auto" w:fill="FFFFFF"/>
        </w:rPr>
        <w:t xml:space="preserve"> Data Analysis and Discussions</w:t>
      </w:r>
    </w:p>
    <w:p w14:paraId="5436CFFE" w14:textId="54B931E6" w:rsidR="00FA5F8F" w:rsidRDefault="00FA5F8F" w:rsidP="00271157">
      <w:pPr>
        <w:pStyle w:val="NormalWeb"/>
        <w:spacing w:before="30" w:beforeAutospacing="0" w:after="30" w:afterAutospacing="0"/>
        <w:jc w:val="center"/>
        <w:rPr>
          <w:b/>
          <w:color w:val="1A1C1E"/>
          <w:shd w:val="clear" w:color="auto" w:fill="FFFFFF"/>
        </w:rPr>
      </w:pPr>
      <w:r>
        <w:rPr>
          <w:b/>
          <w:color w:val="1A1C1E"/>
          <w:shd w:val="clear" w:color="auto" w:fill="FFFFFF"/>
        </w:rPr>
        <w:t>Table No. 1</w:t>
      </w:r>
      <w:r w:rsidR="00E2144A">
        <w:rPr>
          <w:b/>
          <w:color w:val="1A1C1E"/>
          <w:shd w:val="clear" w:color="auto" w:fill="FFFFFF"/>
        </w:rPr>
        <w:t>-</w:t>
      </w:r>
    </w:p>
    <w:p w14:paraId="55D61552" w14:textId="77777777" w:rsidR="00FA5F8F" w:rsidRPr="00FA5F8F" w:rsidRDefault="00FA5F8F" w:rsidP="005447DF">
      <w:pPr>
        <w:pStyle w:val="NormalWeb"/>
        <w:spacing w:before="30" w:beforeAutospacing="0" w:after="30" w:afterAutospacing="0"/>
        <w:jc w:val="center"/>
        <w:rPr>
          <w:b/>
          <w:color w:val="1A1C1E"/>
          <w:shd w:val="clear" w:color="auto" w:fill="FFFFFF"/>
        </w:rPr>
      </w:pPr>
      <w:r w:rsidRPr="00FA5F8F">
        <w:rPr>
          <w:b/>
        </w:rPr>
        <w:t>Analysis of Key Performance Indicators (Pre- and Post-Merger Period</w:t>
      </w:r>
      <w:r>
        <w:rPr>
          <w:b/>
        </w:rPr>
        <w:t>s of JRGB</w:t>
      </w:r>
      <w:r w:rsidRPr="00FA5F8F">
        <w:rPr>
          <w:b/>
        </w:rPr>
        <w:t>)</w:t>
      </w:r>
    </w:p>
    <w:p w14:paraId="10FCC0A9" w14:textId="77777777" w:rsidR="002A4A7A" w:rsidRPr="002A4A7A" w:rsidRDefault="002A4A7A" w:rsidP="005447DF">
      <w:pPr>
        <w:pStyle w:val="NormalWeb"/>
        <w:spacing w:before="30" w:beforeAutospacing="0" w:after="0" w:afterAutospacing="0"/>
        <w:jc w:val="right"/>
        <w:rPr>
          <w:b/>
          <w:color w:val="1A1C1E"/>
          <w:sz w:val="22"/>
          <w:szCs w:val="22"/>
          <w:shd w:val="clear" w:color="auto" w:fill="FFFFFF"/>
        </w:rPr>
      </w:pPr>
      <w:r>
        <w:rPr>
          <w:b/>
          <w:color w:val="1A1C1E"/>
          <w:sz w:val="22"/>
          <w:szCs w:val="22"/>
          <w:shd w:val="clear" w:color="auto" w:fill="FFFFFF"/>
        </w:rPr>
        <w:t>(Amount in Lakh)</w:t>
      </w:r>
    </w:p>
    <w:tbl>
      <w:tblPr>
        <w:tblStyle w:val="LightShading-Accent1"/>
        <w:tblW w:w="0" w:type="auto"/>
        <w:tblLook w:val="04A0" w:firstRow="1" w:lastRow="0" w:firstColumn="1" w:lastColumn="0" w:noHBand="0" w:noVBand="1"/>
      </w:tblPr>
      <w:tblGrid>
        <w:gridCol w:w="2371"/>
        <w:gridCol w:w="3366"/>
        <w:gridCol w:w="2002"/>
        <w:gridCol w:w="1503"/>
      </w:tblGrid>
      <w:tr w:rsidR="00FA5F8F" w:rsidRPr="00E9672E" w14:paraId="4E9B30B0" w14:textId="77777777" w:rsidTr="00855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7CD04" w14:textId="77777777" w:rsidR="00E9672E" w:rsidRPr="00E9672E" w:rsidRDefault="0005274D" w:rsidP="00FA5F8F">
            <w:pPr>
              <w:jc w:val="center"/>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 xml:space="preserve">Performance </w:t>
            </w:r>
            <w:r w:rsidR="00E9672E" w:rsidRPr="00E9672E">
              <w:rPr>
                <w:rFonts w:ascii="Times New Roman" w:eastAsia="Times New Roman" w:hAnsi="Times New Roman" w:cs="Times New Roman"/>
                <w:color w:val="auto"/>
                <w:sz w:val="24"/>
                <w:szCs w:val="24"/>
                <w:lang w:val="en-IN" w:eastAsia="en-IN"/>
              </w:rPr>
              <w:t>Indicator</w:t>
            </w:r>
          </w:p>
        </w:tc>
        <w:tc>
          <w:tcPr>
            <w:tcW w:w="0" w:type="auto"/>
            <w:hideMark/>
          </w:tcPr>
          <w:p w14:paraId="4E00E014" w14:textId="77777777" w:rsidR="005B74CD" w:rsidRDefault="00855EC8" w:rsidP="00FA5F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Pre-Merger</w:t>
            </w:r>
          </w:p>
          <w:p w14:paraId="12A14000" w14:textId="77777777" w:rsidR="00E9672E" w:rsidRPr="00E9672E" w:rsidRDefault="002A4A7A" w:rsidP="00FA5F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w:t>
            </w:r>
            <w:r w:rsidR="00FA5F8F">
              <w:rPr>
                <w:rFonts w:ascii="Times New Roman" w:eastAsia="Times New Roman" w:hAnsi="Times New Roman" w:cs="Times New Roman"/>
                <w:color w:val="auto"/>
                <w:sz w:val="24"/>
                <w:szCs w:val="24"/>
                <w:lang w:val="en-IN" w:eastAsia="en-IN"/>
              </w:rPr>
              <w:t xml:space="preserve">Combined </w:t>
            </w:r>
            <w:r>
              <w:rPr>
                <w:rFonts w:ascii="Times New Roman" w:eastAsia="Times New Roman" w:hAnsi="Times New Roman" w:cs="Times New Roman"/>
                <w:color w:val="auto"/>
                <w:sz w:val="24"/>
                <w:szCs w:val="24"/>
                <w:lang w:val="en-IN" w:eastAsia="en-IN"/>
              </w:rPr>
              <w:t>JGB+VGB FY 2018-19)</w:t>
            </w:r>
          </w:p>
        </w:tc>
        <w:tc>
          <w:tcPr>
            <w:tcW w:w="0" w:type="auto"/>
            <w:hideMark/>
          </w:tcPr>
          <w:p w14:paraId="4F210695" w14:textId="77777777" w:rsidR="00855EC8" w:rsidRDefault="00855EC8" w:rsidP="00855E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Post-Merger</w:t>
            </w:r>
          </w:p>
          <w:p w14:paraId="41066004" w14:textId="77777777" w:rsidR="00E9672E" w:rsidRPr="00E9672E" w:rsidRDefault="002A4A7A" w:rsidP="002A4A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w:t>
            </w:r>
            <w:r w:rsidR="00855EC8">
              <w:rPr>
                <w:rFonts w:ascii="Times New Roman" w:eastAsia="Times New Roman" w:hAnsi="Times New Roman" w:cs="Times New Roman"/>
                <w:color w:val="auto"/>
                <w:sz w:val="24"/>
                <w:szCs w:val="24"/>
                <w:lang w:val="en-IN" w:eastAsia="en-IN"/>
              </w:rPr>
              <w:t>JR</w:t>
            </w:r>
            <w:r>
              <w:rPr>
                <w:rFonts w:ascii="Times New Roman" w:eastAsia="Times New Roman" w:hAnsi="Times New Roman" w:cs="Times New Roman"/>
                <w:color w:val="auto"/>
                <w:sz w:val="24"/>
                <w:szCs w:val="24"/>
                <w:lang w:val="en-IN" w:eastAsia="en-IN"/>
              </w:rPr>
              <w:t>GB FY 2023-24)</w:t>
            </w:r>
          </w:p>
        </w:tc>
        <w:tc>
          <w:tcPr>
            <w:tcW w:w="0" w:type="auto"/>
            <w:hideMark/>
          </w:tcPr>
          <w:p w14:paraId="2C9E43C9" w14:textId="77777777" w:rsidR="00E9672E" w:rsidRPr="00E9672E" w:rsidRDefault="00FA5F8F" w:rsidP="00855E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 of Growth</w:t>
            </w:r>
          </w:p>
        </w:tc>
      </w:tr>
      <w:tr w:rsidR="00FA5F8F" w:rsidRPr="00E9672E" w14:paraId="2F25BAAC" w14:textId="77777777" w:rsidTr="00855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7B265" w14:textId="77777777" w:rsidR="00E9672E" w:rsidRPr="00E9672E" w:rsidRDefault="00E9672E" w:rsidP="00855EC8">
            <w:pPr>
              <w:jc w:val="both"/>
              <w:rPr>
                <w:rFonts w:ascii="Times New Roman" w:eastAsia="Times New Roman" w:hAnsi="Times New Roman" w:cs="Times New Roman"/>
                <w:color w:val="auto"/>
                <w:sz w:val="24"/>
                <w:szCs w:val="24"/>
                <w:lang w:val="en-IN" w:eastAsia="en-IN"/>
              </w:rPr>
            </w:pPr>
            <w:r w:rsidRPr="00E9672E">
              <w:rPr>
                <w:rFonts w:ascii="Times New Roman" w:eastAsia="Times New Roman" w:hAnsi="Times New Roman" w:cs="Times New Roman"/>
                <w:color w:val="auto"/>
                <w:sz w:val="24"/>
                <w:szCs w:val="24"/>
                <w:lang w:val="en-IN" w:eastAsia="en-IN"/>
              </w:rPr>
              <w:t>Credit–Deposit Ratio</w:t>
            </w:r>
          </w:p>
        </w:tc>
        <w:tc>
          <w:tcPr>
            <w:tcW w:w="0" w:type="auto"/>
            <w:hideMark/>
          </w:tcPr>
          <w:p w14:paraId="66739A17" w14:textId="77777777" w:rsidR="00E9672E" w:rsidRPr="00E9672E" w:rsidRDefault="005D29DC"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38.83%</w:t>
            </w:r>
          </w:p>
        </w:tc>
        <w:tc>
          <w:tcPr>
            <w:tcW w:w="0" w:type="auto"/>
            <w:hideMark/>
          </w:tcPr>
          <w:p w14:paraId="7BEB568B" w14:textId="77777777" w:rsidR="00E9672E" w:rsidRPr="00E9672E" w:rsidRDefault="005D29DC"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56.10</w:t>
            </w:r>
            <w:r w:rsidR="00E9672E" w:rsidRPr="00E9672E">
              <w:rPr>
                <w:rFonts w:ascii="Times New Roman" w:eastAsia="Times New Roman" w:hAnsi="Times New Roman" w:cs="Times New Roman"/>
                <w:color w:val="auto"/>
                <w:sz w:val="24"/>
                <w:szCs w:val="24"/>
                <w:lang w:val="en-IN" w:eastAsia="en-IN"/>
              </w:rPr>
              <w:t>%</w:t>
            </w:r>
          </w:p>
        </w:tc>
        <w:tc>
          <w:tcPr>
            <w:tcW w:w="0" w:type="auto"/>
            <w:hideMark/>
          </w:tcPr>
          <w:p w14:paraId="0E640BCF" w14:textId="77777777" w:rsidR="00E9672E" w:rsidRPr="00E9672E" w:rsidRDefault="00257459" w:rsidP="00FA5F8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+44.5</w:t>
            </w:r>
            <w:r w:rsidR="00E9672E" w:rsidRPr="00E9672E">
              <w:rPr>
                <w:rFonts w:ascii="Times New Roman" w:eastAsia="Times New Roman" w:hAnsi="Times New Roman" w:cs="Times New Roman"/>
                <w:color w:val="auto"/>
                <w:sz w:val="24"/>
                <w:szCs w:val="24"/>
                <w:lang w:val="en-IN" w:eastAsia="en-IN"/>
              </w:rPr>
              <w:t>%</w:t>
            </w:r>
          </w:p>
        </w:tc>
      </w:tr>
      <w:tr w:rsidR="00FA5F8F" w:rsidRPr="00E9672E" w14:paraId="4ABA806C" w14:textId="77777777" w:rsidTr="00855EC8">
        <w:tc>
          <w:tcPr>
            <w:cnfStyle w:val="001000000000" w:firstRow="0" w:lastRow="0" w:firstColumn="1" w:lastColumn="0" w:oddVBand="0" w:evenVBand="0" w:oddHBand="0" w:evenHBand="0" w:firstRowFirstColumn="0" w:firstRowLastColumn="0" w:lastRowFirstColumn="0" w:lastRowLastColumn="0"/>
            <w:tcW w:w="0" w:type="auto"/>
            <w:hideMark/>
          </w:tcPr>
          <w:p w14:paraId="55773458" w14:textId="77777777" w:rsidR="00E9672E" w:rsidRPr="00E9672E" w:rsidRDefault="002A4A7A" w:rsidP="00855EC8">
            <w:pPr>
              <w:jc w:val="both"/>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Net Profit</w:t>
            </w:r>
          </w:p>
        </w:tc>
        <w:tc>
          <w:tcPr>
            <w:tcW w:w="0" w:type="auto"/>
            <w:hideMark/>
          </w:tcPr>
          <w:p w14:paraId="59200855" w14:textId="77777777" w:rsidR="00E9672E" w:rsidRPr="00E9672E" w:rsidRDefault="00C2410D" w:rsidP="00FA5F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3054</w:t>
            </w:r>
          </w:p>
        </w:tc>
        <w:tc>
          <w:tcPr>
            <w:tcW w:w="0" w:type="auto"/>
            <w:hideMark/>
          </w:tcPr>
          <w:p w14:paraId="3CEC8217" w14:textId="77777777" w:rsidR="00E9672E" w:rsidRPr="00E9672E" w:rsidRDefault="00C2410D" w:rsidP="00FA5F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11586</w:t>
            </w:r>
          </w:p>
        </w:tc>
        <w:tc>
          <w:tcPr>
            <w:tcW w:w="0" w:type="auto"/>
            <w:hideMark/>
          </w:tcPr>
          <w:p w14:paraId="584784B2" w14:textId="77777777" w:rsidR="00E9672E" w:rsidRPr="00E9672E" w:rsidRDefault="00C2410D" w:rsidP="00FA5F8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+279.37</w:t>
            </w:r>
            <w:r w:rsidR="00E9672E" w:rsidRPr="00E9672E">
              <w:rPr>
                <w:rFonts w:ascii="Times New Roman" w:eastAsia="Times New Roman" w:hAnsi="Times New Roman" w:cs="Times New Roman"/>
                <w:color w:val="auto"/>
                <w:sz w:val="24"/>
                <w:szCs w:val="24"/>
                <w:lang w:val="en-IN" w:eastAsia="en-IN"/>
              </w:rPr>
              <w:t>%</w:t>
            </w:r>
          </w:p>
        </w:tc>
      </w:tr>
      <w:tr w:rsidR="00FA5F8F" w:rsidRPr="00E9672E" w14:paraId="5A32C00A" w14:textId="77777777" w:rsidTr="00855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D8E51" w14:textId="77777777" w:rsidR="00E9672E" w:rsidRPr="00E9672E" w:rsidRDefault="00C2410D" w:rsidP="00855EC8">
            <w:pPr>
              <w:jc w:val="both"/>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lastRenderedPageBreak/>
              <w:t>Net NPA</w:t>
            </w:r>
          </w:p>
        </w:tc>
        <w:tc>
          <w:tcPr>
            <w:tcW w:w="0" w:type="auto"/>
            <w:hideMark/>
          </w:tcPr>
          <w:p w14:paraId="21A9A686" w14:textId="77777777" w:rsidR="00E9672E" w:rsidRPr="00E9672E" w:rsidRDefault="00C2410D"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9013</w:t>
            </w:r>
          </w:p>
        </w:tc>
        <w:tc>
          <w:tcPr>
            <w:tcW w:w="0" w:type="auto"/>
            <w:hideMark/>
          </w:tcPr>
          <w:p w14:paraId="04662824" w14:textId="77777777" w:rsidR="00E9672E" w:rsidRPr="00E9672E" w:rsidRDefault="00C2410D"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5143</w:t>
            </w:r>
          </w:p>
        </w:tc>
        <w:tc>
          <w:tcPr>
            <w:tcW w:w="0" w:type="auto"/>
            <w:hideMark/>
          </w:tcPr>
          <w:p w14:paraId="5E1EAF2A" w14:textId="77777777" w:rsidR="00E9672E" w:rsidRPr="00E9672E" w:rsidRDefault="00C2410D" w:rsidP="00FA5F8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-42</w:t>
            </w:r>
            <w:r w:rsidR="00E9672E" w:rsidRPr="00E9672E">
              <w:rPr>
                <w:rFonts w:ascii="Times New Roman" w:eastAsia="Times New Roman" w:hAnsi="Times New Roman" w:cs="Times New Roman"/>
                <w:color w:val="auto"/>
                <w:sz w:val="24"/>
                <w:szCs w:val="24"/>
                <w:lang w:val="en-IN" w:eastAsia="en-IN"/>
              </w:rPr>
              <w:t>.9%</w:t>
            </w:r>
          </w:p>
        </w:tc>
      </w:tr>
      <w:tr w:rsidR="00FA5F8F" w:rsidRPr="00E9672E" w14:paraId="11D8744F" w14:textId="77777777" w:rsidTr="00855EC8">
        <w:tc>
          <w:tcPr>
            <w:cnfStyle w:val="001000000000" w:firstRow="0" w:lastRow="0" w:firstColumn="1" w:lastColumn="0" w:oddVBand="0" w:evenVBand="0" w:oddHBand="0" w:evenHBand="0" w:firstRowFirstColumn="0" w:firstRowLastColumn="0" w:lastRowFirstColumn="0" w:lastRowLastColumn="0"/>
            <w:tcW w:w="0" w:type="auto"/>
            <w:hideMark/>
          </w:tcPr>
          <w:p w14:paraId="67FE1B0B" w14:textId="77777777" w:rsidR="00E9672E" w:rsidRPr="00E9672E" w:rsidRDefault="00C2410D" w:rsidP="00FA5F8F">
            <w:pPr>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Business per Employee</w:t>
            </w:r>
          </w:p>
        </w:tc>
        <w:tc>
          <w:tcPr>
            <w:tcW w:w="0" w:type="auto"/>
            <w:hideMark/>
          </w:tcPr>
          <w:p w14:paraId="1A6065EA" w14:textId="77777777" w:rsidR="00E9672E" w:rsidRPr="00E9672E" w:rsidRDefault="00C2410D" w:rsidP="00FA5F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583</w:t>
            </w:r>
          </w:p>
        </w:tc>
        <w:tc>
          <w:tcPr>
            <w:tcW w:w="0" w:type="auto"/>
            <w:hideMark/>
          </w:tcPr>
          <w:p w14:paraId="7F329194" w14:textId="77777777" w:rsidR="00E9672E" w:rsidRPr="00E9672E" w:rsidRDefault="00C2410D" w:rsidP="00FA5F8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1076</w:t>
            </w:r>
          </w:p>
        </w:tc>
        <w:tc>
          <w:tcPr>
            <w:tcW w:w="0" w:type="auto"/>
            <w:hideMark/>
          </w:tcPr>
          <w:p w14:paraId="5207D739" w14:textId="77777777" w:rsidR="00E9672E" w:rsidRPr="00E9672E" w:rsidRDefault="00C2410D" w:rsidP="00FA5F8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+84.56</w:t>
            </w:r>
            <w:r w:rsidR="00E9672E" w:rsidRPr="00E9672E">
              <w:rPr>
                <w:rFonts w:ascii="Times New Roman" w:eastAsia="Times New Roman" w:hAnsi="Times New Roman" w:cs="Times New Roman"/>
                <w:color w:val="auto"/>
                <w:sz w:val="24"/>
                <w:szCs w:val="24"/>
                <w:lang w:val="en-IN" w:eastAsia="en-IN"/>
              </w:rPr>
              <w:t>%</w:t>
            </w:r>
          </w:p>
        </w:tc>
      </w:tr>
      <w:tr w:rsidR="00FA5F8F" w:rsidRPr="00E9672E" w14:paraId="31B76564" w14:textId="77777777" w:rsidTr="00855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2C2EE" w14:textId="77777777" w:rsidR="00E9672E" w:rsidRPr="00E9672E" w:rsidRDefault="00E9672E" w:rsidP="00855EC8">
            <w:pPr>
              <w:jc w:val="both"/>
              <w:rPr>
                <w:rFonts w:ascii="Times New Roman" w:eastAsia="Times New Roman" w:hAnsi="Times New Roman" w:cs="Times New Roman"/>
                <w:color w:val="auto"/>
                <w:sz w:val="24"/>
                <w:szCs w:val="24"/>
                <w:lang w:val="en-IN" w:eastAsia="en-IN"/>
              </w:rPr>
            </w:pPr>
            <w:r w:rsidRPr="00E9672E">
              <w:rPr>
                <w:rFonts w:ascii="Times New Roman" w:eastAsia="Times New Roman" w:hAnsi="Times New Roman" w:cs="Times New Roman"/>
                <w:color w:val="auto"/>
                <w:sz w:val="24"/>
                <w:szCs w:val="24"/>
                <w:lang w:val="en-IN" w:eastAsia="en-IN"/>
              </w:rPr>
              <w:t>Branch Network</w:t>
            </w:r>
          </w:p>
        </w:tc>
        <w:tc>
          <w:tcPr>
            <w:tcW w:w="0" w:type="auto"/>
            <w:hideMark/>
          </w:tcPr>
          <w:p w14:paraId="772D0231" w14:textId="77777777" w:rsidR="00E9672E" w:rsidRPr="00E9672E" w:rsidRDefault="00501D52"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443</w:t>
            </w:r>
          </w:p>
        </w:tc>
        <w:tc>
          <w:tcPr>
            <w:tcW w:w="0" w:type="auto"/>
            <w:hideMark/>
          </w:tcPr>
          <w:p w14:paraId="14BA1AEC" w14:textId="77777777" w:rsidR="00E9672E" w:rsidRPr="00E9672E" w:rsidRDefault="00994CE0"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446</w:t>
            </w:r>
          </w:p>
        </w:tc>
        <w:tc>
          <w:tcPr>
            <w:tcW w:w="0" w:type="auto"/>
            <w:hideMark/>
          </w:tcPr>
          <w:p w14:paraId="42A792CC" w14:textId="77777777" w:rsidR="00E9672E" w:rsidRPr="00E9672E" w:rsidRDefault="00C2410D" w:rsidP="00FA5F8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+0.67</w:t>
            </w:r>
            <w:r w:rsidR="00E9672E" w:rsidRPr="00E9672E">
              <w:rPr>
                <w:rFonts w:ascii="Times New Roman" w:eastAsia="Times New Roman" w:hAnsi="Times New Roman" w:cs="Times New Roman"/>
                <w:color w:val="auto"/>
                <w:sz w:val="24"/>
                <w:szCs w:val="24"/>
                <w:lang w:val="en-IN" w:eastAsia="en-IN"/>
              </w:rPr>
              <w:t>%</w:t>
            </w:r>
          </w:p>
        </w:tc>
      </w:tr>
    </w:tbl>
    <w:p w14:paraId="63B97987" w14:textId="77777777" w:rsidR="00E9672E" w:rsidRDefault="00994CE0" w:rsidP="003A2675">
      <w:pPr>
        <w:pStyle w:val="NormalWeb"/>
        <w:spacing w:before="0" w:beforeAutospacing="0"/>
        <w:jc w:val="both"/>
        <w:rPr>
          <w:sz w:val="20"/>
          <w:szCs w:val="20"/>
        </w:rPr>
      </w:pPr>
      <w:r>
        <w:rPr>
          <w:sz w:val="20"/>
          <w:szCs w:val="20"/>
        </w:rPr>
        <w:t xml:space="preserve">Source: </w:t>
      </w:r>
      <w:r w:rsidR="003A2675">
        <w:rPr>
          <w:sz w:val="20"/>
          <w:szCs w:val="20"/>
        </w:rPr>
        <w:t>Annual Reports of JRGB</w:t>
      </w:r>
      <w:r>
        <w:rPr>
          <w:sz w:val="20"/>
          <w:szCs w:val="20"/>
        </w:rPr>
        <w:t xml:space="preserve"> </w:t>
      </w:r>
      <w:r w:rsidR="005B74CD">
        <w:rPr>
          <w:sz w:val="20"/>
          <w:szCs w:val="20"/>
        </w:rPr>
        <w:t xml:space="preserve">and NABARD Financial Statements </w:t>
      </w:r>
      <w:r>
        <w:rPr>
          <w:sz w:val="20"/>
          <w:szCs w:val="20"/>
        </w:rPr>
        <w:t>of relevant years</w:t>
      </w:r>
      <w:r w:rsidR="005B74CD">
        <w:rPr>
          <w:sz w:val="20"/>
          <w:szCs w:val="20"/>
        </w:rPr>
        <w:t>.</w:t>
      </w:r>
    </w:p>
    <w:p w14:paraId="5D7825D4" w14:textId="77777777" w:rsidR="00271157" w:rsidRPr="00271157" w:rsidRDefault="00271157" w:rsidP="00070C0E">
      <w:pPr>
        <w:pStyle w:val="ng-star-inserted"/>
        <w:shd w:val="clear" w:color="auto" w:fill="FFFFFF"/>
        <w:spacing w:before="0" w:beforeAutospacing="0" w:after="30" w:afterAutospacing="0" w:line="300" w:lineRule="atLeast"/>
        <w:jc w:val="both"/>
        <w:rPr>
          <w:color w:val="1A1C1E"/>
        </w:rPr>
      </w:pPr>
      <w:r w:rsidRPr="00271157">
        <w:rPr>
          <w:rStyle w:val="ng-star-inserted1"/>
          <w:color w:val="1A1C1E"/>
        </w:rPr>
        <w:t xml:space="preserve">The comparative analysis of key performance indicators unequivocally demonstrates that the amalgamation of Jharkhand Gramin Bank (JGB) and </w:t>
      </w:r>
      <w:proofErr w:type="spellStart"/>
      <w:r w:rsidRPr="00271157">
        <w:rPr>
          <w:rStyle w:val="ng-star-inserted1"/>
          <w:color w:val="1A1C1E"/>
        </w:rPr>
        <w:t>Vananchal</w:t>
      </w:r>
      <w:proofErr w:type="spellEnd"/>
      <w:r w:rsidRPr="00271157">
        <w:rPr>
          <w:rStyle w:val="ng-star-inserted1"/>
          <w:color w:val="1A1C1E"/>
        </w:rPr>
        <w:t xml:space="preserve"> </w:t>
      </w:r>
      <w:proofErr w:type="spellStart"/>
      <w:r w:rsidRPr="00271157">
        <w:rPr>
          <w:rStyle w:val="ng-star-inserted1"/>
          <w:color w:val="1A1C1E"/>
        </w:rPr>
        <w:t>Gramin</w:t>
      </w:r>
      <w:proofErr w:type="spellEnd"/>
      <w:r w:rsidRPr="00271157">
        <w:rPr>
          <w:rStyle w:val="ng-star-inserted1"/>
          <w:color w:val="1A1C1E"/>
        </w:rPr>
        <w:t xml:space="preserve"> Bank (VGB) into Jharkhand Rajya Gramin Bank (JRGB) has conferred significant positive effects on the merged entity's operational efficiency and financial viability. Specifically, the Credit–Deposit Ratio evinced a substantial increase from 38.83% in the pre-merger phase to 56.10% in the post-merger phase, representing a 44.5% enhancement and </w:t>
      </w:r>
      <w:proofErr w:type="spellStart"/>
      <w:r w:rsidRPr="00271157">
        <w:rPr>
          <w:rStyle w:val="ng-star-inserted1"/>
          <w:color w:val="1A1C1E"/>
        </w:rPr>
        <w:t>signaling</w:t>
      </w:r>
      <w:proofErr w:type="spellEnd"/>
      <w:r w:rsidRPr="00271157">
        <w:rPr>
          <w:rStyle w:val="ng-star-inserted1"/>
          <w:color w:val="1A1C1E"/>
        </w:rPr>
        <w:t xml:space="preserve"> improved credit deployment capabilities and more effective utilization of mobilized deposits. Concurrently, Net Profit experienced an exceptional surge of 279.37%, escalating from ₹3,054 lakh to ₹11,586 lakh, thereby indicating robust income generation, enhanced cost efficiencies, and an improved overall financial health.</w:t>
      </w:r>
    </w:p>
    <w:p w14:paraId="65502488" w14:textId="77777777" w:rsidR="00271157" w:rsidRPr="00271157" w:rsidRDefault="00271157" w:rsidP="00070C0E">
      <w:pPr>
        <w:pStyle w:val="ng-star-inserted"/>
        <w:shd w:val="clear" w:color="auto" w:fill="FFFFFF"/>
        <w:spacing w:before="30" w:beforeAutospacing="0" w:after="30" w:afterAutospacing="0" w:line="300" w:lineRule="atLeast"/>
        <w:jc w:val="both"/>
        <w:rPr>
          <w:color w:val="1A1C1E"/>
        </w:rPr>
      </w:pPr>
      <w:r w:rsidRPr="00271157">
        <w:rPr>
          <w:rStyle w:val="ng-star-inserted1"/>
          <w:color w:val="1A1C1E"/>
        </w:rPr>
        <w:t xml:space="preserve">Conversely, the Net Non-Performing Assets (NPA) ratio decreased by 42.9%, underscoring the efficacy of strengthened recovery mechanisms and a marked improvement in asset quality subsequent to the merger. Business per Employee notably advanced from ₹583 lakh to ₹1,076 lakh, an 84.56% increment, which points to heightened productivity and performance efficiency among personnel, attributable to technological integration and strategic scale optimization. In contrast, the Branch Network expanded by a mere 0.67%, suggesting a deliberate consolidation strategy </w:t>
      </w:r>
      <w:proofErr w:type="spellStart"/>
      <w:r w:rsidRPr="00271157">
        <w:rPr>
          <w:rStyle w:val="ng-star-inserted1"/>
          <w:color w:val="1A1C1E"/>
        </w:rPr>
        <w:t>centered</w:t>
      </w:r>
      <w:proofErr w:type="spellEnd"/>
      <w:r w:rsidRPr="00271157">
        <w:rPr>
          <w:rStyle w:val="ng-star-inserted1"/>
          <w:color w:val="1A1C1E"/>
        </w:rPr>
        <w:t xml:space="preserve"> on reinforcing existing operational capacities rather than prioritizing extensive physical expansion.</w:t>
      </w:r>
    </w:p>
    <w:p w14:paraId="4E967289" w14:textId="77777777" w:rsidR="00070C0E" w:rsidRDefault="00271157" w:rsidP="00070C0E">
      <w:pPr>
        <w:pStyle w:val="ng-star-inserted"/>
        <w:shd w:val="clear" w:color="auto" w:fill="FFFFFF"/>
        <w:spacing w:before="30" w:beforeAutospacing="0" w:line="300" w:lineRule="atLeast"/>
        <w:jc w:val="both"/>
        <w:rPr>
          <w:rStyle w:val="ng-star-inserted1"/>
          <w:color w:val="1A1C1E"/>
        </w:rPr>
      </w:pPr>
      <w:r w:rsidRPr="00271157">
        <w:rPr>
          <w:rStyle w:val="ng-star-inserted1"/>
          <w:color w:val="1A1C1E"/>
        </w:rPr>
        <w:t>Cumulatively, these trends indicate that the amalgamation strategy has considerably bolstered JRGB's profitability, operational productivity, and efficacy in credit delivery, while simultaneously enhancing asset quality and broadening financial inclusion within the state of Jharkhand. These findings substantiate that the merger successfully realized its intended objective of establishing a more robust and sustainable regional rural banking infrastructure.</w:t>
      </w:r>
    </w:p>
    <w:p w14:paraId="7CB4D8A5" w14:textId="77777777" w:rsidR="005E23CB" w:rsidRDefault="00E7623F" w:rsidP="00070C0E">
      <w:pPr>
        <w:pStyle w:val="ng-star-inserted"/>
        <w:shd w:val="clear" w:color="auto" w:fill="FFFFFF"/>
        <w:spacing w:before="30" w:beforeAutospacing="0" w:line="300" w:lineRule="atLeast"/>
        <w:jc w:val="both"/>
        <w:rPr>
          <w:rStyle w:val="ng-star-inserted1"/>
          <w:b/>
          <w:color w:val="1A1C1E"/>
          <w:sz w:val="27"/>
          <w:szCs w:val="27"/>
        </w:rPr>
      </w:pPr>
      <w:r>
        <w:rPr>
          <w:rStyle w:val="ng-star-inserted1"/>
          <w:b/>
          <w:color w:val="1A1C1E"/>
          <w:sz w:val="27"/>
          <w:szCs w:val="27"/>
        </w:rPr>
        <w:t>7. Conclusion</w:t>
      </w:r>
    </w:p>
    <w:p w14:paraId="40E81AD7" w14:textId="77777777" w:rsidR="00E7623F" w:rsidRDefault="00E7623F" w:rsidP="00E7623F">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7623F">
        <w:rPr>
          <w:rFonts w:ascii="Times New Roman" w:eastAsia="Times New Roman" w:hAnsi="Times New Roman" w:cs="Times New Roman"/>
          <w:sz w:val="24"/>
          <w:szCs w:val="24"/>
          <w:lang w:val="en-IN" w:eastAsia="en-IN"/>
        </w:rPr>
        <w:t xml:space="preserve">The analysis clearly indicates that the merger of Jharkhand </w:t>
      </w:r>
      <w:proofErr w:type="spellStart"/>
      <w:r w:rsidRPr="00E7623F">
        <w:rPr>
          <w:rFonts w:ascii="Times New Roman" w:eastAsia="Times New Roman" w:hAnsi="Times New Roman" w:cs="Times New Roman"/>
          <w:sz w:val="24"/>
          <w:szCs w:val="24"/>
          <w:lang w:val="en-IN" w:eastAsia="en-IN"/>
        </w:rPr>
        <w:t>Gramin</w:t>
      </w:r>
      <w:proofErr w:type="spellEnd"/>
      <w:r w:rsidRPr="00E7623F">
        <w:rPr>
          <w:rFonts w:ascii="Times New Roman" w:eastAsia="Times New Roman" w:hAnsi="Times New Roman" w:cs="Times New Roman"/>
          <w:sz w:val="24"/>
          <w:szCs w:val="24"/>
          <w:lang w:val="en-IN" w:eastAsia="en-IN"/>
        </w:rPr>
        <w:t xml:space="preserve"> Bank and </w:t>
      </w:r>
      <w:proofErr w:type="spellStart"/>
      <w:r w:rsidRPr="00E7623F">
        <w:rPr>
          <w:rFonts w:ascii="Times New Roman" w:eastAsia="Times New Roman" w:hAnsi="Times New Roman" w:cs="Times New Roman"/>
          <w:sz w:val="24"/>
          <w:szCs w:val="24"/>
          <w:lang w:val="en-IN" w:eastAsia="en-IN"/>
        </w:rPr>
        <w:t>Vananchal</w:t>
      </w:r>
      <w:proofErr w:type="spellEnd"/>
      <w:r w:rsidRPr="00E7623F">
        <w:rPr>
          <w:rFonts w:ascii="Times New Roman" w:eastAsia="Times New Roman" w:hAnsi="Times New Roman" w:cs="Times New Roman"/>
          <w:sz w:val="24"/>
          <w:szCs w:val="24"/>
          <w:lang w:val="en-IN" w:eastAsia="en-IN"/>
        </w:rPr>
        <w:t xml:space="preserve"> </w:t>
      </w:r>
      <w:proofErr w:type="spellStart"/>
      <w:r w:rsidRPr="00E7623F">
        <w:rPr>
          <w:rFonts w:ascii="Times New Roman" w:eastAsia="Times New Roman" w:hAnsi="Times New Roman" w:cs="Times New Roman"/>
          <w:sz w:val="24"/>
          <w:szCs w:val="24"/>
          <w:lang w:val="en-IN" w:eastAsia="en-IN"/>
        </w:rPr>
        <w:t>Gramin</w:t>
      </w:r>
      <w:proofErr w:type="spellEnd"/>
      <w:r w:rsidRPr="00E7623F">
        <w:rPr>
          <w:rFonts w:ascii="Times New Roman" w:eastAsia="Times New Roman" w:hAnsi="Times New Roman" w:cs="Times New Roman"/>
          <w:sz w:val="24"/>
          <w:szCs w:val="24"/>
          <w:lang w:val="en-IN" w:eastAsia="en-IN"/>
        </w:rPr>
        <w:t xml:space="preserve"> Bank to create Jharkhand Rajya Gramin Bank (JRGB) has significantly enhanced the institution's operational and financial performance. In the period following the merger, there has been notable growth in profitability, productivity, and the credit-deposit ratio, along with a marked decrease in non-performing assets. These results confirm that the consolidation has effectively improved efficiency, asset quality, and managerial synergy within Jharkhand's rural banking sector. Additionally, the merger has bolstered the institutional framework for financial inclusion by optimizing resources and expanding credit access to underserved regions. Although the slight increase in the branch network suggests a focus on consolidation rather than physical expansion, the overall transformation represents a strategically sound and sustainable banking model. Therefore, the merger of RRBs, as demonstrated by JRGB's post-merger achievements, has fulfilled its policy goal of creating a more resilient, efficient, and inclusive rural banking system capable of fostering regional economic development.</w:t>
      </w:r>
    </w:p>
    <w:p w14:paraId="5EE09337" w14:textId="77777777" w:rsidR="005215F7" w:rsidRPr="003A29C6" w:rsidRDefault="005215F7" w:rsidP="005215F7">
      <w:pPr>
        <w:jc w:val="both"/>
        <w:outlineLvl w:val="0"/>
        <w:rPr>
          <w:rFonts w:ascii="Arial" w:hAnsi="Arial" w:cs="Arial"/>
        </w:rPr>
      </w:pPr>
      <w:r w:rsidRPr="003A29C6">
        <w:rPr>
          <w:rFonts w:ascii="Arial" w:hAnsi="Arial" w:cs="Arial"/>
          <w:b/>
          <w:bCs/>
        </w:rPr>
        <w:t>COMPETING INTERESTS DISCLAIMER:</w:t>
      </w:r>
    </w:p>
    <w:p w14:paraId="687C7F31" w14:textId="77777777" w:rsidR="005215F7" w:rsidRDefault="005215F7" w:rsidP="005215F7">
      <w:r w:rsidRPr="00A10EDE">
        <w:lastRenderedPageBreak/>
        <w:t>Authors have declared that they have no known competing financial interests OR non-financial interests OR personal relationships that could have appeared to influence the work reported in this paper.</w:t>
      </w:r>
    </w:p>
    <w:p w14:paraId="0B286F51" w14:textId="77777777" w:rsidR="005215F7" w:rsidRDefault="005215F7" w:rsidP="005215F7"/>
    <w:p w14:paraId="596D9698" w14:textId="77777777" w:rsidR="005215F7" w:rsidRDefault="005215F7" w:rsidP="00E7623F">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4B50215E" w14:textId="77777777" w:rsidR="005215F7" w:rsidRPr="00E7623F" w:rsidRDefault="005215F7" w:rsidP="00E7623F">
      <w:pPr>
        <w:spacing w:before="100" w:beforeAutospacing="1" w:after="100" w:afterAutospacing="1" w:line="240" w:lineRule="auto"/>
        <w:jc w:val="both"/>
        <w:rPr>
          <w:rStyle w:val="ng-star-inserted1"/>
          <w:rFonts w:ascii="Times New Roman" w:eastAsia="Times New Roman" w:hAnsi="Times New Roman" w:cs="Times New Roman"/>
          <w:sz w:val="24"/>
          <w:szCs w:val="24"/>
          <w:lang w:val="en-IN" w:eastAsia="en-IN"/>
        </w:rPr>
      </w:pPr>
    </w:p>
    <w:p w14:paraId="235A8F56" w14:textId="77777777" w:rsidR="009002CD" w:rsidRPr="009C2EA0" w:rsidRDefault="009572E3" w:rsidP="009C2EA0">
      <w:pPr>
        <w:spacing w:before="30" w:after="0" w:line="300" w:lineRule="atLeast"/>
        <w:jc w:val="both"/>
        <w:rPr>
          <w:rFonts w:ascii="Times New Roman" w:eastAsia="Times New Roman" w:hAnsi="Times New Roman" w:cs="Times New Roman"/>
          <w:color w:val="1A1C1E"/>
          <w:sz w:val="24"/>
          <w:szCs w:val="24"/>
          <w:lang w:val="en-IN" w:eastAsia="en-IN"/>
        </w:rPr>
      </w:pPr>
      <w:r>
        <w:rPr>
          <w:rFonts w:ascii="Times New Roman" w:hAnsi="Times New Roman" w:cs="Times New Roman"/>
          <w:b/>
          <w:sz w:val="27"/>
          <w:szCs w:val="27"/>
        </w:rPr>
        <w:t>References</w:t>
      </w:r>
    </w:p>
    <w:p w14:paraId="643998ED" w14:textId="77777777" w:rsidR="009572E3" w:rsidRPr="00D473C3" w:rsidRDefault="009572E3" w:rsidP="00271157">
      <w:pPr>
        <w:pStyle w:val="ListParagraph"/>
        <w:numPr>
          <w:ilvl w:val="0"/>
          <w:numId w:val="1"/>
        </w:numPr>
        <w:spacing w:before="30"/>
        <w:jc w:val="both"/>
        <w:rPr>
          <w:rFonts w:ascii="Times New Roman" w:hAnsi="Times New Roman" w:cs="Times New Roman"/>
          <w:b/>
          <w:sz w:val="24"/>
          <w:szCs w:val="24"/>
        </w:rPr>
      </w:pPr>
      <w:r w:rsidRPr="00D473C3">
        <w:rPr>
          <w:rFonts w:ascii="Times New Roman" w:hAnsi="Times New Roman" w:cs="Times New Roman"/>
          <w:sz w:val="24"/>
          <w:szCs w:val="24"/>
        </w:rPr>
        <w:t xml:space="preserve">Reserve Bank of India. (1987). </w:t>
      </w:r>
      <w:r w:rsidRPr="00D473C3">
        <w:rPr>
          <w:rStyle w:val="Emphasis"/>
          <w:rFonts w:ascii="Times New Roman" w:hAnsi="Times New Roman" w:cs="Times New Roman"/>
          <w:sz w:val="24"/>
          <w:szCs w:val="24"/>
        </w:rPr>
        <w:t xml:space="preserve">Report of the Committee to Review the Arrangements for Institutional Credit for Agriculture and Rural Development (Chairman: M. </w:t>
      </w:r>
      <w:proofErr w:type="spellStart"/>
      <w:r w:rsidRPr="00D473C3">
        <w:rPr>
          <w:rStyle w:val="Emphasis"/>
          <w:rFonts w:ascii="Times New Roman" w:hAnsi="Times New Roman" w:cs="Times New Roman"/>
          <w:sz w:val="24"/>
          <w:szCs w:val="24"/>
        </w:rPr>
        <w:t>Narasimham</w:t>
      </w:r>
      <w:proofErr w:type="spellEnd"/>
      <w:r w:rsidRPr="00D473C3">
        <w:rPr>
          <w:rStyle w:val="Emphasis"/>
          <w:rFonts w:ascii="Times New Roman" w:hAnsi="Times New Roman" w:cs="Times New Roman"/>
          <w:sz w:val="24"/>
          <w:szCs w:val="24"/>
        </w:rPr>
        <w:t>).</w:t>
      </w:r>
      <w:r w:rsidRPr="00D473C3">
        <w:rPr>
          <w:rFonts w:ascii="Times New Roman" w:hAnsi="Times New Roman" w:cs="Times New Roman"/>
          <w:sz w:val="24"/>
          <w:szCs w:val="24"/>
        </w:rPr>
        <w:t xml:space="preserve"> Reserve Bank of India.</w:t>
      </w:r>
    </w:p>
    <w:p w14:paraId="10ACAF44" w14:textId="77777777" w:rsidR="00D473C3" w:rsidRPr="005C4D48" w:rsidRDefault="00D473C3" w:rsidP="00D473C3">
      <w:pPr>
        <w:pStyle w:val="ListParagraph"/>
        <w:numPr>
          <w:ilvl w:val="0"/>
          <w:numId w:val="1"/>
        </w:numPr>
        <w:jc w:val="both"/>
        <w:rPr>
          <w:rFonts w:ascii="Times New Roman" w:hAnsi="Times New Roman" w:cs="Times New Roman"/>
          <w:b/>
          <w:sz w:val="24"/>
          <w:szCs w:val="24"/>
        </w:rPr>
      </w:pPr>
      <w:r w:rsidRPr="00D473C3">
        <w:rPr>
          <w:rFonts w:ascii="Times New Roman" w:hAnsi="Times New Roman" w:cs="Times New Roman"/>
          <w:sz w:val="24"/>
          <w:szCs w:val="24"/>
        </w:rPr>
        <w:t xml:space="preserve">Reserve Bank of India. (2004). </w:t>
      </w:r>
      <w:r w:rsidRPr="00D473C3">
        <w:rPr>
          <w:rStyle w:val="Emphasis"/>
          <w:rFonts w:ascii="Times New Roman" w:hAnsi="Times New Roman" w:cs="Times New Roman"/>
          <w:sz w:val="24"/>
          <w:szCs w:val="24"/>
        </w:rPr>
        <w:t>Report of the Advisory Committee on Flow of Credit to Agriculture and Related Activities from the Banking System (Chairman: V. S. Vyas).</w:t>
      </w:r>
      <w:r w:rsidRPr="00D473C3">
        <w:rPr>
          <w:rFonts w:ascii="Times New Roman" w:hAnsi="Times New Roman" w:cs="Times New Roman"/>
          <w:sz w:val="24"/>
          <w:szCs w:val="24"/>
        </w:rPr>
        <w:t xml:space="preserve"> Reserve Bank of India.</w:t>
      </w:r>
    </w:p>
    <w:p w14:paraId="4BCC7E26" w14:textId="77777777" w:rsidR="005C4D48" w:rsidRPr="004915C9" w:rsidRDefault="005C4D48" w:rsidP="00D473C3">
      <w:pPr>
        <w:pStyle w:val="ListParagraph"/>
        <w:numPr>
          <w:ilvl w:val="0"/>
          <w:numId w:val="1"/>
        </w:numPr>
        <w:jc w:val="both"/>
        <w:rPr>
          <w:rFonts w:ascii="Times New Roman" w:hAnsi="Times New Roman" w:cs="Times New Roman"/>
          <w:b/>
          <w:sz w:val="24"/>
          <w:szCs w:val="24"/>
        </w:rPr>
      </w:pPr>
      <w:r w:rsidRPr="005C4D48">
        <w:rPr>
          <w:rStyle w:val="Strong"/>
          <w:rFonts w:ascii="Times New Roman" w:hAnsi="Times New Roman" w:cs="Times New Roman"/>
          <w:b w:val="0"/>
          <w:sz w:val="24"/>
          <w:szCs w:val="24"/>
        </w:rPr>
        <w:t>NABARD. (2011).</w:t>
      </w:r>
      <w:r w:rsidRPr="005C4D48">
        <w:rPr>
          <w:rFonts w:ascii="Times New Roman" w:hAnsi="Times New Roman" w:cs="Times New Roman"/>
          <w:sz w:val="24"/>
          <w:szCs w:val="24"/>
        </w:rPr>
        <w:t xml:space="preserve"> </w:t>
      </w:r>
      <w:r w:rsidRPr="005C4D48">
        <w:rPr>
          <w:rStyle w:val="Emphasis"/>
          <w:rFonts w:ascii="Times New Roman" w:hAnsi="Times New Roman" w:cs="Times New Roman"/>
          <w:sz w:val="24"/>
          <w:szCs w:val="24"/>
        </w:rPr>
        <w:t>Status of Regional Rural Banks (RRBs) in India, 2010–11.</w:t>
      </w:r>
      <w:r w:rsidRPr="005C4D48">
        <w:rPr>
          <w:rFonts w:ascii="Times New Roman" w:hAnsi="Times New Roman" w:cs="Times New Roman"/>
          <w:sz w:val="24"/>
          <w:szCs w:val="24"/>
        </w:rPr>
        <w:t xml:space="preserve"> National Bank for Agriculture and Rural Development.</w:t>
      </w:r>
    </w:p>
    <w:p w14:paraId="7F10455A" w14:textId="77777777" w:rsidR="004915C9" w:rsidRPr="000500AC" w:rsidRDefault="004915C9" w:rsidP="00D473C3">
      <w:pPr>
        <w:pStyle w:val="ListParagraph"/>
        <w:numPr>
          <w:ilvl w:val="0"/>
          <w:numId w:val="1"/>
        </w:numPr>
        <w:jc w:val="both"/>
        <w:rPr>
          <w:rFonts w:ascii="Times New Roman" w:hAnsi="Times New Roman" w:cs="Times New Roman"/>
          <w:b/>
          <w:sz w:val="24"/>
          <w:szCs w:val="24"/>
        </w:rPr>
      </w:pPr>
      <w:r w:rsidRPr="004915C9">
        <w:rPr>
          <w:rStyle w:val="Strong"/>
          <w:rFonts w:ascii="Times New Roman" w:hAnsi="Times New Roman" w:cs="Times New Roman"/>
          <w:b w:val="0"/>
          <w:sz w:val="24"/>
          <w:szCs w:val="24"/>
        </w:rPr>
        <w:t>Government of India, Ministry of Finance, Department of Financial Services. (2012).</w:t>
      </w:r>
      <w:r w:rsidRPr="004915C9">
        <w:rPr>
          <w:rFonts w:ascii="Times New Roman" w:hAnsi="Times New Roman" w:cs="Times New Roman"/>
          <w:sz w:val="24"/>
          <w:szCs w:val="24"/>
        </w:rPr>
        <w:t xml:space="preserve"> </w:t>
      </w:r>
      <w:r w:rsidRPr="004915C9">
        <w:rPr>
          <w:rStyle w:val="Emphasis"/>
          <w:rFonts w:ascii="Times New Roman" w:hAnsi="Times New Roman" w:cs="Times New Roman"/>
          <w:sz w:val="24"/>
          <w:szCs w:val="24"/>
        </w:rPr>
        <w:t>Guidelines on Amalgamation of Regional Rural Banks.</w:t>
      </w:r>
      <w:r w:rsidRPr="004915C9">
        <w:rPr>
          <w:rFonts w:ascii="Times New Roman" w:hAnsi="Times New Roman" w:cs="Times New Roman"/>
          <w:sz w:val="24"/>
          <w:szCs w:val="24"/>
        </w:rPr>
        <w:t xml:space="preserve"> Government of India.</w:t>
      </w:r>
    </w:p>
    <w:p w14:paraId="2E418DD3" w14:textId="77777777" w:rsidR="000500AC" w:rsidRPr="008A0917" w:rsidRDefault="000500AC" w:rsidP="00D473C3">
      <w:pPr>
        <w:pStyle w:val="ListParagraph"/>
        <w:numPr>
          <w:ilvl w:val="0"/>
          <w:numId w:val="1"/>
        </w:numPr>
        <w:jc w:val="both"/>
        <w:rPr>
          <w:rFonts w:ascii="Times New Roman" w:hAnsi="Times New Roman" w:cs="Times New Roman"/>
          <w:b/>
          <w:sz w:val="24"/>
          <w:szCs w:val="24"/>
        </w:rPr>
      </w:pPr>
      <w:r w:rsidRPr="000500AC">
        <w:rPr>
          <w:rFonts w:ascii="Times New Roman" w:hAnsi="Times New Roman" w:cs="Times New Roman"/>
          <w:sz w:val="24"/>
          <w:szCs w:val="24"/>
        </w:rPr>
        <w:t xml:space="preserve">Department of Financial Services, Ministry of Finance. (2025, April 8). </w:t>
      </w:r>
      <w:r w:rsidRPr="000500AC">
        <w:rPr>
          <w:rStyle w:val="Emphasis"/>
          <w:rFonts w:ascii="Times New Roman" w:hAnsi="Times New Roman" w:cs="Times New Roman"/>
          <w:sz w:val="24"/>
          <w:szCs w:val="24"/>
        </w:rPr>
        <w:t>Department of Financial Services notifies amalgamation of 26 Regional Rural Banks (RRBs) in fourth phase of amalgamation</w:t>
      </w:r>
      <w:r w:rsidRPr="000500AC">
        <w:rPr>
          <w:rFonts w:ascii="Times New Roman" w:hAnsi="Times New Roman" w:cs="Times New Roman"/>
          <w:sz w:val="24"/>
          <w:szCs w:val="24"/>
        </w:rPr>
        <w:t xml:space="preserve"> [Press release]. Press Information Bureau. </w:t>
      </w:r>
      <w:r w:rsidR="008A0917" w:rsidRPr="008A0917">
        <w:rPr>
          <w:rFonts w:ascii="Times New Roman" w:hAnsi="Times New Roman" w:cs="Times New Roman"/>
          <w:sz w:val="24"/>
          <w:szCs w:val="24"/>
        </w:rPr>
        <w:t>https://www.pib.gov.in/PressReleasePage.aspx?PRID=2120016</w:t>
      </w:r>
    </w:p>
    <w:p w14:paraId="23EAA282" w14:textId="77777777" w:rsidR="008A0917" w:rsidRPr="008A0917" w:rsidRDefault="008A0917" w:rsidP="00D473C3">
      <w:pPr>
        <w:pStyle w:val="ListParagraph"/>
        <w:numPr>
          <w:ilvl w:val="0"/>
          <w:numId w:val="1"/>
        </w:numPr>
        <w:jc w:val="both"/>
        <w:rPr>
          <w:rFonts w:ascii="Times New Roman" w:hAnsi="Times New Roman" w:cs="Times New Roman"/>
          <w:b/>
          <w:sz w:val="24"/>
          <w:szCs w:val="24"/>
        </w:rPr>
      </w:pPr>
      <w:r w:rsidRPr="008A0917">
        <w:rPr>
          <w:rFonts w:ascii="Times New Roman" w:hAnsi="Times New Roman" w:cs="Times New Roman"/>
          <w:sz w:val="24"/>
          <w:szCs w:val="24"/>
        </w:rPr>
        <w:t>Department of Financial Services, Ministry of Finance, Press Information Bureau 8 April 2025</w:t>
      </w:r>
    </w:p>
    <w:p w14:paraId="7B691A4F" w14:textId="77777777" w:rsidR="005033DE" w:rsidRPr="005033DE" w:rsidRDefault="005033DE" w:rsidP="005033DE">
      <w:pPr>
        <w:pStyle w:val="ListParagraph"/>
        <w:numPr>
          <w:ilvl w:val="0"/>
          <w:numId w:val="1"/>
        </w:numPr>
        <w:spacing w:after="0" w:line="240" w:lineRule="auto"/>
        <w:rPr>
          <w:rFonts w:ascii="Times New Roman" w:eastAsia="Times New Roman" w:hAnsi="Times New Roman" w:cs="Times New Roman"/>
          <w:sz w:val="24"/>
          <w:szCs w:val="24"/>
          <w:lang w:val="en-IN" w:eastAsia="en-IN"/>
        </w:rPr>
      </w:pPr>
      <w:proofErr w:type="spellStart"/>
      <w:r w:rsidRPr="005033DE">
        <w:rPr>
          <w:rFonts w:ascii="Times New Roman" w:eastAsia="Times New Roman" w:hAnsi="Times New Roman" w:cs="Times New Roman"/>
          <w:sz w:val="24"/>
          <w:szCs w:val="24"/>
          <w:lang w:val="en-IN" w:eastAsia="en-IN"/>
        </w:rPr>
        <w:t>Kuranal</w:t>
      </w:r>
      <w:proofErr w:type="spellEnd"/>
      <w:r w:rsidRPr="005033DE">
        <w:rPr>
          <w:rFonts w:ascii="Times New Roman" w:eastAsia="Times New Roman" w:hAnsi="Times New Roman" w:cs="Times New Roman"/>
          <w:sz w:val="24"/>
          <w:szCs w:val="24"/>
          <w:lang w:val="en-IN" w:eastAsia="en-IN"/>
        </w:rPr>
        <w:t xml:space="preserve">, R., &amp; K, Prof. R. (2024). Consolidation and Transformation: Evaluating the Impact of the Merger of KVG Bank and KGB on Rural Banking in Karnataka. </w:t>
      </w:r>
      <w:r w:rsidRPr="005033DE">
        <w:rPr>
          <w:rFonts w:ascii="Times New Roman" w:eastAsia="Times New Roman" w:hAnsi="Times New Roman" w:cs="Times New Roman"/>
          <w:i/>
          <w:iCs/>
          <w:sz w:val="24"/>
          <w:szCs w:val="24"/>
          <w:lang w:val="en-IN" w:eastAsia="en-IN"/>
        </w:rPr>
        <w:t>International Journal of Research Publication and Reviews</w:t>
      </w:r>
      <w:r w:rsidRPr="005033DE">
        <w:rPr>
          <w:rFonts w:ascii="Times New Roman" w:eastAsia="Times New Roman" w:hAnsi="Times New Roman" w:cs="Times New Roman"/>
          <w:sz w:val="24"/>
          <w:szCs w:val="24"/>
          <w:lang w:val="en-IN" w:eastAsia="en-IN"/>
        </w:rPr>
        <w:t xml:space="preserve">, </w:t>
      </w:r>
      <w:r w:rsidRPr="005033DE">
        <w:rPr>
          <w:rFonts w:ascii="Times New Roman" w:eastAsia="Times New Roman" w:hAnsi="Times New Roman" w:cs="Times New Roman"/>
          <w:i/>
          <w:iCs/>
          <w:sz w:val="24"/>
          <w:szCs w:val="24"/>
          <w:lang w:val="en-IN" w:eastAsia="en-IN"/>
        </w:rPr>
        <w:t>5</w:t>
      </w:r>
      <w:r w:rsidRPr="005033DE">
        <w:rPr>
          <w:rFonts w:ascii="Times New Roman" w:eastAsia="Times New Roman" w:hAnsi="Times New Roman" w:cs="Times New Roman"/>
          <w:sz w:val="24"/>
          <w:szCs w:val="24"/>
          <w:lang w:val="en-IN" w:eastAsia="en-IN"/>
        </w:rPr>
        <w:t>(1), 223–231. https://doi.org/10.55248/gengpi.5.0124.0106</w:t>
      </w:r>
    </w:p>
    <w:p w14:paraId="0A2334AD" w14:textId="77777777" w:rsidR="005033DE" w:rsidRPr="005033DE" w:rsidRDefault="005033DE" w:rsidP="005033DE">
      <w:pPr>
        <w:pStyle w:val="ListParagraph"/>
        <w:numPr>
          <w:ilvl w:val="0"/>
          <w:numId w:val="1"/>
        </w:numPr>
        <w:spacing w:after="0" w:line="240" w:lineRule="auto"/>
        <w:rPr>
          <w:rFonts w:ascii="Times New Roman" w:eastAsia="Times New Roman" w:hAnsi="Times New Roman" w:cs="Times New Roman"/>
          <w:sz w:val="24"/>
          <w:szCs w:val="24"/>
          <w:lang w:val="en-IN" w:eastAsia="en-IN"/>
        </w:rPr>
      </w:pPr>
      <w:r w:rsidRPr="005033DE">
        <w:rPr>
          <w:rFonts w:ascii="Times New Roman" w:eastAsia="Times New Roman" w:hAnsi="Times New Roman" w:cs="Times New Roman"/>
          <w:sz w:val="24"/>
          <w:szCs w:val="24"/>
          <w:lang w:val="en-IN" w:eastAsia="en-IN"/>
        </w:rPr>
        <w:t xml:space="preserve">M Jorum, T., &amp; S Mali, S. (2021). Performance of Regional Rural Banks after Amalgamation in India: Progress and Prospects. </w:t>
      </w:r>
      <w:r w:rsidRPr="005033DE">
        <w:rPr>
          <w:rFonts w:ascii="Times New Roman" w:eastAsia="Times New Roman" w:hAnsi="Times New Roman" w:cs="Times New Roman"/>
          <w:i/>
          <w:iCs/>
          <w:sz w:val="24"/>
          <w:szCs w:val="24"/>
          <w:lang w:val="en-IN" w:eastAsia="en-IN"/>
        </w:rPr>
        <w:t>Artha Journal of Social Sciences</w:t>
      </w:r>
      <w:r w:rsidRPr="005033DE">
        <w:rPr>
          <w:rFonts w:ascii="Times New Roman" w:eastAsia="Times New Roman" w:hAnsi="Times New Roman" w:cs="Times New Roman"/>
          <w:sz w:val="24"/>
          <w:szCs w:val="24"/>
          <w:lang w:val="en-IN" w:eastAsia="en-IN"/>
        </w:rPr>
        <w:t xml:space="preserve">, </w:t>
      </w:r>
      <w:r w:rsidRPr="005033DE">
        <w:rPr>
          <w:rFonts w:ascii="Times New Roman" w:eastAsia="Times New Roman" w:hAnsi="Times New Roman" w:cs="Times New Roman"/>
          <w:i/>
          <w:iCs/>
          <w:sz w:val="24"/>
          <w:szCs w:val="24"/>
          <w:lang w:val="en-IN" w:eastAsia="en-IN"/>
        </w:rPr>
        <w:t>11</w:t>
      </w:r>
      <w:r w:rsidRPr="005033DE">
        <w:rPr>
          <w:rFonts w:ascii="Times New Roman" w:eastAsia="Times New Roman" w:hAnsi="Times New Roman" w:cs="Times New Roman"/>
          <w:sz w:val="24"/>
          <w:szCs w:val="24"/>
          <w:lang w:val="en-IN" w:eastAsia="en-IN"/>
        </w:rPr>
        <w:t>(3), 1–13. https://doi.org/10.12724/ajss.22.1</w:t>
      </w:r>
    </w:p>
    <w:p w14:paraId="03A87A96" w14:textId="77777777" w:rsidR="001704AB" w:rsidRPr="001704AB" w:rsidRDefault="001704AB" w:rsidP="001704AB">
      <w:pPr>
        <w:pStyle w:val="ListParagraph"/>
        <w:numPr>
          <w:ilvl w:val="0"/>
          <w:numId w:val="1"/>
        </w:numPr>
        <w:spacing w:after="0" w:line="240" w:lineRule="auto"/>
        <w:rPr>
          <w:rFonts w:ascii="Times New Roman" w:eastAsia="Times New Roman" w:hAnsi="Times New Roman" w:cs="Times New Roman"/>
          <w:sz w:val="24"/>
          <w:szCs w:val="24"/>
          <w:lang w:val="en-IN" w:eastAsia="en-IN"/>
        </w:rPr>
      </w:pPr>
      <w:proofErr w:type="spellStart"/>
      <w:r w:rsidRPr="001704AB">
        <w:rPr>
          <w:rFonts w:ascii="Times New Roman" w:eastAsia="Times New Roman" w:hAnsi="Times New Roman" w:cs="Times New Roman"/>
          <w:sz w:val="24"/>
          <w:szCs w:val="24"/>
          <w:lang w:val="en-IN" w:eastAsia="en-IN"/>
        </w:rPr>
        <w:t>Bollimutha</w:t>
      </w:r>
      <w:proofErr w:type="spellEnd"/>
      <w:r w:rsidRPr="001704AB">
        <w:rPr>
          <w:rFonts w:ascii="Times New Roman" w:eastAsia="Times New Roman" w:hAnsi="Times New Roman" w:cs="Times New Roman"/>
          <w:sz w:val="24"/>
          <w:szCs w:val="24"/>
          <w:lang w:val="en-IN" w:eastAsia="en-IN"/>
        </w:rPr>
        <w:t xml:space="preserve">, B. G. S. (2024). Measuring </w:t>
      </w:r>
      <w:proofErr w:type="gramStart"/>
      <w:r w:rsidRPr="001704AB">
        <w:rPr>
          <w:rFonts w:ascii="Times New Roman" w:eastAsia="Times New Roman" w:hAnsi="Times New Roman" w:cs="Times New Roman"/>
          <w:sz w:val="24"/>
          <w:szCs w:val="24"/>
          <w:lang w:val="en-IN" w:eastAsia="en-IN"/>
        </w:rPr>
        <w:t>The</w:t>
      </w:r>
      <w:proofErr w:type="gramEnd"/>
      <w:r w:rsidRPr="001704AB">
        <w:rPr>
          <w:rFonts w:ascii="Times New Roman" w:eastAsia="Times New Roman" w:hAnsi="Times New Roman" w:cs="Times New Roman"/>
          <w:sz w:val="24"/>
          <w:szCs w:val="24"/>
          <w:lang w:val="en-IN" w:eastAsia="en-IN"/>
        </w:rPr>
        <w:t xml:space="preserve"> Effectiveness Of Regional Rural Banks In India - An Empirical Analysis. </w:t>
      </w:r>
      <w:r w:rsidRPr="001704AB">
        <w:rPr>
          <w:rFonts w:ascii="Times New Roman" w:eastAsia="Times New Roman" w:hAnsi="Times New Roman" w:cs="Times New Roman"/>
          <w:i/>
          <w:iCs/>
          <w:sz w:val="24"/>
          <w:szCs w:val="24"/>
          <w:lang w:val="en-IN" w:eastAsia="en-IN"/>
        </w:rPr>
        <w:t>Educational Administration: Theory and Practice</w:t>
      </w:r>
      <w:r w:rsidRPr="001704AB">
        <w:rPr>
          <w:rFonts w:ascii="Times New Roman" w:eastAsia="Times New Roman" w:hAnsi="Times New Roman" w:cs="Times New Roman"/>
          <w:sz w:val="24"/>
          <w:szCs w:val="24"/>
          <w:lang w:val="en-IN" w:eastAsia="en-IN"/>
        </w:rPr>
        <w:t>, 13986–13994. https://doi.org/10.53555/kuey.v30i5.6175</w:t>
      </w:r>
    </w:p>
    <w:p w14:paraId="717386A2" w14:textId="77777777" w:rsidR="007046B1" w:rsidRDefault="007046B1" w:rsidP="007046B1">
      <w:pPr>
        <w:pStyle w:val="ListParagraph"/>
        <w:numPr>
          <w:ilvl w:val="0"/>
          <w:numId w:val="1"/>
        </w:numPr>
        <w:spacing w:after="0" w:line="240" w:lineRule="auto"/>
        <w:rPr>
          <w:rFonts w:ascii="Times New Roman" w:eastAsia="Times New Roman" w:hAnsi="Times New Roman" w:cs="Times New Roman"/>
          <w:sz w:val="24"/>
          <w:szCs w:val="24"/>
          <w:lang w:val="en-IN" w:eastAsia="en-IN"/>
        </w:rPr>
      </w:pPr>
      <w:r w:rsidRPr="007046B1">
        <w:rPr>
          <w:rFonts w:ascii="Times New Roman" w:eastAsia="Times New Roman" w:hAnsi="Times New Roman" w:cs="Times New Roman"/>
          <w:sz w:val="24"/>
          <w:szCs w:val="24"/>
          <w:lang w:val="en-IN" w:eastAsia="en-IN"/>
        </w:rPr>
        <w:t xml:space="preserve">Chaudhary, S., &amp; Kaur, M. (2022). A Study on Impact of Consolidation on the Profitability of Regional Rural Banks in India. </w:t>
      </w:r>
      <w:r w:rsidRPr="007046B1">
        <w:rPr>
          <w:rFonts w:ascii="Times New Roman" w:eastAsia="Times New Roman" w:hAnsi="Times New Roman" w:cs="Times New Roman"/>
          <w:i/>
          <w:iCs/>
          <w:sz w:val="24"/>
          <w:szCs w:val="24"/>
          <w:lang w:val="en-IN" w:eastAsia="en-IN"/>
        </w:rPr>
        <w:t>Orissa Journal of Commerce</w:t>
      </w:r>
      <w:r w:rsidRPr="007046B1">
        <w:rPr>
          <w:rFonts w:ascii="Times New Roman" w:eastAsia="Times New Roman" w:hAnsi="Times New Roman" w:cs="Times New Roman"/>
          <w:sz w:val="24"/>
          <w:szCs w:val="24"/>
          <w:lang w:val="en-IN" w:eastAsia="en-IN"/>
        </w:rPr>
        <w:t xml:space="preserve">, 12–27. </w:t>
      </w:r>
      <w:r w:rsidR="00285B6B" w:rsidRPr="00285B6B">
        <w:rPr>
          <w:rFonts w:ascii="Times New Roman" w:eastAsia="Times New Roman" w:hAnsi="Times New Roman" w:cs="Times New Roman"/>
          <w:sz w:val="24"/>
          <w:szCs w:val="24"/>
          <w:lang w:val="en-IN" w:eastAsia="en-IN"/>
        </w:rPr>
        <w:t>https://doi.org/10.54063/ojc.2021.v42i04.02</w:t>
      </w:r>
    </w:p>
    <w:p w14:paraId="7800F341" w14:textId="77777777" w:rsidR="00285B6B" w:rsidRPr="00285B6B" w:rsidRDefault="00285B6B" w:rsidP="00285B6B">
      <w:pPr>
        <w:pStyle w:val="ListParagraph"/>
        <w:numPr>
          <w:ilvl w:val="0"/>
          <w:numId w:val="1"/>
        </w:numPr>
        <w:spacing w:after="0" w:line="240" w:lineRule="auto"/>
        <w:rPr>
          <w:rFonts w:ascii="Times New Roman" w:eastAsia="Times New Roman" w:hAnsi="Times New Roman" w:cs="Times New Roman"/>
          <w:sz w:val="24"/>
          <w:szCs w:val="24"/>
          <w:lang w:val="en-IN" w:eastAsia="en-IN"/>
        </w:rPr>
      </w:pPr>
      <w:r w:rsidRPr="00285B6B">
        <w:rPr>
          <w:rFonts w:ascii="Times New Roman" w:eastAsia="Times New Roman" w:hAnsi="Times New Roman" w:cs="Times New Roman"/>
          <w:sz w:val="24"/>
          <w:szCs w:val="24"/>
          <w:lang w:val="en-IN" w:eastAsia="en-IN"/>
        </w:rPr>
        <w:t xml:space="preserve">Bhavik Barot, M., &amp; </w:t>
      </w:r>
      <w:proofErr w:type="spellStart"/>
      <w:r w:rsidRPr="00285B6B">
        <w:rPr>
          <w:rFonts w:ascii="Times New Roman" w:eastAsia="Times New Roman" w:hAnsi="Times New Roman" w:cs="Times New Roman"/>
          <w:sz w:val="24"/>
          <w:szCs w:val="24"/>
          <w:lang w:val="en-IN" w:eastAsia="en-IN"/>
        </w:rPr>
        <w:t>Japee</w:t>
      </w:r>
      <w:proofErr w:type="spellEnd"/>
      <w:r w:rsidRPr="00285B6B">
        <w:rPr>
          <w:rFonts w:ascii="Times New Roman" w:eastAsia="Times New Roman" w:hAnsi="Times New Roman" w:cs="Times New Roman"/>
          <w:sz w:val="24"/>
          <w:szCs w:val="24"/>
          <w:lang w:val="en-IN" w:eastAsia="en-IN"/>
        </w:rPr>
        <w:t xml:space="preserve">, G. (2021). </w:t>
      </w:r>
      <w:r w:rsidRPr="00285B6B">
        <w:rPr>
          <w:rFonts w:ascii="Times New Roman" w:eastAsia="Times New Roman" w:hAnsi="Times New Roman" w:cs="Times New Roman"/>
          <w:i/>
          <w:iCs/>
          <w:sz w:val="24"/>
          <w:szCs w:val="24"/>
          <w:lang w:val="en-IN" w:eastAsia="en-IN"/>
        </w:rPr>
        <w:t>GAP GYAN A GLOBAL JOURNAL OF SOCIAL SCIENCES INDIAN RURAL BANKING-ROLE OF REGIONAL RURAL BANKS</w:t>
      </w:r>
      <w:r w:rsidRPr="00285B6B">
        <w:rPr>
          <w:rFonts w:ascii="Times New Roman" w:eastAsia="Times New Roman" w:hAnsi="Times New Roman" w:cs="Times New Roman"/>
          <w:sz w:val="24"/>
          <w:szCs w:val="24"/>
          <w:lang w:val="en-IN" w:eastAsia="en-IN"/>
        </w:rPr>
        <w:t>. https://www.gapgyan.org/</w:t>
      </w:r>
    </w:p>
    <w:p w14:paraId="5780EEEF" w14:textId="77777777" w:rsidR="00E0398C" w:rsidRPr="00F51DA3" w:rsidRDefault="00285B6B" w:rsidP="00F51DA3">
      <w:pPr>
        <w:pStyle w:val="ListParagraph"/>
        <w:numPr>
          <w:ilvl w:val="0"/>
          <w:numId w:val="1"/>
        </w:numPr>
        <w:spacing w:after="0" w:line="240" w:lineRule="auto"/>
        <w:rPr>
          <w:rFonts w:ascii="Times New Roman" w:eastAsia="Times New Roman" w:hAnsi="Times New Roman" w:cs="Times New Roman"/>
          <w:sz w:val="24"/>
          <w:szCs w:val="24"/>
          <w:lang w:val="en-IN" w:eastAsia="en-IN"/>
        </w:rPr>
      </w:pPr>
      <w:r w:rsidRPr="00285B6B">
        <w:rPr>
          <w:rFonts w:ascii="Times New Roman" w:eastAsia="Times New Roman" w:hAnsi="Times New Roman" w:cs="Times New Roman"/>
          <w:sz w:val="24"/>
          <w:szCs w:val="24"/>
          <w:lang w:val="en-IN" w:eastAsia="en-IN"/>
        </w:rPr>
        <w:t xml:space="preserve">Tanmay Sarker. (2024). Performance of RRBs in pre-Merger and post-Merger period. </w:t>
      </w:r>
      <w:r w:rsidRPr="00285B6B">
        <w:rPr>
          <w:rFonts w:ascii="Times New Roman" w:eastAsia="Times New Roman" w:hAnsi="Times New Roman" w:cs="Times New Roman"/>
          <w:i/>
          <w:iCs/>
          <w:sz w:val="24"/>
          <w:szCs w:val="24"/>
          <w:lang w:val="en-IN" w:eastAsia="en-IN"/>
        </w:rPr>
        <w:t>International Research Journal on Advanced Engineering and Management (IRJAEM)</w:t>
      </w:r>
      <w:r w:rsidRPr="00285B6B">
        <w:rPr>
          <w:rFonts w:ascii="Times New Roman" w:eastAsia="Times New Roman" w:hAnsi="Times New Roman" w:cs="Times New Roman"/>
          <w:sz w:val="24"/>
          <w:szCs w:val="24"/>
          <w:lang w:val="en-IN" w:eastAsia="en-IN"/>
        </w:rPr>
        <w:t xml:space="preserve">, </w:t>
      </w:r>
      <w:r w:rsidRPr="00285B6B">
        <w:rPr>
          <w:rFonts w:ascii="Times New Roman" w:eastAsia="Times New Roman" w:hAnsi="Times New Roman" w:cs="Times New Roman"/>
          <w:i/>
          <w:iCs/>
          <w:sz w:val="24"/>
          <w:szCs w:val="24"/>
          <w:lang w:val="en-IN" w:eastAsia="en-IN"/>
        </w:rPr>
        <w:t>2</w:t>
      </w:r>
      <w:r w:rsidRPr="00285B6B">
        <w:rPr>
          <w:rFonts w:ascii="Times New Roman" w:eastAsia="Times New Roman" w:hAnsi="Times New Roman" w:cs="Times New Roman"/>
          <w:sz w:val="24"/>
          <w:szCs w:val="24"/>
          <w:lang w:val="en-IN" w:eastAsia="en-IN"/>
        </w:rPr>
        <w:t xml:space="preserve">(03), 281–289. </w:t>
      </w:r>
      <w:r w:rsidR="00F51DA3" w:rsidRPr="00F51DA3">
        <w:rPr>
          <w:rFonts w:ascii="Times New Roman" w:eastAsia="Times New Roman" w:hAnsi="Times New Roman" w:cs="Times New Roman"/>
          <w:sz w:val="24"/>
          <w:szCs w:val="24"/>
          <w:lang w:val="en-IN" w:eastAsia="en-IN"/>
        </w:rPr>
        <w:t>https://doi.org/10.47392/irjaem.2024.0042</w:t>
      </w:r>
    </w:p>
    <w:sectPr w:rsidR="00E0398C" w:rsidRPr="00F51D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C1F51" w14:textId="77777777" w:rsidR="009A6D5D" w:rsidRDefault="009A6D5D" w:rsidP="005600C8">
      <w:pPr>
        <w:spacing w:after="0" w:line="240" w:lineRule="auto"/>
      </w:pPr>
      <w:r>
        <w:separator/>
      </w:r>
    </w:p>
  </w:endnote>
  <w:endnote w:type="continuationSeparator" w:id="0">
    <w:p w14:paraId="6DFFA4E3" w14:textId="77777777" w:rsidR="009A6D5D" w:rsidRDefault="009A6D5D" w:rsidP="0056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97CE" w14:textId="77777777" w:rsidR="005600C8" w:rsidRDefault="0056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1E47" w14:textId="77777777" w:rsidR="005600C8" w:rsidRDefault="0056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FB55" w14:textId="77777777" w:rsidR="005600C8" w:rsidRDefault="00560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C193C" w14:textId="77777777" w:rsidR="009A6D5D" w:rsidRDefault="009A6D5D" w:rsidP="005600C8">
      <w:pPr>
        <w:spacing w:after="0" w:line="240" w:lineRule="auto"/>
      </w:pPr>
      <w:r>
        <w:separator/>
      </w:r>
    </w:p>
  </w:footnote>
  <w:footnote w:type="continuationSeparator" w:id="0">
    <w:p w14:paraId="56FF074D" w14:textId="77777777" w:rsidR="009A6D5D" w:rsidRDefault="009A6D5D" w:rsidP="00560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9592" w14:textId="7E022253" w:rsidR="005600C8" w:rsidRDefault="005600C8">
    <w:pPr>
      <w:pStyle w:val="Header"/>
    </w:pPr>
    <w:r>
      <w:rPr>
        <w:noProof/>
      </w:rPr>
      <w:pict w14:anchorId="0F31A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1005" w14:textId="11EB71B9" w:rsidR="005600C8" w:rsidRDefault="005600C8">
    <w:pPr>
      <w:pStyle w:val="Header"/>
    </w:pPr>
    <w:r>
      <w:rPr>
        <w:noProof/>
      </w:rPr>
      <w:pict w14:anchorId="124F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9114" w14:textId="65194FF5" w:rsidR="005600C8" w:rsidRDefault="005600C8">
    <w:pPr>
      <w:pStyle w:val="Header"/>
    </w:pPr>
    <w:r>
      <w:rPr>
        <w:noProof/>
      </w:rPr>
      <w:pict w14:anchorId="6D9AC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76396"/>
    <w:multiLevelType w:val="hybridMultilevel"/>
    <w:tmpl w:val="6CD8F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DED"/>
    <w:rsid w:val="000500AC"/>
    <w:rsid w:val="0005274D"/>
    <w:rsid w:val="00070C0E"/>
    <w:rsid w:val="00155B30"/>
    <w:rsid w:val="001704AB"/>
    <w:rsid w:val="001C5F4B"/>
    <w:rsid w:val="001E2A58"/>
    <w:rsid w:val="00231025"/>
    <w:rsid w:val="00240F67"/>
    <w:rsid w:val="00257459"/>
    <w:rsid w:val="00271157"/>
    <w:rsid w:val="00285B6B"/>
    <w:rsid w:val="002A4A7A"/>
    <w:rsid w:val="00320E11"/>
    <w:rsid w:val="003225DC"/>
    <w:rsid w:val="003A2675"/>
    <w:rsid w:val="004915C9"/>
    <w:rsid w:val="004A4D8E"/>
    <w:rsid w:val="004C36E7"/>
    <w:rsid w:val="00501D52"/>
    <w:rsid w:val="005033DE"/>
    <w:rsid w:val="005215F7"/>
    <w:rsid w:val="005447DF"/>
    <w:rsid w:val="005600C8"/>
    <w:rsid w:val="00570B54"/>
    <w:rsid w:val="005B74CD"/>
    <w:rsid w:val="005C4D48"/>
    <w:rsid w:val="005D29DC"/>
    <w:rsid w:val="005E23CB"/>
    <w:rsid w:val="00681709"/>
    <w:rsid w:val="007046B1"/>
    <w:rsid w:val="00822DBF"/>
    <w:rsid w:val="00855EC8"/>
    <w:rsid w:val="00877742"/>
    <w:rsid w:val="00890431"/>
    <w:rsid w:val="008A0917"/>
    <w:rsid w:val="008A7261"/>
    <w:rsid w:val="008C11C6"/>
    <w:rsid w:val="009002CD"/>
    <w:rsid w:val="00947DED"/>
    <w:rsid w:val="009572E3"/>
    <w:rsid w:val="00994CE0"/>
    <w:rsid w:val="009A6D5D"/>
    <w:rsid w:val="009C2EA0"/>
    <w:rsid w:val="00A95EB0"/>
    <w:rsid w:val="00B31033"/>
    <w:rsid w:val="00B625EE"/>
    <w:rsid w:val="00B94A63"/>
    <w:rsid w:val="00BA1D6D"/>
    <w:rsid w:val="00BB569A"/>
    <w:rsid w:val="00BC48FF"/>
    <w:rsid w:val="00C15609"/>
    <w:rsid w:val="00C2410D"/>
    <w:rsid w:val="00C34370"/>
    <w:rsid w:val="00CB7F5D"/>
    <w:rsid w:val="00CF7987"/>
    <w:rsid w:val="00D473C3"/>
    <w:rsid w:val="00DA391A"/>
    <w:rsid w:val="00DC2B1B"/>
    <w:rsid w:val="00E0398C"/>
    <w:rsid w:val="00E2144A"/>
    <w:rsid w:val="00E7623F"/>
    <w:rsid w:val="00E9672E"/>
    <w:rsid w:val="00F3340F"/>
    <w:rsid w:val="00F51DA3"/>
    <w:rsid w:val="00F74192"/>
    <w:rsid w:val="00FA5F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FFCC9"/>
  <w15:docId w15:val="{BC12001D-CF35-4888-A59C-F569052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E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72E3"/>
    <w:rPr>
      <w:i/>
      <w:iCs/>
    </w:rPr>
  </w:style>
  <w:style w:type="paragraph" w:styleId="ListParagraph">
    <w:name w:val="List Paragraph"/>
    <w:basedOn w:val="Normal"/>
    <w:uiPriority w:val="34"/>
    <w:qFormat/>
    <w:rsid w:val="00D473C3"/>
    <w:pPr>
      <w:ind w:left="720"/>
      <w:contextualSpacing/>
    </w:pPr>
  </w:style>
  <w:style w:type="character" w:styleId="Strong">
    <w:name w:val="Strong"/>
    <w:basedOn w:val="DefaultParagraphFont"/>
    <w:uiPriority w:val="22"/>
    <w:qFormat/>
    <w:rsid w:val="005C4D48"/>
    <w:rPr>
      <w:b/>
      <w:bCs/>
    </w:rPr>
  </w:style>
  <w:style w:type="paragraph" w:styleId="NormalWeb">
    <w:name w:val="Normal (Web)"/>
    <w:basedOn w:val="Normal"/>
    <w:uiPriority w:val="99"/>
    <w:unhideWhenUsed/>
    <w:rsid w:val="005033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i-insert">
    <w:name w:val="ai-insert"/>
    <w:basedOn w:val="DefaultParagraphFont"/>
    <w:rsid w:val="005033DE"/>
  </w:style>
  <w:style w:type="paragraph" w:styleId="z-TopofForm">
    <w:name w:val="HTML Top of Form"/>
    <w:basedOn w:val="Normal"/>
    <w:next w:val="Normal"/>
    <w:link w:val="z-TopofFormChar"/>
    <w:hidden/>
    <w:uiPriority w:val="99"/>
    <w:semiHidden/>
    <w:unhideWhenUsed/>
    <w:rsid w:val="007046B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046B1"/>
    <w:rPr>
      <w:rFonts w:ascii="Arial" w:eastAsia="Times New Roman" w:hAnsi="Arial" w:cs="Arial"/>
      <w:vanish/>
      <w:sz w:val="16"/>
      <w:szCs w:val="16"/>
      <w:lang w:eastAsia="en-IN"/>
    </w:rPr>
  </w:style>
  <w:style w:type="paragraph" w:customStyle="1" w:styleId="placeholder">
    <w:name w:val="placeholder"/>
    <w:basedOn w:val="Normal"/>
    <w:rsid w:val="007046B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7046B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7046B1"/>
    <w:rPr>
      <w:rFonts w:ascii="Arial" w:eastAsia="Times New Roman" w:hAnsi="Arial" w:cs="Arial"/>
      <w:vanish/>
      <w:sz w:val="16"/>
      <w:szCs w:val="16"/>
      <w:lang w:eastAsia="en-IN"/>
    </w:rPr>
  </w:style>
  <w:style w:type="character" w:styleId="Hyperlink">
    <w:name w:val="Hyperlink"/>
    <w:basedOn w:val="DefaultParagraphFont"/>
    <w:uiPriority w:val="99"/>
    <w:unhideWhenUsed/>
    <w:rsid w:val="00285B6B"/>
    <w:rPr>
      <w:color w:val="0000FF" w:themeColor="hyperlink"/>
      <w:u w:val="single"/>
    </w:rPr>
  </w:style>
  <w:style w:type="table" w:styleId="LightShading-Accent1">
    <w:name w:val="Light Shading Accent 1"/>
    <w:basedOn w:val="TableNormal"/>
    <w:uiPriority w:val="60"/>
    <w:rsid w:val="00E967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g-star-inserted">
    <w:name w:val="ng-star-inserted"/>
    <w:basedOn w:val="Normal"/>
    <w:rsid w:val="002711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g-star-inserted1">
    <w:name w:val="ng-star-inserted1"/>
    <w:basedOn w:val="DefaultParagraphFont"/>
    <w:rsid w:val="00271157"/>
  </w:style>
  <w:style w:type="character" w:customStyle="1" w:styleId="unknown-copy-source">
    <w:name w:val="unknown-copy-source"/>
    <w:basedOn w:val="DefaultParagraphFont"/>
    <w:rsid w:val="00E7623F"/>
  </w:style>
  <w:style w:type="character" w:styleId="UnresolvedMention">
    <w:name w:val="Unresolved Mention"/>
    <w:basedOn w:val="DefaultParagraphFont"/>
    <w:uiPriority w:val="99"/>
    <w:semiHidden/>
    <w:unhideWhenUsed/>
    <w:rsid w:val="00CF7987"/>
    <w:rPr>
      <w:color w:val="605E5C"/>
      <w:shd w:val="clear" w:color="auto" w:fill="E1DFDD"/>
    </w:rPr>
  </w:style>
  <w:style w:type="paragraph" w:styleId="Header">
    <w:name w:val="header"/>
    <w:basedOn w:val="Normal"/>
    <w:link w:val="HeaderChar"/>
    <w:uiPriority w:val="99"/>
    <w:unhideWhenUsed/>
    <w:rsid w:val="0056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C8"/>
    <w:rPr>
      <w:rFonts w:eastAsiaTheme="minorEastAsia"/>
      <w:lang w:val="en-US"/>
    </w:rPr>
  </w:style>
  <w:style w:type="paragraph" w:styleId="Footer">
    <w:name w:val="footer"/>
    <w:basedOn w:val="Normal"/>
    <w:link w:val="FooterChar"/>
    <w:uiPriority w:val="99"/>
    <w:unhideWhenUsed/>
    <w:rsid w:val="0056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C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1922">
      <w:bodyDiv w:val="1"/>
      <w:marLeft w:val="0"/>
      <w:marRight w:val="0"/>
      <w:marTop w:val="0"/>
      <w:marBottom w:val="0"/>
      <w:divBdr>
        <w:top w:val="none" w:sz="0" w:space="0" w:color="auto"/>
        <w:left w:val="none" w:sz="0" w:space="0" w:color="auto"/>
        <w:bottom w:val="none" w:sz="0" w:space="0" w:color="auto"/>
        <w:right w:val="none" w:sz="0" w:space="0" w:color="auto"/>
      </w:divBdr>
    </w:div>
    <w:div w:id="126827183">
      <w:bodyDiv w:val="1"/>
      <w:marLeft w:val="0"/>
      <w:marRight w:val="0"/>
      <w:marTop w:val="0"/>
      <w:marBottom w:val="0"/>
      <w:divBdr>
        <w:top w:val="none" w:sz="0" w:space="0" w:color="auto"/>
        <w:left w:val="none" w:sz="0" w:space="0" w:color="auto"/>
        <w:bottom w:val="none" w:sz="0" w:space="0" w:color="auto"/>
        <w:right w:val="none" w:sz="0" w:space="0" w:color="auto"/>
      </w:divBdr>
    </w:div>
    <w:div w:id="188228764">
      <w:bodyDiv w:val="1"/>
      <w:marLeft w:val="0"/>
      <w:marRight w:val="0"/>
      <w:marTop w:val="0"/>
      <w:marBottom w:val="0"/>
      <w:divBdr>
        <w:top w:val="none" w:sz="0" w:space="0" w:color="auto"/>
        <w:left w:val="none" w:sz="0" w:space="0" w:color="auto"/>
        <w:bottom w:val="none" w:sz="0" w:space="0" w:color="auto"/>
        <w:right w:val="none" w:sz="0" w:space="0" w:color="auto"/>
      </w:divBdr>
      <w:divsChild>
        <w:div w:id="757140334">
          <w:marLeft w:val="0"/>
          <w:marRight w:val="0"/>
          <w:marTop w:val="0"/>
          <w:marBottom w:val="0"/>
          <w:divBdr>
            <w:top w:val="none" w:sz="0" w:space="0" w:color="auto"/>
            <w:left w:val="none" w:sz="0" w:space="0" w:color="auto"/>
            <w:bottom w:val="none" w:sz="0" w:space="0" w:color="auto"/>
            <w:right w:val="none" w:sz="0" w:space="0" w:color="auto"/>
          </w:divBdr>
        </w:div>
      </w:divsChild>
    </w:div>
    <w:div w:id="189727589">
      <w:bodyDiv w:val="1"/>
      <w:marLeft w:val="0"/>
      <w:marRight w:val="0"/>
      <w:marTop w:val="0"/>
      <w:marBottom w:val="0"/>
      <w:divBdr>
        <w:top w:val="none" w:sz="0" w:space="0" w:color="auto"/>
        <w:left w:val="none" w:sz="0" w:space="0" w:color="auto"/>
        <w:bottom w:val="none" w:sz="0" w:space="0" w:color="auto"/>
        <w:right w:val="none" w:sz="0" w:space="0" w:color="auto"/>
      </w:divBdr>
      <w:divsChild>
        <w:div w:id="1585801488">
          <w:marLeft w:val="0"/>
          <w:marRight w:val="0"/>
          <w:marTop w:val="0"/>
          <w:marBottom w:val="0"/>
          <w:divBdr>
            <w:top w:val="none" w:sz="0" w:space="0" w:color="auto"/>
            <w:left w:val="none" w:sz="0" w:space="0" w:color="auto"/>
            <w:bottom w:val="none" w:sz="0" w:space="0" w:color="auto"/>
            <w:right w:val="none" w:sz="0" w:space="0" w:color="auto"/>
          </w:divBdr>
          <w:divsChild>
            <w:div w:id="1212569175">
              <w:marLeft w:val="0"/>
              <w:marRight w:val="0"/>
              <w:marTop w:val="0"/>
              <w:marBottom w:val="0"/>
              <w:divBdr>
                <w:top w:val="none" w:sz="0" w:space="0" w:color="auto"/>
                <w:left w:val="none" w:sz="0" w:space="0" w:color="auto"/>
                <w:bottom w:val="none" w:sz="0" w:space="0" w:color="auto"/>
                <w:right w:val="none" w:sz="0" w:space="0" w:color="auto"/>
              </w:divBdr>
              <w:divsChild>
                <w:div w:id="638539180">
                  <w:marLeft w:val="0"/>
                  <w:marRight w:val="0"/>
                  <w:marTop w:val="0"/>
                  <w:marBottom w:val="0"/>
                  <w:divBdr>
                    <w:top w:val="none" w:sz="0" w:space="0" w:color="auto"/>
                    <w:left w:val="none" w:sz="0" w:space="0" w:color="auto"/>
                    <w:bottom w:val="none" w:sz="0" w:space="0" w:color="auto"/>
                    <w:right w:val="none" w:sz="0" w:space="0" w:color="auto"/>
                  </w:divBdr>
                  <w:divsChild>
                    <w:div w:id="1294361915">
                      <w:marLeft w:val="0"/>
                      <w:marRight w:val="0"/>
                      <w:marTop w:val="0"/>
                      <w:marBottom w:val="0"/>
                      <w:divBdr>
                        <w:top w:val="none" w:sz="0" w:space="0" w:color="auto"/>
                        <w:left w:val="none" w:sz="0" w:space="0" w:color="auto"/>
                        <w:bottom w:val="none" w:sz="0" w:space="0" w:color="auto"/>
                        <w:right w:val="none" w:sz="0" w:space="0" w:color="auto"/>
                      </w:divBdr>
                      <w:divsChild>
                        <w:div w:id="1327785533">
                          <w:marLeft w:val="0"/>
                          <w:marRight w:val="0"/>
                          <w:marTop w:val="0"/>
                          <w:marBottom w:val="0"/>
                          <w:divBdr>
                            <w:top w:val="none" w:sz="0" w:space="0" w:color="auto"/>
                            <w:left w:val="none" w:sz="0" w:space="0" w:color="auto"/>
                            <w:bottom w:val="none" w:sz="0" w:space="0" w:color="auto"/>
                            <w:right w:val="none" w:sz="0" w:space="0" w:color="auto"/>
                          </w:divBdr>
                          <w:divsChild>
                            <w:div w:id="1863199619">
                              <w:marLeft w:val="0"/>
                              <w:marRight w:val="0"/>
                              <w:marTop w:val="0"/>
                              <w:marBottom w:val="0"/>
                              <w:divBdr>
                                <w:top w:val="none" w:sz="0" w:space="0" w:color="auto"/>
                                <w:left w:val="none" w:sz="0" w:space="0" w:color="auto"/>
                                <w:bottom w:val="none" w:sz="0" w:space="0" w:color="auto"/>
                                <w:right w:val="none" w:sz="0" w:space="0" w:color="auto"/>
                              </w:divBdr>
                              <w:divsChild>
                                <w:div w:id="213781508">
                                  <w:marLeft w:val="0"/>
                                  <w:marRight w:val="0"/>
                                  <w:marTop w:val="0"/>
                                  <w:marBottom w:val="0"/>
                                  <w:divBdr>
                                    <w:top w:val="none" w:sz="0" w:space="0" w:color="auto"/>
                                    <w:left w:val="none" w:sz="0" w:space="0" w:color="auto"/>
                                    <w:bottom w:val="none" w:sz="0" w:space="0" w:color="auto"/>
                                    <w:right w:val="none" w:sz="0" w:space="0" w:color="auto"/>
                                  </w:divBdr>
                                  <w:divsChild>
                                    <w:div w:id="2049259614">
                                      <w:marLeft w:val="0"/>
                                      <w:marRight w:val="0"/>
                                      <w:marTop w:val="0"/>
                                      <w:marBottom w:val="0"/>
                                      <w:divBdr>
                                        <w:top w:val="none" w:sz="0" w:space="0" w:color="auto"/>
                                        <w:left w:val="none" w:sz="0" w:space="0" w:color="auto"/>
                                        <w:bottom w:val="none" w:sz="0" w:space="0" w:color="auto"/>
                                        <w:right w:val="none" w:sz="0" w:space="0" w:color="auto"/>
                                      </w:divBdr>
                                      <w:divsChild>
                                        <w:div w:id="1603679949">
                                          <w:marLeft w:val="0"/>
                                          <w:marRight w:val="0"/>
                                          <w:marTop w:val="0"/>
                                          <w:marBottom w:val="0"/>
                                          <w:divBdr>
                                            <w:top w:val="none" w:sz="0" w:space="0" w:color="auto"/>
                                            <w:left w:val="none" w:sz="0" w:space="0" w:color="auto"/>
                                            <w:bottom w:val="none" w:sz="0" w:space="0" w:color="auto"/>
                                            <w:right w:val="none" w:sz="0" w:space="0" w:color="auto"/>
                                          </w:divBdr>
                                          <w:divsChild>
                                            <w:div w:id="6882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85302">
          <w:marLeft w:val="0"/>
          <w:marRight w:val="0"/>
          <w:marTop w:val="0"/>
          <w:marBottom w:val="0"/>
          <w:divBdr>
            <w:top w:val="none" w:sz="0" w:space="0" w:color="auto"/>
            <w:left w:val="none" w:sz="0" w:space="0" w:color="auto"/>
            <w:bottom w:val="none" w:sz="0" w:space="0" w:color="auto"/>
            <w:right w:val="none" w:sz="0" w:space="0" w:color="auto"/>
          </w:divBdr>
          <w:divsChild>
            <w:div w:id="905846299">
              <w:marLeft w:val="0"/>
              <w:marRight w:val="0"/>
              <w:marTop w:val="0"/>
              <w:marBottom w:val="0"/>
              <w:divBdr>
                <w:top w:val="none" w:sz="0" w:space="0" w:color="auto"/>
                <w:left w:val="none" w:sz="0" w:space="0" w:color="auto"/>
                <w:bottom w:val="none" w:sz="0" w:space="0" w:color="auto"/>
                <w:right w:val="none" w:sz="0" w:space="0" w:color="auto"/>
              </w:divBdr>
              <w:divsChild>
                <w:div w:id="645158659">
                  <w:marLeft w:val="0"/>
                  <w:marRight w:val="0"/>
                  <w:marTop w:val="0"/>
                  <w:marBottom w:val="0"/>
                  <w:divBdr>
                    <w:top w:val="none" w:sz="0" w:space="0" w:color="auto"/>
                    <w:left w:val="none" w:sz="0" w:space="0" w:color="auto"/>
                    <w:bottom w:val="none" w:sz="0" w:space="0" w:color="auto"/>
                    <w:right w:val="none" w:sz="0" w:space="0" w:color="auto"/>
                  </w:divBdr>
                  <w:divsChild>
                    <w:div w:id="1170562225">
                      <w:marLeft w:val="0"/>
                      <w:marRight w:val="0"/>
                      <w:marTop w:val="0"/>
                      <w:marBottom w:val="0"/>
                      <w:divBdr>
                        <w:top w:val="none" w:sz="0" w:space="0" w:color="auto"/>
                        <w:left w:val="none" w:sz="0" w:space="0" w:color="auto"/>
                        <w:bottom w:val="none" w:sz="0" w:space="0" w:color="auto"/>
                        <w:right w:val="none" w:sz="0" w:space="0" w:color="auto"/>
                      </w:divBdr>
                      <w:divsChild>
                        <w:div w:id="1509831395">
                          <w:marLeft w:val="0"/>
                          <w:marRight w:val="0"/>
                          <w:marTop w:val="0"/>
                          <w:marBottom w:val="0"/>
                          <w:divBdr>
                            <w:top w:val="none" w:sz="0" w:space="0" w:color="auto"/>
                            <w:left w:val="none" w:sz="0" w:space="0" w:color="auto"/>
                            <w:bottom w:val="none" w:sz="0" w:space="0" w:color="auto"/>
                            <w:right w:val="none" w:sz="0" w:space="0" w:color="auto"/>
                          </w:divBdr>
                          <w:divsChild>
                            <w:div w:id="361249111">
                              <w:marLeft w:val="0"/>
                              <w:marRight w:val="0"/>
                              <w:marTop w:val="0"/>
                              <w:marBottom w:val="0"/>
                              <w:divBdr>
                                <w:top w:val="none" w:sz="0" w:space="0" w:color="auto"/>
                                <w:left w:val="none" w:sz="0" w:space="0" w:color="auto"/>
                                <w:bottom w:val="none" w:sz="0" w:space="0" w:color="auto"/>
                                <w:right w:val="none" w:sz="0" w:space="0" w:color="auto"/>
                              </w:divBdr>
                              <w:divsChild>
                                <w:div w:id="895046759">
                                  <w:marLeft w:val="0"/>
                                  <w:marRight w:val="0"/>
                                  <w:marTop w:val="0"/>
                                  <w:marBottom w:val="0"/>
                                  <w:divBdr>
                                    <w:top w:val="none" w:sz="0" w:space="0" w:color="auto"/>
                                    <w:left w:val="none" w:sz="0" w:space="0" w:color="auto"/>
                                    <w:bottom w:val="none" w:sz="0" w:space="0" w:color="auto"/>
                                    <w:right w:val="none" w:sz="0" w:space="0" w:color="auto"/>
                                  </w:divBdr>
                                  <w:divsChild>
                                    <w:div w:id="515770527">
                                      <w:marLeft w:val="0"/>
                                      <w:marRight w:val="0"/>
                                      <w:marTop w:val="0"/>
                                      <w:marBottom w:val="0"/>
                                      <w:divBdr>
                                        <w:top w:val="none" w:sz="0" w:space="0" w:color="auto"/>
                                        <w:left w:val="none" w:sz="0" w:space="0" w:color="auto"/>
                                        <w:bottom w:val="none" w:sz="0" w:space="0" w:color="auto"/>
                                        <w:right w:val="none" w:sz="0" w:space="0" w:color="auto"/>
                                      </w:divBdr>
                                      <w:divsChild>
                                        <w:div w:id="1109396882">
                                          <w:marLeft w:val="0"/>
                                          <w:marRight w:val="0"/>
                                          <w:marTop w:val="0"/>
                                          <w:marBottom w:val="0"/>
                                          <w:divBdr>
                                            <w:top w:val="none" w:sz="0" w:space="0" w:color="auto"/>
                                            <w:left w:val="none" w:sz="0" w:space="0" w:color="auto"/>
                                            <w:bottom w:val="none" w:sz="0" w:space="0" w:color="auto"/>
                                            <w:right w:val="none" w:sz="0" w:space="0" w:color="auto"/>
                                          </w:divBdr>
                                          <w:divsChild>
                                            <w:div w:id="8579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4449">
      <w:bodyDiv w:val="1"/>
      <w:marLeft w:val="0"/>
      <w:marRight w:val="0"/>
      <w:marTop w:val="0"/>
      <w:marBottom w:val="0"/>
      <w:divBdr>
        <w:top w:val="none" w:sz="0" w:space="0" w:color="auto"/>
        <w:left w:val="none" w:sz="0" w:space="0" w:color="auto"/>
        <w:bottom w:val="none" w:sz="0" w:space="0" w:color="auto"/>
        <w:right w:val="none" w:sz="0" w:space="0" w:color="auto"/>
      </w:divBdr>
      <w:divsChild>
        <w:div w:id="566308891">
          <w:marLeft w:val="0"/>
          <w:marRight w:val="0"/>
          <w:marTop w:val="0"/>
          <w:marBottom w:val="0"/>
          <w:divBdr>
            <w:top w:val="none" w:sz="0" w:space="0" w:color="auto"/>
            <w:left w:val="none" w:sz="0" w:space="0" w:color="auto"/>
            <w:bottom w:val="none" w:sz="0" w:space="0" w:color="auto"/>
            <w:right w:val="none" w:sz="0" w:space="0" w:color="auto"/>
          </w:divBdr>
        </w:div>
      </w:divsChild>
    </w:div>
    <w:div w:id="257300247">
      <w:bodyDiv w:val="1"/>
      <w:marLeft w:val="0"/>
      <w:marRight w:val="0"/>
      <w:marTop w:val="0"/>
      <w:marBottom w:val="0"/>
      <w:divBdr>
        <w:top w:val="none" w:sz="0" w:space="0" w:color="auto"/>
        <w:left w:val="none" w:sz="0" w:space="0" w:color="auto"/>
        <w:bottom w:val="none" w:sz="0" w:space="0" w:color="auto"/>
        <w:right w:val="none" w:sz="0" w:space="0" w:color="auto"/>
      </w:divBdr>
    </w:div>
    <w:div w:id="409082298">
      <w:bodyDiv w:val="1"/>
      <w:marLeft w:val="0"/>
      <w:marRight w:val="0"/>
      <w:marTop w:val="0"/>
      <w:marBottom w:val="0"/>
      <w:divBdr>
        <w:top w:val="none" w:sz="0" w:space="0" w:color="auto"/>
        <w:left w:val="none" w:sz="0" w:space="0" w:color="auto"/>
        <w:bottom w:val="none" w:sz="0" w:space="0" w:color="auto"/>
        <w:right w:val="none" w:sz="0" w:space="0" w:color="auto"/>
      </w:divBdr>
      <w:divsChild>
        <w:div w:id="1800804046">
          <w:marLeft w:val="0"/>
          <w:marRight w:val="0"/>
          <w:marTop w:val="0"/>
          <w:marBottom w:val="0"/>
          <w:divBdr>
            <w:top w:val="none" w:sz="0" w:space="0" w:color="auto"/>
            <w:left w:val="none" w:sz="0" w:space="0" w:color="auto"/>
            <w:bottom w:val="none" w:sz="0" w:space="0" w:color="auto"/>
            <w:right w:val="none" w:sz="0" w:space="0" w:color="auto"/>
          </w:divBdr>
        </w:div>
        <w:div w:id="1643922100">
          <w:marLeft w:val="0"/>
          <w:marRight w:val="0"/>
          <w:marTop w:val="0"/>
          <w:marBottom w:val="0"/>
          <w:divBdr>
            <w:top w:val="none" w:sz="0" w:space="0" w:color="auto"/>
            <w:left w:val="none" w:sz="0" w:space="0" w:color="auto"/>
            <w:bottom w:val="none" w:sz="0" w:space="0" w:color="auto"/>
            <w:right w:val="none" w:sz="0" w:space="0" w:color="auto"/>
          </w:divBdr>
        </w:div>
      </w:divsChild>
    </w:div>
    <w:div w:id="479156048">
      <w:bodyDiv w:val="1"/>
      <w:marLeft w:val="0"/>
      <w:marRight w:val="0"/>
      <w:marTop w:val="0"/>
      <w:marBottom w:val="0"/>
      <w:divBdr>
        <w:top w:val="none" w:sz="0" w:space="0" w:color="auto"/>
        <w:left w:val="none" w:sz="0" w:space="0" w:color="auto"/>
        <w:bottom w:val="none" w:sz="0" w:space="0" w:color="auto"/>
        <w:right w:val="none" w:sz="0" w:space="0" w:color="auto"/>
      </w:divBdr>
    </w:div>
    <w:div w:id="498739979">
      <w:bodyDiv w:val="1"/>
      <w:marLeft w:val="0"/>
      <w:marRight w:val="0"/>
      <w:marTop w:val="0"/>
      <w:marBottom w:val="0"/>
      <w:divBdr>
        <w:top w:val="none" w:sz="0" w:space="0" w:color="auto"/>
        <w:left w:val="none" w:sz="0" w:space="0" w:color="auto"/>
        <w:bottom w:val="none" w:sz="0" w:space="0" w:color="auto"/>
        <w:right w:val="none" w:sz="0" w:space="0" w:color="auto"/>
      </w:divBdr>
    </w:div>
    <w:div w:id="665402568">
      <w:bodyDiv w:val="1"/>
      <w:marLeft w:val="0"/>
      <w:marRight w:val="0"/>
      <w:marTop w:val="0"/>
      <w:marBottom w:val="0"/>
      <w:divBdr>
        <w:top w:val="none" w:sz="0" w:space="0" w:color="auto"/>
        <w:left w:val="none" w:sz="0" w:space="0" w:color="auto"/>
        <w:bottom w:val="none" w:sz="0" w:space="0" w:color="auto"/>
        <w:right w:val="none" w:sz="0" w:space="0" w:color="auto"/>
      </w:divBdr>
      <w:divsChild>
        <w:div w:id="1064765351">
          <w:marLeft w:val="0"/>
          <w:marRight w:val="0"/>
          <w:marTop w:val="0"/>
          <w:marBottom w:val="0"/>
          <w:divBdr>
            <w:top w:val="none" w:sz="0" w:space="0" w:color="auto"/>
            <w:left w:val="none" w:sz="0" w:space="0" w:color="auto"/>
            <w:bottom w:val="none" w:sz="0" w:space="0" w:color="auto"/>
            <w:right w:val="none" w:sz="0" w:space="0" w:color="auto"/>
          </w:divBdr>
        </w:div>
      </w:divsChild>
    </w:div>
    <w:div w:id="676687258">
      <w:bodyDiv w:val="1"/>
      <w:marLeft w:val="0"/>
      <w:marRight w:val="0"/>
      <w:marTop w:val="0"/>
      <w:marBottom w:val="0"/>
      <w:divBdr>
        <w:top w:val="none" w:sz="0" w:space="0" w:color="auto"/>
        <w:left w:val="none" w:sz="0" w:space="0" w:color="auto"/>
        <w:bottom w:val="none" w:sz="0" w:space="0" w:color="auto"/>
        <w:right w:val="none" w:sz="0" w:space="0" w:color="auto"/>
      </w:divBdr>
    </w:div>
    <w:div w:id="763695961">
      <w:bodyDiv w:val="1"/>
      <w:marLeft w:val="0"/>
      <w:marRight w:val="0"/>
      <w:marTop w:val="0"/>
      <w:marBottom w:val="0"/>
      <w:divBdr>
        <w:top w:val="none" w:sz="0" w:space="0" w:color="auto"/>
        <w:left w:val="none" w:sz="0" w:space="0" w:color="auto"/>
        <w:bottom w:val="none" w:sz="0" w:space="0" w:color="auto"/>
        <w:right w:val="none" w:sz="0" w:space="0" w:color="auto"/>
      </w:divBdr>
      <w:divsChild>
        <w:div w:id="1682123647">
          <w:marLeft w:val="0"/>
          <w:marRight w:val="0"/>
          <w:marTop w:val="0"/>
          <w:marBottom w:val="0"/>
          <w:divBdr>
            <w:top w:val="none" w:sz="0" w:space="0" w:color="auto"/>
            <w:left w:val="none" w:sz="0" w:space="0" w:color="auto"/>
            <w:bottom w:val="none" w:sz="0" w:space="0" w:color="auto"/>
            <w:right w:val="none" w:sz="0" w:space="0" w:color="auto"/>
          </w:divBdr>
          <w:divsChild>
            <w:div w:id="1668290057">
              <w:marLeft w:val="0"/>
              <w:marRight w:val="0"/>
              <w:marTop w:val="0"/>
              <w:marBottom w:val="0"/>
              <w:divBdr>
                <w:top w:val="none" w:sz="0" w:space="0" w:color="auto"/>
                <w:left w:val="none" w:sz="0" w:space="0" w:color="auto"/>
                <w:bottom w:val="none" w:sz="0" w:space="0" w:color="auto"/>
                <w:right w:val="none" w:sz="0" w:space="0" w:color="auto"/>
              </w:divBdr>
              <w:divsChild>
                <w:div w:id="580916351">
                  <w:marLeft w:val="0"/>
                  <w:marRight w:val="0"/>
                  <w:marTop w:val="0"/>
                  <w:marBottom w:val="0"/>
                  <w:divBdr>
                    <w:top w:val="none" w:sz="0" w:space="0" w:color="auto"/>
                    <w:left w:val="none" w:sz="0" w:space="0" w:color="auto"/>
                    <w:bottom w:val="none" w:sz="0" w:space="0" w:color="auto"/>
                    <w:right w:val="none" w:sz="0" w:space="0" w:color="auto"/>
                  </w:divBdr>
                  <w:divsChild>
                    <w:div w:id="2075740219">
                      <w:marLeft w:val="0"/>
                      <w:marRight w:val="0"/>
                      <w:marTop w:val="0"/>
                      <w:marBottom w:val="0"/>
                      <w:divBdr>
                        <w:top w:val="none" w:sz="0" w:space="0" w:color="auto"/>
                        <w:left w:val="none" w:sz="0" w:space="0" w:color="auto"/>
                        <w:bottom w:val="none" w:sz="0" w:space="0" w:color="auto"/>
                        <w:right w:val="none" w:sz="0" w:space="0" w:color="auto"/>
                      </w:divBdr>
                      <w:divsChild>
                        <w:div w:id="1886064124">
                          <w:marLeft w:val="0"/>
                          <w:marRight w:val="0"/>
                          <w:marTop w:val="0"/>
                          <w:marBottom w:val="0"/>
                          <w:divBdr>
                            <w:top w:val="none" w:sz="0" w:space="0" w:color="auto"/>
                            <w:left w:val="none" w:sz="0" w:space="0" w:color="auto"/>
                            <w:bottom w:val="none" w:sz="0" w:space="0" w:color="auto"/>
                            <w:right w:val="none" w:sz="0" w:space="0" w:color="auto"/>
                          </w:divBdr>
                          <w:divsChild>
                            <w:div w:id="13583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3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40339755">
      <w:bodyDiv w:val="1"/>
      <w:marLeft w:val="0"/>
      <w:marRight w:val="0"/>
      <w:marTop w:val="0"/>
      <w:marBottom w:val="0"/>
      <w:divBdr>
        <w:top w:val="none" w:sz="0" w:space="0" w:color="auto"/>
        <w:left w:val="none" w:sz="0" w:space="0" w:color="auto"/>
        <w:bottom w:val="none" w:sz="0" w:space="0" w:color="auto"/>
        <w:right w:val="none" w:sz="0" w:space="0" w:color="auto"/>
      </w:divBdr>
      <w:divsChild>
        <w:div w:id="909540469">
          <w:marLeft w:val="0"/>
          <w:marRight w:val="0"/>
          <w:marTop w:val="0"/>
          <w:marBottom w:val="0"/>
          <w:divBdr>
            <w:top w:val="none" w:sz="0" w:space="0" w:color="auto"/>
            <w:left w:val="none" w:sz="0" w:space="0" w:color="auto"/>
            <w:bottom w:val="none" w:sz="0" w:space="0" w:color="auto"/>
            <w:right w:val="none" w:sz="0" w:space="0" w:color="auto"/>
          </w:divBdr>
        </w:div>
      </w:divsChild>
    </w:div>
    <w:div w:id="1062558691">
      <w:bodyDiv w:val="1"/>
      <w:marLeft w:val="0"/>
      <w:marRight w:val="0"/>
      <w:marTop w:val="0"/>
      <w:marBottom w:val="0"/>
      <w:divBdr>
        <w:top w:val="none" w:sz="0" w:space="0" w:color="auto"/>
        <w:left w:val="none" w:sz="0" w:space="0" w:color="auto"/>
        <w:bottom w:val="none" w:sz="0" w:space="0" w:color="auto"/>
        <w:right w:val="none" w:sz="0" w:space="0" w:color="auto"/>
      </w:divBdr>
    </w:div>
    <w:div w:id="1246770466">
      <w:bodyDiv w:val="1"/>
      <w:marLeft w:val="0"/>
      <w:marRight w:val="0"/>
      <w:marTop w:val="0"/>
      <w:marBottom w:val="0"/>
      <w:divBdr>
        <w:top w:val="none" w:sz="0" w:space="0" w:color="auto"/>
        <w:left w:val="none" w:sz="0" w:space="0" w:color="auto"/>
        <w:bottom w:val="none" w:sz="0" w:space="0" w:color="auto"/>
        <w:right w:val="none" w:sz="0" w:space="0" w:color="auto"/>
      </w:divBdr>
    </w:div>
    <w:div w:id="1380473625">
      <w:bodyDiv w:val="1"/>
      <w:marLeft w:val="0"/>
      <w:marRight w:val="0"/>
      <w:marTop w:val="0"/>
      <w:marBottom w:val="0"/>
      <w:divBdr>
        <w:top w:val="none" w:sz="0" w:space="0" w:color="auto"/>
        <w:left w:val="none" w:sz="0" w:space="0" w:color="auto"/>
        <w:bottom w:val="none" w:sz="0" w:space="0" w:color="auto"/>
        <w:right w:val="none" w:sz="0" w:space="0" w:color="auto"/>
      </w:divBdr>
    </w:div>
    <w:div w:id="1486505450">
      <w:bodyDiv w:val="1"/>
      <w:marLeft w:val="0"/>
      <w:marRight w:val="0"/>
      <w:marTop w:val="0"/>
      <w:marBottom w:val="0"/>
      <w:divBdr>
        <w:top w:val="none" w:sz="0" w:space="0" w:color="auto"/>
        <w:left w:val="none" w:sz="0" w:space="0" w:color="auto"/>
        <w:bottom w:val="none" w:sz="0" w:space="0" w:color="auto"/>
        <w:right w:val="none" w:sz="0" w:space="0" w:color="auto"/>
      </w:divBdr>
    </w:div>
    <w:div w:id="1711880789">
      <w:bodyDiv w:val="1"/>
      <w:marLeft w:val="0"/>
      <w:marRight w:val="0"/>
      <w:marTop w:val="0"/>
      <w:marBottom w:val="0"/>
      <w:divBdr>
        <w:top w:val="none" w:sz="0" w:space="0" w:color="auto"/>
        <w:left w:val="none" w:sz="0" w:space="0" w:color="auto"/>
        <w:bottom w:val="none" w:sz="0" w:space="0" w:color="auto"/>
        <w:right w:val="none" w:sz="0" w:space="0" w:color="auto"/>
      </w:divBdr>
      <w:divsChild>
        <w:div w:id="250361198">
          <w:marLeft w:val="0"/>
          <w:marRight w:val="0"/>
          <w:marTop w:val="0"/>
          <w:marBottom w:val="0"/>
          <w:divBdr>
            <w:top w:val="none" w:sz="0" w:space="0" w:color="auto"/>
            <w:left w:val="none" w:sz="0" w:space="0" w:color="auto"/>
            <w:bottom w:val="none" w:sz="0" w:space="0" w:color="auto"/>
            <w:right w:val="none" w:sz="0" w:space="0" w:color="auto"/>
          </w:divBdr>
        </w:div>
      </w:divsChild>
    </w:div>
    <w:div w:id="18773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9CC0-0E93-4475-AE1B-557FA79B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17</cp:revision>
  <cp:lastPrinted>2025-10-23T20:25:00Z</cp:lastPrinted>
  <dcterms:created xsi:type="dcterms:W3CDTF">2025-10-21T20:01:00Z</dcterms:created>
  <dcterms:modified xsi:type="dcterms:W3CDTF">2025-10-25T07:50:00Z</dcterms:modified>
</cp:coreProperties>
</file>