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997D3F" w14:textId="4BF1D710" w:rsidR="0080225D" w:rsidRPr="000E4A21" w:rsidRDefault="0080225D" w:rsidP="00C0492C">
      <w:pPr>
        <w:bidi w:val="0"/>
        <w:jc w:val="both"/>
        <w:rPr>
          <w:rFonts w:asciiTheme="majorBidi" w:hAnsiTheme="majorBidi" w:cstheme="majorBidi"/>
          <w:sz w:val="28"/>
          <w:szCs w:val="28"/>
          <w:rtl/>
        </w:rPr>
      </w:pPr>
    </w:p>
    <w:p w14:paraId="54F292D2" w14:textId="77777777" w:rsidR="00F971B9" w:rsidRDefault="00F971B9" w:rsidP="00A406AF">
      <w:pPr>
        <w:pStyle w:val="Heading1"/>
        <w:bidi w:val="0"/>
        <w:jc w:val="center"/>
        <w:divId w:val="2063820962"/>
        <w:rPr>
          <w:rFonts w:asciiTheme="majorBidi" w:eastAsia="Times New Roman" w:hAnsiTheme="majorBidi"/>
          <w:b/>
          <w:bCs/>
          <w:color w:val="auto"/>
          <w:sz w:val="28"/>
          <w:szCs w:val="28"/>
          <w:rtl/>
        </w:rPr>
      </w:pPr>
      <w:r w:rsidRPr="00A406AF">
        <w:rPr>
          <w:rFonts w:asciiTheme="majorBidi" w:eastAsia="Times New Roman" w:hAnsiTheme="majorBidi"/>
          <w:b/>
          <w:bCs/>
          <w:color w:val="auto"/>
          <w:sz w:val="28"/>
          <w:szCs w:val="28"/>
        </w:rPr>
        <w:t>The Impact of Climate Change on Monetary Policy: Modeling Environmental Transition Risks on the Stability of the European Banking Sector (2015-2023)</w:t>
      </w:r>
    </w:p>
    <w:p w14:paraId="5304427A" w14:textId="77777777" w:rsidR="00B27987" w:rsidRDefault="00B27987" w:rsidP="00B27987">
      <w:pPr>
        <w:bidi w:val="0"/>
        <w:divId w:val="2063820962"/>
        <w:rPr>
          <w:rtl/>
        </w:rPr>
      </w:pPr>
    </w:p>
    <w:p w14:paraId="433897E4" w14:textId="77777777" w:rsidR="00E164F5" w:rsidRDefault="00E164F5" w:rsidP="000E4A21">
      <w:pPr>
        <w:pStyle w:val="Heading2"/>
        <w:bidi w:val="0"/>
        <w:divId w:val="2063820962"/>
        <w:rPr>
          <w:rFonts w:asciiTheme="majorBidi" w:eastAsia="Times New Roman" w:hAnsiTheme="majorBidi"/>
          <w:b/>
          <w:bCs/>
          <w:color w:val="auto"/>
          <w:sz w:val="28"/>
          <w:szCs w:val="28"/>
        </w:rPr>
      </w:pPr>
    </w:p>
    <w:p w14:paraId="78F75515" w14:textId="1B23B08B" w:rsidR="00F971B9" w:rsidRPr="00A406AF" w:rsidRDefault="00F971B9" w:rsidP="00E164F5">
      <w:pPr>
        <w:pStyle w:val="Heading2"/>
        <w:bidi w:val="0"/>
        <w:divId w:val="2063820962"/>
        <w:rPr>
          <w:rFonts w:asciiTheme="majorBidi" w:eastAsia="Times New Roman" w:hAnsiTheme="majorBidi"/>
          <w:b/>
          <w:bCs/>
          <w:color w:val="auto"/>
          <w:sz w:val="28"/>
          <w:szCs w:val="28"/>
        </w:rPr>
      </w:pPr>
      <w:r w:rsidRPr="00A406AF">
        <w:rPr>
          <w:rFonts w:asciiTheme="majorBidi" w:eastAsia="Times New Roman" w:hAnsiTheme="majorBidi"/>
          <w:b/>
          <w:bCs/>
          <w:color w:val="auto"/>
          <w:sz w:val="28"/>
          <w:szCs w:val="28"/>
        </w:rPr>
        <w:t>Abstract</w:t>
      </w:r>
    </w:p>
    <w:p w14:paraId="4387FBD1"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This study investigates the intricate relationship between climate change-induced transition risks and European banking sector stability from 2015 to 2023, examining how environmental factors influence monetary policy transmission mechanisms. Using a comprehensive dataset of 150 major European banks across 19 countries, we employ a multi-stage econometric approach combining Vector Autoregression (VAR) models, stress testing frameworks, and machine learning algorithms to quantify transition risk impacts. Our findings reveal that banks with higher exposure to carbon-intensive sectors experienced significant deterioration in key performance indicators, with an average 12.3% increase in non-performing loans and 8.7% reduction in return on equity during periods of stringent climate policy implementation. The study demonstrates that transition risks create asymmetric effects across banking portfolios, with commercial real estate and energy sector exposures showing the highest vulnerability coefficients (β = 0.847, p &lt; 0.001). Furthermore, we establish that central bank climate policies exhibit non-linear transmission effects, with threshold values identified at carbon intensity levels exceeding 500 tCO2e per million euros of lending. The research contributes to the growing literature on green finance by providing empirical evidence of climate-monetary policy nexus and offers practical insights for regulatory frameworks. Our stress testing scenarios indicate that under accelerated transition pathways, European banks may face aggregate capital shortfalls of €45-67 billion by 2030. These findings have profound implications for monetary policy design, banking supervision, and the broader financial stability architecture in the context of Europe's climate transition objectives.</w:t>
      </w:r>
    </w:p>
    <w:p w14:paraId="52D45E10" w14:textId="77777777" w:rsidR="00F971B9" w:rsidRPr="000E4A21" w:rsidRDefault="00F971B9" w:rsidP="00C0492C">
      <w:pPr>
        <w:pStyle w:val="NormalWeb"/>
        <w:jc w:val="both"/>
        <w:divId w:val="2063820962"/>
        <w:rPr>
          <w:rFonts w:asciiTheme="majorBidi" w:hAnsiTheme="majorBidi" w:cstheme="majorBidi"/>
        </w:rPr>
      </w:pPr>
      <w:r w:rsidRPr="000E4A21">
        <w:rPr>
          <w:rStyle w:val="Strong"/>
          <w:rFonts w:asciiTheme="majorBidi" w:hAnsiTheme="majorBidi" w:cstheme="majorBidi"/>
        </w:rPr>
        <w:t>Keywords:</w:t>
      </w:r>
      <w:r w:rsidRPr="000E4A21">
        <w:rPr>
          <w:rFonts w:asciiTheme="majorBidi" w:hAnsiTheme="majorBidi" w:cstheme="majorBidi"/>
        </w:rPr>
        <w:t xml:space="preserve"> Climate finance, transition risk, monetary policy, banking stability, environmental economics, stress testing</w:t>
      </w:r>
    </w:p>
    <w:p w14:paraId="38295D2F" w14:textId="77777777" w:rsidR="00F971B9" w:rsidRPr="00A406AF" w:rsidRDefault="00F971B9" w:rsidP="00C0492C">
      <w:pPr>
        <w:pStyle w:val="Heading2"/>
        <w:bidi w:val="0"/>
        <w:jc w:val="both"/>
        <w:divId w:val="2063820962"/>
        <w:rPr>
          <w:rFonts w:asciiTheme="majorBidi" w:eastAsia="Times New Roman" w:hAnsiTheme="majorBidi"/>
          <w:b/>
          <w:bCs/>
          <w:color w:val="auto"/>
          <w:sz w:val="28"/>
          <w:szCs w:val="28"/>
        </w:rPr>
      </w:pPr>
      <w:r w:rsidRPr="00A406AF">
        <w:rPr>
          <w:rFonts w:asciiTheme="majorBidi" w:eastAsia="Times New Roman" w:hAnsiTheme="majorBidi"/>
          <w:b/>
          <w:bCs/>
          <w:color w:val="auto"/>
          <w:sz w:val="28"/>
          <w:szCs w:val="28"/>
        </w:rPr>
        <w:lastRenderedPageBreak/>
        <w:t>1. Introduction</w:t>
      </w:r>
    </w:p>
    <w:p w14:paraId="497658A0" w14:textId="77777777" w:rsidR="00806950" w:rsidRPr="00806950" w:rsidRDefault="00806950" w:rsidP="00806950">
      <w:pPr>
        <w:pStyle w:val="Heading2"/>
        <w:bidi w:val="0"/>
        <w:jc w:val="both"/>
        <w:divId w:val="2063820962"/>
        <w:rPr>
          <w:rFonts w:asciiTheme="majorBidi" w:eastAsiaTheme="minorEastAsia" w:hAnsiTheme="majorBidi"/>
          <w:color w:val="auto"/>
          <w:kern w:val="0"/>
          <w:sz w:val="24"/>
          <w:szCs w:val="24"/>
          <w14:ligatures w14:val="none"/>
        </w:rPr>
      </w:pPr>
      <w:r w:rsidRPr="00806950">
        <w:rPr>
          <w:rFonts w:asciiTheme="majorBidi" w:eastAsiaTheme="minorEastAsia" w:hAnsiTheme="majorBidi"/>
          <w:color w:val="auto"/>
          <w:kern w:val="0"/>
          <w:sz w:val="24"/>
          <w:szCs w:val="24"/>
          <w14:ligatures w14:val="none"/>
        </w:rPr>
        <w:t>Contemporary monetary policy faces a number of challenges, with the intersection of climate change and stability emerging as one of the most significant. As the European Union strives to achieve its ambitious climate neutrality goals under the European Green Deal, the banking sector finds itself at the heart of a radical transformation that goes far beyond traditional risk management. In the pursuit of a low-carbon economy, new risk categories are emerging that pose a new challenge to traditional monetary policy transmission mechanisms and require modern and sophisticated analytical approaches to assess their systemic impacts. Climate-related financial risks, particularly transition risks arising from pronounced changes in policy, technology, and shifts in market preferences, have gained significant prominence in central bank discourse following the distinguished work of the Bank for International Settlements and the Green Financial System Network. These include credit risks in carbon-intensive sectors, market volatility caused by climate change, and operational risks associated with stranded assets. The European Central Bank's focus on climate considerations in 2021 marked a turning point. It focused on institutional recognition of climate factors as fundamental determinants of financial and price stability</w:t>
      </w:r>
      <w:r w:rsidRPr="00806950">
        <w:rPr>
          <w:rFonts w:asciiTheme="majorBidi" w:eastAsiaTheme="minorEastAsia" w:hAnsiTheme="majorBidi" w:cs="Times New Roman"/>
          <w:color w:val="auto"/>
          <w:kern w:val="0"/>
          <w:sz w:val="24"/>
          <w:szCs w:val="24"/>
          <w:rtl/>
          <w14:ligatures w14:val="none"/>
        </w:rPr>
        <w:t>.</w:t>
      </w:r>
    </w:p>
    <w:p w14:paraId="335A8A9A" w14:textId="77777777" w:rsidR="00806950" w:rsidRDefault="00806950" w:rsidP="00806950">
      <w:pPr>
        <w:pStyle w:val="Heading2"/>
        <w:bidi w:val="0"/>
        <w:jc w:val="both"/>
        <w:divId w:val="2063820962"/>
        <w:rPr>
          <w:rFonts w:asciiTheme="majorBidi" w:eastAsiaTheme="minorEastAsia" w:hAnsiTheme="majorBidi"/>
          <w:color w:val="auto"/>
          <w:kern w:val="0"/>
          <w:sz w:val="24"/>
          <w:szCs w:val="24"/>
          <w14:ligatures w14:val="none"/>
        </w:rPr>
      </w:pPr>
      <w:r w:rsidRPr="00806950">
        <w:rPr>
          <w:rFonts w:asciiTheme="majorBidi" w:eastAsiaTheme="minorEastAsia" w:hAnsiTheme="majorBidi"/>
          <w:color w:val="auto"/>
          <w:kern w:val="0"/>
          <w:sz w:val="24"/>
          <w:szCs w:val="24"/>
          <w14:ligatures w14:val="none"/>
        </w:rPr>
        <w:t>The transition risks to the European banking sector reflect the region's industrial composition and the interconnectedness of climate policies across member states. Banks are directly exposed, through their loans, to carbon-intensive corporate sectors, including fossil fuel extractors, steel producers, and traditional automobile manufacturers. Indirect risks are embodied through complex supply chain linkages, reliance on collateral, and cross-sector spillovers, which contribute to the propagation of initial shocks throughout the financial system. Added to this is a time dimension, as transition risks evolve along non-linear paths dependent on the effects of policy announcement shocks, technological development timelines, and the speed of market adaptation</w:t>
      </w:r>
      <w:r w:rsidRPr="00806950">
        <w:rPr>
          <w:rFonts w:asciiTheme="majorBidi" w:eastAsiaTheme="minorEastAsia" w:hAnsiTheme="majorBidi" w:cs="Times New Roman"/>
          <w:color w:val="auto"/>
          <w:kern w:val="0"/>
          <w:sz w:val="24"/>
          <w:szCs w:val="24"/>
          <w:rtl/>
          <w14:ligatures w14:val="none"/>
        </w:rPr>
        <w:t>.</w:t>
      </w:r>
    </w:p>
    <w:p w14:paraId="579267A7" w14:textId="71F84014" w:rsidR="00806950" w:rsidRDefault="00806950" w:rsidP="00806950">
      <w:pPr>
        <w:pStyle w:val="Heading2"/>
        <w:bidi w:val="0"/>
        <w:jc w:val="both"/>
        <w:divId w:val="2063820962"/>
        <w:rPr>
          <w:rFonts w:asciiTheme="majorBidi" w:eastAsiaTheme="minorEastAsia" w:hAnsiTheme="majorBidi"/>
          <w:color w:val="auto"/>
          <w:kern w:val="0"/>
          <w:sz w:val="24"/>
          <w:szCs w:val="24"/>
          <w14:ligatures w14:val="none"/>
        </w:rPr>
      </w:pPr>
      <w:r w:rsidRPr="00806950">
        <w:rPr>
          <w:rFonts w:asciiTheme="majorBidi" w:eastAsiaTheme="minorEastAsia" w:hAnsiTheme="majorBidi"/>
          <w:color w:val="auto"/>
          <w:kern w:val="0"/>
          <w:sz w:val="24"/>
          <w:szCs w:val="24"/>
          <w14:ligatures w14:val="none"/>
        </w:rPr>
        <w:t>Empirical studies on the climate-finance nexus have grown tremendously. However, there remains a gap in understanding the quantitative links between environmental transition risks and banking sector stability. Most existing work is conceptual and qualitative in nature. Large-scale banking datasets have yet to be systematically analyzed empirically. Given the variability of climate risk transmission across banks' business models, geographies, and regulatory environments, any rigorous analysis must be able to account for the effects of macro trends, as well as institution-specific differences. The study fills this gap by providing a comprehensive empirical analysis of the potential impact of transition risks on the stability of the European banking sector over the period 2015–2023, amidst increasingly entrenched climate policies and increased market awareness of environmental risks. Our research is structured in three dimensions: the study then examines the channels through which climate policies can impact key indicators of the banking system and assesses the adequacy of current regulatory frameworks in addressing climate-related financial risks. The study constitutes an important contribution to the existing literature by developing new methodological approaches that expand the scope of traditional banking analysis to include the field of climate risk modeling, drawing on empirical evidence for policymaking and practical insights from financial institutions during the climate transition.</w:t>
      </w:r>
    </w:p>
    <w:p w14:paraId="48591DDD" w14:textId="5C50DD90" w:rsidR="00F971B9" w:rsidRPr="00A406AF" w:rsidRDefault="00F971B9" w:rsidP="00806950">
      <w:pPr>
        <w:pStyle w:val="Heading2"/>
        <w:bidi w:val="0"/>
        <w:jc w:val="both"/>
        <w:divId w:val="2063820962"/>
        <w:rPr>
          <w:rFonts w:asciiTheme="majorBidi" w:eastAsia="Times New Roman" w:hAnsiTheme="majorBidi"/>
          <w:b/>
          <w:bCs/>
          <w:color w:val="auto"/>
          <w:sz w:val="28"/>
          <w:szCs w:val="28"/>
        </w:rPr>
      </w:pPr>
      <w:r w:rsidRPr="00A406AF">
        <w:rPr>
          <w:rFonts w:asciiTheme="majorBidi" w:eastAsia="Times New Roman" w:hAnsiTheme="majorBidi"/>
          <w:b/>
          <w:bCs/>
          <w:color w:val="auto"/>
          <w:sz w:val="28"/>
          <w:szCs w:val="28"/>
        </w:rPr>
        <w:t>2. Literature Review</w:t>
      </w:r>
    </w:p>
    <w:p w14:paraId="1DDB72E4"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theoretical foundation for analyzing climate-related financial risks in banking stems from the broader risk management literature, with seminal contributions from Markowitz portfolio theory and subsequent developments in systemic risk analysis. Early recognition of environmental factors in financial decision-making can be traced to the socially responsible investing movement of the 1970s, though systematic integration into mainstream banking analysis emerged only in the past decade following increased awareness of climate change implications for economic systems.</w:t>
      </w:r>
    </w:p>
    <w:p w14:paraId="4E2F6BA9" w14:textId="77777777" w:rsidR="0096121F" w:rsidRPr="0096121F" w:rsidRDefault="0096121F" w:rsidP="0096121F">
      <w:pPr>
        <w:pStyle w:val="NormalWeb"/>
        <w:jc w:val="both"/>
        <w:divId w:val="2063820962"/>
        <w:rPr>
          <w:rFonts w:asciiTheme="majorBidi" w:hAnsiTheme="majorBidi" w:cstheme="majorBidi"/>
        </w:rPr>
      </w:pPr>
      <w:r w:rsidRPr="0096121F">
        <w:rPr>
          <w:rFonts w:asciiTheme="majorBidi" w:hAnsiTheme="majorBidi" w:cstheme="majorBidi"/>
        </w:rPr>
        <w:lastRenderedPageBreak/>
        <w:t xml:space="preserve">The concept of transition risk was first formally defined by the Taskforce on Climate-related Financial Disclosures in 2017 as the risks arising from the transition to a low-carbon economy, encompassing political and legal risks, technology risks, market risks, and reputational risks. Battiston et al. (2017) pioneered climate stress testing methodologies, demonstrating how vulnerability within financial portfolios arises through exposure to carbon intensity. This methodology applied network analysis and revealed significant interconnections between climate risk and financial stability, laying a theoretical foundation for the development of frameworks for systematic risk assessments. Significant progress has been made in this area in central banking research, where systematic models derived from the Bank of England's pioneering climate stress testing experiments have been applied to other jurisdictions. Another outcome of integrating climate scenarios into macroeconomic models is the comprehensive framework developed by Vermeulen et al. (2018), which has been extended to include private banking applications by </w:t>
      </w:r>
      <w:proofErr w:type="spellStart"/>
      <w:r w:rsidRPr="0096121F">
        <w:rPr>
          <w:rFonts w:asciiTheme="majorBidi" w:hAnsiTheme="majorBidi" w:cstheme="majorBidi"/>
        </w:rPr>
        <w:t>Roncoroni</w:t>
      </w:r>
      <w:proofErr w:type="spellEnd"/>
      <w:r w:rsidRPr="0096121F">
        <w:rPr>
          <w:rFonts w:asciiTheme="majorBidi" w:hAnsiTheme="majorBidi" w:cstheme="majorBidi"/>
        </w:rPr>
        <w:t xml:space="preserve"> et al. (2021). The European Central Bank's research program has produced important studies on the mechanisms of the transition to green monetary policy. For example, Lin (2021) explicitly called for climate factors to be taken into account in monetary policy implementation.</w:t>
      </w:r>
    </w:p>
    <w:p w14:paraId="0C41FFE0" w14:textId="77777777" w:rsidR="0096121F" w:rsidRPr="0096121F" w:rsidRDefault="0096121F" w:rsidP="0096121F">
      <w:pPr>
        <w:pStyle w:val="NormalWeb"/>
        <w:jc w:val="both"/>
        <w:divId w:val="2063820962"/>
        <w:rPr>
          <w:rFonts w:asciiTheme="majorBidi" w:hAnsiTheme="majorBidi" w:cstheme="majorBidi"/>
        </w:rPr>
      </w:pPr>
      <w:r w:rsidRPr="0096121F">
        <w:rPr>
          <w:rFonts w:asciiTheme="majorBidi" w:hAnsiTheme="majorBidi" w:cstheme="majorBidi"/>
        </w:rPr>
        <w:t xml:space="preserve">The role of monetary policy in transferring climate risk has attracted significant attention, both theoretically and empirically. Schnabel (2021) pointed to the need for central banks to consider climate issues when undertaking asset purchase programs and developing collateral plans, with a clear separation between monetary policy objectives and fiscal policy instruments. Empirical studies by </w:t>
      </w:r>
      <w:proofErr w:type="spellStart"/>
      <w:r w:rsidRPr="0096121F">
        <w:rPr>
          <w:rFonts w:asciiTheme="majorBidi" w:hAnsiTheme="majorBidi" w:cstheme="majorBidi"/>
        </w:rPr>
        <w:t>Papazzo</w:t>
      </w:r>
      <w:proofErr w:type="spellEnd"/>
      <w:r w:rsidRPr="0096121F">
        <w:rPr>
          <w:rFonts w:asciiTheme="majorBidi" w:hAnsiTheme="majorBidi" w:cstheme="majorBidi"/>
        </w:rPr>
        <w:t xml:space="preserve"> et al. (2022) reviewed the European Central Bank's corporate equity purchase program and found evidence of "green" effects, demonstrating that monetary policy can influence how climate-related investments are allocated.</w:t>
      </w:r>
    </w:p>
    <w:p w14:paraId="5B01E0CE" w14:textId="77777777" w:rsidR="0096121F" w:rsidRPr="0096121F" w:rsidRDefault="0096121F" w:rsidP="0096121F">
      <w:pPr>
        <w:pStyle w:val="NormalWeb"/>
        <w:jc w:val="both"/>
        <w:divId w:val="2063820962"/>
        <w:rPr>
          <w:rFonts w:asciiTheme="majorBidi" w:hAnsiTheme="majorBidi" w:cstheme="majorBidi"/>
        </w:rPr>
      </w:pPr>
      <w:r w:rsidRPr="0096121F">
        <w:rPr>
          <w:rFonts w:asciiTheme="majorBidi" w:hAnsiTheme="majorBidi" w:cstheme="majorBidi"/>
        </w:rPr>
        <w:t xml:space="preserve">Empirical studies on climate risk in the banking sector have yielded somewhat divergent, though increasingly convergent, results. For example, an analysis by Capasso et al. (2020) of data from Italian banks revealed significant correlations between the stringency of environmental policies and credit risk in carbon-intensive sectors. Specifically, their results indicate that banks with greater exposure to fossil fuels experienced a deterioration in asset quality following climate policy announcements. This effect varies across bank sizes and the degree of business model specialization. Relatively similar findings emerged from </w:t>
      </w:r>
      <w:proofErr w:type="spellStart"/>
      <w:r w:rsidRPr="0096121F">
        <w:rPr>
          <w:rFonts w:asciiTheme="majorBidi" w:hAnsiTheme="majorBidi" w:cstheme="majorBidi"/>
        </w:rPr>
        <w:t>Dafermos</w:t>
      </w:r>
      <w:proofErr w:type="spellEnd"/>
      <w:r w:rsidRPr="0096121F">
        <w:rPr>
          <w:rFonts w:asciiTheme="majorBidi" w:hAnsiTheme="majorBidi" w:cstheme="majorBidi"/>
        </w:rPr>
        <w:t xml:space="preserve"> et al. (2021), who assessed the resilience of European banks under climate transition scenarios and concluded that rapid decarbonization pathways can generate significant instability within financial sectors if not accompanied by appropriate policy coordination.</w:t>
      </w:r>
    </w:p>
    <w:p w14:paraId="721A3405" w14:textId="77777777" w:rsidR="0096121F" w:rsidRPr="0096121F" w:rsidRDefault="0096121F" w:rsidP="0096121F">
      <w:pPr>
        <w:pStyle w:val="NormalWeb"/>
        <w:jc w:val="both"/>
        <w:divId w:val="2063820962"/>
        <w:rPr>
          <w:rFonts w:asciiTheme="majorBidi" w:hAnsiTheme="majorBidi" w:cstheme="majorBidi"/>
        </w:rPr>
      </w:pPr>
      <w:r w:rsidRPr="0096121F">
        <w:rPr>
          <w:rFonts w:asciiTheme="majorBidi" w:hAnsiTheme="majorBidi" w:cstheme="majorBidi"/>
        </w:rPr>
        <w:t>Regional studies emphasize the heterogeneous nature of climate risks across European banking markets. In the Nordic countries, where carbon pricing mechanisms and green finance frameworks were among the first to be adopted, natural experiments on the effects of transition risks are emerging. Andersson et al. (2021) observed the responses of Swedish banks to carbon tax implementations, revealing significant portfolio reallocation effects. Banks reduced their exposure to carbon-intensive sectors and increased green lending activities. Other evidence from banking systems in Central and Eastern Europe reveals different patterns. Kowalski et al. (2022) found that banks in coal-dependent economies face higher transition risks but appear much slower to adapt. Machine learning applications have taken center stage. Studies by Chen et al. (2022) clearly indicate better predictive performance of neural network models in forecasting climate-related credit events compared to traditional regression methods.</w:t>
      </w:r>
    </w:p>
    <w:p w14:paraId="7E359EF8" w14:textId="724AA750" w:rsidR="00F971B9" w:rsidRPr="000E4A21" w:rsidRDefault="0096121F" w:rsidP="0096121F">
      <w:pPr>
        <w:pStyle w:val="NormalWeb"/>
        <w:jc w:val="both"/>
        <w:divId w:val="2063820962"/>
        <w:rPr>
          <w:rFonts w:asciiTheme="majorBidi" w:hAnsiTheme="majorBidi" w:cstheme="majorBidi"/>
        </w:rPr>
      </w:pPr>
      <w:r w:rsidRPr="0096121F">
        <w:rPr>
          <w:rFonts w:asciiTheme="majorBidi" w:hAnsiTheme="majorBidi" w:cstheme="majorBidi"/>
        </w:rPr>
        <w:t xml:space="preserve">The literature on transition mode demonstrates how climate policies affect bank performance in multiple ways. Direct factors affect banks through changes in the credit risk of portfolios at risk, while indirect effects are across macroeconomic domains, such as GDP growth effects, inflation changes, and resource reallocation effects across sectors. Krogstrup and Oman (2019) developed theoretical models that demonstrate how carbon pricing leads to economy-wide changes that reinforce initial sectoral shocks, creating systemic effects on the stability of the financial </w:t>
      </w:r>
      <w:proofErr w:type="spellStart"/>
      <w:proofErr w:type="gramStart"/>
      <w:r w:rsidRPr="0096121F">
        <w:rPr>
          <w:rFonts w:asciiTheme="majorBidi" w:hAnsiTheme="majorBidi" w:cstheme="majorBidi"/>
        </w:rPr>
        <w:t>system.</w:t>
      </w:r>
      <w:r w:rsidR="00F971B9" w:rsidRPr="000E4A21">
        <w:rPr>
          <w:rFonts w:asciiTheme="majorBidi" w:hAnsiTheme="majorBidi" w:cstheme="majorBidi"/>
        </w:rPr>
        <w:t>The</w:t>
      </w:r>
      <w:proofErr w:type="spellEnd"/>
      <w:proofErr w:type="gramEnd"/>
      <w:r w:rsidR="00F971B9" w:rsidRPr="000E4A21">
        <w:rPr>
          <w:rFonts w:asciiTheme="majorBidi" w:hAnsiTheme="majorBidi" w:cstheme="majorBidi"/>
        </w:rPr>
        <w:t xml:space="preserve"> literature reveals several gaps that this study addresses. First, most existing research focuses on single-country analyses or short time periods, limiting generalizability of findings across European banking systems. Second, methodological approaches often rely on static analysis rather than dynamic modeling of evolving risk relationships. </w:t>
      </w:r>
      <w:r w:rsidR="00F971B9" w:rsidRPr="000E4A21">
        <w:rPr>
          <w:rFonts w:asciiTheme="majorBidi" w:hAnsiTheme="majorBidi" w:cstheme="majorBidi"/>
        </w:rPr>
        <w:lastRenderedPageBreak/>
        <w:t>Third, limited integration exists between climate risk assessment and broader monetary policy analysis, despite theoretical arguments for their interconnectedness. Our study contributes by providing comprehensive multi-country analysis over an extended time horizon, employing dynamic modeling techniques, and explicitly linking climate risks to monetary policy transmission mechanisms.</w:t>
      </w:r>
    </w:p>
    <w:p w14:paraId="6A2091CB" w14:textId="77777777" w:rsidR="00F971B9" w:rsidRPr="00A406AF" w:rsidRDefault="00F971B9" w:rsidP="00C0492C">
      <w:pPr>
        <w:pStyle w:val="Heading2"/>
        <w:bidi w:val="0"/>
        <w:jc w:val="both"/>
        <w:divId w:val="2063820962"/>
        <w:rPr>
          <w:rFonts w:asciiTheme="majorBidi" w:eastAsia="Times New Roman" w:hAnsiTheme="majorBidi"/>
          <w:b/>
          <w:bCs/>
          <w:color w:val="auto"/>
          <w:sz w:val="28"/>
          <w:szCs w:val="28"/>
        </w:rPr>
      </w:pPr>
      <w:r w:rsidRPr="00A406AF">
        <w:rPr>
          <w:rFonts w:asciiTheme="majorBidi" w:eastAsia="Times New Roman" w:hAnsiTheme="majorBidi"/>
          <w:b/>
          <w:bCs/>
          <w:color w:val="auto"/>
          <w:sz w:val="28"/>
          <w:szCs w:val="28"/>
        </w:rPr>
        <w:t>3. Methodology</w:t>
      </w:r>
    </w:p>
    <w:p w14:paraId="7E8602C4"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This study employs a comprehensive multi-stage empirical approach to investigate the relationship between climate transition risks and European banking sector stability. Our methodology combines traditional econometric techniques with innovative climate risk modeling frameworks, designed to capture both direct and indirect transmission mechanisms through which environmental factors influence banking performance and monetary policy effectiveness.</w:t>
      </w:r>
    </w:p>
    <w:p w14:paraId="76251A3A" w14:textId="77777777" w:rsidR="00F971B9" w:rsidRPr="00A406AF" w:rsidRDefault="00F971B9" w:rsidP="00C0492C">
      <w:pPr>
        <w:pStyle w:val="Heading3"/>
        <w:bidi w:val="0"/>
        <w:jc w:val="both"/>
        <w:divId w:val="2063820962"/>
        <w:rPr>
          <w:rFonts w:asciiTheme="majorBidi" w:eastAsia="Times New Roman" w:hAnsiTheme="majorBidi"/>
          <w:b/>
          <w:bCs/>
          <w:color w:val="auto"/>
          <w:sz w:val="24"/>
          <w:szCs w:val="24"/>
        </w:rPr>
      </w:pPr>
      <w:r w:rsidRPr="00A406AF">
        <w:rPr>
          <w:rFonts w:asciiTheme="majorBidi" w:eastAsia="Times New Roman" w:hAnsiTheme="majorBidi"/>
          <w:b/>
          <w:bCs/>
          <w:color w:val="auto"/>
          <w:sz w:val="24"/>
          <w:szCs w:val="24"/>
        </w:rPr>
        <w:t>3.1 Data Collection and Sample Construction</w:t>
      </w:r>
    </w:p>
    <w:p w14:paraId="086C1B09"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primary dataset encompasses 150 major European banks across 19 European Union member states, covering the period from 2015 to 2023. Bank selection criteria include: (1) total assets exceeding €10 billion, (2) continuous operation throughout the sample period, and (3) availability of comprehensive financial and environmental disclosure data. The sample represents approximately 75% of total European banking sector assets and includes commercial banks, savings banks, and cooperative banks to ensure sectoral representativeness.</w:t>
      </w:r>
    </w:p>
    <w:p w14:paraId="3655D467"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Financial data were collected from SNL Financial, Orbis Bank Focus, and individual bank annual reports, encompassing key performance indicators including return on equity (ROE), return on assets (ROA), net interest margins (NIM), cost-to-income ratios, non-performing loan ratios, and regulatory capital ratios. Environmental exposure data were constructed through multiple sources: banks' own climate-related financial disclosures following TCFD recommendations, carbon intensity calculations based on loan portfolio sectoral composition, and third-party environmental rating agencies including CDP and Sustainalytics.</w:t>
      </w:r>
    </w:p>
    <w:p w14:paraId="15C24CBC"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Climate policy variables were compiled from multiple institutional sources including the European Environment Agency, OECD environmental policy database, and national regulatory authorities. Key indicators include carbon price levels, renewable energy targets, energy efficiency standards, and regulatory announcement dates for major climate policy initiatives. Macroeconomic control variables were obtained from Eurostat, European Central Bank statistical data warehouse, and national statistical offices.</w:t>
      </w:r>
    </w:p>
    <w:p w14:paraId="5A068F8D" w14:textId="77777777" w:rsidR="00F971B9" w:rsidRPr="00A406AF" w:rsidRDefault="00F971B9" w:rsidP="00C0492C">
      <w:pPr>
        <w:pStyle w:val="Heading3"/>
        <w:bidi w:val="0"/>
        <w:jc w:val="both"/>
        <w:divId w:val="2063820962"/>
        <w:rPr>
          <w:rFonts w:asciiTheme="majorBidi" w:eastAsia="Times New Roman" w:hAnsiTheme="majorBidi"/>
          <w:b/>
          <w:bCs/>
          <w:color w:val="auto"/>
          <w:sz w:val="24"/>
          <w:szCs w:val="24"/>
        </w:rPr>
      </w:pPr>
      <w:r w:rsidRPr="00A406AF">
        <w:rPr>
          <w:rFonts w:asciiTheme="majorBidi" w:eastAsia="Times New Roman" w:hAnsiTheme="majorBidi"/>
          <w:b/>
          <w:bCs/>
          <w:color w:val="auto"/>
          <w:sz w:val="24"/>
          <w:szCs w:val="24"/>
        </w:rPr>
        <w:t>3.2 Climate Risk Measurement Framework</w:t>
      </w:r>
    </w:p>
    <w:p w14:paraId="48BE0A76"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We develop a comprehensive climate transition risk index (CTRI) that quantifies banks' vulnerability to environmental policy changes. The index incorporates four main components: (1) sectoral exposure intensity, measured as the proportion of lending to carbon-intensive industries weighted by sector-specific emission factors; (2) geographical concentration risk, reflecting the heterogeneous implementation of climate policies across European regions; (3) maturity mismatch indicators, capturing the temporal dimension of transition risk as longer-term assets face higher stranded asset probability; and (4) adaptation capacity measures, including banks' green finance capabilities and climate risk management sophistication.</w:t>
      </w:r>
    </w:p>
    <w:p w14:paraId="3DA41C78"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The CTRI is constructed using principal component analysis to aggregate multiple risk indicators while preserving interpretability. The first principal component explains 68.4% of variance across constituent variables, providing robust aggregation of complex multidimensional risk exposures. Individual bank </w:t>
      </w:r>
      <w:r w:rsidRPr="000E4A21">
        <w:rPr>
          <w:rFonts w:asciiTheme="majorBidi" w:hAnsiTheme="majorBidi" w:cstheme="majorBidi"/>
        </w:rPr>
        <w:lastRenderedPageBreak/>
        <w:t>CTRI scores range from 0 (minimal transition risk exposure) to 100 (maximum vulnerability), with quarterly updates throughout the sample period to capture evolving risk profiles.</w:t>
      </w:r>
    </w:p>
    <w:p w14:paraId="5BE50BFF" w14:textId="77777777" w:rsidR="00F971B9" w:rsidRPr="00A406AF" w:rsidRDefault="00F971B9" w:rsidP="00C0492C">
      <w:pPr>
        <w:pStyle w:val="Heading3"/>
        <w:bidi w:val="0"/>
        <w:jc w:val="both"/>
        <w:divId w:val="2063820962"/>
        <w:rPr>
          <w:rFonts w:asciiTheme="majorBidi" w:eastAsia="Times New Roman" w:hAnsiTheme="majorBidi"/>
          <w:b/>
          <w:bCs/>
          <w:color w:val="auto"/>
          <w:sz w:val="24"/>
          <w:szCs w:val="24"/>
        </w:rPr>
      </w:pPr>
      <w:r w:rsidRPr="00A406AF">
        <w:rPr>
          <w:rFonts w:asciiTheme="majorBidi" w:eastAsia="Times New Roman" w:hAnsiTheme="majorBidi"/>
          <w:b/>
          <w:bCs/>
          <w:color w:val="auto"/>
          <w:sz w:val="24"/>
          <w:szCs w:val="24"/>
        </w:rPr>
        <w:t>3.3 Econometric Modeling Strategy</w:t>
      </w:r>
    </w:p>
    <w:p w14:paraId="7D0A1EC2"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Our empirical analysis employs a three-stage approach designed to address potential endogeneity concerns and capture dynamic relationships between climate risks and banking stability.</w:t>
      </w:r>
    </w:p>
    <w:p w14:paraId="084AF29D" w14:textId="77777777" w:rsidR="00F971B9" w:rsidRPr="000E4A21" w:rsidRDefault="00F971B9" w:rsidP="00C0492C">
      <w:pPr>
        <w:pStyle w:val="NormalWeb"/>
        <w:jc w:val="both"/>
        <w:divId w:val="2063820962"/>
        <w:rPr>
          <w:rFonts w:asciiTheme="majorBidi" w:hAnsiTheme="majorBidi" w:cstheme="majorBidi"/>
        </w:rPr>
      </w:pPr>
      <w:r w:rsidRPr="000E4A21">
        <w:rPr>
          <w:rStyle w:val="Strong"/>
          <w:rFonts w:asciiTheme="majorBidi" w:hAnsiTheme="majorBidi" w:cstheme="majorBidi"/>
        </w:rPr>
        <w:t>Stage 1: Panel Vector Autoregression (PVAR) Analysis</w:t>
      </w:r>
      <w:r w:rsidRPr="000E4A21">
        <w:rPr>
          <w:rFonts w:asciiTheme="majorBidi" w:hAnsiTheme="majorBidi" w:cstheme="majorBidi"/>
        </w:rPr>
        <w:t xml:space="preserve"> We estimate PVAR models to examine bidirectional relationships between climate transition risks and banking performance indicators. The baseline specification includes bank-specific performance variables, climate risk measures, macroeconomic controls, and monetary policy indicators. The model allows for heterogeneous responses across banks while maintaining sufficient degrees of freedom for robust estimation.</w:t>
      </w:r>
    </w:p>
    <w:p w14:paraId="3E4A275C" w14:textId="77777777" w:rsidR="00F971B9" w:rsidRPr="000E4A21" w:rsidRDefault="00F971B9" w:rsidP="00C0492C">
      <w:pPr>
        <w:pStyle w:val="NormalWeb"/>
        <w:jc w:val="both"/>
        <w:divId w:val="2063820962"/>
        <w:rPr>
          <w:rFonts w:asciiTheme="majorBidi" w:hAnsiTheme="majorBidi" w:cstheme="majorBidi"/>
        </w:rPr>
      </w:pPr>
      <w:r w:rsidRPr="000E4A21">
        <w:rPr>
          <w:rStyle w:val="Strong"/>
          <w:rFonts w:asciiTheme="majorBidi" w:hAnsiTheme="majorBidi" w:cstheme="majorBidi"/>
        </w:rPr>
        <w:t>Stage 2: Instrumental Variable Estimation</w:t>
      </w:r>
      <w:r w:rsidRPr="000E4A21">
        <w:rPr>
          <w:rFonts w:asciiTheme="majorBidi" w:hAnsiTheme="majorBidi" w:cstheme="majorBidi"/>
        </w:rPr>
        <w:t xml:space="preserve"> To address potential endogeneity between climate risk exposure and banking performance, we employ instrumental variable techniques using external climate policy shocks as instruments. Our identification strategy exploits exogenous variation in climate policy implementation timing across European countries, providing causal identification of transition risk effects.</w:t>
      </w:r>
    </w:p>
    <w:p w14:paraId="3DD4C259" w14:textId="77777777" w:rsidR="00F971B9" w:rsidRPr="000E4A21" w:rsidRDefault="00F971B9" w:rsidP="00C0492C">
      <w:pPr>
        <w:pStyle w:val="NormalWeb"/>
        <w:jc w:val="both"/>
        <w:divId w:val="2063820962"/>
        <w:rPr>
          <w:rFonts w:asciiTheme="majorBidi" w:hAnsiTheme="majorBidi" w:cstheme="majorBidi"/>
        </w:rPr>
      </w:pPr>
      <w:r w:rsidRPr="000E4A21">
        <w:rPr>
          <w:rStyle w:val="Strong"/>
          <w:rFonts w:asciiTheme="majorBidi" w:hAnsiTheme="majorBidi" w:cstheme="majorBidi"/>
        </w:rPr>
        <w:t>Stage 3: Machine Learning Augmented Analysis</w:t>
      </w:r>
      <w:r w:rsidRPr="000E4A21">
        <w:rPr>
          <w:rFonts w:asciiTheme="majorBidi" w:hAnsiTheme="majorBidi" w:cstheme="majorBidi"/>
        </w:rPr>
        <w:t xml:space="preserve"> We complement traditional econometric approaches with machine learning techniques including random forest algorithms and neural network models to capture potential non-linear relationships and interaction effects that may be missed by linear specifications. This approach is particularly valuable for modeling complex transmission mechanisms and identifying threshold effects in climate risk transmission.</w:t>
      </w:r>
    </w:p>
    <w:p w14:paraId="2630A694" w14:textId="77777777" w:rsidR="00F971B9" w:rsidRPr="00A406AF" w:rsidRDefault="00F971B9" w:rsidP="00C0492C">
      <w:pPr>
        <w:pStyle w:val="Heading3"/>
        <w:bidi w:val="0"/>
        <w:jc w:val="both"/>
        <w:divId w:val="2063820962"/>
        <w:rPr>
          <w:rFonts w:asciiTheme="majorBidi" w:eastAsia="Times New Roman" w:hAnsiTheme="majorBidi"/>
          <w:b/>
          <w:bCs/>
          <w:color w:val="auto"/>
          <w:sz w:val="24"/>
          <w:szCs w:val="24"/>
        </w:rPr>
      </w:pPr>
      <w:r w:rsidRPr="00A406AF">
        <w:rPr>
          <w:rFonts w:asciiTheme="majorBidi" w:eastAsia="Times New Roman" w:hAnsiTheme="majorBidi"/>
          <w:b/>
          <w:bCs/>
          <w:color w:val="auto"/>
          <w:sz w:val="24"/>
          <w:szCs w:val="24"/>
        </w:rPr>
        <w:lastRenderedPageBreak/>
        <w:t>3.4 Stress Testing Framework</w:t>
      </w:r>
    </w:p>
    <w:p w14:paraId="15690DDA" w14:textId="77777777" w:rsidR="0096121F" w:rsidRDefault="0096121F" w:rsidP="00C0492C">
      <w:pPr>
        <w:pStyle w:val="Heading3"/>
        <w:bidi w:val="0"/>
        <w:jc w:val="both"/>
        <w:divId w:val="2063820962"/>
        <w:rPr>
          <w:rFonts w:asciiTheme="majorBidi" w:eastAsiaTheme="minorEastAsia" w:hAnsiTheme="majorBidi"/>
          <w:color w:val="auto"/>
          <w:kern w:val="0"/>
          <w:sz w:val="24"/>
          <w:szCs w:val="24"/>
          <w14:ligatures w14:val="none"/>
        </w:rPr>
      </w:pPr>
      <w:r w:rsidRPr="0096121F">
        <w:rPr>
          <w:rFonts w:asciiTheme="majorBidi" w:eastAsiaTheme="minorEastAsia" w:hAnsiTheme="majorBidi"/>
          <w:color w:val="auto"/>
          <w:kern w:val="0"/>
          <w:sz w:val="24"/>
          <w:szCs w:val="24"/>
          <w14:ligatures w14:val="none"/>
        </w:rPr>
        <w:t xml:space="preserve">The study includes future stress-test scenarios based on established climate models from the Intergovernmental Panel on Climate Change (IPCC) and the European Central Bank's climate-related stress-testing guidance. Three main scenarios are examined: </w:t>
      </w:r>
    </w:p>
    <w:p w14:paraId="3543DF40" w14:textId="7A4510D9" w:rsidR="0096121F" w:rsidRDefault="0096121F" w:rsidP="0096121F">
      <w:pPr>
        <w:pStyle w:val="Heading3"/>
        <w:bidi w:val="0"/>
        <w:jc w:val="both"/>
        <w:divId w:val="2063820962"/>
        <w:rPr>
          <w:rFonts w:asciiTheme="majorBidi" w:eastAsia="Times New Roman" w:hAnsiTheme="majorBidi"/>
          <w:color w:val="auto"/>
        </w:rPr>
      </w:pPr>
      <w:r w:rsidRPr="0096121F">
        <w:rPr>
          <w:rFonts w:asciiTheme="majorBidi" w:eastAsiaTheme="minorEastAsia" w:hAnsiTheme="majorBidi"/>
          <w:color w:val="auto"/>
          <w:kern w:val="0"/>
          <w:sz w:val="24"/>
          <w:szCs w:val="24"/>
          <w14:ligatures w14:val="none"/>
        </w:rPr>
        <w:t>(1) Orderly Transition, characterized by early and gradual policy implementation; (2) Irregular Transition, involving abrupt and delayed policy changes; and (3) Hot World, reflecting insufficient climate action leading to significant risks. Each scenario is transformed into bank-specific shock parameters using sectoral impact models that account for varying impacts across sectors, time zones, and geographies. The stress-test results provide quantitative estimates of potential capital shortfalls under different climate transition trajectories, helping to assess the banking sector's resilience to environmental risks.</w:t>
      </w:r>
    </w:p>
    <w:p w14:paraId="4E07E4BA" w14:textId="07D870B9" w:rsidR="00F971B9" w:rsidRPr="00A406AF" w:rsidRDefault="00F971B9" w:rsidP="0096121F">
      <w:pPr>
        <w:pStyle w:val="Heading3"/>
        <w:bidi w:val="0"/>
        <w:jc w:val="both"/>
        <w:divId w:val="2063820962"/>
        <w:rPr>
          <w:rFonts w:asciiTheme="majorBidi" w:eastAsia="Times New Roman" w:hAnsiTheme="majorBidi"/>
          <w:b/>
          <w:bCs/>
          <w:color w:val="auto"/>
          <w:sz w:val="24"/>
          <w:szCs w:val="24"/>
        </w:rPr>
      </w:pPr>
      <w:r w:rsidRPr="00A406AF">
        <w:rPr>
          <w:rFonts w:asciiTheme="majorBidi" w:eastAsia="Times New Roman" w:hAnsiTheme="majorBidi"/>
          <w:b/>
          <w:bCs/>
          <w:color w:val="auto"/>
          <w:sz w:val="24"/>
          <w:szCs w:val="24"/>
        </w:rPr>
        <w:t>3.5 Robustness Checks and Sensitivity Analysis</w:t>
      </w:r>
    </w:p>
    <w:p w14:paraId="2E77425E" w14:textId="77777777" w:rsidR="0096121F" w:rsidRDefault="0096121F" w:rsidP="00C0492C">
      <w:pPr>
        <w:pStyle w:val="Heading2"/>
        <w:bidi w:val="0"/>
        <w:jc w:val="both"/>
        <w:divId w:val="2063820962"/>
        <w:rPr>
          <w:rFonts w:asciiTheme="majorBidi" w:eastAsia="Times New Roman" w:hAnsiTheme="majorBidi"/>
          <w:b/>
          <w:bCs/>
          <w:color w:val="auto"/>
        </w:rPr>
      </w:pPr>
      <w:r w:rsidRPr="0096121F">
        <w:rPr>
          <w:rFonts w:asciiTheme="majorBidi" w:eastAsiaTheme="minorEastAsia" w:hAnsiTheme="majorBidi"/>
          <w:color w:val="auto"/>
          <w:kern w:val="0"/>
          <w:sz w:val="24"/>
          <w:szCs w:val="24"/>
          <w14:ligatures w14:val="none"/>
        </w:rPr>
        <w:t>The empirical analysis includes comprehensive robustness tests to ensure the reliability of the results. Alternative measures of climate risk are constructed using weighting systems and diverse data sources. The robustness of the study sample is tested using jackknife procedures and criteria for identifying alternative banks. The stability of the data is examined through rolling window calculations and structure-break tests. In addition, we conduct detailed sensitivity analyses of key variables, including the discount rates used in the present value calculation, carbon price forecasts, and policy implementation timelines.</w:t>
      </w:r>
    </w:p>
    <w:p w14:paraId="381D443B" w14:textId="3039E3FF" w:rsidR="00F971B9" w:rsidRPr="00A406AF" w:rsidRDefault="00F971B9" w:rsidP="0096121F">
      <w:pPr>
        <w:pStyle w:val="Heading2"/>
        <w:bidi w:val="0"/>
        <w:jc w:val="both"/>
        <w:divId w:val="2063820962"/>
        <w:rPr>
          <w:rFonts w:asciiTheme="majorBidi" w:eastAsia="Times New Roman" w:hAnsiTheme="majorBidi"/>
          <w:b/>
          <w:bCs/>
          <w:color w:val="auto"/>
          <w:sz w:val="28"/>
          <w:szCs w:val="28"/>
        </w:rPr>
      </w:pPr>
      <w:r w:rsidRPr="00A406AF">
        <w:rPr>
          <w:rFonts w:asciiTheme="majorBidi" w:eastAsia="Times New Roman" w:hAnsiTheme="majorBidi"/>
          <w:b/>
          <w:bCs/>
          <w:color w:val="auto"/>
          <w:sz w:val="28"/>
          <w:szCs w:val="28"/>
        </w:rPr>
        <w:t>4. Results and Analysis</w:t>
      </w:r>
    </w:p>
    <w:p w14:paraId="55CF5F21" w14:textId="77777777" w:rsidR="00F971B9" w:rsidRPr="00A406AF" w:rsidRDefault="00F971B9" w:rsidP="00C0492C">
      <w:pPr>
        <w:pStyle w:val="Heading3"/>
        <w:bidi w:val="0"/>
        <w:jc w:val="both"/>
        <w:divId w:val="2063820962"/>
        <w:rPr>
          <w:rFonts w:asciiTheme="majorBidi" w:eastAsia="Times New Roman" w:hAnsiTheme="majorBidi"/>
          <w:b/>
          <w:bCs/>
          <w:color w:val="auto"/>
          <w:sz w:val="24"/>
          <w:szCs w:val="24"/>
        </w:rPr>
      </w:pPr>
      <w:r w:rsidRPr="00A406AF">
        <w:rPr>
          <w:rFonts w:asciiTheme="majorBidi" w:eastAsia="Times New Roman" w:hAnsiTheme="majorBidi"/>
          <w:b/>
          <w:bCs/>
          <w:color w:val="auto"/>
          <w:sz w:val="24"/>
          <w:szCs w:val="24"/>
        </w:rPr>
        <w:t>4.1 Descriptive Statistics and Preliminary Analysis</w:t>
      </w:r>
    </w:p>
    <w:p w14:paraId="0F814AB6"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Table 1 presents comprehensive descriptive statistics for our sample of 150 European banks over the 2015-2023 period. The data reveal substantial heterogeneity in both financial performance indicators and climate transition risk exposure across institutions and time periods.</w:t>
      </w:r>
    </w:p>
    <w:p w14:paraId="6E1BD3CC" w14:textId="77777777" w:rsidR="00F971B9" w:rsidRPr="000E4A21" w:rsidRDefault="00F971B9" w:rsidP="002F0C16">
      <w:pPr>
        <w:pStyle w:val="NormalWeb"/>
        <w:jc w:val="center"/>
        <w:divId w:val="2063820962"/>
        <w:rPr>
          <w:rFonts w:asciiTheme="majorBidi" w:hAnsiTheme="majorBidi" w:cstheme="majorBidi"/>
        </w:rPr>
      </w:pPr>
      <w:r w:rsidRPr="000E4A21">
        <w:rPr>
          <w:rStyle w:val="Strong"/>
          <w:rFonts w:asciiTheme="majorBidi" w:hAnsiTheme="majorBidi" w:cstheme="majorBidi"/>
        </w:rPr>
        <w:t>Table 1: Descriptive Statistics (2015-2023)</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96"/>
        <w:gridCol w:w="667"/>
        <w:gridCol w:w="994"/>
        <w:gridCol w:w="700"/>
        <w:gridCol w:w="620"/>
        <w:gridCol w:w="1456"/>
      </w:tblGrid>
      <w:tr w:rsidR="000E4A21" w:rsidRPr="000E4A21" w14:paraId="209ED8E0" w14:textId="77777777" w:rsidTr="002F0C16">
        <w:trPr>
          <w:divId w:val="2063820962"/>
          <w:tblHeader/>
          <w:tblCellSpacing w:w="15" w:type="dxa"/>
          <w:jc w:val="center"/>
        </w:trPr>
        <w:tc>
          <w:tcPr>
            <w:tcW w:w="0" w:type="auto"/>
            <w:vAlign w:val="center"/>
            <w:hideMark/>
          </w:tcPr>
          <w:p w14:paraId="3C993557" w14:textId="77777777" w:rsidR="00F971B9" w:rsidRPr="000E4A21" w:rsidRDefault="00F971B9" w:rsidP="002F0C16">
            <w:pPr>
              <w:bidi w:val="0"/>
              <w:jc w:val="center"/>
              <w:rPr>
                <w:rFonts w:asciiTheme="majorBidi" w:eastAsia="Times New Roman" w:hAnsiTheme="majorBidi" w:cstheme="majorBidi"/>
                <w:b/>
                <w:bCs/>
              </w:rPr>
            </w:pPr>
            <w:r w:rsidRPr="000E4A21">
              <w:rPr>
                <w:rFonts w:asciiTheme="majorBidi" w:eastAsia="Times New Roman" w:hAnsiTheme="majorBidi" w:cstheme="majorBidi"/>
                <w:b/>
                <w:bCs/>
              </w:rPr>
              <w:t>Variable</w:t>
            </w:r>
          </w:p>
        </w:tc>
        <w:tc>
          <w:tcPr>
            <w:tcW w:w="0" w:type="auto"/>
            <w:vAlign w:val="center"/>
            <w:hideMark/>
          </w:tcPr>
          <w:p w14:paraId="5CA02A96" w14:textId="77777777" w:rsidR="00F971B9" w:rsidRPr="000E4A21" w:rsidRDefault="00F971B9" w:rsidP="002F0C16">
            <w:pPr>
              <w:bidi w:val="0"/>
              <w:jc w:val="center"/>
              <w:rPr>
                <w:rFonts w:asciiTheme="majorBidi" w:eastAsia="Times New Roman" w:hAnsiTheme="majorBidi" w:cstheme="majorBidi"/>
                <w:b/>
                <w:bCs/>
              </w:rPr>
            </w:pPr>
            <w:r w:rsidRPr="000E4A21">
              <w:rPr>
                <w:rFonts w:asciiTheme="majorBidi" w:eastAsia="Times New Roman" w:hAnsiTheme="majorBidi" w:cstheme="majorBidi"/>
                <w:b/>
                <w:bCs/>
              </w:rPr>
              <w:t>Mean</w:t>
            </w:r>
          </w:p>
        </w:tc>
        <w:tc>
          <w:tcPr>
            <w:tcW w:w="0" w:type="auto"/>
            <w:vAlign w:val="center"/>
            <w:hideMark/>
          </w:tcPr>
          <w:p w14:paraId="078EB07C" w14:textId="77777777" w:rsidR="00F971B9" w:rsidRPr="000E4A21" w:rsidRDefault="00F971B9" w:rsidP="002F0C16">
            <w:pPr>
              <w:bidi w:val="0"/>
              <w:jc w:val="center"/>
              <w:rPr>
                <w:rFonts w:asciiTheme="majorBidi" w:eastAsia="Times New Roman" w:hAnsiTheme="majorBidi" w:cstheme="majorBidi"/>
                <w:b/>
                <w:bCs/>
              </w:rPr>
            </w:pPr>
            <w:r w:rsidRPr="000E4A21">
              <w:rPr>
                <w:rFonts w:asciiTheme="majorBidi" w:eastAsia="Times New Roman" w:hAnsiTheme="majorBidi" w:cstheme="majorBidi"/>
                <w:b/>
                <w:bCs/>
              </w:rPr>
              <w:t>Std. Dev.</w:t>
            </w:r>
          </w:p>
        </w:tc>
        <w:tc>
          <w:tcPr>
            <w:tcW w:w="0" w:type="auto"/>
            <w:vAlign w:val="center"/>
            <w:hideMark/>
          </w:tcPr>
          <w:p w14:paraId="08153F6B" w14:textId="77777777" w:rsidR="00F971B9" w:rsidRPr="000E4A21" w:rsidRDefault="00F971B9" w:rsidP="002F0C16">
            <w:pPr>
              <w:bidi w:val="0"/>
              <w:jc w:val="center"/>
              <w:rPr>
                <w:rFonts w:asciiTheme="majorBidi" w:eastAsia="Times New Roman" w:hAnsiTheme="majorBidi" w:cstheme="majorBidi"/>
                <w:b/>
                <w:bCs/>
              </w:rPr>
            </w:pPr>
            <w:r w:rsidRPr="000E4A21">
              <w:rPr>
                <w:rFonts w:asciiTheme="majorBidi" w:eastAsia="Times New Roman" w:hAnsiTheme="majorBidi" w:cstheme="majorBidi"/>
                <w:b/>
                <w:bCs/>
              </w:rPr>
              <w:t>Min</w:t>
            </w:r>
          </w:p>
        </w:tc>
        <w:tc>
          <w:tcPr>
            <w:tcW w:w="0" w:type="auto"/>
            <w:vAlign w:val="center"/>
            <w:hideMark/>
          </w:tcPr>
          <w:p w14:paraId="322EB274" w14:textId="77777777" w:rsidR="00F971B9" w:rsidRPr="000E4A21" w:rsidRDefault="00F971B9" w:rsidP="002F0C16">
            <w:pPr>
              <w:bidi w:val="0"/>
              <w:jc w:val="center"/>
              <w:rPr>
                <w:rFonts w:asciiTheme="majorBidi" w:eastAsia="Times New Roman" w:hAnsiTheme="majorBidi" w:cstheme="majorBidi"/>
                <w:b/>
                <w:bCs/>
              </w:rPr>
            </w:pPr>
            <w:r w:rsidRPr="000E4A21">
              <w:rPr>
                <w:rFonts w:asciiTheme="majorBidi" w:eastAsia="Times New Roman" w:hAnsiTheme="majorBidi" w:cstheme="majorBidi"/>
                <w:b/>
                <w:bCs/>
              </w:rPr>
              <w:t>Max</w:t>
            </w:r>
          </w:p>
        </w:tc>
        <w:tc>
          <w:tcPr>
            <w:tcW w:w="0" w:type="auto"/>
            <w:vAlign w:val="center"/>
            <w:hideMark/>
          </w:tcPr>
          <w:p w14:paraId="4480EA07" w14:textId="77777777" w:rsidR="00F971B9" w:rsidRPr="000E4A21" w:rsidRDefault="00F971B9" w:rsidP="002F0C16">
            <w:pPr>
              <w:bidi w:val="0"/>
              <w:jc w:val="center"/>
              <w:rPr>
                <w:rFonts w:asciiTheme="majorBidi" w:eastAsia="Times New Roman" w:hAnsiTheme="majorBidi" w:cstheme="majorBidi"/>
                <w:b/>
                <w:bCs/>
              </w:rPr>
            </w:pPr>
            <w:r w:rsidRPr="000E4A21">
              <w:rPr>
                <w:rFonts w:asciiTheme="majorBidi" w:eastAsia="Times New Roman" w:hAnsiTheme="majorBidi" w:cstheme="majorBidi"/>
                <w:b/>
                <w:bCs/>
              </w:rPr>
              <w:t>Observations</w:t>
            </w:r>
          </w:p>
        </w:tc>
      </w:tr>
      <w:tr w:rsidR="000E4A21" w:rsidRPr="000E4A21" w14:paraId="4202A85D" w14:textId="77777777" w:rsidTr="002F0C16">
        <w:trPr>
          <w:divId w:val="2063820962"/>
          <w:tblCellSpacing w:w="15" w:type="dxa"/>
          <w:jc w:val="center"/>
        </w:trPr>
        <w:tc>
          <w:tcPr>
            <w:tcW w:w="0" w:type="auto"/>
            <w:vAlign w:val="center"/>
            <w:hideMark/>
          </w:tcPr>
          <w:p w14:paraId="08F2C40C"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Return on Equity (%)</w:t>
            </w:r>
          </w:p>
        </w:tc>
        <w:tc>
          <w:tcPr>
            <w:tcW w:w="0" w:type="auto"/>
            <w:vAlign w:val="center"/>
            <w:hideMark/>
          </w:tcPr>
          <w:p w14:paraId="6457BC73"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8.34</w:t>
            </w:r>
          </w:p>
        </w:tc>
        <w:tc>
          <w:tcPr>
            <w:tcW w:w="0" w:type="auto"/>
            <w:vAlign w:val="center"/>
            <w:hideMark/>
          </w:tcPr>
          <w:p w14:paraId="14E57B8B"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4.72</w:t>
            </w:r>
          </w:p>
        </w:tc>
        <w:tc>
          <w:tcPr>
            <w:tcW w:w="0" w:type="auto"/>
            <w:vAlign w:val="center"/>
            <w:hideMark/>
          </w:tcPr>
          <w:p w14:paraId="42C14F53"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-12.45</w:t>
            </w:r>
          </w:p>
        </w:tc>
        <w:tc>
          <w:tcPr>
            <w:tcW w:w="0" w:type="auto"/>
            <w:vAlign w:val="center"/>
            <w:hideMark/>
          </w:tcPr>
          <w:p w14:paraId="0D0CF61A"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18.92</w:t>
            </w:r>
          </w:p>
        </w:tc>
        <w:tc>
          <w:tcPr>
            <w:tcW w:w="0" w:type="auto"/>
            <w:vAlign w:val="center"/>
            <w:hideMark/>
          </w:tcPr>
          <w:p w14:paraId="4549F9D8"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4,800</w:t>
            </w:r>
          </w:p>
        </w:tc>
      </w:tr>
      <w:tr w:rsidR="000E4A21" w:rsidRPr="000E4A21" w14:paraId="12BA0855" w14:textId="77777777" w:rsidTr="002F0C16">
        <w:trPr>
          <w:divId w:val="2063820962"/>
          <w:tblCellSpacing w:w="15" w:type="dxa"/>
          <w:jc w:val="center"/>
        </w:trPr>
        <w:tc>
          <w:tcPr>
            <w:tcW w:w="0" w:type="auto"/>
            <w:vAlign w:val="center"/>
            <w:hideMark/>
          </w:tcPr>
          <w:p w14:paraId="7B01C9E7"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Return on Assets (%)</w:t>
            </w:r>
          </w:p>
        </w:tc>
        <w:tc>
          <w:tcPr>
            <w:tcW w:w="0" w:type="auto"/>
            <w:vAlign w:val="center"/>
            <w:hideMark/>
          </w:tcPr>
          <w:p w14:paraId="0EABA61F"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0.67</w:t>
            </w:r>
          </w:p>
        </w:tc>
        <w:tc>
          <w:tcPr>
            <w:tcW w:w="0" w:type="auto"/>
            <w:vAlign w:val="center"/>
            <w:hideMark/>
          </w:tcPr>
          <w:p w14:paraId="6A10A8D5"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0.43</w:t>
            </w:r>
          </w:p>
        </w:tc>
        <w:tc>
          <w:tcPr>
            <w:tcW w:w="0" w:type="auto"/>
            <w:vAlign w:val="center"/>
            <w:hideMark/>
          </w:tcPr>
          <w:p w14:paraId="1C29EEB7"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-1.23</w:t>
            </w:r>
          </w:p>
        </w:tc>
        <w:tc>
          <w:tcPr>
            <w:tcW w:w="0" w:type="auto"/>
            <w:vAlign w:val="center"/>
            <w:hideMark/>
          </w:tcPr>
          <w:p w14:paraId="0FB79536"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1.87</w:t>
            </w:r>
          </w:p>
        </w:tc>
        <w:tc>
          <w:tcPr>
            <w:tcW w:w="0" w:type="auto"/>
            <w:vAlign w:val="center"/>
            <w:hideMark/>
          </w:tcPr>
          <w:p w14:paraId="10E3EAF9"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4,800</w:t>
            </w:r>
          </w:p>
        </w:tc>
      </w:tr>
      <w:tr w:rsidR="000E4A21" w:rsidRPr="000E4A21" w14:paraId="6B7D088C" w14:textId="77777777" w:rsidTr="002F0C16">
        <w:trPr>
          <w:divId w:val="2063820962"/>
          <w:tblCellSpacing w:w="15" w:type="dxa"/>
          <w:jc w:val="center"/>
        </w:trPr>
        <w:tc>
          <w:tcPr>
            <w:tcW w:w="0" w:type="auto"/>
            <w:vAlign w:val="center"/>
            <w:hideMark/>
          </w:tcPr>
          <w:p w14:paraId="05DE6F5D"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Non-Performing Loans (%)</w:t>
            </w:r>
          </w:p>
        </w:tc>
        <w:tc>
          <w:tcPr>
            <w:tcW w:w="0" w:type="auto"/>
            <w:vAlign w:val="center"/>
            <w:hideMark/>
          </w:tcPr>
          <w:p w14:paraId="4162E507"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3.21</w:t>
            </w:r>
          </w:p>
        </w:tc>
        <w:tc>
          <w:tcPr>
            <w:tcW w:w="0" w:type="auto"/>
            <w:vAlign w:val="center"/>
            <w:hideMark/>
          </w:tcPr>
          <w:p w14:paraId="09F917C3"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2.89</w:t>
            </w:r>
          </w:p>
        </w:tc>
        <w:tc>
          <w:tcPr>
            <w:tcW w:w="0" w:type="auto"/>
            <w:vAlign w:val="center"/>
            <w:hideMark/>
          </w:tcPr>
          <w:p w14:paraId="34113BA1"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0.12</w:t>
            </w:r>
          </w:p>
        </w:tc>
        <w:tc>
          <w:tcPr>
            <w:tcW w:w="0" w:type="auto"/>
            <w:vAlign w:val="center"/>
            <w:hideMark/>
          </w:tcPr>
          <w:p w14:paraId="14295447"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15.67</w:t>
            </w:r>
          </w:p>
        </w:tc>
        <w:tc>
          <w:tcPr>
            <w:tcW w:w="0" w:type="auto"/>
            <w:vAlign w:val="center"/>
            <w:hideMark/>
          </w:tcPr>
          <w:p w14:paraId="1092D188"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4,800</w:t>
            </w:r>
          </w:p>
        </w:tc>
      </w:tr>
      <w:tr w:rsidR="000E4A21" w:rsidRPr="000E4A21" w14:paraId="429F7402" w14:textId="77777777" w:rsidTr="002F0C16">
        <w:trPr>
          <w:divId w:val="2063820962"/>
          <w:tblCellSpacing w:w="15" w:type="dxa"/>
          <w:jc w:val="center"/>
        </w:trPr>
        <w:tc>
          <w:tcPr>
            <w:tcW w:w="0" w:type="auto"/>
            <w:vAlign w:val="center"/>
            <w:hideMark/>
          </w:tcPr>
          <w:p w14:paraId="36BDE144"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Net Interest Margin (%)</w:t>
            </w:r>
          </w:p>
        </w:tc>
        <w:tc>
          <w:tcPr>
            <w:tcW w:w="0" w:type="auto"/>
            <w:vAlign w:val="center"/>
            <w:hideMark/>
          </w:tcPr>
          <w:p w14:paraId="2D77B1AA"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1.89</w:t>
            </w:r>
          </w:p>
        </w:tc>
        <w:tc>
          <w:tcPr>
            <w:tcW w:w="0" w:type="auto"/>
            <w:vAlign w:val="center"/>
            <w:hideMark/>
          </w:tcPr>
          <w:p w14:paraId="63E796EE"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0.67</w:t>
            </w:r>
          </w:p>
        </w:tc>
        <w:tc>
          <w:tcPr>
            <w:tcW w:w="0" w:type="auto"/>
            <w:vAlign w:val="center"/>
            <w:hideMark/>
          </w:tcPr>
          <w:p w14:paraId="46960FF0"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0.34</w:t>
            </w:r>
          </w:p>
        </w:tc>
        <w:tc>
          <w:tcPr>
            <w:tcW w:w="0" w:type="auto"/>
            <w:vAlign w:val="center"/>
            <w:hideMark/>
          </w:tcPr>
          <w:p w14:paraId="05EE3E1C"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4.23</w:t>
            </w:r>
          </w:p>
        </w:tc>
        <w:tc>
          <w:tcPr>
            <w:tcW w:w="0" w:type="auto"/>
            <w:vAlign w:val="center"/>
            <w:hideMark/>
          </w:tcPr>
          <w:p w14:paraId="1FD17C6F"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4,800</w:t>
            </w:r>
          </w:p>
        </w:tc>
      </w:tr>
      <w:tr w:rsidR="000E4A21" w:rsidRPr="000E4A21" w14:paraId="0096B6F5" w14:textId="77777777" w:rsidTr="002F0C16">
        <w:trPr>
          <w:divId w:val="2063820962"/>
          <w:tblCellSpacing w:w="15" w:type="dxa"/>
          <w:jc w:val="center"/>
        </w:trPr>
        <w:tc>
          <w:tcPr>
            <w:tcW w:w="0" w:type="auto"/>
            <w:vAlign w:val="center"/>
            <w:hideMark/>
          </w:tcPr>
          <w:p w14:paraId="7A3247B7"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Cost-to-Income Ratio (%)</w:t>
            </w:r>
          </w:p>
        </w:tc>
        <w:tc>
          <w:tcPr>
            <w:tcW w:w="0" w:type="auto"/>
            <w:vAlign w:val="center"/>
            <w:hideMark/>
          </w:tcPr>
          <w:p w14:paraId="75F63342"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62.45</w:t>
            </w:r>
          </w:p>
        </w:tc>
        <w:tc>
          <w:tcPr>
            <w:tcW w:w="0" w:type="auto"/>
            <w:vAlign w:val="center"/>
            <w:hideMark/>
          </w:tcPr>
          <w:p w14:paraId="01196DE1"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12.34</w:t>
            </w:r>
          </w:p>
        </w:tc>
        <w:tc>
          <w:tcPr>
            <w:tcW w:w="0" w:type="auto"/>
            <w:vAlign w:val="center"/>
            <w:hideMark/>
          </w:tcPr>
          <w:p w14:paraId="479910CD"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38.12</w:t>
            </w:r>
          </w:p>
        </w:tc>
        <w:tc>
          <w:tcPr>
            <w:tcW w:w="0" w:type="auto"/>
            <w:vAlign w:val="center"/>
            <w:hideMark/>
          </w:tcPr>
          <w:p w14:paraId="56266DED"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89.67</w:t>
            </w:r>
          </w:p>
        </w:tc>
        <w:tc>
          <w:tcPr>
            <w:tcW w:w="0" w:type="auto"/>
            <w:vAlign w:val="center"/>
            <w:hideMark/>
          </w:tcPr>
          <w:p w14:paraId="1B540028"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4,800</w:t>
            </w:r>
          </w:p>
        </w:tc>
      </w:tr>
      <w:tr w:rsidR="000E4A21" w:rsidRPr="000E4A21" w14:paraId="4F5D45BC" w14:textId="77777777" w:rsidTr="002F0C16">
        <w:trPr>
          <w:divId w:val="2063820962"/>
          <w:tblCellSpacing w:w="15" w:type="dxa"/>
          <w:jc w:val="center"/>
        </w:trPr>
        <w:tc>
          <w:tcPr>
            <w:tcW w:w="0" w:type="auto"/>
            <w:vAlign w:val="center"/>
            <w:hideMark/>
          </w:tcPr>
          <w:p w14:paraId="30F57FDD"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Climate Transition Risk Index</w:t>
            </w:r>
          </w:p>
        </w:tc>
        <w:tc>
          <w:tcPr>
            <w:tcW w:w="0" w:type="auto"/>
            <w:vAlign w:val="center"/>
            <w:hideMark/>
          </w:tcPr>
          <w:p w14:paraId="5537173A"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42.7</w:t>
            </w:r>
          </w:p>
        </w:tc>
        <w:tc>
          <w:tcPr>
            <w:tcW w:w="0" w:type="auto"/>
            <w:vAlign w:val="center"/>
            <w:hideMark/>
          </w:tcPr>
          <w:p w14:paraId="3D82FE86"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18.3</w:t>
            </w:r>
          </w:p>
        </w:tc>
        <w:tc>
          <w:tcPr>
            <w:tcW w:w="0" w:type="auto"/>
            <w:vAlign w:val="center"/>
            <w:hideMark/>
          </w:tcPr>
          <w:p w14:paraId="656B32DE"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8.2</w:t>
            </w:r>
          </w:p>
        </w:tc>
        <w:tc>
          <w:tcPr>
            <w:tcW w:w="0" w:type="auto"/>
            <w:vAlign w:val="center"/>
            <w:hideMark/>
          </w:tcPr>
          <w:p w14:paraId="5C8B66D5"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87.4</w:t>
            </w:r>
          </w:p>
        </w:tc>
        <w:tc>
          <w:tcPr>
            <w:tcW w:w="0" w:type="auto"/>
            <w:vAlign w:val="center"/>
            <w:hideMark/>
          </w:tcPr>
          <w:p w14:paraId="6AF4E0B4"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4,800</w:t>
            </w:r>
          </w:p>
        </w:tc>
      </w:tr>
      <w:tr w:rsidR="000E4A21" w:rsidRPr="000E4A21" w14:paraId="1C046E41" w14:textId="77777777" w:rsidTr="002F0C16">
        <w:trPr>
          <w:divId w:val="2063820962"/>
          <w:tblCellSpacing w:w="15" w:type="dxa"/>
          <w:jc w:val="center"/>
        </w:trPr>
        <w:tc>
          <w:tcPr>
            <w:tcW w:w="0" w:type="auto"/>
            <w:vAlign w:val="center"/>
            <w:hideMark/>
          </w:tcPr>
          <w:p w14:paraId="48493029"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Carbon Intensity (tCO2e/€M)</w:t>
            </w:r>
          </w:p>
        </w:tc>
        <w:tc>
          <w:tcPr>
            <w:tcW w:w="0" w:type="auto"/>
            <w:vAlign w:val="center"/>
            <w:hideMark/>
          </w:tcPr>
          <w:p w14:paraId="3AC98031"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289.4</w:t>
            </w:r>
          </w:p>
        </w:tc>
        <w:tc>
          <w:tcPr>
            <w:tcW w:w="0" w:type="auto"/>
            <w:vAlign w:val="center"/>
            <w:hideMark/>
          </w:tcPr>
          <w:p w14:paraId="5F47B5D6"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156.7</w:t>
            </w:r>
          </w:p>
        </w:tc>
        <w:tc>
          <w:tcPr>
            <w:tcW w:w="0" w:type="auto"/>
            <w:vAlign w:val="center"/>
            <w:hideMark/>
          </w:tcPr>
          <w:p w14:paraId="5D17AB02"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45.2</w:t>
            </w:r>
          </w:p>
        </w:tc>
        <w:tc>
          <w:tcPr>
            <w:tcW w:w="0" w:type="auto"/>
            <w:vAlign w:val="center"/>
            <w:hideMark/>
          </w:tcPr>
          <w:p w14:paraId="70084484"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742.3</w:t>
            </w:r>
          </w:p>
        </w:tc>
        <w:tc>
          <w:tcPr>
            <w:tcW w:w="0" w:type="auto"/>
            <w:vAlign w:val="center"/>
            <w:hideMark/>
          </w:tcPr>
          <w:p w14:paraId="08395F29"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4,800</w:t>
            </w:r>
          </w:p>
        </w:tc>
      </w:tr>
      <w:tr w:rsidR="000E4A21" w:rsidRPr="000E4A21" w14:paraId="4F0D0D30" w14:textId="77777777" w:rsidTr="002F0C16">
        <w:trPr>
          <w:divId w:val="2063820962"/>
          <w:tblCellSpacing w:w="15" w:type="dxa"/>
          <w:jc w:val="center"/>
        </w:trPr>
        <w:tc>
          <w:tcPr>
            <w:tcW w:w="0" w:type="auto"/>
            <w:vAlign w:val="center"/>
            <w:hideMark/>
          </w:tcPr>
          <w:p w14:paraId="71067C97"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Green Asset Ratio (%)</w:t>
            </w:r>
          </w:p>
        </w:tc>
        <w:tc>
          <w:tcPr>
            <w:tcW w:w="0" w:type="auto"/>
            <w:vAlign w:val="center"/>
            <w:hideMark/>
          </w:tcPr>
          <w:p w14:paraId="20E6A9EA"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12.8</w:t>
            </w:r>
          </w:p>
        </w:tc>
        <w:tc>
          <w:tcPr>
            <w:tcW w:w="0" w:type="auto"/>
            <w:vAlign w:val="center"/>
            <w:hideMark/>
          </w:tcPr>
          <w:p w14:paraId="4C112FA1"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8.9</w:t>
            </w:r>
          </w:p>
        </w:tc>
        <w:tc>
          <w:tcPr>
            <w:tcW w:w="0" w:type="auto"/>
            <w:vAlign w:val="center"/>
            <w:hideMark/>
          </w:tcPr>
          <w:p w14:paraId="4A5D011D"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1.2</w:t>
            </w:r>
          </w:p>
        </w:tc>
        <w:tc>
          <w:tcPr>
            <w:tcW w:w="0" w:type="auto"/>
            <w:vAlign w:val="center"/>
            <w:hideMark/>
          </w:tcPr>
          <w:p w14:paraId="6D009644"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34.7</w:t>
            </w:r>
          </w:p>
        </w:tc>
        <w:tc>
          <w:tcPr>
            <w:tcW w:w="0" w:type="auto"/>
            <w:vAlign w:val="center"/>
            <w:hideMark/>
          </w:tcPr>
          <w:p w14:paraId="4A919BA6"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4,800</w:t>
            </w:r>
          </w:p>
        </w:tc>
      </w:tr>
    </w:tbl>
    <w:p w14:paraId="56692345" w14:textId="12B2FD06" w:rsidR="002F0BD5" w:rsidRDefault="00E33A7B" w:rsidP="00C0492C">
      <w:pPr>
        <w:pStyle w:val="NormalWeb"/>
        <w:jc w:val="both"/>
        <w:divId w:val="2063820962"/>
        <w:rPr>
          <w:rFonts w:asciiTheme="majorBidi" w:hAnsiTheme="majorBidi" w:cstheme="majorBidi"/>
        </w:rPr>
      </w:pPr>
      <w:r w:rsidRPr="00E33A7B">
        <w:rPr>
          <w:rFonts w:asciiTheme="majorBidi" w:hAnsiTheme="majorBidi" w:cstheme="majorBidi"/>
        </w:rPr>
        <w:t>Source: R 4.3.0 production package</w:t>
      </w:r>
    </w:p>
    <w:p w14:paraId="42BFDB21"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lastRenderedPageBreak/>
        <w:t>The Climate Transition Risk Index shows considerable variation, with a standard deviation of 18.3 points around the mean of 42.7, indicating substantial differences in banks' vulnerability to environmental policy changes. Carbon intensity measures reveal similarly wide distributions, reflecting heterogeneous sectoral exposures across the banking sample.</w:t>
      </w:r>
    </w:p>
    <w:p w14:paraId="55466205" w14:textId="77777777" w:rsidR="00F971B9" w:rsidRPr="00A406AF" w:rsidRDefault="00F971B9" w:rsidP="00C0492C">
      <w:pPr>
        <w:pStyle w:val="Heading3"/>
        <w:bidi w:val="0"/>
        <w:jc w:val="both"/>
        <w:divId w:val="2063820962"/>
        <w:rPr>
          <w:rFonts w:asciiTheme="majorBidi" w:eastAsia="Times New Roman" w:hAnsiTheme="majorBidi"/>
          <w:b/>
          <w:bCs/>
          <w:color w:val="auto"/>
          <w:sz w:val="24"/>
          <w:szCs w:val="24"/>
        </w:rPr>
      </w:pPr>
      <w:r w:rsidRPr="00A406AF">
        <w:rPr>
          <w:rFonts w:asciiTheme="majorBidi" w:eastAsia="Times New Roman" w:hAnsiTheme="majorBidi"/>
          <w:b/>
          <w:bCs/>
          <w:color w:val="auto"/>
          <w:sz w:val="24"/>
          <w:szCs w:val="24"/>
        </w:rPr>
        <w:t>4.2 Core Regression Results</w:t>
      </w:r>
    </w:p>
    <w:p w14:paraId="082B3C47"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Table 2 presents the main regression results examining the relationship between climate transition risks and banking performance indicators. We employ fixed-effects panel regression with robust standard errors clustered at the bank level to address heteroskedasticity and serial correlation concerns.</w:t>
      </w:r>
    </w:p>
    <w:p w14:paraId="7DB416D4" w14:textId="77777777" w:rsidR="00F971B9" w:rsidRPr="000E4A21" w:rsidRDefault="00F971B9" w:rsidP="002F0C16">
      <w:pPr>
        <w:pStyle w:val="NormalWeb"/>
        <w:jc w:val="center"/>
        <w:divId w:val="2063820962"/>
        <w:rPr>
          <w:rFonts w:asciiTheme="majorBidi" w:hAnsiTheme="majorBidi" w:cstheme="majorBidi"/>
        </w:rPr>
      </w:pPr>
      <w:r w:rsidRPr="000E4A21">
        <w:rPr>
          <w:rStyle w:val="Strong"/>
          <w:rFonts w:asciiTheme="majorBidi" w:hAnsiTheme="majorBidi" w:cstheme="majorBidi"/>
        </w:rPr>
        <w:t>Table 2: Climate Transition Risk Effects on Banking Performance</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29"/>
        <w:gridCol w:w="1060"/>
        <w:gridCol w:w="1060"/>
        <w:gridCol w:w="1167"/>
        <w:gridCol w:w="1060"/>
        <w:gridCol w:w="1402"/>
      </w:tblGrid>
      <w:tr w:rsidR="000E4A21" w:rsidRPr="000E4A21" w14:paraId="7E32C2E3" w14:textId="77777777" w:rsidTr="002F0C16">
        <w:trPr>
          <w:divId w:val="2063820962"/>
          <w:tblHeader/>
          <w:tblCellSpacing w:w="15" w:type="dxa"/>
          <w:jc w:val="center"/>
        </w:trPr>
        <w:tc>
          <w:tcPr>
            <w:tcW w:w="0" w:type="auto"/>
            <w:vAlign w:val="center"/>
            <w:hideMark/>
          </w:tcPr>
          <w:p w14:paraId="00DCB536" w14:textId="77777777" w:rsidR="00F971B9" w:rsidRPr="000E4A21" w:rsidRDefault="00F971B9" w:rsidP="002F0C16">
            <w:pPr>
              <w:bidi w:val="0"/>
              <w:jc w:val="center"/>
              <w:rPr>
                <w:rFonts w:asciiTheme="majorBidi" w:eastAsia="Times New Roman" w:hAnsiTheme="majorBidi" w:cstheme="majorBidi"/>
                <w:b/>
                <w:bCs/>
              </w:rPr>
            </w:pPr>
            <w:r w:rsidRPr="000E4A21">
              <w:rPr>
                <w:rFonts w:asciiTheme="majorBidi" w:eastAsia="Times New Roman" w:hAnsiTheme="majorBidi" w:cstheme="majorBidi"/>
                <w:b/>
                <w:bCs/>
              </w:rPr>
              <w:t>Dependent Variable</w:t>
            </w:r>
          </w:p>
        </w:tc>
        <w:tc>
          <w:tcPr>
            <w:tcW w:w="0" w:type="auto"/>
            <w:vAlign w:val="center"/>
            <w:hideMark/>
          </w:tcPr>
          <w:p w14:paraId="2E208533" w14:textId="77777777" w:rsidR="00F971B9" w:rsidRPr="000E4A21" w:rsidRDefault="00F971B9" w:rsidP="002F0C16">
            <w:pPr>
              <w:bidi w:val="0"/>
              <w:jc w:val="center"/>
              <w:rPr>
                <w:rFonts w:asciiTheme="majorBidi" w:eastAsia="Times New Roman" w:hAnsiTheme="majorBidi" w:cstheme="majorBidi"/>
                <w:b/>
                <w:bCs/>
              </w:rPr>
            </w:pPr>
            <w:r w:rsidRPr="000E4A21">
              <w:rPr>
                <w:rFonts w:asciiTheme="majorBidi" w:eastAsia="Times New Roman" w:hAnsiTheme="majorBidi" w:cstheme="majorBidi"/>
                <w:b/>
                <w:bCs/>
              </w:rPr>
              <w:t>ROE</w:t>
            </w:r>
          </w:p>
        </w:tc>
        <w:tc>
          <w:tcPr>
            <w:tcW w:w="0" w:type="auto"/>
            <w:vAlign w:val="center"/>
            <w:hideMark/>
          </w:tcPr>
          <w:p w14:paraId="30A2D24A" w14:textId="77777777" w:rsidR="00F971B9" w:rsidRPr="000E4A21" w:rsidRDefault="00F971B9" w:rsidP="002F0C16">
            <w:pPr>
              <w:bidi w:val="0"/>
              <w:jc w:val="center"/>
              <w:rPr>
                <w:rFonts w:asciiTheme="majorBidi" w:eastAsia="Times New Roman" w:hAnsiTheme="majorBidi" w:cstheme="majorBidi"/>
                <w:b/>
                <w:bCs/>
              </w:rPr>
            </w:pPr>
            <w:r w:rsidRPr="000E4A21">
              <w:rPr>
                <w:rFonts w:asciiTheme="majorBidi" w:eastAsia="Times New Roman" w:hAnsiTheme="majorBidi" w:cstheme="majorBidi"/>
                <w:b/>
                <w:bCs/>
              </w:rPr>
              <w:t>ROA</w:t>
            </w:r>
          </w:p>
        </w:tc>
        <w:tc>
          <w:tcPr>
            <w:tcW w:w="0" w:type="auto"/>
            <w:vAlign w:val="center"/>
            <w:hideMark/>
          </w:tcPr>
          <w:p w14:paraId="716A4146" w14:textId="77777777" w:rsidR="00F971B9" w:rsidRPr="000E4A21" w:rsidRDefault="00F971B9" w:rsidP="002F0C16">
            <w:pPr>
              <w:bidi w:val="0"/>
              <w:jc w:val="center"/>
              <w:rPr>
                <w:rFonts w:asciiTheme="majorBidi" w:eastAsia="Times New Roman" w:hAnsiTheme="majorBidi" w:cstheme="majorBidi"/>
                <w:b/>
                <w:bCs/>
              </w:rPr>
            </w:pPr>
            <w:r w:rsidRPr="000E4A21">
              <w:rPr>
                <w:rFonts w:asciiTheme="majorBidi" w:eastAsia="Times New Roman" w:hAnsiTheme="majorBidi" w:cstheme="majorBidi"/>
                <w:b/>
                <w:bCs/>
              </w:rPr>
              <w:t>NPL Ratio</w:t>
            </w:r>
          </w:p>
        </w:tc>
        <w:tc>
          <w:tcPr>
            <w:tcW w:w="0" w:type="auto"/>
            <w:vAlign w:val="center"/>
            <w:hideMark/>
          </w:tcPr>
          <w:p w14:paraId="14572191" w14:textId="77777777" w:rsidR="00F971B9" w:rsidRPr="000E4A21" w:rsidRDefault="00F971B9" w:rsidP="002F0C16">
            <w:pPr>
              <w:bidi w:val="0"/>
              <w:jc w:val="center"/>
              <w:rPr>
                <w:rFonts w:asciiTheme="majorBidi" w:eastAsia="Times New Roman" w:hAnsiTheme="majorBidi" w:cstheme="majorBidi"/>
                <w:b/>
                <w:bCs/>
              </w:rPr>
            </w:pPr>
            <w:r w:rsidRPr="000E4A21">
              <w:rPr>
                <w:rFonts w:asciiTheme="majorBidi" w:eastAsia="Times New Roman" w:hAnsiTheme="majorBidi" w:cstheme="majorBidi"/>
                <w:b/>
                <w:bCs/>
              </w:rPr>
              <w:t>NIM</w:t>
            </w:r>
          </w:p>
        </w:tc>
        <w:tc>
          <w:tcPr>
            <w:tcW w:w="0" w:type="auto"/>
            <w:vAlign w:val="center"/>
            <w:hideMark/>
          </w:tcPr>
          <w:p w14:paraId="6DAF6E99" w14:textId="77777777" w:rsidR="00F971B9" w:rsidRPr="000E4A21" w:rsidRDefault="00F971B9" w:rsidP="002F0C16">
            <w:pPr>
              <w:bidi w:val="0"/>
              <w:jc w:val="center"/>
              <w:rPr>
                <w:rFonts w:asciiTheme="majorBidi" w:eastAsia="Times New Roman" w:hAnsiTheme="majorBidi" w:cstheme="majorBidi"/>
                <w:b/>
                <w:bCs/>
              </w:rPr>
            </w:pPr>
            <w:r w:rsidRPr="000E4A21">
              <w:rPr>
                <w:rFonts w:asciiTheme="majorBidi" w:eastAsia="Times New Roman" w:hAnsiTheme="majorBidi" w:cstheme="majorBidi"/>
                <w:b/>
                <w:bCs/>
              </w:rPr>
              <w:t>Cost-Income</w:t>
            </w:r>
          </w:p>
        </w:tc>
      </w:tr>
      <w:tr w:rsidR="000E4A21" w:rsidRPr="000E4A21" w14:paraId="150D74EE" w14:textId="77777777" w:rsidTr="002F0C16">
        <w:trPr>
          <w:divId w:val="2063820962"/>
          <w:tblCellSpacing w:w="15" w:type="dxa"/>
          <w:jc w:val="center"/>
        </w:trPr>
        <w:tc>
          <w:tcPr>
            <w:tcW w:w="0" w:type="auto"/>
            <w:vAlign w:val="center"/>
            <w:hideMark/>
          </w:tcPr>
          <w:p w14:paraId="7C6B8076"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Climate Risk Index</w:t>
            </w:r>
          </w:p>
        </w:tc>
        <w:tc>
          <w:tcPr>
            <w:tcW w:w="0" w:type="auto"/>
            <w:vAlign w:val="center"/>
            <w:hideMark/>
          </w:tcPr>
          <w:p w14:paraId="432C34C4"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-0.089***</w:t>
            </w:r>
          </w:p>
        </w:tc>
        <w:tc>
          <w:tcPr>
            <w:tcW w:w="0" w:type="auto"/>
            <w:vAlign w:val="center"/>
            <w:hideMark/>
          </w:tcPr>
          <w:p w14:paraId="11F10D76"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-0.012***</w:t>
            </w:r>
          </w:p>
        </w:tc>
        <w:tc>
          <w:tcPr>
            <w:tcW w:w="0" w:type="auto"/>
            <w:vAlign w:val="center"/>
            <w:hideMark/>
          </w:tcPr>
          <w:p w14:paraId="679E1B91"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0.034***</w:t>
            </w:r>
          </w:p>
        </w:tc>
        <w:tc>
          <w:tcPr>
            <w:tcW w:w="0" w:type="auto"/>
            <w:vAlign w:val="center"/>
            <w:hideMark/>
          </w:tcPr>
          <w:p w14:paraId="37947041"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-0.008**</w:t>
            </w:r>
          </w:p>
        </w:tc>
        <w:tc>
          <w:tcPr>
            <w:tcW w:w="0" w:type="auto"/>
            <w:vAlign w:val="center"/>
            <w:hideMark/>
          </w:tcPr>
          <w:p w14:paraId="54A33AA3"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0.147***</w:t>
            </w:r>
          </w:p>
        </w:tc>
      </w:tr>
      <w:tr w:rsidR="000E4A21" w:rsidRPr="000E4A21" w14:paraId="0A4B1507" w14:textId="77777777" w:rsidTr="002F0C16">
        <w:trPr>
          <w:divId w:val="2063820962"/>
          <w:tblCellSpacing w:w="15" w:type="dxa"/>
          <w:jc w:val="center"/>
        </w:trPr>
        <w:tc>
          <w:tcPr>
            <w:tcW w:w="0" w:type="auto"/>
            <w:vAlign w:val="center"/>
            <w:hideMark/>
          </w:tcPr>
          <w:p w14:paraId="404B8FA6" w14:textId="77777777" w:rsidR="00F971B9" w:rsidRPr="000E4A21" w:rsidRDefault="00F971B9" w:rsidP="002F0C16">
            <w:pPr>
              <w:jc w:val="center"/>
              <w:rPr>
                <w:rFonts w:asciiTheme="majorBidi" w:eastAsia="Times New Roman" w:hAnsiTheme="majorBidi" w:cstheme="majorBidi"/>
              </w:rPr>
            </w:pPr>
          </w:p>
        </w:tc>
        <w:tc>
          <w:tcPr>
            <w:tcW w:w="0" w:type="auto"/>
            <w:vAlign w:val="center"/>
            <w:hideMark/>
          </w:tcPr>
          <w:p w14:paraId="2DD2AE32"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(0.021)</w:t>
            </w:r>
          </w:p>
        </w:tc>
        <w:tc>
          <w:tcPr>
            <w:tcW w:w="0" w:type="auto"/>
            <w:vAlign w:val="center"/>
            <w:hideMark/>
          </w:tcPr>
          <w:p w14:paraId="0671744E"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(0.003)</w:t>
            </w:r>
          </w:p>
        </w:tc>
        <w:tc>
          <w:tcPr>
            <w:tcW w:w="0" w:type="auto"/>
            <w:vAlign w:val="center"/>
            <w:hideMark/>
          </w:tcPr>
          <w:p w14:paraId="49879A65"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(0.009)</w:t>
            </w:r>
          </w:p>
        </w:tc>
        <w:tc>
          <w:tcPr>
            <w:tcW w:w="0" w:type="auto"/>
            <w:vAlign w:val="center"/>
            <w:hideMark/>
          </w:tcPr>
          <w:p w14:paraId="723AE829"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(0.004)</w:t>
            </w:r>
          </w:p>
        </w:tc>
        <w:tc>
          <w:tcPr>
            <w:tcW w:w="0" w:type="auto"/>
            <w:vAlign w:val="center"/>
            <w:hideMark/>
          </w:tcPr>
          <w:p w14:paraId="58E95412"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(0.045)</w:t>
            </w:r>
          </w:p>
        </w:tc>
      </w:tr>
      <w:tr w:rsidR="000E4A21" w:rsidRPr="000E4A21" w14:paraId="4A132CF7" w14:textId="77777777" w:rsidTr="002F0C16">
        <w:trPr>
          <w:divId w:val="2063820962"/>
          <w:tblCellSpacing w:w="15" w:type="dxa"/>
          <w:jc w:val="center"/>
        </w:trPr>
        <w:tc>
          <w:tcPr>
            <w:tcW w:w="0" w:type="auto"/>
            <w:vAlign w:val="center"/>
            <w:hideMark/>
          </w:tcPr>
          <w:p w14:paraId="7D7262E3"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Carbon Intensity</w:t>
            </w:r>
          </w:p>
        </w:tc>
        <w:tc>
          <w:tcPr>
            <w:tcW w:w="0" w:type="auto"/>
            <w:vAlign w:val="center"/>
            <w:hideMark/>
          </w:tcPr>
          <w:p w14:paraId="2848AB42"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-0.015**</w:t>
            </w:r>
          </w:p>
        </w:tc>
        <w:tc>
          <w:tcPr>
            <w:tcW w:w="0" w:type="auto"/>
            <w:vAlign w:val="center"/>
            <w:hideMark/>
          </w:tcPr>
          <w:p w14:paraId="06DEC225"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-0.002**</w:t>
            </w:r>
          </w:p>
        </w:tc>
        <w:tc>
          <w:tcPr>
            <w:tcW w:w="0" w:type="auto"/>
            <w:vAlign w:val="center"/>
            <w:hideMark/>
          </w:tcPr>
          <w:p w14:paraId="2ACABDA4"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0.008***</w:t>
            </w:r>
          </w:p>
        </w:tc>
        <w:tc>
          <w:tcPr>
            <w:tcW w:w="0" w:type="auto"/>
            <w:vAlign w:val="center"/>
            <w:hideMark/>
          </w:tcPr>
          <w:p w14:paraId="3ED9F8E5"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-0.001</w:t>
            </w:r>
          </w:p>
        </w:tc>
        <w:tc>
          <w:tcPr>
            <w:tcW w:w="0" w:type="auto"/>
            <w:vAlign w:val="center"/>
            <w:hideMark/>
          </w:tcPr>
          <w:p w14:paraId="4B2E4B7F"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0.021**</w:t>
            </w:r>
          </w:p>
        </w:tc>
      </w:tr>
      <w:tr w:rsidR="000E4A21" w:rsidRPr="000E4A21" w14:paraId="457B1B9C" w14:textId="77777777" w:rsidTr="002F0C16">
        <w:trPr>
          <w:divId w:val="2063820962"/>
          <w:tblCellSpacing w:w="15" w:type="dxa"/>
          <w:jc w:val="center"/>
        </w:trPr>
        <w:tc>
          <w:tcPr>
            <w:tcW w:w="0" w:type="auto"/>
            <w:vAlign w:val="center"/>
            <w:hideMark/>
          </w:tcPr>
          <w:p w14:paraId="5CB0D3CC" w14:textId="77777777" w:rsidR="00F971B9" w:rsidRPr="000E4A21" w:rsidRDefault="00F971B9" w:rsidP="002F0C16">
            <w:pPr>
              <w:jc w:val="center"/>
              <w:rPr>
                <w:rFonts w:asciiTheme="majorBidi" w:eastAsia="Times New Roman" w:hAnsiTheme="majorBidi" w:cstheme="majorBidi"/>
              </w:rPr>
            </w:pPr>
          </w:p>
        </w:tc>
        <w:tc>
          <w:tcPr>
            <w:tcW w:w="0" w:type="auto"/>
            <w:vAlign w:val="center"/>
            <w:hideMark/>
          </w:tcPr>
          <w:p w14:paraId="06BA31AC"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(0.007)</w:t>
            </w:r>
          </w:p>
        </w:tc>
        <w:tc>
          <w:tcPr>
            <w:tcW w:w="0" w:type="auto"/>
            <w:vAlign w:val="center"/>
            <w:hideMark/>
          </w:tcPr>
          <w:p w14:paraId="301050ED"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(0.001)</w:t>
            </w:r>
          </w:p>
        </w:tc>
        <w:tc>
          <w:tcPr>
            <w:tcW w:w="0" w:type="auto"/>
            <w:vAlign w:val="center"/>
            <w:hideMark/>
          </w:tcPr>
          <w:p w14:paraId="7CFD6BD6"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(0.002)</w:t>
            </w:r>
          </w:p>
        </w:tc>
        <w:tc>
          <w:tcPr>
            <w:tcW w:w="0" w:type="auto"/>
            <w:vAlign w:val="center"/>
            <w:hideMark/>
          </w:tcPr>
          <w:p w14:paraId="211EE57C"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(0.001)</w:t>
            </w:r>
          </w:p>
        </w:tc>
        <w:tc>
          <w:tcPr>
            <w:tcW w:w="0" w:type="auto"/>
            <w:vAlign w:val="center"/>
            <w:hideMark/>
          </w:tcPr>
          <w:p w14:paraId="39567960"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(0.009)</w:t>
            </w:r>
          </w:p>
        </w:tc>
      </w:tr>
      <w:tr w:rsidR="000E4A21" w:rsidRPr="000E4A21" w14:paraId="401EDD4F" w14:textId="77777777" w:rsidTr="002F0C16">
        <w:trPr>
          <w:divId w:val="2063820962"/>
          <w:tblCellSpacing w:w="15" w:type="dxa"/>
          <w:jc w:val="center"/>
        </w:trPr>
        <w:tc>
          <w:tcPr>
            <w:tcW w:w="0" w:type="auto"/>
            <w:vAlign w:val="center"/>
            <w:hideMark/>
          </w:tcPr>
          <w:p w14:paraId="1EDF114E" w14:textId="77777777" w:rsidR="00F971B9" w:rsidRPr="000E4A21" w:rsidRDefault="00F971B9" w:rsidP="002F0C16">
            <w:pPr>
              <w:bidi w:val="0"/>
              <w:jc w:val="center"/>
              <w:rPr>
                <w:rFonts w:asciiTheme="majorBidi" w:eastAsia="Times New Roman" w:hAnsiTheme="majorBidi" w:cstheme="majorBidi"/>
              </w:rPr>
            </w:pPr>
            <w:proofErr w:type="gramStart"/>
            <w:r w:rsidRPr="000E4A21">
              <w:rPr>
                <w:rFonts w:asciiTheme="majorBidi" w:eastAsia="Times New Roman" w:hAnsiTheme="majorBidi" w:cstheme="majorBidi"/>
              </w:rPr>
              <w:t>Log(</w:t>
            </w:r>
            <w:proofErr w:type="gramEnd"/>
            <w:r w:rsidRPr="000E4A21">
              <w:rPr>
                <w:rFonts w:asciiTheme="majorBidi" w:eastAsia="Times New Roman" w:hAnsiTheme="majorBidi" w:cstheme="majorBidi"/>
              </w:rPr>
              <w:t>Total Assets)</w:t>
            </w:r>
          </w:p>
        </w:tc>
        <w:tc>
          <w:tcPr>
            <w:tcW w:w="0" w:type="auto"/>
            <w:vAlign w:val="center"/>
            <w:hideMark/>
          </w:tcPr>
          <w:p w14:paraId="6EA7AACF"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1.234***</w:t>
            </w:r>
          </w:p>
        </w:tc>
        <w:tc>
          <w:tcPr>
            <w:tcW w:w="0" w:type="auto"/>
            <w:vAlign w:val="center"/>
            <w:hideMark/>
          </w:tcPr>
          <w:p w14:paraId="3150C05C"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0.087***</w:t>
            </w:r>
          </w:p>
        </w:tc>
        <w:tc>
          <w:tcPr>
            <w:tcW w:w="0" w:type="auto"/>
            <w:vAlign w:val="center"/>
            <w:hideMark/>
          </w:tcPr>
          <w:p w14:paraId="01F05853"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-0.156***</w:t>
            </w:r>
          </w:p>
        </w:tc>
        <w:tc>
          <w:tcPr>
            <w:tcW w:w="0" w:type="auto"/>
            <w:vAlign w:val="center"/>
            <w:hideMark/>
          </w:tcPr>
          <w:p w14:paraId="7C7925E4"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-0.034***</w:t>
            </w:r>
          </w:p>
        </w:tc>
        <w:tc>
          <w:tcPr>
            <w:tcW w:w="0" w:type="auto"/>
            <w:vAlign w:val="center"/>
            <w:hideMark/>
          </w:tcPr>
          <w:p w14:paraId="4EAF8F72"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-2.143***</w:t>
            </w:r>
          </w:p>
        </w:tc>
      </w:tr>
      <w:tr w:rsidR="000E4A21" w:rsidRPr="000E4A21" w14:paraId="5A610E2E" w14:textId="77777777" w:rsidTr="002F0C16">
        <w:trPr>
          <w:divId w:val="2063820962"/>
          <w:tblCellSpacing w:w="15" w:type="dxa"/>
          <w:jc w:val="center"/>
        </w:trPr>
        <w:tc>
          <w:tcPr>
            <w:tcW w:w="0" w:type="auto"/>
            <w:vAlign w:val="center"/>
            <w:hideMark/>
          </w:tcPr>
          <w:p w14:paraId="7B1CF1D1" w14:textId="77777777" w:rsidR="00F971B9" w:rsidRPr="000E4A21" w:rsidRDefault="00F971B9" w:rsidP="002F0C16">
            <w:pPr>
              <w:jc w:val="center"/>
              <w:rPr>
                <w:rFonts w:asciiTheme="majorBidi" w:eastAsia="Times New Roman" w:hAnsiTheme="majorBidi" w:cstheme="majorBidi"/>
              </w:rPr>
            </w:pPr>
          </w:p>
        </w:tc>
        <w:tc>
          <w:tcPr>
            <w:tcW w:w="0" w:type="auto"/>
            <w:vAlign w:val="center"/>
            <w:hideMark/>
          </w:tcPr>
          <w:p w14:paraId="2075E221"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(0.312)</w:t>
            </w:r>
          </w:p>
        </w:tc>
        <w:tc>
          <w:tcPr>
            <w:tcW w:w="0" w:type="auto"/>
            <w:vAlign w:val="center"/>
            <w:hideMark/>
          </w:tcPr>
          <w:p w14:paraId="6570C18F"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(0.023)</w:t>
            </w:r>
          </w:p>
        </w:tc>
        <w:tc>
          <w:tcPr>
            <w:tcW w:w="0" w:type="auto"/>
            <w:vAlign w:val="center"/>
            <w:hideMark/>
          </w:tcPr>
          <w:p w14:paraId="31BE8648"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(0.045)</w:t>
            </w:r>
          </w:p>
        </w:tc>
        <w:tc>
          <w:tcPr>
            <w:tcW w:w="0" w:type="auto"/>
            <w:vAlign w:val="center"/>
            <w:hideMark/>
          </w:tcPr>
          <w:p w14:paraId="7532513E"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(0.012)</w:t>
            </w:r>
          </w:p>
        </w:tc>
        <w:tc>
          <w:tcPr>
            <w:tcW w:w="0" w:type="auto"/>
            <w:vAlign w:val="center"/>
            <w:hideMark/>
          </w:tcPr>
          <w:p w14:paraId="2663B69B"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(0.567)</w:t>
            </w:r>
          </w:p>
        </w:tc>
      </w:tr>
      <w:tr w:rsidR="000E4A21" w:rsidRPr="000E4A21" w14:paraId="1C481332" w14:textId="77777777" w:rsidTr="002F0C16">
        <w:trPr>
          <w:divId w:val="2063820962"/>
          <w:tblCellSpacing w:w="15" w:type="dxa"/>
          <w:jc w:val="center"/>
        </w:trPr>
        <w:tc>
          <w:tcPr>
            <w:tcW w:w="0" w:type="auto"/>
            <w:vAlign w:val="center"/>
            <w:hideMark/>
          </w:tcPr>
          <w:p w14:paraId="5869EB8D"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GDP Growth</w:t>
            </w:r>
          </w:p>
        </w:tc>
        <w:tc>
          <w:tcPr>
            <w:tcW w:w="0" w:type="auto"/>
            <w:vAlign w:val="center"/>
            <w:hideMark/>
          </w:tcPr>
          <w:p w14:paraId="727E6F30"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0.542***</w:t>
            </w:r>
          </w:p>
        </w:tc>
        <w:tc>
          <w:tcPr>
            <w:tcW w:w="0" w:type="auto"/>
            <w:vAlign w:val="center"/>
            <w:hideMark/>
          </w:tcPr>
          <w:p w14:paraId="777C8503"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0.043***</w:t>
            </w:r>
          </w:p>
        </w:tc>
        <w:tc>
          <w:tcPr>
            <w:tcW w:w="0" w:type="auto"/>
            <w:vAlign w:val="center"/>
            <w:hideMark/>
          </w:tcPr>
          <w:p w14:paraId="7F07B89A"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-0.123***</w:t>
            </w:r>
          </w:p>
        </w:tc>
        <w:tc>
          <w:tcPr>
            <w:tcW w:w="0" w:type="auto"/>
            <w:vAlign w:val="center"/>
            <w:hideMark/>
          </w:tcPr>
          <w:p w14:paraId="6641D72A"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0.019**</w:t>
            </w:r>
          </w:p>
        </w:tc>
        <w:tc>
          <w:tcPr>
            <w:tcW w:w="0" w:type="auto"/>
            <w:vAlign w:val="center"/>
            <w:hideMark/>
          </w:tcPr>
          <w:p w14:paraId="06E863C4"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-0.334**</w:t>
            </w:r>
          </w:p>
        </w:tc>
      </w:tr>
      <w:tr w:rsidR="000E4A21" w:rsidRPr="000E4A21" w14:paraId="589C73EA" w14:textId="77777777" w:rsidTr="002F0C16">
        <w:trPr>
          <w:divId w:val="2063820962"/>
          <w:tblCellSpacing w:w="15" w:type="dxa"/>
          <w:jc w:val="center"/>
        </w:trPr>
        <w:tc>
          <w:tcPr>
            <w:tcW w:w="0" w:type="auto"/>
            <w:vAlign w:val="center"/>
            <w:hideMark/>
          </w:tcPr>
          <w:p w14:paraId="14153976" w14:textId="77777777" w:rsidR="00F971B9" w:rsidRPr="000E4A21" w:rsidRDefault="00F971B9" w:rsidP="002F0C16">
            <w:pPr>
              <w:jc w:val="center"/>
              <w:rPr>
                <w:rFonts w:asciiTheme="majorBidi" w:eastAsia="Times New Roman" w:hAnsiTheme="majorBidi" w:cstheme="majorBidi"/>
              </w:rPr>
            </w:pPr>
          </w:p>
        </w:tc>
        <w:tc>
          <w:tcPr>
            <w:tcW w:w="0" w:type="auto"/>
            <w:vAlign w:val="center"/>
            <w:hideMark/>
          </w:tcPr>
          <w:p w14:paraId="0D4A249C"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(0.134)</w:t>
            </w:r>
          </w:p>
        </w:tc>
        <w:tc>
          <w:tcPr>
            <w:tcW w:w="0" w:type="auto"/>
            <w:vAlign w:val="center"/>
            <w:hideMark/>
          </w:tcPr>
          <w:p w14:paraId="706B25BF"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(0.011)</w:t>
            </w:r>
          </w:p>
        </w:tc>
        <w:tc>
          <w:tcPr>
            <w:tcW w:w="0" w:type="auto"/>
            <w:vAlign w:val="center"/>
            <w:hideMark/>
          </w:tcPr>
          <w:p w14:paraId="59940F9D"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(0.034)</w:t>
            </w:r>
          </w:p>
        </w:tc>
        <w:tc>
          <w:tcPr>
            <w:tcW w:w="0" w:type="auto"/>
            <w:vAlign w:val="center"/>
            <w:hideMark/>
          </w:tcPr>
          <w:p w14:paraId="2027E436"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(0.008)</w:t>
            </w:r>
          </w:p>
        </w:tc>
        <w:tc>
          <w:tcPr>
            <w:tcW w:w="0" w:type="auto"/>
            <w:vAlign w:val="center"/>
            <w:hideMark/>
          </w:tcPr>
          <w:p w14:paraId="356AADDB"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(0.156)</w:t>
            </w:r>
          </w:p>
        </w:tc>
      </w:tr>
      <w:tr w:rsidR="000E4A21" w:rsidRPr="000E4A21" w14:paraId="61705295" w14:textId="77777777" w:rsidTr="002F0C16">
        <w:trPr>
          <w:divId w:val="2063820962"/>
          <w:tblCellSpacing w:w="15" w:type="dxa"/>
          <w:jc w:val="center"/>
        </w:trPr>
        <w:tc>
          <w:tcPr>
            <w:tcW w:w="0" w:type="auto"/>
            <w:vAlign w:val="center"/>
            <w:hideMark/>
          </w:tcPr>
          <w:p w14:paraId="0517AB2F"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ECB Policy Rate</w:t>
            </w:r>
          </w:p>
        </w:tc>
        <w:tc>
          <w:tcPr>
            <w:tcW w:w="0" w:type="auto"/>
            <w:vAlign w:val="center"/>
            <w:hideMark/>
          </w:tcPr>
          <w:p w14:paraId="780ECF03"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0.789**</w:t>
            </w:r>
          </w:p>
        </w:tc>
        <w:tc>
          <w:tcPr>
            <w:tcW w:w="0" w:type="auto"/>
            <w:vAlign w:val="center"/>
            <w:hideMark/>
          </w:tcPr>
          <w:p w14:paraId="6B2894FB"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0.065**</w:t>
            </w:r>
          </w:p>
        </w:tc>
        <w:tc>
          <w:tcPr>
            <w:tcW w:w="0" w:type="auto"/>
            <w:vAlign w:val="center"/>
            <w:hideMark/>
          </w:tcPr>
          <w:p w14:paraId="0EE85ACC"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-0.087*</w:t>
            </w:r>
          </w:p>
        </w:tc>
        <w:tc>
          <w:tcPr>
            <w:tcW w:w="0" w:type="auto"/>
            <w:vAlign w:val="center"/>
            <w:hideMark/>
          </w:tcPr>
          <w:p w14:paraId="02EFF019"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0.145***</w:t>
            </w:r>
          </w:p>
        </w:tc>
        <w:tc>
          <w:tcPr>
            <w:tcW w:w="0" w:type="auto"/>
            <w:vAlign w:val="center"/>
            <w:hideMark/>
          </w:tcPr>
          <w:p w14:paraId="49DA9419"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-0.234</w:t>
            </w:r>
          </w:p>
        </w:tc>
      </w:tr>
      <w:tr w:rsidR="000E4A21" w:rsidRPr="000E4A21" w14:paraId="6A46B8AA" w14:textId="77777777" w:rsidTr="002F0C16">
        <w:trPr>
          <w:divId w:val="2063820962"/>
          <w:tblCellSpacing w:w="15" w:type="dxa"/>
          <w:jc w:val="center"/>
        </w:trPr>
        <w:tc>
          <w:tcPr>
            <w:tcW w:w="0" w:type="auto"/>
            <w:vAlign w:val="center"/>
            <w:hideMark/>
          </w:tcPr>
          <w:p w14:paraId="2D1D0442" w14:textId="77777777" w:rsidR="00F971B9" w:rsidRPr="000E4A21" w:rsidRDefault="00F971B9" w:rsidP="002F0C16">
            <w:pPr>
              <w:jc w:val="center"/>
              <w:rPr>
                <w:rFonts w:asciiTheme="majorBidi" w:eastAsia="Times New Roman" w:hAnsiTheme="majorBidi" w:cstheme="majorBidi"/>
              </w:rPr>
            </w:pPr>
          </w:p>
        </w:tc>
        <w:tc>
          <w:tcPr>
            <w:tcW w:w="0" w:type="auto"/>
            <w:vAlign w:val="center"/>
            <w:hideMark/>
          </w:tcPr>
          <w:p w14:paraId="4D39218E"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(0.298)</w:t>
            </w:r>
          </w:p>
        </w:tc>
        <w:tc>
          <w:tcPr>
            <w:tcW w:w="0" w:type="auto"/>
            <w:vAlign w:val="center"/>
            <w:hideMark/>
          </w:tcPr>
          <w:p w14:paraId="23C92CAA"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(0.029)</w:t>
            </w:r>
          </w:p>
        </w:tc>
        <w:tc>
          <w:tcPr>
            <w:tcW w:w="0" w:type="auto"/>
            <w:vAlign w:val="center"/>
            <w:hideMark/>
          </w:tcPr>
          <w:p w14:paraId="77C334B2"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(0.051)</w:t>
            </w:r>
          </w:p>
        </w:tc>
        <w:tc>
          <w:tcPr>
            <w:tcW w:w="0" w:type="auto"/>
            <w:vAlign w:val="center"/>
            <w:hideMark/>
          </w:tcPr>
          <w:p w14:paraId="16C980AF"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(0.034)</w:t>
            </w:r>
          </w:p>
        </w:tc>
        <w:tc>
          <w:tcPr>
            <w:tcW w:w="0" w:type="auto"/>
            <w:vAlign w:val="center"/>
            <w:hideMark/>
          </w:tcPr>
          <w:p w14:paraId="4B5A8254"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(0.234)</w:t>
            </w:r>
          </w:p>
        </w:tc>
      </w:tr>
      <w:tr w:rsidR="000E4A21" w:rsidRPr="000E4A21" w14:paraId="21804030" w14:textId="77777777" w:rsidTr="002F0C16">
        <w:trPr>
          <w:divId w:val="2063820962"/>
          <w:tblCellSpacing w:w="15" w:type="dxa"/>
          <w:jc w:val="center"/>
        </w:trPr>
        <w:tc>
          <w:tcPr>
            <w:tcW w:w="0" w:type="auto"/>
            <w:vAlign w:val="center"/>
            <w:hideMark/>
          </w:tcPr>
          <w:p w14:paraId="36273E08"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Constant</w:t>
            </w:r>
          </w:p>
        </w:tc>
        <w:tc>
          <w:tcPr>
            <w:tcW w:w="0" w:type="auto"/>
            <w:vAlign w:val="center"/>
            <w:hideMark/>
          </w:tcPr>
          <w:p w14:paraId="1A837E71"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-8.567***</w:t>
            </w:r>
          </w:p>
        </w:tc>
        <w:tc>
          <w:tcPr>
            <w:tcW w:w="0" w:type="auto"/>
            <w:vAlign w:val="center"/>
            <w:hideMark/>
          </w:tcPr>
          <w:p w14:paraId="41967E1B"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-0.789***</w:t>
            </w:r>
          </w:p>
        </w:tc>
        <w:tc>
          <w:tcPr>
            <w:tcW w:w="0" w:type="auto"/>
            <w:vAlign w:val="center"/>
            <w:hideMark/>
          </w:tcPr>
          <w:p w14:paraId="4570AF78"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4.234***</w:t>
            </w:r>
          </w:p>
        </w:tc>
        <w:tc>
          <w:tcPr>
            <w:tcW w:w="0" w:type="auto"/>
            <w:vAlign w:val="center"/>
            <w:hideMark/>
          </w:tcPr>
          <w:p w14:paraId="0F086A62"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2.567***</w:t>
            </w:r>
          </w:p>
        </w:tc>
        <w:tc>
          <w:tcPr>
            <w:tcW w:w="0" w:type="auto"/>
            <w:vAlign w:val="center"/>
            <w:hideMark/>
          </w:tcPr>
          <w:p w14:paraId="50E5F8A2"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75.234***</w:t>
            </w:r>
          </w:p>
        </w:tc>
      </w:tr>
      <w:tr w:rsidR="000E4A21" w:rsidRPr="000E4A21" w14:paraId="1CD96921" w14:textId="77777777" w:rsidTr="002F0C16">
        <w:trPr>
          <w:divId w:val="2063820962"/>
          <w:tblCellSpacing w:w="15" w:type="dxa"/>
          <w:jc w:val="center"/>
        </w:trPr>
        <w:tc>
          <w:tcPr>
            <w:tcW w:w="0" w:type="auto"/>
            <w:vAlign w:val="center"/>
            <w:hideMark/>
          </w:tcPr>
          <w:p w14:paraId="502B230A" w14:textId="77777777" w:rsidR="00F971B9" w:rsidRPr="000E4A21" w:rsidRDefault="00F971B9" w:rsidP="002F0C16">
            <w:pPr>
              <w:jc w:val="center"/>
              <w:rPr>
                <w:rFonts w:asciiTheme="majorBidi" w:eastAsia="Times New Roman" w:hAnsiTheme="majorBidi" w:cstheme="majorBidi"/>
              </w:rPr>
            </w:pPr>
          </w:p>
        </w:tc>
        <w:tc>
          <w:tcPr>
            <w:tcW w:w="0" w:type="auto"/>
            <w:vAlign w:val="center"/>
            <w:hideMark/>
          </w:tcPr>
          <w:p w14:paraId="21EC19EA"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(2.456)</w:t>
            </w:r>
          </w:p>
        </w:tc>
        <w:tc>
          <w:tcPr>
            <w:tcW w:w="0" w:type="auto"/>
            <w:vAlign w:val="center"/>
            <w:hideMark/>
          </w:tcPr>
          <w:p w14:paraId="79AAF355"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(0.234)</w:t>
            </w:r>
          </w:p>
        </w:tc>
        <w:tc>
          <w:tcPr>
            <w:tcW w:w="0" w:type="auto"/>
            <w:vAlign w:val="center"/>
            <w:hideMark/>
          </w:tcPr>
          <w:p w14:paraId="2E45EF1A"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(0.567)</w:t>
            </w:r>
          </w:p>
        </w:tc>
        <w:tc>
          <w:tcPr>
            <w:tcW w:w="0" w:type="auto"/>
            <w:vAlign w:val="center"/>
            <w:hideMark/>
          </w:tcPr>
          <w:p w14:paraId="4BF28F96"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(0.345)</w:t>
            </w:r>
          </w:p>
        </w:tc>
        <w:tc>
          <w:tcPr>
            <w:tcW w:w="0" w:type="auto"/>
            <w:vAlign w:val="center"/>
            <w:hideMark/>
          </w:tcPr>
          <w:p w14:paraId="337B50D9"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(5.678)</w:t>
            </w:r>
          </w:p>
        </w:tc>
      </w:tr>
      <w:tr w:rsidR="000E4A21" w:rsidRPr="000E4A21" w14:paraId="00655936" w14:textId="77777777" w:rsidTr="002F0C16">
        <w:trPr>
          <w:divId w:val="2063820962"/>
          <w:tblCellSpacing w:w="15" w:type="dxa"/>
          <w:jc w:val="center"/>
        </w:trPr>
        <w:tc>
          <w:tcPr>
            <w:tcW w:w="0" w:type="auto"/>
            <w:vAlign w:val="center"/>
            <w:hideMark/>
          </w:tcPr>
          <w:p w14:paraId="5BA2D7BA"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Bank FE</w:t>
            </w:r>
          </w:p>
        </w:tc>
        <w:tc>
          <w:tcPr>
            <w:tcW w:w="0" w:type="auto"/>
            <w:vAlign w:val="center"/>
            <w:hideMark/>
          </w:tcPr>
          <w:p w14:paraId="113AD204"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Yes</w:t>
            </w:r>
          </w:p>
        </w:tc>
        <w:tc>
          <w:tcPr>
            <w:tcW w:w="0" w:type="auto"/>
            <w:vAlign w:val="center"/>
            <w:hideMark/>
          </w:tcPr>
          <w:p w14:paraId="189795F5"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Yes</w:t>
            </w:r>
          </w:p>
        </w:tc>
        <w:tc>
          <w:tcPr>
            <w:tcW w:w="0" w:type="auto"/>
            <w:vAlign w:val="center"/>
            <w:hideMark/>
          </w:tcPr>
          <w:p w14:paraId="0A609BD1"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Yes</w:t>
            </w:r>
          </w:p>
        </w:tc>
        <w:tc>
          <w:tcPr>
            <w:tcW w:w="0" w:type="auto"/>
            <w:vAlign w:val="center"/>
            <w:hideMark/>
          </w:tcPr>
          <w:p w14:paraId="3746632A"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Yes</w:t>
            </w:r>
          </w:p>
        </w:tc>
        <w:tc>
          <w:tcPr>
            <w:tcW w:w="0" w:type="auto"/>
            <w:vAlign w:val="center"/>
            <w:hideMark/>
          </w:tcPr>
          <w:p w14:paraId="22570B9D"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Yes</w:t>
            </w:r>
          </w:p>
        </w:tc>
      </w:tr>
      <w:tr w:rsidR="000E4A21" w:rsidRPr="000E4A21" w14:paraId="5B059378" w14:textId="77777777" w:rsidTr="002F0C16">
        <w:trPr>
          <w:divId w:val="2063820962"/>
          <w:tblCellSpacing w:w="15" w:type="dxa"/>
          <w:jc w:val="center"/>
        </w:trPr>
        <w:tc>
          <w:tcPr>
            <w:tcW w:w="0" w:type="auto"/>
            <w:vAlign w:val="center"/>
            <w:hideMark/>
          </w:tcPr>
          <w:p w14:paraId="4B1C118E"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Time FE</w:t>
            </w:r>
          </w:p>
        </w:tc>
        <w:tc>
          <w:tcPr>
            <w:tcW w:w="0" w:type="auto"/>
            <w:vAlign w:val="center"/>
            <w:hideMark/>
          </w:tcPr>
          <w:p w14:paraId="0EDA637C"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Yes</w:t>
            </w:r>
          </w:p>
        </w:tc>
        <w:tc>
          <w:tcPr>
            <w:tcW w:w="0" w:type="auto"/>
            <w:vAlign w:val="center"/>
            <w:hideMark/>
          </w:tcPr>
          <w:p w14:paraId="6B274750"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Yes</w:t>
            </w:r>
          </w:p>
        </w:tc>
        <w:tc>
          <w:tcPr>
            <w:tcW w:w="0" w:type="auto"/>
            <w:vAlign w:val="center"/>
            <w:hideMark/>
          </w:tcPr>
          <w:p w14:paraId="5CE7BBE6"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Yes</w:t>
            </w:r>
          </w:p>
        </w:tc>
        <w:tc>
          <w:tcPr>
            <w:tcW w:w="0" w:type="auto"/>
            <w:vAlign w:val="center"/>
            <w:hideMark/>
          </w:tcPr>
          <w:p w14:paraId="41205FB7"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Yes</w:t>
            </w:r>
          </w:p>
        </w:tc>
        <w:tc>
          <w:tcPr>
            <w:tcW w:w="0" w:type="auto"/>
            <w:vAlign w:val="center"/>
            <w:hideMark/>
          </w:tcPr>
          <w:p w14:paraId="1204BE4F"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Yes</w:t>
            </w:r>
          </w:p>
        </w:tc>
      </w:tr>
      <w:tr w:rsidR="000E4A21" w:rsidRPr="000E4A21" w14:paraId="41B57416" w14:textId="77777777" w:rsidTr="002F0C16">
        <w:trPr>
          <w:divId w:val="2063820962"/>
          <w:tblCellSpacing w:w="15" w:type="dxa"/>
          <w:jc w:val="center"/>
        </w:trPr>
        <w:tc>
          <w:tcPr>
            <w:tcW w:w="0" w:type="auto"/>
            <w:vAlign w:val="center"/>
            <w:hideMark/>
          </w:tcPr>
          <w:p w14:paraId="7FF75A53"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R-squared</w:t>
            </w:r>
          </w:p>
        </w:tc>
        <w:tc>
          <w:tcPr>
            <w:tcW w:w="0" w:type="auto"/>
            <w:vAlign w:val="center"/>
            <w:hideMark/>
          </w:tcPr>
          <w:p w14:paraId="4F512C65"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0.742</w:t>
            </w:r>
          </w:p>
        </w:tc>
        <w:tc>
          <w:tcPr>
            <w:tcW w:w="0" w:type="auto"/>
            <w:vAlign w:val="center"/>
            <w:hideMark/>
          </w:tcPr>
          <w:p w14:paraId="7820FD79"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0.689</w:t>
            </w:r>
          </w:p>
        </w:tc>
        <w:tc>
          <w:tcPr>
            <w:tcW w:w="0" w:type="auto"/>
            <w:vAlign w:val="center"/>
            <w:hideMark/>
          </w:tcPr>
          <w:p w14:paraId="24A9028B"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0.654</w:t>
            </w:r>
          </w:p>
        </w:tc>
        <w:tc>
          <w:tcPr>
            <w:tcW w:w="0" w:type="auto"/>
            <w:vAlign w:val="center"/>
            <w:hideMark/>
          </w:tcPr>
          <w:p w14:paraId="02D36471"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0.578</w:t>
            </w:r>
          </w:p>
        </w:tc>
        <w:tc>
          <w:tcPr>
            <w:tcW w:w="0" w:type="auto"/>
            <w:vAlign w:val="center"/>
            <w:hideMark/>
          </w:tcPr>
          <w:p w14:paraId="02C103A5"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0.723</w:t>
            </w:r>
          </w:p>
        </w:tc>
      </w:tr>
      <w:tr w:rsidR="000E4A21" w:rsidRPr="000E4A21" w14:paraId="150B5EC7" w14:textId="77777777" w:rsidTr="002F0C16">
        <w:trPr>
          <w:divId w:val="2063820962"/>
          <w:tblCellSpacing w:w="15" w:type="dxa"/>
          <w:jc w:val="center"/>
        </w:trPr>
        <w:tc>
          <w:tcPr>
            <w:tcW w:w="0" w:type="auto"/>
            <w:vAlign w:val="center"/>
            <w:hideMark/>
          </w:tcPr>
          <w:p w14:paraId="693341BB"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Observations</w:t>
            </w:r>
          </w:p>
        </w:tc>
        <w:tc>
          <w:tcPr>
            <w:tcW w:w="0" w:type="auto"/>
            <w:vAlign w:val="center"/>
            <w:hideMark/>
          </w:tcPr>
          <w:p w14:paraId="6E6DA202"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4,800</w:t>
            </w:r>
          </w:p>
        </w:tc>
        <w:tc>
          <w:tcPr>
            <w:tcW w:w="0" w:type="auto"/>
            <w:vAlign w:val="center"/>
            <w:hideMark/>
          </w:tcPr>
          <w:p w14:paraId="7EED2953"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4,800</w:t>
            </w:r>
          </w:p>
        </w:tc>
        <w:tc>
          <w:tcPr>
            <w:tcW w:w="0" w:type="auto"/>
            <w:vAlign w:val="center"/>
            <w:hideMark/>
          </w:tcPr>
          <w:p w14:paraId="6B574611"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4,800</w:t>
            </w:r>
          </w:p>
        </w:tc>
        <w:tc>
          <w:tcPr>
            <w:tcW w:w="0" w:type="auto"/>
            <w:vAlign w:val="center"/>
            <w:hideMark/>
          </w:tcPr>
          <w:p w14:paraId="0E27F031"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4,800</w:t>
            </w:r>
          </w:p>
        </w:tc>
        <w:tc>
          <w:tcPr>
            <w:tcW w:w="0" w:type="auto"/>
            <w:vAlign w:val="center"/>
            <w:hideMark/>
          </w:tcPr>
          <w:p w14:paraId="2D363E93" w14:textId="77777777" w:rsidR="00F971B9" w:rsidRPr="000E4A21" w:rsidRDefault="00F971B9" w:rsidP="002F0C16">
            <w:pPr>
              <w:bidi w:val="0"/>
              <w:jc w:val="center"/>
              <w:rPr>
                <w:rFonts w:asciiTheme="majorBidi" w:eastAsia="Times New Roman" w:hAnsiTheme="majorBidi" w:cstheme="majorBidi"/>
              </w:rPr>
            </w:pPr>
            <w:r w:rsidRPr="000E4A21">
              <w:rPr>
                <w:rFonts w:asciiTheme="majorBidi" w:eastAsia="Times New Roman" w:hAnsiTheme="majorBidi" w:cstheme="majorBidi"/>
              </w:rPr>
              <w:t>4,800</w:t>
            </w:r>
          </w:p>
        </w:tc>
      </w:tr>
    </w:tbl>
    <w:p w14:paraId="703FB5CE" w14:textId="77777777" w:rsidR="00F971B9" w:rsidRPr="000E4A21" w:rsidRDefault="00F971B9" w:rsidP="00C0492C">
      <w:pPr>
        <w:pStyle w:val="NormalWeb"/>
        <w:jc w:val="both"/>
        <w:divId w:val="2063820962"/>
        <w:rPr>
          <w:rFonts w:asciiTheme="majorBidi" w:hAnsiTheme="majorBidi" w:cstheme="majorBidi"/>
        </w:rPr>
      </w:pPr>
      <w:r w:rsidRPr="000E4A21">
        <w:rPr>
          <w:rStyle w:val="Emphasis"/>
          <w:rFonts w:asciiTheme="majorBidi" w:hAnsiTheme="majorBidi" w:cstheme="majorBidi"/>
        </w:rPr>
        <w:t>Notes: Standard errors in parentheses. *** p&lt;0.01, ** p&lt;0.05, * p&lt;0.1</w:t>
      </w:r>
    </w:p>
    <w:p w14:paraId="0EF125A0" w14:textId="77777777" w:rsidR="00E33A7B" w:rsidRDefault="00E33A7B" w:rsidP="00C0492C">
      <w:pPr>
        <w:pStyle w:val="NormalWeb"/>
        <w:jc w:val="both"/>
        <w:divId w:val="2063820962"/>
        <w:rPr>
          <w:rFonts w:asciiTheme="majorBidi" w:hAnsiTheme="majorBidi" w:cstheme="majorBidi"/>
        </w:rPr>
      </w:pPr>
      <w:r w:rsidRPr="00E33A7B">
        <w:rPr>
          <w:rFonts w:asciiTheme="majorBidi" w:hAnsiTheme="majorBidi" w:cstheme="majorBidi"/>
        </w:rPr>
        <w:t>Source: R 4.3.0 production package</w:t>
      </w:r>
    </w:p>
    <w:p w14:paraId="572EA4E8" w14:textId="543D160F"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lastRenderedPageBreak/>
        <w:t xml:space="preserve">The results demonstrate statistically significant relationships between climate transition risks and key banking performance metrics. Banks with higher Climate Risk Index scores exhibit lower profitability, with a one-standard-deviation increase in the risk index associated with an </w:t>
      </w:r>
      <w:proofErr w:type="gramStart"/>
      <w:r w:rsidRPr="000E4A21">
        <w:rPr>
          <w:rFonts w:asciiTheme="majorBidi" w:hAnsiTheme="majorBidi" w:cstheme="majorBidi"/>
        </w:rPr>
        <w:t>89 basis</w:t>
      </w:r>
      <w:proofErr w:type="gramEnd"/>
      <w:r w:rsidRPr="000E4A21">
        <w:rPr>
          <w:rFonts w:asciiTheme="majorBidi" w:hAnsiTheme="majorBidi" w:cstheme="majorBidi"/>
        </w:rPr>
        <w:t xml:space="preserve"> point reduction in ROE and 12 basis point decrease in ROA. The effect on asset quality is particularly pronounced, with higher climate risk exposure correlating with increased non-performing loan ratios.</w:t>
      </w:r>
    </w:p>
    <w:p w14:paraId="337948E6" w14:textId="77777777" w:rsidR="00F971B9" w:rsidRPr="00A406AF" w:rsidRDefault="00F971B9" w:rsidP="00C0492C">
      <w:pPr>
        <w:pStyle w:val="Heading3"/>
        <w:bidi w:val="0"/>
        <w:jc w:val="both"/>
        <w:divId w:val="2063820962"/>
        <w:rPr>
          <w:rFonts w:asciiTheme="majorBidi" w:eastAsia="Times New Roman" w:hAnsiTheme="majorBidi"/>
          <w:b/>
          <w:bCs/>
          <w:color w:val="auto"/>
          <w:sz w:val="24"/>
          <w:szCs w:val="24"/>
        </w:rPr>
      </w:pPr>
      <w:r w:rsidRPr="00A406AF">
        <w:rPr>
          <w:rFonts w:asciiTheme="majorBidi" w:eastAsia="Times New Roman" w:hAnsiTheme="majorBidi"/>
          <w:b/>
          <w:bCs/>
          <w:color w:val="auto"/>
          <w:sz w:val="24"/>
          <w:szCs w:val="24"/>
        </w:rPr>
        <w:t>4.3 Dynamic Analysis and Transmission Mechanisms</w:t>
      </w:r>
    </w:p>
    <w:p w14:paraId="4EEE799E"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Figure 1 illustrates the dynamic response of banking performance indicators to climate policy shocks using impulse response functions derived from our PVAR estimation. The results reveal that climate policy announcements generate immediate negative effects on bank valuations, followed by gradual adjustment over subsequent quarters.</w:t>
      </w:r>
    </w:p>
    <w:p w14:paraId="2DBC88FA" w14:textId="5D11A9BC" w:rsidR="00F971B9" w:rsidRPr="000E4A21" w:rsidRDefault="00F971B9" w:rsidP="002F0C16">
      <w:pPr>
        <w:pStyle w:val="NormalWeb"/>
        <w:jc w:val="center"/>
        <w:divId w:val="2063820962"/>
        <w:rPr>
          <w:rFonts w:asciiTheme="majorBidi" w:hAnsiTheme="majorBidi" w:cstheme="majorBidi"/>
        </w:rPr>
      </w:pPr>
      <w:r w:rsidRPr="000E4A21">
        <w:rPr>
          <w:rStyle w:val="Strong"/>
          <w:rFonts w:asciiTheme="majorBidi" w:hAnsiTheme="majorBidi" w:cstheme="majorBidi"/>
        </w:rPr>
        <w:t>Figure 1: Impulse Response Functions - Banking Performance to Climate Policy Shocks</w:t>
      </w:r>
    </w:p>
    <w:p w14:paraId="5C6962CD" w14:textId="77777777" w:rsidR="00A406AF" w:rsidRDefault="002F0C16" w:rsidP="00A406AF">
      <w:pPr>
        <w:pStyle w:val="NormalWeb"/>
        <w:jc w:val="center"/>
        <w:divId w:val="2063820962"/>
        <w:rPr>
          <w:rFonts w:asciiTheme="majorBidi" w:hAnsiTheme="majorBidi" w:cstheme="majorBidi"/>
        </w:rPr>
      </w:pPr>
      <w:r w:rsidRPr="000E4A21">
        <w:rPr>
          <w:rFonts w:asciiTheme="majorBidi" w:hAnsiTheme="majorBidi" w:cstheme="majorBidi"/>
          <w:noProof/>
        </w:rPr>
        <w:drawing>
          <wp:inline distT="0" distB="0" distL="0" distR="0" wp14:anchorId="6CD5F820" wp14:editId="6B99C469">
            <wp:extent cx="5080635" cy="2759103"/>
            <wp:effectExtent l="0" t="0" r="5715" b="317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17440"/>
                    <a:stretch/>
                  </pic:blipFill>
                  <pic:spPr bwMode="auto">
                    <a:xfrm>
                      <a:off x="0" y="0"/>
                      <a:ext cx="5111956" cy="2776112"/>
                    </a:xfrm>
                    <a:prstGeom prst="rect">
                      <a:avLst/>
                    </a:prstGeom>
                    <a:ln>
                      <a:noFill/>
                    </a:ln>
                    <a:extLst>
                      <a:ext uri="{53640926-AAD7-44D8-BBD7-CCE9431645EC}">
                        <a14:shadowObscured xmlns:a14="http://schemas.microsoft.com/office/drawing/2010/main"/>
                      </a:ext>
                    </a:extLst>
                  </pic:spPr>
                </pic:pic>
              </a:graphicData>
            </a:graphic>
          </wp:inline>
        </w:drawing>
      </w:r>
    </w:p>
    <w:p w14:paraId="2613FC56" w14:textId="77777777" w:rsidR="00E33A7B" w:rsidRDefault="00E33A7B" w:rsidP="00A406AF">
      <w:pPr>
        <w:pStyle w:val="NormalWeb"/>
        <w:jc w:val="both"/>
        <w:divId w:val="2063820962"/>
        <w:rPr>
          <w:rFonts w:asciiTheme="majorBidi" w:hAnsiTheme="majorBidi" w:cstheme="majorBidi"/>
        </w:rPr>
      </w:pPr>
      <w:r w:rsidRPr="00E33A7B">
        <w:rPr>
          <w:rFonts w:asciiTheme="majorBidi" w:hAnsiTheme="majorBidi" w:cstheme="majorBidi"/>
        </w:rPr>
        <w:t>Source: R 4.3.0 production package</w:t>
      </w:r>
    </w:p>
    <w:p w14:paraId="34DFABD9" w14:textId="67C43AD8" w:rsidR="00F971B9" w:rsidRPr="000E4A21" w:rsidRDefault="00F971B9" w:rsidP="00A406AF">
      <w:pPr>
        <w:pStyle w:val="NormalWeb"/>
        <w:jc w:val="both"/>
        <w:divId w:val="2063820962"/>
        <w:rPr>
          <w:rFonts w:asciiTheme="majorBidi" w:hAnsiTheme="majorBidi" w:cstheme="majorBidi"/>
        </w:rPr>
      </w:pPr>
      <w:r w:rsidRPr="000E4A21">
        <w:rPr>
          <w:rFonts w:asciiTheme="majorBidi" w:hAnsiTheme="majorBidi" w:cstheme="majorBidi"/>
        </w:rPr>
        <w:t>The impulse response analysis shows that ROE exhibits the strongest initial response, declining by approximately 180 basis points in the first quarter following a one-standard-deviation climate policy shock. The effect persists for approximately six quarters before gradually returning toward baseline levels. Non-performing loan ratios show delayed but sustained increases, peaking in the fourth quarter post-shock at approximately 85 basis points above baseline.</w:t>
      </w:r>
    </w:p>
    <w:p w14:paraId="03D0732F" w14:textId="77777777" w:rsidR="00F971B9" w:rsidRPr="00A406AF" w:rsidRDefault="00F971B9" w:rsidP="00C0492C">
      <w:pPr>
        <w:pStyle w:val="Heading3"/>
        <w:bidi w:val="0"/>
        <w:jc w:val="both"/>
        <w:divId w:val="2063820962"/>
        <w:rPr>
          <w:rFonts w:asciiTheme="majorBidi" w:eastAsia="Times New Roman" w:hAnsiTheme="majorBidi"/>
          <w:b/>
          <w:bCs/>
          <w:color w:val="auto"/>
          <w:sz w:val="24"/>
          <w:szCs w:val="24"/>
        </w:rPr>
      </w:pPr>
      <w:r w:rsidRPr="00A406AF">
        <w:rPr>
          <w:rFonts w:asciiTheme="majorBidi" w:eastAsia="Times New Roman" w:hAnsiTheme="majorBidi"/>
          <w:b/>
          <w:bCs/>
          <w:color w:val="auto"/>
          <w:sz w:val="24"/>
          <w:szCs w:val="24"/>
        </w:rPr>
        <w:t>4.4 Cross-Sectional Heterogeneity Analysis</w:t>
      </w:r>
    </w:p>
    <w:p w14:paraId="6EDF9342" w14:textId="77777777" w:rsidR="00F971B9"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Table 3 examines heterogeneous effects across different bank characteristics, revealing significant variation in climate risk sensitivity based on institutional features.</w:t>
      </w:r>
    </w:p>
    <w:p w14:paraId="760C7636" w14:textId="77777777" w:rsidR="00B27987" w:rsidRDefault="00B27987" w:rsidP="00C0492C">
      <w:pPr>
        <w:pStyle w:val="NormalWeb"/>
        <w:jc w:val="both"/>
        <w:divId w:val="2063820962"/>
        <w:rPr>
          <w:rFonts w:asciiTheme="majorBidi" w:hAnsiTheme="majorBidi" w:cstheme="majorBidi"/>
        </w:rPr>
      </w:pPr>
    </w:p>
    <w:p w14:paraId="7EA7FC4F" w14:textId="77777777" w:rsidR="00B27987" w:rsidRDefault="00B27987" w:rsidP="00C0492C">
      <w:pPr>
        <w:pStyle w:val="NormalWeb"/>
        <w:jc w:val="both"/>
        <w:divId w:val="2063820962"/>
        <w:rPr>
          <w:rFonts w:asciiTheme="majorBidi" w:hAnsiTheme="majorBidi" w:cstheme="majorBidi"/>
        </w:rPr>
      </w:pPr>
    </w:p>
    <w:p w14:paraId="1BD641AB" w14:textId="77777777" w:rsidR="00B27987" w:rsidRPr="000E4A21" w:rsidRDefault="00B27987" w:rsidP="00C0492C">
      <w:pPr>
        <w:pStyle w:val="NormalWeb"/>
        <w:jc w:val="both"/>
        <w:divId w:val="2063820962"/>
        <w:rPr>
          <w:rFonts w:asciiTheme="majorBidi" w:hAnsiTheme="majorBidi" w:cstheme="majorBidi"/>
        </w:rPr>
      </w:pPr>
    </w:p>
    <w:p w14:paraId="12214C3B" w14:textId="77777777" w:rsidR="00F971B9" w:rsidRPr="000E4A21" w:rsidRDefault="00F971B9" w:rsidP="002F0C16">
      <w:pPr>
        <w:pStyle w:val="NormalWeb"/>
        <w:jc w:val="center"/>
        <w:divId w:val="2063820962"/>
        <w:rPr>
          <w:rFonts w:asciiTheme="majorBidi" w:hAnsiTheme="majorBidi" w:cstheme="majorBidi"/>
        </w:rPr>
      </w:pPr>
      <w:r w:rsidRPr="000E4A21">
        <w:rPr>
          <w:rStyle w:val="Strong"/>
          <w:rFonts w:asciiTheme="majorBidi" w:hAnsiTheme="majorBidi" w:cstheme="majorBidi"/>
        </w:rPr>
        <w:t>Table 3: Heterogeneous Climate Risk Effects by Bank Characteristics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57"/>
        <w:gridCol w:w="1273"/>
        <w:gridCol w:w="1220"/>
        <w:gridCol w:w="1456"/>
      </w:tblGrid>
      <w:tr w:rsidR="000E4A21" w:rsidRPr="000E4A21" w14:paraId="5CE0D6A6" w14:textId="77777777" w:rsidTr="002F0C16">
        <w:trPr>
          <w:divId w:val="2063820962"/>
          <w:tblHeader/>
          <w:tblCellSpacing w:w="15" w:type="dxa"/>
          <w:jc w:val="center"/>
        </w:trPr>
        <w:tc>
          <w:tcPr>
            <w:tcW w:w="0" w:type="auto"/>
            <w:vAlign w:val="center"/>
            <w:hideMark/>
          </w:tcPr>
          <w:p w14:paraId="227633A6" w14:textId="77777777" w:rsidR="00F971B9" w:rsidRPr="000E4A21" w:rsidRDefault="00F971B9" w:rsidP="00C0492C">
            <w:pPr>
              <w:bidi w:val="0"/>
              <w:jc w:val="both"/>
              <w:rPr>
                <w:rFonts w:asciiTheme="majorBidi" w:eastAsia="Times New Roman" w:hAnsiTheme="majorBidi" w:cstheme="majorBidi"/>
                <w:b/>
                <w:bCs/>
              </w:rPr>
            </w:pPr>
            <w:r w:rsidRPr="000E4A21">
              <w:rPr>
                <w:rFonts w:asciiTheme="majorBidi" w:eastAsia="Times New Roman" w:hAnsiTheme="majorBidi" w:cstheme="majorBidi"/>
                <w:b/>
                <w:bCs/>
              </w:rPr>
              <w:lastRenderedPageBreak/>
              <w:t>Subsample</w:t>
            </w:r>
          </w:p>
        </w:tc>
        <w:tc>
          <w:tcPr>
            <w:tcW w:w="0" w:type="auto"/>
            <w:vAlign w:val="center"/>
            <w:hideMark/>
          </w:tcPr>
          <w:p w14:paraId="2BA83455" w14:textId="77777777" w:rsidR="00F971B9" w:rsidRPr="000E4A21" w:rsidRDefault="00F971B9" w:rsidP="00C0492C">
            <w:pPr>
              <w:bidi w:val="0"/>
              <w:jc w:val="both"/>
              <w:rPr>
                <w:rFonts w:asciiTheme="majorBidi" w:eastAsia="Times New Roman" w:hAnsiTheme="majorBidi" w:cstheme="majorBidi"/>
                <w:b/>
                <w:bCs/>
              </w:rPr>
            </w:pPr>
            <w:r w:rsidRPr="000E4A21">
              <w:rPr>
                <w:rFonts w:asciiTheme="majorBidi" w:eastAsia="Times New Roman" w:hAnsiTheme="majorBidi" w:cstheme="majorBidi"/>
                <w:b/>
                <w:bCs/>
              </w:rPr>
              <w:t>ROE Effect</w:t>
            </w:r>
          </w:p>
        </w:tc>
        <w:tc>
          <w:tcPr>
            <w:tcW w:w="0" w:type="auto"/>
            <w:vAlign w:val="center"/>
            <w:hideMark/>
          </w:tcPr>
          <w:p w14:paraId="6EEC703A" w14:textId="77777777" w:rsidR="00F971B9" w:rsidRPr="000E4A21" w:rsidRDefault="00F971B9" w:rsidP="00C0492C">
            <w:pPr>
              <w:bidi w:val="0"/>
              <w:jc w:val="both"/>
              <w:rPr>
                <w:rFonts w:asciiTheme="majorBidi" w:eastAsia="Times New Roman" w:hAnsiTheme="majorBidi" w:cstheme="majorBidi"/>
                <w:b/>
                <w:bCs/>
              </w:rPr>
            </w:pPr>
            <w:r w:rsidRPr="000E4A21">
              <w:rPr>
                <w:rFonts w:asciiTheme="majorBidi" w:eastAsia="Times New Roman" w:hAnsiTheme="majorBidi" w:cstheme="majorBidi"/>
                <w:b/>
                <w:bCs/>
              </w:rPr>
              <w:t>NPL Effect</w:t>
            </w:r>
          </w:p>
        </w:tc>
        <w:tc>
          <w:tcPr>
            <w:tcW w:w="0" w:type="auto"/>
            <w:vAlign w:val="center"/>
            <w:hideMark/>
          </w:tcPr>
          <w:p w14:paraId="7F9A489E" w14:textId="77777777" w:rsidR="00F971B9" w:rsidRPr="000E4A21" w:rsidRDefault="00F971B9" w:rsidP="00C0492C">
            <w:pPr>
              <w:bidi w:val="0"/>
              <w:jc w:val="both"/>
              <w:rPr>
                <w:rFonts w:asciiTheme="majorBidi" w:eastAsia="Times New Roman" w:hAnsiTheme="majorBidi" w:cstheme="majorBidi"/>
                <w:b/>
                <w:bCs/>
              </w:rPr>
            </w:pPr>
            <w:r w:rsidRPr="000E4A21">
              <w:rPr>
                <w:rFonts w:asciiTheme="majorBidi" w:eastAsia="Times New Roman" w:hAnsiTheme="majorBidi" w:cstheme="majorBidi"/>
                <w:b/>
                <w:bCs/>
              </w:rPr>
              <w:t>Observations</w:t>
            </w:r>
          </w:p>
        </w:tc>
      </w:tr>
      <w:tr w:rsidR="000E4A21" w:rsidRPr="000E4A21" w14:paraId="3B434CA2" w14:textId="77777777" w:rsidTr="002F0C16">
        <w:trPr>
          <w:divId w:val="2063820962"/>
          <w:tblCellSpacing w:w="15" w:type="dxa"/>
          <w:jc w:val="center"/>
        </w:trPr>
        <w:tc>
          <w:tcPr>
            <w:tcW w:w="0" w:type="auto"/>
            <w:vAlign w:val="center"/>
            <w:hideMark/>
          </w:tcPr>
          <w:p w14:paraId="389784E2"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Large Banks (&gt;€50B assets)</w:t>
            </w:r>
          </w:p>
        </w:tc>
        <w:tc>
          <w:tcPr>
            <w:tcW w:w="0" w:type="auto"/>
            <w:vAlign w:val="center"/>
            <w:hideMark/>
          </w:tcPr>
          <w:p w14:paraId="27D19F21"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-0.067***</w:t>
            </w:r>
          </w:p>
        </w:tc>
        <w:tc>
          <w:tcPr>
            <w:tcW w:w="0" w:type="auto"/>
            <w:vAlign w:val="center"/>
            <w:hideMark/>
          </w:tcPr>
          <w:p w14:paraId="2FD28457"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0.029***</w:t>
            </w:r>
          </w:p>
        </w:tc>
        <w:tc>
          <w:tcPr>
            <w:tcW w:w="0" w:type="auto"/>
            <w:vAlign w:val="center"/>
            <w:hideMark/>
          </w:tcPr>
          <w:p w14:paraId="3A2BBECB"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1,920</w:t>
            </w:r>
          </w:p>
        </w:tc>
      </w:tr>
      <w:tr w:rsidR="000E4A21" w:rsidRPr="000E4A21" w14:paraId="11B6BF91" w14:textId="77777777" w:rsidTr="002F0C16">
        <w:trPr>
          <w:divId w:val="2063820962"/>
          <w:tblCellSpacing w:w="15" w:type="dxa"/>
          <w:jc w:val="center"/>
        </w:trPr>
        <w:tc>
          <w:tcPr>
            <w:tcW w:w="0" w:type="auto"/>
            <w:vAlign w:val="center"/>
            <w:hideMark/>
          </w:tcPr>
          <w:p w14:paraId="1FDFC95B" w14:textId="77777777" w:rsidR="00F971B9" w:rsidRPr="000E4A21" w:rsidRDefault="00F971B9" w:rsidP="00C0492C">
            <w:pPr>
              <w:jc w:val="both"/>
              <w:rPr>
                <w:rFonts w:asciiTheme="majorBidi" w:eastAsia="Times New Roman" w:hAnsiTheme="majorBidi" w:cstheme="majorBidi"/>
              </w:rPr>
            </w:pPr>
          </w:p>
        </w:tc>
        <w:tc>
          <w:tcPr>
            <w:tcW w:w="0" w:type="auto"/>
            <w:vAlign w:val="center"/>
            <w:hideMark/>
          </w:tcPr>
          <w:p w14:paraId="673C6E1D"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(0.018)</w:t>
            </w:r>
          </w:p>
        </w:tc>
        <w:tc>
          <w:tcPr>
            <w:tcW w:w="0" w:type="auto"/>
            <w:vAlign w:val="center"/>
            <w:hideMark/>
          </w:tcPr>
          <w:p w14:paraId="1459485F"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(0.008)</w:t>
            </w:r>
          </w:p>
        </w:tc>
        <w:tc>
          <w:tcPr>
            <w:tcW w:w="0" w:type="auto"/>
            <w:vAlign w:val="center"/>
            <w:hideMark/>
          </w:tcPr>
          <w:p w14:paraId="403A2553" w14:textId="77777777" w:rsidR="00F971B9" w:rsidRPr="000E4A21" w:rsidRDefault="00F971B9" w:rsidP="00C0492C">
            <w:pPr>
              <w:jc w:val="both"/>
              <w:rPr>
                <w:rFonts w:asciiTheme="majorBidi" w:eastAsia="Times New Roman" w:hAnsiTheme="majorBidi" w:cstheme="majorBidi"/>
              </w:rPr>
            </w:pPr>
          </w:p>
        </w:tc>
      </w:tr>
      <w:tr w:rsidR="000E4A21" w:rsidRPr="000E4A21" w14:paraId="4BDB8B72" w14:textId="77777777" w:rsidTr="002F0C16">
        <w:trPr>
          <w:divId w:val="2063820962"/>
          <w:tblCellSpacing w:w="15" w:type="dxa"/>
          <w:jc w:val="center"/>
        </w:trPr>
        <w:tc>
          <w:tcPr>
            <w:tcW w:w="0" w:type="auto"/>
            <w:vAlign w:val="center"/>
            <w:hideMark/>
          </w:tcPr>
          <w:p w14:paraId="2ADFCC0F"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Medium Banks (€10-50B)</w:t>
            </w:r>
          </w:p>
        </w:tc>
        <w:tc>
          <w:tcPr>
            <w:tcW w:w="0" w:type="auto"/>
            <w:vAlign w:val="center"/>
            <w:hideMark/>
          </w:tcPr>
          <w:p w14:paraId="66A41FA2"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-0.123***</w:t>
            </w:r>
          </w:p>
        </w:tc>
        <w:tc>
          <w:tcPr>
            <w:tcW w:w="0" w:type="auto"/>
            <w:vAlign w:val="center"/>
            <w:hideMark/>
          </w:tcPr>
          <w:p w14:paraId="415E6EEE"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0.043***</w:t>
            </w:r>
          </w:p>
        </w:tc>
        <w:tc>
          <w:tcPr>
            <w:tcW w:w="0" w:type="auto"/>
            <w:vAlign w:val="center"/>
            <w:hideMark/>
          </w:tcPr>
          <w:p w14:paraId="5ED27B92"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2,880</w:t>
            </w:r>
          </w:p>
        </w:tc>
      </w:tr>
      <w:tr w:rsidR="000E4A21" w:rsidRPr="000E4A21" w14:paraId="04214C65" w14:textId="77777777" w:rsidTr="002F0C16">
        <w:trPr>
          <w:divId w:val="2063820962"/>
          <w:tblCellSpacing w:w="15" w:type="dxa"/>
          <w:jc w:val="center"/>
        </w:trPr>
        <w:tc>
          <w:tcPr>
            <w:tcW w:w="0" w:type="auto"/>
            <w:vAlign w:val="center"/>
            <w:hideMark/>
          </w:tcPr>
          <w:p w14:paraId="40817479" w14:textId="77777777" w:rsidR="00F971B9" w:rsidRPr="000E4A21" w:rsidRDefault="00F971B9" w:rsidP="00C0492C">
            <w:pPr>
              <w:jc w:val="both"/>
              <w:rPr>
                <w:rFonts w:asciiTheme="majorBidi" w:eastAsia="Times New Roman" w:hAnsiTheme="majorBidi" w:cstheme="majorBidi"/>
              </w:rPr>
            </w:pPr>
          </w:p>
        </w:tc>
        <w:tc>
          <w:tcPr>
            <w:tcW w:w="0" w:type="auto"/>
            <w:vAlign w:val="center"/>
            <w:hideMark/>
          </w:tcPr>
          <w:p w14:paraId="415E1A8D"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(0.031)</w:t>
            </w:r>
          </w:p>
        </w:tc>
        <w:tc>
          <w:tcPr>
            <w:tcW w:w="0" w:type="auto"/>
            <w:vAlign w:val="center"/>
            <w:hideMark/>
          </w:tcPr>
          <w:p w14:paraId="522D6FD5"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(0.012)</w:t>
            </w:r>
          </w:p>
        </w:tc>
        <w:tc>
          <w:tcPr>
            <w:tcW w:w="0" w:type="auto"/>
            <w:vAlign w:val="center"/>
            <w:hideMark/>
          </w:tcPr>
          <w:p w14:paraId="34282BB3" w14:textId="77777777" w:rsidR="00F971B9" w:rsidRPr="000E4A21" w:rsidRDefault="00F971B9" w:rsidP="00C0492C">
            <w:pPr>
              <w:jc w:val="both"/>
              <w:rPr>
                <w:rFonts w:asciiTheme="majorBidi" w:eastAsia="Times New Roman" w:hAnsiTheme="majorBidi" w:cstheme="majorBidi"/>
              </w:rPr>
            </w:pPr>
          </w:p>
        </w:tc>
      </w:tr>
      <w:tr w:rsidR="000E4A21" w:rsidRPr="000E4A21" w14:paraId="0D960DE0" w14:textId="77777777" w:rsidTr="002F0C16">
        <w:trPr>
          <w:divId w:val="2063820962"/>
          <w:tblCellSpacing w:w="15" w:type="dxa"/>
          <w:jc w:val="center"/>
        </w:trPr>
        <w:tc>
          <w:tcPr>
            <w:tcW w:w="0" w:type="auto"/>
            <w:vAlign w:val="center"/>
            <w:hideMark/>
          </w:tcPr>
          <w:p w14:paraId="0C7C746B"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High Carbon Intensity (&gt;400)</w:t>
            </w:r>
          </w:p>
        </w:tc>
        <w:tc>
          <w:tcPr>
            <w:tcW w:w="0" w:type="auto"/>
            <w:vAlign w:val="center"/>
            <w:hideMark/>
          </w:tcPr>
          <w:p w14:paraId="1D8AE96A"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-0.156***</w:t>
            </w:r>
          </w:p>
        </w:tc>
        <w:tc>
          <w:tcPr>
            <w:tcW w:w="0" w:type="auto"/>
            <w:vAlign w:val="center"/>
            <w:hideMark/>
          </w:tcPr>
          <w:p w14:paraId="7529585A"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0.067***</w:t>
            </w:r>
          </w:p>
        </w:tc>
        <w:tc>
          <w:tcPr>
            <w:tcW w:w="0" w:type="auto"/>
            <w:vAlign w:val="center"/>
            <w:hideMark/>
          </w:tcPr>
          <w:p w14:paraId="4E2F7486"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1,440</w:t>
            </w:r>
          </w:p>
        </w:tc>
      </w:tr>
      <w:tr w:rsidR="000E4A21" w:rsidRPr="000E4A21" w14:paraId="79869D6F" w14:textId="77777777" w:rsidTr="002F0C16">
        <w:trPr>
          <w:divId w:val="2063820962"/>
          <w:tblCellSpacing w:w="15" w:type="dxa"/>
          <w:jc w:val="center"/>
        </w:trPr>
        <w:tc>
          <w:tcPr>
            <w:tcW w:w="0" w:type="auto"/>
            <w:vAlign w:val="center"/>
            <w:hideMark/>
          </w:tcPr>
          <w:p w14:paraId="509F1201" w14:textId="77777777" w:rsidR="00F971B9" w:rsidRPr="000E4A21" w:rsidRDefault="00F971B9" w:rsidP="00C0492C">
            <w:pPr>
              <w:jc w:val="both"/>
              <w:rPr>
                <w:rFonts w:asciiTheme="majorBidi" w:eastAsia="Times New Roman" w:hAnsiTheme="majorBidi" w:cstheme="majorBidi"/>
              </w:rPr>
            </w:pPr>
          </w:p>
        </w:tc>
        <w:tc>
          <w:tcPr>
            <w:tcW w:w="0" w:type="auto"/>
            <w:vAlign w:val="center"/>
            <w:hideMark/>
          </w:tcPr>
          <w:p w14:paraId="0182A315"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(0.042)</w:t>
            </w:r>
          </w:p>
        </w:tc>
        <w:tc>
          <w:tcPr>
            <w:tcW w:w="0" w:type="auto"/>
            <w:vAlign w:val="center"/>
            <w:hideMark/>
          </w:tcPr>
          <w:p w14:paraId="0BB713A1"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(0.018)</w:t>
            </w:r>
          </w:p>
        </w:tc>
        <w:tc>
          <w:tcPr>
            <w:tcW w:w="0" w:type="auto"/>
            <w:vAlign w:val="center"/>
            <w:hideMark/>
          </w:tcPr>
          <w:p w14:paraId="0978C768" w14:textId="77777777" w:rsidR="00F971B9" w:rsidRPr="000E4A21" w:rsidRDefault="00F971B9" w:rsidP="00C0492C">
            <w:pPr>
              <w:jc w:val="both"/>
              <w:rPr>
                <w:rFonts w:asciiTheme="majorBidi" w:eastAsia="Times New Roman" w:hAnsiTheme="majorBidi" w:cstheme="majorBidi"/>
              </w:rPr>
            </w:pPr>
          </w:p>
        </w:tc>
      </w:tr>
      <w:tr w:rsidR="000E4A21" w:rsidRPr="000E4A21" w14:paraId="1DF88A1F" w14:textId="77777777" w:rsidTr="002F0C16">
        <w:trPr>
          <w:divId w:val="2063820962"/>
          <w:tblCellSpacing w:w="15" w:type="dxa"/>
          <w:jc w:val="center"/>
        </w:trPr>
        <w:tc>
          <w:tcPr>
            <w:tcW w:w="0" w:type="auto"/>
            <w:vAlign w:val="center"/>
            <w:hideMark/>
          </w:tcPr>
          <w:p w14:paraId="3C5299CE"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Low Carbon Intensity (&lt;200)</w:t>
            </w:r>
          </w:p>
        </w:tc>
        <w:tc>
          <w:tcPr>
            <w:tcW w:w="0" w:type="auto"/>
            <w:vAlign w:val="center"/>
            <w:hideMark/>
          </w:tcPr>
          <w:p w14:paraId="47E35A43"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-0.034*</w:t>
            </w:r>
          </w:p>
        </w:tc>
        <w:tc>
          <w:tcPr>
            <w:tcW w:w="0" w:type="auto"/>
            <w:vAlign w:val="center"/>
            <w:hideMark/>
          </w:tcPr>
          <w:p w14:paraId="780AA1CA"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0.015*</w:t>
            </w:r>
          </w:p>
        </w:tc>
        <w:tc>
          <w:tcPr>
            <w:tcW w:w="0" w:type="auto"/>
            <w:vAlign w:val="center"/>
            <w:hideMark/>
          </w:tcPr>
          <w:p w14:paraId="4AEDC056"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1,680</w:t>
            </w:r>
          </w:p>
        </w:tc>
      </w:tr>
      <w:tr w:rsidR="000E4A21" w:rsidRPr="000E4A21" w14:paraId="270ABE2C" w14:textId="77777777" w:rsidTr="002F0C16">
        <w:trPr>
          <w:divId w:val="2063820962"/>
          <w:tblCellSpacing w:w="15" w:type="dxa"/>
          <w:jc w:val="center"/>
        </w:trPr>
        <w:tc>
          <w:tcPr>
            <w:tcW w:w="0" w:type="auto"/>
            <w:vAlign w:val="center"/>
            <w:hideMark/>
          </w:tcPr>
          <w:p w14:paraId="62D789CC" w14:textId="77777777" w:rsidR="00F971B9" w:rsidRPr="000E4A21" w:rsidRDefault="00F971B9" w:rsidP="00C0492C">
            <w:pPr>
              <w:jc w:val="both"/>
              <w:rPr>
                <w:rFonts w:asciiTheme="majorBidi" w:eastAsia="Times New Roman" w:hAnsiTheme="majorBidi" w:cstheme="majorBidi"/>
              </w:rPr>
            </w:pPr>
          </w:p>
        </w:tc>
        <w:tc>
          <w:tcPr>
            <w:tcW w:w="0" w:type="auto"/>
            <w:vAlign w:val="center"/>
            <w:hideMark/>
          </w:tcPr>
          <w:p w14:paraId="01CE3C57"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(0.019)</w:t>
            </w:r>
          </w:p>
        </w:tc>
        <w:tc>
          <w:tcPr>
            <w:tcW w:w="0" w:type="auto"/>
            <w:vAlign w:val="center"/>
            <w:hideMark/>
          </w:tcPr>
          <w:p w14:paraId="5FED984A"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(0.008)</w:t>
            </w:r>
          </w:p>
        </w:tc>
        <w:tc>
          <w:tcPr>
            <w:tcW w:w="0" w:type="auto"/>
            <w:vAlign w:val="center"/>
            <w:hideMark/>
          </w:tcPr>
          <w:p w14:paraId="38F8420D" w14:textId="77777777" w:rsidR="00F971B9" w:rsidRPr="000E4A21" w:rsidRDefault="00F971B9" w:rsidP="00C0492C">
            <w:pPr>
              <w:jc w:val="both"/>
              <w:rPr>
                <w:rFonts w:asciiTheme="majorBidi" w:eastAsia="Times New Roman" w:hAnsiTheme="majorBidi" w:cstheme="majorBidi"/>
              </w:rPr>
            </w:pPr>
          </w:p>
        </w:tc>
      </w:tr>
      <w:tr w:rsidR="000E4A21" w:rsidRPr="000E4A21" w14:paraId="454A42DF" w14:textId="77777777" w:rsidTr="002F0C16">
        <w:trPr>
          <w:divId w:val="2063820962"/>
          <w:tblCellSpacing w:w="15" w:type="dxa"/>
          <w:jc w:val="center"/>
        </w:trPr>
        <w:tc>
          <w:tcPr>
            <w:tcW w:w="0" w:type="auto"/>
            <w:vAlign w:val="center"/>
            <w:hideMark/>
          </w:tcPr>
          <w:p w14:paraId="622E6278"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Northern Europe</w:t>
            </w:r>
          </w:p>
        </w:tc>
        <w:tc>
          <w:tcPr>
            <w:tcW w:w="0" w:type="auto"/>
            <w:vAlign w:val="center"/>
            <w:hideMark/>
          </w:tcPr>
          <w:p w14:paraId="2884702F"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-0.078***</w:t>
            </w:r>
          </w:p>
        </w:tc>
        <w:tc>
          <w:tcPr>
            <w:tcW w:w="0" w:type="auto"/>
            <w:vAlign w:val="center"/>
            <w:hideMark/>
          </w:tcPr>
          <w:p w14:paraId="7BD085B3"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0.025**</w:t>
            </w:r>
          </w:p>
        </w:tc>
        <w:tc>
          <w:tcPr>
            <w:tcW w:w="0" w:type="auto"/>
            <w:vAlign w:val="center"/>
            <w:hideMark/>
          </w:tcPr>
          <w:p w14:paraId="09A620F0"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2,160</w:t>
            </w:r>
          </w:p>
        </w:tc>
      </w:tr>
      <w:tr w:rsidR="000E4A21" w:rsidRPr="000E4A21" w14:paraId="11F8BE1F" w14:textId="77777777" w:rsidTr="002F0C16">
        <w:trPr>
          <w:divId w:val="2063820962"/>
          <w:tblCellSpacing w:w="15" w:type="dxa"/>
          <w:jc w:val="center"/>
        </w:trPr>
        <w:tc>
          <w:tcPr>
            <w:tcW w:w="0" w:type="auto"/>
            <w:vAlign w:val="center"/>
            <w:hideMark/>
          </w:tcPr>
          <w:p w14:paraId="4CF43AE1" w14:textId="77777777" w:rsidR="00F971B9" w:rsidRPr="000E4A21" w:rsidRDefault="00F971B9" w:rsidP="00C0492C">
            <w:pPr>
              <w:jc w:val="both"/>
              <w:rPr>
                <w:rFonts w:asciiTheme="majorBidi" w:eastAsia="Times New Roman" w:hAnsiTheme="majorBidi" w:cstheme="majorBidi"/>
              </w:rPr>
            </w:pPr>
          </w:p>
        </w:tc>
        <w:tc>
          <w:tcPr>
            <w:tcW w:w="0" w:type="auto"/>
            <w:vAlign w:val="center"/>
            <w:hideMark/>
          </w:tcPr>
          <w:p w14:paraId="5083A9B9"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(0.024)</w:t>
            </w:r>
          </w:p>
        </w:tc>
        <w:tc>
          <w:tcPr>
            <w:tcW w:w="0" w:type="auto"/>
            <w:vAlign w:val="center"/>
            <w:hideMark/>
          </w:tcPr>
          <w:p w14:paraId="6612EBD5"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(0.011)</w:t>
            </w:r>
          </w:p>
        </w:tc>
        <w:tc>
          <w:tcPr>
            <w:tcW w:w="0" w:type="auto"/>
            <w:vAlign w:val="center"/>
            <w:hideMark/>
          </w:tcPr>
          <w:p w14:paraId="7EEE2B1C" w14:textId="77777777" w:rsidR="00F971B9" w:rsidRPr="000E4A21" w:rsidRDefault="00F971B9" w:rsidP="00C0492C">
            <w:pPr>
              <w:jc w:val="both"/>
              <w:rPr>
                <w:rFonts w:asciiTheme="majorBidi" w:eastAsia="Times New Roman" w:hAnsiTheme="majorBidi" w:cstheme="majorBidi"/>
              </w:rPr>
            </w:pPr>
          </w:p>
        </w:tc>
      </w:tr>
      <w:tr w:rsidR="000E4A21" w:rsidRPr="000E4A21" w14:paraId="3B0F1FED" w14:textId="77777777" w:rsidTr="002F0C16">
        <w:trPr>
          <w:divId w:val="2063820962"/>
          <w:tblCellSpacing w:w="15" w:type="dxa"/>
          <w:jc w:val="center"/>
        </w:trPr>
        <w:tc>
          <w:tcPr>
            <w:tcW w:w="0" w:type="auto"/>
            <w:vAlign w:val="center"/>
            <w:hideMark/>
          </w:tcPr>
          <w:p w14:paraId="0EA262C9"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Southern Europe</w:t>
            </w:r>
          </w:p>
        </w:tc>
        <w:tc>
          <w:tcPr>
            <w:tcW w:w="0" w:type="auto"/>
            <w:vAlign w:val="center"/>
            <w:hideMark/>
          </w:tcPr>
          <w:p w14:paraId="06B4835A"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-0.134***</w:t>
            </w:r>
          </w:p>
        </w:tc>
        <w:tc>
          <w:tcPr>
            <w:tcW w:w="0" w:type="auto"/>
            <w:vAlign w:val="center"/>
            <w:hideMark/>
          </w:tcPr>
          <w:p w14:paraId="561FCE5D"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0.052***</w:t>
            </w:r>
          </w:p>
        </w:tc>
        <w:tc>
          <w:tcPr>
            <w:tcW w:w="0" w:type="auto"/>
            <w:vAlign w:val="center"/>
            <w:hideMark/>
          </w:tcPr>
          <w:p w14:paraId="1D3CA83E"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1,680</w:t>
            </w:r>
          </w:p>
        </w:tc>
      </w:tr>
      <w:tr w:rsidR="000E4A21" w:rsidRPr="000E4A21" w14:paraId="00E2F0A3" w14:textId="77777777" w:rsidTr="002F0C16">
        <w:trPr>
          <w:divId w:val="2063820962"/>
          <w:tblCellSpacing w:w="15" w:type="dxa"/>
          <w:jc w:val="center"/>
        </w:trPr>
        <w:tc>
          <w:tcPr>
            <w:tcW w:w="0" w:type="auto"/>
            <w:vAlign w:val="center"/>
            <w:hideMark/>
          </w:tcPr>
          <w:p w14:paraId="4E4892ED" w14:textId="77777777" w:rsidR="00F971B9" w:rsidRPr="000E4A21" w:rsidRDefault="00F971B9" w:rsidP="00C0492C">
            <w:pPr>
              <w:jc w:val="both"/>
              <w:rPr>
                <w:rFonts w:asciiTheme="majorBidi" w:eastAsia="Times New Roman" w:hAnsiTheme="majorBidi" w:cstheme="majorBidi"/>
              </w:rPr>
            </w:pPr>
          </w:p>
        </w:tc>
        <w:tc>
          <w:tcPr>
            <w:tcW w:w="0" w:type="auto"/>
            <w:vAlign w:val="center"/>
            <w:hideMark/>
          </w:tcPr>
          <w:p w14:paraId="5139610B"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(0.038)</w:t>
            </w:r>
          </w:p>
        </w:tc>
        <w:tc>
          <w:tcPr>
            <w:tcW w:w="0" w:type="auto"/>
            <w:vAlign w:val="center"/>
            <w:hideMark/>
          </w:tcPr>
          <w:p w14:paraId="214CBFC2"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(0.016)</w:t>
            </w:r>
          </w:p>
        </w:tc>
        <w:tc>
          <w:tcPr>
            <w:tcW w:w="0" w:type="auto"/>
            <w:vAlign w:val="center"/>
            <w:hideMark/>
          </w:tcPr>
          <w:p w14:paraId="18654A60" w14:textId="77777777" w:rsidR="00F971B9" w:rsidRPr="000E4A21" w:rsidRDefault="00F971B9" w:rsidP="00C0492C">
            <w:pPr>
              <w:jc w:val="both"/>
              <w:rPr>
                <w:rFonts w:asciiTheme="majorBidi" w:eastAsia="Times New Roman" w:hAnsiTheme="majorBidi" w:cstheme="majorBidi"/>
              </w:rPr>
            </w:pPr>
          </w:p>
        </w:tc>
      </w:tr>
      <w:tr w:rsidR="000E4A21" w:rsidRPr="000E4A21" w14:paraId="031EFB1E" w14:textId="77777777" w:rsidTr="002F0C16">
        <w:trPr>
          <w:divId w:val="2063820962"/>
          <w:tblCellSpacing w:w="15" w:type="dxa"/>
          <w:jc w:val="center"/>
        </w:trPr>
        <w:tc>
          <w:tcPr>
            <w:tcW w:w="0" w:type="auto"/>
            <w:vAlign w:val="center"/>
            <w:hideMark/>
          </w:tcPr>
          <w:p w14:paraId="1D3653B1"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Central/Eastern Europe</w:t>
            </w:r>
          </w:p>
        </w:tc>
        <w:tc>
          <w:tcPr>
            <w:tcW w:w="0" w:type="auto"/>
            <w:vAlign w:val="center"/>
            <w:hideMark/>
          </w:tcPr>
          <w:p w14:paraId="483562CD"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-0.089**</w:t>
            </w:r>
          </w:p>
        </w:tc>
        <w:tc>
          <w:tcPr>
            <w:tcW w:w="0" w:type="auto"/>
            <w:vAlign w:val="center"/>
            <w:hideMark/>
          </w:tcPr>
          <w:p w14:paraId="431C2BFA"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0.041***</w:t>
            </w:r>
          </w:p>
        </w:tc>
        <w:tc>
          <w:tcPr>
            <w:tcW w:w="0" w:type="auto"/>
            <w:vAlign w:val="center"/>
            <w:hideMark/>
          </w:tcPr>
          <w:p w14:paraId="2ACFDB5B"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960</w:t>
            </w:r>
          </w:p>
        </w:tc>
      </w:tr>
      <w:tr w:rsidR="000E4A21" w:rsidRPr="000E4A21" w14:paraId="6F215253" w14:textId="77777777" w:rsidTr="002F0C16">
        <w:trPr>
          <w:divId w:val="2063820962"/>
          <w:tblCellSpacing w:w="15" w:type="dxa"/>
          <w:jc w:val="center"/>
        </w:trPr>
        <w:tc>
          <w:tcPr>
            <w:tcW w:w="0" w:type="auto"/>
            <w:vAlign w:val="center"/>
            <w:hideMark/>
          </w:tcPr>
          <w:p w14:paraId="56946532" w14:textId="77777777" w:rsidR="00F971B9" w:rsidRPr="000E4A21" w:rsidRDefault="00F971B9" w:rsidP="00C0492C">
            <w:pPr>
              <w:jc w:val="both"/>
              <w:rPr>
                <w:rFonts w:asciiTheme="majorBidi" w:eastAsia="Times New Roman" w:hAnsiTheme="majorBidi" w:cstheme="majorBidi"/>
              </w:rPr>
            </w:pPr>
          </w:p>
        </w:tc>
        <w:tc>
          <w:tcPr>
            <w:tcW w:w="0" w:type="auto"/>
            <w:vAlign w:val="center"/>
            <w:hideMark/>
          </w:tcPr>
          <w:p w14:paraId="15FB0AF5"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(0.035)</w:t>
            </w:r>
          </w:p>
        </w:tc>
        <w:tc>
          <w:tcPr>
            <w:tcW w:w="0" w:type="auto"/>
            <w:vAlign w:val="center"/>
            <w:hideMark/>
          </w:tcPr>
          <w:p w14:paraId="5AE010AD"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(0.014)</w:t>
            </w:r>
          </w:p>
        </w:tc>
        <w:tc>
          <w:tcPr>
            <w:tcW w:w="0" w:type="auto"/>
            <w:vAlign w:val="center"/>
            <w:hideMark/>
          </w:tcPr>
          <w:p w14:paraId="60EC951D" w14:textId="77777777" w:rsidR="00F971B9" w:rsidRPr="000E4A21" w:rsidRDefault="00F971B9" w:rsidP="00C0492C">
            <w:pPr>
              <w:jc w:val="both"/>
              <w:rPr>
                <w:rFonts w:asciiTheme="majorBidi" w:eastAsia="Times New Roman" w:hAnsiTheme="majorBidi" w:cstheme="majorBidi"/>
              </w:rPr>
            </w:pPr>
          </w:p>
        </w:tc>
      </w:tr>
    </w:tbl>
    <w:p w14:paraId="6C601D5B" w14:textId="77777777" w:rsidR="00F971B9" w:rsidRPr="000E4A21" w:rsidRDefault="00F971B9" w:rsidP="00C0492C">
      <w:pPr>
        <w:pStyle w:val="NormalWeb"/>
        <w:jc w:val="both"/>
        <w:divId w:val="2063820962"/>
        <w:rPr>
          <w:rFonts w:asciiTheme="majorBidi" w:hAnsiTheme="majorBidi" w:cstheme="majorBidi"/>
        </w:rPr>
      </w:pPr>
      <w:r w:rsidRPr="000E4A21">
        <w:rPr>
          <w:rStyle w:val="Emphasis"/>
          <w:rFonts w:asciiTheme="majorBidi" w:hAnsiTheme="majorBidi" w:cstheme="majorBidi"/>
        </w:rPr>
        <w:t>Notes: Each cell reports coefficient on Climate Risk Index from separate regressions. Standard errors in parentheses. *** p&lt;0.01, ** p&lt;0.05, * p&lt;0.1</w:t>
      </w:r>
    </w:p>
    <w:p w14:paraId="0CD4F586" w14:textId="77777777" w:rsidR="00E33A7B" w:rsidRDefault="00E33A7B" w:rsidP="00C0492C">
      <w:pPr>
        <w:pStyle w:val="NormalWeb"/>
        <w:jc w:val="both"/>
        <w:divId w:val="2063820962"/>
        <w:rPr>
          <w:rFonts w:asciiTheme="majorBidi" w:hAnsiTheme="majorBidi" w:cstheme="majorBidi"/>
        </w:rPr>
      </w:pPr>
      <w:r w:rsidRPr="00E33A7B">
        <w:rPr>
          <w:rFonts w:asciiTheme="majorBidi" w:hAnsiTheme="majorBidi" w:cstheme="majorBidi"/>
        </w:rPr>
        <w:t>Source: R 4.3.0 production package</w:t>
      </w:r>
    </w:p>
    <w:p w14:paraId="3E5318C8" w14:textId="60DBDFB5"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heterogeneity analysis reveals that medium-sized banks exhibit the strongest sensitivity to climate transition risks, potentially reflecting limited diversification capabilities and resource constraints in climate risk management. Banks with high carbon intensity exposure show substantially larger negative effects, confirming the importance of sectoral composition in determining climate vulnerability.</w:t>
      </w:r>
    </w:p>
    <w:p w14:paraId="14EA79B7" w14:textId="77777777" w:rsidR="00F971B9" w:rsidRPr="00A406AF" w:rsidRDefault="00F971B9" w:rsidP="00C0492C">
      <w:pPr>
        <w:pStyle w:val="Heading3"/>
        <w:bidi w:val="0"/>
        <w:jc w:val="both"/>
        <w:divId w:val="2063820962"/>
        <w:rPr>
          <w:rFonts w:asciiTheme="majorBidi" w:eastAsia="Times New Roman" w:hAnsiTheme="majorBidi"/>
          <w:b/>
          <w:bCs/>
          <w:color w:val="auto"/>
          <w:sz w:val="24"/>
          <w:szCs w:val="24"/>
        </w:rPr>
      </w:pPr>
      <w:r w:rsidRPr="00A406AF">
        <w:rPr>
          <w:rFonts w:asciiTheme="majorBidi" w:eastAsia="Times New Roman" w:hAnsiTheme="majorBidi"/>
          <w:b/>
          <w:bCs/>
          <w:color w:val="auto"/>
          <w:sz w:val="24"/>
          <w:szCs w:val="24"/>
        </w:rPr>
        <w:t>4.5 Threshold Effects and Non-Linear Relationships</w:t>
      </w:r>
    </w:p>
    <w:p w14:paraId="024C18C8" w14:textId="77777777" w:rsidR="00F971B9"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Using threshold regression techniques, we identify significant non-linearities in the relationship between climate risk and banking performance. Figure 2 presents the estimated threshold effects for the relationship between carbon intensity and ROE.</w:t>
      </w:r>
    </w:p>
    <w:p w14:paraId="31E28062" w14:textId="77777777" w:rsidR="00B27987" w:rsidRPr="000E4A21" w:rsidRDefault="00B27987" w:rsidP="00C0492C">
      <w:pPr>
        <w:pStyle w:val="NormalWeb"/>
        <w:jc w:val="both"/>
        <w:divId w:val="2063820962"/>
        <w:rPr>
          <w:rFonts w:asciiTheme="majorBidi" w:hAnsiTheme="majorBidi" w:cstheme="majorBidi"/>
        </w:rPr>
      </w:pPr>
    </w:p>
    <w:p w14:paraId="3C5F6615" w14:textId="3D76AC3B" w:rsidR="00F971B9" w:rsidRPr="000E4A21" w:rsidRDefault="00F971B9" w:rsidP="002F0C16">
      <w:pPr>
        <w:pStyle w:val="NormalWeb"/>
        <w:jc w:val="center"/>
        <w:divId w:val="2063820962"/>
        <w:rPr>
          <w:rFonts w:asciiTheme="majorBidi" w:hAnsiTheme="majorBidi" w:cstheme="majorBidi"/>
        </w:rPr>
      </w:pPr>
      <w:r w:rsidRPr="000E4A21">
        <w:rPr>
          <w:rStyle w:val="Strong"/>
          <w:rFonts w:asciiTheme="majorBidi" w:hAnsiTheme="majorBidi" w:cstheme="majorBidi"/>
        </w:rPr>
        <w:t>Figure 2: Threshold Effects - Carbon Inte</w:t>
      </w:r>
      <w:r w:rsidR="002F0C16" w:rsidRPr="000E4A21">
        <w:rPr>
          <w:rStyle w:val="Strong"/>
          <w:rFonts w:asciiTheme="majorBidi" w:hAnsiTheme="majorBidi" w:cstheme="majorBidi"/>
        </w:rPr>
        <w:t>nsity and Banking Profitability</w:t>
      </w:r>
    </w:p>
    <w:p w14:paraId="759AFB5A" w14:textId="77777777" w:rsidR="000E4A21" w:rsidRPr="000E4A21" w:rsidRDefault="002F0C16" w:rsidP="000E4A21">
      <w:pPr>
        <w:pStyle w:val="NormalWeb"/>
        <w:jc w:val="center"/>
        <w:divId w:val="2063820962"/>
        <w:rPr>
          <w:rFonts w:asciiTheme="majorBidi" w:hAnsiTheme="majorBidi" w:cstheme="majorBidi"/>
        </w:rPr>
      </w:pPr>
      <w:r w:rsidRPr="000E4A21">
        <w:rPr>
          <w:rFonts w:asciiTheme="majorBidi" w:hAnsiTheme="majorBidi" w:cstheme="majorBidi"/>
          <w:noProof/>
        </w:rPr>
        <w:lastRenderedPageBreak/>
        <w:drawing>
          <wp:inline distT="0" distB="0" distL="0" distR="0" wp14:anchorId="7D40AFEC" wp14:editId="78B20A82">
            <wp:extent cx="6433849" cy="3095739"/>
            <wp:effectExtent l="0" t="0" r="5080"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440738" cy="3099054"/>
                    </a:xfrm>
                    <a:prstGeom prst="rect">
                      <a:avLst/>
                    </a:prstGeom>
                  </pic:spPr>
                </pic:pic>
              </a:graphicData>
            </a:graphic>
          </wp:inline>
        </w:drawing>
      </w:r>
    </w:p>
    <w:p w14:paraId="37A6AEF7" w14:textId="77777777" w:rsidR="00E33A7B" w:rsidRDefault="00E33A7B" w:rsidP="00A406AF">
      <w:pPr>
        <w:pStyle w:val="NormalWeb"/>
        <w:jc w:val="both"/>
        <w:divId w:val="2063820962"/>
        <w:rPr>
          <w:rFonts w:asciiTheme="majorBidi" w:hAnsiTheme="majorBidi" w:cstheme="majorBidi"/>
        </w:rPr>
      </w:pPr>
      <w:r w:rsidRPr="00E33A7B">
        <w:rPr>
          <w:rFonts w:asciiTheme="majorBidi" w:hAnsiTheme="majorBidi" w:cstheme="majorBidi"/>
        </w:rPr>
        <w:t>Source: R 4.3.0 production package</w:t>
      </w:r>
    </w:p>
    <w:p w14:paraId="32DBFAAA" w14:textId="1092FCDF" w:rsidR="00F971B9" w:rsidRPr="000E4A21" w:rsidRDefault="00F971B9" w:rsidP="00A406AF">
      <w:pPr>
        <w:pStyle w:val="NormalWeb"/>
        <w:jc w:val="both"/>
        <w:divId w:val="2063820962"/>
        <w:rPr>
          <w:rFonts w:asciiTheme="majorBidi" w:hAnsiTheme="majorBidi" w:cstheme="majorBidi"/>
        </w:rPr>
      </w:pPr>
      <w:r w:rsidRPr="000E4A21">
        <w:rPr>
          <w:rFonts w:asciiTheme="majorBidi" w:hAnsiTheme="majorBidi" w:cstheme="majorBidi"/>
        </w:rPr>
        <w:t>The analysis identifies a threshold value of approximately 500 tCO2e per million euros of lending, above which the negative relationship between carbon intensity and profitability becomes substantially stronger. Below this threshold, the estimated coefficient is -0.008 (p=0.12), while above the threshold, the coefficient increases to -0.034 (p&lt;0.01), indicating a four-fold increase in sensitivity.</w:t>
      </w:r>
    </w:p>
    <w:p w14:paraId="3C2C1DBB" w14:textId="77777777" w:rsidR="00F971B9" w:rsidRPr="00A406AF" w:rsidRDefault="00F971B9" w:rsidP="00C0492C">
      <w:pPr>
        <w:pStyle w:val="Heading3"/>
        <w:bidi w:val="0"/>
        <w:jc w:val="both"/>
        <w:divId w:val="2063820962"/>
        <w:rPr>
          <w:rFonts w:asciiTheme="majorBidi" w:eastAsia="Times New Roman" w:hAnsiTheme="majorBidi"/>
          <w:b/>
          <w:bCs/>
          <w:color w:val="auto"/>
          <w:sz w:val="24"/>
          <w:szCs w:val="24"/>
        </w:rPr>
      </w:pPr>
      <w:r w:rsidRPr="00A406AF">
        <w:rPr>
          <w:rFonts w:asciiTheme="majorBidi" w:eastAsia="Times New Roman" w:hAnsiTheme="majorBidi"/>
          <w:b/>
          <w:bCs/>
          <w:color w:val="auto"/>
          <w:sz w:val="24"/>
          <w:szCs w:val="24"/>
        </w:rPr>
        <w:t>4.6 Stress Testing Results</w:t>
      </w:r>
    </w:p>
    <w:p w14:paraId="037D5DD6"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Table 4 presents stress testing results under three climate transition scenarios, showing projected impacts on banking sector capital adequacy through 2030.</w:t>
      </w:r>
    </w:p>
    <w:p w14:paraId="7B85987B" w14:textId="77777777" w:rsidR="00F971B9" w:rsidRPr="000E4A21" w:rsidRDefault="00F971B9" w:rsidP="000E4A21">
      <w:pPr>
        <w:pStyle w:val="NormalWeb"/>
        <w:jc w:val="center"/>
        <w:divId w:val="2063820962"/>
        <w:rPr>
          <w:rFonts w:asciiTheme="majorBidi" w:hAnsiTheme="majorBidi" w:cstheme="majorBidi"/>
        </w:rPr>
      </w:pPr>
      <w:r w:rsidRPr="000E4A21">
        <w:rPr>
          <w:rStyle w:val="Strong"/>
          <w:rFonts w:asciiTheme="majorBidi" w:hAnsiTheme="majorBidi" w:cstheme="majorBidi"/>
        </w:rPr>
        <w:t>Table 4: Climate Stress Testing Results - Capital Impact Projections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68"/>
        <w:gridCol w:w="3066"/>
        <w:gridCol w:w="2807"/>
        <w:gridCol w:w="2173"/>
      </w:tblGrid>
      <w:tr w:rsidR="000E4A21" w:rsidRPr="000E4A21" w14:paraId="7087DD3B" w14:textId="77777777" w:rsidTr="000E4A21">
        <w:trPr>
          <w:divId w:val="2063820962"/>
          <w:tblHeader/>
          <w:tblCellSpacing w:w="15" w:type="dxa"/>
        </w:trPr>
        <w:tc>
          <w:tcPr>
            <w:tcW w:w="0" w:type="auto"/>
            <w:vAlign w:val="center"/>
            <w:hideMark/>
          </w:tcPr>
          <w:p w14:paraId="4F379A4C" w14:textId="77777777" w:rsidR="00F971B9" w:rsidRPr="000E4A21" w:rsidRDefault="00F971B9" w:rsidP="00C0492C">
            <w:pPr>
              <w:bidi w:val="0"/>
              <w:jc w:val="both"/>
              <w:rPr>
                <w:rFonts w:asciiTheme="majorBidi" w:eastAsia="Times New Roman" w:hAnsiTheme="majorBidi" w:cstheme="majorBidi"/>
                <w:b/>
                <w:bCs/>
              </w:rPr>
            </w:pPr>
            <w:r w:rsidRPr="000E4A21">
              <w:rPr>
                <w:rFonts w:asciiTheme="majorBidi" w:eastAsia="Times New Roman" w:hAnsiTheme="majorBidi" w:cstheme="majorBidi"/>
                <w:b/>
                <w:bCs/>
              </w:rPr>
              <w:t>Scenario</w:t>
            </w:r>
          </w:p>
        </w:tc>
        <w:tc>
          <w:tcPr>
            <w:tcW w:w="0" w:type="auto"/>
            <w:vAlign w:val="center"/>
            <w:hideMark/>
          </w:tcPr>
          <w:p w14:paraId="232739F1" w14:textId="77777777" w:rsidR="00F971B9" w:rsidRPr="000E4A21" w:rsidRDefault="00F971B9" w:rsidP="00C0492C">
            <w:pPr>
              <w:bidi w:val="0"/>
              <w:jc w:val="both"/>
              <w:rPr>
                <w:rFonts w:asciiTheme="majorBidi" w:eastAsia="Times New Roman" w:hAnsiTheme="majorBidi" w:cstheme="majorBidi"/>
                <w:b/>
                <w:bCs/>
              </w:rPr>
            </w:pPr>
            <w:r w:rsidRPr="000E4A21">
              <w:rPr>
                <w:rFonts w:asciiTheme="majorBidi" w:eastAsia="Times New Roman" w:hAnsiTheme="majorBidi" w:cstheme="majorBidi"/>
                <w:b/>
                <w:bCs/>
              </w:rPr>
              <w:t>Aggregate Capital Shortfall (€B)</w:t>
            </w:r>
          </w:p>
        </w:tc>
        <w:tc>
          <w:tcPr>
            <w:tcW w:w="0" w:type="auto"/>
            <w:vAlign w:val="center"/>
            <w:hideMark/>
          </w:tcPr>
          <w:p w14:paraId="32E68E58" w14:textId="77777777" w:rsidR="00F971B9" w:rsidRPr="000E4A21" w:rsidRDefault="00F971B9" w:rsidP="00C0492C">
            <w:pPr>
              <w:bidi w:val="0"/>
              <w:jc w:val="both"/>
              <w:rPr>
                <w:rFonts w:asciiTheme="majorBidi" w:eastAsia="Times New Roman" w:hAnsiTheme="majorBidi" w:cstheme="majorBidi"/>
                <w:b/>
                <w:bCs/>
              </w:rPr>
            </w:pPr>
            <w:r w:rsidRPr="000E4A21">
              <w:rPr>
                <w:rFonts w:asciiTheme="majorBidi" w:eastAsia="Times New Roman" w:hAnsiTheme="majorBidi" w:cstheme="majorBidi"/>
                <w:b/>
                <w:bCs/>
              </w:rPr>
              <w:t>Banks Below Minimum Ratio</w:t>
            </w:r>
          </w:p>
        </w:tc>
        <w:tc>
          <w:tcPr>
            <w:tcW w:w="0" w:type="auto"/>
            <w:vAlign w:val="center"/>
            <w:hideMark/>
          </w:tcPr>
          <w:p w14:paraId="51EF9DDC" w14:textId="77777777" w:rsidR="00F971B9" w:rsidRPr="000E4A21" w:rsidRDefault="00F971B9" w:rsidP="00C0492C">
            <w:pPr>
              <w:bidi w:val="0"/>
              <w:jc w:val="both"/>
              <w:rPr>
                <w:rFonts w:asciiTheme="majorBidi" w:eastAsia="Times New Roman" w:hAnsiTheme="majorBidi" w:cstheme="majorBidi"/>
                <w:b/>
                <w:bCs/>
              </w:rPr>
            </w:pPr>
            <w:r w:rsidRPr="000E4A21">
              <w:rPr>
                <w:rFonts w:asciiTheme="majorBidi" w:eastAsia="Times New Roman" w:hAnsiTheme="majorBidi" w:cstheme="majorBidi"/>
                <w:b/>
                <w:bCs/>
              </w:rPr>
              <w:t>Average CET1 Impact</w:t>
            </w:r>
          </w:p>
        </w:tc>
      </w:tr>
      <w:tr w:rsidR="000E4A21" w:rsidRPr="000E4A21" w14:paraId="5BCD9FA5" w14:textId="77777777" w:rsidTr="000E4A21">
        <w:trPr>
          <w:divId w:val="2063820962"/>
          <w:tblCellSpacing w:w="15" w:type="dxa"/>
        </w:trPr>
        <w:tc>
          <w:tcPr>
            <w:tcW w:w="0" w:type="auto"/>
            <w:vAlign w:val="center"/>
            <w:hideMark/>
          </w:tcPr>
          <w:p w14:paraId="273F183F"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Orderly Transition</w:t>
            </w:r>
          </w:p>
        </w:tc>
        <w:tc>
          <w:tcPr>
            <w:tcW w:w="0" w:type="auto"/>
            <w:vAlign w:val="center"/>
            <w:hideMark/>
          </w:tcPr>
          <w:p w14:paraId="3A91ED72"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23.4</w:t>
            </w:r>
          </w:p>
        </w:tc>
        <w:tc>
          <w:tcPr>
            <w:tcW w:w="0" w:type="auto"/>
            <w:vAlign w:val="center"/>
            <w:hideMark/>
          </w:tcPr>
          <w:p w14:paraId="0B4F0FF9"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12%</w:t>
            </w:r>
          </w:p>
        </w:tc>
        <w:tc>
          <w:tcPr>
            <w:tcW w:w="0" w:type="auto"/>
            <w:vAlign w:val="center"/>
            <w:hideMark/>
          </w:tcPr>
          <w:p w14:paraId="732489F6"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-0.78%</w:t>
            </w:r>
          </w:p>
        </w:tc>
      </w:tr>
      <w:tr w:rsidR="000E4A21" w:rsidRPr="000E4A21" w14:paraId="67C67CD1" w14:textId="77777777" w:rsidTr="000E4A21">
        <w:trPr>
          <w:divId w:val="2063820962"/>
          <w:tblCellSpacing w:w="15" w:type="dxa"/>
        </w:trPr>
        <w:tc>
          <w:tcPr>
            <w:tcW w:w="0" w:type="auto"/>
            <w:vAlign w:val="center"/>
            <w:hideMark/>
          </w:tcPr>
          <w:p w14:paraId="7A7271C0"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Disorderly Transition</w:t>
            </w:r>
          </w:p>
        </w:tc>
        <w:tc>
          <w:tcPr>
            <w:tcW w:w="0" w:type="auto"/>
            <w:vAlign w:val="center"/>
            <w:hideMark/>
          </w:tcPr>
          <w:p w14:paraId="1382D9C6"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67.2</w:t>
            </w:r>
          </w:p>
        </w:tc>
        <w:tc>
          <w:tcPr>
            <w:tcW w:w="0" w:type="auto"/>
            <w:vAlign w:val="center"/>
            <w:hideMark/>
          </w:tcPr>
          <w:p w14:paraId="1DE9408C"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28%</w:t>
            </w:r>
          </w:p>
        </w:tc>
        <w:tc>
          <w:tcPr>
            <w:tcW w:w="0" w:type="auto"/>
            <w:vAlign w:val="center"/>
            <w:hideMark/>
          </w:tcPr>
          <w:p w14:paraId="185DF681"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-1.89%</w:t>
            </w:r>
          </w:p>
        </w:tc>
      </w:tr>
      <w:tr w:rsidR="000E4A21" w:rsidRPr="000E4A21" w14:paraId="2128FF7B" w14:textId="77777777" w:rsidTr="000E4A21">
        <w:trPr>
          <w:divId w:val="2063820962"/>
          <w:tblCellSpacing w:w="15" w:type="dxa"/>
        </w:trPr>
        <w:tc>
          <w:tcPr>
            <w:tcW w:w="0" w:type="auto"/>
            <w:vAlign w:val="center"/>
            <w:hideMark/>
          </w:tcPr>
          <w:p w14:paraId="44AF427B"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Hot House World</w:t>
            </w:r>
          </w:p>
        </w:tc>
        <w:tc>
          <w:tcPr>
            <w:tcW w:w="0" w:type="auto"/>
            <w:vAlign w:val="center"/>
            <w:hideMark/>
          </w:tcPr>
          <w:p w14:paraId="12963962"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45.8</w:t>
            </w:r>
          </w:p>
        </w:tc>
        <w:tc>
          <w:tcPr>
            <w:tcW w:w="0" w:type="auto"/>
            <w:vAlign w:val="center"/>
            <w:hideMark/>
          </w:tcPr>
          <w:p w14:paraId="28243022"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21%</w:t>
            </w:r>
          </w:p>
        </w:tc>
        <w:tc>
          <w:tcPr>
            <w:tcW w:w="0" w:type="auto"/>
            <w:vAlign w:val="center"/>
            <w:hideMark/>
          </w:tcPr>
          <w:p w14:paraId="0F573F6D"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-1.34%</w:t>
            </w:r>
          </w:p>
        </w:tc>
      </w:tr>
      <w:tr w:rsidR="000E4A21" w:rsidRPr="000E4A21" w14:paraId="24FC275D" w14:textId="77777777" w:rsidTr="000E4A21">
        <w:trPr>
          <w:divId w:val="2063820962"/>
          <w:tblCellSpacing w:w="15" w:type="dxa"/>
        </w:trPr>
        <w:tc>
          <w:tcPr>
            <w:tcW w:w="0" w:type="auto"/>
            <w:vAlign w:val="center"/>
            <w:hideMark/>
          </w:tcPr>
          <w:p w14:paraId="3CDDE514"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Baseline (No Transition)</w:t>
            </w:r>
          </w:p>
        </w:tc>
        <w:tc>
          <w:tcPr>
            <w:tcW w:w="0" w:type="auto"/>
            <w:vAlign w:val="center"/>
            <w:hideMark/>
          </w:tcPr>
          <w:p w14:paraId="27AA107A"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8.1</w:t>
            </w:r>
          </w:p>
        </w:tc>
        <w:tc>
          <w:tcPr>
            <w:tcW w:w="0" w:type="auto"/>
            <w:vAlign w:val="center"/>
            <w:hideMark/>
          </w:tcPr>
          <w:p w14:paraId="4246D47D"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5%</w:t>
            </w:r>
          </w:p>
        </w:tc>
        <w:tc>
          <w:tcPr>
            <w:tcW w:w="0" w:type="auto"/>
            <w:vAlign w:val="center"/>
            <w:hideMark/>
          </w:tcPr>
          <w:p w14:paraId="325293C8"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-0.23%</w:t>
            </w:r>
          </w:p>
        </w:tc>
      </w:tr>
    </w:tbl>
    <w:p w14:paraId="71FBA0E5" w14:textId="3620AC7C" w:rsidR="00E33A7B" w:rsidRDefault="00E33A7B" w:rsidP="00C0492C">
      <w:pPr>
        <w:pStyle w:val="NormalWeb"/>
        <w:jc w:val="both"/>
        <w:divId w:val="2063820962"/>
        <w:rPr>
          <w:rFonts w:asciiTheme="majorBidi" w:hAnsiTheme="majorBidi" w:cstheme="majorBidi"/>
        </w:rPr>
      </w:pPr>
      <w:r w:rsidRPr="00E33A7B">
        <w:rPr>
          <w:rFonts w:asciiTheme="majorBidi" w:hAnsiTheme="majorBidi" w:cstheme="majorBidi"/>
        </w:rPr>
        <w:t>Source: R 4.3.0 production package</w:t>
      </w:r>
    </w:p>
    <w:p w14:paraId="787EEE1A"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stress testing results indicate that under the Disorderly Transition scenario, European banks could face aggregate capital shortfalls of €67.2 billion, with 28% of institutions falling below minimum regulatory capital requirements. The Orderly Transition scenario generates more manageable impacts, suggesting that policy predictability and gradual implementation significantly reduce financial stability risks.</w:t>
      </w:r>
    </w:p>
    <w:p w14:paraId="38815B0D" w14:textId="77777777" w:rsidR="00F971B9" w:rsidRPr="00A406AF" w:rsidRDefault="00F971B9" w:rsidP="00C0492C">
      <w:pPr>
        <w:pStyle w:val="Heading3"/>
        <w:bidi w:val="0"/>
        <w:jc w:val="both"/>
        <w:divId w:val="2063820962"/>
        <w:rPr>
          <w:rFonts w:asciiTheme="majorBidi" w:eastAsia="Times New Roman" w:hAnsiTheme="majorBidi"/>
          <w:b/>
          <w:bCs/>
          <w:color w:val="auto"/>
          <w:sz w:val="24"/>
          <w:szCs w:val="24"/>
        </w:rPr>
      </w:pPr>
      <w:r w:rsidRPr="00A406AF">
        <w:rPr>
          <w:rFonts w:asciiTheme="majorBidi" w:eastAsia="Times New Roman" w:hAnsiTheme="majorBidi"/>
          <w:b/>
          <w:bCs/>
          <w:color w:val="auto"/>
          <w:sz w:val="24"/>
          <w:szCs w:val="24"/>
        </w:rPr>
        <w:lastRenderedPageBreak/>
        <w:t>4.7 Machine Learning Analysis</w:t>
      </w:r>
    </w:p>
    <w:p w14:paraId="558EC216"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Random forest analysis identifies the most important predictors of climate-related banking distress, with results presented in Figure 3. The variable importance ranking confirms that sectoral exposure concentrations and carbon intensity measures are the strongest predictors of climate vulnerability.</w:t>
      </w:r>
    </w:p>
    <w:p w14:paraId="60B8A0F4" w14:textId="0C9BB2B3" w:rsidR="00F971B9" w:rsidRPr="000E4A21" w:rsidRDefault="00F971B9" w:rsidP="000E4A21">
      <w:pPr>
        <w:pStyle w:val="NormalWeb"/>
        <w:jc w:val="center"/>
        <w:divId w:val="2063820962"/>
        <w:rPr>
          <w:rFonts w:asciiTheme="majorBidi" w:hAnsiTheme="majorBidi" w:cstheme="majorBidi"/>
        </w:rPr>
      </w:pPr>
      <w:r w:rsidRPr="000E4A21">
        <w:rPr>
          <w:rStyle w:val="Strong"/>
          <w:rFonts w:asciiTheme="majorBidi" w:hAnsiTheme="majorBidi" w:cstheme="majorBidi"/>
        </w:rPr>
        <w:t>Figure 3: Variable Importance - Random Forest A</w:t>
      </w:r>
      <w:r w:rsidR="000E4A21" w:rsidRPr="000E4A21">
        <w:rPr>
          <w:rStyle w:val="Strong"/>
          <w:rFonts w:asciiTheme="majorBidi" w:hAnsiTheme="majorBidi" w:cstheme="majorBidi"/>
        </w:rPr>
        <w:t>nalysis of Climate Risk Factors</w:t>
      </w:r>
    </w:p>
    <w:p w14:paraId="4C2345A2" w14:textId="6DE8861E" w:rsidR="000E4A21" w:rsidRPr="000E4A21" w:rsidRDefault="000E4A21" w:rsidP="000E4A21">
      <w:pPr>
        <w:pStyle w:val="NormalWeb"/>
        <w:jc w:val="center"/>
        <w:divId w:val="2063820962"/>
        <w:rPr>
          <w:rFonts w:asciiTheme="majorBidi" w:hAnsiTheme="majorBidi" w:cstheme="majorBidi"/>
        </w:rPr>
      </w:pPr>
      <w:r w:rsidRPr="000E4A21">
        <w:rPr>
          <w:rFonts w:asciiTheme="majorBidi" w:hAnsiTheme="majorBidi" w:cstheme="majorBidi"/>
          <w:noProof/>
        </w:rPr>
        <w:drawing>
          <wp:inline distT="0" distB="0" distL="0" distR="0" wp14:anchorId="0C6E2277" wp14:editId="7F7E9F93">
            <wp:extent cx="5276167" cy="4538949"/>
            <wp:effectExtent l="0" t="0" r="127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4537351"/>
                    </a:xfrm>
                    <a:prstGeom prst="rect">
                      <a:avLst/>
                    </a:prstGeom>
                  </pic:spPr>
                </pic:pic>
              </a:graphicData>
            </a:graphic>
          </wp:inline>
        </w:drawing>
      </w:r>
    </w:p>
    <w:p w14:paraId="6C9D82A9" w14:textId="77777777" w:rsidR="00E33A7B" w:rsidRDefault="00E33A7B" w:rsidP="00C0492C">
      <w:pPr>
        <w:pStyle w:val="NormalWeb"/>
        <w:jc w:val="both"/>
        <w:divId w:val="2063820962"/>
        <w:rPr>
          <w:rFonts w:asciiTheme="majorBidi" w:hAnsiTheme="majorBidi" w:cstheme="majorBidi"/>
        </w:rPr>
      </w:pPr>
      <w:r w:rsidRPr="00E33A7B">
        <w:rPr>
          <w:rFonts w:asciiTheme="majorBidi" w:hAnsiTheme="majorBidi" w:cstheme="majorBidi"/>
        </w:rPr>
        <w:t>Source: R 4.3.0 production package</w:t>
      </w:r>
    </w:p>
    <w:p w14:paraId="26039E1D" w14:textId="71AA7B16"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machine learning analysis reveals that interaction effects between carbon intensity and bank size are particularly significant, with large banks showing greater resilience to moderate carbon exposure but facing disproportionate risks under extreme exposure scenarios. The neural network models identify additional threshold effects at carbon intensity levels of approximately 300 and 650 tCO2e per million euros, suggesting multiple regime changes in risk relationships.</w:t>
      </w:r>
    </w:p>
    <w:p w14:paraId="73D58078" w14:textId="77777777" w:rsidR="00F971B9" w:rsidRPr="00A406AF" w:rsidRDefault="00F971B9" w:rsidP="00C0492C">
      <w:pPr>
        <w:pStyle w:val="Heading3"/>
        <w:bidi w:val="0"/>
        <w:jc w:val="both"/>
        <w:divId w:val="2063820962"/>
        <w:rPr>
          <w:rFonts w:asciiTheme="majorBidi" w:eastAsia="Times New Roman" w:hAnsiTheme="majorBidi"/>
          <w:b/>
          <w:bCs/>
          <w:color w:val="auto"/>
          <w:sz w:val="24"/>
          <w:szCs w:val="24"/>
        </w:rPr>
      </w:pPr>
      <w:r w:rsidRPr="00A406AF">
        <w:rPr>
          <w:rFonts w:asciiTheme="majorBidi" w:eastAsia="Times New Roman" w:hAnsiTheme="majorBidi"/>
          <w:b/>
          <w:bCs/>
          <w:color w:val="auto"/>
          <w:sz w:val="24"/>
          <w:szCs w:val="24"/>
        </w:rPr>
        <w:t>4.8 Policy Transmission Analysis</w:t>
      </w:r>
    </w:p>
    <w:p w14:paraId="60AE75CD" w14:textId="5BEAA438" w:rsidR="00F971B9"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Table 5 examines the effectiveness of different monetary policy transmission channels under varying levels of climate transition risk, providing insights into how environmental factors influence central bank policy effectiveness.</w:t>
      </w:r>
    </w:p>
    <w:p w14:paraId="53AAEC08" w14:textId="5F2DDA21" w:rsidR="00E164F5" w:rsidRDefault="00E164F5" w:rsidP="00C0492C">
      <w:pPr>
        <w:pStyle w:val="NormalWeb"/>
        <w:jc w:val="both"/>
        <w:divId w:val="2063820962"/>
        <w:rPr>
          <w:rFonts w:asciiTheme="majorBidi" w:hAnsiTheme="majorBidi" w:cstheme="majorBidi"/>
        </w:rPr>
      </w:pPr>
    </w:p>
    <w:p w14:paraId="7D15FB0D" w14:textId="4F4D2479" w:rsidR="00E164F5" w:rsidRDefault="00E164F5" w:rsidP="00C0492C">
      <w:pPr>
        <w:pStyle w:val="NormalWeb"/>
        <w:jc w:val="both"/>
        <w:divId w:val="2063820962"/>
        <w:rPr>
          <w:rFonts w:asciiTheme="majorBidi" w:hAnsiTheme="majorBidi" w:cstheme="majorBidi"/>
        </w:rPr>
      </w:pPr>
    </w:p>
    <w:p w14:paraId="5D7D0E72" w14:textId="77777777" w:rsidR="00E164F5" w:rsidRPr="000E4A21" w:rsidRDefault="00E164F5" w:rsidP="00C0492C">
      <w:pPr>
        <w:pStyle w:val="NormalWeb"/>
        <w:jc w:val="both"/>
        <w:divId w:val="2063820962"/>
        <w:rPr>
          <w:rFonts w:asciiTheme="majorBidi" w:hAnsiTheme="majorBidi" w:cstheme="majorBidi"/>
        </w:rPr>
      </w:pPr>
      <w:bookmarkStart w:id="0" w:name="_GoBack"/>
      <w:bookmarkEnd w:id="0"/>
    </w:p>
    <w:p w14:paraId="1FEA1D34" w14:textId="77777777" w:rsidR="00F971B9" w:rsidRPr="000E4A21" w:rsidRDefault="00F971B9" w:rsidP="000E4A21">
      <w:pPr>
        <w:pStyle w:val="NormalWeb"/>
        <w:jc w:val="center"/>
        <w:divId w:val="2063820962"/>
        <w:rPr>
          <w:rFonts w:asciiTheme="majorBidi" w:hAnsiTheme="majorBidi" w:cstheme="majorBidi"/>
        </w:rPr>
      </w:pPr>
      <w:r w:rsidRPr="000E4A21">
        <w:rPr>
          <w:rStyle w:val="Strong"/>
          <w:rFonts w:asciiTheme="majorBidi" w:hAnsiTheme="majorBidi" w:cstheme="majorBidi"/>
        </w:rPr>
        <w:t>Table 5: Climate Risk and Monetary Policy Transmission</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49"/>
        <w:gridCol w:w="1934"/>
        <w:gridCol w:w="2347"/>
        <w:gridCol w:w="2002"/>
      </w:tblGrid>
      <w:tr w:rsidR="000E4A21" w:rsidRPr="000E4A21" w14:paraId="029F7F9D" w14:textId="77777777" w:rsidTr="000E4A21">
        <w:trPr>
          <w:divId w:val="2063820962"/>
          <w:tblHeader/>
          <w:tblCellSpacing w:w="15" w:type="dxa"/>
          <w:jc w:val="center"/>
        </w:trPr>
        <w:tc>
          <w:tcPr>
            <w:tcW w:w="0" w:type="auto"/>
            <w:vAlign w:val="center"/>
            <w:hideMark/>
          </w:tcPr>
          <w:p w14:paraId="736F24A9" w14:textId="77777777" w:rsidR="00F971B9" w:rsidRPr="000E4A21" w:rsidRDefault="00F971B9" w:rsidP="00C0492C">
            <w:pPr>
              <w:bidi w:val="0"/>
              <w:jc w:val="both"/>
              <w:rPr>
                <w:rFonts w:asciiTheme="majorBidi" w:eastAsia="Times New Roman" w:hAnsiTheme="majorBidi" w:cstheme="majorBidi"/>
                <w:b/>
                <w:bCs/>
              </w:rPr>
            </w:pPr>
            <w:r w:rsidRPr="000E4A21">
              <w:rPr>
                <w:rFonts w:asciiTheme="majorBidi" w:eastAsia="Times New Roman" w:hAnsiTheme="majorBidi" w:cstheme="majorBidi"/>
                <w:b/>
                <w:bCs/>
              </w:rPr>
              <w:t>Policy Channel</w:t>
            </w:r>
          </w:p>
        </w:tc>
        <w:tc>
          <w:tcPr>
            <w:tcW w:w="0" w:type="auto"/>
            <w:vAlign w:val="center"/>
            <w:hideMark/>
          </w:tcPr>
          <w:p w14:paraId="09DE6042" w14:textId="77777777" w:rsidR="00F971B9" w:rsidRPr="000E4A21" w:rsidRDefault="00F971B9" w:rsidP="00C0492C">
            <w:pPr>
              <w:bidi w:val="0"/>
              <w:jc w:val="both"/>
              <w:rPr>
                <w:rFonts w:asciiTheme="majorBidi" w:eastAsia="Times New Roman" w:hAnsiTheme="majorBidi" w:cstheme="majorBidi"/>
                <w:b/>
                <w:bCs/>
              </w:rPr>
            </w:pPr>
            <w:r w:rsidRPr="000E4A21">
              <w:rPr>
                <w:rFonts w:asciiTheme="majorBidi" w:eastAsia="Times New Roman" w:hAnsiTheme="majorBidi" w:cstheme="majorBidi"/>
                <w:b/>
                <w:bCs/>
              </w:rPr>
              <w:t>Low Climate Risk</w:t>
            </w:r>
          </w:p>
        </w:tc>
        <w:tc>
          <w:tcPr>
            <w:tcW w:w="0" w:type="auto"/>
            <w:vAlign w:val="center"/>
            <w:hideMark/>
          </w:tcPr>
          <w:p w14:paraId="331F7701" w14:textId="77777777" w:rsidR="00F971B9" w:rsidRPr="000E4A21" w:rsidRDefault="00F971B9" w:rsidP="00C0492C">
            <w:pPr>
              <w:bidi w:val="0"/>
              <w:jc w:val="both"/>
              <w:rPr>
                <w:rFonts w:asciiTheme="majorBidi" w:eastAsia="Times New Roman" w:hAnsiTheme="majorBidi" w:cstheme="majorBidi"/>
                <w:b/>
                <w:bCs/>
              </w:rPr>
            </w:pPr>
            <w:r w:rsidRPr="000E4A21">
              <w:rPr>
                <w:rFonts w:asciiTheme="majorBidi" w:eastAsia="Times New Roman" w:hAnsiTheme="majorBidi" w:cstheme="majorBidi"/>
                <w:b/>
                <w:bCs/>
              </w:rPr>
              <w:t>Medium Climate Risk</w:t>
            </w:r>
          </w:p>
        </w:tc>
        <w:tc>
          <w:tcPr>
            <w:tcW w:w="0" w:type="auto"/>
            <w:vAlign w:val="center"/>
            <w:hideMark/>
          </w:tcPr>
          <w:p w14:paraId="59252F96" w14:textId="77777777" w:rsidR="00F971B9" w:rsidRPr="000E4A21" w:rsidRDefault="00F971B9" w:rsidP="00C0492C">
            <w:pPr>
              <w:bidi w:val="0"/>
              <w:jc w:val="both"/>
              <w:rPr>
                <w:rFonts w:asciiTheme="majorBidi" w:eastAsia="Times New Roman" w:hAnsiTheme="majorBidi" w:cstheme="majorBidi"/>
                <w:b/>
                <w:bCs/>
              </w:rPr>
            </w:pPr>
            <w:r w:rsidRPr="000E4A21">
              <w:rPr>
                <w:rFonts w:asciiTheme="majorBidi" w:eastAsia="Times New Roman" w:hAnsiTheme="majorBidi" w:cstheme="majorBidi"/>
                <w:b/>
                <w:bCs/>
              </w:rPr>
              <w:t>High Climate Risk</w:t>
            </w:r>
          </w:p>
        </w:tc>
      </w:tr>
      <w:tr w:rsidR="000E4A21" w:rsidRPr="000E4A21" w14:paraId="0B74B4D2" w14:textId="77777777" w:rsidTr="000E4A21">
        <w:trPr>
          <w:divId w:val="2063820962"/>
          <w:tblCellSpacing w:w="15" w:type="dxa"/>
          <w:jc w:val="center"/>
        </w:trPr>
        <w:tc>
          <w:tcPr>
            <w:tcW w:w="0" w:type="auto"/>
            <w:vAlign w:val="center"/>
            <w:hideMark/>
          </w:tcPr>
          <w:p w14:paraId="3BEF4FA6"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Bank Lending</w:t>
            </w:r>
          </w:p>
        </w:tc>
        <w:tc>
          <w:tcPr>
            <w:tcW w:w="0" w:type="auto"/>
            <w:vAlign w:val="center"/>
            <w:hideMark/>
          </w:tcPr>
          <w:p w14:paraId="66CF7430"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0.234***</w:t>
            </w:r>
          </w:p>
        </w:tc>
        <w:tc>
          <w:tcPr>
            <w:tcW w:w="0" w:type="auto"/>
            <w:vAlign w:val="center"/>
            <w:hideMark/>
          </w:tcPr>
          <w:p w14:paraId="3FA940F6"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0.189***</w:t>
            </w:r>
          </w:p>
        </w:tc>
        <w:tc>
          <w:tcPr>
            <w:tcW w:w="0" w:type="auto"/>
            <w:vAlign w:val="center"/>
            <w:hideMark/>
          </w:tcPr>
          <w:p w14:paraId="5B2DE9F1"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0.156**</w:t>
            </w:r>
          </w:p>
        </w:tc>
      </w:tr>
      <w:tr w:rsidR="000E4A21" w:rsidRPr="000E4A21" w14:paraId="7D5B6127" w14:textId="77777777" w:rsidTr="000E4A21">
        <w:trPr>
          <w:divId w:val="2063820962"/>
          <w:tblCellSpacing w:w="15" w:type="dxa"/>
          <w:jc w:val="center"/>
        </w:trPr>
        <w:tc>
          <w:tcPr>
            <w:tcW w:w="0" w:type="auto"/>
            <w:vAlign w:val="center"/>
            <w:hideMark/>
          </w:tcPr>
          <w:p w14:paraId="17498FD8" w14:textId="77777777" w:rsidR="00F971B9" w:rsidRPr="000E4A21" w:rsidRDefault="00F971B9" w:rsidP="00C0492C">
            <w:pPr>
              <w:jc w:val="both"/>
              <w:rPr>
                <w:rFonts w:asciiTheme="majorBidi" w:eastAsia="Times New Roman" w:hAnsiTheme="majorBidi" w:cstheme="majorBidi"/>
              </w:rPr>
            </w:pPr>
          </w:p>
        </w:tc>
        <w:tc>
          <w:tcPr>
            <w:tcW w:w="0" w:type="auto"/>
            <w:vAlign w:val="center"/>
            <w:hideMark/>
          </w:tcPr>
          <w:p w14:paraId="7C2003BE"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(0.045)</w:t>
            </w:r>
          </w:p>
        </w:tc>
        <w:tc>
          <w:tcPr>
            <w:tcW w:w="0" w:type="auto"/>
            <w:vAlign w:val="center"/>
            <w:hideMark/>
          </w:tcPr>
          <w:p w14:paraId="733C8BA7"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(0.052)</w:t>
            </w:r>
          </w:p>
        </w:tc>
        <w:tc>
          <w:tcPr>
            <w:tcW w:w="0" w:type="auto"/>
            <w:vAlign w:val="center"/>
            <w:hideMark/>
          </w:tcPr>
          <w:p w14:paraId="74C67AA1"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(0.067)</w:t>
            </w:r>
          </w:p>
        </w:tc>
      </w:tr>
      <w:tr w:rsidR="000E4A21" w:rsidRPr="000E4A21" w14:paraId="550129CC" w14:textId="77777777" w:rsidTr="000E4A21">
        <w:trPr>
          <w:divId w:val="2063820962"/>
          <w:tblCellSpacing w:w="15" w:type="dxa"/>
          <w:jc w:val="center"/>
        </w:trPr>
        <w:tc>
          <w:tcPr>
            <w:tcW w:w="0" w:type="auto"/>
            <w:vAlign w:val="center"/>
            <w:hideMark/>
          </w:tcPr>
          <w:p w14:paraId="35AB2050"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Asset Prices</w:t>
            </w:r>
          </w:p>
        </w:tc>
        <w:tc>
          <w:tcPr>
            <w:tcW w:w="0" w:type="auto"/>
            <w:vAlign w:val="center"/>
            <w:hideMark/>
          </w:tcPr>
          <w:p w14:paraId="01035C62"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0.312***</w:t>
            </w:r>
          </w:p>
        </w:tc>
        <w:tc>
          <w:tcPr>
            <w:tcW w:w="0" w:type="auto"/>
            <w:vAlign w:val="center"/>
            <w:hideMark/>
          </w:tcPr>
          <w:p w14:paraId="78FBBB5E"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0.278***</w:t>
            </w:r>
          </w:p>
        </w:tc>
        <w:tc>
          <w:tcPr>
            <w:tcW w:w="0" w:type="auto"/>
            <w:vAlign w:val="center"/>
            <w:hideMark/>
          </w:tcPr>
          <w:p w14:paraId="6C5005F3"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0.201**</w:t>
            </w:r>
          </w:p>
        </w:tc>
      </w:tr>
      <w:tr w:rsidR="000E4A21" w:rsidRPr="000E4A21" w14:paraId="68238353" w14:textId="77777777" w:rsidTr="000E4A21">
        <w:trPr>
          <w:divId w:val="2063820962"/>
          <w:tblCellSpacing w:w="15" w:type="dxa"/>
          <w:jc w:val="center"/>
        </w:trPr>
        <w:tc>
          <w:tcPr>
            <w:tcW w:w="0" w:type="auto"/>
            <w:vAlign w:val="center"/>
            <w:hideMark/>
          </w:tcPr>
          <w:p w14:paraId="28AD4DF4" w14:textId="77777777" w:rsidR="00F971B9" w:rsidRPr="000E4A21" w:rsidRDefault="00F971B9" w:rsidP="00C0492C">
            <w:pPr>
              <w:jc w:val="both"/>
              <w:rPr>
                <w:rFonts w:asciiTheme="majorBidi" w:eastAsia="Times New Roman" w:hAnsiTheme="majorBidi" w:cstheme="majorBidi"/>
              </w:rPr>
            </w:pPr>
          </w:p>
        </w:tc>
        <w:tc>
          <w:tcPr>
            <w:tcW w:w="0" w:type="auto"/>
            <w:vAlign w:val="center"/>
            <w:hideMark/>
          </w:tcPr>
          <w:p w14:paraId="1B945120"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(0.067)</w:t>
            </w:r>
          </w:p>
        </w:tc>
        <w:tc>
          <w:tcPr>
            <w:tcW w:w="0" w:type="auto"/>
            <w:vAlign w:val="center"/>
            <w:hideMark/>
          </w:tcPr>
          <w:p w14:paraId="23F8F70B"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(0.071)</w:t>
            </w:r>
          </w:p>
        </w:tc>
        <w:tc>
          <w:tcPr>
            <w:tcW w:w="0" w:type="auto"/>
            <w:vAlign w:val="center"/>
            <w:hideMark/>
          </w:tcPr>
          <w:p w14:paraId="212A203D"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(0.089)</w:t>
            </w:r>
          </w:p>
        </w:tc>
      </w:tr>
      <w:tr w:rsidR="000E4A21" w:rsidRPr="000E4A21" w14:paraId="24283050" w14:textId="77777777" w:rsidTr="000E4A21">
        <w:trPr>
          <w:divId w:val="2063820962"/>
          <w:tblCellSpacing w:w="15" w:type="dxa"/>
          <w:jc w:val="center"/>
        </w:trPr>
        <w:tc>
          <w:tcPr>
            <w:tcW w:w="0" w:type="auto"/>
            <w:vAlign w:val="center"/>
            <w:hideMark/>
          </w:tcPr>
          <w:p w14:paraId="3571E5B6"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Exchange Rate</w:t>
            </w:r>
          </w:p>
        </w:tc>
        <w:tc>
          <w:tcPr>
            <w:tcW w:w="0" w:type="auto"/>
            <w:vAlign w:val="center"/>
            <w:hideMark/>
          </w:tcPr>
          <w:p w14:paraId="6D8659CC"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0.156**</w:t>
            </w:r>
          </w:p>
        </w:tc>
        <w:tc>
          <w:tcPr>
            <w:tcW w:w="0" w:type="auto"/>
            <w:vAlign w:val="center"/>
            <w:hideMark/>
          </w:tcPr>
          <w:p w14:paraId="562FC96A"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0.134**</w:t>
            </w:r>
          </w:p>
        </w:tc>
        <w:tc>
          <w:tcPr>
            <w:tcW w:w="0" w:type="auto"/>
            <w:vAlign w:val="center"/>
            <w:hideMark/>
          </w:tcPr>
          <w:p w14:paraId="024ECD57"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0.098*</w:t>
            </w:r>
          </w:p>
        </w:tc>
      </w:tr>
      <w:tr w:rsidR="000E4A21" w:rsidRPr="000E4A21" w14:paraId="23558C67" w14:textId="77777777" w:rsidTr="000E4A21">
        <w:trPr>
          <w:divId w:val="2063820962"/>
          <w:tblCellSpacing w:w="15" w:type="dxa"/>
          <w:jc w:val="center"/>
        </w:trPr>
        <w:tc>
          <w:tcPr>
            <w:tcW w:w="0" w:type="auto"/>
            <w:vAlign w:val="center"/>
            <w:hideMark/>
          </w:tcPr>
          <w:p w14:paraId="34D23F43" w14:textId="77777777" w:rsidR="00F971B9" w:rsidRPr="000E4A21" w:rsidRDefault="00F971B9" w:rsidP="00C0492C">
            <w:pPr>
              <w:jc w:val="both"/>
              <w:rPr>
                <w:rFonts w:asciiTheme="majorBidi" w:eastAsia="Times New Roman" w:hAnsiTheme="majorBidi" w:cstheme="majorBidi"/>
              </w:rPr>
            </w:pPr>
          </w:p>
        </w:tc>
        <w:tc>
          <w:tcPr>
            <w:tcW w:w="0" w:type="auto"/>
            <w:vAlign w:val="center"/>
            <w:hideMark/>
          </w:tcPr>
          <w:p w14:paraId="00D1C1CA"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(0.078)</w:t>
            </w:r>
          </w:p>
        </w:tc>
        <w:tc>
          <w:tcPr>
            <w:tcW w:w="0" w:type="auto"/>
            <w:vAlign w:val="center"/>
            <w:hideMark/>
          </w:tcPr>
          <w:p w14:paraId="0A040AB3"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(0.081)</w:t>
            </w:r>
          </w:p>
        </w:tc>
        <w:tc>
          <w:tcPr>
            <w:tcW w:w="0" w:type="auto"/>
            <w:vAlign w:val="center"/>
            <w:hideMark/>
          </w:tcPr>
          <w:p w14:paraId="581B1DDD" w14:textId="77777777" w:rsidR="00F971B9" w:rsidRPr="000E4A21" w:rsidRDefault="00F971B9" w:rsidP="00C0492C">
            <w:pPr>
              <w:bidi w:val="0"/>
              <w:jc w:val="both"/>
              <w:rPr>
                <w:rFonts w:asciiTheme="majorBidi" w:eastAsia="Times New Roman" w:hAnsiTheme="majorBidi" w:cstheme="majorBidi"/>
              </w:rPr>
            </w:pPr>
            <w:r w:rsidRPr="000E4A21">
              <w:rPr>
                <w:rFonts w:asciiTheme="majorBidi" w:eastAsia="Times New Roman" w:hAnsiTheme="majorBidi" w:cstheme="majorBidi"/>
              </w:rPr>
              <w:t>(0.095)</w:t>
            </w:r>
          </w:p>
        </w:tc>
      </w:tr>
    </w:tbl>
    <w:p w14:paraId="23F816DF" w14:textId="77777777" w:rsidR="00F971B9" w:rsidRPr="000E4A21" w:rsidRDefault="00F971B9" w:rsidP="00C0492C">
      <w:pPr>
        <w:pStyle w:val="NormalWeb"/>
        <w:jc w:val="both"/>
        <w:divId w:val="2063820962"/>
        <w:rPr>
          <w:rFonts w:asciiTheme="majorBidi" w:hAnsiTheme="majorBidi" w:cstheme="majorBidi"/>
        </w:rPr>
      </w:pPr>
      <w:r w:rsidRPr="000E4A21">
        <w:rPr>
          <w:rStyle w:val="Emphasis"/>
          <w:rFonts w:asciiTheme="majorBidi" w:hAnsiTheme="majorBidi" w:cstheme="majorBidi"/>
        </w:rPr>
        <w:t>Notes: Coefficients represent elasticity of transmission channel effectiveness to monetary policy changes. Standard errors in parentheses. *** p&lt;0.01, ** p&lt;0.05, * p&lt;0.1</w:t>
      </w:r>
    </w:p>
    <w:p w14:paraId="3440F833" w14:textId="3269AC32" w:rsidR="00E33A7B" w:rsidRDefault="00E33A7B" w:rsidP="00C0492C">
      <w:pPr>
        <w:pStyle w:val="NormalWeb"/>
        <w:jc w:val="both"/>
        <w:divId w:val="2063820962"/>
        <w:rPr>
          <w:rFonts w:asciiTheme="majorBidi" w:hAnsiTheme="majorBidi" w:cstheme="majorBidi"/>
        </w:rPr>
      </w:pPr>
      <w:r w:rsidRPr="00E33A7B">
        <w:rPr>
          <w:rFonts w:asciiTheme="majorBidi" w:hAnsiTheme="majorBidi" w:cstheme="majorBidi"/>
        </w:rPr>
        <w:t>Source: R 4.3.0 production package</w:t>
      </w:r>
    </w:p>
    <w:p w14:paraId="7F923F7A"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results demonstrate that climate transition risks weaken monetary policy transmission effectiveness across all channels, with the bank lending channel showing the most pronounced deterioration. Under high climate risk conditions, the effectiveness of bank lending transmission falls by approximately 33% compared to low-risk environments, suggesting that climate considerations should be integrated into monetary policy implementation frameworks.</w:t>
      </w:r>
    </w:p>
    <w:p w14:paraId="289A1CB0" w14:textId="77777777" w:rsidR="00F971B9" w:rsidRPr="00A406AF" w:rsidRDefault="00F971B9" w:rsidP="00C0492C">
      <w:pPr>
        <w:pStyle w:val="Heading2"/>
        <w:bidi w:val="0"/>
        <w:jc w:val="both"/>
        <w:divId w:val="2063820962"/>
        <w:rPr>
          <w:rFonts w:asciiTheme="majorBidi" w:eastAsia="Times New Roman" w:hAnsiTheme="majorBidi"/>
          <w:b/>
          <w:bCs/>
          <w:color w:val="auto"/>
          <w:sz w:val="28"/>
          <w:szCs w:val="28"/>
        </w:rPr>
      </w:pPr>
      <w:r w:rsidRPr="00A406AF">
        <w:rPr>
          <w:rFonts w:asciiTheme="majorBidi" w:eastAsia="Times New Roman" w:hAnsiTheme="majorBidi"/>
          <w:b/>
          <w:bCs/>
          <w:color w:val="auto"/>
          <w:sz w:val="28"/>
          <w:szCs w:val="28"/>
        </w:rPr>
        <w:t>5. Discussion</w:t>
      </w:r>
    </w:p>
    <w:p w14:paraId="3B4B5F09"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empirical findings of this study provide compelling evidence for the significant impact of climate transition risks on European banking sector stability and monetary policy effectiveness. The results contribute to the growing literature on climate-finance nexus by quantifying relationships that have previously been characterized primarily through theoretical frameworks and qualitative assessments.</w:t>
      </w:r>
    </w:p>
    <w:p w14:paraId="5589A09A"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documented negative relationship between climate transition risk exposure and banking profitability aligns with theoretical predictions from the literature on stranded assets and portfolio transition costs. The magnitude of effects—with high-risk banks experiencing profitability reductions of up to 156 basis points in ROE—represents economically significant impacts that exceed typical variations in banking performance attributable to business cycle fluctuations. These findings support the arguments advanced by central bank researchers regarding the materiality of climate risks for financial stability assessment.</w:t>
      </w:r>
    </w:p>
    <w:p w14:paraId="1BE326F6"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heterogeneous effects across bank sizes and geographical regions reveal important structural factors that influence climate risk transmission. Medium-sized banks' higher vulnerability may reflect their limited ability to diversify climate risks compared to large international institutions, while also lacking the specialized focus of smaller regional banks. This finding has important implications for banking supervision, suggesting that one-size-fits-all approaches to climate risk regulation may be suboptimal.</w:t>
      </w:r>
    </w:p>
    <w:p w14:paraId="6642604F" w14:textId="77777777" w:rsidR="0096121F" w:rsidRPr="0096121F" w:rsidRDefault="0096121F" w:rsidP="0096121F">
      <w:pPr>
        <w:pStyle w:val="NormalWeb"/>
        <w:jc w:val="both"/>
        <w:divId w:val="2063820962"/>
        <w:rPr>
          <w:rFonts w:asciiTheme="majorBidi" w:hAnsiTheme="majorBidi" w:cstheme="majorBidi"/>
        </w:rPr>
      </w:pPr>
      <w:r w:rsidRPr="0096121F">
        <w:rPr>
          <w:rFonts w:asciiTheme="majorBidi" w:hAnsiTheme="majorBidi" w:cstheme="majorBidi"/>
        </w:rPr>
        <w:t xml:space="preserve">Presenting an analysis of the effects of thresholds on carbon intensity relationships reveals new insights into how climate risks are transmitted nonlinearly. The threshold value of 500 </w:t>
      </w:r>
      <w:proofErr w:type="spellStart"/>
      <w:r w:rsidRPr="0096121F">
        <w:rPr>
          <w:rFonts w:asciiTheme="majorBidi" w:hAnsiTheme="majorBidi" w:cstheme="majorBidi"/>
        </w:rPr>
        <w:t>tonnes</w:t>
      </w:r>
      <w:proofErr w:type="spellEnd"/>
      <w:r w:rsidRPr="0096121F">
        <w:rPr>
          <w:rFonts w:asciiTheme="majorBidi" w:hAnsiTheme="majorBidi" w:cstheme="majorBidi"/>
        </w:rPr>
        <w:t xml:space="preserve"> of CO2e per €1 </w:t>
      </w:r>
      <w:r w:rsidRPr="0096121F">
        <w:rPr>
          <w:rFonts w:asciiTheme="majorBidi" w:hAnsiTheme="majorBidi" w:cstheme="majorBidi"/>
        </w:rPr>
        <w:lastRenderedPageBreak/>
        <w:t>million of lending is an important benchmark for understanding risk and could strengthen regulatory guidelines for climate risk classification. Banks that exceed this threshold face significantly higher vulnerability to sudden changes, suggesting a need for stronger capital requirements or more stringent oversight.</w:t>
      </w:r>
    </w:p>
    <w:p w14:paraId="17C83623" w14:textId="77777777" w:rsidR="0096121F" w:rsidRDefault="0096121F" w:rsidP="0096121F">
      <w:pPr>
        <w:pStyle w:val="NormalWeb"/>
        <w:jc w:val="both"/>
        <w:divId w:val="2063820962"/>
        <w:rPr>
          <w:rFonts w:asciiTheme="majorBidi" w:hAnsiTheme="majorBidi" w:cstheme="majorBidi"/>
        </w:rPr>
      </w:pPr>
      <w:r w:rsidRPr="0096121F">
        <w:rPr>
          <w:rFonts w:asciiTheme="majorBidi" w:hAnsiTheme="majorBidi" w:cstheme="majorBidi"/>
        </w:rPr>
        <w:t>The stress test results demonstrate how the characteristics of the transition path are important for financial stability. The significant difference between the orderly and disorderly transition scenarios, where capital shortfalls range from €23.4 billion to €67.2 billion, suggests that how policies are implemented may be as important as the content of the policies themselves for maintaining financial stability. This finding supports the argument for establishing clear and predictable climate policy frameworks, giving financial institutions sufficient time to adjust their portfolios.</w:t>
      </w:r>
    </w:p>
    <w:p w14:paraId="6135CCBB" w14:textId="76D19103" w:rsidR="00F971B9" w:rsidRPr="000E4A21" w:rsidRDefault="00F971B9" w:rsidP="0096121F">
      <w:pPr>
        <w:pStyle w:val="NormalWeb"/>
        <w:jc w:val="both"/>
        <w:divId w:val="2063820962"/>
        <w:rPr>
          <w:rFonts w:asciiTheme="majorBidi" w:hAnsiTheme="majorBidi" w:cstheme="majorBidi"/>
        </w:rPr>
      </w:pPr>
      <w:r w:rsidRPr="000E4A21">
        <w:rPr>
          <w:rFonts w:asciiTheme="majorBidi" w:hAnsiTheme="majorBidi" w:cstheme="majorBidi"/>
        </w:rPr>
        <w:t>The weakening of monetary policy transmission channels under high climate risk conditions represents a particularly significant finding with far-reaching implications for central bank operations. The 33% reduction in bank lending channel effectiveness suggests that climate risks may undermine traditional monetary policy tools, potentially requiring new instruments or approaches to maintain policy effectiveness. This result supports recent European Central Bank initiatives to incorporate climate considerations into monetary policy implementation.</w:t>
      </w:r>
    </w:p>
    <w:p w14:paraId="67FBFAA6"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Our machine learning analysis reveals complex interaction effects that traditional econometric approaches might miss, particularly the identification of multiple threshold effects and size-dependent vulnerability patterns. These findings suggest that climate risk assessment frameworks should incorporate non-linear modeling approaches to capture the full range of potential outcomes.</w:t>
      </w:r>
    </w:p>
    <w:p w14:paraId="48CB8E8B"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study's findings must be interpreted within several important limitations. First, the reliance on disclosed climate data may underestimate true risk exposures, as banks may have incomplete information about their indirect exposures through supply chains and counterparty relationships. Second, the historical focus of our analysis may not fully capture future risk dynamics as climate policies and technologies continue to evolve rapidly. Third, the European focus limits generalizability to other regions with different climate policy frameworks and banking sector structures.</w:t>
      </w:r>
    </w:p>
    <w:p w14:paraId="442834FA"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implications for policy and practice are substantial. For banking regulators, the results support the integration of climate risk assessment into supervisory frameworks and suggest the need for enhanced disclosure requirements to improve risk transparency. The identification of threshold effects could inform the development of climate-related capital requirements or restrictions on high-carbon exposures.</w:t>
      </w:r>
    </w:p>
    <w:p w14:paraId="5585236D"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For monetary policymakers, the findings indicate the importance of considering climate factors in policy design and implementation. The weakening of traditional transmission channels under high climate risk conditions suggests that central banks may need to develop new tools or modify existing instruments to maintain policy effectiveness during the climate transition.</w:t>
      </w:r>
    </w:p>
    <w:p w14:paraId="6FACE6CF"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For financial institutions, the results highlight the importance of proactive climate risk management and portfolio transition strategies. Banks with high carbon intensity exposures face substantial performance risks that could be mitigated through gradual portfolio rebalancing and enhanced risk monitoring systems.</w:t>
      </w:r>
    </w:p>
    <w:p w14:paraId="571F87B6" w14:textId="77777777" w:rsidR="00F971B9" w:rsidRPr="00A406AF" w:rsidRDefault="00F971B9" w:rsidP="00C0492C">
      <w:pPr>
        <w:pStyle w:val="Heading2"/>
        <w:bidi w:val="0"/>
        <w:jc w:val="both"/>
        <w:divId w:val="2063820962"/>
        <w:rPr>
          <w:rFonts w:asciiTheme="majorBidi" w:eastAsia="Times New Roman" w:hAnsiTheme="majorBidi"/>
          <w:b/>
          <w:bCs/>
          <w:color w:val="auto"/>
          <w:sz w:val="28"/>
          <w:szCs w:val="28"/>
        </w:rPr>
      </w:pPr>
      <w:r w:rsidRPr="00A406AF">
        <w:rPr>
          <w:rFonts w:asciiTheme="majorBidi" w:eastAsia="Times New Roman" w:hAnsiTheme="majorBidi"/>
          <w:b/>
          <w:bCs/>
          <w:color w:val="auto"/>
          <w:sz w:val="28"/>
          <w:szCs w:val="28"/>
        </w:rPr>
        <w:t>6. Conclusion</w:t>
      </w:r>
    </w:p>
    <w:p w14:paraId="6FA63C56"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This study provides comprehensive empirical evidence on the impact of climate transition risks on European banking sector stability from 2015 to 2023. Through analysis of 150 major European banks using advanced econometric techniques and machine learning approaches, we document significant relationships between environmental transition risks and key banking performance indicators.</w:t>
      </w:r>
    </w:p>
    <w:p w14:paraId="5765ACAC"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lastRenderedPageBreak/>
        <w:t>The key findings demonstrate that banks with higher climate transition risk exposure, measured through our comprehensive Climate Transition Risk Index, experience substantially lower profitability and higher asset quality deterioration. The effects are economically significant, with high-risk banks showing ROE reductions of up to 156 basis points and NPL ratio increases of up to 67 basis points compared to low-risk institutions. These impacts vary substantially across bank characteristics, with medium-sized banks and those in Southern European markets showing the highest vulnerability.</w:t>
      </w:r>
    </w:p>
    <w:p w14:paraId="729E1EDE"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study identifies important threshold effects in climate risk transmission, with carbon intensity levels exceeding 500 tCO2e per million euros of lending representing a critical vulnerability threshold above which risk sensitivity increases four-fold. This finding provides concrete guidance for risk assessment and regulatory framework development.</w:t>
      </w:r>
    </w:p>
    <w:p w14:paraId="3713296E"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Our stress testing analysis reveals that under disorderly transition scenarios, European banks could face aggregate capital shortfalls of €67.2 billion by 2030, with 28% of institutions potentially falling below minimum regulatory requirements. These results highlight the critical importance of coordinated, predictable climate policy implementation for financial stability preservation.</w:t>
      </w:r>
    </w:p>
    <w:p w14:paraId="75292152"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Perhaps most significantly, the study documents weakening of monetary policy transmission effectiveness under high climate risk conditions, with bank lending channel effectiveness declining by approximately 33%. This finding has profound implications for central bank operations and suggests the need for enhanced integration of climate considerations into monetary policy frameworks.</w:t>
      </w:r>
    </w:p>
    <w:p w14:paraId="45F0481E"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research contributes to the literature by providing the first comprehensive multi-country analysis of climate-banking relationships over an extended time horizon, developing innovative methodological approaches that combine traditional econometric techniques with machine learning algorithms, and establishing concrete quantitative relationships that inform both academic understanding and practical policy development.</w:t>
      </w:r>
    </w:p>
    <w:p w14:paraId="2E0B6E02"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Future research should extend this analysis to incorporate physical climate risks alongside transition risks, examine longer-term adaptation dynamics as banks adjust their strategies, and investigate cross-border spillover effects of climate policies on international banking relationships. Additionally, research on the effectiveness of various policy instruments in mitigating identified risks would provide valuable guidance for regulatory design.</w:t>
      </w:r>
    </w:p>
    <w:p w14:paraId="078804AB" w14:textId="77777777" w:rsidR="00F971B9"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The findings underscore the urgency of integrating climate considerations into financial stability frameworks while highlighting the potential for well-designed policies to manage transition risks effectively. As the European Union advances its climate objectives, understanding and addressing these financial stability implications will be crucial for achieving environmental goals while maintaining economic stability.</w:t>
      </w:r>
    </w:p>
    <w:p w14:paraId="3A859B03" w14:textId="77777777" w:rsidR="00632527" w:rsidRDefault="00632527" w:rsidP="00C0492C">
      <w:pPr>
        <w:pStyle w:val="NormalWeb"/>
        <w:jc w:val="both"/>
        <w:divId w:val="2063820962"/>
        <w:rPr>
          <w:rFonts w:asciiTheme="majorBidi" w:hAnsiTheme="majorBidi" w:cstheme="majorBidi"/>
        </w:rPr>
      </w:pPr>
    </w:p>
    <w:p w14:paraId="0CCD1463" w14:textId="77777777" w:rsidR="0031436E" w:rsidRPr="0031436E" w:rsidRDefault="0031436E" w:rsidP="0031436E">
      <w:pPr>
        <w:bidi w:val="0"/>
        <w:spacing w:after="200" w:line="276" w:lineRule="auto"/>
        <w:jc w:val="both"/>
        <w:outlineLvl w:val="0"/>
        <w:divId w:val="2063820962"/>
        <w:rPr>
          <w:rFonts w:ascii="Arial" w:eastAsia="Times New Roman" w:hAnsi="Arial" w:cs="Arial"/>
          <w:kern w:val="0"/>
          <w:sz w:val="22"/>
          <w:szCs w:val="22"/>
          <w:lang w:val="en-GB" w:eastAsia="en-GB"/>
          <w14:ligatures w14:val="none"/>
        </w:rPr>
      </w:pPr>
      <w:r w:rsidRPr="0031436E">
        <w:rPr>
          <w:rFonts w:ascii="Arial" w:eastAsia="Times New Roman" w:hAnsi="Arial" w:cs="Arial"/>
          <w:b/>
          <w:bCs/>
          <w:kern w:val="0"/>
          <w:sz w:val="22"/>
          <w:szCs w:val="22"/>
          <w:lang w:val="en-GB" w:eastAsia="en-GB"/>
          <w14:ligatures w14:val="none"/>
        </w:rPr>
        <w:t>COMPETING INTERESTS DISCLAIMER:</w:t>
      </w:r>
    </w:p>
    <w:p w14:paraId="3293DD2D" w14:textId="77777777" w:rsidR="0031436E" w:rsidRPr="0031436E" w:rsidRDefault="0031436E" w:rsidP="0031436E">
      <w:pPr>
        <w:bidi w:val="0"/>
        <w:spacing w:after="200" w:line="276" w:lineRule="auto"/>
        <w:divId w:val="2063820962"/>
        <w:rPr>
          <w:rFonts w:ascii="Calibri" w:eastAsia="Times New Roman" w:hAnsi="Calibri" w:cs="Times New Roman"/>
          <w:kern w:val="0"/>
          <w:sz w:val="22"/>
          <w:szCs w:val="22"/>
          <w:lang w:val="en-GB" w:eastAsia="en-GB"/>
          <w14:ligatures w14:val="none"/>
        </w:rPr>
      </w:pPr>
      <w:r w:rsidRPr="0031436E">
        <w:rPr>
          <w:rFonts w:ascii="Calibri" w:eastAsia="Times New Roman" w:hAnsi="Calibri" w:cs="Times New Roman"/>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6D98DE90" w14:textId="77777777" w:rsidR="0031436E" w:rsidRPr="0031436E" w:rsidRDefault="0031436E" w:rsidP="0031436E">
      <w:pPr>
        <w:bidi w:val="0"/>
        <w:spacing w:after="200" w:line="276" w:lineRule="auto"/>
        <w:divId w:val="2063820962"/>
        <w:rPr>
          <w:rFonts w:ascii="Calibri" w:eastAsia="Times New Roman" w:hAnsi="Calibri" w:cs="Times New Roman"/>
          <w:kern w:val="0"/>
          <w:sz w:val="22"/>
          <w:szCs w:val="22"/>
          <w:lang w:val="en-GB" w:eastAsia="en-GB"/>
          <w14:ligatures w14:val="none"/>
        </w:rPr>
      </w:pPr>
    </w:p>
    <w:p w14:paraId="1C9F24A3" w14:textId="77777777" w:rsidR="0031436E" w:rsidRPr="0031436E" w:rsidRDefault="0031436E" w:rsidP="0031436E">
      <w:pPr>
        <w:bidi w:val="0"/>
        <w:spacing w:after="200" w:line="276" w:lineRule="auto"/>
        <w:divId w:val="2063820962"/>
        <w:rPr>
          <w:rFonts w:ascii="Calibri" w:eastAsia="Times New Roman" w:hAnsi="Calibri" w:cs="Times New Roman"/>
          <w:kern w:val="0"/>
          <w:sz w:val="22"/>
          <w:szCs w:val="22"/>
          <w:lang w:val="en-GB" w:eastAsia="en-GB"/>
          <w14:ligatures w14:val="none"/>
        </w:rPr>
      </w:pPr>
    </w:p>
    <w:p w14:paraId="2269793B" w14:textId="77777777" w:rsidR="00632527" w:rsidRDefault="00632527" w:rsidP="00C0492C">
      <w:pPr>
        <w:pStyle w:val="NormalWeb"/>
        <w:jc w:val="both"/>
        <w:divId w:val="2063820962"/>
        <w:rPr>
          <w:rFonts w:asciiTheme="majorBidi" w:hAnsiTheme="majorBidi" w:cstheme="majorBidi"/>
        </w:rPr>
      </w:pPr>
    </w:p>
    <w:p w14:paraId="6BB17DE7" w14:textId="77777777" w:rsidR="00B27987" w:rsidRPr="000E4A21" w:rsidRDefault="00B27987" w:rsidP="00C0492C">
      <w:pPr>
        <w:pStyle w:val="NormalWeb"/>
        <w:jc w:val="both"/>
        <w:divId w:val="2063820962"/>
        <w:rPr>
          <w:rFonts w:asciiTheme="majorBidi" w:hAnsiTheme="majorBidi" w:cstheme="majorBidi"/>
        </w:rPr>
      </w:pPr>
    </w:p>
    <w:p w14:paraId="0827C19B" w14:textId="77777777" w:rsidR="00F971B9" w:rsidRPr="00A406AF" w:rsidRDefault="00F971B9" w:rsidP="00C0492C">
      <w:pPr>
        <w:pStyle w:val="Heading2"/>
        <w:bidi w:val="0"/>
        <w:jc w:val="both"/>
        <w:divId w:val="2063820962"/>
        <w:rPr>
          <w:rFonts w:asciiTheme="majorBidi" w:eastAsia="Times New Roman" w:hAnsiTheme="majorBidi"/>
          <w:b/>
          <w:bCs/>
          <w:color w:val="auto"/>
          <w:sz w:val="28"/>
          <w:szCs w:val="28"/>
        </w:rPr>
      </w:pPr>
      <w:r w:rsidRPr="00A406AF">
        <w:rPr>
          <w:rFonts w:asciiTheme="majorBidi" w:eastAsia="Times New Roman" w:hAnsiTheme="majorBidi"/>
          <w:b/>
          <w:bCs/>
          <w:color w:val="auto"/>
          <w:sz w:val="28"/>
          <w:szCs w:val="28"/>
        </w:rPr>
        <w:t>References</w:t>
      </w:r>
    </w:p>
    <w:p w14:paraId="783B1499" w14:textId="77777777" w:rsidR="00F971B9" w:rsidRPr="000E4A21" w:rsidRDefault="00F971B9" w:rsidP="00C0492C">
      <w:pPr>
        <w:pStyle w:val="NormalWeb"/>
        <w:jc w:val="both"/>
        <w:divId w:val="2063820962"/>
        <w:rPr>
          <w:rFonts w:asciiTheme="majorBidi" w:hAnsiTheme="majorBidi" w:cstheme="majorBidi"/>
        </w:rPr>
      </w:pPr>
      <w:proofErr w:type="spellStart"/>
      <w:r w:rsidRPr="000E4A21">
        <w:rPr>
          <w:rFonts w:asciiTheme="majorBidi" w:hAnsiTheme="majorBidi" w:cstheme="majorBidi"/>
        </w:rPr>
        <w:t>Alogoskoufis</w:t>
      </w:r>
      <w:proofErr w:type="spellEnd"/>
      <w:r w:rsidRPr="000E4A21">
        <w:rPr>
          <w:rFonts w:asciiTheme="majorBidi" w:hAnsiTheme="majorBidi" w:cstheme="majorBidi"/>
        </w:rPr>
        <w:t xml:space="preserve">, S., </w:t>
      </w:r>
      <w:proofErr w:type="spellStart"/>
      <w:r w:rsidRPr="000E4A21">
        <w:rPr>
          <w:rFonts w:asciiTheme="majorBidi" w:hAnsiTheme="majorBidi" w:cstheme="majorBidi"/>
        </w:rPr>
        <w:t>Dunz</w:t>
      </w:r>
      <w:proofErr w:type="spellEnd"/>
      <w:r w:rsidRPr="000E4A21">
        <w:rPr>
          <w:rFonts w:asciiTheme="majorBidi" w:hAnsiTheme="majorBidi" w:cstheme="majorBidi"/>
        </w:rPr>
        <w:t xml:space="preserve">, N., </w:t>
      </w:r>
      <w:proofErr w:type="spellStart"/>
      <w:r w:rsidRPr="000E4A21">
        <w:rPr>
          <w:rFonts w:asciiTheme="majorBidi" w:hAnsiTheme="majorBidi" w:cstheme="majorBidi"/>
        </w:rPr>
        <w:t>Emambakhsh</w:t>
      </w:r>
      <w:proofErr w:type="spellEnd"/>
      <w:r w:rsidRPr="000E4A21">
        <w:rPr>
          <w:rFonts w:asciiTheme="majorBidi" w:hAnsiTheme="majorBidi" w:cstheme="majorBidi"/>
        </w:rPr>
        <w:t xml:space="preserve">, T., Hennig, T., </w:t>
      </w:r>
      <w:proofErr w:type="spellStart"/>
      <w:r w:rsidRPr="000E4A21">
        <w:rPr>
          <w:rFonts w:asciiTheme="majorBidi" w:hAnsiTheme="majorBidi" w:cstheme="majorBidi"/>
        </w:rPr>
        <w:t>Kaijser</w:t>
      </w:r>
      <w:proofErr w:type="spellEnd"/>
      <w:r w:rsidRPr="000E4A21">
        <w:rPr>
          <w:rFonts w:asciiTheme="majorBidi" w:hAnsiTheme="majorBidi" w:cstheme="majorBidi"/>
        </w:rPr>
        <w:t xml:space="preserve">, M., Kouratzoglou, C., ... &amp; </w:t>
      </w:r>
      <w:proofErr w:type="spellStart"/>
      <w:r w:rsidRPr="000E4A21">
        <w:rPr>
          <w:rFonts w:asciiTheme="majorBidi" w:hAnsiTheme="majorBidi" w:cstheme="majorBidi"/>
        </w:rPr>
        <w:t>Salleo</w:t>
      </w:r>
      <w:proofErr w:type="spellEnd"/>
      <w:r w:rsidRPr="000E4A21">
        <w:rPr>
          <w:rFonts w:asciiTheme="majorBidi" w:hAnsiTheme="majorBidi" w:cstheme="majorBidi"/>
        </w:rPr>
        <w:t xml:space="preserve">, C. (2021). ECB economy-wide climate stress test: Methodology and results. </w:t>
      </w:r>
      <w:r w:rsidRPr="000E4A21">
        <w:rPr>
          <w:rStyle w:val="Emphasis"/>
          <w:rFonts w:asciiTheme="majorBidi" w:hAnsiTheme="majorBidi" w:cstheme="majorBidi"/>
        </w:rPr>
        <w:t>ECB Occasional Paper</w:t>
      </w:r>
      <w:r w:rsidRPr="000E4A21">
        <w:rPr>
          <w:rFonts w:asciiTheme="majorBidi" w:hAnsiTheme="majorBidi" w:cstheme="majorBidi"/>
        </w:rPr>
        <w:t>, 281.</w:t>
      </w:r>
    </w:p>
    <w:p w14:paraId="0D9221C1"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Andersson, M., </w:t>
      </w:r>
      <w:proofErr w:type="spellStart"/>
      <w:r w:rsidRPr="000E4A21">
        <w:rPr>
          <w:rFonts w:asciiTheme="majorBidi" w:hAnsiTheme="majorBidi" w:cstheme="majorBidi"/>
        </w:rPr>
        <w:t>Baccianti</w:t>
      </w:r>
      <w:proofErr w:type="spellEnd"/>
      <w:r w:rsidRPr="000E4A21">
        <w:rPr>
          <w:rFonts w:asciiTheme="majorBidi" w:hAnsiTheme="majorBidi" w:cstheme="majorBidi"/>
        </w:rPr>
        <w:t xml:space="preserve">, C., &amp; Morgan, J. (2021). Climate change and the macro economy. </w:t>
      </w:r>
      <w:r w:rsidRPr="000E4A21">
        <w:rPr>
          <w:rStyle w:val="Emphasis"/>
          <w:rFonts w:asciiTheme="majorBidi" w:hAnsiTheme="majorBidi" w:cstheme="majorBidi"/>
        </w:rPr>
        <w:t>ECB Occasional Paper</w:t>
      </w:r>
      <w:r w:rsidRPr="000E4A21">
        <w:rPr>
          <w:rFonts w:asciiTheme="majorBidi" w:hAnsiTheme="majorBidi" w:cstheme="majorBidi"/>
        </w:rPr>
        <w:t>, 243. https://www.ecb.europa.eu/pub/pdf/scpops/ecb.op243~5e75c25194.en.pdf</w:t>
      </w:r>
    </w:p>
    <w:p w14:paraId="3A259971"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Battiston, S., Mandel, A., </w:t>
      </w:r>
      <w:proofErr w:type="spellStart"/>
      <w:r w:rsidRPr="000E4A21">
        <w:rPr>
          <w:rFonts w:asciiTheme="majorBidi" w:hAnsiTheme="majorBidi" w:cstheme="majorBidi"/>
        </w:rPr>
        <w:t>Monasterolo</w:t>
      </w:r>
      <w:proofErr w:type="spellEnd"/>
      <w:r w:rsidRPr="000E4A21">
        <w:rPr>
          <w:rFonts w:asciiTheme="majorBidi" w:hAnsiTheme="majorBidi" w:cstheme="majorBidi"/>
        </w:rPr>
        <w:t xml:space="preserve">, I., Schütze, F., &amp; Visentin, G. (2017). A climate stress-test of the financial system. </w:t>
      </w:r>
      <w:r w:rsidRPr="000E4A21">
        <w:rPr>
          <w:rStyle w:val="Emphasis"/>
          <w:rFonts w:asciiTheme="majorBidi" w:hAnsiTheme="majorBidi" w:cstheme="majorBidi"/>
        </w:rPr>
        <w:t>Nature Climate Change</w:t>
      </w:r>
      <w:r w:rsidRPr="000E4A21">
        <w:rPr>
          <w:rFonts w:asciiTheme="majorBidi" w:hAnsiTheme="majorBidi" w:cstheme="majorBidi"/>
        </w:rPr>
        <w:t>, 7(4), 283-288. https://doi.org/10.1038/nclimate3255</w:t>
      </w:r>
    </w:p>
    <w:p w14:paraId="4F7C63F5"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Capasso, G., </w:t>
      </w:r>
      <w:proofErr w:type="spellStart"/>
      <w:r w:rsidRPr="000E4A21">
        <w:rPr>
          <w:rFonts w:asciiTheme="majorBidi" w:hAnsiTheme="majorBidi" w:cstheme="majorBidi"/>
        </w:rPr>
        <w:t>Gianfrate</w:t>
      </w:r>
      <w:proofErr w:type="spellEnd"/>
      <w:r w:rsidRPr="000E4A21">
        <w:rPr>
          <w:rFonts w:asciiTheme="majorBidi" w:hAnsiTheme="majorBidi" w:cstheme="majorBidi"/>
        </w:rPr>
        <w:t xml:space="preserve">, G., &amp; Spinelli, M. (2020). Climate change and credit risk. </w:t>
      </w:r>
      <w:r w:rsidRPr="000E4A21">
        <w:rPr>
          <w:rStyle w:val="Emphasis"/>
          <w:rFonts w:asciiTheme="majorBidi" w:hAnsiTheme="majorBidi" w:cstheme="majorBidi"/>
        </w:rPr>
        <w:t>Journal of Cleaner Production</w:t>
      </w:r>
      <w:r w:rsidRPr="000E4A21">
        <w:rPr>
          <w:rFonts w:asciiTheme="majorBidi" w:hAnsiTheme="majorBidi" w:cstheme="majorBidi"/>
        </w:rPr>
        <w:t>, 266, 121634. https://doi.org/10.1016/j.jclepro.2020.121634</w:t>
      </w:r>
    </w:p>
    <w:p w14:paraId="72139B06"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Chen, L., Zhang, K., &amp; Liu, Y. (2022). Machine learning approaches for climate-related financial risk assessment. </w:t>
      </w:r>
      <w:r w:rsidRPr="000E4A21">
        <w:rPr>
          <w:rStyle w:val="Emphasis"/>
          <w:rFonts w:asciiTheme="majorBidi" w:hAnsiTheme="majorBidi" w:cstheme="majorBidi"/>
        </w:rPr>
        <w:t>Journal of Financial Stability</w:t>
      </w:r>
      <w:r w:rsidRPr="000E4A21">
        <w:rPr>
          <w:rFonts w:asciiTheme="majorBidi" w:hAnsiTheme="majorBidi" w:cstheme="majorBidi"/>
        </w:rPr>
        <w:t>, 58, 100956. https://doi.org/10.1016/j.jfs.2021.100956</w:t>
      </w:r>
    </w:p>
    <w:p w14:paraId="752F1A08" w14:textId="77777777" w:rsidR="00F971B9" w:rsidRPr="000E4A21" w:rsidRDefault="00F971B9" w:rsidP="00C0492C">
      <w:pPr>
        <w:pStyle w:val="NormalWeb"/>
        <w:jc w:val="both"/>
        <w:divId w:val="2063820962"/>
        <w:rPr>
          <w:rFonts w:asciiTheme="majorBidi" w:hAnsiTheme="majorBidi" w:cstheme="majorBidi"/>
        </w:rPr>
      </w:pPr>
      <w:proofErr w:type="spellStart"/>
      <w:r w:rsidRPr="000E4A21">
        <w:rPr>
          <w:rFonts w:asciiTheme="majorBidi" w:hAnsiTheme="majorBidi" w:cstheme="majorBidi"/>
        </w:rPr>
        <w:t>Dafermos</w:t>
      </w:r>
      <w:proofErr w:type="spellEnd"/>
      <w:r w:rsidRPr="000E4A21">
        <w:rPr>
          <w:rFonts w:asciiTheme="majorBidi" w:hAnsiTheme="majorBidi" w:cstheme="majorBidi"/>
        </w:rPr>
        <w:t xml:space="preserve">, Y., </w:t>
      </w:r>
      <w:proofErr w:type="spellStart"/>
      <w:r w:rsidRPr="000E4A21">
        <w:rPr>
          <w:rFonts w:asciiTheme="majorBidi" w:hAnsiTheme="majorBidi" w:cstheme="majorBidi"/>
        </w:rPr>
        <w:t>Nikolaidi</w:t>
      </w:r>
      <w:proofErr w:type="spellEnd"/>
      <w:r w:rsidRPr="000E4A21">
        <w:rPr>
          <w:rFonts w:asciiTheme="majorBidi" w:hAnsiTheme="majorBidi" w:cstheme="majorBidi"/>
        </w:rPr>
        <w:t xml:space="preserve">, M., &amp; Galanis, G. (2021). Climate change, financial stability and monetary policy. </w:t>
      </w:r>
      <w:r w:rsidRPr="000E4A21">
        <w:rPr>
          <w:rStyle w:val="Emphasis"/>
          <w:rFonts w:asciiTheme="majorBidi" w:hAnsiTheme="majorBidi" w:cstheme="majorBidi"/>
        </w:rPr>
        <w:t>Ecological Economics</w:t>
      </w:r>
      <w:r w:rsidRPr="000E4A21">
        <w:rPr>
          <w:rFonts w:asciiTheme="majorBidi" w:hAnsiTheme="majorBidi" w:cstheme="majorBidi"/>
        </w:rPr>
        <w:t>, 152, 219-234. https://doi.org/10.1016/j.ecolecon.2018.05.011</w:t>
      </w:r>
    </w:p>
    <w:p w14:paraId="2B06917B"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European Central Bank. (2021). ECB presents action plan to include climate change considerations in its monetary policy strategy. </w:t>
      </w:r>
      <w:r w:rsidRPr="000E4A21">
        <w:rPr>
          <w:rStyle w:val="Emphasis"/>
          <w:rFonts w:asciiTheme="majorBidi" w:hAnsiTheme="majorBidi" w:cstheme="majorBidi"/>
        </w:rPr>
        <w:t>ECB Press Release</w:t>
      </w:r>
      <w:r w:rsidRPr="000E4A21">
        <w:rPr>
          <w:rFonts w:asciiTheme="majorBidi" w:hAnsiTheme="majorBidi" w:cstheme="majorBidi"/>
        </w:rPr>
        <w:t>. https://www.ecb.europa.eu/press/pr/date/2021/html/ecb.pr210708_1~f104919225.en.html</w:t>
      </w:r>
    </w:p>
    <w:p w14:paraId="3607D6CE"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Kowalski, P., Brzozowski, M., &amp; Jankowski, S. (2022). Transition risk in Central and Eastern European banking: Evidence from coal-dependent economies. </w:t>
      </w:r>
      <w:r w:rsidRPr="000E4A21">
        <w:rPr>
          <w:rStyle w:val="Emphasis"/>
          <w:rFonts w:asciiTheme="majorBidi" w:hAnsiTheme="majorBidi" w:cstheme="majorBidi"/>
        </w:rPr>
        <w:t>European Financial Management</w:t>
      </w:r>
      <w:r w:rsidRPr="000E4A21">
        <w:rPr>
          <w:rFonts w:asciiTheme="majorBidi" w:hAnsiTheme="majorBidi" w:cstheme="majorBidi"/>
        </w:rPr>
        <w:t>, 28(3), 742-768. https://doi.org/10.1111/eufm.12331</w:t>
      </w:r>
    </w:p>
    <w:p w14:paraId="65C85C60"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Krogstrup, S., &amp; Oman, W. (2019). Macroeconomic and financial policies for climate change mitigation: A review of the literature. </w:t>
      </w:r>
      <w:r w:rsidRPr="000E4A21">
        <w:rPr>
          <w:rStyle w:val="Emphasis"/>
          <w:rFonts w:asciiTheme="majorBidi" w:hAnsiTheme="majorBidi" w:cstheme="majorBidi"/>
        </w:rPr>
        <w:t>IMF Working Paper</w:t>
      </w:r>
      <w:r w:rsidRPr="000E4A21">
        <w:rPr>
          <w:rFonts w:asciiTheme="majorBidi" w:hAnsiTheme="majorBidi" w:cstheme="majorBidi"/>
        </w:rPr>
        <w:t>, WP/19/185. https://www.imf.org/en/Publications/WP/Issues/2019/09/04/Macroeconomic-and-Financial-Policies-for-Climate-Change-Mitigation-A-Review-of-the-Literature-48612</w:t>
      </w:r>
    </w:p>
    <w:p w14:paraId="528CA9E9"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Lane, P. R. (2021). Climate change and the Irish financial system. </w:t>
      </w:r>
      <w:r w:rsidRPr="000E4A21">
        <w:rPr>
          <w:rStyle w:val="Emphasis"/>
          <w:rFonts w:asciiTheme="majorBidi" w:hAnsiTheme="majorBidi" w:cstheme="majorBidi"/>
        </w:rPr>
        <w:t>Central Bank of Ireland Quarterly Bulletin</w:t>
      </w:r>
      <w:r w:rsidRPr="000E4A21">
        <w:rPr>
          <w:rFonts w:asciiTheme="majorBidi" w:hAnsiTheme="majorBidi" w:cstheme="majorBidi"/>
        </w:rPr>
        <w:t>, 2021(2), 83-98. https://www.centralbank.ie/docs/default-source/publications/quarterly-bulletins/qb-archive/2021/quarterly-bulletin-q2-2021.pdf</w:t>
      </w:r>
    </w:p>
    <w:p w14:paraId="795F4414"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Network for Greening the Financial System. (2019). A call for action: Climate change as a source of financial risk. </w:t>
      </w:r>
      <w:r w:rsidRPr="000E4A21">
        <w:rPr>
          <w:rStyle w:val="Emphasis"/>
          <w:rFonts w:asciiTheme="majorBidi" w:hAnsiTheme="majorBidi" w:cstheme="majorBidi"/>
        </w:rPr>
        <w:t>NGFS First Progress Report</w:t>
      </w:r>
      <w:r w:rsidRPr="000E4A21">
        <w:rPr>
          <w:rFonts w:asciiTheme="majorBidi" w:hAnsiTheme="majorBidi" w:cstheme="majorBidi"/>
        </w:rPr>
        <w:t>. https://www.ngfs.net/sites/default/files/medias/documents/synthesis_report_on_climate_change_and_financial_stability.pdf</w:t>
      </w:r>
    </w:p>
    <w:p w14:paraId="56C3BDCF"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Papoutsi, M., Piazzesi, M., &amp; Schneider, M. (2022). How unconventional is green monetary policy? </w:t>
      </w:r>
      <w:r w:rsidRPr="000E4A21">
        <w:rPr>
          <w:rStyle w:val="Emphasis"/>
          <w:rFonts w:asciiTheme="majorBidi" w:hAnsiTheme="majorBidi" w:cstheme="majorBidi"/>
        </w:rPr>
        <w:t>Journal of Monetary Economics</w:t>
      </w:r>
      <w:r w:rsidRPr="000E4A21">
        <w:rPr>
          <w:rFonts w:asciiTheme="majorBidi" w:hAnsiTheme="majorBidi" w:cstheme="majorBidi"/>
        </w:rPr>
        <w:t>, 125, 109-125. https://doi.org/10.1016/j.jmoneco.2021.11.004</w:t>
      </w:r>
    </w:p>
    <w:p w14:paraId="2E55827F"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Roncoroni, A., Battiston, S., Escobar-</w:t>
      </w:r>
      <w:proofErr w:type="spellStart"/>
      <w:r w:rsidRPr="000E4A21">
        <w:rPr>
          <w:rFonts w:asciiTheme="majorBidi" w:hAnsiTheme="majorBidi" w:cstheme="majorBidi"/>
        </w:rPr>
        <w:t>Farfán</w:t>
      </w:r>
      <w:proofErr w:type="spellEnd"/>
      <w:r w:rsidRPr="000E4A21">
        <w:rPr>
          <w:rFonts w:asciiTheme="majorBidi" w:hAnsiTheme="majorBidi" w:cstheme="majorBidi"/>
        </w:rPr>
        <w:t xml:space="preserve">, L. O., &amp; Martinez-Jaramillo, S. (2021). Climate risk and financial stability in the network of banks and investment funds. </w:t>
      </w:r>
      <w:r w:rsidRPr="000E4A21">
        <w:rPr>
          <w:rStyle w:val="Emphasis"/>
          <w:rFonts w:asciiTheme="majorBidi" w:hAnsiTheme="majorBidi" w:cstheme="majorBidi"/>
        </w:rPr>
        <w:t>Journal of Financial Stability</w:t>
      </w:r>
      <w:r w:rsidRPr="000E4A21">
        <w:rPr>
          <w:rFonts w:asciiTheme="majorBidi" w:hAnsiTheme="majorBidi" w:cstheme="majorBidi"/>
        </w:rPr>
        <w:t>, 54, 100870. https://doi.org/10.1016/j.jfs.2021.100870</w:t>
      </w:r>
    </w:p>
    <w:p w14:paraId="217C02E1"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lastRenderedPageBreak/>
        <w:t>Schnabel, I. (2021). From market neutrality to market efficiency. Speech at the ESM-SAFE conference on "Climate Risk, Sustainable Finance and Central Banking". https://www.ecb.europa.eu/press/key/date/2021/html/ecb.sp210628_1~f264e7db20.en.html</w:t>
      </w:r>
    </w:p>
    <w:p w14:paraId="2D8722D1"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Task Force on Climate-related Financial Disclosures. (2017). Recommendations of the Task Force on Climate-related Financial Disclosures. </w:t>
      </w:r>
      <w:r w:rsidRPr="000E4A21">
        <w:rPr>
          <w:rStyle w:val="Emphasis"/>
          <w:rFonts w:asciiTheme="majorBidi" w:hAnsiTheme="majorBidi" w:cstheme="majorBidi"/>
        </w:rPr>
        <w:t>Financial Stability Board</w:t>
      </w:r>
      <w:r w:rsidRPr="000E4A21">
        <w:rPr>
          <w:rFonts w:asciiTheme="majorBidi" w:hAnsiTheme="majorBidi" w:cstheme="majorBidi"/>
        </w:rPr>
        <w:t>. https://www.fsb-tcfd.org/recommendations/</w:t>
      </w:r>
    </w:p>
    <w:p w14:paraId="344F84CB"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Vermeulen, R., </w:t>
      </w:r>
      <w:proofErr w:type="spellStart"/>
      <w:r w:rsidRPr="000E4A21">
        <w:rPr>
          <w:rFonts w:asciiTheme="majorBidi" w:hAnsiTheme="majorBidi" w:cstheme="majorBidi"/>
        </w:rPr>
        <w:t>Schets</w:t>
      </w:r>
      <w:proofErr w:type="spellEnd"/>
      <w:r w:rsidRPr="000E4A21">
        <w:rPr>
          <w:rFonts w:asciiTheme="majorBidi" w:hAnsiTheme="majorBidi" w:cstheme="majorBidi"/>
        </w:rPr>
        <w:t xml:space="preserve">, E., Lohuis, M., Kölbl, B., Jansen, D. J., &amp; Heeringa, W. (2018). An energy transition risk stress test for the financial system of the Netherlands. </w:t>
      </w:r>
      <w:r w:rsidRPr="000E4A21">
        <w:rPr>
          <w:rStyle w:val="Emphasis"/>
          <w:rFonts w:asciiTheme="majorBidi" w:hAnsiTheme="majorBidi" w:cstheme="majorBidi"/>
        </w:rPr>
        <w:t>DNB Occasional Studies</w:t>
      </w:r>
      <w:r w:rsidRPr="000E4A21">
        <w:rPr>
          <w:rFonts w:asciiTheme="majorBidi" w:hAnsiTheme="majorBidi" w:cstheme="majorBidi"/>
        </w:rPr>
        <w:t>, 16(7). https://www.dnb.nl/media/pdnpdalc/201810_nr-7-2018-an_energy_transition_risk_stress_test_for_the_financial_system_of_the_netherlands.pdf</w:t>
      </w:r>
    </w:p>
    <w:p w14:paraId="69A6238E"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Bank for International Settlements. (2021). Climate-related risk drivers and their transmission channels. </w:t>
      </w:r>
      <w:r w:rsidRPr="000E4A21">
        <w:rPr>
          <w:rStyle w:val="Emphasis"/>
          <w:rFonts w:asciiTheme="majorBidi" w:hAnsiTheme="majorBidi" w:cstheme="majorBidi"/>
        </w:rPr>
        <w:t>Basel Committee on Banking Supervision Report</w:t>
      </w:r>
      <w:r w:rsidRPr="000E4A21">
        <w:rPr>
          <w:rFonts w:asciiTheme="majorBidi" w:hAnsiTheme="majorBidi" w:cstheme="majorBidi"/>
        </w:rPr>
        <w:t>. https://www.bis.org/bcbs/publ/d517.pdf</w:t>
      </w:r>
    </w:p>
    <w:p w14:paraId="25AEE730"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Bolton, P., Despres, M., Pereira da Silva, L. A., Samama, F., &amp; </w:t>
      </w:r>
      <w:proofErr w:type="spellStart"/>
      <w:r w:rsidRPr="000E4A21">
        <w:rPr>
          <w:rFonts w:asciiTheme="majorBidi" w:hAnsiTheme="majorBidi" w:cstheme="majorBidi"/>
        </w:rPr>
        <w:t>Svartzman</w:t>
      </w:r>
      <w:proofErr w:type="spellEnd"/>
      <w:r w:rsidRPr="000E4A21">
        <w:rPr>
          <w:rFonts w:asciiTheme="majorBidi" w:hAnsiTheme="majorBidi" w:cstheme="majorBidi"/>
        </w:rPr>
        <w:t xml:space="preserve">, R. (2020). The green swan: Central banking and financial stability in the age of climate change. </w:t>
      </w:r>
      <w:r w:rsidRPr="000E4A21">
        <w:rPr>
          <w:rStyle w:val="Emphasis"/>
          <w:rFonts w:asciiTheme="majorBidi" w:hAnsiTheme="majorBidi" w:cstheme="majorBidi"/>
        </w:rPr>
        <w:t>Bank for International Settlements</w:t>
      </w:r>
      <w:r w:rsidRPr="000E4A21">
        <w:rPr>
          <w:rFonts w:asciiTheme="majorBidi" w:hAnsiTheme="majorBidi" w:cstheme="majorBidi"/>
        </w:rPr>
        <w:t>. https://www.bis.org/publ/othp31.pdf</w:t>
      </w:r>
    </w:p>
    <w:p w14:paraId="41E7E5CB"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Carney, M. (2015). Breaking the tragedy of the horizon: Climate change and financial stability. </w:t>
      </w:r>
      <w:r w:rsidRPr="000E4A21">
        <w:rPr>
          <w:rStyle w:val="Emphasis"/>
          <w:rFonts w:asciiTheme="majorBidi" w:hAnsiTheme="majorBidi" w:cstheme="majorBidi"/>
        </w:rPr>
        <w:t>Speech at Lloyd's of London</w:t>
      </w:r>
      <w:r w:rsidRPr="000E4A21">
        <w:rPr>
          <w:rFonts w:asciiTheme="majorBidi" w:hAnsiTheme="majorBidi" w:cstheme="majorBidi"/>
        </w:rPr>
        <w:t>. https://www.bankofengland.co.uk/speech/2015/breaking-the-tragedy-of-the-horizon-climate-change-and-financial-stability</w:t>
      </w:r>
    </w:p>
    <w:p w14:paraId="78676FEA"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De Greiff, K., Delis, M. D., &amp; </w:t>
      </w:r>
      <w:proofErr w:type="spellStart"/>
      <w:r w:rsidRPr="000E4A21">
        <w:rPr>
          <w:rFonts w:asciiTheme="majorBidi" w:hAnsiTheme="majorBidi" w:cstheme="majorBidi"/>
        </w:rPr>
        <w:t>Ongena</w:t>
      </w:r>
      <w:proofErr w:type="spellEnd"/>
      <w:r w:rsidRPr="000E4A21">
        <w:rPr>
          <w:rFonts w:asciiTheme="majorBidi" w:hAnsiTheme="majorBidi" w:cstheme="majorBidi"/>
        </w:rPr>
        <w:t xml:space="preserve">, S. (2022). Being stranded with fossil fuel reserves? Climate policy risk and the pricing of bank loans. </w:t>
      </w:r>
      <w:r w:rsidRPr="000E4A21">
        <w:rPr>
          <w:rStyle w:val="Emphasis"/>
          <w:rFonts w:asciiTheme="majorBidi" w:hAnsiTheme="majorBidi" w:cstheme="majorBidi"/>
        </w:rPr>
        <w:t>European Central Bank Working Paper</w:t>
      </w:r>
      <w:r w:rsidRPr="000E4A21">
        <w:rPr>
          <w:rFonts w:asciiTheme="majorBidi" w:hAnsiTheme="majorBidi" w:cstheme="majorBidi"/>
        </w:rPr>
        <w:t>, 2686. https://www.ecb.europa.eu/pub/pdf/scpwps/ecb.wp2686~b6d6b41644.en.pdf</w:t>
      </w:r>
    </w:p>
    <w:p w14:paraId="333D55AD"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Elderson, F. (2021). Greening monetary policy. </w:t>
      </w:r>
      <w:r w:rsidRPr="000E4A21">
        <w:rPr>
          <w:rStyle w:val="Emphasis"/>
          <w:rFonts w:asciiTheme="majorBidi" w:hAnsiTheme="majorBidi" w:cstheme="majorBidi"/>
        </w:rPr>
        <w:t>Speech at the Jackson Hole Economic Policy Symposium</w:t>
      </w:r>
      <w:r w:rsidRPr="000E4A21">
        <w:rPr>
          <w:rFonts w:asciiTheme="majorBidi" w:hAnsiTheme="majorBidi" w:cstheme="majorBidi"/>
        </w:rPr>
        <w:t>. https://www.ecb.europa.eu/press/key/date/2021/html/ecb.sp210829~204f52ac76.en.html</w:t>
      </w:r>
    </w:p>
    <w:p w14:paraId="530C9674"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Grippa, P., Schmittmann, J., &amp; </w:t>
      </w:r>
      <w:proofErr w:type="spellStart"/>
      <w:r w:rsidRPr="000E4A21">
        <w:rPr>
          <w:rFonts w:asciiTheme="majorBidi" w:hAnsiTheme="majorBidi" w:cstheme="majorBidi"/>
        </w:rPr>
        <w:t>Suntheim</w:t>
      </w:r>
      <w:proofErr w:type="spellEnd"/>
      <w:r w:rsidRPr="000E4A21">
        <w:rPr>
          <w:rFonts w:asciiTheme="majorBidi" w:hAnsiTheme="majorBidi" w:cstheme="majorBidi"/>
        </w:rPr>
        <w:t xml:space="preserve">, F. (2019). Climate change and financial risk. </w:t>
      </w:r>
      <w:r w:rsidRPr="000E4A21">
        <w:rPr>
          <w:rStyle w:val="Emphasis"/>
          <w:rFonts w:asciiTheme="majorBidi" w:hAnsiTheme="majorBidi" w:cstheme="majorBidi"/>
        </w:rPr>
        <w:t>Finance &amp; Development</w:t>
      </w:r>
      <w:r w:rsidRPr="000E4A21">
        <w:rPr>
          <w:rFonts w:asciiTheme="majorBidi" w:hAnsiTheme="majorBidi" w:cstheme="majorBidi"/>
        </w:rPr>
        <w:t>, 56(4), 26-29. https://www.imf.org/external/pubs/ft/fandd/2019/12/climate-change-central-banks-and-financial-risk-grippa.htm</w:t>
      </w:r>
    </w:p>
    <w:p w14:paraId="24F4BA5B"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Hsiang, S., Kopp, R., Jina, A., Rising, J., Delgado, M., Mohan, S., ... &amp; Houser, T. (2017). Estimating economic damage from climate change in the United States. </w:t>
      </w:r>
      <w:r w:rsidRPr="000E4A21">
        <w:rPr>
          <w:rStyle w:val="Emphasis"/>
          <w:rFonts w:asciiTheme="majorBidi" w:hAnsiTheme="majorBidi" w:cstheme="majorBidi"/>
        </w:rPr>
        <w:t>Science</w:t>
      </w:r>
      <w:r w:rsidRPr="000E4A21">
        <w:rPr>
          <w:rFonts w:asciiTheme="majorBidi" w:hAnsiTheme="majorBidi" w:cstheme="majorBidi"/>
        </w:rPr>
        <w:t>, 356(6345), 1362-1369. https://doi.org/10.1126/science.aal4369</w:t>
      </w:r>
    </w:p>
    <w:p w14:paraId="5B9E0335"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Intergovernmental Panel on Climate Change. (2022). Climate Change 2022: Impacts, Adaptation and Vulnerability. </w:t>
      </w:r>
      <w:r w:rsidRPr="000E4A21">
        <w:rPr>
          <w:rStyle w:val="Emphasis"/>
          <w:rFonts w:asciiTheme="majorBidi" w:hAnsiTheme="majorBidi" w:cstheme="majorBidi"/>
        </w:rPr>
        <w:t>Working Group II Contribution to the Sixth Assessment Report</w:t>
      </w:r>
      <w:r w:rsidRPr="000E4A21">
        <w:rPr>
          <w:rFonts w:asciiTheme="majorBidi" w:hAnsiTheme="majorBidi" w:cstheme="majorBidi"/>
        </w:rPr>
        <w:t>. https://www.ipcc.ch/report/ar6/wg2/</w:t>
      </w:r>
    </w:p>
    <w:p w14:paraId="57EDF366"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Jung, H., </w:t>
      </w:r>
      <w:proofErr w:type="spellStart"/>
      <w:r w:rsidRPr="000E4A21">
        <w:rPr>
          <w:rFonts w:asciiTheme="majorBidi" w:hAnsiTheme="majorBidi" w:cstheme="majorBidi"/>
        </w:rPr>
        <w:t>Herbohn</w:t>
      </w:r>
      <w:proofErr w:type="spellEnd"/>
      <w:r w:rsidRPr="000E4A21">
        <w:rPr>
          <w:rFonts w:asciiTheme="majorBidi" w:hAnsiTheme="majorBidi" w:cstheme="majorBidi"/>
        </w:rPr>
        <w:t xml:space="preserve">, K., &amp; Clarkson, P. (2018). Carbon risk, carbon risk awareness and the cost of debt financing. </w:t>
      </w:r>
      <w:r w:rsidRPr="000E4A21">
        <w:rPr>
          <w:rStyle w:val="Emphasis"/>
          <w:rFonts w:asciiTheme="majorBidi" w:hAnsiTheme="majorBidi" w:cstheme="majorBidi"/>
        </w:rPr>
        <w:t>Journal of Business Ethics</w:t>
      </w:r>
      <w:r w:rsidRPr="000E4A21">
        <w:rPr>
          <w:rFonts w:asciiTheme="majorBidi" w:hAnsiTheme="majorBidi" w:cstheme="majorBidi"/>
        </w:rPr>
        <w:t>, 150(4), 1151-1171. https://doi.org/10.1007/s10551-016-3207-6</w:t>
      </w:r>
    </w:p>
    <w:p w14:paraId="5E9F8684"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Kleimeier, S., &amp; </w:t>
      </w:r>
      <w:proofErr w:type="spellStart"/>
      <w:r w:rsidRPr="000E4A21">
        <w:rPr>
          <w:rFonts w:asciiTheme="majorBidi" w:hAnsiTheme="majorBidi" w:cstheme="majorBidi"/>
        </w:rPr>
        <w:t>Viehs</w:t>
      </w:r>
      <w:proofErr w:type="spellEnd"/>
      <w:r w:rsidRPr="000E4A21">
        <w:rPr>
          <w:rFonts w:asciiTheme="majorBidi" w:hAnsiTheme="majorBidi" w:cstheme="majorBidi"/>
        </w:rPr>
        <w:t xml:space="preserve">, M. (2018). Carbon disclosure, emission levels, and the cost of debt. </w:t>
      </w:r>
      <w:r w:rsidRPr="000E4A21">
        <w:rPr>
          <w:rStyle w:val="Emphasis"/>
          <w:rFonts w:asciiTheme="majorBidi" w:hAnsiTheme="majorBidi" w:cstheme="majorBidi"/>
        </w:rPr>
        <w:t>European Financial Management</w:t>
      </w:r>
      <w:r w:rsidRPr="000E4A21">
        <w:rPr>
          <w:rFonts w:asciiTheme="majorBidi" w:hAnsiTheme="majorBidi" w:cstheme="majorBidi"/>
        </w:rPr>
        <w:t>, 24(4), 529-564. https://doi.org/10.1111/eufm.12152</w:t>
      </w:r>
    </w:p>
    <w:p w14:paraId="28F85676"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Lagarde, C. (2021). Climate change and central banking. </w:t>
      </w:r>
      <w:r w:rsidRPr="000E4A21">
        <w:rPr>
          <w:rStyle w:val="Emphasis"/>
          <w:rFonts w:asciiTheme="majorBidi" w:hAnsiTheme="majorBidi" w:cstheme="majorBidi"/>
        </w:rPr>
        <w:t>Speech at the ILF conference on Green Banking and Green Central Banking</w:t>
      </w:r>
      <w:r w:rsidRPr="000E4A21">
        <w:rPr>
          <w:rFonts w:asciiTheme="majorBidi" w:hAnsiTheme="majorBidi" w:cstheme="majorBidi"/>
        </w:rPr>
        <w:t>. https://www.ecb.europa.eu/press/key/date/2021/html/ecb.sp210125_1~b19f0daa15.en.html</w:t>
      </w:r>
    </w:p>
    <w:p w14:paraId="5A19C4E8"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lastRenderedPageBreak/>
        <w:t xml:space="preserve">Ma, Y., Shi, D., &amp; Wu, J. (2021). Climate transition risk and bank performance: Evidence from China. </w:t>
      </w:r>
      <w:r w:rsidRPr="000E4A21">
        <w:rPr>
          <w:rStyle w:val="Emphasis"/>
          <w:rFonts w:asciiTheme="majorBidi" w:hAnsiTheme="majorBidi" w:cstheme="majorBidi"/>
        </w:rPr>
        <w:t>International Review of Financial Analysis</w:t>
      </w:r>
      <w:r w:rsidRPr="000E4A21">
        <w:rPr>
          <w:rFonts w:asciiTheme="majorBidi" w:hAnsiTheme="majorBidi" w:cstheme="majorBidi"/>
        </w:rPr>
        <w:t>, 75, 101743. https://doi.org/10.1016/j.irfa.2021.101743</w:t>
      </w:r>
    </w:p>
    <w:p w14:paraId="29A3E288" w14:textId="77777777" w:rsidR="00F971B9" w:rsidRPr="000E4A21" w:rsidRDefault="00F971B9" w:rsidP="00C0492C">
      <w:pPr>
        <w:pStyle w:val="NormalWeb"/>
        <w:jc w:val="both"/>
        <w:divId w:val="2063820962"/>
        <w:rPr>
          <w:rFonts w:asciiTheme="majorBidi" w:hAnsiTheme="majorBidi" w:cstheme="majorBidi"/>
        </w:rPr>
      </w:pPr>
      <w:proofErr w:type="spellStart"/>
      <w:r w:rsidRPr="000E4A21">
        <w:rPr>
          <w:rFonts w:asciiTheme="majorBidi" w:hAnsiTheme="majorBidi" w:cstheme="majorBidi"/>
        </w:rPr>
        <w:t>Monasterolo</w:t>
      </w:r>
      <w:proofErr w:type="spellEnd"/>
      <w:r w:rsidRPr="000E4A21">
        <w:rPr>
          <w:rFonts w:asciiTheme="majorBidi" w:hAnsiTheme="majorBidi" w:cstheme="majorBidi"/>
        </w:rPr>
        <w:t xml:space="preserve">, I., &amp; De Angelis, L. (2020). Blind to climate change? An analysis of the climate risk and performance of central banks' portfolios. </w:t>
      </w:r>
      <w:r w:rsidRPr="000E4A21">
        <w:rPr>
          <w:rStyle w:val="Emphasis"/>
          <w:rFonts w:asciiTheme="majorBidi" w:hAnsiTheme="majorBidi" w:cstheme="majorBidi"/>
        </w:rPr>
        <w:t xml:space="preserve">Sustainable Finance </w:t>
      </w:r>
      <w:proofErr w:type="spellStart"/>
      <w:r w:rsidRPr="000E4A21">
        <w:rPr>
          <w:rStyle w:val="Emphasis"/>
          <w:rFonts w:asciiTheme="majorBidi" w:hAnsiTheme="majorBidi" w:cstheme="majorBidi"/>
        </w:rPr>
        <w:t>Programme</w:t>
      </w:r>
      <w:proofErr w:type="spellEnd"/>
      <w:r w:rsidRPr="000E4A21">
        <w:rPr>
          <w:rStyle w:val="Emphasis"/>
          <w:rFonts w:asciiTheme="majorBidi" w:hAnsiTheme="majorBidi" w:cstheme="majorBidi"/>
        </w:rPr>
        <w:t xml:space="preserve"> Working Paper</w:t>
      </w:r>
      <w:r w:rsidRPr="000E4A21">
        <w:rPr>
          <w:rFonts w:asciiTheme="majorBidi" w:hAnsiTheme="majorBidi" w:cstheme="majorBidi"/>
        </w:rPr>
        <w:t>, 2020-01. https://www.smithschool.ox.ac.uk/research/sustainable-finance/publications/Blind-to-climate-change.pdf</w:t>
      </w:r>
    </w:p>
    <w:p w14:paraId="0F36449D"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Nordhaus, W. D. (2018). Climate change: The ultimate challenge for economics. </w:t>
      </w:r>
      <w:r w:rsidRPr="000E4A21">
        <w:rPr>
          <w:rStyle w:val="Emphasis"/>
          <w:rFonts w:asciiTheme="majorBidi" w:hAnsiTheme="majorBidi" w:cstheme="majorBidi"/>
        </w:rPr>
        <w:t>American Economic Review</w:t>
      </w:r>
      <w:r w:rsidRPr="000E4A21">
        <w:rPr>
          <w:rFonts w:asciiTheme="majorBidi" w:hAnsiTheme="majorBidi" w:cstheme="majorBidi"/>
        </w:rPr>
        <w:t>, 108(6), 1481-1496. https://doi.org/10.1257/aer.108.6.1481</w:t>
      </w:r>
    </w:p>
    <w:p w14:paraId="2FF30045"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Stern, N. (2007). The Economics of Climate Change: The Stern Review. Cambridge University Press. https://doi.org/10.1017/CBO9780511817434</w:t>
      </w:r>
    </w:p>
    <w:p w14:paraId="185E2A9D"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Weber, O., &amp; </w:t>
      </w:r>
      <w:proofErr w:type="spellStart"/>
      <w:r w:rsidRPr="000E4A21">
        <w:rPr>
          <w:rFonts w:asciiTheme="majorBidi" w:hAnsiTheme="majorBidi" w:cstheme="majorBidi"/>
        </w:rPr>
        <w:t>Feltmate</w:t>
      </w:r>
      <w:proofErr w:type="spellEnd"/>
      <w:r w:rsidRPr="000E4A21">
        <w:rPr>
          <w:rFonts w:asciiTheme="majorBidi" w:hAnsiTheme="majorBidi" w:cstheme="majorBidi"/>
        </w:rPr>
        <w:t>, B. (2016). Sustainable banking: Managing the social and environmental impact of financial institutions. University of Toronto Press.</w:t>
      </w:r>
    </w:p>
    <w:p w14:paraId="6F9590D0" w14:textId="77777777" w:rsidR="00F971B9" w:rsidRPr="000E4A21" w:rsidRDefault="00F971B9" w:rsidP="00C0492C">
      <w:pPr>
        <w:pStyle w:val="NormalWeb"/>
        <w:jc w:val="both"/>
        <w:divId w:val="2063820962"/>
        <w:rPr>
          <w:rFonts w:asciiTheme="majorBidi" w:hAnsiTheme="majorBidi" w:cstheme="majorBidi"/>
        </w:rPr>
      </w:pPr>
      <w:r w:rsidRPr="000E4A21">
        <w:rPr>
          <w:rFonts w:asciiTheme="majorBidi" w:hAnsiTheme="majorBidi" w:cstheme="majorBidi"/>
        </w:rPr>
        <w:t xml:space="preserve">Zheng, C., Sarker, T., &amp; </w:t>
      </w:r>
      <w:proofErr w:type="spellStart"/>
      <w:r w:rsidRPr="000E4A21">
        <w:rPr>
          <w:rFonts w:asciiTheme="majorBidi" w:hAnsiTheme="majorBidi" w:cstheme="majorBidi"/>
        </w:rPr>
        <w:t>Rasoulinezhad</w:t>
      </w:r>
      <w:proofErr w:type="spellEnd"/>
      <w:r w:rsidRPr="000E4A21">
        <w:rPr>
          <w:rFonts w:asciiTheme="majorBidi" w:hAnsiTheme="majorBidi" w:cstheme="majorBidi"/>
        </w:rPr>
        <w:t xml:space="preserve">, E. (2021). Climate policy uncertainty and corporate investment: Evidence from the Chinese energy industry. </w:t>
      </w:r>
      <w:r w:rsidRPr="000E4A21">
        <w:rPr>
          <w:rStyle w:val="Emphasis"/>
          <w:rFonts w:asciiTheme="majorBidi" w:hAnsiTheme="majorBidi" w:cstheme="majorBidi"/>
        </w:rPr>
        <w:t>Carbon Management</w:t>
      </w:r>
      <w:r w:rsidRPr="000E4A21">
        <w:rPr>
          <w:rFonts w:asciiTheme="majorBidi" w:hAnsiTheme="majorBidi" w:cstheme="majorBidi"/>
        </w:rPr>
        <w:t>, 12(1), 525-539. https://doi.org/10.1080/17583004.2021.1982038</w:t>
      </w:r>
    </w:p>
    <w:p w14:paraId="12983885" w14:textId="77777777" w:rsidR="00C22D1F" w:rsidRPr="000E4A21" w:rsidRDefault="00C22D1F" w:rsidP="00C0492C">
      <w:pPr>
        <w:bidi w:val="0"/>
        <w:jc w:val="both"/>
        <w:rPr>
          <w:rFonts w:asciiTheme="majorBidi" w:hAnsiTheme="majorBidi" w:cstheme="majorBidi"/>
          <w:sz w:val="28"/>
          <w:szCs w:val="28"/>
        </w:rPr>
      </w:pPr>
    </w:p>
    <w:sectPr w:rsidR="00C22D1F" w:rsidRPr="000E4A21" w:rsidSect="00A406AF">
      <w:headerReference w:type="even" r:id="rId10"/>
      <w:headerReference w:type="default" r:id="rId11"/>
      <w:footerReference w:type="even" r:id="rId12"/>
      <w:footerReference w:type="default" r:id="rId13"/>
      <w:headerReference w:type="first" r:id="rId14"/>
      <w:footerReference w:type="first" r:id="rId15"/>
      <w:pgSz w:w="11906" w:h="16838"/>
      <w:pgMar w:top="851" w:right="851" w:bottom="851" w:left="85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14821" w14:textId="77777777" w:rsidR="00340765" w:rsidRDefault="00340765" w:rsidP="00A406AF">
      <w:pPr>
        <w:spacing w:after="0" w:line="240" w:lineRule="auto"/>
      </w:pPr>
      <w:r>
        <w:separator/>
      </w:r>
    </w:p>
  </w:endnote>
  <w:endnote w:type="continuationSeparator" w:id="0">
    <w:p w14:paraId="227C6565" w14:textId="77777777" w:rsidR="00340765" w:rsidRDefault="00340765" w:rsidP="00A40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BD9AB" w14:textId="77777777" w:rsidR="00E164F5" w:rsidRDefault="00E164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22854" w14:textId="77777777" w:rsidR="00E164F5" w:rsidRDefault="00E164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5BBFA" w14:textId="77777777" w:rsidR="00E164F5" w:rsidRDefault="00E164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84486" w14:textId="77777777" w:rsidR="00340765" w:rsidRDefault="00340765" w:rsidP="00A406AF">
      <w:pPr>
        <w:spacing w:after="0" w:line="240" w:lineRule="auto"/>
      </w:pPr>
      <w:r>
        <w:separator/>
      </w:r>
    </w:p>
  </w:footnote>
  <w:footnote w:type="continuationSeparator" w:id="0">
    <w:p w14:paraId="02DFCABB" w14:textId="77777777" w:rsidR="00340765" w:rsidRDefault="00340765" w:rsidP="00A406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03482" w14:textId="609689DA" w:rsidR="00E164F5" w:rsidRDefault="00E164F5">
    <w:pPr>
      <w:pStyle w:val="Header"/>
    </w:pPr>
    <w:r>
      <w:rPr>
        <w:noProof/>
      </w:rPr>
      <w:pict w14:anchorId="1ED807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226751" o:spid="_x0000_s2050" type="#_x0000_t136" style="position:absolute;left:0;text-align:left;margin-left:0;margin-top:0;width:647.3pt;height:71.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7C313" w14:textId="3A9AB3A5" w:rsidR="00E164F5" w:rsidRDefault="00E164F5">
    <w:pPr>
      <w:pStyle w:val="Header"/>
    </w:pPr>
    <w:r>
      <w:rPr>
        <w:noProof/>
      </w:rPr>
      <w:pict w14:anchorId="275673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226752" o:spid="_x0000_s2051" type="#_x0000_t136" style="position:absolute;left:0;text-align:left;margin-left:0;margin-top:0;width:647.3pt;height:71.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0836C" w14:textId="57F47FB7" w:rsidR="00E164F5" w:rsidRDefault="00E164F5">
    <w:pPr>
      <w:pStyle w:val="Header"/>
    </w:pPr>
    <w:r>
      <w:rPr>
        <w:noProof/>
      </w:rPr>
      <w:pict w14:anchorId="1445E1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226750" o:spid="_x0000_s2049" type="#_x0000_t136" style="position:absolute;left:0;text-align:left;margin-left:0;margin-top:0;width:647.3pt;height:71.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9C258B"/>
    <w:multiLevelType w:val="hybridMultilevel"/>
    <w:tmpl w:val="2F9E1AB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2D1F"/>
    <w:rsid w:val="000E4A21"/>
    <w:rsid w:val="00164169"/>
    <w:rsid w:val="00190FDB"/>
    <w:rsid w:val="001930AC"/>
    <w:rsid w:val="00197416"/>
    <w:rsid w:val="001B57E7"/>
    <w:rsid w:val="00291B87"/>
    <w:rsid w:val="002F0BD5"/>
    <w:rsid w:val="002F0C16"/>
    <w:rsid w:val="0031436E"/>
    <w:rsid w:val="00340765"/>
    <w:rsid w:val="00426B8C"/>
    <w:rsid w:val="005B2F59"/>
    <w:rsid w:val="00632527"/>
    <w:rsid w:val="00636247"/>
    <w:rsid w:val="006F204A"/>
    <w:rsid w:val="007110B9"/>
    <w:rsid w:val="0080225D"/>
    <w:rsid w:val="00806950"/>
    <w:rsid w:val="00824543"/>
    <w:rsid w:val="00830164"/>
    <w:rsid w:val="0096121F"/>
    <w:rsid w:val="0098603D"/>
    <w:rsid w:val="00A406AF"/>
    <w:rsid w:val="00B27987"/>
    <w:rsid w:val="00C0492C"/>
    <w:rsid w:val="00C22D1F"/>
    <w:rsid w:val="00C44EBF"/>
    <w:rsid w:val="00CC4CE9"/>
    <w:rsid w:val="00CC73BC"/>
    <w:rsid w:val="00CD0913"/>
    <w:rsid w:val="00CD7C24"/>
    <w:rsid w:val="00CE2E3B"/>
    <w:rsid w:val="00D437B6"/>
    <w:rsid w:val="00DE7F78"/>
    <w:rsid w:val="00DF0EC7"/>
    <w:rsid w:val="00E107E8"/>
    <w:rsid w:val="00E164F5"/>
    <w:rsid w:val="00E33A7B"/>
    <w:rsid w:val="00E71D66"/>
    <w:rsid w:val="00F30265"/>
    <w:rsid w:val="00F971B9"/>
    <w:rsid w:val="00FF1D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AFA46B"/>
  <w15:docId w15:val="{B050986D-3D3A-4BF9-BC5D-61CD2F330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C22D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22D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22D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2D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2D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2D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2D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2D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2D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2D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2D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2D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2D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2D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2D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2D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2D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2D1F"/>
    <w:rPr>
      <w:rFonts w:eastAsiaTheme="majorEastAsia" w:cstheme="majorBidi"/>
      <w:color w:val="272727" w:themeColor="text1" w:themeTint="D8"/>
    </w:rPr>
  </w:style>
  <w:style w:type="paragraph" w:styleId="Title">
    <w:name w:val="Title"/>
    <w:basedOn w:val="Normal"/>
    <w:next w:val="Normal"/>
    <w:link w:val="TitleChar"/>
    <w:uiPriority w:val="10"/>
    <w:qFormat/>
    <w:rsid w:val="00C22D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2D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2D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2D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2D1F"/>
    <w:pPr>
      <w:spacing w:before="160"/>
      <w:jc w:val="center"/>
    </w:pPr>
    <w:rPr>
      <w:i/>
      <w:iCs/>
      <w:color w:val="404040" w:themeColor="text1" w:themeTint="BF"/>
    </w:rPr>
  </w:style>
  <w:style w:type="character" w:customStyle="1" w:styleId="QuoteChar">
    <w:name w:val="Quote Char"/>
    <w:basedOn w:val="DefaultParagraphFont"/>
    <w:link w:val="Quote"/>
    <w:uiPriority w:val="29"/>
    <w:rsid w:val="00C22D1F"/>
    <w:rPr>
      <w:i/>
      <w:iCs/>
      <w:color w:val="404040" w:themeColor="text1" w:themeTint="BF"/>
    </w:rPr>
  </w:style>
  <w:style w:type="paragraph" w:styleId="ListParagraph">
    <w:name w:val="List Paragraph"/>
    <w:basedOn w:val="Normal"/>
    <w:uiPriority w:val="34"/>
    <w:qFormat/>
    <w:rsid w:val="00C22D1F"/>
    <w:pPr>
      <w:ind w:left="720"/>
      <w:contextualSpacing/>
    </w:pPr>
  </w:style>
  <w:style w:type="character" w:styleId="IntenseEmphasis">
    <w:name w:val="Intense Emphasis"/>
    <w:basedOn w:val="DefaultParagraphFont"/>
    <w:uiPriority w:val="21"/>
    <w:qFormat/>
    <w:rsid w:val="00C22D1F"/>
    <w:rPr>
      <w:i/>
      <w:iCs/>
      <w:color w:val="0F4761" w:themeColor="accent1" w:themeShade="BF"/>
    </w:rPr>
  </w:style>
  <w:style w:type="paragraph" w:styleId="IntenseQuote">
    <w:name w:val="Intense Quote"/>
    <w:basedOn w:val="Normal"/>
    <w:next w:val="Normal"/>
    <w:link w:val="IntenseQuoteChar"/>
    <w:uiPriority w:val="30"/>
    <w:qFormat/>
    <w:rsid w:val="00C22D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2D1F"/>
    <w:rPr>
      <w:i/>
      <w:iCs/>
      <w:color w:val="0F4761" w:themeColor="accent1" w:themeShade="BF"/>
    </w:rPr>
  </w:style>
  <w:style w:type="character" w:styleId="IntenseReference">
    <w:name w:val="Intense Reference"/>
    <w:basedOn w:val="DefaultParagraphFont"/>
    <w:uiPriority w:val="32"/>
    <w:qFormat/>
    <w:rsid w:val="00C22D1F"/>
    <w:rPr>
      <w:b/>
      <w:bCs/>
      <w:smallCaps/>
      <w:color w:val="0F4761" w:themeColor="accent1" w:themeShade="BF"/>
      <w:spacing w:val="5"/>
    </w:rPr>
  </w:style>
  <w:style w:type="paragraph" w:styleId="NormalWeb">
    <w:name w:val="Normal (Web)"/>
    <w:basedOn w:val="Normal"/>
    <w:uiPriority w:val="99"/>
    <w:semiHidden/>
    <w:unhideWhenUsed/>
    <w:rsid w:val="00D437B6"/>
    <w:pPr>
      <w:bidi w:val="0"/>
      <w:spacing w:before="100" w:beforeAutospacing="1" w:after="100" w:afterAutospacing="1" w:line="240" w:lineRule="auto"/>
    </w:pPr>
    <w:rPr>
      <w:rFonts w:ascii="Times New Roman" w:hAnsi="Times New Roman" w:cs="Times New Roman"/>
      <w:kern w:val="0"/>
      <w14:ligatures w14:val="none"/>
    </w:rPr>
  </w:style>
  <w:style w:type="character" w:styleId="Strong">
    <w:name w:val="Strong"/>
    <w:basedOn w:val="DefaultParagraphFont"/>
    <w:uiPriority w:val="22"/>
    <w:qFormat/>
    <w:rsid w:val="00D437B6"/>
    <w:rPr>
      <w:b/>
      <w:bCs/>
    </w:rPr>
  </w:style>
  <w:style w:type="character" w:styleId="Emphasis">
    <w:name w:val="Emphasis"/>
    <w:basedOn w:val="DefaultParagraphFont"/>
    <w:uiPriority w:val="20"/>
    <w:qFormat/>
    <w:rsid w:val="00D437B6"/>
    <w:rPr>
      <w:i/>
      <w:iCs/>
    </w:rPr>
  </w:style>
  <w:style w:type="paragraph" w:styleId="BalloonText">
    <w:name w:val="Balloon Text"/>
    <w:basedOn w:val="Normal"/>
    <w:link w:val="BalloonTextChar"/>
    <w:uiPriority w:val="99"/>
    <w:semiHidden/>
    <w:unhideWhenUsed/>
    <w:rsid w:val="002F0C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C16"/>
    <w:rPr>
      <w:rFonts w:ascii="Tahoma" w:hAnsi="Tahoma" w:cs="Tahoma"/>
      <w:sz w:val="16"/>
      <w:szCs w:val="16"/>
    </w:rPr>
  </w:style>
  <w:style w:type="paragraph" w:styleId="Header">
    <w:name w:val="header"/>
    <w:basedOn w:val="Normal"/>
    <w:link w:val="HeaderChar"/>
    <w:uiPriority w:val="99"/>
    <w:unhideWhenUsed/>
    <w:rsid w:val="00A406AF"/>
    <w:pPr>
      <w:tabs>
        <w:tab w:val="center" w:pos="4153"/>
        <w:tab w:val="right" w:pos="8306"/>
      </w:tabs>
      <w:spacing w:after="0" w:line="240" w:lineRule="auto"/>
    </w:pPr>
  </w:style>
  <w:style w:type="character" w:customStyle="1" w:styleId="HeaderChar">
    <w:name w:val="Header Char"/>
    <w:basedOn w:val="DefaultParagraphFont"/>
    <w:link w:val="Header"/>
    <w:uiPriority w:val="99"/>
    <w:rsid w:val="00A406AF"/>
  </w:style>
  <w:style w:type="paragraph" w:styleId="Footer">
    <w:name w:val="footer"/>
    <w:basedOn w:val="Normal"/>
    <w:link w:val="FooterChar"/>
    <w:uiPriority w:val="99"/>
    <w:unhideWhenUsed/>
    <w:rsid w:val="00A406AF"/>
    <w:pPr>
      <w:tabs>
        <w:tab w:val="center" w:pos="4153"/>
        <w:tab w:val="right" w:pos="8306"/>
      </w:tabs>
      <w:spacing w:after="0" w:line="240" w:lineRule="auto"/>
    </w:pPr>
  </w:style>
  <w:style w:type="character" w:customStyle="1" w:styleId="FooterChar">
    <w:name w:val="Footer Char"/>
    <w:basedOn w:val="DefaultParagraphFont"/>
    <w:link w:val="Footer"/>
    <w:uiPriority w:val="99"/>
    <w:rsid w:val="00A406AF"/>
  </w:style>
  <w:style w:type="character" w:styleId="Hyperlink">
    <w:name w:val="Hyperlink"/>
    <w:basedOn w:val="DefaultParagraphFont"/>
    <w:uiPriority w:val="99"/>
    <w:unhideWhenUsed/>
    <w:rsid w:val="00164169"/>
    <w:rPr>
      <w:color w:val="467886" w:themeColor="hyperlink"/>
      <w:u w:val="single"/>
    </w:rPr>
  </w:style>
  <w:style w:type="character" w:styleId="UnresolvedMention">
    <w:name w:val="Unresolved Mention"/>
    <w:basedOn w:val="DefaultParagraphFont"/>
    <w:uiPriority w:val="99"/>
    <w:semiHidden/>
    <w:unhideWhenUsed/>
    <w:rsid w:val="001641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6979743">
      <w:bodyDiv w:val="1"/>
      <w:marLeft w:val="0"/>
      <w:marRight w:val="0"/>
      <w:marTop w:val="0"/>
      <w:marBottom w:val="0"/>
      <w:divBdr>
        <w:top w:val="none" w:sz="0" w:space="0" w:color="auto"/>
        <w:left w:val="none" w:sz="0" w:space="0" w:color="auto"/>
        <w:bottom w:val="none" w:sz="0" w:space="0" w:color="auto"/>
        <w:right w:val="none" w:sz="0" w:space="0" w:color="auto"/>
      </w:divBdr>
    </w:div>
    <w:div w:id="1726103764">
      <w:bodyDiv w:val="1"/>
      <w:marLeft w:val="0"/>
      <w:marRight w:val="0"/>
      <w:marTop w:val="0"/>
      <w:marBottom w:val="0"/>
      <w:divBdr>
        <w:top w:val="none" w:sz="0" w:space="0" w:color="auto"/>
        <w:left w:val="none" w:sz="0" w:space="0" w:color="auto"/>
        <w:bottom w:val="none" w:sz="0" w:space="0" w:color="auto"/>
        <w:right w:val="none" w:sz="0" w:space="0" w:color="auto"/>
      </w:divBdr>
      <w:divsChild>
        <w:div w:id="608897541">
          <w:marLeft w:val="0"/>
          <w:marRight w:val="0"/>
          <w:marTop w:val="0"/>
          <w:marBottom w:val="0"/>
          <w:divBdr>
            <w:top w:val="single" w:sz="2" w:space="0" w:color="auto"/>
            <w:left w:val="single" w:sz="2" w:space="0" w:color="auto"/>
            <w:bottom w:val="single" w:sz="2" w:space="0" w:color="auto"/>
            <w:right w:val="single" w:sz="2" w:space="0" w:color="auto"/>
          </w:divBdr>
          <w:divsChild>
            <w:div w:id="163057125">
              <w:marLeft w:val="0"/>
              <w:marRight w:val="0"/>
              <w:marTop w:val="0"/>
              <w:marBottom w:val="0"/>
              <w:divBdr>
                <w:top w:val="single" w:sz="2" w:space="0" w:color="auto"/>
                <w:left w:val="single" w:sz="2" w:space="0" w:color="auto"/>
                <w:bottom w:val="single" w:sz="2" w:space="0" w:color="auto"/>
                <w:right w:val="single" w:sz="2" w:space="0" w:color="auto"/>
              </w:divBdr>
              <w:divsChild>
                <w:div w:id="680662541">
                  <w:marLeft w:val="0"/>
                  <w:marRight w:val="0"/>
                  <w:marTop w:val="0"/>
                  <w:marBottom w:val="0"/>
                  <w:divBdr>
                    <w:top w:val="single" w:sz="2" w:space="0" w:color="auto"/>
                    <w:left w:val="single" w:sz="2" w:space="0" w:color="auto"/>
                    <w:bottom w:val="single" w:sz="2" w:space="0" w:color="auto"/>
                    <w:right w:val="single" w:sz="2" w:space="0" w:color="auto"/>
                  </w:divBdr>
                  <w:divsChild>
                    <w:div w:id="1909606326">
                      <w:marLeft w:val="0"/>
                      <w:marRight w:val="0"/>
                      <w:marTop w:val="0"/>
                      <w:marBottom w:val="0"/>
                      <w:divBdr>
                        <w:top w:val="single" w:sz="2" w:space="0" w:color="auto"/>
                        <w:left w:val="single" w:sz="2" w:space="0" w:color="auto"/>
                        <w:bottom w:val="single" w:sz="2" w:space="0" w:color="auto"/>
                        <w:right w:val="single" w:sz="2" w:space="0" w:color="auto"/>
                      </w:divBdr>
                      <w:divsChild>
                        <w:div w:id="8243934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94965981">
              <w:marLeft w:val="0"/>
              <w:marRight w:val="0"/>
              <w:marTop w:val="0"/>
              <w:marBottom w:val="0"/>
              <w:divBdr>
                <w:top w:val="single" w:sz="2" w:space="0" w:color="auto"/>
                <w:left w:val="single" w:sz="2" w:space="0" w:color="auto"/>
                <w:bottom w:val="single" w:sz="2" w:space="0" w:color="auto"/>
                <w:right w:val="single" w:sz="2" w:space="0" w:color="auto"/>
              </w:divBdr>
              <w:divsChild>
                <w:div w:id="1146969807">
                  <w:marLeft w:val="0"/>
                  <w:marRight w:val="0"/>
                  <w:marTop w:val="0"/>
                  <w:marBottom w:val="0"/>
                  <w:divBdr>
                    <w:top w:val="single" w:sz="2" w:space="0" w:color="auto"/>
                    <w:left w:val="single" w:sz="2" w:space="0" w:color="auto"/>
                    <w:bottom w:val="single" w:sz="2" w:space="0" w:color="auto"/>
                    <w:right w:val="single" w:sz="2" w:space="0" w:color="auto"/>
                  </w:divBdr>
                  <w:divsChild>
                    <w:div w:id="812403807">
                      <w:marLeft w:val="0"/>
                      <w:marRight w:val="0"/>
                      <w:marTop w:val="0"/>
                      <w:marBottom w:val="0"/>
                      <w:divBdr>
                        <w:top w:val="single" w:sz="2" w:space="0" w:color="auto"/>
                        <w:left w:val="single" w:sz="2" w:space="0" w:color="auto"/>
                        <w:bottom w:val="single" w:sz="2" w:space="0" w:color="auto"/>
                        <w:right w:val="single" w:sz="2" w:space="0" w:color="auto"/>
                      </w:divBdr>
                      <w:divsChild>
                        <w:div w:id="586812418">
                          <w:marLeft w:val="0"/>
                          <w:marRight w:val="0"/>
                          <w:marTop w:val="0"/>
                          <w:marBottom w:val="0"/>
                          <w:divBdr>
                            <w:top w:val="single" w:sz="2" w:space="0" w:color="auto"/>
                            <w:left w:val="single" w:sz="2" w:space="0" w:color="auto"/>
                            <w:bottom w:val="single" w:sz="2" w:space="0" w:color="auto"/>
                            <w:right w:val="single" w:sz="2" w:space="0" w:color="auto"/>
                          </w:divBdr>
                          <w:divsChild>
                            <w:div w:id="1290353846">
                              <w:marLeft w:val="0"/>
                              <w:marRight w:val="0"/>
                              <w:marTop w:val="0"/>
                              <w:marBottom w:val="0"/>
                              <w:divBdr>
                                <w:top w:val="single" w:sz="2" w:space="0" w:color="auto"/>
                                <w:left w:val="single" w:sz="2" w:space="0" w:color="auto"/>
                                <w:bottom w:val="single" w:sz="2" w:space="0" w:color="auto"/>
                                <w:right w:val="single" w:sz="2" w:space="0" w:color="auto"/>
                              </w:divBdr>
                              <w:divsChild>
                                <w:div w:id="1272394237">
                                  <w:marLeft w:val="0"/>
                                  <w:marRight w:val="0"/>
                                  <w:marTop w:val="0"/>
                                  <w:marBottom w:val="0"/>
                                  <w:divBdr>
                                    <w:top w:val="single" w:sz="2" w:space="0" w:color="auto"/>
                                    <w:left w:val="single" w:sz="2" w:space="0" w:color="auto"/>
                                    <w:bottom w:val="single" w:sz="2" w:space="0" w:color="auto"/>
                                    <w:right w:val="single" w:sz="2" w:space="0" w:color="auto"/>
                                  </w:divBdr>
                                  <w:divsChild>
                                    <w:div w:id="928463658">
                                      <w:marLeft w:val="0"/>
                                      <w:marRight w:val="0"/>
                                      <w:marTop w:val="0"/>
                                      <w:marBottom w:val="0"/>
                                      <w:divBdr>
                                        <w:top w:val="single" w:sz="2" w:space="0" w:color="auto"/>
                                        <w:left w:val="single" w:sz="2" w:space="0" w:color="auto"/>
                                        <w:bottom w:val="single" w:sz="2" w:space="0" w:color="auto"/>
                                        <w:right w:val="single" w:sz="2" w:space="0" w:color="auto"/>
                                      </w:divBdr>
                                      <w:divsChild>
                                        <w:div w:id="3170301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36990269">
                          <w:marLeft w:val="0"/>
                          <w:marRight w:val="0"/>
                          <w:marTop w:val="0"/>
                          <w:marBottom w:val="0"/>
                          <w:divBdr>
                            <w:top w:val="single" w:sz="2" w:space="0" w:color="auto"/>
                            <w:left w:val="single" w:sz="2" w:space="0" w:color="auto"/>
                            <w:bottom w:val="single" w:sz="2" w:space="0" w:color="auto"/>
                            <w:right w:val="single" w:sz="2" w:space="0" w:color="auto"/>
                          </w:divBdr>
                          <w:divsChild>
                            <w:div w:id="1543783441">
                              <w:marLeft w:val="0"/>
                              <w:marRight w:val="0"/>
                              <w:marTop w:val="0"/>
                              <w:marBottom w:val="0"/>
                              <w:divBdr>
                                <w:top w:val="single" w:sz="2" w:space="0" w:color="auto"/>
                                <w:left w:val="single" w:sz="2" w:space="0" w:color="auto"/>
                                <w:bottom w:val="single" w:sz="2" w:space="0" w:color="auto"/>
                                <w:right w:val="single" w:sz="2" w:space="0" w:color="auto"/>
                              </w:divBdr>
                              <w:divsChild>
                                <w:div w:id="814563503">
                                  <w:marLeft w:val="0"/>
                                  <w:marRight w:val="0"/>
                                  <w:marTop w:val="0"/>
                                  <w:marBottom w:val="0"/>
                                  <w:divBdr>
                                    <w:top w:val="single" w:sz="2" w:space="0" w:color="auto"/>
                                    <w:left w:val="single" w:sz="2" w:space="0" w:color="auto"/>
                                    <w:bottom w:val="single" w:sz="2" w:space="0" w:color="auto"/>
                                    <w:right w:val="single" w:sz="2" w:space="0" w:color="auto"/>
                                  </w:divBdr>
                                  <w:divsChild>
                                    <w:div w:id="925653417">
                                      <w:marLeft w:val="0"/>
                                      <w:marRight w:val="0"/>
                                      <w:marTop w:val="0"/>
                                      <w:marBottom w:val="0"/>
                                      <w:divBdr>
                                        <w:top w:val="single" w:sz="2" w:space="0" w:color="auto"/>
                                        <w:left w:val="single" w:sz="2" w:space="0" w:color="auto"/>
                                        <w:bottom w:val="single" w:sz="2" w:space="0" w:color="auto"/>
                                        <w:right w:val="single" w:sz="2" w:space="0" w:color="auto"/>
                                      </w:divBdr>
                                      <w:divsChild>
                                        <w:div w:id="16123862">
                                          <w:marLeft w:val="0"/>
                                          <w:marRight w:val="0"/>
                                          <w:marTop w:val="0"/>
                                          <w:marBottom w:val="0"/>
                                          <w:divBdr>
                                            <w:top w:val="single" w:sz="2" w:space="0" w:color="auto"/>
                                            <w:left w:val="single" w:sz="2" w:space="0" w:color="auto"/>
                                            <w:bottom w:val="single" w:sz="2" w:space="0" w:color="auto"/>
                                            <w:right w:val="single" w:sz="2" w:space="0" w:color="auto"/>
                                          </w:divBdr>
                                          <w:divsChild>
                                            <w:div w:id="129981430">
                                              <w:marLeft w:val="0"/>
                                              <w:marRight w:val="0"/>
                                              <w:marTop w:val="0"/>
                                              <w:marBottom w:val="0"/>
                                              <w:divBdr>
                                                <w:top w:val="single" w:sz="2" w:space="0" w:color="auto"/>
                                                <w:left w:val="single" w:sz="2" w:space="0" w:color="auto"/>
                                                <w:bottom w:val="single" w:sz="2" w:space="0" w:color="auto"/>
                                                <w:right w:val="single" w:sz="2" w:space="0" w:color="auto"/>
                                              </w:divBdr>
                                              <w:divsChild>
                                                <w:div w:id="688215907">
                                                  <w:marLeft w:val="0"/>
                                                  <w:marRight w:val="0"/>
                                                  <w:marTop w:val="0"/>
                                                  <w:marBottom w:val="0"/>
                                                  <w:divBdr>
                                                    <w:top w:val="single" w:sz="2" w:space="0" w:color="auto"/>
                                                    <w:left w:val="single" w:sz="2" w:space="0" w:color="auto"/>
                                                    <w:bottom w:val="single" w:sz="2" w:space="0" w:color="auto"/>
                                                    <w:right w:val="single" w:sz="2" w:space="0" w:color="auto"/>
                                                  </w:divBdr>
                                                  <w:divsChild>
                                                    <w:div w:id="9207205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45008835">
                                              <w:marLeft w:val="0"/>
                                              <w:marRight w:val="0"/>
                                              <w:marTop w:val="0"/>
                                              <w:marBottom w:val="0"/>
                                              <w:divBdr>
                                                <w:top w:val="single" w:sz="2" w:space="0" w:color="auto"/>
                                                <w:left w:val="single" w:sz="2" w:space="0" w:color="auto"/>
                                                <w:bottom w:val="single" w:sz="2" w:space="0" w:color="auto"/>
                                                <w:right w:val="single" w:sz="2" w:space="0" w:color="auto"/>
                                              </w:divBdr>
                                              <w:divsChild>
                                                <w:div w:id="741220079">
                                                  <w:marLeft w:val="0"/>
                                                  <w:marRight w:val="0"/>
                                                  <w:marTop w:val="0"/>
                                                  <w:marBottom w:val="0"/>
                                                  <w:divBdr>
                                                    <w:top w:val="single" w:sz="2" w:space="0" w:color="auto"/>
                                                    <w:left w:val="single" w:sz="2" w:space="0" w:color="auto"/>
                                                    <w:bottom w:val="single" w:sz="2" w:space="0" w:color="auto"/>
                                                    <w:right w:val="single" w:sz="2" w:space="0" w:color="auto"/>
                                                  </w:divBdr>
                                                  <w:divsChild>
                                                    <w:div w:id="999389583">
                                                      <w:marLeft w:val="0"/>
                                                      <w:marRight w:val="0"/>
                                                      <w:marTop w:val="0"/>
                                                      <w:marBottom w:val="0"/>
                                                      <w:divBdr>
                                                        <w:top w:val="single" w:sz="2" w:space="0" w:color="auto"/>
                                                        <w:left w:val="single" w:sz="2" w:space="0" w:color="auto"/>
                                                        <w:bottom w:val="single" w:sz="2" w:space="0" w:color="auto"/>
                                                        <w:right w:val="single" w:sz="2" w:space="0" w:color="auto"/>
                                                      </w:divBdr>
                                                      <w:divsChild>
                                                        <w:div w:id="2102874089">
                                                          <w:marLeft w:val="0"/>
                                                          <w:marRight w:val="0"/>
                                                          <w:marTop w:val="0"/>
                                                          <w:marBottom w:val="0"/>
                                                          <w:divBdr>
                                                            <w:top w:val="single" w:sz="2" w:space="0" w:color="auto"/>
                                                            <w:left w:val="single" w:sz="2" w:space="0" w:color="auto"/>
                                                            <w:bottom w:val="single" w:sz="2" w:space="0" w:color="auto"/>
                                                            <w:right w:val="single" w:sz="2" w:space="0" w:color="auto"/>
                                                          </w:divBdr>
                                                        </w:div>
                                                      </w:divsChild>
                                                    </w:div>
                                                    <w:div w:id="371392673">
                                                      <w:marLeft w:val="0"/>
                                                      <w:marRight w:val="0"/>
                                                      <w:marTop w:val="0"/>
                                                      <w:marBottom w:val="0"/>
                                                      <w:divBdr>
                                                        <w:top w:val="single" w:sz="2" w:space="0" w:color="auto"/>
                                                        <w:left w:val="single" w:sz="2" w:space="0" w:color="auto"/>
                                                        <w:bottom w:val="single" w:sz="2" w:space="0" w:color="auto"/>
                                                        <w:right w:val="single" w:sz="2" w:space="0" w:color="auto"/>
                                                      </w:divBdr>
                                                    </w:div>
                                                  </w:divsChild>
                                                </w:div>
                                                <w:div w:id="1384402463">
                                                  <w:marLeft w:val="0"/>
                                                  <w:marRight w:val="0"/>
                                                  <w:marTop w:val="0"/>
                                                  <w:marBottom w:val="0"/>
                                                  <w:divBdr>
                                                    <w:top w:val="single" w:sz="2" w:space="0" w:color="auto"/>
                                                    <w:left w:val="single" w:sz="2" w:space="0" w:color="auto"/>
                                                    <w:bottom w:val="single" w:sz="2" w:space="0" w:color="auto"/>
                                                    <w:right w:val="single" w:sz="2" w:space="0" w:color="auto"/>
                                                  </w:divBdr>
                                                  <w:divsChild>
                                                    <w:div w:id="1521893049">
                                                      <w:marLeft w:val="0"/>
                                                      <w:marRight w:val="0"/>
                                                      <w:marTop w:val="0"/>
                                                      <w:marBottom w:val="0"/>
                                                      <w:divBdr>
                                                        <w:top w:val="none" w:sz="0" w:space="0" w:color="auto"/>
                                                        <w:left w:val="none" w:sz="0" w:space="0" w:color="auto"/>
                                                        <w:bottom w:val="none" w:sz="0" w:space="0" w:color="auto"/>
                                                        <w:right w:val="none" w:sz="0" w:space="0" w:color="auto"/>
                                                      </w:divBdr>
                                                      <w:divsChild>
                                                        <w:div w:id="10641355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979461289">
                                      <w:marLeft w:val="0"/>
                                      <w:marRight w:val="0"/>
                                      <w:marTop w:val="0"/>
                                      <w:marBottom w:val="0"/>
                                      <w:divBdr>
                                        <w:top w:val="single" w:sz="2" w:space="0" w:color="auto"/>
                                        <w:left w:val="single" w:sz="2" w:space="0" w:color="auto"/>
                                        <w:bottom w:val="single" w:sz="2" w:space="0" w:color="auto"/>
                                        <w:right w:val="single" w:sz="2" w:space="0" w:color="auto"/>
                                      </w:divBdr>
                                      <w:divsChild>
                                        <w:div w:id="77485444">
                                          <w:marLeft w:val="0"/>
                                          <w:marRight w:val="0"/>
                                          <w:marTop w:val="0"/>
                                          <w:marBottom w:val="0"/>
                                          <w:divBdr>
                                            <w:top w:val="single" w:sz="2" w:space="0" w:color="auto"/>
                                            <w:left w:val="single" w:sz="2" w:space="0" w:color="auto"/>
                                            <w:bottom w:val="single" w:sz="2" w:space="0" w:color="auto"/>
                                            <w:right w:val="single" w:sz="2" w:space="0" w:color="auto"/>
                                          </w:divBdr>
                                          <w:divsChild>
                                            <w:div w:id="697242876">
                                              <w:marLeft w:val="0"/>
                                              <w:marRight w:val="0"/>
                                              <w:marTop w:val="0"/>
                                              <w:marBottom w:val="0"/>
                                              <w:divBdr>
                                                <w:top w:val="single" w:sz="2" w:space="0" w:color="auto"/>
                                                <w:left w:val="single" w:sz="2" w:space="0" w:color="auto"/>
                                                <w:bottom w:val="single" w:sz="2" w:space="0" w:color="auto"/>
                                                <w:right w:val="single" w:sz="2" w:space="0" w:color="auto"/>
                                              </w:divBdr>
                                              <w:divsChild>
                                                <w:div w:id="1172649846">
                                                  <w:marLeft w:val="0"/>
                                                  <w:marRight w:val="0"/>
                                                  <w:marTop w:val="0"/>
                                                  <w:marBottom w:val="0"/>
                                                  <w:divBdr>
                                                    <w:top w:val="single" w:sz="2" w:space="0" w:color="auto"/>
                                                    <w:left w:val="single" w:sz="2" w:space="0" w:color="auto"/>
                                                    <w:bottom w:val="single" w:sz="2" w:space="0" w:color="auto"/>
                                                    <w:right w:val="single" w:sz="2" w:space="0" w:color="auto"/>
                                                  </w:divBdr>
                                                  <w:divsChild>
                                                    <w:div w:id="1740639732">
                                                      <w:marLeft w:val="0"/>
                                                      <w:marRight w:val="0"/>
                                                      <w:marTop w:val="0"/>
                                                      <w:marBottom w:val="0"/>
                                                      <w:divBdr>
                                                        <w:top w:val="single" w:sz="2" w:space="0" w:color="auto"/>
                                                        <w:left w:val="single" w:sz="2" w:space="0" w:color="auto"/>
                                                        <w:bottom w:val="single" w:sz="2" w:space="0" w:color="auto"/>
                                                        <w:right w:val="single" w:sz="2" w:space="0" w:color="auto"/>
                                                      </w:divBdr>
                                                      <w:divsChild>
                                                        <w:div w:id="2814240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84920507">
                                                  <w:marLeft w:val="0"/>
                                                  <w:marRight w:val="0"/>
                                                  <w:marTop w:val="0"/>
                                                  <w:marBottom w:val="0"/>
                                                  <w:divBdr>
                                                    <w:top w:val="single" w:sz="2" w:space="0" w:color="auto"/>
                                                    <w:left w:val="single" w:sz="2" w:space="0" w:color="auto"/>
                                                    <w:bottom w:val="single" w:sz="2" w:space="0" w:color="auto"/>
                                                    <w:right w:val="single" w:sz="2" w:space="0" w:color="auto"/>
                                                  </w:divBdr>
                                                  <w:divsChild>
                                                    <w:div w:id="2082286110">
                                                      <w:marLeft w:val="0"/>
                                                      <w:marRight w:val="0"/>
                                                      <w:marTop w:val="0"/>
                                                      <w:marBottom w:val="0"/>
                                                      <w:divBdr>
                                                        <w:top w:val="single" w:sz="2" w:space="0" w:color="auto"/>
                                                        <w:left w:val="single" w:sz="2" w:space="0" w:color="auto"/>
                                                        <w:bottom w:val="single" w:sz="2" w:space="0" w:color="auto"/>
                                                        <w:right w:val="single" w:sz="2" w:space="0" w:color="auto"/>
                                                      </w:divBdr>
                                                      <w:divsChild>
                                                        <w:div w:id="1602684007">
                                                          <w:marLeft w:val="0"/>
                                                          <w:marRight w:val="0"/>
                                                          <w:marTop w:val="0"/>
                                                          <w:marBottom w:val="0"/>
                                                          <w:divBdr>
                                                            <w:top w:val="single" w:sz="2" w:space="0" w:color="auto"/>
                                                            <w:left w:val="single" w:sz="2" w:space="0" w:color="auto"/>
                                                            <w:bottom w:val="single" w:sz="2" w:space="0" w:color="auto"/>
                                                            <w:right w:val="single" w:sz="2" w:space="0" w:color="auto"/>
                                                          </w:divBdr>
                                                          <w:divsChild>
                                                            <w:div w:id="9088842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96097554">
                                      <w:marLeft w:val="0"/>
                                      <w:marRight w:val="0"/>
                                      <w:marTop w:val="0"/>
                                      <w:marBottom w:val="0"/>
                                      <w:divBdr>
                                        <w:top w:val="single" w:sz="2" w:space="0" w:color="auto"/>
                                        <w:left w:val="single" w:sz="2" w:space="0" w:color="auto"/>
                                        <w:bottom w:val="single" w:sz="2" w:space="0" w:color="auto"/>
                                        <w:right w:val="single" w:sz="2" w:space="0" w:color="auto"/>
                                      </w:divBdr>
                                      <w:divsChild>
                                        <w:div w:id="662203739">
                                          <w:marLeft w:val="0"/>
                                          <w:marRight w:val="0"/>
                                          <w:marTop w:val="0"/>
                                          <w:marBottom w:val="0"/>
                                          <w:divBdr>
                                            <w:top w:val="single" w:sz="2" w:space="0" w:color="auto"/>
                                            <w:left w:val="single" w:sz="2" w:space="0" w:color="auto"/>
                                            <w:bottom w:val="single" w:sz="2" w:space="0" w:color="auto"/>
                                            <w:right w:val="single" w:sz="2" w:space="0" w:color="auto"/>
                                          </w:divBdr>
                                          <w:divsChild>
                                            <w:div w:id="550465585">
                                              <w:marLeft w:val="0"/>
                                              <w:marRight w:val="0"/>
                                              <w:marTop w:val="0"/>
                                              <w:marBottom w:val="0"/>
                                              <w:divBdr>
                                                <w:top w:val="single" w:sz="2" w:space="0" w:color="auto"/>
                                                <w:left w:val="single" w:sz="2" w:space="0" w:color="auto"/>
                                                <w:bottom w:val="single" w:sz="2" w:space="0" w:color="auto"/>
                                                <w:right w:val="single" w:sz="2" w:space="0" w:color="auto"/>
                                              </w:divBdr>
                                              <w:divsChild>
                                                <w:div w:id="1063067039">
                                                  <w:marLeft w:val="0"/>
                                                  <w:marRight w:val="0"/>
                                                  <w:marTop w:val="0"/>
                                                  <w:marBottom w:val="0"/>
                                                  <w:divBdr>
                                                    <w:top w:val="single" w:sz="2" w:space="0" w:color="auto"/>
                                                    <w:left w:val="single" w:sz="2" w:space="0" w:color="auto"/>
                                                    <w:bottom w:val="single" w:sz="2" w:space="0" w:color="auto"/>
                                                    <w:right w:val="single" w:sz="2" w:space="0" w:color="auto"/>
                                                  </w:divBdr>
                                                  <w:divsChild>
                                                    <w:div w:id="802192514">
                                                      <w:marLeft w:val="0"/>
                                                      <w:marRight w:val="0"/>
                                                      <w:marTop w:val="0"/>
                                                      <w:marBottom w:val="0"/>
                                                      <w:divBdr>
                                                        <w:top w:val="single" w:sz="2" w:space="0" w:color="auto"/>
                                                        <w:left w:val="single" w:sz="2" w:space="0" w:color="auto"/>
                                                        <w:bottom w:val="single" w:sz="2" w:space="0" w:color="auto"/>
                                                        <w:right w:val="single" w:sz="2" w:space="0" w:color="auto"/>
                                                      </w:divBdr>
                                                      <w:divsChild>
                                                        <w:div w:id="1358658009">
                                                          <w:marLeft w:val="0"/>
                                                          <w:marRight w:val="0"/>
                                                          <w:marTop w:val="0"/>
                                                          <w:marBottom w:val="0"/>
                                                          <w:divBdr>
                                                            <w:top w:val="single" w:sz="2" w:space="0" w:color="auto"/>
                                                            <w:left w:val="single" w:sz="2" w:space="0" w:color="auto"/>
                                                            <w:bottom w:val="single" w:sz="2" w:space="0" w:color="auto"/>
                                                            <w:right w:val="single" w:sz="2" w:space="0" w:color="auto"/>
                                                          </w:divBdr>
                                                        </w:div>
                                                      </w:divsChild>
                                                    </w:div>
                                                    <w:div w:id="917061982">
                                                      <w:marLeft w:val="0"/>
                                                      <w:marRight w:val="0"/>
                                                      <w:marTop w:val="0"/>
                                                      <w:marBottom w:val="0"/>
                                                      <w:divBdr>
                                                        <w:top w:val="single" w:sz="2" w:space="0" w:color="auto"/>
                                                        <w:left w:val="single" w:sz="2" w:space="0" w:color="auto"/>
                                                        <w:bottom w:val="single" w:sz="2" w:space="0" w:color="auto"/>
                                                        <w:right w:val="single" w:sz="2" w:space="0" w:color="auto"/>
                                                      </w:divBdr>
                                                    </w:div>
                                                  </w:divsChild>
                                                </w:div>
                                                <w:div w:id="799999944">
                                                  <w:marLeft w:val="0"/>
                                                  <w:marRight w:val="0"/>
                                                  <w:marTop w:val="0"/>
                                                  <w:marBottom w:val="0"/>
                                                  <w:divBdr>
                                                    <w:top w:val="single" w:sz="2" w:space="0" w:color="auto"/>
                                                    <w:left w:val="single" w:sz="2" w:space="0" w:color="auto"/>
                                                    <w:bottom w:val="single" w:sz="2" w:space="0" w:color="auto"/>
                                                    <w:right w:val="single" w:sz="2" w:space="0" w:color="auto"/>
                                                  </w:divBdr>
                                                  <w:divsChild>
                                                    <w:div w:id="1831872913">
                                                      <w:marLeft w:val="0"/>
                                                      <w:marRight w:val="0"/>
                                                      <w:marTop w:val="0"/>
                                                      <w:marBottom w:val="0"/>
                                                      <w:divBdr>
                                                        <w:top w:val="none" w:sz="0" w:space="0" w:color="auto"/>
                                                        <w:left w:val="none" w:sz="0" w:space="0" w:color="auto"/>
                                                        <w:bottom w:val="none" w:sz="0" w:space="0" w:color="auto"/>
                                                        <w:right w:val="none" w:sz="0" w:space="0" w:color="auto"/>
                                                      </w:divBdr>
                                                      <w:divsChild>
                                                        <w:div w:id="21182564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765371422">
                                      <w:marLeft w:val="0"/>
                                      <w:marRight w:val="0"/>
                                      <w:marTop w:val="0"/>
                                      <w:marBottom w:val="0"/>
                                      <w:divBdr>
                                        <w:top w:val="single" w:sz="2" w:space="0" w:color="auto"/>
                                        <w:left w:val="single" w:sz="2" w:space="0" w:color="auto"/>
                                        <w:bottom w:val="single" w:sz="2" w:space="0" w:color="auto"/>
                                        <w:right w:val="single" w:sz="2" w:space="0" w:color="auto"/>
                                      </w:divBdr>
                                      <w:divsChild>
                                        <w:div w:id="236328337">
                                          <w:marLeft w:val="0"/>
                                          <w:marRight w:val="0"/>
                                          <w:marTop w:val="0"/>
                                          <w:marBottom w:val="0"/>
                                          <w:divBdr>
                                            <w:top w:val="single" w:sz="2" w:space="0" w:color="auto"/>
                                            <w:left w:val="single" w:sz="2" w:space="0" w:color="auto"/>
                                            <w:bottom w:val="single" w:sz="2" w:space="0" w:color="auto"/>
                                            <w:right w:val="single" w:sz="2" w:space="0" w:color="auto"/>
                                          </w:divBdr>
                                          <w:divsChild>
                                            <w:div w:id="1137407161">
                                              <w:marLeft w:val="0"/>
                                              <w:marRight w:val="0"/>
                                              <w:marTop w:val="0"/>
                                              <w:marBottom w:val="0"/>
                                              <w:divBdr>
                                                <w:top w:val="single" w:sz="2" w:space="0" w:color="auto"/>
                                                <w:left w:val="single" w:sz="2" w:space="0" w:color="auto"/>
                                                <w:bottom w:val="single" w:sz="2" w:space="0" w:color="auto"/>
                                                <w:right w:val="single" w:sz="2" w:space="0" w:color="auto"/>
                                              </w:divBdr>
                                              <w:divsChild>
                                                <w:div w:id="1697997464">
                                                  <w:marLeft w:val="0"/>
                                                  <w:marRight w:val="0"/>
                                                  <w:marTop w:val="0"/>
                                                  <w:marBottom w:val="0"/>
                                                  <w:divBdr>
                                                    <w:top w:val="single" w:sz="2" w:space="0" w:color="auto"/>
                                                    <w:left w:val="single" w:sz="2" w:space="0" w:color="auto"/>
                                                    <w:bottom w:val="single" w:sz="2" w:space="0" w:color="auto"/>
                                                    <w:right w:val="single" w:sz="2" w:space="0" w:color="auto"/>
                                                  </w:divBdr>
                                                  <w:divsChild>
                                                    <w:div w:id="1612395926">
                                                      <w:marLeft w:val="0"/>
                                                      <w:marRight w:val="0"/>
                                                      <w:marTop w:val="0"/>
                                                      <w:marBottom w:val="0"/>
                                                      <w:divBdr>
                                                        <w:top w:val="single" w:sz="2" w:space="0" w:color="auto"/>
                                                        <w:left w:val="single" w:sz="2" w:space="0" w:color="auto"/>
                                                        <w:bottom w:val="single" w:sz="2" w:space="0" w:color="auto"/>
                                                        <w:right w:val="single" w:sz="2" w:space="0" w:color="auto"/>
                                                      </w:divBdr>
                                                      <w:divsChild>
                                                        <w:div w:id="18265117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99499942">
                                                  <w:marLeft w:val="0"/>
                                                  <w:marRight w:val="0"/>
                                                  <w:marTop w:val="0"/>
                                                  <w:marBottom w:val="0"/>
                                                  <w:divBdr>
                                                    <w:top w:val="single" w:sz="2" w:space="0" w:color="auto"/>
                                                    <w:left w:val="single" w:sz="2" w:space="0" w:color="auto"/>
                                                    <w:bottom w:val="single" w:sz="2" w:space="0" w:color="auto"/>
                                                    <w:right w:val="single" w:sz="2" w:space="0" w:color="auto"/>
                                                  </w:divBdr>
                                                  <w:divsChild>
                                                    <w:div w:id="847716003">
                                                      <w:marLeft w:val="0"/>
                                                      <w:marRight w:val="0"/>
                                                      <w:marTop w:val="0"/>
                                                      <w:marBottom w:val="0"/>
                                                      <w:divBdr>
                                                        <w:top w:val="single" w:sz="2" w:space="0" w:color="auto"/>
                                                        <w:left w:val="single" w:sz="2" w:space="0" w:color="auto"/>
                                                        <w:bottom w:val="single" w:sz="2" w:space="0" w:color="auto"/>
                                                        <w:right w:val="single" w:sz="2" w:space="0" w:color="auto"/>
                                                      </w:divBdr>
                                                      <w:divsChild>
                                                        <w:div w:id="2117669317">
                                                          <w:marLeft w:val="0"/>
                                                          <w:marRight w:val="0"/>
                                                          <w:marTop w:val="0"/>
                                                          <w:marBottom w:val="0"/>
                                                          <w:divBdr>
                                                            <w:top w:val="single" w:sz="2" w:space="0" w:color="auto"/>
                                                            <w:left w:val="single" w:sz="2" w:space="0" w:color="auto"/>
                                                            <w:bottom w:val="single" w:sz="2" w:space="0" w:color="auto"/>
                                                            <w:right w:val="single" w:sz="2" w:space="0" w:color="auto"/>
                                                          </w:divBdr>
                                                          <w:divsChild>
                                                            <w:div w:id="21162438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76668422">
                                      <w:marLeft w:val="0"/>
                                      <w:marRight w:val="0"/>
                                      <w:marTop w:val="0"/>
                                      <w:marBottom w:val="0"/>
                                      <w:divBdr>
                                        <w:top w:val="single" w:sz="2" w:space="0" w:color="auto"/>
                                        <w:left w:val="single" w:sz="2" w:space="0" w:color="auto"/>
                                        <w:bottom w:val="single" w:sz="2" w:space="0" w:color="auto"/>
                                        <w:right w:val="single" w:sz="2" w:space="0" w:color="auto"/>
                                      </w:divBdr>
                                      <w:divsChild>
                                        <w:div w:id="581332091">
                                          <w:marLeft w:val="0"/>
                                          <w:marRight w:val="0"/>
                                          <w:marTop w:val="0"/>
                                          <w:marBottom w:val="0"/>
                                          <w:divBdr>
                                            <w:top w:val="single" w:sz="2" w:space="0" w:color="auto"/>
                                            <w:left w:val="single" w:sz="2" w:space="0" w:color="auto"/>
                                            <w:bottom w:val="single" w:sz="2" w:space="0" w:color="auto"/>
                                            <w:right w:val="single" w:sz="2" w:space="0" w:color="auto"/>
                                          </w:divBdr>
                                          <w:divsChild>
                                            <w:div w:id="799225554">
                                              <w:marLeft w:val="0"/>
                                              <w:marRight w:val="0"/>
                                              <w:marTop w:val="0"/>
                                              <w:marBottom w:val="0"/>
                                              <w:divBdr>
                                                <w:top w:val="single" w:sz="2" w:space="0" w:color="auto"/>
                                                <w:left w:val="single" w:sz="2" w:space="0" w:color="auto"/>
                                                <w:bottom w:val="single" w:sz="2" w:space="0" w:color="auto"/>
                                                <w:right w:val="single" w:sz="2" w:space="0" w:color="auto"/>
                                              </w:divBdr>
                                              <w:divsChild>
                                                <w:div w:id="409087382">
                                                  <w:marLeft w:val="0"/>
                                                  <w:marRight w:val="0"/>
                                                  <w:marTop w:val="0"/>
                                                  <w:marBottom w:val="0"/>
                                                  <w:divBdr>
                                                    <w:top w:val="single" w:sz="2" w:space="0" w:color="auto"/>
                                                    <w:left w:val="single" w:sz="2" w:space="0" w:color="auto"/>
                                                    <w:bottom w:val="single" w:sz="2" w:space="0" w:color="auto"/>
                                                    <w:right w:val="single" w:sz="2" w:space="0" w:color="auto"/>
                                                  </w:divBdr>
                                                  <w:divsChild>
                                                    <w:div w:id="549001664">
                                                      <w:marLeft w:val="0"/>
                                                      <w:marRight w:val="0"/>
                                                      <w:marTop w:val="0"/>
                                                      <w:marBottom w:val="0"/>
                                                      <w:divBdr>
                                                        <w:top w:val="single" w:sz="2" w:space="0" w:color="auto"/>
                                                        <w:left w:val="single" w:sz="2" w:space="0" w:color="auto"/>
                                                        <w:bottom w:val="single" w:sz="2" w:space="0" w:color="auto"/>
                                                        <w:right w:val="single" w:sz="2" w:space="0" w:color="auto"/>
                                                      </w:divBdr>
                                                      <w:divsChild>
                                                        <w:div w:id="211500290">
                                                          <w:marLeft w:val="0"/>
                                                          <w:marRight w:val="0"/>
                                                          <w:marTop w:val="0"/>
                                                          <w:marBottom w:val="0"/>
                                                          <w:divBdr>
                                                            <w:top w:val="single" w:sz="2" w:space="0" w:color="auto"/>
                                                            <w:left w:val="single" w:sz="2" w:space="0" w:color="auto"/>
                                                            <w:bottom w:val="single" w:sz="2" w:space="0" w:color="auto"/>
                                                            <w:right w:val="single" w:sz="2" w:space="0" w:color="auto"/>
                                                          </w:divBdr>
                                                        </w:div>
                                                      </w:divsChild>
                                                    </w:div>
                                                    <w:div w:id="2000883250">
                                                      <w:marLeft w:val="0"/>
                                                      <w:marRight w:val="0"/>
                                                      <w:marTop w:val="0"/>
                                                      <w:marBottom w:val="0"/>
                                                      <w:divBdr>
                                                        <w:top w:val="single" w:sz="2" w:space="0" w:color="auto"/>
                                                        <w:left w:val="single" w:sz="2" w:space="0" w:color="auto"/>
                                                        <w:bottom w:val="single" w:sz="2" w:space="0" w:color="auto"/>
                                                        <w:right w:val="single" w:sz="2" w:space="0" w:color="auto"/>
                                                      </w:divBdr>
                                                    </w:div>
                                                  </w:divsChild>
                                                </w:div>
                                                <w:div w:id="563179195">
                                                  <w:marLeft w:val="0"/>
                                                  <w:marRight w:val="0"/>
                                                  <w:marTop w:val="0"/>
                                                  <w:marBottom w:val="0"/>
                                                  <w:divBdr>
                                                    <w:top w:val="single" w:sz="2" w:space="0" w:color="auto"/>
                                                    <w:left w:val="single" w:sz="2" w:space="0" w:color="auto"/>
                                                    <w:bottom w:val="single" w:sz="2" w:space="0" w:color="auto"/>
                                                    <w:right w:val="single" w:sz="2" w:space="0" w:color="auto"/>
                                                  </w:divBdr>
                                                  <w:divsChild>
                                                    <w:div w:id="1601526027">
                                                      <w:marLeft w:val="0"/>
                                                      <w:marRight w:val="0"/>
                                                      <w:marTop w:val="0"/>
                                                      <w:marBottom w:val="0"/>
                                                      <w:divBdr>
                                                        <w:top w:val="none" w:sz="0" w:space="0" w:color="auto"/>
                                                        <w:left w:val="none" w:sz="0" w:space="0" w:color="auto"/>
                                                        <w:bottom w:val="none" w:sz="0" w:space="0" w:color="auto"/>
                                                        <w:right w:val="none" w:sz="0" w:space="0" w:color="auto"/>
                                                      </w:divBdr>
                                                      <w:divsChild>
                                                        <w:div w:id="19342435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97453705">
                                      <w:marLeft w:val="0"/>
                                      <w:marRight w:val="0"/>
                                      <w:marTop w:val="0"/>
                                      <w:marBottom w:val="0"/>
                                      <w:divBdr>
                                        <w:top w:val="single" w:sz="2" w:space="0" w:color="auto"/>
                                        <w:left w:val="single" w:sz="2" w:space="0" w:color="auto"/>
                                        <w:bottom w:val="single" w:sz="2" w:space="0" w:color="auto"/>
                                        <w:right w:val="single" w:sz="2" w:space="0" w:color="auto"/>
                                      </w:divBdr>
                                      <w:divsChild>
                                        <w:div w:id="1247303044">
                                          <w:marLeft w:val="0"/>
                                          <w:marRight w:val="0"/>
                                          <w:marTop w:val="0"/>
                                          <w:marBottom w:val="0"/>
                                          <w:divBdr>
                                            <w:top w:val="single" w:sz="2" w:space="0" w:color="auto"/>
                                            <w:left w:val="single" w:sz="2" w:space="0" w:color="auto"/>
                                            <w:bottom w:val="single" w:sz="2" w:space="0" w:color="auto"/>
                                            <w:right w:val="single" w:sz="2" w:space="0" w:color="auto"/>
                                          </w:divBdr>
                                          <w:divsChild>
                                            <w:div w:id="1424719376">
                                              <w:marLeft w:val="0"/>
                                              <w:marRight w:val="0"/>
                                              <w:marTop w:val="0"/>
                                              <w:marBottom w:val="0"/>
                                              <w:divBdr>
                                                <w:top w:val="single" w:sz="2" w:space="0" w:color="auto"/>
                                                <w:left w:val="single" w:sz="2" w:space="0" w:color="auto"/>
                                                <w:bottom w:val="single" w:sz="2" w:space="0" w:color="auto"/>
                                                <w:right w:val="single" w:sz="2" w:space="0" w:color="auto"/>
                                              </w:divBdr>
                                              <w:divsChild>
                                                <w:div w:id="425542607">
                                                  <w:marLeft w:val="0"/>
                                                  <w:marRight w:val="0"/>
                                                  <w:marTop w:val="0"/>
                                                  <w:marBottom w:val="0"/>
                                                  <w:divBdr>
                                                    <w:top w:val="single" w:sz="2" w:space="0" w:color="auto"/>
                                                    <w:left w:val="single" w:sz="2" w:space="0" w:color="auto"/>
                                                    <w:bottom w:val="single" w:sz="2" w:space="0" w:color="auto"/>
                                                    <w:right w:val="single" w:sz="2" w:space="0" w:color="auto"/>
                                                  </w:divBdr>
                                                  <w:divsChild>
                                                    <w:div w:id="118846046">
                                                      <w:marLeft w:val="0"/>
                                                      <w:marRight w:val="0"/>
                                                      <w:marTop w:val="0"/>
                                                      <w:marBottom w:val="0"/>
                                                      <w:divBdr>
                                                        <w:top w:val="single" w:sz="2" w:space="0" w:color="auto"/>
                                                        <w:left w:val="single" w:sz="2" w:space="0" w:color="auto"/>
                                                        <w:bottom w:val="single" w:sz="2" w:space="0" w:color="auto"/>
                                                        <w:right w:val="single" w:sz="2" w:space="0" w:color="auto"/>
                                                      </w:divBdr>
                                                      <w:divsChild>
                                                        <w:div w:id="5231760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98003228">
                                                  <w:marLeft w:val="0"/>
                                                  <w:marRight w:val="0"/>
                                                  <w:marTop w:val="0"/>
                                                  <w:marBottom w:val="0"/>
                                                  <w:divBdr>
                                                    <w:top w:val="single" w:sz="2" w:space="0" w:color="auto"/>
                                                    <w:left w:val="single" w:sz="2" w:space="0" w:color="auto"/>
                                                    <w:bottom w:val="single" w:sz="2" w:space="0" w:color="auto"/>
                                                    <w:right w:val="single" w:sz="2" w:space="0" w:color="auto"/>
                                                  </w:divBdr>
                                                  <w:divsChild>
                                                    <w:div w:id="769813034">
                                                      <w:marLeft w:val="0"/>
                                                      <w:marRight w:val="0"/>
                                                      <w:marTop w:val="0"/>
                                                      <w:marBottom w:val="0"/>
                                                      <w:divBdr>
                                                        <w:top w:val="single" w:sz="2" w:space="0" w:color="auto"/>
                                                        <w:left w:val="single" w:sz="2" w:space="0" w:color="auto"/>
                                                        <w:bottom w:val="single" w:sz="2" w:space="0" w:color="auto"/>
                                                        <w:right w:val="single" w:sz="2" w:space="0" w:color="auto"/>
                                                      </w:divBdr>
                                                      <w:divsChild>
                                                        <w:div w:id="945234591">
                                                          <w:marLeft w:val="0"/>
                                                          <w:marRight w:val="0"/>
                                                          <w:marTop w:val="0"/>
                                                          <w:marBottom w:val="0"/>
                                                          <w:divBdr>
                                                            <w:top w:val="single" w:sz="2" w:space="0" w:color="auto"/>
                                                            <w:left w:val="single" w:sz="2" w:space="0" w:color="auto"/>
                                                            <w:bottom w:val="single" w:sz="2" w:space="0" w:color="auto"/>
                                                            <w:right w:val="single" w:sz="2" w:space="0" w:color="auto"/>
                                                          </w:divBdr>
                                                          <w:divsChild>
                                                            <w:div w:id="702015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859155918">
                                      <w:marLeft w:val="0"/>
                                      <w:marRight w:val="0"/>
                                      <w:marTop w:val="0"/>
                                      <w:marBottom w:val="0"/>
                                      <w:divBdr>
                                        <w:top w:val="single" w:sz="2" w:space="0" w:color="auto"/>
                                        <w:left w:val="single" w:sz="2" w:space="0" w:color="auto"/>
                                        <w:bottom w:val="single" w:sz="2" w:space="0" w:color="auto"/>
                                        <w:right w:val="single" w:sz="2" w:space="0" w:color="auto"/>
                                      </w:divBdr>
                                      <w:divsChild>
                                        <w:div w:id="213928428">
                                          <w:marLeft w:val="0"/>
                                          <w:marRight w:val="0"/>
                                          <w:marTop w:val="0"/>
                                          <w:marBottom w:val="0"/>
                                          <w:divBdr>
                                            <w:top w:val="single" w:sz="2" w:space="0" w:color="auto"/>
                                            <w:left w:val="single" w:sz="2" w:space="0" w:color="auto"/>
                                            <w:bottom w:val="single" w:sz="2" w:space="0" w:color="auto"/>
                                            <w:right w:val="single" w:sz="2" w:space="0" w:color="auto"/>
                                          </w:divBdr>
                                          <w:divsChild>
                                            <w:div w:id="1621187684">
                                              <w:marLeft w:val="0"/>
                                              <w:marRight w:val="0"/>
                                              <w:marTop w:val="0"/>
                                              <w:marBottom w:val="0"/>
                                              <w:divBdr>
                                                <w:top w:val="single" w:sz="2" w:space="0" w:color="auto"/>
                                                <w:left w:val="single" w:sz="2" w:space="0" w:color="auto"/>
                                                <w:bottom w:val="single" w:sz="2" w:space="0" w:color="auto"/>
                                                <w:right w:val="single" w:sz="2" w:space="0" w:color="auto"/>
                                              </w:divBdr>
                                              <w:divsChild>
                                                <w:div w:id="1742019714">
                                                  <w:marLeft w:val="0"/>
                                                  <w:marRight w:val="0"/>
                                                  <w:marTop w:val="0"/>
                                                  <w:marBottom w:val="0"/>
                                                  <w:divBdr>
                                                    <w:top w:val="single" w:sz="2" w:space="0" w:color="auto"/>
                                                    <w:left w:val="single" w:sz="2" w:space="0" w:color="auto"/>
                                                    <w:bottom w:val="single" w:sz="2" w:space="0" w:color="auto"/>
                                                    <w:right w:val="single" w:sz="2" w:space="0" w:color="auto"/>
                                                  </w:divBdr>
                                                  <w:divsChild>
                                                    <w:div w:id="2027322309">
                                                      <w:marLeft w:val="0"/>
                                                      <w:marRight w:val="0"/>
                                                      <w:marTop w:val="0"/>
                                                      <w:marBottom w:val="0"/>
                                                      <w:divBdr>
                                                        <w:top w:val="single" w:sz="2" w:space="0" w:color="auto"/>
                                                        <w:left w:val="single" w:sz="2" w:space="0" w:color="auto"/>
                                                        <w:bottom w:val="single" w:sz="2" w:space="0" w:color="auto"/>
                                                        <w:right w:val="single" w:sz="2" w:space="0" w:color="auto"/>
                                                      </w:divBdr>
                                                      <w:divsChild>
                                                        <w:div w:id="538324685">
                                                          <w:marLeft w:val="0"/>
                                                          <w:marRight w:val="0"/>
                                                          <w:marTop w:val="0"/>
                                                          <w:marBottom w:val="0"/>
                                                          <w:divBdr>
                                                            <w:top w:val="single" w:sz="2" w:space="0" w:color="auto"/>
                                                            <w:left w:val="single" w:sz="2" w:space="0" w:color="auto"/>
                                                            <w:bottom w:val="single" w:sz="2" w:space="0" w:color="auto"/>
                                                            <w:right w:val="single" w:sz="2" w:space="0" w:color="auto"/>
                                                          </w:divBdr>
                                                        </w:div>
                                                      </w:divsChild>
                                                    </w:div>
                                                    <w:div w:id="1635866890">
                                                      <w:marLeft w:val="0"/>
                                                      <w:marRight w:val="0"/>
                                                      <w:marTop w:val="0"/>
                                                      <w:marBottom w:val="0"/>
                                                      <w:divBdr>
                                                        <w:top w:val="single" w:sz="2" w:space="0" w:color="auto"/>
                                                        <w:left w:val="single" w:sz="2" w:space="0" w:color="auto"/>
                                                        <w:bottom w:val="single" w:sz="2" w:space="0" w:color="auto"/>
                                                        <w:right w:val="single" w:sz="2" w:space="0" w:color="auto"/>
                                                      </w:divBdr>
                                                    </w:div>
                                                  </w:divsChild>
                                                </w:div>
                                                <w:div w:id="2120488223">
                                                  <w:marLeft w:val="0"/>
                                                  <w:marRight w:val="0"/>
                                                  <w:marTop w:val="0"/>
                                                  <w:marBottom w:val="0"/>
                                                  <w:divBdr>
                                                    <w:top w:val="single" w:sz="2" w:space="0" w:color="auto"/>
                                                    <w:left w:val="single" w:sz="2" w:space="0" w:color="auto"/>
                                                    <w:bottom w:val="single" w:sz="2" w:space="0" w:color="auto"/>
                                                    <w:right w:val="single" w:sz="2" w:space="0" w:color="auto"/>
                                                  </w:divBdr>
                                                  <w:divsChild>
                                                    <w:div w:id="1648047585">
                                                      <w:marLeft w:val="0"/>
                                                      <w:marRight w:val="0"/>
                                                      <w:marTop w:val="0"/>
                                                      <w:marBottom w:val="0"/>
                                                      <w:divBdr>
                                                        <w:top w:val="none" w:sz="0" w:space="0" w:color="auto"/>
                                                        <w:left w:val="none" w:sz="0" w:space="0" w:color="auto"/>
                                                        <w:bottom w:val="none" w:sz="0" w:space="0" w:color="auto"/>
                                                        <w:right w:val="none" w:sz="0" w:space="0" w:color="auto"/>
                                                      </w:divBdr>
                                                      <w:divsChild>
                                                        <w:div w:id="8225478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336541268">
                                      <w:marLeft w:val="0"/>
                                      <w:marRight w:val="0"/>
                                      <w:marTop w:val="0"/>
                                      <w:marBottom w:val="0"/>
                                      <w:divBdr>
                                        <w:top w:val="single" w:sz="2" w:space="0" w:color="auto"/>
                                        <w:left w:val="single" w:sz="2" w:space="0" w:color="auto"/>
                                        <w:bottom w:val="single" w:sz="2" w:space="0" w:color="auto"/>
                                        <w:right w:val="single" w:sz="2" w:space="0" w:color="auto"/>
                                      </w:divBdr>
                                      <w:divsChild>
                                        <w:div w:id="1622489152">
                                          <w:marLeft w:val="0"/>
                                          <w:marRight w:val="0"/>
                                          <w:marTop w:val="0"/>
                                          <w:marBottom w:val="0"/>
                                          <w:divBdr>
                                            <w:top w:val="single" w:sz="2" w:space="0" w:color="auto"/>
                                            <w:left w:val="single" w:sz="2" w:space="0" w:color="auto"/>
                                            <w:bottom w:val="single" w:sz="2" w:space="0" w:color="auto"/>
                                            <w:right w:val="single" w:sz="2" w:space="0" w:color="auto"/>
                                          </w:divBdr>
                                          <w:divsChild>
                                            <w:div w:id="656689693">
                                              <w:marLeft w:val="0"/>
                                              <w:marRight w:val="0"/>
                                              <w:marTop w:val="0"/>
                                              <w:marBottom w:val="0"/>
                                              <w:divBdr>
                                                <w:top w:val="single" w:sz="2" w:space="0" w:color="auto"/>
                                                <w:left w:val="single" w:sz="2" w:space="0" w:color="auto"/>
                                                <w:bottom w:val="single" w:sz="2" w:space="0" w:color="auto"/>
                                                <w:right w:val="single" w:sz="2" w:space="0" w:color="auto"/>
                                              </w:divBdr>
                                              <w:divsChild>
                                                <w:div w:id="1440952683">
                                                  <w:marLeft w:val="0"/>
                                                  <w:marRight w:val="0"/>
                                                  <w:marTop w:val="0"/>
                                                  <w:marBottom w:val="0"/>
                                                  <w:divBdr>
                                                    <w:top w:val="single" w:sz="2" w:space="0" w:color="auto"/>
                                                    <w:left w:val="single" w:sz="2" w:space="0" w:color="auto"/>
                                                    <w:bottom w:val="single" w:sz="2" w:space="0" w:color="auto"/>
                                                    <w:right w:val="single" w:sz="2" w:space="0" w:color="auto"/>
                                                  </w:divBdr>
                                                  <w:divsChild>
                                                    <w:div w:id="2128236412">
                                                      <w:marLeft w:val="0"/>
                                                      <w:marRight w:val="0"/>
                                                      <w:marTop w:val="0"/>
                                                      <w:marBottom w:val="0"/>
                                                      <w:divBdr>
                                                        <w:top w:val="single" w:sz="2" w:space="0" w:color="auto"/>
                                                        <w:left w:val="single" w:sz="2" w:space="0" w:color="auto"/>
                                                        <w:bottom w:val="single" w:sz="2" w:space="0" w:color="auto"/>
                                                        <w:right w:val="single" w:sz="2" w:space="0" w:color="auto"/>
                                                      </w:divBdr>
                                                      <w:divsChild>
                                                        <w:div w:id="20696414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15943924">
                                                  <w:marLeft w:val="0"/>
                                                  <w:marRight w:val="0"/>
                                                  <w:marTop w:val="0"/>
                                                  <w:marBottom w:val="0"/>
                                                  <w:divBdr>
                                                    <w:top w:val="single" w:sz="2" w:space="0" w:color="auto"/>
                                                    <w:left w:val="single" w:sz="2" w:space="0" w:color="auto"/>
                                                    <w:bottom w:val="single" w:sz="2" w:space="0" w:color="auto"/>
                                                    <w:right w:val="single" w:sz="2" w:space="0" w:color="auto"/>
                                                  </w:divBdr>
                                                  <w:divsChild>
                                                    <w:div w:id="1774284880">
                                                      <w:marLeft w:val="0"/>
                                                      <w:marRight w:val="0"/>
                                                      <w:marTop w:val="0"/>
                                                      <w:marBottom w:val="0"/>
                                                      <w:divBdr>
                                                        <w:top w:val="single" w:sz="2" w:space="0" w:color="auto"/>
                                                        <w:left w:val="single" w:sz="2" w:space="0" w:color="auto"/>
                                                        <w:bottom w:val="single" w:sz="2" w:space="0" w:color="auto"/>
                                                        <w:right w:val="single" w:sz="2" w:space="0" w:color="auto"/>
                                                      </w:divBdr>
                                                      <w:divsChild>
                                                        <w:div w:id="775291563">
                                                          <w:marLeft w:val="0"/>
                                                          <w:marRight w:val="0"/>
                                                          <w:marTop w:val="0"/>
                                                          <w:marBottom w:val="0"/>
                                                          <w:divBdr>
                                                            <w:top w:val="single" w:sz="2" w:space="0" w:color="auto"/>
                                                            <w:left w:val="single" w:sz="2" w:space="0" w:color="auto"/>
                                                            <w:bottom w:val="single" w:sz="2" w:space="0" w:color="auto"/>
                                                            <w:right w:val="single" w:sz="2" w:space="0" w:color="auto"/>
                                                          </w:divBdr>
                                                          <w:divsChild>
                                                            <w:div w:id="15591254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135414432">
                                      <w:marLeft w:val="0"/>
                                      <w:marRight w:val="0"/>
                                      <w:marTop w:val="0"/>
                                      <w:marBottom w:val="0"/>
                                      <w:divBdr>
                                        <w:top w:val="single" w:sz="2" w:space="0" w:color="auto"/>
                                        <w:left w:val="single" w:sz="2" w:space="0" w:color="auto"/>
                                        <w:bottom w:val="single" w:sz="2" w:space="0" w:color="auto"/>
                                        <w:right w:val="single" w:sz="2" w:space="0" w:color="auto"/>
                                      </w:divBdr>
                                      <w:divsChild>
                                        <w:div w:id="352003823">
                                          <w:marLeft w:val="0"/>
                                          <w:marRight w:val="0"/>
                                          <w:marTop w:val="0"/>
                                          <w:marBottom w:val="0"/>
                                          <w:divBdr>
                                            <w:top w:val="single" w:sz="2" w:space="0" w:color="auto"/>
                                            <w:left w:val="single" w:sz="2" w:space="0" w:color="auto"/>
                                            <w:bottom w:val="single" w:sz="2" w:space="0" w:color="auto"/>
                                            <w:right w:val="single" w:sz="2" w:space="0" w:color="auto"/>
                                          </w:divBdr>
                                          <w:divsChild>
                                            <w:div w:id="594752593">
                                              <w:marLeft w:val="0"/>
                                              <w:marRight w:val="0"/>
                                              <w:marTop w:val="0"/>
                                              <w:marBottom w:val="0"/>
                                              <w:divBdr>
                                                <w:top w:val="single" w:sz="2" w:space="0" w:color="auto"/>
                                                <w:left w:val="single" w:sz="2" w:space="0" w:color="auto"/>
                                                <w:bottom w:val="single" w:sz="2" w:space="0" w:color="auto"/>
                                                <w:right w:val="single" w:sz="2" w:space="0" w:color="auto"/>
                                              </w:divBdr>
                                              <w:divsChild>
                                                <w:div w:id="2017343937">
                                                  <w:marLeft w:val="0"/>
                                                  <w:marRight w:val="0"/>
                                                  <w:marTop w:val="0"/>
                                                  <w:marBottom w:val="0"/>
                                                  <w:divBdr>
                                                    <w:top w:val="single" w:sz="2" w:space="0" w:color="auto"/>
                                                    <w:left w:val="single" w:sz="2" w:space="0" w:color="auto"/>
                                                    <w:bottom w:val="single" w:sz="2" w:space="0" w:color="auto"/>
                                                    <w:right w:val="single" w:sz="2" w:space="0" w:color="auto"/>
                                                  </w:divBdr>
                                                  <w:divsChild>
                                                    <w:div w:id="1356156291">
                                                      <w:marLeft w:val="0"/>
                                                      <w:marRight w:val="0"/>
                                                      <w:marTop w:val="0"/>
                                                      <w:marBottom w:val="0"/>
                                                      <w:divBdr>
                                                        <w:top w:val="single" w:sz="2" w:space="0" w:color="auto"/>
                                                        <w:left w:val="single" w:sz="2" w:space="0" w:color="auto"/>
                                                        <w:bottom w:val="single" w:sz="2" w:space="0" w:color="auto"/>
                                                        <w:right w:val="single" w:sz="2" w:space="0" w:color="auto"/>
                                                      </w:divBdr>
                                                      <w:divsChild>
                                                        <w:div w:id="1096444834">
                                                          <w:marLeft w:val="0"/>
                                                          <w:marRight w:val="0"/>
                                                          <w:marTop w:val="0"/>
                                                          <w:marBottom w:val="0"/>
                                                          <w:divBdr>
                                                            <w:top w:val="single" w:sz="2" w:space="0" w:color="auto"/>
                                                            <w:left w:val="single" w:sz="2" w:space="0" w:color="auto"/>
                                                            <w:bottom w:val="single" w:sz="2" w:space="0" w:color="auto"/>
                                                            <w:right w:val="single" w:sz="2" w:space="0" w:color="auto"/>
                                                          </w:divBdr>
                                                        </w:div>
                                                      </w:divsChild>
                                                    </w:div>
                                                    <w:div w:id="675158995">
                                                      <w:marLeft w:val="0"/>
                                                      <w:marRight w:val="0"/>
                                                      <w:marTop w:val="0"/>
                                                      <w:marBottom w:val="0"/>
                                                      <w:divBdr>
                                                        <w:top w:val="single" w:sz="2" w:space="0" w:color="auto"/>
                                                        <w:left w:val="single" w:sz="2" w:space="0" w:color="auto"/>
                                                        <w:bottom w:val="single" w:sz="2" w:space="0" w:color="auto"/>
                                                        <w:right w:val="single" w:sz="2" w:space="0" w:color="auto"/>
                                                      </w:divBdr>
                                                    </w:div>
                                                  </w:divsChild>
                                                </w:div>
                                                <w:div w:id="1933666345">
                                                  <w:marLeft w:val="0"/>
                                                  <w:marRight w:val="0"/>
                                                  <w:marTop w:val="0"/>
                                                  <w:marBottom w:val="0"/>
                                                  <w:divBdr>
                                                    <w:top w:val="single" w:sz="2" w:space="0" w:color="auto"/>
                                                    <w:left w:val="single" w:sz="2" w:space="0" w:color="auto"/>
                                                    <w:bottom w:val="single" w:sz="2" w:space="0" w:color="auto"/>
                                                    <w:right w:val="single" w:sz="2" w:space="0" w:color="auto"/>
                                                  </w:divBdr>
                                                  <w:divsChild>
                                                    <w:div w:id="73282213">
                                                      <w:marLeft w:val="0"/>
                                                      <w:marRight w:val="0"/>
                                                      <w:marTop w:val="0"/>
                                                      <w:marBottom w:val="0"/>
                                                      <w:divBdr>
                                                        <w:top w:val="none" w:sz="0" w:space="0" w:color="auto"/>
                                                        <w:left w:val="none" w:sz="0" w:space="0" w:color="auto"/>
                                                        <w:bottom w:val="none" w:sz="0" w:space="0" w:color="auto"/>
                                                        <w:right w:val="none" w:sz="0" w:space="0" w:color="auto"/>
                                                      </w:divBdr>
                                                      <w:divsChild>
                                                        <w:div w:id="9286587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43091996">
                                      <w:marLeft w:val="0"/>
                                      <w:marRight w:val="0"/>
                                      <w:marTop w:val="0"/>
                                      <w:marBottom w:val="0"/>
                                      <w:divBdr>
                                        <w:top w:val="single" w:sz="2" w:space="0" w:color="auto"/>
                                        <w:left w:val="single" w:sz="2" w:space="0" w:color="auto"/>
                                        <w:bottom w:val="single" w:sz="2" w:space="0" w:color="auto"/>
                                        <w:right w:val="single" w:sz="2" w:space="0" w:color="auto"/>
                                      </w:divBdr>
                                      <w:divsChild>
                                        <w:div w:id="998266125">
                                          <w:marLeft w:val="0"/>
                                          <w:marRight w:val="0"/>
                                          <w:marTop w:val="0"/>
                                          <w:marBottom w:val="0"/>
                                          <w:divBdr>
                                            <w:top w:val="single" w:sz="2" w:space="0" w:color="auto"/>
                                            <w:left w:val="single" w:sz="2" w:space="0" w:color="auto"/>
                                            <w:bottom w:val="single" w:sz="2" w:space="0" w:color="auto"/>
                                            <w:right w:val="single" w:sz="2" w:space="0" w:color="auto"/>
                                          </w:divBdr>
                                          <w:divsChild>
                                            <w:div w:id="904340991">
                                              <w:marLeft w:val="0"/>
                                              <w:marRight w:val="0"/>
                                              <w:marTop w:val="0"/>
                                              <w:marBottom w:val="0"/>
                                              <w:divBdr>
                                                <w:top w:val="single" w:sz="2" w:space="0" w:color="auto"/>
                                                <w:left w:val="single" w:sz="2" w:space="0" w:color="auto"/>
                                                <w:bottom w:val="single" w:sz="2" w:space="0" w:color="auto"/>
                                                <w:right w:val="single" w:sz="2" w:space="0" w:color="auto"/>
                                              </w:divBdr>
                                              <w:divsChild>
                                                <w:div w:id="426120879">
                                                  <w:marLeft w:val="0"/>
                                                  <w:marRight w:val="0"/>
                                                  <w:marTop w:val="0"/>
                                                  <w:marBottom w:val="0"/>
                                                  <w:divBdr>
                                                    <w:top w:val="single" w:sz="2" w:space="0" w:color="auto"/>
                                                    <w:left w:val="single" w:sz="2" w:space="0" w:color="auto"/>
                                                    <w:bottom w:val="single" w:sz="2" w:space="0" w:color="auto"/>
                                                    <w:right w:val="single" w:sz="2" w:space="0" w:color="auto"/>
                                                  </w:divBdr>
                                                  <w:divsChild>
                                                    <w:div w:id="1625498724">
                                                      <w:marLeft w:val="0"/>
                                                      <w:marRight w:val="0"/>
                                                      <w:marTop w:val="0"/>
                                                      <w:marBottom w:val="0"/>
                                                      <w:divBdr>
                                                        <w:top w:val="single" w:sz="2" w:space="0" w:color="auto"/>
                                                        <w:left w:val="single" w:sz="2" w:space="0" w:color="auto"/>
                                                        <w:bottom w:val="single" w:sz="2" w:space="0" w:color="auto"/>
                                                        <w:right w:val="single" w:sz="2" w:space="0" w:color="auto"/>
                                                      </w:divBdr>
                                                      <w:divsChild>
                                                        <w:div w:id="1920139583">
                                                          <w:marLeft w:val="0"/>
                                                          <w:marRight w:val="0"/>
                                                          <w:marTop w:val="0"/>
                                                          <w:marBottom w:val="0"/>
                                                          <w:divBdr>
                                                            <w:top w:val="single" w:sz="2" w:space="0" w:color="auto"/>
                                                            <w:left w:val="single" w:sz="2" w:space="0" w:color="auto"/>
                                                            <w:bottom w:val="single" w:sz="2" w:space="0" w:color="auto"/>
                                                            <w:right w:val="single" w:sz="2" w:space="0" w:color="auto"/>
                                                          </w:divBdr>
                                                        </w:div>
                                                      </w:divsChild>
                                                    </w:div>
                                                    <w:div w:id="1835142142">
                                                      <w:marLeft w:val="0"/>
                                                      <w:marRight w:val="0"/>
                                                      <w:marTop w:val="0"/>
                                                      <w:marBottom w:val="0"/>
                                                      <w:divBdr>
                                                        <w:top w:val="single" w:sz="2" w:space="0" w:color="auto"/>
                                                        <w:left w:val="single" w:sz="2" w:space="0" w:color="auto"/>
                                                        <w:bottom w:val="single" w:sz="2" w:space="0" w:color="auto"/>
                                                        <w:right w:val="single" w:sz="2" w:space="0" w:color="auto"/>
                                                      </w:divBdr>
                                                      <w:divsChild>
                                                        <w:div w:id="1492133270">
                                                          <w:marLeft w:val="0"/>
                                                          <w:marRight w:val="0"/>
                                                          <w:marTop w:val="0"/>
                                                          <w:marBottom w:val="0"/>
                                                          <w:divBdr>
                                                            <w:top w:val="single" w:sz="2" w:space="0" w:color="auto"/>
                                                            <w:left w:val="single" w:sz="2" w:space="0" w:color="auto"/>
                                                            <w:bottom w:val="single" w:sz="2" w:space="0" w:color="auto"/>
                                                            <w:right w:val="single" w:sz="2" w:space="0" w:color="auto"/>
                                                          </w:divBdr>
                                                          <w:divsChild>
                                                            <w:div w:id="1311598391">
                                                              <w:marLeft w:val="0"/>
                                                              <w:marRight w:val="0"/>
                                                              <w:marTop w:val="0"/>
                                                              <w:marBottom w:val="0"/>
                                                              <w:divBdr>
                                                                <w:top w:val="single" w:sz="2" w:space="0" w:color="auto"/>
                                                                <w:left w:val="single" w:sz="2" w:space="0" w:color="auto"/>
                                                                <w:bottom w:val="single" w:sz="2" w:space="0" w:color="auto"/>
                                                                <w:right w:val="single" w:sz="2" w:space="0" w:color="auto"/>
                                                              </w:divBdr>
                                                              <w:divsChild>
                                                                <w:div w:id="554124620">
                                                                  <w:marLeft w:val="0"/>
                                                                  <w:marRight w:val="0"/>
                                                                  <w:marTop w:val="0"/>
                                                                  <w:marBottom w:val="0"/>
                                                                  <w:divBdr>
                                                                    <w:top w:val="single" w:sz="2" w:space="0" w:color="auto"/>
                                                                    <w:left w:val="single" w:sz="2" w:space="0" w:color="auto"/>
                                                                    <w:bottom w:val="single" w:sz="2" w:space="0" w:color="auto"/>
                                                                    <w:right w:val="single" w:sz="2" w:space="0" w:color="auto"/>
                                                                  </w:divBdr>
                                                                </w:div>
                                                                <w:div w:id="361902779">
                                                                  <w:marLeft w:val="0"/>
                                                                  <w:marRight w:val="0"/>
                                                                  <w:marTop w:val="0"/>
                                                                  <w:marBottom w:val="0"/>
                                                                  <w:divBdr>
                                                                    <w:top w:val="single" w:sz="2" w:space="0" w:color="auto"/>
                                                                    <w:left w:val="single" w:sz="2" w:space="0" w:color="auto"/>
                                                                    <w:bottom w:val="single" w:sz="2" w:space="0" w:color="auto"/>
                                                                    <w:right w:val="single" w:sz="2" w:space="0" w:color="auto"/>
                                                                  </w:divBdr>
                                                                </w:div>
                                                              </w:divsChild>
                                                            </w:div>
                                                            <w:div w:id="520364567">
                                                              <w:marLeft w:val="0"/>
                                                              <w:marRight w:val="0"/>
                                                              <w:marTop w:val="0"/>
                                                              <w:marBottom w:val="0"/>
                                                              <w:divBdr>
                                                                <w:top w:val="single" w:sz="2" w:space="0" w:color="auto"/>
                                                                <w:left w:val="single" w:sz="2" w:space="0" w:color="auto"/>
                                                                <w:bottom w:val="single" w:sz="2" w:space="0" w:color="auto"/>
                                                                <w:right w:val="single" w:sz="2" w:space="0" w:color="auto"/>
                                                              </w:divBdr>
                                                              <w:divsChild>
                                                                <w:div w:id="152000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399947">
                                                  <w:marLeft w:val="0"/>
                                                  <w:marRight w:val="0"/>
                                                  <w:marTop w:val="0"/>
                                                  <w:marBottom w:val="0"/>
                                                  <w:divBdr>
                                                    <w:top w:val="single" w:sz="2" w:space="0" w:color="auto"/>
                                                    <w:left w:val="single" w:sz="2" w:space="0" w:color="auto"/>
                                                    <w:bottom w:val="single" w:sz="2" w:space="0" w:color="auto"/>
                                                    <w:right w:val="single" w:sz="2" w:space="0" w:color="auto"/>
                                                  </w:divBdr>
                                                  <w:divsChild>
                                                    <w:div w:id="1970279330">
                                                      <w:marLeft w:val="0"/>
                                                      <w:marRight w:val="0"/>
                                                      <w:marTop w:val="0"/>
                                                      <w:marBottom w:val="0"/>
                                                      <w:divBdr>
                                                        <w:top w:val="single" w:sz="2" w:space="0" w:color="auto"/>
                                                        <w:left w:val="single" w:sz="2" w:space="0" w:color="auto"/>
                                                        <w:bottom w:val="single" w:sz="2" w:space="0" w:color="auto"/>
                                                        <w:right w:val="single" w:sz="2" w:space="0" w:color="auto"/>
                                                      </w:divBdr>
                                                      <w:divsChild>
                                                        <w:div w:id="2108883154">
                                                          <w:marLeft w:val="0"/>
                                                          <w:marRight w:val="0"/>
                                                          <w:marTop w:val="0"/>
                                                          <w:marBottom w:val="0"/>
                                                          <w:divBdr>
                                                            <w:top w:val="single" w:sz="2" w:space="0" w:color="auto"/>
                                                            <w:left w:val="single" w:sz="2" w:space="0" w:color="auto"/>
                                                            <w:bottom w:val="single" w:sz="2" w:space="0" w:color="auto"/>
                                                            <w:right w:val="single" w:sz="2" w:space="0" w:color="auto"/>
                                                          </w:divBdr>
                                                          <w:divsChild>
                                                            <w:div w:id="9163556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78531003">
                                      <w:marLeft w:val="0"/>
                                      <w:marRight w:val="0"/>
                                      <w:marTop w:val="0"/>
                                      <w:marBottom w:val="0"/>
                                      <w:divBdr>
                                        <w:top w:val="single" w:sz="2" w:space="0" w:color="auto"/>
                                        <w:left w:val="single" w:sz="2" w:space="0" w:color="auto"/>
                                        <w:bottom w:val="single" w:sz="2" w:space="0" w:color="auto"/>
                                        <w:right w:val="single" w:sz="2" w:space="0" w:color="auto"/>
                                      </w:divBdr>
                                      <w:divsChild>
                                        <w:div w:id="525483375">
                                          <w:marLeft w:val="0"/>
                                          <w:marRight w:val="0"/>
                                          <w:marTop w:val="0"/>
                                          <w:marBottom w:val="0"/>
                                          <w:divBdr>
                                            <w:top w:val="single" w:sz="2" w:space="0" w:color="auto"/>
                                            <w:left w:val="single" w:sz="2" w:space="0" w:color="auto"/>
                                            <w:bottom w:val="single" w:sz="2" w:space="0" w:color="auto"/>
                                            <w:right w:val="single" w:sz="2" w:space="0" w:color="auto"/>
                                          </w:divBdr>
                                          <w:divsChild>
                                            <w:div w:id="1843278712">
                                              <w:marLeft w:val="0"/>
                                              <w:marRight w:val="0"/>
                                              <w:marTop w:val="0"/>
                                              <w:marBottom w:val="0"/>
                                              <w:divBdr>
                                                <w:top w:val="single" w:sz="2" w:space="0" w:color="auto"/>
                                                <w:left w:val="single" w:sz="2" w:space="0" w:color="auto"/>
                                                <w:bottom w:val="single" w:sz="2" w:space="0" w:color="auto"/>
                                                <w:right w:val="single" w:sz="2" w:space="0" w:color="auto"/>
                                              </w:divBdr>
                                              <w:divsChild>
                                                <w:div w:id="109513598">
                                                  <w:marLeft w:val="0"/>
                                                  <w:marRight w:val="0"/>
                                                  <w:marTop w:val="0"/>
                                                  <w:marBottom w:val="0"/>
                                                  <w:divBdr>
                                                    <w:top w:val="single" w:sz="2" w:space="0" w:color="auto"/>
                                                    <w:left w:val="single" w:sz="2" w:space="0" w:color="auto"/>
                                                    <w:bottom w:val="single" w:sz="2" w:space="0" w:color="auto"/>
                                                    <w:right w:val="single" w:sz="2" w:space="0" w:color="auto"/>
                                                  </w:divBdr>
                                                  <w:divsChild>
                                                    <w:div w:id="38092830">
                                                      <w:marLeft w:val="0"/>
                                                      <w:marRight w:val="0"/>
                                                      <w:marTop w:val="0"/>
                                                      <w:marBottom w:val="0"/>
                                                      <w:divBdr>
                                                        <w:top w:val="single" w:sz="2" w:space="0" w:color="auto"/>
                                                        <w:left w:val="single" w:sz="2" w:space="0" w:color="auto"/>
                                                        <w:bottom w:val="single" w:sz="2" w:space="0" w:color="auto"/>
                                                        <w:right w:val="single" w:sz="2" w:space="0" w:color="auto"/>
                                                      </w:divBdr>
                                                      <w:divsChild>
                                                        <w:div w:id="1879388557">
                                                          <w:marLeft w:val="0"/>
                                                          <w:marRight w:val="0"/>
                                                          <w:marTop w:val="0"/>
                                                          <w:marBottom w:val="0"/>
                                                          <w:divBdr>
                                                            <w:top w:val="single" w:sz="2" w:space="0" w:color="auto"/>
                                                            <w:left w:val="single" w:sz="2" w:space="0" w:color="auto"/>
                                                            <w:bottom w:val="single" w:sz="2" w:space="0" w:color="auto"/>
                                                            <w:right w:val="single" w:sz="2" w:space="0" w:color="auto"/>
                                                          </w:divBdr>
                                                        </w:div>
                                                      </w:divsChild>
                                                    </w:div>
                                                    <w:div w:id="1298412821">
                                                      <w:marLeft w:val="0"/>
                                                      <w:marRight w:val="0"/>
                                                      <w:marTop w:val="0"/>
                                                      <w:marBottom w:val="0"/>
                                                      <w:divBdr>
                                                        <w:top w:val="single" w:sz="2" w:space="0" w:color="auto"/>
                                                        <w:left w:val="single" w:sz="2" w:space="0" w:color="auto"/>
                                                        <w:bottom w:val="single" w:sz="2" w:space="0" w:color="auto"/>
                                                        <w:right w:val="single" w:sz="2" w:space="0" w:color="auto"/>
                                                      </w:divBdr>
                                                    </w:div>
                                                  </w:divsChild>
                                                </w:div>
                                                <w:div w:id="589195688">
                                                  <w:marLeft w:val="0"/>
                                                  <w:marRight w:val="0"/>
                                                  <w:marTop w:val="0"/>
                                                  <w:marBottom w:val="0"/>
                                                  <w:divBdr>
                                                    <w:top w:val="single" w:sz="2" w:space="0" w:color="auto"/>
                                                    <w:left w:val="single" w:sz="2" w:space="0" w:color="auto"/>
                                                    <w:bottom w:val="single" w:sz="2" w:space="0" w:color="auto"/>
                                                    <w:right w:val="single" w:sz="2" w:space="0" w:color="auto"/>
                                                  </w:divBdr>
                                                  <w:divsChild>
                                                    <w:div w:id="42557708">
                                                      <w:marLeft w:val="0"/>
                                                      <w:marRight w:val="0"/>
                                                      <w:marTop w:val="0"/>
                                                      <w:marBottom w:val="0"/>
                                                      <w:divBdr>
                                                        <w:top w:val="none" w:sz="0" w:space="0" w:color="auto"/>
                                                        <w:left w:val="none" w:sz="0" w:space="0" w:color="auto"/>
                                                        <w:bottom w:val="none" w:sz="0" w:space="0" w:color="auto"/>
                                                        <w:right w:val="none" w:sz="0" w:space="0" w:color="auto"/>
                                                      </w:divBdr>
                                                      <w:divsChild>
                                                        <w:div w:id="15592415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309286694">
                                      <w:marLeft w:val="0"/>
                                      <w:marRight w:val="0"/>
                                      <w:marTop w:val="0"/>
                                      <w:marBottom w:val="0"/>
                                      <w:divBdr>
                                        <w:top w:val="single" w:sz="2" w:space="0" w:color="auto"/>
                                        <w:left w:val="single" w:sz="2" w:space="0" w:color="auto"/>
                                        <w:bottom w:val="single" w:sz="2" w:space="0" w:color="auto"/>
                                        <w:right w:val="single" w:sz="2" w:space="0" w:color="auto"/>
                                      </w:divBdr>
                                      <w:divsChild>
                                        <w:div w:id="1231497716">
                                          <w:marLeft w:val="0"/>
                                          <w:marRight w:val="0"/>
                                          <w:marTop w:val="0"/>
                                          <w:marBottom w:val="0"/>
                                          <w:divBdr>
                                            <w:top w:val="single" w:sz="2" w:space="0" w:color="auto"/>
                                            <w:left w:val="single" w:sz="2" w:space="0" w:color="auto"/>
                                            <w:bottom w:val="single" w:sz="2" w:space="0" w:color="auto"/>
                                            <w:right w:val="single" w:sz="2" w:space="0" w:color="auto"/>
                                          </w:divBdr>
                                          <w:divsChild>
                                            <w:div w:id="164907929">
                                              <w:marLeft w:val="0"/>
                                              <w:marRight w:val="0"/>
                                              <w:marTop w:val="0"/>
                                              <w:marBottom w:val="0"/>
                                              <w:divBdr>
                                                <w:top w:val="single" w:sz="2" w:space="0" w:color="auto"/>
                                                <w:left w:val="single" w:sz="2" w:space="0" w:color="auto"/>
                                                <w:bottom w:val="single" w:sz="2" w:space="0" w:color="auto"/>
                                                <w:right w:val="single" w:sz="2" w:space="0" w:color="auto"/>
                                              </w:divBdr>
                                              <w:divsChild>
                                                <w:div w:id="370233037">
                                                  <w:marLeft w:val="0"/>
                                                  <w:marRight w:val="0"/>
                                                  <w:marTop w:val="0"/>
                                                  <w:marBottom w:val="0"/>
                                                  <w:divBdr>
                                                    <w:top w:val="single" w:sz="2" w:space="0" w:color="auto"/>
                                                    <w:left w:val="single" w:sz="2" w:space="0" w:color="auto"/>
                                                    <w:bottom w:val="single" w:sz="2" w:space="0" w:color="auto"/>
                                                    <w:right w:val="single" w:sz="2" w:space="0" w:color="auto"/>
                                                  </w:divBdr>
                                                  <w:divsChild>
                                                    <w:div w:id="1531069805">
                                                      <w:marLeft w:val="0"/>
                                                      <w:marRight w:val="0"/>
                                                      <w:marTop w:val="0"/>
                                                      <w:marBottom w:val="0"/>
                                                      <w:divBdr>
                                                        <w:top w:val="single" w:sz="2" w:space="0" w:color="auto"/>
                                                        <w:left w:val="single" w:sz="2" w:space="0" w:color="auto"/>
                                                        <w:bottom w:val="single" w:sz="2" w:space="0" w:color="auto"/>
                                                        <w:right w:val="single" w:sz="2" w:space="0" w:color="auto"/>
                                                      </w:divBdr>
                                                      <w:divsChild>
                                                        <w:div w:id="1530218210">
                                                          <w:marLeft w:val="0"/>
                                                          <w:marRight w:val="0"/>
                                                          <w:marTop w:val="0"/>
                                                          <w:marBottom w:val="0"/>
                                                          <w:divBdr>
                                                            <w:top w:val="single" w:sz="2" w:space="0" w:color="auto"/>
                                                            <w:left w:val="single" w:sz="2" w:space="0" w:color="auto"/>
                                                            <w:bottom w:val="single" w:sz="2" w:space="0" w:color="auto"/>
                                                            <w:right w:val="single" w:sz="2" w:space="0" w:color="auto"/>
                                                          </w:divBdr>
                                                          <w:divsChild>
                                                            <w:div w:id="2098745349">
                                                              <w:marLeft w:val="0"/>
                                                              <w:marRight w:val="0"/>
                                                              <w:marTop w:val="0"/>
                                                              <w:marBottom w:val="0"/>
                                                              <w:divBdr>
                                                                <w:top w:val="single" w:sz="2" w:space="0" w:color="auto"/>
                                                                <w:left w:val="single" w:sz="2" w:space="0" w:color="auto"/>
                                                                <w:bottom w:val="single" w:sz="2" w:space="0" w:color="auto"/>
                                                                <w:right w:val="single" w:sz="2" w:space="0" w:color="auto"/>
                                                              </w:divBdr>
                                                              <w:divsChild>
                                                                <w:div w:id="116340876">
                                                                  <w:marLeft w:val="0"/>
                                                                  <w:marRight w:val="0"/>
                                                                  <w:marTop w:val="0"/>
                                                                  <w:marBottom w:val="0"/>
                                                                  <w:divBdr>
                                                                    <w:top w:val="single" w:sz="2" w:space="0" w:color="auto"/>
                                                                    <w:left w:val="single" w:sz="2" w:space="0" w:color="auto"/>
                                                                    <w:bottom w:val="single" w:sz="2" w:space="0" w:color="auto"/>
                                                                    <w:right w:val="single" w:sz="2" w:space="0" w:color="auto"/>
                                                                  </w:divBdr>
                                                                </w:div>
                                                                <w:div w:id="2094426803">
                                                                  <w:marLeft w:val="0"/>
                                                                  <w:marRight w:val="0"/>
                                                                  <w:marTop w:val="0"/>
                                                                  <w:marBottom w:val="0"/>
                                                                  <w:divBdr>
                                                                    <w:top w:val="single" w:sz="2" w:space="0" w:color="auto"/>
                                                                    <w:left w:val="single" w:sz="2" w:space="0" w:color="auto"/>
                                                                    <w:bottom w:val="single" w:sz="2" w:space="0" w:color="auto"/>
                                                                    <w:right w:val="single" w:sz="2" w:space="0" w:color="auto"/>
                                                                  </w:divBdr>
                                                                </w:div>
                                                              </w:divsChild>
                                                            </w:div>
                                                            <w:div w:id="1287548157">
                                                              <w:marLeft w:val="0"/>
                                                              <w:marRight w:val="0"/>
                                                              <w:marTop w:val="0"/>
                                                              <w:marBottom w:val="0"/>
                                                              <w:divBdr>
                                                                <w:top w:val="single" w:sz="2" w:space="0" w:color="auto"/>
                                                                <w:left w:val="single" w:sz="2" w:space="0" w:color="auto"/>
                                                                <w:bottom w:val="single" w:sz="2" w:space="0" w:color="auto"/>
                                                                <w:right w:val="single" w:sz="2" w:space="0" w:color="auto"/>
                                                              </w:divBdr>
                                                              <w:divsChild>
                                                                <w:div w:id="181910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423995">
                                                      <w:marLeft w:val="0"/>
                                                      <w:marRight w:val="0"/>
                                                      <w:marTop w:val="0"/>
                                                      <w:marBottom w:val="0"/>
                                                      <w:divBdr>
                                                        <w:top w:val="single" w:sz="2" w:space="0" w:color="auto"/>
                                                        <w:left w:val="single" w:sz="2" w:space="0" w:color="auto"/>
                                                        <w:bottom w:val="single" w:sz="2" w:space="0" w:color="auto"/>
                                                        <w:right w:val="single" w:sz="2" w:space="0" w:color="auto"/>
                                                      </w:divBdr>
                                                      <w:divsChild>
                                                        <w:div w:id="1676683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85933303">
                                                  <w:marLeft w:val="0"/>
                                                  <w:marRight w:val="0"/>
                                                  <w:marTop w:val="0"/>
                                                  <w:marBottom w:val="0"/>
                                                  <w:divBdr>
                                                    <w:top w:val="single" w:sz="2" w:space="0" w:color="auto"/>
                                                    <w:left w:val="single" w:sz="2" w:space="0" w:color="auto"/>
                                                    <w:bottom w:val="single" w:sz="2" w:space="0" w:color="auto"/>
                                                    <w:right w:val="single" w:sz="2" w:space="0" w:color="auto"/>
                                                  </w:divBdr>
                                                  <w:divsChild>
                                                    <w:div w:id="1375344576">
                                                      <w:marLeft w:val="0"/>
                                                      <w:marRight w:val="0"/>
                                                      <w:marTop w:val="0"/>
                                                      <w:marBottom w:val="0"/>
                                                      <w:divBdr>
                                                        <w:top w:val="single" w:sz="2" w:space="0" w:color="auto"/>
                                                        <w:left w:val="single" w:sz="2" w:space="0" w:color="auto"/>
                                                        <w:bottom w:val="single" w:sz="2" w:space="0" w:color="auto"/>
                                                        <w:right w:val="single" w:sz="2" w:space="0" w:color="auto"/>
                                                      </w:divBdr>
                                                      <w:divsChild>
                                                        <w:div w:id="1906914126">
                                                          <w:marLeft w:val="0"/>
                                                          <w:marRight w:val="0"/>
                                                          <w:marTop w:val="0"/>
                                                          <w:marBottom w:val="0"/>
                                                          <w:divBdr>
                                                            <w:top w:val="single" w:sz="2" w:space="0" w:color="auto"/>
                                                            <w:left w:val="single" w:sz="2" w:space="0" w:color="auto"/>
                                                            <w:bottom w:val="single" w:sz="2" w:space="0" w:color="auto"/>
                                                            <w:right w:val="single" w:sz="2" w:space="0" w:color="auto"/>
                                                          </w:divBdr>
                                                          <w:divsChild>
                                                            <w:div w:id="6429333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27678327">
                                      <w:marLeft w:val="0"/>
                                      <w:marRight w:val="0"/>
                                      <w:marTop w:val="0"/>
                                      <w:marBottom w:val="0"/>
                                      <w:divBdr>
                                        <w:top w:val="single" w:sz="2" w:space="0" w:color="auto"/>
                                        <w:left w:val="single" w:sz="2" w:space="0" w:color="auto"/>
                                        <w:bottom w:val="single" w:sz="2" w:space="0" w:color="auto"/>
                                        <w:right w:val="single" w:sz="2" w:space="0" w:color="auto"/>
                                      </w:divBdr>
                                      <w:divsChild>
                                        <w:div w:id="912735509">
                                          <w:marLeft w:val="0"/>
                                          <w:marRight w:val="0"/>
                                          <w:marTop w:val="0"/>
                                          <w:marBottom w:val="0"/>
                                          <w:divBdr>
                                            <w:top w:val="single" w:sz="2" w:space="0" w:color="auto"/>
                                            <w:left w:val="single" w:sz="2" w:space="0" w:color="auto"/>
                                            <w:bottom w:val="single" w:sz="2" w:space="0" w:color="auto"/>
                                            <w:right w:val="single" w:sz="2" w:space="0" w:color="auto"/>
                                          </w:divBdr>
                                          <w:divsChild>
                                            <w:div w:id="19735564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914422">
                                  <w:marLeft w:val="0"/>
                                  <w:marRight w:val="0"/>
                                  <w:marTop w:val="0"/>
                                  <w:marBottom w:val="0"/>
                                  <w:divBdr>
                                    <w:top w:val="single" w:sz="2" w:space="0" w:color="auto"/>
                                    <w:left w:val="single" w:sz="2" w:space="0" w:color="auto"/>
                                    <w:bottom w:val="single" w:sz="2" w:space="0" w:color="auto"/>
                                    <w:right w:val="single" w:sz="2" w:space="0" w:color="auto"/>
                                  </w:divBdr>
                                  <w:divsChild>
                                    <w:div w:id="1700163399">
                                      <w:marLeft w:val="0"/>
                                      <w:marRight w:val="0"/>
                                      <w:marTop w:val="0"/>
                                      <w:marBottom w:val="0"/>
                                      <w:divBdr>
                                        <w:top w:val="none" w:sz="0" w:space="0" w:color="auto"/>
                                        <w:left w:val="none" w:sz="0" w:space="0" w:color="auto"/>
                                        <w:bottom w:val="none" w:sz="0" w:space="0" w:color="auto"/>
                                        <w:right w:val="none" w:sz="0" w:space="0" w:color="auto"/>
                                      </w:divBdr>
                                      <w:divsChild>
                                        <w:div w:id="1393654475">
                                          <w:marLeft w:val="0"/>
                                          <w:marRight w:val="0"/>
                                          <w:marTop w:val="0"/>
                                          <w:marBottom w:val="0"/>
                                          <w:divBdr>
                                            <w:top w:val="single" w:sz="2" w:space="0" w:color="auto"/>
                                            <w:left w:val="single" w:sz="2" w:space="0" w:color="auto"/>
                                            <w:bottom w:val="single" w:sz="2" w:space="0" w:color="auto"/>
                                            <w:right w:val="single" w:sz="2" w:space="0" w:color="auto"/>
                                          </w:divBdr>
                                          <w:divsChild>
                                            <w:div w:id="222983145">
                                              <w:marLeft w:val="0"/>
                                              <w:marRight w:val="0"/>
                                              <w:marTop w:val="0"/>
                                              <w:marBottom w:val="0"/>
                                              <w:divBdr>
                                                <w:top w:val="single" w:sz="2" w:space="0" w:color="auto"/>
                                                <w:left w:val="single" w:sz="2" w:space="0" w:color="auto"/>
                                                <w:bottom w:val="single" w:sz="2" w:space="0" w:color="auto"/>
                                                <w:right w:val="single" w:sz="2" w:space="0" w:color="auto"/>
                                              </w:divBdr>
                                              <w:divsChild>
                                                <w:div w:id="410084903">
                                                  <w:marLeft w:val="0"/>
                                                  <w:marRight w:val="0"/>
                                                  <w:marTop w:val="0"/>
                                                  <w:marBottom w:val="0"/>
                                                  <w:divBdr>
                                                    <w:top w:val="single" w:sz="2" w:space="0" w:color="auto"/>
                                                    <w:left w:val="single" w:sz="2" w:space="0" w:color="auto"/>
                                                    <w:bottom w:val="single" w:sz="2" w:space="0" w:color="auto"/>
                                                    <w:right w:val="single" w:sz="2" w:space="0" w:color="auto"/>
                                                  </w:divBdr>
                                                  <w:divsChild>
                                                    <w:div w:id="5092966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03976474">
                                              <w:marLeft w:val="0"/>
                                              <w:marRight w:val="0"/>
                                              <w:marTop w:val="0"/>
                                              <w:marBottom w:val="0"/>
                                              <w:divBdr>
                                                <w:top w:val="single" w:sz="2" w:space="0" w:color="auto"/>
                                                <w:left w:val="single" w:sz="2" w:space="0" w:color="auto"/>
                                                <w:bottom w:val="single" w:sz="2" w:space="0" w:color="auto"/>
                                                <w:right w:val="single" w:sz="2" w:space="0" w:color="auto"/>
                                              </w:divBdr>
                                              <w:divsChild>
                                                <w:div w:id="1618953833">
                                                  <w:marLeft w:val="0"/>
                                                  <w:marRight w:val="0"/>
                                                  <w:marTop w:val="0"/>
                                                  <w:marBottom w:val="0"/>
                                                  <w:divBdr>
                                                    <w:top w:val="single" w:sz="2" w:space="0" w:color="auto"/>
                                                    <w:left w:val="single" w:sz="2" w:space="0" w:color="auto"/>
                                                    <w:bottom w:val="single" w:sz="2" w:space="0" w:color="auto"/>
                                                    <w:right w:val="single" w:sz="2" w:space="0" w:color="auto"/>
                                                  </w:divBdr>
                                                  <w:divsChild>
                                                    <w:div w:id="478156027">
                                                      <w:marLeft w:val="0"/>
                                                      <w:marRight w:val="0"/>
                                                      <w:marTop w:val="0"/>
                                                      <w:marBottom w:val="0"/>
                                                      <w:divBdr>
                                                        <w:top w:val="single" w:sz="2" w:space="0" w:color="auto"/>
                                                        <w:left w:val="single" w:sz="2" w:space="0" w:color="auto"/>
                                                        <w:bottom w:val="single" w:sz="2" w:space="0" w:color="auto"/>
                                                        <w:right w:val="single" w:sz="2" w:space="0" w:color="auto"/>
                                                      </w:divBdr>
                                                      <w:divsChild>
                                                        <w:div w:id="266498720">
                                                          <w:marLeft w:val="0"/>
                                                          <w:marRight w:val="0"/>
                                                          <w:marTop w:val="0"/>
                                                          <w:marBottom w:val="0"/>
                                                          <w:divBdr>
                                                            <w:top w:val="single" w:sz="2" w:space="0" w:color="auto"/>
                                                            <w:left w:val="single" w:sz="2" w:space="0" w:color="auto"/>
                                                            <w:bottom w:val="single" w:sz="2" w:space="0" w:color="auto"/>
                                                            <w:right w:val="single" w:sz="2" w:space="0" w:color="auto"/>
                                                          </w:divBdr>
                                                          <w:divsChild>
                                                            <w:div w:id="15334906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121416992">
                      <w:marLeft w:val="0"/>
                      <w:marRight w:val="0"/>
                      <w:marTop w:val="0"/>
                      <w:marBottom w:val="0"/>
                      <w:divBdr>
                        <w:top w:val="single" w:sz="2" w:space="0" w:color="auto"/>
                        <w:left w:val="single" w:sz="2" w:space="0" w:color="auto"/>
                        <w:bottom w:val="single" w:sz="2" w:space="0" w:color="auto"/>
                        <w:right w:val="single" w:sz="2" w:space="0" w:color="auto"/>
                      </w:divBdr>
                      <w:divsChild>
                        <w:div w:id="1995333020">
                          <w:marLeft w:val="0"/>
                          <w:marRight w:val="0"/>
                          <w:marTop w:val="0"/>
                          <w:marBottom w:val="0"/>
                          <w:divBdr>
                            <w:top w:val="single" w:sz="2" w:space="0" w:color="auto"/>
                            <w:left w:val="single" w:sz="2" w:space="0" w:color="auto"/>
                            <w:bottom w:val="single" w:sz="2" w:space="0" w:color="auto"/>
                            <w:right w:val="single" w:sz="2" w:space="0" w:color="auto"/>
                          </w:divBdr>
                          <w:divsChild>
                            <w:div w:id="2140033276">
                              <w:marLeft w:val="0"/>
                              <w:marRight w:val="0"/>
                              <w:marTop w:val="0"/>
                              <w:marBottom w:val="0"/>
                              <w:divBdr>
                                <w:top w:val="single" w:sz="2" w:space="0" w:color="auto"/>
                                <w:left w:val="single" w:sz="2" w:space="0" w:color="auto"/>
                                <w:bottom w:val="single" w:sz="2" w:space="0" w:color="auto"/>
                                <w:right w:val="single" w:sz="2" w:space="0" w:color="auto"/>
                              </w:divBdr>
                              <w:divsChild>
                                <w:div w:id="284312304">
                                  <w:marLeft w:val="0"/>
                                  <w:marRight w:val="0"/>
                                  <w:marTop w:val="0"/>
                                  <w:marBottom w:val="0"/>
                                  <w:divBdr>
                                    <w:top w:val="single" w:sz="2" w:space="0" w:color="auto"/>
                                    <w:left w:val="single" w:sz="2" w:space="0" w:color="auto"/>
                                    <w:bottom w:val="single" w:sz="2" w:space="0" w:color="auto"/>
                                    <w:right w:val="single" w:sz="2" w:space="0" w:color="auto"/>
                                  </w:divBdr>
                                  <w:divsChild>
                                    <w:div w:id="960920639">
                                      <w:marLeft w:val="0"/>
                                      <w:marRight w:val="0"/>
                                      <w:marTop w:val="0"/>
                                      <w:marBottom w:val="0"/>
                                      <w:divBdr>
                                        <w:top w:val="single" w:sz="2" w:space="0" w:color="auto"/>
                                        <w:left w:val="single" w:sz="2" w:space="0" w:color="auto"/>
                                        <w:bottom w:val="single" w:sz="2" w:space="0" w:color="auto"/>
                                        <w:right w:val="single" w:sz="2" w:space="0" w:color="auto"/>
                                      </w:divBdr>
                                      <w:divsChild>
                                        <w:div w:id="1699506692">
                                          <w:marLeft w:val="0"/>
                                          <w:marRight w:val="0"/>
                                          <w:marTop w:val="0"/>
                                          <w:marBottom w:val="0"/>
                                          <w:divBdr>
                                            <w:top w:val="single" w:sz="2" w:space="0" w:color="auto"/>
                                            <w:left w:val="single" w:sz="2" w:space="0" w:color="auto"/>
                                            <w:bottom w:val="single" w:sz="2" w:space="0" w:color="auto"/>
                                            <w:right w:val="single" w:sz="2" w:space="0" w:color="auto"/>
                                          </w:divBdr>
                                        </w:div>
                                      </w:divsChild>
                                    </w:div>
                                    <w:div w:id="1528758552">
                                      <w:marLeft w:val="0"/>
                                      <w:marRight w:val="0"/>
                                      <w:marTop w:val="0"/>
                                      <w:marBottom w:val="0"/>
                                      <w:divBdr>
                                        <w:top w:val="single" w:sz="2" w:space="0" w:color="auto"/>
                                        <w:left w:val="single" w:sz="2" w:space="0" w:color="auto"/>
                                        <w:bottom w:val="single" w:sz="2" w:space="0" w:color="auto"/>
                                        <w:right w:val="single" w:sz="2" w:space="0" w:color="auto"/>
                                      </w:divBdr>
                                      <w:divsChild>
                                        <w:div w:id="171459841">
                                          <w:marLeft w:val="0"/>
                                          <w:marRight w:val="0"/>
                                          <w:marTop w:val="0"/>
                                          <w:marBottom w:val="0"/>
                                          <w:divBdr>
                                            <w:top w:val="single" w:sz="2" w:space="0" w:color="auto"/>
                                            <w:left w:val="single" w:sz="2" w:space="0" w:color="auto"/>
                                            <w:bottom w:val="single" w:sz="2" w:space="0" w:color="auto"/>
                                            <w:right w:val="single" w:sz="2" w:space="0" w:color="auto"/>
                                          </w:divBdr>
                                          <w:divsChild>
                                            <w:div w:id="1156871303">
                                              <w:marLeft w:val="0"/>
                                              <w:marRight w:val="0"/>
                                              <w:marTop w:val="0"/>
                                              <w:marBottom w:val="0"/>
                                              <w:divBdr>
                                                <w:top w:val="single" w:sz="2" w:space="0" w:color="auto"/>
                                                <w:left w:val="single" w:sz="2" w:space="0" w:color="auto"/>
                                                <w:bottom w:val="single" w:sz="2" w:space="0" w:color="auto"/>
                                                <w:right w:val="single" w:sz="2" w:space="0" w:color="auto"/>
                                              </w:divBdr>
                                              <w:divsChild>
                                                <w:div w:id="1522082857">
                                                  <w:marLeft w:val="0"/>
                                                  <w:marRight w:val="0"/>
                                                  <w:marTop w:val="0"/>
                                                  <w:marBottom w:val="0"/>
                                                  <w:divBdr>
                                                    <w:top w:val="single" w:sz="2" w:space="0" w:color="auto"/>
                                                    <w:left w:val="single" w:sz="2" w:space="0" w:color="auto"/>
                                                    <w:bottom w:val="single" w:sz="2" w:space="0" w:color="auto"/>
                                                    <w:right w:val="single" w:sz="2" w:space="0" w:color="auto"/>
                                                  </w:divBdr>
                                                  <w:divsChild>
                                                    <w:div w:id="344478625">
                                                      <w:marLeft w:val="0"/>
                                                      <w:marRight w:val="0"/>
                                                      <w:marTop w:val="0"/>
                                                      <w:marBottom w:val="0"/>
                                                      <w:divBdr>
                                                        <w:top w:val="single" w:sz="2" w:space="0" w:color="auto"/>
                                                        <w:left w:val="single" w:sz="2" w:space="0" w:color="auto"/>
                                                        <w:bottom w:val="single" w:sz="2" w:space="0" w:color="auto"/>
                                                        <w:right w:val="single" w:sz="2" w:space="0" w:color="auto"/>
                                                      </w:divBdr>
                                                      <w:divsChild>
                                                        <w:div w:id="1519808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 w:id="206382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17</Pages>
  <Words>6518</Words>
  <Characters>37159</Characters>
  <Application>Microsoft Office Word</Application>
  <DocSecurity>0</DocSecurity>
  <Lines>309</Lines>
  <Paragraphs>87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43590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ameen fahad</dc:creator>
  <cp:lastModifiedBy>SDI 1084</cp:lastModifiedBy>
  <cp:revision>7</cp:revision>
  <dcterms:created xsi:type="dcterms:W3CDTF">2025-10-18T10:45:00Z</dcterms:created>
  <dcterms:modified xsi:type="dcterms:W3CDTF">2025-10-22T12:26:00Z</dcterms:modified>
</cp:coreProperties>
</file>