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07BF32" w14:textId="77777777" w:rsidR="00322DCB" w:rsidRDefault="00322DCB" w:rsidP="00A06D95">
      <w:pPr>
        <w:pStyle w:val="EndNoteBibliography"/>
        <w:spacing w:line="360" w:lineRule="auto"/>
        <w:rPr>
          <w:b/>
          <w:bCs/>
        </w:rPr>
      </w:pPr>
      <w:bookmarkStart w:id="0" w:name="_Hlk176433278"/>
      <w:bookmarkStart w:id="1" w:name="_Toc481481981"/>
    </w:p>
    <w:p w14:paraId="62B71A2A" w14:textId="0EE6098A" w:rsidR="00BF1CC4" w:rsidRDefault="003C2ECE" w:rsidP="00596635">
      <w:pPr>
        <w:pStyle w:val="EndNoteBibliography"/>
        <w:spacing w:line="360" w:lineRule="auto"/>
        <w:ind w:left="720" w:hanging="720"/>
        <w:jc w:val="center"/>
        <w:rPr>
          <w:b/>
          <w:bCs/>
        </w:rPr>
      </w:pPr>
      <w:bookmarkStart w:id="2" w:name="_Hlk177575557"/>
      <w:bookmarkStart w:id="3" w:name="_Hlk176433251"/>
      <w:bookmarkEnd w:id="0"/>
      <w:r w:rsidRPr="00546CA1">
        <w:rPr>
          <w:b/>
          <w:bCs/>
        </w:rPr>
        <w:t>Bank</w:t>
      </w:r>
      <w:r w:rsidR="00546CA1" w:rsidRPr="00546CA1">
        <w:rPr>
          <w:b/>
          <w:bCs/>
        </w:rPr>
        <w:t xml:space="preserve"> </w:t>
      </w:r>
      <w:r w:rsidRPr="00546CA1">
        <w:rPr>
          <w:b/>
          <w:bCs/>
        </w:rPr>
        <w:t>specific and macroeconomic determinants of bank profitability in Kenya</w:t>
      </w:r>
    </w:p>
    <w:bookmarkEnd w:id="2"/>
    <w:bookmarkEnd w:id="3"/>
    <w:p w14:paraId="421B72C0" w14:textId="77777777" w:rsidR="007A7385" w:rsidRPr="00BF1CC4" w:rsidRDefault="007A7385" w:rsidP="00FF3810">
      <w:pPr>
        <w:pStyle w:val="EndNoteBibliography"/>
        <w:spacing w:line="360" w:lineRule="auto"/>
        <w:rPr>
          <w:b/>
          <w:bCs/>
        </w:rPr>
      </w:pPr>
    </w:p>
    <w:p w14:paraId="78CE87B8" w14:textId="2B01726A" w:rsidR="00182643" w:rsidRPr="00BF1CC4" w:rsidRDefault="004943FE" w:rsidP="008552A8">
      <w:pPr>
        <w:pStyle w:val="Heading2"/>
        <w:spacing w:line="360" w:lineRule="auto"/>
        <w:rPr>
          <w:rFonts w:ascii="Times New Roman" w:hAnsi="Times New Roman" w:cs="Times New Roman"/>
          <w:color w:val="auto"/>
          <w:sz w:val="24"/>
          <w:szCs w:val="24"/>
        </w:rPr>
      </w:pPr>
      <w:bookmarkStart w:id="4" w:name="_Toc481481986"/>
      <w:bookmarkStart w:id="5" w:name="_Toc80654530"/>
      <w:bookmarkStart w:id="6" w:name="_Toc148807439"/>
      <w:bookmarkEnd w:id="1"/>
      <w:r w:rsidRPr="00BF1CC4">
        <w:rPr>
          <w:rFonts w:ascii="Times New Roman" w:hAnsi="Times New Roman" w:cs="Times New Roman"/>
          <w:color w:val="auto"/>
          <w:sz w:val="24"/>
          <w:szCs w:val="24"/>
        </w:rPr>
        <w:t>Abstract</w:t>
      </w:r>
      <w:bookmarkEnd w:id="4"/>
      <w:bookmarkEnd w:id="5"/>
      <w:bookmarkEnd w:id="6"/>
    </w:p>
    <w:p w14:paraId="74DC5863" w14:textId="07043A3E" w:rsidR="00A808DC" w:rsidRPr="00BF1CC4" w:rsidRDefault="009543C4" w:rsidP="008552A8">
      <w:pPr>
        <w:spacing w:before="240" w:after="240" w:line="360" w:lineRule="auto"/>
        <w:jc w:val="both"/>
        <w:rPr>
          <w:rFonts w:eastAsiaTheme="minorHAnsi"/>
        </w:rPr>
      </w:pPr>
      <w:r w:rsidRPr="00BF1CC4">
        <w:t xml:space="preserve">This study focuses and examines </w:t>
      </w:r>
      <w:r w:rsidR="00545DBC" w:rsidRPr="00BF1CC4">
        <w:t xml:space="preserve">the impact of bank-specific factors and macroeconomic drivers on the financial performance of commercial banks listed on the Nairobi </w:t>
      </w:r>
      <w:r w:rsidR="00A06D95">
        <w:t>Securities</w:t>
      </w:r>
      <w:r w:rsidR="00545DBC" w:rsidRPr="00BF1CC4">
        <w:t xml:space="preserve"> Exchange </w:t>
      </w:r>
      <w:r w:rsidRPr="00BF1CC4">
        <w:t xml:space="preserve">(NSE) </w:t>
      </w:r>
      <w:r w:rsidR="00545DBC" w:rsidRPr="00BF1CC4">
        <w:t xml:space="preserve">during the period spanning </w:t>
      </w:r>
      <w:r w:rsidR="00213575" w:rsidRPr="00BF1CC4">
        <w:t xml:space="preserve">from </w:t>
      </w:r>
      <w:r w:rsidR="00545DBC" w:rsidRPr="00BF1CC4">
        <w:t xml:space="preserve">2011 to 2020. The </w:t>
      </w:r>
      <w:r w:rsidRPr="00BF1CC4">
        <w:t>research</w:t>
      </w:r>
      <w:r w:rsidR="00545DBC" w:rsidRPr="00BF1CC4">
        <w:t xml:space="preserve"> is anchored on transaction cost economic theory with </w:t>
      </w:r>
      <w:r w:rsidR="00A808DC" w:rsidRPr="00BF1CC4">
        <w:t xml:space="preserve">financial </w:t>
      </w:r>
      <w:r w:rsidR="00545DBC" w:rsidRPr="00BF1CC4">
        <w:t>panel data</w:t>
      </w:r>
      <w:r w:rsidR="00A808DC" w:rsidRPr="00BF1CC4">
        <w:t xml:space="preserve"> methodology</w:t>
      </w:r>
      <w:r w:rsidR="00545DBC" w:rsidRPr="00BF1CC4">
        <w:t xml:space="preserve">. In the pursuit of </w:t>
      </w:r>
      <w:r w:rsidR="00213575" w:rsidRPr="00BF1CC4">
        <w:t>study</w:t>
      </w:r>
      <w:r w:rsidR="00545DBC" w:rsidRPr="00BF1CC4">
        <w:t xml:space="preserve"> objective, the study conducted </w:t>
      </w:r>
      <w:r w:rsidR="003B7232" w:rsidRPr="00BF1CC4">
        <w:t xml:space="preserve">pooled </w:t>
      </w:r>
      <w:r w:rsidR="003B7232" w:rsidRPr="00154702">
        <w:t>ordinary least squares (OLS)</w:t>
      </w:r>
      <w:r w:rsidR="00545DBC" w:rsidRPr="00BF1CC4">
        <w:t xml:space="preserve"> estimation combined with fixed effect model to account for individual-specific characteristics that may not be directly observable but are likely to impact the dependent variable.</w:t>
      </w:r>
      <w:r w:rsidR="00A808DC" w:rsidRPr="00BF1CC4">
        <w:rPr>
          <w:rFonts w:eastAsiaTheme="minorHAnsi"/>
        </w:rPr>
        <w:t xml:space="preserve"> The research findings reveal </w:t>
      </w:r>
      <w:r w:rsidR="00545DBC" w:rsidRPr="00BF1CC4">
        <w:t xml:space="preserve">that </w:t>
      </w:r>
      <w:r w:rsidR="004E64E5">
        <w:t xml:space="preserve">bank </w:t>
      </w:r>
      <w:r w:rsidR="00545DBC" w:rsidRPr="00BF1CC4">
        <w:t xml:space="preserve">assets, bank capital and debt ratio have a positive impact on </w:t>
      </w:r>
      <w:r w:rsidR="00154702">
        <w:t xml:space="preserve">bank </w:t>
      </w:r>
      <w:r w:rsidR="00A06D95">
        <w:t>profitability</w:t>
      </w:r>
      <w:r w:rsidR="00545DBC" w:rsidRPr="00BF1CC4">
        <w:t xml:space="preserve"> while bank concentration has a negative effect.</w:t>
      </w:r>
      <w:r w:rsidR="00545DBC" w:rsidRPr="00BF1CC4">
        <w:rPr>
          <w:rFonts w:eastAsiaTheme="minorHAnsi"/>
        </w:rPr>
        <w:t xml:space="preserve"> </w:t>
      </w:r>
      <w:r w:rsidR="00A808DC" w:rsidRPr="00BF1CC4">
        <w:rPr>
          <w:rFonts w:eastAsiaTheme="minorHAnsi"/>
        </w:rPr>
        <w:t>Notably</w:t>
      </w:r>
      <w:r w:rsidR="00545DBC" w:rsidRPr="00BF1CC4">
        <w:rPr>
          <w:rFonts w:eastAsiaTheme="minorHAnsi"/>
        </w:rPr>
        <w:t xml:space="preserve">, inflation rate, lending rate and tax rate were insignificant in relation to rate of return on equity among the selected banks in NSE. </w:t>
      </w:r>
      <w:r w:rsidR="00545DBC" w:rsidRPr="00BF1CC4">
        <w:t xml:space="preserve">The study recommends that banks should prioritize efficient capital allocation and </w:t>
      </w:r>
      <w:r w:rsidR="00CD70CB" w:rsidRPr="00BF1CC4">
        <w:t xml:space="preserve">diversify their business lines and offerings. </w:t>
      </w:r>
      <w:r w:rsidR="00545DBC" w:rsidRPr="00BF1CC4">
        <w:t>Additionally, the government should implement counter-cyclical policies to reduce risks during economic downturns</w:t>
      </w:r>
      <w:r w:rsidR="006B1FF3">
        <w:t xml:space="preserve"> and shocks.</w:t>
      </w:r>
    </w:p>
    <w:p w14:paraId="5E7E09D6" w14:textId="56C9E195" w:rsidR="00FD3A04" w:rsidRDefault="00FD3A04" w:rsidP="008552A8">
      <w:pPr>
        <w:spacing w:after="160" w:line="360" w:lineRule="auto"/>
        <w:jc w:val="both"/>
      </w:pPr>
      <w:r w:rsidRPr="00BF1CC4">
        <w:t xml:space="preserve">Keywords: performance; </w:t>
      </w:r>
      <w:r w:rsidR="00546CA1">
        <w:t>determinants; b</w:t>
      </w:r>
      <w:r w:rsidRPr="00BF1CC4">
        <w:t>ank</w:t>
      </w:r>
      <w:r w:rsidR="00546CA1">
        <w:t>s</w:t>
      </w:r>
      <w:r w:rsidR="0078018F">
        <w:t xml:space="preserve">; </w:t>
      </w:r>
      <w:r w:rsidR="007B6998">
        <w:t>profitability</w:t>
      </w:r>
      <w:r w:rsidR="00546CA1">
        <w:t>; Kenyan banking sector</w:t>
      </w:r>
    </w:p>
    <w:p w14:paraId="31FCA2AF" w14:textId="54C47422" w:rsidR="00182643" w:rsidRPr="00BF1CC4" w:rsidRDefault="007702A6" w:rsidP="008552A8">
      <w:pPr>
        <w:pStyle w:val="Heading2"/>
        <w:numPr>
          <w:ilvl w:val="0"/>
          <w:numId w:val="16"/>
        </w:numPr>
        <w:spacing w:line="360" w:lineRule="auto"/>
        <w:rPr>
          <w:rFonts w:ascii="Times New Roman" w:hAnsi="Times New Roman" w:cs="Times New Roman"/>
          <w:color w:val="auto"/>
          <w:sz w:val="24"/>
          <w:szCs w:val="24"/>
        </w:rPr>
      </w:pPr>
      <w:bookmarkStart w:id="7" w:name="_Toc80654532"/>
      <w:bookmarkStart w:id="8" w:name="_Toc148807443"/>
      <w:r w:rsidRPr="00BF1CC4">
        <w:rPr>
          <w:rFonts w:ascii="Times New Roman" w:hAnsi="Times New Roman" w:cs="Times New Roman"/>
          <w:color w:val="auto"/>
          <w:sz w:val="24"/>
          <w:szCs w:val="24"/>
        </w:rPr>
        <w:t>Introduction</w:t>
      </w:r>
      <w:bookmarkEnd w:id="7"/>
      <w:bookmarkEnd w:id="8"/>
    </w:p>
    <w:p w14:paraId="74D914C0" w14:textId="78F5C551" w:rsidR="00182643" w:rsidRPr="00BF1CC4" w:rsidRDefault="00182643" w:rsidP="008552A8">
      <w:pPr>
        <w:spacing w:line="360" w:lineRule="auto"/>
        <w:jc w:val="both"/>
      </w:pPr>
      <w:r w:rsidRPr="00BF1CC4">
        <w:t xml:space="preserve">Commercial banks and the banking industry in general play a critical role in economic development of nations </w:t>
      </w:r>
      <w:r w:rsidR="000564F6" w:rsidRPr="00BF1CC4">
        <w:t xml:space="preserve">in </w:t>
      </w:r>
      <w:r w:rsidRPr="00BF1CC4">
        <w:t xml:space="preserve">the world over. </w:t>
      </w:r>
      <w:r w:rsidRPr="00BF1CC4">
        <w:fldChar w:fldCharType="begin"/>
      </w:r>
      <w:r w:rsidRPr="00BF1CC4">
        <w:instrText xml:space="preserve"> ADDIN EN.CITE &lt;EndNote&gt;&lt;Cite&gt;&lt;Author&gt;Nyasha&lt;/Author&gt;&lt;Year&gt;2015&lt;/Year&gt;&lt;RecNum&gt;355&lt;/RecNum&gt;&lt;DisplayText&gt;(Nyasha &amp;amp; Odhiambo, 2015)&lt;/DisplayText&gt;&lt;record&gt;&lt;rec-number&gt;355&lt;/rec-number&gt;&lt;foreign-keys&gt;&lt;key app="EN" db-id="r0zpxf9dkzrv2yeppzfpxvz2ta5w2paa2fze" timestamp="1697192857"&gt;355&lt;/key&gt;&lt;/foreign-keys&gt;&lt;ref-type name="Journal Article"&gt;17&lt;/ref-type&gt;&lt;contributors&gt;&lt;authors&gt;&lt;author&gt;Nyasha, Sheilla&lt;/author&gt;&lt;author&gt;Odhiambo, Nicholas M&lt;/author&gt;&lt;/authors&gt;&lt;/contributors&gt;&lt;titles&gt;&lt;title&gt;Do banks and stock markets spur economic growth? Kenya&amp;apos;s experience&lt;/title&gt;&lt;secondary-title&gt;International Journal of Sustainable Economy&lt;/secondary-title&gt;&lt;/titles&gt;&lt;periodical&gt;&lt;full-title&gt;International Journal of Sustainable Economy&lt;/full-title&gt;&lt;/periodical&gt;&lt;pages&gt;54-65&lt;/pages&gt;&lt;volume&gt;7&lt;/volume&gt;&lt;number&gt;1&lt;/number&gt;&lt;dates&gt;&lt;year&gt;2015&lt;/year&gt;&lt;/dates&gt;&lt;isbn&gt;1756-5804&lt;/isbn&gt;&lt;urls&gt;&lt;/urls&gt;&lt;/record&gt;&lt;/Cite&gt;&lt;/EndNote&gt;</w:instrText>
      </w:r>
      <w:r w:rsidRPr="00BF1CC4">
        <w:fldChar w:fldCharType="separate"/>
      </w:r>
      <w:r w:rsidRPr="00BF1CC4">
        <w:rPr>
          <w:noProof/>
        </w:rPr>
        <w:t xml:space="preserve">Nyasha </w:t>
      </w:r>
      <w:r w:rsidR="000564F6" w:rsidRPr="00BF1CC4">
        <w:rPr>
          <w:noProof/>
        </w:rPr>
        <w:t>and</w:t>
      </w:r>
      <w:r w:rsidRPr="00BF1CC4">
        <w:rPr>
          <w:noProof/>
        </w:rPr>
        <w:t xml:space="preserve"> Odhiambo</w:t>
      </w:r>
      <w:r w:rsidR="000564F6" w:rsidRPr="00BF1CC4">
        <w:rPr>
          <w:noProof/>
        </w:rPr>
        <w:t xml:space="preserve"> (</w:t>
      </w:r>
      <w:r w:rsidRPr="00BF1CC4">
        <w:rPr>
          <w:noProof/>
        </w:rPr>
        <w:t>2015)</w:t>
      </w:r>
      <w:r w:rsidRPr="00BF1CC4">
        <w:fldChar w:fldCharType="end"/>
      </w:r>
      <w:r w:rsidRPr="00BF1CC4">
        <w:t xml:space="preserve"> contend that banks not only mobilize resources aimed at productive investments, but also act as conduits through which implementation of monetary policy is undertaken. Meanwhile, </w:t>
      </w:r>
      <w:r w:rsidRPr="00BF1CC4">
        <w:fldChar w:fldCharType="begin"/>
      </w:r>
      <w:r w:rsidRPr="00BF1CC4">
        <w:instrText xml:space="preserve"> ADDIN EN.CITE &lt;EndNote&gt;&lt;Cite AuthorYear="1"&gt;&lt;Author&gt;Song&lt;/Author&gt;&lt;Year&gt;2018&lt;/Year&gt;&lt;RecNum&gt;365&lt;/RecNum&gt;&lt;DisplayText&gt;Song&lt;style face="italic"&gt; et al.&lt;/style&gt; (2018)&lt;/DisplayText&gt;&lt;record&gt;&lt;rec-number&gt;365&lt;/rec-number&gt;&lt;foreign-keys&gt;&lt;key app="EN" db-id="r0zpxf9dkzrv2yeppzfpxvz2ta5w2paa2fze" timestamp="1697622443"&gt;365&lt;/key&gt;&lt;/foreign-keys&gt;&lt;ref-type name="Journal Article"&gt;17&lt;/ref-type&gt;&lt;contributors&gt;&lt;authors&gt;&lt;author&gt;Song, Hua&lt;/author&gt;&lt;author&gt;Yu, Kangkang&lt;/author&gt;&lt;author&gt;Lu, Qiang&lt;/author&gt;&lt;/authors&gt;&lt;/contributors&gt;&lt;titles&gt;&lt;title&gt;Financial service providers and banks’ role in helping SMEs to access finance&lt;/title&gt;&lt;secondary-title&gt;International Journal of Physical Distribution &amp;amp; Logistics Management&lt;/secondary-title&gt;&lt;/titles&gt;&lt;periodical&gt;&lt;full-title&gt;International Journal of Physical Distribution &amp;amp; Logistics Management&lt;/full-title&gt;&lt;/periodical&gt;&lt;pages&gt;69-92&lt;/pages&gt;&lt;volume&gt;48&lt;/volume&gt;&lt;number&gt;1&lt;/number&gt;&lt;dates&gt;&lt;year&gt;2018&lt;/year&gt;&lt;/dates&gt;&lt;isbn&gt;0960-0035&lt;/isbn&gt;&lt;urls&gt;&lt;/urls&gt;&lt;/record&gt;&lt;/Cite&gt;&lt;/EndNote&gt;</w:instrText>
      </w:r>
      <w:r w:rsidRPr="00BF1CC4">
        <w:fldChar w:fldCharType="separate"/>
      </w:r>
      <w:r w:rsidRPr="00BF1CC4">
        <w:rPr>
          <w:noProof/>
        </w:rPr>
        <w:t>Song</w:t>
      </w:r>
      <w:r w:rsidRPr="00BF1CC4">
        <w:rPr>
          <w:i/>
          <w:noProof/>
        </w:rPr>
        <w:t xml:space="preserve"> et al.</w:t>
      </w:r>
      <w:r w:rsidRPr="00BF1CC4">
        <w:rPr>
          <w:noProof/>
        </w:rPr>
        <w:t xml:space="preserve"> (2018)</w:t>
      </w:r>
      <w:r w:rsidRPr="00BF1CC4">
        <w:fldChar w:fldCharType="end"/>
      </w:r>
      <w:r w:rsidRPr="00BF1CC4">
        <w:t xml:space="preserve"> perceive commercial banks as financial establishments whose functions include accepting deposits, and offering credit to promote investment and profit making. According to </w:t>
      </w:r>
      <w:r w:rsidRPr="00BF1CC4">
        <w:fldChar w:fldCharType="begin"/>
      </w:r>
      <w:r w:rsidRPr="00BF1CC4">
        <w:instrText xml:space="preserve"> ADDIN EN.CITE &lt;EndNote&gt;&lt;Cite AuthorYear="1"&gt;&lt;Author&gt;Romao&lt;/Author&gt;&lt;Year&gt;2019&lt;/Year&gt;&lt;RecNum&gt;358&lt;/RecNum&gt;&lt;DisplayText&gt;Romao&lt;style face="italic"&gt; et al.&lt;/style&gt; (2019)&lt;/DisplayText&gt;&lt;record&gt;&lt;rec-number&gt;358&lt;/rec-number&gt;&lt;foreign-keys&gt;&lt;key app="EN" db-id="r0zpxf9dkzrv2yeppzfpxvz2ta5w2paa2fze" timestamp="1697194669"&gt;358&lt;/key&gt;&lt;/foreign-keys&gt;&lt;ref-type name="Conference Proceedings"&gt;10&lt;/ref-type&gt;&lt;contributors&gt;&lt;authors&gt;&lt;author&gt;Romao, Mário&lt;/author&gt;&lt;author&gt;Costa, Joao&lt;/author&gt;&lt;author&gt;Costa, Carlos J&lt;/author&gt;&lt;/authors&gt;&lt;/contributors&gt;&lt;titles&gt;&lt;title&gt;Robotic process automation: A case study in the banking industry&lt;/title&gt;&lt;secondary-title&gt;2019 14th Iberian Conference on information systems and technologies (CISTI)&lt;/secondary-title&gt;&lt;/titles&gt;&lt;pages&gt;1-6&lt;/pages&gt;&lt;dates&gt;&lt;year&gt;2019&lt;/year&gt;&lt;/dates&gt;&lt;publisher&gt;IEEE&lt;/publisher&gt;&lt;isbn&gt;9899843490&lt;/isbn&gt;&lt;urls&gt;&lt;/urls&gt;&lt;/record&gt;&lt;/Cite&gt;&lt;/EndNote&gt;</w:instrText>
      </w:r>
      <w:r w:rsidRPr="00BF1CC4">
        <w:fldChar w:fldCharType="separate"/>
      </w:r>
      <w:r w:rsidRPr="00BF1CC4">
        <w:rPr>
          <w:noProof/>
        </w:rPr>
        <w:t>Romao</w:t>
      </w:r>
      <w:r w:rsidRPr="00BF1CC4">
        <w:rPr>
          <w:i/>
          <w:noProof/>
        </w:rPr>
        <w:t xml:space="preserve"> et al.</w:t>
      </w:r>
      <w:r w:rsidRPr="00BF1CC4">
        <w:rPr>
          <w:noProof/>
        </w:rPr>
        <w:t xml:space="preserve"> (2019)</w:t>
      </w:r>
      <w:r w:rsidRPr="00BF1CC4">
        <w:fldChar w:fldCharType="end"/>
      </w:r>
      <w:r w:rsidRPr="00BF1CC4">
        <w:t xml:space="preserve"> commercial banks as financial establishments, avail investment products such as current and savings accounts and other services to individuals and businesses. </w:t>
      </w:r>
      <w:r w:rsidRPr="00BF1CC4">
        <w:fldChar w:fldCharType="begin"/>
      </w:r>
      <w:r w:rsidRPr="00BF1CC4">
        <w:instrText xml:space="preserve"> ADDIN EN.CITE &lt;EndNote&gt;&lt;Cite AuthorYear="1"&gt;&lt;Author&gt;Jha&lt;/Author&gt;&lt;Year&gt;2018&lt;/Year&gt;&lt;RecNum&gt;359&lt;/RecNum&gt;&lt;DisplayText&gt;Jha (2018)&lt;/DisplayText&gt;&lt;record&gt;&lt;rec-number&gt;359&lt;/rec-number&gt;&lt;foreign-keys&gt;&lt;key app="EN" db-id="r0zpxf9dkzrv2yeppzfpxvz2ta5w2paa2fze" timestamp="1697194830"&gt;359&lt;/key&gt;&lt;/foreign-keys&gt;&lt;ref-type name="Thesis"&gt;32&lt;/ref-type&gt;&lt;contributors&gt;&lt;authors&gt;&lt;author&gt;Jha, Suvita&lt;/author&gt;&lt;/authors&gt;&lt;/contributors&gt;&lt;titles&gt;&lt;title&gt;Performance appraisal of commercial banks and linkage financial indicators with economic growth in Nepal&lt;/title&gt;&lt;/titles&gt;&lt;dates&gt;&lt;year&gt;2018&lt;/year&gt;&lt;/dates&gt;&lt;urls&gt;&lt;/urls&gt;&lt;/record&gt;&lt;/Cite&gt;&lt;/EndNote&gt;</w:instrText>
      </w:r>
      <w:r w:rsidRPr="00BF1CC4">
        <w:fldChar w:fldCharType="separate"/>
      </w:r>
      <w:r w:rsidRPr="00BF1CC4">
        <w:rPr>
          <w:noProof/>
        </w:rPr>
        <w:t>Jha (2018)</w:t>
      </w:r>
      <w:r w:rsidRPr="00BF1CC4">
        <w:fldChar w:fldCharType="end"/>
      </w:r>
      <w:r w:rsidRPr="00BF1CC4">
        <w:t xml:space="preserve">, on the other hand points out that commercial </w:t>
      </w:r>
      <w:r w:rsidRPr="00BF1CC4">
        <w:lastRenderedPageBreak/>
        <w:t xml:space="preserve">banks turn </w:t>
      </w:r>
      <w:r w:rsidR="000564F6" w:rsidRPr="00BF1CC4">
        <w:t>individual’s</w:t>
      </w:r>
      <w:r w:rsidRPr="00BF1CC4">
        <w:t xml:space="preserve"> idle savings into investment; and use bills of exchange acceptance and discounting to promote within and external trade among nations. </w:t>
      </w:r>
    </w:p>
    <w:p w14:paraId="5B8EFF37" w14:textId="46389F81" w:rsidR="00182643" w:rsidRPr="00BF1CC4" w:rsidRDefault="00182643" w:rsidP="008552A8">
      <w:pPr>
        <w:spacing w:before="100" w:beforeAutospacing="1" w:after="100" w:afterAutospacing="1" w:line="360" w:lineRule="auto"/>
        <w:jc w:val="both"/>
      </w:pPr>
      <w:r w:rsidRPr="00BF1CC4">
        <w:t xml:space="preserve">For banks to continue impacting on economic development positively, they require financial stability that accrues from enhanced financial performance. </w:t>
      </w:r>
      <w:r w:rsidRPr="00BF1CC4">
        <w:fldChar w:fldCharType="begin"/>
      </w:r>
      <w:r w:rsidRPr="00BF1CC4">
        <w:instrText xml:space="preserve"> ADDIN EN.CITE &lt;EndNote&gt;&lt;Cite AuthorYear="1"&gt;&lt;Author&gt;Nurdiansari&lt;/Author&gt;&lt;Year&gt;2021&lt;/Year&gt;&lt;RecNum&gt;376&lt;/RecNum&gt;&lt;DisplayText&gt;Nurdiansari&lt;style face="italic"&gt; et al.&lt;/style&gt; (2021)&lt;/DisplayText&gt;&lt;record&gt;&lt;rec-number&gt;376&lt;/rec-number&gt;&lt;foreign-keys&gt;&lt;key app="EN" db-id="r0zpxf9dkzrv2yeppzfpxvz2ta5w2paa2fze" timestamp="1697625238"&gt;376&lt;/key&gt;&lt;/foreign-keys&gt;&lt;ref-type name="Journal Article"&gt;17&lt;/ref-type&gt;&lt;contributors&gt;&lt;authors&gt;&lt;author&gt;Nurdiansari, Ranti&lt;/author&gt;&lt;author&gt;Susilawati, Erma&lt;/author&gt;&lt;author&gt;Sriwahyuni, Anis&lt;/author&gt;&lt;author&gt;Paulina, Elin&lt;/author&gt;&lt;/authors&gt;&lt;/contributors&gt;&lt;titles&gt;&lt;title&gt;Analysis of Financial Performance Before and During the Covid-19 Pandemic Era at PT. Bank Rakyat Indonesia (BRI) TBK&lt;/title&gt;&lt;secondary-title&gt;Nusantara Science and Technology Proceedings&lt;/secondary-title&gt;&lt;/titles&gt;&lt;periodical&gt;&lt;full-title&gt;Nusantara Science and Technology Proceedings&lt;/full-title&gt;&lt;/periodical&gt;&lt;pages&gt;129-137&lt;/pages&gt;&lt;dates&gt;&lt;year&gt;2021&lt;/year&gt;&lt;/dates&gt;&lt;isbn&gt;2622-9692&lt;/isbn&gt;&lt;urls&gt;&lt;/urls&gt;&lt;/record&gt;&lt;/Cite&gt;&lt;/EndNote&gt;</w:instrText>
      </w:r>
      <w:r w:rsidRPr="00BF1CC4">
        <w:fldChar w:fldCharType="separate"/>
      </w:r>
      <w:r w:rsidRPr="00BF1CC4">
        <w:rPr>
          <w:noProof/>
        </w:rPr>
        <w:t>Nurdiansari</w:t>
      </w:r>
      <w:r w:rsidRPr="00BF1CC4">
        <w:rPr>
          <w:i/>
          <w:noProof/>
        </w:rPr>
        <w:t xml:space="preserve"> et al.</w:t>
      </w:r>
      <w:r w:rsidRPr="00BF1CC4">
        <w:rPr>
          <w:noProof/>
        </w:rPr>
        <w:t xml:space="preserve"> (2021)</w:t>
      </w:r>
      <w:r w:rsidRPr="00BF1CC4">
        <w:fldChar w:fldCharType="end"/>
      </w:r>
      <w:r w:rsidRPr="00BF1CC4">
        <w:t xml:space="preserve"> perceive performance as the achievement of implementation of programs and policies put in place, in the process of realizing an organizations goals, objectives, mission and vision. </w:t>
      </w:r>
      <w:r w:rsidRPr="00BF1CC4">
        <w:fldChar w:fldCharType="begin"/>
      </w:r>
      <w:r w:rsidRPr="00BF1CC4">
        <w:instrText xml:space="preserve"> ADDIN EN.CITE &lt;EndNote&gt;&lt;Cite AuthorYear="1"&gt;&lt;Author&gt;Fahmi&lt;/Author&gt;&lt;Year&gt;2011&lt;/Year&gt;&lt;RecNum&gt;377&lt;/RecNum&gt;&lt;DisplayText&gt;Fahmi and Saputra (2011)&lt;/DisplayText&gt;&lt;record&gt;&lt;rec-number&gt;377&lt;/rec-number&gt;&lt;foreign-keys&gt;&lt;key app="EN" db-id="r0zpxf9dkzrv2yeppzfpxvz2ta5w2paa2fze" timestamp="1697625337"&gt;377&lt;/key&gt;&lt;/foreign-keys&gt;&lt;ref-type name="Journal Article"&gt;17&lt;/ref-type&gt;&lt;contributors&gt;&lt;authors&gt;&lt;author&gt;Fahmi, Irham&lt;/author&gt;&lt;author&gt;Saputra, Mulia&lt;/author&gt;&lt;/authors&gt;&lt;/contributors&gt;&lt;titles&gt;&lt;title&gt;Analysis of financial performance in a form of financial ratio before and after right issue at the indonesia&amp;apos;s stock exchange (bursa efek indonesia)&lt;/title&gt;&lt;secondary-title&gt;International Journal of Business and social science&lt;/secondary-title&gt;&lt;/titles&gt;&lt;periodical&gt;&lt;full-title&gt;International Journal of business and social Science&lt;/full-title&gt;&lt;/periodical&gt;&lt;volume&gt;2&lt;/volume&gt;&lt;number&gt;24&lt;/number&gt;&lt;dates&gt;&lt;year&gt;2011&lt;/year&gt;&lt;/dates&gt;&lt;isbn&gt;2219-1933&lt;/isbn&gt;&lt;urls&gt;&lt;/urls&gt;&lt;/record&gt;&lt;/Cite&gt;&lt;/EndNote&gt;</w:instrText>
      </w:r>
      <w:r w:rsidRPr="00BF1CC4">
        <w:fldChar w:fldCharType="separate"/>
      </w:r>
      <w:r w:rsidRPr="00BF1CC4">
        <w:rPr>
          <w:noProof/>
        </w:rPr>
        <w:t>Fahmi and Saputra (2011)</w:t>
      </w:r>
      <w:r w:rsidRPr="00BF1CC4">
        <w:fldChar w:fldCharType="end"/>
      </w:r>
      <w:r w:rsidRPr="00BF1CC4">
        <w:t xml:space="preserve"> had hitherto, defined financial performance as an analysis aimed at determining the extent to which financial implementation rules are properly and correctly executed within the company.  </w:t>
      </w:r>
      <w:r w:rsidRPr="00BF1CC4">
        <w:fldChar w:fldCharType="begin"/>
      </w:r>
      <w:r w:rsidRPr="00BF1CC4">
        <w:instrText xml:space="preserve"> ADDIN EN.CITE &lt;EndNote&gt;&lt;Cite AuthorYear="1"&gt;&lt;Author&gt;Fatihudin&lt;/Author&gt;&lt;Year&gt;2018&lt;/Year&gt;&lt;RecNum&gt;378&lt;/RecNum&gt;&lt;DisplayText&gt;Fatihudin (2018)&lt;/DisplayText&gt;&lt;record&gt;&lt;rec-number&gt;378&lt;/rec-number&gt;&lt;foreign-keys&gt;&lt;key app="EN" db-id="r0zpxf9dkzrv2yeppzfpxvz2ta5w2paa2fze" timestamp="1697625420"&gt;378&lt;/key&gt;&lt;/foreign-keys&gt;&lt;ref-type name="Journal Article"&gt;17&lt;/ref-type&gt;&lt;contributors&gt;&lt;authors&gt;&lt;author&gt;Fatihudin, Didin&lt;/author&gt;&lt;/authors&gt;&lt;/contributors&gt;&lt;titles&gt;&lt;title&gt;How measuring financial performance&lt;/title&gt;&lt;secondary-title&gt;International Journal of Civil Engineering and Technology (IJCIET)&lt;/secondary-title&gt;&lt;/titles&gt;&lt;periodical&gt;&lt;full-title&gt;International Journal of Civil Engineering and Technology (IJCIET)&lt;/full-title&gt;&lt;/periodical&gt;&lt;pages&gt;553-557&lt;/pages&gt;&lt;volume&gt;9&lt;/volume&gt;&lt;number&gt;6&lt;/number&gt;&lt;dates&gt;&lt;year&gt;2018&lt;/year&gt;&lt;/dates&gt;&lt;isbn&gt;0976-6308&lt;/isbn&gt;&lt;urls&gt;&lt;/urls&gt;&lt;/record&gt;&lt;/Cite&gt;&lt;/EndNote&gt;</w:instrText>
      </w:r>
      <w:r w:rsidRPr="00BF1CC4">
        <w:fldChar w:fldCharType="separate"/>
      </w:r>
      <w:r w:rsidRPr="00BF1CC4">
        <w:rPr>
          <w:noProof/>
        </w:rPr>
        <w:t>Fatihudin (2018)</w:t>
      </w:r>
      <w:r w:rsidRPr="00BF1CC4">
        <w:fldChar w:fldCharType="end"/>
      </w:r>
      <w:r w:rsidR="00AD0498" w:rsidRPr="00BF1CC4">
        <w:t xml:space="preserve"> </w:t>
      </w:r>
      <w:r w:rsidRPr="00BF1CC4">
        <w:t>identifies capital adequacy, solvency, liquidity, leverage, efficiency and profitability as measures of financial performance. According to Fatihudin</w:t>
      </w:r>
      <w:r w:rsidR="00AD0498" w:rsidRPr="00BF1CC4">
        <w:t xml:space="preserve"> (2018)</w:t>
      </w:r>
      <w:r w:rsidRPr="00BF1CC4">
        <w:t xml:space="preserve">, financial performance relates to a company’s realization of financial obligations in terms of allocation and collection of finance for a given period. </w:t>
      </w:r>
    </w:p>
    <w:p w14:paraId="59318CBD" w14:textId="0290E9AA" w:rsidR="00182643" w:rsidRPr="00BF1CC4" w:rsidRDefault="00182643" w:rsidP="008552A8">
      <w:pPr>
        <w:spacing w:before="100" w:beforeAutospacing="1" w:after="100" w:afterAutospacing="1" w:line="360" w:lineRule="auto"/>
        <w:jc w:val="both"/>
      </w:pPr>
      <w:r w:rsidRPr="00BF1CC4">
        <w:t xml:space="preserve">Several factors have been associated with financial performance of commercial banks in existing literature. </w:t>
      </w:r>
      <w:r w:rsidRPr="00BF1CC4">
        <w:fldChar w:fldCharType="begin"/>
      </w:r>
      <w:r w:rsidRPr="00BF1CC4">
        <w:instrText xml:space="preserve"> ADDIN EN.CITE &lt;EndNote&gt;&lt;Cite AuthorYear="1"&gt;&lt;Author&gt;Dao&lt;/Author&gt;&lt;Year&gt;2020&lt;/Year&gt;&lt;RecNum&gt;380&lt;/RecNum&gt;&lt;DisplayText&gt;Dao (2020)&lt;/DisplayText&gt;&lt;record&gt;&lt;rec-number&gt;380&lt;/rec-number&gt;&lt;foreign-keys&gt;&lt;key app="EN" db-id="r0zpxf9dkzrv2yeppzfpxvz2ta5w2paa2fze" timestamp="1697625992"&gt;380&lt;/key&gt;&lt;/foreign-keys&gt;&lt;ref-type name="Journal Article"&gt;17&lt;/ref-type&gt;&lt;contributors&gt;&lt;authors&gt;&lt;author&gt;Dao, Binh&lt;/author&gt;&lt;/authors&gt;&lt;/contributors&gt;&lt;titles&gt;&lt;title&gt;Determinants of profitability in commercial banks in Vietnam, Malaysia and Thailand&lt;/title&gt;&lt;secondary-title&gt;Journal of Asian Finance, Economics and Business&lt;/secondary-title&gt;&lt;/titles&gt;&lt;periodical&gt;&lt;full-title&gt;Journal of Asian Finance, Economics and Business&lt;/full-title&gt;&lt;/periodical&gt;&lt;pages&gt;133-143&lt;/pages&gt;&lt;volume&gt;7&lt;/volume&gt;&lt;number&gt;4&lt;/number&gt;&lt;dates&gt;&lt;year&gt;2020&lt;/year&gt;&lt;/dates&gt;&lt;urls&gt;&lt;/urls&gt;&lt;/record&gt;&lt;/Cite&gt;&lt;/EndNote&gt;</w:instrText>
      </w:r>
      <w:r w:rsidRPr="00BF1CC4">
        <w:fldChar w:fldCharType="separate"/>
      </w:r>
      <w:r w:rsidRPr="00BF1CC4">
        <w:rPr>
          <w:noProof/>
        </w:rPr>
        <w:t>Dao (2020)</w:t>
      </w:r>
      <w:r w:rsidRPr="00BF1CC4">
        <w:fldChar w:fldCharType="end"/>
      </w:r>
      <w:r w:rsidRPr="00BF1CC4">
        <w:t xml:space="preserve"> for instance, argue that bank specific characteristics have a statistically significant impact on banks market power. In India, raising non-performing </w:t>
      </w:r>
      <w:r w:rsidR="00AD0498" w:rsidRPr="00BF1CC4">
        <w:t>assets has</w:t>
      </w:r>
      <w:r w:rsidRPr="00BF1CC4">
        <w:t xml:space="preserve"> been identified as a major challenge to the performance of banks (Bharway &amp; Chandhary, 2018). Industry specific and macroeconomic factors on the one hand, and bank specific factors on the other, have also been identified as factors which impact banks financial performance in the European </w:t>
      </w:r>
      <w:r w:rsidR="00AD0498" w:rsidRPr="00BF1CC4">
        <w:t>union c</w:t>
      </w:r>
      <w:r w:rsidRPr="00BF1CC4">
        <w:t xml:space="preserve">ontext </w:t>
      </w:r>
      <w:r w:rsidRPr="00BF1CC4">
        <w:fldChar w:fldCharType="begin"/>
      </w:r>
      <w:r w:rsidRPr="00BF1CC4">
        <w:instrText xml:space="preserve"> ADDIN EN.CITE &lt;EndNote&gt;&lt;Cite&gt;&lt;Author&gt;Petria&lt;/Author&gt;&lt;Year&gt;2015&lt;/Year&gt;&lt;RecNum&gt;381&lt;/RecNum&gt;&lt;DisplayText&gt;(Petria&lt;style face="italic"&gt; et al.&lt;/style&gt;, 2015)&lt;/DisplayText&gt;&lt;record&gt;&lt;rec-number&gt;381&lt;/rec-number&gt;&lt;foreign-keys&gt;&lt;key app="EN" db-id="r0zpxf9dkzrv2yeppzfpxvz2ta5w2paa2fze" timestamp="1697626553"&gt;381&lt;/key&gt;&lt;/foreign-keys&gt;&lt;ref-type name="Journal Article"&gt;17&lt;/ref-type&gt;&lt;contributors&gt;&lt;authors&gt;&lt;author&gt;Petria, Nicolae&lt;/author&gt;&lt;author&gt;Capraru, Bogdan&lt;/author&gt;&lt;author&gt;Ihnatov, Iulian&lt;/author&gt;&lt;/authors&gt;&lt;/contributors&gt;&lt;titles&gt;&lt;title&gt;Determinants of banks’ profitability: evidence from EU 27 banking systems&lt;/title&gt;&lt;secondary-title&gt;Procedia economics and finance&lt;/secondary-title&gt;&lt;/titles&gt;&lt;periodical&gt;&lt;full-title&gt;Procedia Economics and Finance&lt;/full-title&gt;&lt;/periodical&gt;&lt;pages&gt;518-524&lt;/pages&gt;&lt;volume&gt;20&lt;/volume&gt;&lt;dates&gt;&lt;year&gt;2015&lt;/year&gt;&lt;/dates&gt;&lt;isbn&gt;2212-5671&lt;/isbn&gt;&lt;urls&gt;&lt;/urls&gt;&lt;/record&gt;&lt;/Cite&gt;&lt;/EndNote&gt;</w:instrText>
      </w:r>
      <w:r w:rsidRPr="00BF1CC4">
        <w:fldChar w:fldCharType="separate"/>
      </w:r>
      <w:r w:rsidRPr="00BF1CC4">
        <w:rPr>
          <w:noProof/>
        </w:rPr>
        <w:t>(Petria</w:t>
      </w:r>
      <w:r w:rsidRPr="00BF1CC4">
        <w:rPr>
          <w:i/>
          <w:noProof/>
        </w:rPr>
        <w:t xml:space="preserve"> et al.</w:t>
      </w:r>
      <w:r w:rsidRPr="00BF1CC4">
        <w:rPr>
          <w:noProof/>
        </w:rPr>
        <w:t>, 2015)</w:t>
      </w:r>
      <w:r w:rsidRPr="00BF1CC4">
        <w:fldChar w:fldCharType="end"/>
      </w:r>
      <w:r w:rsidRPr="00BF1CC4">
        <w:t>. Bank specific factors such as debt ratio,</w:t>
      </w:r>
      <w:r w:rsidR="0041460E">
        <w:t xml:space="preserve"> capital availability, competition, </w:t>
      </w:r>
      <w:r w:rsidRPr="00BF1CC4">
        <w:t xml:space="preserve"> cash and investment to total deposits, liquidity quick ratio, and profit margin; and macroeconomic factors like inflation rate, </w:t>
      </w:r>
      <w:r w:rsidR="006B1FF3">
        <w:t xml:space="preserve">tax rate, </w:t>
      </w:r>
      <w:r w:rsidRPr="00BF1CC4">
        <w:t>growth rate in gross domestic product</w:t>
      </w:r>
      <w:r w:rsidR="0041460E">
        <w:t xml:space="preserve"> </w:t>
      </w:r>
      <w:r w:rsidRPr="00BF1CC4">
        <w:t xml:space="preserve">and unemployment rate as a percentage of total labour, have been associated with banks financial performance in Jordan  </w:t>
      </w:r>
      <w:r w:rsidRPr="00BF1CC4">
        <w:fldChar w:fldCharType="begin"/>
      </w:r>
      <w:r w:rsidRPr="00BF1CC4">
        <w:instrText xml:space="preserve"> ADDIN EN.CITE &lt;EndNote&gt;&lt;Cite&gt;&lt;Author&gt;Petria&lt;/Author&gt;&lt;Year&gt;2015&lt;/Year&gt;&lt;RecNum&gt;381&lt;/RecNum&gt;&lt;DisplayText&gt;(Petria&lt;style face="italic"&gt; et al.&lt;/style&gt;, 2015)&lt;/DisplayText&gt;&lt;record&gt;&lt;rec-number&gt;381&lt;/rec-number&gt;&lt;foreign-keys&gt;&lt;key app="EN" db-id="r0zpxf9dkzrv2yeppzfpxvz2ta5w2paa2fze" timestamp="1697626553"&gt;381&lt;/key&gt;&lt;/foreign-keys&gt;&lt;ref-type name="Journal Article"&gt;17&lt;/ref-type&gt;&lt;contributors&gt;&lt;authors&gt;&lt;author&gt;Petria, Nicolae&lt;/author&gt;&lt;author&gt;Capraru, Bogdan&lt;/author&gt;&lt;author&gt;Ihnatov, Iulian&lt;/author&gt;&lt;/authors&gt;&lt;/contributors&gt;&lt;titles&gt;&lt;title&gt;Determinants of banks’ profitability: evidence from EU 27 banking systems&lt;/title&gt;&lt;secondary-title&gt;Procedia economics and finance&lt;/secondary-title&gt;&lt;/titles&gt;&lt;periodical&gt;&lt;full-title&gt;Procedia Economics and Finance&lt;/full-title&gt;&lt;/periodical&gt;&lt;pages&gt;518-524&lt;/pages&gt;&lt;volume&gt;20&lt;/volume&gt;&lt;dates&gt;&lt;year&gt;2015&lt;/year&gt;&lt;/dates&gt;&lt;isbn&gt;2212-5671&lt;/isbn&gt;&lt;urls&gt;&lt;/urls&gt;&lt;/record&gt;&lt;/Cite&gt;&lt;/EndNote&gt;</w:instrText>
      </w:r>
      <w:r w:rsidRPr="00BF1CC4">
        <w:fldChar w:fldCharType="separate"/>
      </w:r>
      <w:r w:rsidRPr="00BF1CC4">
        <w:rPr>
          <w:noProof/>
        </w:rPr>
        <w:t>(Petria</w:t>
      </w:r>
      <w:r w:rsidRPr="00BF1CC4">
        <w:rPr>
          <w:i/>
          <w:noProof/>
        </w:rPr>
        <w:t xml:space="preserve"> et al.</w:t>
      </w:r>
      <w:r w:rsidRPr="00BF1CC4">
        <w:rPr>
          <w:noProof/>
        </w:rPr>
        <w:t>, 2015</w:t>
      </w:r>
      <w:r w:rsidR="00E003FA" w:rsidRPr="00BF1CC4">
        <w:rPr>
          <w:noProof/>
        </w:rPr>
        <w:t>; Gisore, 202</w:t>
      </w:r>
      <w:r w:rsidR="001E58C7">
        <w:rPr>
          <w:noProof/>
        </w:rPr>
        <w:t>0</w:t>
      </w:r>
      <w:r w:rsidRPr="00BF1CC4">
        <w:rPr>
          <w:noProof/>
        </w:rPr>
        <w:t>)</w:t>
      </w:r>
      <w:r w:rsidRPr="00BF1CC4">
        <w:fldChar w:fldCharType="end"/>
      </w:r>
      <w:r w:rsidRPr="00BF1CC4">
        <w:t>.</w:t>
      </w:r>
    </w:p>
    <w:p w14:paraId="69D73DCB" w14:textId="6C4AF4C3" w:rsidR="00182643" w:rsidRPr="00BF1CC4" w:rsidRDefault="00182643" w:rsidP="008552A8">
      <w:pPr>
        <w:spacing w:before="100" w:beforeAutospacing="1" w:after="100" w:afterAutospacing="1" w:line="360" w:lineRule="auto"/>
        <w:jc w:val="both"/>
      </w:pPr>
      <w:r w:rsidRPr="00BF1CC4">
        <w:t xml:space="preserve">Despite the resilience across the banks, </w:t>
      </w:r>
      <w:r w:rsidR="007A164C" w:rsidRPr="00BF1CC4">
        <w:t>the Kenya Bankers Association (</w:t>
      </w:r>
      <w:r w:rsidR="007A164C" w:rsidRPr="00BF1CC4">
        <w:rPr>
          <w:noProof/>
        </w:rPr>
        <w:t xml:space="preserve">Association, 2022) </w:t>
      </w:r>
      <w:r w:rsidRPr="00BF1CC4">
        <w:t xml:space="preserve">report noted that the commercial banks in Kenya were experiencing increased non - performing loans (NPLs) affecting profitability. The ratio of gross NPLs to gross loans deteriorated from 12.0 percent to 13.1 percent in June 2020. Of concern to the researcher however, is that the deterioration in bank’s asset quality appeared to vary across banks </w:t>
      </w:r>
      <w:r w:rsidRPr="00BF1CC4">
        <w:lastRenderedPageBreak/>
        <w:t xml:space="preserve">owing to bank specific factors like management’s attitude to risk, business models, and liquidity. If commercial banks in Kenya have to maintain financial stability, then more knowledge should be gained regarding bank specific factors, macroeconomic factors, that determine financial performance of commercial banks listed in Nairobi </w:t>
      </w:r>
      <w:r w:rsidR="00A84647">
        <w:t>Securities</w:t>
      </w:r>
      <w:r w:rsidRPr="00BF1CC4">
        <w:t xml:space="preserve"> Exchange.</w:t>
      </w:r>
    </w:p>
    <w:p w14:paraId="4B5BF59D" w14:textId="2F87FAAF" w:rsidR="00182643" w:rsidRPr="00BF1CC4" w:rsidRDefault="005D1C0F" w:rsidP="008552A8">
      <w:pPr>
        <w:pStyle w:val="Heading2"/>
        <w:numPr>
          <w:ilvl w:val="0"/>
          <w:numId w:val="16"/>
        </w:numPr>
        <w:spacing w:line="360" w:lineRule="auto"/>
        <w:rPr>
          <w:rFonts w:ascii="Times New Roman" w:hAnsi="Times New Roman" w:cs="Times New Roman"/>
          <w:color w:val="auto"/>
          <w:sz w:val="24"/>
          <w:szCs w:val="24"/>
        </w:rPr>
      </w:pPr>
      <w:bookmarkStart w:id="9" w:name="_Toc80654547"/>
      <w:bookmarkStart w:id="10" w:name="_Toc148807453"/>
      <w:r w:rsidRPr="00BF1CC4">
        <w:rPr>
          <w:rFonts w:ascii="Times New Roman" w:hAnsi="Times New Roman" w:cs="Times New Roman"/>
          <w:color w:val="auto"/>
          <w:sz w:val="24"/>
          <w:szCs w:val="24"/>
        </w:rPr>
        <w:t>Literature Review</w:t>
      </w:r>
      <w:bookmarkEnd w:id="9"/>
      <w:bookmarkEnd w:id="10"/>
    </w:p>
    <w:p w14:paraId="75FB5677" w14:textId="77777777" w:rsidR="00182643" w:rsidRPr="00BF1CC4" w:rsidRDefault="00182643" w:rsidP="008552A8">
      <w:pPr>
        <w:spacing w:line="360" w:lineRule="auto"/>
        <w:jc w:val="both"/>
      </w:pPr>
      <w:r w:rsidRPr="00BF1CC4">
        <w:t xml:space="preserve">The cost management efficiency theory postulates that choice of financial management strategies should take cognizance of the fact that not all of them fit equally well in all businesses </w:t>
      </w:r>
      <w:r w:rsidRPr="00BF1CC4">
        <w:fldChar w:fldCharType="begin"/>
      </w:r>
      <w:r w:rsidRPr="00BF1CC4">
        <w:instrText xml:space="preserve"> ADDIN EN.CITE &lt;EndNote&gt;&lt;Cite&gt;&lt;Author&gt;Ochande&lt;/Author&gt;&lt;Year&gt;2019&lt;/Year&gt;&lt;RecNum&gt;426&lt;/RecNum&gt;&lt;DisplayText&gt;(Ochande, 2019)&lt;/DisplayText&gt;&lt;record&gt;&lt;rec-number&gt;426&lt;/rec-number&gt;&lt;foreign-keys&gt;&lt;key app="EN" db-id="r0zpxf9dkzrv2yeppzfpxvz2ta5w2paa2fze" timestamp="1697796976"&gt;426&lt;/key&gt;&lt;/foreign-keys&gt;&lt;ref-type name="Thesis"&gt;32&lt;/ref-type&gt;&lt;contributors&gt;&lt;authors&gt;&lt;author&gt;Ochande, Geoffrey B&lt;/author&gt;&lt;/authors&gt;&lt;/contributors&gt;&lt;titles&gt;&lt;title&gt;Cost structure and Financial Performance Of Commercial Banks Listed at Nairobi Stock Exchange&lt;/title&gt;&lt;/titles&gt;&lt;dates&gt;&lt;year&gt;2019&lt;/year&gt;&lt;/dates&gt;&lt;publisher&gt;University of Nairobi&lt;/publisher&gt;&lt;urls&gt;&lt;/urls&gt;&lt;/record&gt;&lt;/Cite&gt;&lt;/EndNote&gt;</w:instrText>
      </w:r>
      <w:r w:rsidRPr="00BF1CC4">
        <w:fldChar w:fldCharType="separate"/>
      </w:r>
      <w:r w:rsidRPr="00BF1CC4">
        <w:rPr>
          <w:noProof/>
        </w:rPr>
        <w:t>(Ochande, 2019)</w:t>
      </w:r>
      <w:r w:rsidRPr="00BF1CC4">
        <w:fldChar w:fldCharType="end"/>
      </w:r>
      <w:r w:rsidRPr="00BF1CC4">
        <w:t xml:space="preserve">.  The essence of this theory in the context of commercial banks is that they are not subjected to conventional financial management standards. Effective cost management is therefore a central tenet in measuring accountability in businesses, and involves implementing strategies effectively, and requires provision of needed resources to maximize productivity and profitability at minimum cost </w:t>
      </w:r>
      <w:r w:rsidRPr="00BF1CC4">
        <w:fldChar w:fldCharType="begin"/>
      </w:r>
      <w:r w:rsidRPr="00BF1CC4">
        <w:instrText xml:space="preserve"> ADDIN EN.CITE &lt;EndNote&gt;&lt;Cite&gt;&lt;Author&gt;Gichuki&lt;/Author&gt;&lt;Year&gt;2014&lt;/Year&gt;&lt;RecNum&gt;427&lt;/RecNum&gt;&lt;DisplayText&gt;(Gichuki, 2014)&lt;/DisplayText&gt;&lt;record&gt;&lt;rec-number&gt;427&lt;/rec-number&gt;&lt;foreign-keys&gt;&lt;key app="EN" db-id="r0zpxf9dkzrv2yeppzfpxvz2ta5w2paa2fze" timestamp="1697797050"&gt;427&lt;/key&gt;&lt;/foreign-keys&gt;&lt;ref-type name="Thesis"&gt;32&lt;/ref-type&gt;&lt;contributors&gt;&lt;authors&gt;&lt;author&gt;Gichuki, Caroline Wanjiku&lt;/author&gt;&lt;/authors&gt;&lt;/contributors&gt;&lt;titles&gt;&lt;title&gt;Effect of cost management strategies on the financial performance of manufacturing companies listed on the Nairobi securities exchange&lt;/title&gt;&lt;/titles&gt;&lt;dates&gt;&lt;year&gt;2014&lt;/year&gt;&lt;/dates&gt;&lt;publisher&gt;University of Nairobi&lt;/publisher&gt;&lt;urls&gt;&lt;/urls&gt;&lt;/record&gt;&lt;/Cite&gt;&lt;/EndNote&gt;</w:instrText>
      </w:r>
      <w:r w:rsidRPr="00BF1CC4">
        <w:fldChar w:fldCharType="separate"/>
      </w:r>
      <w:r w:rsidRPr="00BF1CC4">
        <w:rPr>
          <w:noProof/>
        </w:rPr>
        <w:t>(Gichuki, 2014)</w:t>
      </w:r>
      <w:r w:rsidRPr="00BF1CC4">
        <w:fldChar w:fldCharType="end"/>
      </w:r>
      <w:r w:rsidRPr="00BF1CC4">
        <w:t xml:space="preserve">. </w:t>
      </w:r>
    </w:p>
    <w:p w14:paraId="59867438" w14:textId="784B9F9C" w:rsidR="00182643" w:rsidRPr="00BF1CC4" w:rsidRDefault="00182643" w:rsidP="008552A8">
      <w:pPr>
        <w:spacing w:after="240" w:line="360" w:lineRule="auto"/>
        <w:jc w:val="both"/>
      </w:pPr>
      <w:r w:rsidRPr="00BF1CC4">
        <w:t xml:space="preserve">The </w:t>
      </w:r>
      <w:r w:rsidR="00CC790C" w:rsidRPr="00BF1CC4">
        <w:t>second</w:t>
      </w:r>
      <w:r w:rsidRPr="00BF1CC4">
        <w:t xml:space="preserve"> theory that will underpin this study is the transaction cost economic theory. This theory is often associated with Williamson</w:t>
      </w:r>
      <w:r w:rsidR="0096743B" w:rsidRPr="00BF1CC4">
        <w:t>,</w:t>
      </w:r>
      <w:r w:rsidRPr="00BF1CC4">
        <w:t xml:space="preserve">  the theory gives a prediction when transactions are likely to occur in organizations or market, and also when new organizations are likely to come on board </w:t>
      </w:r>
      <w:r w:rsidRPr="00BF1CC4">
        <w:fldChar w:fldCharType="begin"/>
      </w:r>
      <w:r w:rsidRPr="00BF1CC4">
        <w:instrText xml:space="preserve"> ADDIN EN.CITE &lt;EndNote&gt;&lt;Cite&gt;&lt;Author&gt;Williamson&lt;/Author&gt;&lt;Year&gt;2014&lt;/Year&gt;&lt;RecNum&gt;431&lt;/RecNum&gt;&lt;DisplayText&gt;(Williamson, 2014)&lt;/DisplayText&gt;&lt;record&gt;&lt;rec-number&gt;431&lt;/rec-number&gt;&lt;foreign-keys&gt;&lt;key app="EN" db-id="r0zpxf9dkzrv2yeppzfpxvz2ta5w2paa2fze" timestamp="1697797966"&gt;431&lt;/key&gt;&lt;/foreign-keys&gt;&lt;ref-type name="Book Section"&gt;5&lt;/ref-type&gt;&lt;contributors&gt;&lt;authors&gt;&lt;author&gt;Williamson, Oliver E&lt;/author&gt;&lt;/authors&gt;&lt;/contributors&gt;&lt;titles&gt;&lt;title&gt;Interdisciplinary social science: The transaction cost economics project&lt;/title&gt;&lt;secondary-title&gt;Economics for the Curious: Inside the Minds of 12 Nobel Laureates&lt;/secondary-title&gt;&lt;/titles&gt;&lt;pages&gt;123-140&lt;/pages&gt;&lt;dates&gt;&lt;year&gt;2014&lt;/year&gt;&lt;/dates&gt;&lt;publisher&gt;Springer&lt;/publisher&gt;&lt;urls&gt;&lt;/urls&gt;&lt;/record&gt;&lt;/Cite&gt;&lt;/EndNote&gt;</w:instrText>
      </w:r>
      <w:r w:rsidRPr="00BF1CC4">
        <w:fldChar w:fldCharType="separate"/>
      </w:r>
      <w:r w:rsidRPr="00BF1CC4">
        <w:rPr>
          <w:noProof/>
        </w:rPr>
        <w:t>(Williamson, 2014)</w:t>
      </w:r>
      <w:r w:rsidRPr="00BF1CC4">
        <w:fldChar w:fldCharType="end"/>
      </w:r>
      <w:r w:rsidRPr="00BF1CC4">
        <w:t xml:space="preserve">. The transaction cost economic theory was used to anchor the macroeconomic variables. The study postulates </w:t>
      </w:r>
      <w:r w:rsidR="0096743B" w:rsidRPr="00BF1CC4">
        <w:t>that internal</w:t>
      </w:r>
      <w:r w:rsidRPr="00BF1CC4">
        <w:t xml:space="preserve"> transaction costs that may arise from activities such as bargaining and decision making, policing and enforcement, and searching for information among others, are likely to inform decisions to internalize such activities or not. Williamson argues that through the transaction cost theory, governance of forms of hybrids, markets, or hierarchies can be predicted </w:t>
      </w:r>
      <w:r w:rsidRPr="00BF1CC4">
        <w:fldChar w:fldCharType="begin"/>
      </w:r>
      <w:r w:rsidRPr="00BF1CC4">
        <w:instrText xml:space="preserve"> ADDIN EN.CITE &lt;EndNote&gt;&lt;Cite&gt;&lt;Author&gt;Williamson&lt;/Author&gt;&lt;Year&gt;2014&lt;/Year&gt;&lt;RecNum&gt;431&lt;/RecNum&gt;&lt;DisplayText&gt;(Williamson, 2014)&lt;/DisplayText&gt;&lt;record&gt;&lt;rec-number&gt;431&lt;/rec-number&gt;&lt;foreign-keys&gt;&lt;key app="EN" db-id="r0zpxf9dkzrv2yeppzfpxvz2ta5w2paa2fze" timestamp="1697797966"&gt;431&lt;/key&gt;&lt;/foreign-keys&gt;&lt;ref-type name="Book Section"&gt;5&lt;/ref-type&gt;&lt;contributors&gt;&lt;authors&gt;&lt;author&gt;Williamson, Oliver E&lt;/author&gt;&lt;/authors&gt;&lt;/contributors&gt;&lt;titles&gt;&lt;title&gt;Interdisciplinary social science: The transaction cost economics project&lt;/title&gt;&lt;secondary-title&gt;Economics for the Curious: Inside the Minds of 12 Nobel Laureates&lt;/secondary-title&gt;&lt;/titles&gt;&lt;pages&gt;123-140&lt;/pages&gt;&lt;dates&gt;&lt;year&gt;2014&lt;/year&gt;&lt;/dates&gt;&lt;publisher&gt;Springer&lt;/publisher&gt;&lt;urls&gt;&lt;/urls&gt;&lt;/record&gt;&lt;/Cite&gt;&lt;/EndNote&gt;</w:instrText>
      </w:r>
      <w:r w:rsidRPr="00BF1CC4">
        <w:fldChar w:fldCharType="separate"/>
      </w:r>
      <w:r w:rsidRPr="00BF1CC4">
        <w:rPr>
          <w:noProof/>
        </w:rPr>
        <w:t>(Williamson, 2014)</w:t>
      </w:r>
      <w:r w:rsidRPr="00BF1CC4">
        <w:fldChar w:fldCharType="end"/>
      </w:r>
      <w:r w:rsidRPr="00BF1CC4">
        <w:t xml:space="preserve">. Consequently, activities ought to be internalized depending on the transaction costs that they attract. </w:t>
      </w:r>
    </w:p>
    <w:p w14:paraId="31C3FAD4" w14:textId="187C0480" w:rsidR="00182643" w:rsidRPr="00BF1CC4" w:rsidRDefault="00182643" w:rsidP="008552A8">
      <w:pPr>
        <w:spacing w:line="360" w:lineRule="auto"/>
        <w:jc w:val="both"/>
      </w:pPr>
      <w:r w:rsidRPr="00BF1CC4">
        <w:t>The</w:t>
      </w:r>
      <w:r w:rsidR="00CC790C" w:rsidRPr="00BF1CC4">
        <w:t xml:space="preserve"> </w:t>
      </w:r>
      <w:r w:rsidRPr="00BF1CC4">
        <w:t xml:space="preserve">final theory that </w:t>
      </w:r>
      <w:r w:rsidR="0096743B" w:rsidRPr="00BF1CC4">
        <w:t>is</w:t>
      </w:r>
      <w:r w:rsidRPr="00BF1CC4">
        <w:t xml:space="preserve"> employed in this study is the inverted –U curve theory. This theory will be used to underpin bank’s external factors. This theory was proposed in 1908 by Robert Yerkes and John Dodson who were psychologists </w:t>
      </w:r>
      <w:r w:rsidRPr="00BF1CC4">
        <w:fldChar w:fldCharType="begin"/>
      </w:r>
      <w:r w:rsidRPr="00BF1CC4">
        <w:instrText xml:space="preserve"> ADDIN EN.CITE &lt;EndNote&gt;&lt;Cite&gt;&lt;Author&gt;Lu&lt;/Author&gt;&lt;Year&gt;2015&lt;/Year&gt;&lt;RecNum&gt;432&lt;/RecNum&gt;&lt;DisplayText&gt;(Lu&lt;style face="italic"&gt; et al.&lt;/style&gt;, 2015)&lt;/DisplayText&gt;&lt;record&gt;&lt;rec-number&gt;432&lt;/rec-number&gt;&lt;foreign-keys&gt;&lt;key app="EN" db-id="r0zpxf9dkzrv2yeppzfpxvz2ta5w2paa2fze" timestamp="1697798379"&gt;432&lt;/key&gt;&lt;/foreign-keys&gt;&lt;ref-type name="Journal Article"&gt;17&lt;/ref-type&gt;&lt;contributors&gt;&lt;authors&gt;&lt;author&gt;Lu, Xi&lt;/author&gt;&lt;author&gt;Xie, Xiaofei&lt;/author&gt;&lt;author&gt;Liu, Lu&lt;/author&gt;&lt;/authors&gt;&lt;/contributors&gt;&lt;titles&gt;&lt;title&gt;Inverted U-shaped model: How frequent repetition affects perceived risk&lt;/title&gt;&lt;secondary-title&gt;Judgment and Decision making&lt;/secondary-title&gt;&lt;/titles&gt;&lt;periodical&gt;&lt;full-title&gt;Judgment and Decision making&lt;/full-title&gt;&lt;/periodical&gt;&lt;pages&gt;219-224&lt;/pages&gt;&lt;volume&gt;10&lt;/volume&gt;&lt;number&gt;3&lt;/number&gt;&lt;dates&gt;&lt;year&gt;2015&lt;/year&gt;&lt;/dates&gt;&lt;isbn&gt;1930-2975&lt;/isbn&gt;&lt;urls&gt;&lt;/urls&gt;&lt;/record&gt;&lt;/Cite&gt;&lt;/EndNote&gt;</w:instrText>
      </w:r>
      <w:r w:rsidRPr="00BF1CC4">
        <w:fldChar w:fldCharType="separate"/>
      </w:r>
      <w:r w:rsidRPr="00BF1CC4">
        <w:rPr>
          <w:noProof/>
        </w:rPr>
        <w:t>(Lu</w:t>
      </w:r>
      <w:r w:rsidRPr="00BF1CC4">
        <w:rPr>
          <w:i/>
          <w:noProof/>
        </w:rPr>
        <w:t xml:space="preserve"> et al.</w:t>
      </w:r>
      <w:r w:rsidRPr="00BF1CC4">
        <w:rPr>
          <w:noProof/>
        </w:rPr>
        <w:t>, 2015)</w:t>
      </w:r>
      <w:r w:rsidRPr="00BF1CC4">
        <w:fldChar w:fldCharType="end"/>
      </w:r>
      <w:r w:rsidRPr="00BF1CC4">
        <w:t xml:space="preserve">. The inverted U-curve theory relates pressure and performance, and postulates that the correlation between pressure and performance is U-shaped such that, low pressure leads </w:t>
      </w:r>
      <w:r w:rsidRPr="00BF1CC4">
        <w:lastRenderedPageBreak/>
        <w:t xml:space="preserve">to boredom, moderate pressure elicits best performance while high pressure is a source of high stress, anxiety and unhappiness </w:t>
      </w:r>
      <w:r w:rsidRPr="00BF1CC4">
        <w:fldChar w:fldCharType="begin"/>
      </w:r>
      <w:r w:rsidRPr="00BF1CC4">
        <w:instrText xml:space="preserve"> ADDIN EN.CITE &lt;EndNote&gt;&lt;Cite&gt;&lt;Author&gt;Ma&lt;/Author&gt;&lt;Year&gt;2017&lt;/Year&gt;&lt;RecNum&gt;434&lt;/RecNum&gt;&lt;DisplayText&gt;(Ma&lt;style face="italic"&gt; et al.&lt;/style&gt;, 2017)&lt;/DisplayText&gt;&lt;record&gt;&lt;rec-number&gt;434&lt;/rec-number&gt;&lt;foreign-keys&gt;&lt;key app="EN" db-id="r0zpxf9dkzrv2yeppzfpxvz2ta5w2paa2fze" timestamp="1697798496"&gt;434&lt;/key&gt;&lt;/foreign-keys&gt;&lt;ref-type name="Journal Article"&gt;17&lt;/ref-type&gt;&lt;contributors&gt;&lt;authors&gt;&lt;author&gt;Ma, Qingguo&lt;/author&gt;&lt;author&gt;Pei, Guanxiong&lt;/author&gt;&lt;author&gt;Meng, Liang&lt;/author&gt;&lt;/authors&gt;&lt;/contributors&gt;&lt;titles&gt;&lt;title&gt;Inverted u-shaped curvilinear relationship between challenge and one&amp;apos;s intrinsic motivation: Evidence from event-related potentials&lt;/title&gt;&lt;secondary-title&gt;Frontiers in Neuroscience&lt;/secondary-title&gt;&lt;/titles&gt;&lt;periodical&gt;&lt;full-title&gt;Frontiers in Neuroscience&lt;/full-title&gt;&lt;/periodical&gt;&lt;pages&gt;131&lt;/pages&gt;&lt;volume&gt;11&lt;/volume&gt;&lt;dates&gt;&lt;year&gt;2017&lt;/year&gt;&lt;/dates&gt;&lt;isbn&gt;1662-453X&lt;/isbn&gt;&lt;urls&gt;&lt;/urls&gt;&lt;/record&gt;&lt;/Cite&gt;&lt;/EndNote&gt;</w:instrText>
      </w:r>
      <w:r w:rsidRPr="00BF1CC4">
        <w:fldChar w:fldCharType="separate"/>
      </w:r>
      <w:r w:rsidRPr="00BF1CC4">
        <w:rPr>
          <w:noProof/>
        </w:rPr>
        <w:t>(Ma</w:t>
      </w:r>
      <w:r w:rsidRPr="00BF1CC4">
        <w:rPr>
          <w:i/>
          <w:noProof/>
        </w:rPr>
        <w:t xml:space="preserve"> et al.</w:t>
      </w:r>
      <w:r w:rsidRPr="00BF1CC4">
        <w:rPr>
          <w:noProof/>
        </w:rPr>
        <w:t>, 2017)</w:t>
      </w:r>
      <w:r w:rsidRPr="00BF1CC4">
        <w:fldChar w:fldCharType="end"/>
      </w:r>
      <w:r w:rsidRPr="00BF1CC4">
        <w:t xml:space="preserve"> </w:t>
      </w:r>
    </w:p>
    <w:p w14:paraId="395E2701" w14:textId="397AE076" w:rsidR="00166460" w:rsidRPr="00BF1CC4" w:rsidRDefault="00182643" w:rsidP="008552A8">
      <w:pPr>
        <w:spacing w:before="100" w:beforeAutospacing="1" w:after="100" w:afterAutospacing="1" w:line="360" w:lineRule="auto"/>
        <w:jc w:val="both"/>
      </w:pPr>
      <w:r w:rsidRPr="00BF1CC4">
        <w:t>Choice of the inverted U-curve theory to anchor banks external factors is based on evidence which has highlighted a curvilinear relationship between banks external pressure and profitability (</w:t>
      </w:r>
      <w:r w:rsidRPr="00BF1CC4">
        <w:rPr>
          <w:shd w:val="clear" w:color="auto" w:fill="FFFFFF"/>
        </w:rPr>
        <w:t xml:space="preserve">Argilés-Bosch et al., </w:t>
      </w:r>
      <w:r w:rsidRPr="00BF1CC4">
        <w:t xml:space="preserve">2018; </w:t>
      </w:r>
      <w:r w:rsidR="0096743B" w:rsidRPr="00BF1CC4">
        <w:rPr>
          <w:shd w:val="clear" w:color="auto" w:fill="FFFFFF"/>
        </w:rPr>
        <w:t xml:space="preserve">Ramanathan, 2018; </w:t>
      </w:r>
      <w:r w:rsidRPr="00BF1CC4">
        <w:rPr>
          <w:shd w:val="clear" w:color="auto" w:fill="FFFFFF"/>
        </w:rPr>
        <w:t>Maqbool &amp; Bakr, 2019)</w:t>
      </w:r>
      <w:r w:rsidRPr="00BF1CC4">
        <w:t xml:space="preserve">. Through this evidence, it has been shown that as pressure posed by external factors increases, profitability first increases then levels off overtime, and finally starts to reduce as the pressure grows extremely large. This therefore confirms that financial performance in banks as a function of banks external factors could be explained by the inverted U-curve relationship. </w:t>
      </w:r>
    </w:p>
    <w:p w14:paraId="194E4BE6" w14:textId="0D515586" w:rsidR="00D27E36" w:rsidRPr="00BF1CC4" w:rsidRDefault="00471970" w:rsidP="008552A8">
      <w:pPr>
        <w:spacing w:before="100" w:beforeAutospacing="1" w:after="100" w:afterAutospacing="1" w:line="360" w:lineRule="auto"/>
        <w:jc w:val="both"/>
      </w:pPr>
      <w:bookmarkStart w:id="11" w:name="_Toc80654568"/>
      <w:bookmarkStart w:id="12" w:name="_Toc148807472"/>
      <w:r w:rsidRPr="00BF1CC4">
        <w:t xml:space="preserve">Scholars have explored an array of factors that are associated with bank performance. Through content analysis for instance, corporate social responsibility has been shown to be a positive and significant predictor of customer loyalty in the Kenya Commercial bank Eldoret branch </w:t>
      </w:r>
      <w:r w:rsidRPr="00BF1CC4">
        <w:fldChar w:fldCharType="begin"/>
      </w:r>
      <w:r w:rsidRPr="00BF1CC4">
        <w:instrText xml:space="preserve"> ADDIN EN.CITE &lt;EndNote&gt;&lt;Cite&gt;&lt;Author&gt;Barasa&lt;/Author&gt;&lt;Year&gt;2016&lt;/Year&gt;&lt;RecNum&gt;389&lt;/RecNum&gt;&lt;DisplayText&gt;(Barasa, 2016)&lt;/DisplayText&gt;&lt;record&gt;&lt;rec-number&gt;389&lt;/rec-number&gt;&lt;foreign-keys&gt;&lt;key app="EN" db-id="r0zpxf9dkzrv2yeppzfpxvz2ta5w2paa2fze" timestamp="1697629583"&gt;389&lt;/key&gt;&lt;/foreign-keys&gt;&lt;ref-type name="Thesis"&gt;32&lt;/ref-type&gt;&lt;contributors&gt;&lt;authors&gt;&lt;author&gt;Barasa, Wendy A&lt;/author&gt;&lt;/authors&gt;&lt;/contributors&gt;&lt;titles&gt;&lt;title&gt;Influence of corporate social responsibility on customer loyalty in Kenya commercial bank limited Eldoret town, Kenya&lt;/title&gt;&lt;/titles&gt;&lt;dates&gt;&lt;year&gt;2016&lt;/year&gt;&lt;/dates&gt;&lt;publisher&gt;University of Nairobi&lt;/publisher&gt;&lt;urls&gt;&lt;/urls&gt;&lt;/record&gt;&lt;/Cite&gt;&lt;/EndNote&gt;</w:instrText>
      </w:r>
      <w:r w:rsidRPr="00BF1CC4">
        <w:fldChar w:fldCharType="separate"/>
      </w:r>
      <w:r w:rsidRPr="00BF1CC4">
        <w:rPr>
          <w:noProof/>
        </w:rPr>
        <w:t>(Barasa, 2016)</w:t>
      </w:r>
      <w:r w:rsidRPr="00BF1CC4">
        <w:fldChar w:fldCharType="end"/>
      </w:r>
      <w:r w:rsidR="000828DE">
        <w:t>.</w:t>
      </w:r>
      <w:r w:rsidRPr="00BF1CC4">
        <w:t xml:space="preserve"> Evidence also shows that financial innovations have a positive and significant effect on the growth of commercial banks in Eldoret town (Kiprop </w:t>
      </w:r>
      <w:r w:rsidR="00101B82" w:rsidRPr="00BF1CC4">
        <w:t>et al.</w:t>
      </w:r>
      <w:r w:rsidRPr="00BF1CC4">
        <w:t xml:space="preserve">, 2016). Other studies exploring commercial banks in Eldoret have looked at among others; interest loan volatility and repayment of loans (Koech &amp; Maina, 2020); risk reduction strategies and minimization of fraud (Ogoro, 2014); ability of financial appraisals to mediate the relationship between banks sustainable performance and employee engagement </w:t>
      </w:r>
      <w:r w:rsidRPr="00BF1CC4">
        <w:fldChar w:fldCharType="begin"/>
      </w:r>
      <w:r w:rsidRPr="00BF1CC4">
        <w:instrText xml:space="preserve"> ADDIN EN.CITE &lt;EndNote&gt;&lt;Cite&gt;&lt;Author&gt;APIYO&lt;/Author&gt;&lt;Year&gt;2019&lt;/Year&gt;&lt;RecNum&gt;390&lt;/RecNum&gt;&lt;DisplayText&gt;(APIYO, 2019)&lt;/DisplayText&gt;&lt;record&gt;&lt;rec-number&gt;390&lt;/rec-number&gt;&lt;foreign-keys&gt;&lt;key app="EN" db-id="r0zpxf9dkzrv2yeppzfpxvz2ta5w2paa2fze" timestamp="1697630787"&gt;390&lt;/key&gt;&lt;/foreign-keys&gt;&lt;ref-type name="Thesis"&gt;32&lt;/ref-type&gt;&lt;contributors&gt;&lt;authors&gt;&lt;author&gt;APIYO, WENDY&lt;/author&gt;&lt;/authors&gt;&lt;/contributors&gt;&lt;titles&gt;&lt;title&gt;MEDIATING ROLE OF PERFORMANCE APPRAISAL ON THE RELATIONSHIP BETWEEN EMPLOYEE ENGAGEMENT STRATEGY AND SUSTAINABLE FIRM PERFORMANCE OF COMMERCIAL BANKS IN ELDORET&lt;/title&gt;&lt;/titles&gt;&lt;dates&gt;&lt;year&gt;2019&lt;/year&gt;&lt;/dates&gt;&lt;publisher&gt;University of Eldoret&lt;/publisher&gt;&lt;urls&gt;&lt;/urls&gt;&lt;/record&gt;&lt;/Cite&gt;&lt;/EndNote&gt;</w:instrText>
      </w:r>
      <w:r w:rsidRPr="00BF1CC4">
        <w:fldChar w:fldCharType="separate"/>
      </w:r>
      <w:r w:rsidRPr="00BF1CC4">
        <w:rPr>
          <w:noProof/>
        </w:rPr>
        <w:t>(</w:t>
      </w:r>
      <w:r w:rsidR="001A38C3" w:rsidRPr="00BF1CC4">
        <w:rPr>
          <w:noProof/>
        </w:rPr>
        <w:t>Apiyo</w:t>
      </w:r>
      <w:r w:rsidRPr="00BF1CC4">
        <w:rPr>
          <w:noProof/>
        </w:rPr>
        <w:t>, 2019</w:t>
      </w:r>
      <w:r w:rsidRPr="00BF1CC4">
        <w:fldChar w:fldCharType="end"/>
      </w:r>
      <w:r w:rsidRPr="00BF1CC4">
        <w:t xml:space="preserve">; </w:t>
      </w:r>
      <w:r w:rsidRPr="00BF1CC4">
        <w:fldChar w:fldCharType="begin"/>
      </w:r>
      <w:r w:rsidRPr="00BF1CC4">
        <w:instrText xml:space="preserve"> ADDIN EN.CITE &lt;EndNote&gt;&lt;Cite&gt;&lt;Author&gt;WENDY&lt;/Author&gt;&lt;Year&gt;2019&lt;/Year&gt;&lt;RecNum&gt;391&lt;/RecNum&gt;&lt;DisplayText&gt;(WENDY, 2019)&lt;/DisplayText&gt;&lt;record&gt;&lt;rec-number&gt;391&lt;/rec-number&gt;&lt;foreign-keys&gt;&lt;key app="EN" db-id="r0zpxf9dkzrv2yeppzfpxvz2ta5w2paa2fze" timestamp="1697631047"&gt;391&lt;/key&gt;&lt;/foreign-keys&gt;&lt;ref-type name="Thesis"&gt;32&lt;/ref-type&gt;&lt;contributors&gt;&lt;authors&gt;&lt;author&gt;WENDY, ELDAH APIYO&lt;/author&gt;&lt;/authors&gt;&lt;/contributors&gt;&lt;titles&gt;&lt;title&gt;MEDIATING ROLE OF PERFORMANCE APPRAISAL ON THE RELATIONSHIP BETWEEN EMPLOYEE ENGAGEMENT STRATEGY AND SUSTAINABLE FIRM PERFORMANCE OF COMMERCIAL BANKS&lt;/title&gt;&lt;/titles&gt;&lt;dates&gt;&lt;year&gt;2019&lt;/year&gt;&lt;/dates&gt;&lt;urls&gt;&lt;/urls&gt;&lt;/record&gt;&lt;/Cite&gt;&lt;/EndNote&gt;</w:instrText>
      </w:r>
      <w:r w:rsidRPr="00BF1CC4">
        <w:fldChar w:fldCharType="separate"/>
      </w:r>
      <w:r w:rsidR="001A38C3" w:rsidRPr="00BF1CC4">
        <w:rPr>
          <w:noProof/>
        </w:rPr>
        <w:t>Wendy</w:t>
      </w:r>
      <w:r w:rsidRPr="00BF1CC4">
        <w:rPr>
          <w:noProof/>
        </w:rPr>
        <w:t>, 2019)</w:t>
      </w:r>
      <w:r w:rsidRPr="00BF1CC4">
        <w:fldChar w:fldCharType="end"/>
      </w:r>
      <w:r w:rsidRPr="00BF1CC4">
        <w:t xml:space="preserve"> and the effect of customer service and bank performance </w:t>
      </w:r>
      <w:r w:rsidRPr="00BF1CC4">
        <w:fldChar w:fldCharType="begin"/>
      </w:r>
      <w:r w:rsidRPr="00BF1CC4">
        <w:instrText xml:space="preserve"> ADDIN EN.CITE &lt;EndNote&gt;&lt;Cite&gt;&lt;Author&gt;William&lt;/Author&gt;&lt;Year&gt;2023&lt;/Year&gt;&lt;RecNum&gt;364&lt;/RecNum&gt;&lt;DisplayText&gt;(William &amp;amp; Njuguna, 2023)&lt;/DisplayText&gt;&lt;record&gt;&lt;rec-number&gt;364&lt;/rec-number&gt;&lt;foreign-keys&gt;&lt;key app="EN" db-id="r0zpxf9dkzrv2yeppzfpxvz2ta5w2paa2fze" timestamp="1697622288"&gt;364&lt;/key&gt;&lt;/foreign-keys&gt;&lt;ref-type name="Journal Article"&gt;17&lt;/ref-type&gt;&lt;contributors&gt;&lt;authors&gt;&lt;author&gt;William, Nick Chemosit&lt;/author&gt;&lt;author&gt;Njuguna, Jane&lt;/author&gt;&lt;/authors&gt;&lt;/contributors&gt;&lt;titles&gt;&lt;title&gt;Customer Service Strategies and Bank Performance in Kenya. A Survey of Selected Commercial Banks in Eldoret Town, Uasin Gishu County Kenya&lt;/title&gt;&lt;secondary-title&gt;Journal of Strategic Management&lt;/secondary-title&gt;&lt;/titles&gt;&lt;periodical&gt;&lt;full-title&gt;Journal of Strategic Management&lt;/full-title&gt;&lt;/periodical&gt;&lt;pages&gt;1-14&lt;/pages&gt;&lt;volume&gt;3&lt;/volume&gt;&lt;number&gt;2&lt;/number&gt;&lt;dates&gt;&lt;year&gt;2023&lt;/year&gt;&lt;/dates&gt;&lt;isbn&gt;2789-4851&lt;/isbn&gt;&lt;urls&gt;&lt;/urls&gt;&lt;/record&gt;&lt;/Cite&gt;&lt;/EndNote&gt;</w:instrText>
      </w:r>
      <w:r w:rsidRPr="00BF1CC4">
        <w:fldChar w:fldCharType="separate"/>
      </w:r>
      <w:r w:rsidRPr="00BF1CC4">
        <w:rPr>
          <w:noProof/>
        </w:rPr>
        <w:t>(William &amp; Njuguna, 2023)</w:t>
      </w:r>
      <w:r w:rsidRPr="00BF1CC4">
        <w:fldChar w:fldCharType="end"/>
      </w:r>
      <w:r w:rsidRPr="00BF1CC4">
        <w:t>.</w:t>
      </w:r>
    </w:p>
    <w:p w14:paraId="7E4C0479" w14:textId="79BAB746" w:rsidR="00182643" w:rsidRPr="00BF1CC4" w:rsidRDefault="00607DF3" w:rsidP="008552A8">
      <w:pPr>
        <w:pStyle w:val="Heading2"/>
        <w:spacing w:line="360" w:lineRule="auto"/>
        <w:rPr>
          <w:rFonts w:ascii="Times New Roman" w:hAnsi="Times New Roman" w:cs="Times New Roman"/>
          <w:color w:val="auto"/>
          <w:sz w:val="24"/>
          <w:szCs w:val="24"/>
        </w:rPr>
      </w:pPr>
      <w:r w:rsidRPr="00BF1CC4">
        <w:rPr>
          <w:rFonts w:ascii="Times New Roman" w:hAnsi="Times New Roman" w:cs="Times New Roman"/>
          <w:color w:val="auto"/>
          <w:sz w:val="24"/>
          <w:szCs w:val="24"/>
        </w:rPr>
        <w:t xml:space="preserve">3 </w:t>
      </w:r>
      <w:r w:rsidR="00CC790C" w:rsidRPr="00BF1CC4">
        <w:rPr>
          <w:rFonts w:ascii="Times New Roman" w:hAnsi="Times New Roman" w:cs="Times New Roman"/>
          <w:color w:val="auto"/>
          <w:sz w:val="24"/>
          <w:szCs w:val="24"/>
        </w:rPr>
        <w:t>Research Methodology</w:t>
      </w:r>
      <w:bookmarkEnd w:id="11"/>
      <w:bookmarkEnd w:id="12"/>
    </w:p>
    <w:p w14:paraId="2AAD2225" w14:textId="5FACB8CC" w:rsidR="00B02E30" w:rsidRPr="00BF1CC4" w:rsidRDefault="00B02E30" w:rsidP="008552A8">
      <w:pPr>
        <w:pStyle w:val="Heading2"/>
        <w:spacing w:line="360" w:lineRule="auto"/>
        <w:rPr>
          <w:rFonts w:ascii="Times New Roman" w:hAnsi="Times New Roman" w:cs="Times New Roman"/>
          <w:color w:val="auto"/>
          <w:sz w:val="24"/>
          <w:szCs w:val="24"/>
        </w:rPr>
      </w:pPr>
      <w:bookmarkStart w:id="13" w:name="_Toc80654573"/>
      <w:bookmarkStart w:id="14" w:name="_Toc148807476"/>
      <w:bookmarkStart w:id="15" w:name="_Toc80654572"/>
      <w:r w:rsidRPr="00BF1CC4">
        <w:rPr>
          <w:rFonts w:ascii="Times New Roman" w:hAnsi="Times New Roman" w:cs="Times New Roman"/>
          <w:color w:val="auto"/>
          <w:sz w:val="24"/>
          <w:szCs w:val="24"/>
        </w:rPr>
        <w:t xml:space="preserve">3.1 Data </w:t>
      </w:r>
      <w:bookmarkEnd w:id="13"/>
      <w:r w:rsidRPr="00BF1CC4">
        <w:rPr>
          <w:rFonts w:ascii="Times New Roman" w:hAnsi="Times New Roman" w:cs="Times New Roman"/>
          <w:color w:val="auto"/>
          <w:sz w:val="24"/>
          <w:szCs w:val="24"/>
        </w:rPr>
        <w:t>types and sources</w:t>
      </w:r>
      <w:bookmarkEnd w:id="14"/>
      <w:r w:rsidRPr="00BF1CC4">
        <w:rPr>
          <w:rFonts w:ascii="Times New Roman" w:hAnsi="Times New Roman" w:cs="Times New Roman"/>
          <w:color w:val="auto"/>
          <w:sz w:val="24"/>
          <w:szCs w:val="24"/>
        </w:rPr>
        <w:t xml:space="preserve"> </w:t>
      </w:r>
    </w:p>
    <w:p w14:paraId="048A98CA" w14:textId="5CA8A839" w:rsidR="00182643" w:rsidRPr="00BF1CC4" w:rsidRDefault="00182643" w:rsidP="008552A8">
      <w:pPr>
        <w:spacing w:after="240" w:line="360" w:lineRule="auto"/>
        <w:jc w:val="both"/>
      </w:pPr>
      <w:r w:rsidRPr="00BF1CC4">
        <w:t xml:space="preserve">In this investigation, a </w:t>
      </w:r>
      <w:r w:rsidR="002E17E8">
        <w:t>quantitative</w:t>
      </w:r>
      <w:r w:rsidRPr="00BF1CC4">
        <w:t xml:space="preserve"> research design was employed. This design was selected because it involves the collection of quantitative data on the same variable over an extended duration. Given that the study revolves around a panel dataset spanning ten years, from 2011 to 2020 on nexus between bank specific factors, macroeconomic drivers and financial performance of </w:t>
      </w:r>
      <w:r w:rsidR="00CD755D">
        <w:t xml:space="preserve">9 </w:t>
      </w:r>
      <w:r w:rsidRPr="00BF1CC4">
        <w:t xml:space="preserve">commercial banks listed in Nairobi </w:t>
      </w:r>
      <w:bookmarkStart w:id="16" w:name="_Hlk177980427"/>
      <w:r w:rsidR="002E17E8">
        <w:t>Securities</w:t>
      </w:r>
      <w:r w:rsidRPr="00BF1CC4">
        <w:t xml:space="preserve"> </w:t>
      </w:r>
      <w:bookmarkEnd w:id="16"/>
      <w:r w:rsidRPr="00BF1CC4">
        <w:lastRenderedPageBreak/>
        <w:t>Exchange</w:t>
      </w:r>
      <w:r w:rsidR="002E17E8">
        <w:t xml:space="preserve"> (NSE)</w:t>
      </w:r>
      <w:r w:rsidRPr="00BF1CC4">
        <w:t xml:space="preserve">, Kenya, the </w:t>
      </w:r>
      <w:r w:rsidR="002E17E8">
        <w:t>quantitative</w:t>
      </w:r>
      <w:r w:rsidRPr="00BF1CC4">
        <w:t xml:space="preserve"> research design was deemed particularly suitable, allowing for a comprehensive analysis of trends and changes over time.</w:t>
      </w:r>
    </w:p>
    <w:bookmarkEnd w:id="15"/>
    <w:p w14:paraId="6A68E633" w14:textId="4E818B54" w:rsidR="008552A8" w:rsidRPr="00BF1CC4" w:rsidRDefault="00182643" w:rsidP="008552A8">
      <w:pPr>
        <w:spacing w:line="360" w:lineRule="auto"/>
        <w:jc w:val="both"/>
      </w:pPr>
      <w:r w:rsidRPr="00BF1CC4">
        <w:t xml:space="preserve">This study used data sourced from annual financial statements of commercial banks listed in Nairobi </w:t>
      </w:r>
      <w:r w:rsidR="002E17E8">
        <w:t>Securities</w:t>
      </w:r>
      <w:r w:rsidR="002E17E8" w:rsidRPr="00BF1CC4">
        <w:t xml:space="preserve"> </w:t>
      </w:r>
      <w:r w:rsidRPr="00BF1CC4">
        <w:t>Exchange, Kenya. Secondary data relates to data that were collected through primary sources, but are readily available for use in other related</w:t>
      </w:r>
      <w:r w:rsidR="002E17E8">
        <w:t xml:space="preserve"> sources</w:t>
      </w:r>
      <w:r w:rsidRPr="00BF1CC4">
        <w:t xml:space="preserve"> </w:t>
      </w:r>
      <w:r w:rsidRPr="00BF1CC4">
        <w:fldChar w:fldCharType="begin"/>
      </w:r>
      <w:r w:rsidRPr="00BF1CC4">
        <w:instrText xml:space="preserve"> ADDIN EN.CITE &lt;EndNote&gt;&lt;Cite&gt;&lt;Author&gt;Allen&lt;/Author&gt;&lt;Year&gt;2017&lt;/Year&gt;&lt;RecNum&gt;363&lt;/RecNum&gt;&lt;DisplayText&gt;(Allen, 2017)&lt;/DisplayText&gt;&lt;record&gt;&lt;rec-number&gt;363&lt;/rec-number&gt;&lt;foreign-keys&gt;&lt;key app="EN" db-id="r0zpxf9dkzrv2yeppzfpxvz2ta5w2paa2fze" timestamp="1697278336"&gt;363&lt;/key&gt;&lt;/foreign-keys&gt;&lt;ref-type name="Book"&gt;6&lt;/ref-type&gt;&lt;contributors&gt;&lt;authors&gt;&lt;author&gt;Allen, Mike&lt;/author&gt;&lt;/authors&gt;&lt;/contributors&gt;&lt;titles&gt;&lt;title&gt;The SAGE encyclopedia of communication research methods&lt;/title&gt;&lt;/titles&gt;&lt;dates&gt;&lt;year&gt;2017&lt;/year&gt;&lt;/dates&gt;&lt;publisher&gt;SAGE publications&lt;/publisher&gt;&lt;isbn&gt;1483381420&lt;/isbn&gt;&lt;urls&gt;&lt;/urls&gt;&lt;/record&gt;&lt;/Cite&gt;&lt;/EndNote&gt;</w:instrText>
      </w:r>
      <w:r w:rsidRPr="00BF1CC4">
        <w:fldChar w:fldCharType="separate"/>
      </w:r>
      <w:r w:rsidRPr="00BF1CC4">
        <w:rPr>
          <w:noProof/>
        </w:rPr>
        <w:t>(Allen, 2017)</w:t>
      </w:r>
      <w:r w:rsidRPr="00BF1CC4">
        <w:fldChar w:fldCharType="end"/>
      </w:r>
      <w:r w:rsidRPr="00BF1CC4">
        <w:t>. For this study, financial statements which will have been prepared ostensibly to show the position of the banks in various financial ratios that define financial performance</w:t>
      </w:r>
      <w:r w:rsidR="002E17E8">
        <w:t xml:space="preserve"> and profitability</w:t>
      </w:r>
      <w:r w:rsidRPr="00BF1CC4">
        <w:t xml:space="preserve"> was the source of secondary data. Financial statements for the period 2011 to 2020 </w:t>
      </w:r>
      <w:r w:rsidR="0010382A" w:rsidRPr="00BF1CC4">
        <w:t>is</w:t>
      </w:r>
      <w:r w:rsidRPr="00BF1CC4">
        <w:t xml:space="preserve"> therefore examined to collect data for the three vectors of independent variables and for the bank’s financial performance.</w:t>
      </w:r>
      <w:r w:rsidR="00B02E30" w:rsidRPr="00BF1CC4">
        <w:t xml:space="preserve"> </w:t>
      </w:r>
      <w:r w:rsidRPr="00BF1CC4">
        <w:t>Content analysis that is a checklist of the variable under study was prepared. Secondary data research focuses on identification of appropriate data sets.</w:t>
      </w:r>
      <w:r w:rsidR="00D74237" w:rsidRPr="00BF1CC4">
        <w:t xml:space="preserve"> </w:t>
      </w:r>
      <w:r w:rsidR="00B02E30" w:rsidRPr="00BF1CC4">
        <w:t>The study variables were measured by computing relevant ratios.</w:t>
      </w:r>
      <w:r w:rsidR="002E17E8">
        <w:t xml:space="preserve"> </w:t>
      </w:r>
      <w:r w:rsidR="00CD1ADF" w:rsidRPr="00CD1ADF">
        <w:t xml:space="preserve">Majority of prior profitability studies commonly used two main proxies to measure profitability which are ROA </w:t>
      </w:r>
      <w:r w:rsidR="00CD1ADF">
        <w:t xml:space="preserve">(Return on assert) </w:t>
      </w:r>
      <w:r w:rsidR="00CD1ADF" w:rsidRPr="00CD1ADF">
        <w:t>and ROE</w:t>
      </w:r>
      <w:r w:rsidR="00CD1ADF">
        <w:t xml:space="preserve"> (Return on Equity)</w:t>
      </w:r>
      <w:r w:rsidR="00FD7A9C">
        <w:t xml:space="preserve"> (</w:t>
      </w:r>
      <w:r w:rsidR="00FD7A9C" w:rsidRPr="00BF1CC4">
        <w:rPr>
          <w:rFonts w:eastAsiaTheme="minorHAnsi"/>
        </w:rPr>
        <w:fldChar w:fldCharType="begin"/>
      </w:r>
      <w:r w:rsidR="00FD7A9C" w:rsidRPr="00BF1CC4">
        <w:rPr>
          <w:rFonts w:eastAsiaTheme="minorHAnsi"/>
        </w:rPr>
        <w:instrText xml:space="preserve"> ADDIN EN.CITE &lt;EndNote&gt;&lt;Cite&gt;&lt;Author&gt;Almarzoqi&lt;/Author&gt;&lt;Year&gt;2015&lt;/Year&gt;&lt;RecNum&gt;344&lt;/RecNum&gt;&lt;DisplayText&gt;(Almarzoqi&lt;style face="italic"&gt; et al.&lt;/style&gt;, 2015)&lt;/DisplayText&gt;&lt;record&gt;&lt;rec-number&gt;344&lt;/rec-number&gt;&lt;foreign-keys&gt;&lt;key app="EN" db-id="r0zpxf9dkzrv2yeppzfpxvz2ta5w2paa2fze" timestamp="1696935134"&gt;344&lt;/key&gt;&lt;/foreign-keys&gt;&lt;ref-type name="Book"&gt;6&lt;/ref-type&gt;&lt;contributors&gt;&lt;authors&gt;&lt;author&gt;Almarzoqi, Raja&lt;/author&gt;&lt;author&gt;Naceur, Mr Sami Ben&lt;/author&gt;&lt;author&gt;Scopelliti, Alessandro&lt;/author&gt;&lt;/authors&gt;&lt;/contributors&gt;&lt;titles&gt;&lt;title&gt;How does bank competition affect solvency, liquidity and credit risk? Evidence from the MENA countries&lt;/title&gt;&lt;/titles&gt;&lt;dates&gt;&lt;year&gt;2015&lt;/year&gt;&lt;/dates&gt;&lt;publisher&gt;International Monetary Fund&lt;/publisher&gt;&lt;isbn&gt;1513581910&lt;/isbn&gt;&lt;urls&gt;&lt;/urls&gt;&lt;/record&gt;&lt;/Cite&gt;&lt;/EndNote&gt;</w:instrText>
      </w:r>
      <w:r w:rsidR="00FD7A9C" w:rsidRPr="00BF1CC4">
        <w:rPr>
          <w:rFonts w:eastAsiaTheme="minorHAnsi"/>
        </w:rPr>
        <w:fldChar w:fldCharType="separate"/>
      </w:r>
      <w:r w:rsidR="00FD7A9C" w:rsidRPr="00BF1CC4">
        <w:rPr>
          <w:rFonts w:eastAsiaTheme="minorHAnsi"/>
          <w:noProof/>
        </w:rPr>
        <w:t>Almarzoqi</w:t>
      </w:r>
      <w:r w:rsidR="00FD7A9C" w:rsidRPr="00BF1CC4">
        <w:rPr>
          <w:rFonts w:eastAsiaTheme="minorHAnsi"/>
          <w:i/>
          <w:noProof/>
        </w:rPr>
        <w:t xml:space="preserve"> et al.</w:t>
      </w:r>
      <w:r w:rsidR="00FD7A9C" w:rsidRPr="00BF1CC4">
        <w:rPr>
          <w:rFonts w:eastAsiaTheme="minorHAnsi"/>
          <w:noProof/>
        </w:rPr>
        <w:t>, 2015)</w:t>
      </w:r>
      <w:r w:rsidR="00FD7A9C" w:rsidRPr="00BF1CC4">
        <w:rPr>
          <w:rFonts w:eastAsiaTheme="minorHAnsi"/>
        </w:rPr>
        <w:fldChar w:fldCharType="end"/>
      </w:r>
      <w:r w:rsidR="00CD1ADF">
        <w:t>.</w:t>
      </w:r>
      <w:r w:rsidR="002D008E" w:rsidRPr="002D008E">
        <w:t xml:space="preserve"> However, this study uses ROE as proxy for banks’ profitability. ROE is measured as the percentage of a year’s net profit to the total equity of the same year</w:t>
      </w:r>
      <w:r w:rsidR="002D008E">
        <w:t>.</w:t>
      </w:r>
      <w:r w:rsidR="00B02E30" w:rsidRPr="00BF1CC4">
        <w:t xml:space="preserve"> Table 1 gives a summary of variable measurement.</w:t>
      </w:r>
    </w:p>
    <w:p w14:paraId="2E8D3AA7" w14:textId="3A786EFA" w:rsidR="00B02E30" w:rsidRPr="00BF1CC4" w:rsidRDefault="00B02E30" w:rsidP="008552A8">
      <w:pPr>
        <w:spacing w:before="100" w:beforeAutospacing="1" w:line="360" w:lineRule="auto"/>
        <w:jc w:val="both"/>
        <w:rPr>
          <w:b/>
        </w:rPr>
      </w:pPr>
      <w:r w:rsidRPr="00BF1CC4">
        <w:rPr>
          <w:b/>
        </w:rPr>
        <w:t xml:space="preserve">Table 1 Variable measurement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5"/>
        <w:gridCol w:w="2517"/>
        <w:gridCol w:w="1840"/>
        <w:gridCol w:w="1454"/>
        <w:gridCol w:w="1210"/>
      </w:tblGrid>
      <w:tr w:rsidR="00BF1CC4" w:rsidRPr="00BF1CC4" w14:paraId="3A2A6A7A" w14:textId="77777777" w:rsidTr="00FB7AFC">
        <w:tc>
          <w:tcPr>
            <w:tcW w:w="1036" w:type="pct"/>
          </w:tcPr>
          <w:p w14:paraId="7B0FD7FB" w14:textId="77777777" w:rsidR="00B02E30" w:rsidRPr="00BF1CC4" w:rsidRDefault="00B02E30" w:rsidP="008552A8">
            <w:pPr>
              <w:spacing w:line="360" w:lineRule="auto"/>
              <w:jc w:val="both"/>
              <w:rPr>
                <w:b/>
              </w:rPr>
            </w:pPr>
            <w:bookmarkStart w:id="17" w:name="_Toc80654582"/>
            <w:r w:rsidRPr="00BF1CC4">
              <w:rPr>
                <w:b/>
              </w:rPr>
              <w:t>Vector</w:t>
            </w:r>
          </w:p>
        </w:tc>
        <w:tc>
          <w:tcPr>
            <w:tcW w:w="1421" w:type="pct"/>
          </w:tcPr>
          <w:p w14:paraId="29DDA4AE" w14:textId="77777777" w:rsidR="00B02E30" w:rsidRPr="00BF1CC4" w:rsidRDefault="00B02E30" w:rsidP="008552A8">
            <w:pPr>
              <w:spacing w:line="360" w:lineRule="auto"/>
              <w:jc w:val="both"/>
              <w:rPr>
                <w:b/>
              </w:rPr>
            </w:pPr>
            <w:r w:rsidRPr="00BF1CC4">
              <w:rPr>
                <w:b/>
              </w:rPr>
              <w:t>Variables</w:t>
            </w:r>
          </w:p>
        </w:tc>
        <w:tc>
          <w:tcPr>
            <w:tcW w:w="1039" w:type="pct"/>
          </w:tcPr>
          <w:p w14:paraId="370381A6" w14:textId="77777777" w:rsidR="00B02E30" w:rsidRPr="00BF1CC4" w:rsidRDefault="00B02E30" w:rsidP="008552A8">
            <w:pPr>
              <w:spacing w:after="100" w:afterAutospacing="1" w:line="360" w:lineRule="auto"/>
              <w:jc w:val="both"/>
              <w:rPr>
                <w:b/>
              </w:rPr>
            </w:pPr>
            <w:r w:rsidRPr="00BF1CC4">
              <w:rPr>
                <w:b/>
              </w:rPr>
              <w:t>Computation</w:t>
            </w:r>
          </w:p>
        </w:tc>
        <w:tc>
          <w:tcPr>
            <w:tcW w:w="821" w:type="pct"/>
          </w:tcPr>
          <w:p w14:paraId="1C91A05D" w14:textId="77777777" w:rsidR="00B02E30" w:rsidRPr="00BF1CC4" w:rsidRDefault="00B02E30" w:rsidP="008552A8">
            <w:pPr>
              <w:spacing w:after="100" w:afterAutospacing="1" w:line="360" w:lineRule="auto"/>
              <w:jc w:val="both"/>
              <w:rPr>
                <w:b/>
              </w:rPr>
            </w:pPr>
            <w:r w:rsidRPr="00BF1CC4">
              <w:rPr>
                <w:b/>
              </w:rPr>
              <w:t xml:space="preserve">Source </w:t>
            </w:r>
          </w:p>
        </w:tc>
        <w:tc>
          <w:tcPr>
            <w:tcW w:w="683" w:type="pct"/>
          </w:tcPr>
          <w:p w14:paraId="19C1C835" w14:textId="5A6C4480" w:rsidR="00B02E30" w:rsidRPr="00BF1CC4" w:rsidRDefault="00B02E30" w:rsidP="008552A8">
            <w:pPr>
              <w:spacing w:after="100" w:afterAutospacing="1" w:line="360" w:lineRule="auto"/>
              <w:jc w:val="both"/>
              <w:rPr>
                <w:b/>
              </w:rPr>
            </w:pPr>
            <w:r w:rsidRPr="00BF1CC4">
              <w:rPr>
                <w:b/>
              </w:rPr>
              <w:t xml:space="preserve">Expected </w:t>
            </w:r>
            <w:r w:rsidR="00FB7AFC">
              <w:rPr>
                <w:b/>
              </w:rPr>
              <w:t>sign</w:t>
            </w:r>
          </w:p>
        </w:tc>
      </w:tr>
      <w:tr w:rsidR="00BF1CC4" w:rsidRPr="00BF1CC4" w14:paraId="64E55837" w14:textId="77777777" w:rsidTr="00FB7AFC">
        <w:tc>
          <w:tcPr>
            <w:tcW w:w="1036" w:type="pct"/>
            <w:vMerge w:val="restart"/>
          </w:tcPr>
          <w:p w14:paraId="0843A044" w14:textId="5A100F7A" w:rsidR="00B02E30" w:rsidRPr="00BF1CC4" w:rsidRDefault="00B02E30" w:rsidP="008552A8">
            <w:pPr>
              <w:spacing w:after="100" w:afterAutospacing="1" w:line="360" w:lineRule="auto"/>
              <w:jc w:val="both"/>
            </w:pPr>
            <w:r w:rsidRPr="00BF1CC4">
              <w:t>Bank</w:t>
            </w:r>
            <w:r w:rsidR="00FB7AFC">
              <w:t xml:space="preserve"> </w:t>
            </w:r>
            <w:r w:rsidR="003F4723">
              <w:t>specific f</w:t>
            </w:r>
            <w:r w:rsidRPr="00BF1CC4">
              <w:t>actors</w:t>
            </w:r>
          </w:p>
          <w:p w14:paraId="2568114B" w14:textId="77777777" w:rsidR="00B02E30" w:rsidRPr="00BF1CC4" w:rsidRDefault="00B02E30" w:rsidP="008552A8">
            <w:pPr>
              <w:spacing w:before="100" w:beforeAutospacing="1" w:after="100" w:afterAutospacing="1" w:line="360" w:lineRule="auto"/>
              <w:jc w:val="both"/>
              <w:outlineLvl w:val="0"/>
            </w:pPr>
          </w:p>
        </w:tc>
        <w:tc>
          <w:tcPr>
            <w:tcW w:w="1421" w:type="pct"/>
          </w:tcPr>
          <w:p w14:paraId="246C33C1" w14:textId="6D05FDEA" w:rsidR="00B02E30" w:rsidRPr="00BF1CC4" w:rsidRDefault="00B02E30" w:rsidP="008552A8">
            <w:pPr>
              <w:spacing w:after="100" w:afterAutospacing="1" w:line="360" w:lineRule="auto"/>
              <w:jc w:val="both"/>
            </w:pPr>
            <w:r w:rsidRPr="00BF1CC4">
              <w:t>Tax rate Proxy Effective tax rate (</w:t>
            </w:r>
            <w:r w:rsidRPr="00BF1CC4">
              <w:rPr>
                <w:rFonts w:eastAsiaTheme="minorHAnsi"/>
              </w:rPr>
              <w:t>EFFR)</w:t>
            </w:r>
          </w:p>
        </w:tc>
        <w:tc>
          <w:tcPr>
            <w:tcW w:w="1039" w:type="pct"/>
          </w:tcPr>
          <w:p w14:paraId="660A2DDB" w14:textId="77777777" w:rsidR="00B02E30" w:rsidRPr="00BF1CC4" w:rsidRDefault="00B02E30" w:rsidP="008552A8">
            <w:pPr>
              <w:spacing w:after="100" w:afterAutospacing="1" w:line="360" w:lineRule="auto"/>
              <w:jc w:val="both"/>
            </w:pPr>
            <w:r w:rsidRPr="00BF1CC4">
              <w:rPr>
                <w:rFonts w:eastAsiaTheme="minorHAnsi"/>
              </w:rPr>
              <w:t>EFFR</w:t>
            </w:r>
            <w:r w:rsidRPr="00BF1CC4">
              <w:t xml:space="preserve"> = Total Tax ÷ Earnings Before Taxes</w:t>
            </w:r>
          </w:p>
        </w:tc>
        <w:tc>
          <w:tcPr>
            <w:tcW w:w="821" w:type="pct"/>
          </w:tcPr>
          <w:p w14:paraId="2F8E13FC" w14:textId="38C44020" w:rsidR="00B02E30" w:rsidRPr="00BF1CC4" w:rsidRDefault="00B02E30" w:rsidP="008552A8">
            <w:pPr>
              <w:spacing w:after="100" w:afterAutospacing="1" w:line="360" w:lineRule="auto"/>
              <w:jc w:val="both"/>
            </w:pPr>
            <w:r w:rsidRPr="00BF1CC4">
              <w:rPr>
                <w:shd w:val="clear" w:color="auto" w:fill="FFFFFF"/>
              </w:rPr>
              <w:t>Christensen</w:t>
            </w:r>
            <w:r w:rsidR="006D5F60" w:rsidRPr="00BF1CC4">
              <w:rPr>
                <w:shd w:val="clear" w:color="auto" w:fill="FFFFFF"/>
              </w:rPr>
              <w:t xml:space="preserve"> et al.  </w:t>
            </w:r>
            <w:r w:rsidRPr="00BF1CC4">
              <w:rPr>
                <w:shd w:val="clear" w:color="auto" w:fill="FFFFFF"/>
              </w:rPr>
              <w:t>(2021).</w:t>
            </w:r>
          </w:p>
        </w:tc>
        <w:tc>
          <w:tcPr>
            <w:tcW w:w="683" w:type="pct"/>
          </w:tcPr>
          <w:p w14:paraId="78A173D3" w14:textId="77777777" w:rsidR="00B02E30" w:rsidRPr="00BF1CC4" w:rsidRDefault="00B02E30" w:rsidP="008552A8">
            <w:pPr>
              <w:spacing w:after="100" w:afterAutospacing="1" w:line="360" w:lineRule="auto"/>
              <w:jc w:val="both"/>
              <w:rPr>
                <w:shd w:val="clear" w:color="auto" w:fill="FFFFFF"/>
              </w:rPr>
            </w:pPr>
            <w:r w:rsidRPr="00BF1CC4">
              <w:t>+/-</w:t>
            </w:r>
          </w:p>
        </w:tc>
      </w:tr>
      <w:tr w:rsidR="00BF1CC4" w:rsidRPr="00BF1CC4" w14:paraId="1F68916E" w14:textId="77777777" w:rsidTr="00FB7AFC">
        <w:tc>
          <w:tcPr>
            <w:tcW w:w="1036" w:type="pct"/>
            <w:vMerge/>
          </w:tcPr>
          <w:p w14:paraId="4D762BD8" w14:textId="77777777" w:rsidR="00B02E30" w:rsidRPr="00BF1CC4" w:rsidRDefault="00B02E30" w:rsidP="008552A8">
            <w:pPr>
              <w:spacing w:after="100" w:afterAutospacing="1" w:line="360" w:lineRule="auto"/>
              <w:jc w:val="both"/>
            </w:pPr>
          </w:p>
        </w:tc>
        <w:tc>
          <w:tcPr>
            <w:tcW w:w="1421" w:type="pct"/>
          </w:tcPr>
          <w:p w14:paraId="497CCC98" w14:textId="77777777" w:rsidR="00B02E30" w:rsidRPr="00BF1CC4" w:rsidRDefault="00B02E30" w:rsidP="008552A8">
            <w:pPr>
              <w:spacing w:after="100" w:afterAutospacing="1" w:line="360" w:lineRule="auto"/>
              <w:jc w:val="both"/>
            </w:pPr>
            <w:r w:rsidRPr="00BF1CC4">
              <w:t>Bank Size (BSIZE)</w:t>
            </w:r>
          </w:p>
        </w:tc>
        <w:tc>
          <w:tcPr>
            <w:tcW w:w="1039" w:type="pct"/>
          </w:tcPr>
          <w:p w14:paraId="53C1B5DD" w14:textId="282AE9C2" w:rsidR="00B02E30" w:rsidRPr="00BF1CC4" w:rsidRDefault="006D5F60" w:rsidP="008552A8">
            <w:pPr>
              <w:spacing w:after="100" w:afterAutospacing="1" w:line="360" w:lineRule="auto"/>
              <w:jc w:val="both"/>
            </w:pPr>
            <w:r w:rsidRPr="00BF1CC4">
              <w:t>T</w:t>
            </w:r>
            <w:r w:rsidR="00B02E30" w:rsidRPr="00BF1CC4">
              <w:t>otal bank assets</w:t>
            </w:r>
          </w:p>
        </w:tc>
        <w:tc>
          <w:tcPr>
            <w:tcW w:w="821" w:type="pct"/>
          </w:tcPr>
          <w:p w14:paraId="496AC689" w14:textId="1831F734" w:rsidR="00B02E30" w:rsidRPr="00BF1CC4" w:rsidRDefault="00B02E30" w:rsidP="008552A8">
            <w:pPr>
              <w:spacing w:after="100" w:afterAutospacing="1" w:line="360" w:lineRule="auto"/>
              <w:jc w:val="both"/>
              <w:rPr>
                <w:shd w:val="clear" w:color="auto" w:fill="FFFFFF"/>
              </w:rPr>
            </w:pPr>
            <w:r w:rsidRPr="00BF1CC4">
              <w:rPr>
                <w:shd w:val="clear" w:color="auto" w:fill="FFFFFF"/>
              </w:rPr>
              <w:fldChar w:fldCharType="begin"/>
            </w:r>
            <w:r w:rsidRPr="00BF1CC4">
              <w:rPr>
                <w:shd w:val="clear" w:color="auto" w:fill="FFFFFF"/>
              </w:rPr>
              <w:instrText xml:space="preserve"> ADDIN EN.CITE &lt;EndNote&gt;&lt;Cite&gt;&lt;Author&gt;Kamande&lt;/Author&gt;&lt;Year&gt;2017&lt;/Year&gt;&lt;RecNum&gt;345&lt;/RecNum&gt;&lt;DisplayText&gt;(Kamande, 2017)&lt;/DisplayText&gt;&lt;record&gt;&lt;rec-number&gt;345&lt;/rec-number&gt;&lt;foreign-keys&gt;&lt;key app="EN" db-id="r0zpxf9dkzrv2yeppzfpxvz2ta5w2paa2fze" timestamp="1696948982"&gt;345&lt;/key&gt;&lt;/foreign-keys&gt;&lt;ref-type name="Thesis"&gt;32&lt;/ref-type&gt;&lt;contributors&gt;&lt;authors&gt;&lt;author&gt;Kamande, Eric Gicharu&lt;/author&gt;&lt;/authors&gt;&lt;/contributors&gt;&lt;titles&gt;&lt;title&gt;The effect of bank specific factors on financial performance of commercial banks in Kenya&lt;/title&gt;&lt;/titles&gt;&lt;dates&gt;&lt;year&gt;2017&lt;/year&gt;&lt;/dates&gt;&lt;urls&gt;&lt;/urls&gt;&lt;/record&gt;&lt;/Cite&gt;&lt;/EndNote&gt;</w:instrText>
            </w:r>
            <w:r w:rsidRPr="00BF1CC4">
              <w:rPr>
                <w:shd w:val="clear" w:color="auto" w:fill="FFFFFF"/>
              </w:rPr>
              <w:fldChar w:fldCharType="separate"/>
            </w:r>
            <w:r w:rsidRPr="00BF1CC4">
              <w:rPr>
                <w:noProof/>
                <w:shd w:val="clear" w:color="auto" w:fill="FFFFFF"/>
              </w:rPr>
              <w:t xml:space="preserve">(Kamande </w:t>
            </w:r>
            <w:r w:rsidR="00FB7AFC">
              <w:rPr>
                <w:noProof/>
                <w:shd w:val="clear" w:color="auto" w:fill="FFFFFF"/>
              </w:rPr>
              <w:t>(</w:t>
            </w:r>
            <w:r w:rsidRPr="00BF1CC4">
              <w:rPr>
                <w:noProof/>
                <w:shd w:val="clear" w:color="auto" w:fill="FFFFFF"/>
              </w:rPr>
              <w:t>2017)</w:t>
            </w:r>
            <w:r w:rsidRPr="00BF1CC4">
              <w:rPr>
                <w:shd w:val="clear" w:color="auto" w:fill="FFFFFF"/>
              </w:rPr>
              <w:fldChar w:fldCharType="end"/>
            </w:r>
            <w:r w:rsidRPr="00BF1CC4">
              <w:rPr>
                <w:shd w:val="clear" w:color="auto" w:fill="FFFFFF"/>
              </w:rPr>
              <w:t>.</w:t>
            </w:r>
          </w:p>
        </w:tc>
        <w:tc>
          <w:tcPr>
            <w:tcW w:w="683" w:type="pct"/>
          </w:tcPr>
          <w:p w14:paraId="204F5B26" w14:textId="77777777" w:rsidR="00B02E30" w:rsidRPr="00BF1CC4" w:rsidRDefault="00B02E30" w:rsidP="008552A8">
            <w:pPr>
              <w:spacing w:after="100" w:afterAutospacing="1" w:line="360" w:lineRule="auto"/>
              <w:jc w:val="both"/>
              <w:rPr>
                <w:shd w:val="clear" w:color="auto" w:fill="FFFFFF"/>
              </w:rPr>
            </w:pPr>
          </w:p>
        </w:tc>
      </w:tr>
      <w:tr w:rsidR="00BF1CC4" w:rsidRPr="00BF1CC4" w14:paraId="6B70DF5C" w14:textId="77777777" w:rsidTr="00FB7AFC">
        <w:tc>
          <w:tcPr>
            <w:tcW w:w="1036" w:type="pct"/>
            <w:vMerge/>
          </w:tcPr>
          <w:p w14:paraId="099FED86" w14:textId="77777777" w:rsidR="00B02E30" w:rsidRPr="00BF1CC4" w:rsidRDefault="00B02E30" w:rsidP="008552A8">
            <w:pPr>
              <w:spacing w:after="100" w:afterAutospacing="1" w:line="360" w:lineRule="auto"/>
              <w:jc w:val="both"/>
            </w:pPr>
          </w:p>
        </w:tc>
        <w:tc>
          <w:tcPr>
            <w:tcW w:w="1421" w:type="pct"/>
          </w:tcPr>
          <w:p w14:paraId="5767E8DF" w14:textId="55DA497D" w:rsidR="00B02E30" w:rsidRPr="00BF1CC4" w:rsidRDefault="00B02E30" w:rsidP="008552A8">
            <w:pPr>
              <w:spacing w:after="100" w:afterAutospacing="1" w:line="360" w:lineRule="auto"/>
              <w:jc w:val="both"/>
            </w:pPr>
            <w:r w:rsidRPr="00BF1CC4">
              <w:t>Debt ratio</w:t>
            </w:r>
            <w:r w:rsidR="006D5D4D">
              <w:t xml:space="preserve"> </w:t>
            </w:r>
            <w:r w:rsidRPr="00BF1CC4">
              <w:t>(</w:t>
            </w:r>
            <w:r w:rsidRPr="00BF1CC4">
              <w:rPr>
                <w:rFonts w:eastAsiaTheme="minorHAnsi"/>
              </w:rPr>
              <w:t>DBTR)</w:t>
            </w:r>
          </w:p>
        </w:tc>
        <w:tc>
          <w:tcPr>
            <w:tcW w:w="1039" w:type="pct"/>
          </w:tcPr>
          <w:p w14:paraId="485D9FE2" w14:textId="77777777" w:rsidR="00B02E30" w:rsidRPr="00BF1CC4" w:rsidRDefault="00B02E30" w:rsidP="008552A8">
            <w:pPr>
              <w:spacing w:after="100" w:afterAutospacing="1" w:line="360" w:lineRule="auto"/>
              <w:jc w:val="both"/>
            </w:pPr>
            <w:r w:rsidRPr="00BF1CC4">
              <w:t>Total liabilities / Total assets</w:t>
            </w:r>
          </w:p>
        </w:tc>
        <w:tc>
          <w:tcPr>
            <w:tcW w:w="821" w:type="pct"/>
          </w:tcPr>
          <w:p w14:paraId="4ACB7805" w14:textId="77777777" w:rsidR="00B02E30" w:rsidRPr="00BF1CC4" w:rsidRDefault="00B02E30" w:rsidP="008552A8">
            <w:pPr>
              <w:spacing w:after="100" w:afterAutospacing="1" w:line="360" w:lineRule="auto"/>
              <w:jc w:val="both"/>
            </w:pPr>
            <w:r w:rsidRPr="00BF1CC4">
              <w:t>Nuryani &amp; Surnasi (2020)</w:t>
            </w:r>
          </w:p>
        </w:tc>
        <w:tc>
          <w:tcPr>
            <w:tcW w:w="683" w:type="pct"/>
          </w:tcPr>
          <w:p w14:paraId="7AC82643" w14:textId="77777777" w:rsidR="00B02E30" w:rsidRPr="00BF1CC4" w:rsidRDefault="00B02E30" w:rsidP="008552A8">
            <w:pPr>
              <w:spacing w:after="100" w:afterAutospacing="1" w:line="360" w:lineRule="auto"/>
              <w:jc w:val="both"/>
            </w:pPr>
            <w:r w:rsidRPr="00BF1CC4">
              <w:t>+/-</w:t>
            </w:r>
          </w:p>
        </w:tc>
      </w:tr>
      <w:tr w:rsidR="00BF1CC4" w:rsidRPr="00BF1CC4" w14:paraId="525A9CFD" w14:textId="77777777" w:rsidTr="00FB7AFC">
        <w:tc>
          <w:tcPr>
            <w:tcW w:w="1036" w:type="pct"/>
            <w:vMerge/>
          </w:tcPr>
          <w:p w14:paraId="6435B28C" w14:textId="77777777" w:rsidR="00B02E30" w:rsidRPr="00BF1CC4" w:rsidRDefault="00B02E30" w:rsidP="008552A8">
            <w:pPr>
              <w:spacing w:after="100" w:afterAutospacing="1" w:line="360" w:lineRule="auto"/>
              <w:jc w:val="both"/>
            </w:pPr>
          </w:p>
        </w:tc>
        <w:tc>
          <w:tcPr>
            <w:tcW w:w="1421" w:type="pct"/>
          </w:tcPr>
          <w:p w14:paraId="7B0F94E0" w14:textId="51376995" w:rsidR="00B02E30" w:rsidRPr="00BF1CC4" w:rsidRDefault="00B02E30" w:rsidP="008552A8">
            <w:pPr>
              <w:spacing w:after="100" w:afterAutospacing="1" w:line="360" w:lineRule="auto"/>
              <w:jc w:val="both"/>
            </w:pPr>
            <w:r w:rsidRPr="00BF1CC4">
              <w:t>Capital</w:t>
            </w:r>
            <w:r w:rsidR="006D5D4D">
              <w:t xml:space="preserve"> </w:t>
            </w:r>
            <w:r w:rsidRPr="00BF1CC4">
              <w:t>(</w:t>
            </w:r>
            <w:r w:rsidRPr="00BF1CC4">
              <w:rPr>
                <w:rFonts w:eastAsiaTheme="minorHAnsi"/>
              </w:rPr>
              <w:t>CAP)</w:t>
            </w:r>
          </w:p>
        </w:tc>
        <w:tc>
          <w:tcPr>
            <w:tcW w:w="1039" w:type="pct"/>
          </w:tcPr>
          <w:p w14:paraId="1FCF446C" w14:textId="3E172DFD" w:rsidR="00B02E30" w:rsidRPr="00BF1CC4" w:rsidRDefault="003046F9" w:rsidP="008552A8">
            <w:pPr>
              <w:spacing w:after="100" w:afterAutospacing="1" w:line="360" w:lineRule="auto"/>
              <w:jc w:val="both"/>
            </w:pPr>
            <w:r w:rsidRPr="00BF1CC4">
              <w:t>Total assets</w:t>
            </w:r>
            <w:r w:rsidR="007478D0" w:rsidRPr="00BF1CC4">
              <w:t>-liabilities</w:t>
            </w:r>
          </w:p>
        </w:tc>
        <w:tc>
          <w:tcPr>
            <w:tcW w:w="821" w:type="pct"/>
          </w:tcPr>
          <w:p w14:paraId="6D809E33" w14:textId="1A97F45E" w:rsidR="00B02E30" w:rsidRPr="00BF1CC4" w:rsidRDefault="00B02E30" w:rsidP="008552A8">
            <w:pPr>
              <w:spacing w:after="100" w:afterAutospacing="1" w:line="360" w:lineRule="auto"/>
              <w:jc w:val="both"/>
            </w:pPr>
            <w:r w:rsidRPr="00BF1CC4">
              <w:t xml:space="preserve">Kharatyan et al. </w:t>
            </w:r>
            <w:r w:rsidR="00FB7AFC">
              <w:t>(</w:t>
            </w:r>
            <w:r w:rsidRPr="00BF1CC4">
              <w:t>2016</w:t>
            </w:r>
            <w:r w:rsidR="00FB7AFC">
              <w:t>)</w:t>
            </w:r>
          </w:p>
        </w:tc>
        <w:tc>
          <w:tcPr>
            <w:tcW w:w="683" w:type="pct"/>
          </w:tcPr>
          <w:p w14:paraId="7A4208DA" w14:textId="77777777" w:rsidR="00B02E30" w:rsidRPr="00BF1CC4" w:rsidRDefault="00B02E30" w:rsidP="008552A8">
            <w:pPr>
              <w:spacing w:after="100" w:afterAutospacing="1" w:line="360" w:lineRule="auto"/>
              <w:jc w:val="both"/>
            </w:pPr>
            <w:r w:rsidRPr="00BF1CC4">
              <w:t>+</w:t>
            </w:r>
          </w:p>
        </w:tc>
      </w:tr>
      <w:tr w:rsidR="00BF1CC4" w:rsidRPr="00BF1CC4" w14:paraId="2B53F407" w14:textId="77777777" w:rsidTr="00FB7AFC">
        <w:tc>
          <w:tcPr>
            <w:tcW w:w="1036" w:type="pct"/>
            <w:vMerge w:val="restart"/>
          </w:tcPr>
          <w:p w14:paraId="7945713F" w14:textId="77777777" w:rsidR="00B02E30" w:rsidRPr="00BF1CC4" w:rsidRDefault="00B02E30" w:rsidP="008552A8">
            <w:pPr>
              <w:spacing w:after="100" w:afterAutospacing="1" w:line="360" w:lineRule="auto"/>
              <w:jc w:val="both"/>
            </w:pPr>
            <w:r w:rsidRPr="00BF1CC4">
              <w:lastRenderedPageBreak/>
              <w:t xml:space="preserve">Macroeconomic factors </w:t>
            </w:r>
          </w:p>
          <w:p w14:paraId="781667D5" w14:textId="77777777" w:rsidR="00B02E30" w:rsidRPr="00BF1CC4" w:rsidRDefault="00B02E30" w:rsidP="008552A8">
            <w:pPr>
              <w:spacing w:after="100" w:afterAutospacing="1" w:line="360" w:lineRule="auto"/>
              <w:jc w:val="both"/>
            </w:pPr>
          </w:p>
        </w:tc>
        <w:tc>
          <w:tcPr>
            <w:tcW w:w="1421" w:type="pct"/>
          </w:tcPr>
          <w:p w14:paraId="0E9A5097" w14:textId="77777777" w:rsidR="00B02E30" w:rsidRPr="00BF1CC4" w:rsidRDefault="00B02E30" w:rsidP="008552A8">
            <w:pPr>
              <w:spacing w:after="100" w:afterAutospacing="1" w:line="360" w:lineRule="auto"/>
              <w:jc w:val="both"/>
            </w:pPr>
            <w:r w:rsidRPr="00BF1CC4">
              <w:t>Bank Concentration/Market structure (</w:t>
            </w:r>
            <w:r w:rsidRPr="00BF1CC4">
              <w:rPr>
                <w:rFonts w:eastAsiaTheme="minorHAnsi"/>
              </w:rPr>
              <w:t>CONC)</w:t>
            </w:r>
          </w:p>
        </w:tc>
        <w:tc>
          <w:tcPr>
            <w:tcW w:w="1039" w:type="pct"/>
          </w:tcPr>
          <w:p w14:paraId="51126E39" w14:textId="0F471D85" w:rsidR="00B02E30" w:rsidRPr="00BF1CC4" w:rsidRDefault="00B02E30" w:rsidP="008552A8">
            <w:pPr>
              <w:spacing w:after="100" w:afterAutospacing="1" w:line="360" w:lineRule="auto"/>
              <w:jc w:val="both"/>
            </w:pPr>
            <w:r w:rsidRPr="00BF1CC4">
              <w:rPr>
                <w:shd w:val="clear" w:color="auto" w:fill="FFFFFF"/>
              </w:rPr>
              <w:t xml:space="preserve">Herfindahl-Hirschman index </w:t>
            </w:r>
          </w:p>
        </w:tc>
        <w:tc>
          <w:tcPr>
            <w:tcW w:w="821" w:type="pct"/>
          </w:tcPr>
          <w:p w14:paraId="4B1B517B" w14:textId="5339272B" w:rsidR="00B02E30" w:rsidRPr="00BF1CC4" w:rsidRDefault="00B02E30" w:rsidP="008552A8">
            <w:pPr>
              <w:spacing w:after="100" w:afterAutospacing="1" w:line="360" w:lineRule="auto"/>
              <w:jc w:val="both"/>
            </w:pPr>
            <w:r w:rsidRPr="00BF1CC4">
              <w:rPr>
                <w:shd w:val="clear" w:color="auto" w:fill="FFFFFF"/>
              </w:rPr>
              <w:t>Jaouad</w:t>
            </w:r>
            <w:r w:rsidR="006D5F60" w:rsidRPr="00BF1CC4">
              <w:rPr>
                <w:shd w:val="clear" w:color="auto" w:fill="FFFFFF"/>
              </w:rPr>
              <w:t xml:space="preserve"> </w:t>
            </w:r>
            <w:r w:rsidRPr="00BF1CC4">
              <w:rPr>
                <w:shd w:val="clear" w:color="auto" w:fill="FFFFFF"/>
              </w:rPr>
              <w:t>&amp; Lahsen</w:t>
            </w:r>
            <w:r w:rsidR="006D5F60" w:rsidRPr="00BF1CC4">
              <w:rPr>
                <w:shd w:val="clear" w:color="auto" w:fill="FFFFFF"/>
              </w:rPr>
              <w:t xml:space="preserve"> </w:t>
            </w:r>
            <w:r w:rsidRPr="00BF1CC4">
              <w:rPr>
                <w:shd w:val="clear" w:color="auto" w:fill="FFFFFF"/>
              </w:rPr>
              <w:t xml:space="preserve"> (2018)</w:t>
            </w:r>
          </w:p>
        </w:tc>
        <w:tc>
          <w:tcPr>
            <w:tcW w:w="683" w:type="pct"/>
          </w:tcPr>
          <w:p w14:paraId="7211AE2D" w14:textId="77777777" w:rsidR="00B02E30" w:rsidRPr="00BF1CC4" w:rsidRDefault="00B02E30" w:rsidP="008552A8">
            <w:pPr>
              <w:spacing w:after="100" w:afterAutospacing="1" w:line="360" w:lineRule="auto"/>
              <w:jc w:val="both"/>
            </w:pPr>
            <w:r w:rsidRPr="00BF1CC4">
              <w:t>+/-</w:t>
            </w:r>
          </w:p>
        </w:tc>
      </w:tr>
      <w:tr w:rsidR="00BF1CC4" w:rsidRPr="00BF1CC4" w14:paraId="296838F0" w14:textId="77777777" w:rsidTr="00FB7AFC">
        <w:trPr>
          <w:trHeight w:val="593"/>
        </w:trPr>
        <w:tc>
          <w:tcPr>
            <w:tcW w:w="1036" w:type="pct"/>
            <w:vMerge/>
          </w:tcPr>
          <w:p w14:paraId="4EC577CD" w14:textId="77777777" w:rsidR="00B02E30" w:rsidRPr="00BF1CC4" w:rsidRDefault="00B02E30" w:rsidP="008552A8">
            <w:pPr>
              <w:spacing w:after="100" w:afterAutospacing="1" w:line="360" w:lineRule="auto"/>
              <w:jc w:val="both"/>
            </w:pPr>
          </w:p>
        </w:tc>
        <w:tc>
          <w:tcPr>
            <w:tcW w:w="1421" w:type="pct"/>
          </w:tcPr>
          <w:p w14:paraId="0891C35A" w14:textId="1D0B12ED" w:rsidR="00B02E30" w:rsidRPr="00BF1CC4" w:rsidRDefault="00B02E30" w:rsidP="008552A8">
            <w:pPr>
              <w:spacing w:after="100" w:afterAutospacing="1" w:line="360" w:lineRule="auto"/>
              <w:jc w:val="both"/>
            </w:pPr>
            <w:r w:rsidRPr="00BF1CC4">
              <w:t>Inflation</w:t>
            </w:r>
            <w:r w:rsidR="006D5F60" w:rsidRPr="00BF1CC4">
              <w:t xml:space="preserve"> </w:t>
            </w:r>
            <w:r w:rsidRPr="00BF1CC4">
              <w:t>(</w:t>
            </w:r>
            <w:r w:rsidRPr="00BF1CC4">
              <w:rPr>
                <w:rFonts w:eastAsiaTheme="minorHAnsi"/>
              </w:rPr>
              <w:t>INFL)</w:t>
            </w:r>
          </w:p>
        </w:tc>
        <w:tc>
          <w:tcPr>
            <w:tcW w:w="1039" w:type="pct"/>
          </w:tcPr>
          <w:p w14:paraId="5AFFF8EF" w14:textId="087404A1" w:rsidR="00B02E30" w:rsidRPr="00BF1CC4" w:rsidRDefault="00B02E30" w:rsidP="008552A8">
            <w:pPr>
              <w:spacing w:after="100" w:afterAutospacing="1" w:line="360" w:lineRule="auto"/>
              <w:jc w:val="both"/>
            </w:pPr>
            <w:r w:rsidRPr="00BF1CC4">
              <w:t xml:space="preserve">Consumer Price Index </w:t>
            </w:r>
          </w:p>
        </w:tc>
        <w:tc>
          <w:tcPr>
            <w:tcW w:w="821" w:type="pct"/>
          </w:tcPr>
          <w:p w14:paraId="28FDCD3B" w14:textId="0DA6CDFD" w:rsidR="00B02E30" w:rsidRPr="00BF1CC4" w:rsidRDefault="00B02E30" w:rsidP="008552A8">
            <w:pPr>
              <w:spacing w:after="100" w:afterAutospacing="1" w:line="360" w:lineRule="auto"/>
              <w:jc w:val="both"/>
            </w:pPr>
            <w:r w:rsidRPr="00BF1CC4">
              <w:fldChar w:fldCharType="begin"/>
            </w:r>
            <w:r w:rsidRPr="00BF1CC4">
              <w:instrText xml:space="preserve"> ADDIN EN.CITE &lt;EndNote&gt;&lt;Cite&gt;&lt;Author&gt;Novaes&lt;/Author&gt;&lt;Year&gt;1993&lt;/Year&gt;&lt;RecNum&gt;5&lt;/RecNum&gt;&lt;DisplayText&gt;(Novaes, 1993)&lt;/DisplayText&gt;&lt;record&gt;&lt;rec-number&gt;5&lt;/rec-number&gt;&lt;foreign-keys&gt;&lt;key app="EN" db-id="r0zpxf9dkzrv2yeppzfpxvz2ta5w2paa2fze" timestamp="1667222487"&gt;5&lt;/key&gt;&lt;/foreign-keys&gt;&lt;ref-type name="Journal Article"&gt;17&lt;/ref-type&gt;&lt;contributors&gt;&lt;authors&gt;&lt;author&gt;Novaes, Ana Dolores&lt;/author&gt;&lt;/authors&gt;&lt;/contributors&gt;&lt;titles&gt;&lt;title&gt;Revisiting the inertial inflation hypothesis for Brazil&lt;/title&gt;&lt;secondary-title&gt;Journal of development economics&lt;/secondary-title&gt;&lt;/titles&gt;&lt;periodical&gt;&lt;full-title&gt;Journal of development economics&lt;/full-title&gt;&lt;/periodical&gt;&lt;pages&gt;89-110&lt;/pages&gt;&lt;volume&gt;42&lt;/volume&gt;&lt;number&gt;1&lt;/number&gt;&lt;dates&gt;&lt;year&gt;1993&lt;/year&gt;&lt;/dates&gt;&lt;isbn&gt;0304-3878&lt;/isbn&gt;&lt;urls&gt;&lt;/urls&gt;&lt;/record&gt;&lt;/Cite&gt;&lt;/EndNote&gt;</w:instrText>
            </w:r>
            <w:r w:rsidRPr="00BF1CC4">
              <w:fldChar w:fldCharType="separate"/>
            </w:r>
            <w:r w:rsidRPr="00BF1CC4">
              <w:rPr>
                <w:noProof/>
              </w:rPr>
              <w:t>Novaes</w:t>
            </w:r>
            <w:r w:rsidR="00FB7AFC">
              <w:rPr>
                <w:noProof/>
              </w:rPr>
              <w:t xml:space="preserve"> (</w:t>
            </w:r>
            <w:r w:rsidRPr="00BF1CC4">
              <w:rPr>
                <w:noProof/>
              </w:rPr>
              <w:t>1993)</w:t>
            </w:r>
            <w:r w:rsidRPr="00BF1CC4">
              <w:fldChar w:fldCharType="end"/>
            </w:r>
          </w:p>
        </w:tc>
        <w:tc>
          <w:tcPr>
            <w:tcW w:w="683" w:type="pct"/>
          </w:tcPr>
          <w:p w14:paraId="2BB71332" w14:textId="77777777" w:rsidR="00B02E30" w:rsidRPr="00BF1CC4" w:rsidRDefault="00B02E30" w:rsidP="008552A8">
            <w:pPr>
              <w:spacing w:after="100" w:afterAutospacing="1" w:line="360" w:lineRule="auto"/>
              <w:jc w:val="both"/>
            </w:pPr>
            <w:r w:rsidRPr="00BF1CC4">
              <w:t>+/-</w:t>
            </w:r>
          </w:p>
        </w:tc>
      </w:tr>
      <w:tr w:rsidR="00BF1CC4" w:rsidRPr="00BF1CC4" w14:paraId="6E6C9CB8" w14:textId="77777777" w:rsidTr="00FB7AFC">
        <w:trPr>
          <w:trHeight w:val="593"/>
        </w:trPr>
        <w:tc>
          <w:tcPr>
            <w:tcW w:w="1036" w:type="pct"/>
            <w:vMerge/>
          </w:tcPr>
          <w:p w14:paraId="1E5D0583" w14:textId="77777777" w:rsidR="00B02E30" w:rsidRPr="00BF1CC4" w:rsidRDefault="00B02E30" w:rsidP="008552A8">
            <w:pPr>
              <w:spacing w:after="100" w:afterAutospacing="1" w:line="360" w:lineRule="auto"/>
              <w:jc w:val="both"/>
            </w:pPr>
          </w:p>
        </w:tc>
        <w:tc>
          <w:tcPr>
            <w:tcW w:w="1421" w:type="pct"/>
          </w:tcPr>
          <w:p w14:paraId="71A94083" w14:textId="2B6356F1" w:rsidR="00B02E30" w:rsidRPr="00BF1CC4" w:rsidRDefault="00B02E30" w:rsidP="008552A8">
            <w:pPr>
              <w:spacing w:after="100" w:afterAutospacing="1" w:line="360" w:lineRule="auto"/>
              <w:jc w:val="both"/>
            </w:pPr>
            <w:r w:rsidRPr="00BF1CC4">
              <w:t>Lending interest Rate</w:t>
            </w:r>
            <w:r w:rsidR="006D5F60" w:rsidRPr="00BF1CC4">
              <w:t xml:space="preserve"> </w:t>
            </w:r>
            <w:r w:rsidRPr="00BF1CC4">
              <w:t>(</w:t>
            </w:r>
            <w:r w:rsidRPr="00BF1CC4">
              <w:rPr>
                <w:rFonts w:eastAsiaTheme="minorHAnsi"/>
              </w:rPr>
              <w:t>LENR)</w:t>
            </w:r>
          </w:p>
        </w:tc>
        <w:tc>
          <w:tcPr>
            <w:tcW w:w="1039" w:type="pct"/>
          </w:tcPr>
          <w:p w14:paraId="051CDE33" w14:textId="781DD438" w:rsidR="00B02E30" w:rsidRPr="00BF1CC4" w:rsidRDefault="00B02E30" w:rsidP="008552A8">
            <w:pPr>
              <w:spacing w:after="100" w:afterAutospacing="1" w:line="360" w:lineRule="auto"/>
              <w:jc w:val="both"/>
            </w:pPr>
            <w:r w:rsidRPr="00BF1CC4">
              <w:t xml:space="preserve">Bank Lending Rate </w:t>
            </w:r>
          </w:p>
        </w:tc>
        <w:tc>
          <w:tcPr>
            <w:tcW w:w="821" w:type="pct"/>
          </w:tcPr>
          <w:p w14:paraId="3F8500B3" w14:textId="73A7DF1C" w:rsidR="00B02E30" w:rsidRPr="00BF1CC4" w:rsidRDefault="00B02E30" w:rsidP="008552A8">
            <w:pPr>
              <w:spacing w:after="100" w:afterAutospacing="1" w:line="360" w:lineRule="auto"/>
              <w:jc w:val="both"/>
            </w:pPr>
            <w:r w:rsidRPr="00BF1CC4">
              <w:fldChar w:fldCharType="begin"/>
            </w:r>
            <w:r w:rsidRPr="00BF1CC4">
              <w:instrText xml:space="preserve"> ADDIN EN.CITE &lt;EndNote&gt;&lt;Cite&gt;&lt;Author&gt;Yakubu&lt;/Author&gt;&lt;Year&gt;2020&lt;/Year&gt;&lt;RecNum&gt;66&lt;/RecNum&gt;&lt;DisplayText&gt;(Yakubu&lt;style face="italic"&gt; et al.&lt;/style&gt;, 2020)&lt;/DisplayText&gt;&lt;record&gt;&lt;rec-number&gt;66&lt;/rec-number&gt;&lt;foreign-keys&gt;&lt;key app="EN" db-id="r0zpxf9dkzrv2yeppzfpxvz2ta5w2paa2fze" timestamp="1667222497"&gt;66&lt;/key&gt;&lt;/foreign-keys&gt;&lt;ref-type name="Journal Article"&gt;17&lt;/ref-type&gt;&lt;contributors&gt;&lt;authors&gt;&lt;author&gt;Yakubu, Zakaria&lt;/author&gt;&lt;author&gt;Loganathan, Nanthakumar&lt;/author&gt;&lt;author&gt;Mursitama, Tirta Nugraha&lt;/author&gt;&lt;author&gt;Mardani, Abbas&lt;/author&gt;&lt;author&gt;Khan, Syed Abdul Rehman&lt;/author&gt;&lt;author&gt;Hassan, Asan Ali Golam&lt;/author&gt;&lt;/authors&gt;&lt;/contributors&gt;&lt;titles&gt;&lt;title&gt;Financial Liberalisation, Political Stability, and Economic Determinants of Real Economic Growth in Kenya&lt;/title&gt;&lt;secondary-title&gt;Energies&lt;/secondary-title&gt;&lt;/titles&gt;&lt;periodical&gt;&lt;full-title&gt;Energies&lt;/full-title&gt;&lt;/periodical&gt;&lt;pages&gt;3426&lt;/pages&gt;&lt;volume&gt;13&lt;/volume&gt;&lt;number&gt;13&lt;/number&gt;&lt;dates&gt;&lt;year&gt;2020&lt;/year&gt;&lt;/dates&gt;&lt;urls&gt;&lt;/urls&gt;&lt;/record&gt;&lt;/Cite&gt;&lt;/EndNote&gt;</w:instrText>
            </w:r>
            <w:r w:rsidRPr="00BF1CC4">
              <w:fldChar w:fldCharType="separate"/>
            </w:r>
            <w:r w:rsidRPr="00BF1CC4">
              <w:rPr>
                <w:noProof/>
              </w:rPr>
              <w:t>(Yakubu</w:t>
            </w:r>
            <w:r w:rsidRPr="00BF1CC4">
              <w:rPr>
                <w:i/>
                <w:noProof/>
              </w:rPr>
              <w:t xml:space="preserve"> et al.</w:t>
            </w:r>
            <w:r w:rsidRPr="00BF1CC4">
              <w:rPr>
                <w:noProof/>
              </w:rPr>
              <w:t xml:space="preserve"> </w:t>
            </w:r>
            <w:r w:rsidR="00FB7AFC">
              <w:rPr>
                <w:noProof/>
              </w:rPr>
              <w:t>(</w:t>
            </w:r>
            <w:r w:rsidRPr="00BF1CC4">
              <w:rPr>
                <w:noProof/>
              </w:rPr>
              <w:t>2020)</w:t>
            </w:r>
            <w:r w:rsidRPr="00BF1CC4">
              <w:fldChar w:fldCharType="end"/>
            </w:r>
          </w:p>
        </w:tc>
        <w:tc>
          <w:tcPr>
            <w:tcW w:w="683" w:type="pct"/>
          </w:tcPr>
          <w:p w14:paraId="6C78B961" w14:textId="77777777" w:rsidR="00B02E30" w:rsidRPr="00BF1CC4" w:rsidRDefault="00B02E30" w:rsidP="008552A8">
            <w:pPr>
              <w:spacing w:after="100" w:afterAutospacing="1" w:line="360" w:lineRule="auto"/>
              <w:jc w:val="both"/>
            </w:pPr>
            <w:r w:rsidRPr="00BF1CC4">
              <w:t>+</w:t>
            </w:r>
          </w:p>
        </w:tc>
      </w:tr>
      <w:tr w:rsidR="00D74237" w:rsidRPr="00BF1CC4" w14:paraId="54CC3153" w14:textId="77777777" w:rsidTr="00FB7AFC">
        <w:tc>
          <w:tcPr>
            <w:tcW w:w="1036" w:type="pct"/>
          </w:tcPr>
          <w:p w14:paraId="455B3DBE" w14:textId="0868B738" w:rsidR="00B02E30" w:rsidRPr="00BF1CC4" w:rsidRDefault="003F4723" w:rsidP="008552A8">
            <w:pPr>
              <w:spacing w:line="360" w:lineRule="auto"/>
              <w:jc w:val="both"/>
            </w:pPr>
            <w:r>
              <w:t>Profitability</w:t>
            </w:r>
          </w:p>
        </w:tc>
        <w:tc>
          <w:tcPr>
            <w:tcW w:w="1421" w:type="pct"/>
          </w:tcPr>
          <w:p w14:paraId="585C8A53" w14:textId="77777777" w:rsidR="00B02E30" w:rsidRPr="00BF1CC4" w:rsidRDefault="00B02E30" w:rsidP="008552A8">
            <w:pPr>
              <w:spacing w:line="360" w:lineRule="auto"/>
              <w:jc w:val="both"/>
            </w:pPr>
            <w:bookmarkStart w:id="18" w:name="_Hlk177980547"/>
            <w:r w:rsidRPr="00BF1CC4">
              <w:t>Return on Equity</w:t>
            </w:r>
          </w:p>
          <w:bookmarkEnd w:id="18"/>
          <w:p w14:paraId="713365FF" w14:textId="77777777" w:rsidR="00B02E30" w:rsidRPr="00BF1CC4" w:rsidRDefault="00B02E30" w:rsidP="008552A8">
            <w:pPr>
              <w:spacing w:line="360" w:lineRule="auto"/>
              <w:jc w:val="both"/>
            </w:pPr>
            <w:r w:rsidRPr="00BF1CC4">
              <w:t>(ROE)</w:t>
            </w:r>
          </w:p>
        </w:tc>
        <w:tc>
          <w:tcPr>
            <w:tcW w:w="1039" w:type="pct"/>
          </w:tcPr>
          <w:p w14:paraId="5BDCCB4A" w14:textId="77777777" w:rsidR="00B02E30" w:rsidRPr="00BF1CC4" w:rsidRDefault="00B02E30" w:rsidP="008552A8">
            <w:pPr>
              <w:spacing w:line="360" w:lineRule="auto"/>
              <w:jc w:val="both"/>
            </w:pPr>
            <w:r w:rsidRPr="00BF1CC4">
              <w:t xml:space="preserve">Net Profit / ½ (Beginning equity + Ending equity) </w:t>
            </w:r>
          </w:p>
        </w:tc>
        <w:tc>
          <w:tcPr>
            <w:tcW w:w="821" w:type="pct"/>
          </w:tcPr>
          <w:p w14:paraId="406FC633" w14:textId="05BEDF4E" w:rsidR="00B02E30" w:rsidRPr="00BF1CC4" w:rsidRDefault="00B02E30" w:rsidP="008552A8">
            <w:pPr>
              <w:spacing w:line="360" w:lineRule="auto"/>
              <w:jc w:val="both"/>
            </w:pPr>
            <w:r w:rsidRPr="00BF1CC4">
              <w:t>Kharatyan et al.</w:t>
            </w:r>
            <w:r w:rsidR="00FB7AFC">
              <w:t xml:space="preserve"> (</w:t>
            </w:r>
            <w:r w:rsidRPr="00BF1CC4">
              <w:t>2016</w:t>
            </w:r>
            <w:r w:rsidR="00FB7AFC">
              <w:t>)</w:t>
            </w:r>
          </w:p>
        </w:tc>
        <w:tc>
          <w:tcPr>
            <w:tcW w:w="683" w:type="pct"/>
          </w:tcPr>
          <w:p w14:paraId="1B137715" w14:textId="5026D93E" w:rsidR="00B02E30" w:rsidRPr="00BF1CC4" w:rsidRDefault="002E17E8" w:rsidP="008552A8">
            <w:pPr>
              <w:spacing w:line="360" w:lineRule="auto"/>
              <w:jc w:val="both"/>
            </w:pPr>
            <w:r>
              <w:t>Not defined</w:t>
            </w:r>
          </w:p>
        </w:tc>
      </w:tr>
      <w:bookmarkEnd w:id="17"/>
    </w:tbl>
    <w:p w14:paraId="60E74C14" w14:textId="77777777" w:rsidR="00B02E30" w:rsidRPr="00BF1CC4" w:rsidRDefault="00B02E30" w:rsidP="008552A8">
      <w:pPr>
        <w:spacing w:line="360" w:lineRule="auto"/>
        <w:jc w:val="both"/>
      </w:pPr>
    </w:p>
    <w:p w14:paraId="6F427CCD" w14:textId="183D868B" w:rsidR="00B02E30" w:rsidRDefault="00B02E30" w:rsidP="008552A8">
      <w:pPr>
        <w:pStyle w:val="Heading2"/>
        <w:spacing w:line="360" w:lineRule="auto"/>
        <w:rPr>
          <w:rFonts w:ascii="Times New Roman" w:hAnsi="Times New Roman" w:cs="Times New Roman"/>
          <w:color w:val="auto"/>
          <w:sz w:val="24"/>
          <w:szCs w:val="24"/>
        </w:rPr>
      </w:pPr>
      <w:bookmarkStart w:id="19" w:name="_Toc148807485"/>
      <w:r w:rsidRPr="00BF1CC4">
        <w:rPr>
          <w:rFonts w:ascii="Times New Roman" w:hAnsi="Times New Roman" w:cs="Times New Roman"/>
          <w:color w:val="auto"/>
          <w:sz w:val="24"/>
          <w:szCs w:val="24"/>
        </w:rPr>
        <w:t>3.</w:t>
      </w:r>
      <w:r w:rsidR="00607DF3" w:rsidRPr="00BF1CC4">
        <w:rPr>
          <w:rFonts w:ascii="Times New Roman" w:hAnsi="Times New Roman" w:cs="Times New Roman"/>
          <w:color w:val="auto"/>
          <w:sz w:val="24"/>
          <w:szCs w:val="24"/>
        </w:rPr>
        <w:t xml:space="preserve">2 </w:t>
      </w:r>
      <w:r w:rsidRPr="00BF1CC4">
        <w:rPr>
          <w:rFonts w:ascii="Times New Roman" w:hAnsi="Times New Roman" w:cs="Times New Roman"/>
          <w:color w:val="auto"/>
          <w:sz w:val="24"/>
          <w:szCs w:val="24"/>
        </w:rPr>
        <w:t>Model specification</w:t>
      </w:r>
      <w:bookmarkEnd w:id="19"/>
    </w:p>
    <w:p w14:paraId="0F70E176" w14:textId="77777777" w:rsidR="00917A75" w:rsidRPr="00BF1CC4" w:rsidRDefault="00917A75" w:rsidP="00917A75">
      <w:pPr>
        <w:spacing w:after="240" w:line="360" w:lineRule="auto"/>
        <w:jc w:val="both"/>
      </w:pPr>
      <w:r w:rsidRPr="00BF1CC4">
        <w:t>The Hausman test, introduced by Jerry Hausman in 1978, is a statistical test used in econometrics to compare two different estimators for model parameters. It assesses whether the Ordinary Least Squares (OLS) estimator, which assumes no endogeneity, is more efficient and consistent than the Instrumental Variables (IV) estimator, which corrects for endogeneity. The test's null hypothesis is that both estimators are consistent, while the alternative hypothesis suggests that one of them is inconsistent. The Hausman test will be run to decide on whether to use the fixed effects or the random effects model (Sheytanova, 2015).</w:t>
      </w:r>
    </w:p>
    <w:p w14:paraId="64BAACB2" w14:textId="6228BA5D" w:rsidR="00B02E30" w:rsidRPr="00BF1CC4" w:rsidRDefault="00B02E30" w:rsidP="008552A8">
      <w:pPr>
        <w:spacing w:line="360" w:lineRule="auto"/>
        <w:jc w:val="both"/>
      </w:pPr>
      <w:r w:rsidRPr="00BF1CC4">
        <w:t>In the event that the Hausman test suggests the fixed effects model, then the model shown in equation 1 will be employed.</w:t>
      </w:r>
    </w:p>
    <w:p w14:paraId="5940C0EE" w14:textId="77777777" w:rsidR="007478D0" w:rsidRPr="00BF1CC4" w:rsidRDefault="007478D0" w:rsidP="008552A8">
      <w:pPr>
        <w:spacing w:line="360" w:lineRule="auto"/>
        <w:jc w:val="both"/>
      </w:pPr>
    </w:p>
    <w:p w14:paraId="2AF88D6B" w14:textId="6B8B6C89" w:rsidR="007478D0" w:rsidRPr="00BF1CC4" w:rsidRDefault="007478D0" w:rsidP="00415A13">
      <w:pPr>
        <w:spacing w:line="480" w:lineRule="auto"/>
        <w:jc w:val="both"/>
      </w:pPr>
      <w:r w:rsidRPr="00BF1CC4">
        <w:t>ROE</w:t>
      </w:r>
      <w:r w:rsidRPr="00BF1CC4">
        <w:rPr>
          <w:vertAlign w:val="subscript"/>
        </w:rPr>
        <w:t>it</w:t>
      </w:r>
      <w:r w:rsidRPr="00BF1CC4">
        <w:t>=α</w:t>
      </w:r>
      <w:r w:rsidRPr="00BF1CC4">
        <w:rPr>
          <w:vertAlign w:val="subscript"/>
        </w:rPr>
        <w:t>i</w:t>
      </w:r>
      <w:r w:rsidRPr="00BF1CC4">
        <w:t>+β</w:t>
      </w:r>
      <w:r w:rsidRPr="00BF1CC4">
        <w:rPr>
          <w:vertAlign w:val="subscript"/>
        </w:rPr>
        <w:t>1</w:t>
      </w:r>
      <w:r w:rsidRPr="00BF1CC4">
        <w:t>C</w:t>
      </w:r>
      <w:r w:rsidRPr="00BF1CC4">
        <w:rPr>
          <w:vertAlign w:val="subscript"/>
        </w:rPr>
        <w:t>it</w:t>
      </w:r>
      <w:r w:rsidRPr="00BF1CC4">
        <w:t>+</w:t>
      </w:r>
      <m:oMath>
        <m:nary>
          <m:naryPr>
            <m:chr m:val="∑"/>
            <m:limLoc m:val="undOvr"/>
            <m:ctrlPr>
              <w:rPr>
                <w:rFonts w:ascii="Cambria Math" w:hAnsi="Cambria Math"/>
                <w:i/>
              </w:rPr>
            </m:ctrlPr>
          </m:naryPr>
          <m:sub>
            <m:r>
              <w:rPr>
                <w:rFonts w:ascii="Cambria Math" w:hAnsi="Cambria Math"/>
              </w:rPr>
              <m:t>k=1</m:t>
            </m:r>
          </m:sub>
          <m:sup>
            <m:r>
              <w:rPr>
                <w:rFonts w:ascii="Cambria Math" w:hAnsi="Cambria Math"/>
              </w:rPr>
              <m:t>n</m:t>
            </m:r>
          </m:sup>
          <m:e>
            <m:sSub>
              <m:sSubPr>
                <m:ctrlPr>
                  <w:rPr>
                    <w:rFonts w:ascii="Cambria Math" w:hAnsi="Cambria Math"/>
                    <w:i/>
                  </w:rPr>
                </m:ctrlPr>
              </m:sSubPr>
              <m:e>
                <m:r>
                  <m:rPr>
                    <m:sty m:val="p"/>
                  </m:rPr>
                  <w:rPr>
                    <w:rFonts w:ascii="Cambria Math" w:hAnsi="Cambria Math"/>
                  </w:rPr>
                  <m:t>β</m:t>
                </m:r>
              </m:e>
              <m:sub>
                <m:r>
                  <w:rPr>
                    <w:rFonts w:ascii="Cambria Math" w:hAnsi="Cambria Math"/>
                  </w:rPr>
                  <m:t>k</m:t>
                </m:r>
              </m:sub>
            </m:sSub>
          </m:e>
        </m:nary>
      </m:oMath>
      <w:r w:rsidRPr="00BF1CC4">
        <w:t>X</w:t>
      </w:r>
      <w:r w:rsidRPr="00BF1CC4">
        <w:rPr>
          <w:vertAlign w:val="subscript"/>
        </w:rPr>
        <w:t>it</w:t>
      </w:r>
      <w:r w:rsidRPr="00BF1CC4">
        <w:t>+ ε</w:t>
      </w:r>
      <w:r w:rsidRPr="00BF1CC4">
        <w:rPr>
          <w:vertAlign w:val="subscript"/>
        </w:rPr>
        <w:t xml:space="preserve">it ……………………………………………………………………..(1)     </w:t>
      </w:r>
    </w:p>
    <w:p w14:paraId="15BE3491" w14:textId="77777777" w:rsidR="00B02E30" w:rsidRPr="00BF1CC4" w:rsidRDefault="00B02E30" w:rsidP="008552A8">
      <w:pPr>
        <w:spacing w:line="360" w:lineRule="auto"/>
        <w:jc w:val="both"/>
      </w:pPr>
      <w:r w:rsidRPr="00BF1CC4">
        <w:t>Where ROEit is the return on equity for bank i year t</w:t>
      </w:r>
    </w:p>
    <w:p w14:paraId="3CF363FC" w14:textId="77777777" w:rsidR="00B02E30" w:rsidRPr="00BF1CC4" w:rsidRDefault="00B02E30" w:rsidP="008552A8">
      <w:pPr>
        <w:spacing w:line="360" w:lineRule="auto"/>
        <w:ind w:left="720"/>
        <w:jc w:val="both"/>
      </w:pPr>
      <w:r w:rsidRPr="00BF1CC4">
        <w:t>C</w:t>
      </w:r>
      <w:r w:rsidRPr="00BF1CC4">
        <w:rPr>
          <w:vertAlign w:val="subscript"/>
        </w:rPr>
        <w:t>it</w:t>
      </w:r>
      <w:r w:rsidRPr="00BF1CC4">
        <w:t xml:space="preserve"> is the control variable for bank i year t where control relates to intervening variable</w:t>
      </w:r>
    </w:p>
    <w:p w14:paraId="604F950F" w14:textId="77777777" w:rsidR="00B02E30" w:rsidRPr="00BF1CC4" w:rsidRDefault="00B02E30" w:rsidP="008552A8">
      <w:pPr>
        <w:spacing w:line="360" w:lineRule="auto"/>
        <w:ind w:left="720"/>
        <w:jc w:val="both"/>
      </w:pPr>
      <w:r w:rsidRPr="00BF1CC4">
        <w:t>X</w:t>
      </w:r>
      <w:r w:rsidRPr="00BF1CC4">
        <w:rPr>
          <w:vertAlign w:val="subscript"/>
        </w:rPr>
        <w:t>it</w:t>
      </w:r>
      <w:r w:rsidRPr="00BF1CC4">
        <w:t xml:space="preserve"> is the vector of explanatory variables representing each of the three independent variables, for bank i year t</w:t>
      </w:r>
    </w:p>
    <w:p w14:paraId="68164A78" w14:textId="77777777" w:rsidR="00B02E30" w:rsidRPr="00BF1CC4" w:rsidRDefault="00B02E30" w:rsidP="008552A8">
      <w:pPr>
        <w:spacing w:line="360" w:lineRule="auto"/>
        <w:ind w:left="720"/>
        <w:jc w:val="both"/>
      </w:pPr>
      <w:r w:rsidRPr="00BF1CC4">
        <w:lastRenderedPageBreak/>
        <w:t>ε</w:t>
      </w:r>
      <w:r w:rsidRPr="00BF1CC4">
        <w:rPr>
          <w:vertAlign w:val="subscript"/>
        </w:rPr>
        <w:t>it</w:t>
      </w:r>
      <w:r w:rsidRPr="00BF1CC4">
        <w:t xml:space="preserve"> is the within bank error term</w:t>
      </w:r>
    </w:p>
    <w:p w14:paraId="3A33DE9F" w14:textId="77777777" w:rsidR="00B02E30" w:rsidRPr="00BF1CC4" w:rsidRDefault="00B02E30" w:rsidP="008552A8">
      <w:pPr>
        <w:spacing w:line="360" w:lineRule="auto"/>
        <w:ind w:left="720"/>
        <w:jc w:val="both"/>
      </w:pPr>
      <w:r w:rsidRPr="00BF1CC4">
        <w:t>α</w:t>
      </w:r>
      <w:r w:rsidRPr="00BF1CC4">
        <w:rPr>
          <w:vertAlign w:val="subscript"/>
        </w:rPr>
        <w:t>i</w:t>
      </w:r>
      <w:r w:rsidRPr="00BF1CC4">
        <w:t xml:space="preserve"> (i=1….n) is the unknown intercept for each bank </w:t>
      </w:r>
    </w:p>
    <w:p w14:paraId="0787DAD9" w14:textId="0CFB6175" w:rsidR="00B02E30" w:rsidRPr="00BF1CC4" w:rsidRDefault="00B02E30" w:rsidP="00917A75">
      <w:pPr>
        <w:spacing w:line="360" w:lineRule="auto"/>
        <w:ind w:left="720"/>
        <w:jc w:val="both"/>
      </w:pPr>
      <w:r w:rsidRPr="00BF1CC4">
        <w:t>β</w:t>
      </w:r>
      <w:r w:rsidRPr="00BF1CC4">
        <w:rPr>
          <w:vertAlign w:val="subscript"/>
        </w:rPr>
        <w:t>k</w:t>
      </w:r>
      <w:r w:rsidRPr="00BF1CC4">
        <w:t xml:space="preserve"> (k=1, 2,..,n) are the coefficients for the control variable and respective determinants under each independent variable.</w:t>
      </w:r>
    </w:p>
    <w:p w14:paraId="01E362D2" w14:textId="2BEE247C" w:rsidR="00B02E30" w:rsidRPr="00BF1CC4" w:rsidRDefault="00B02E30" w:rsidP="008552A8">
      <w:pPr>
        <w:spacing w:line="360" w:lineRule="auto"/>
        <w:jc w:val="both"/>
      </w:pPr>
      <w:r w:rsidRPr="00BF1CC4">
        <w:t>However, if the preferred model as per the H</w:t>
      </w:r>
      <w:r w:rsidR="00A22D86" w:rsidRPr="00BF1CC4">
        <w:t>a</w:t>
      </w:r>
      <w:r w:rsidRPr="00BF1CC4">
        <w:t>usman test will be random effects model, then the model specified in equation 2 will be employed.</w:t>
      </w:r>
    </w:p>
    <w:p w14:paraId="30441CB2" w14:textId="77777777" w:rsidR="007478D0" w:rsidRPr="00BF1CC4" w:rsidRDefault="007478D0" w:rsidP="008552A8">
      <w:pPr>
        <w:spacing w:line="360" w:lineRule="auto"/>
        <w:jc w:val="both"/>
      </w:pPr>
    </w:p>
    <w:p w14:paraId="4077664E" w14:textId="10270280" w:rsidR="007478D0" w:rsidRPr="00BF1CC4" w:rsidRDefault="007478D0" w:rsidP="007478D0">
      <w:pPr>
        <w:spacing w:line="480" w:lineRule="auto"/>
        <w:jc w:val="both"/>
        <w:rPr>
          <w:vertAlign w:val="subscript"/>
        </w:rPr>
      </w:pPr>
      <w:r w:rsidRPr="00BF1CC4">
        <w:t>ROE</w:t>
      </w:r>
      <w:r w:rsidRPr="00BF1CC4">
        <w:rPr>
          <w:vertAlign w:val="subscript"/>
        </w:rPr>
        <w:t>it</w:t>
      </w:r>
      <w:r w:rsidRPr="00BF1CC4">
        <w:t>=α</w:t>
      </w:r>
      <w:r w:rsidRPr="00BF1CC4">
        <w:rPr>
          <w:vertAlign w:val="subscript"/>
        </w:rPr>
        <w:t xml:space="preserve"> </w:t>
      </w:r>
      <w:r w:rsidRPr="00BF1CC4">
        <w:t>+ β</w:t>
      </w:r>
      <w:r w:rsidRPr="00BF1CC4">
        <w:rPr>
          <w:vertAlign w:val="subscript"/>
        </w:rPr>
        <w:t>1</w:t>
      </w:r>
      <w:r w:rsidRPr="00BF1CC4">
        <w:t>C</w:t>
      </w:r>
      <w:r w:rsidRPr="00BF1CC4">
        <w:rPr>
          <w:vertAlign w:val="subscript"/>
        </w:rPr>
        <w:t>it</w:t>
      </w:r>
      <w:r w:rsidRPr="00BF1CC4">
        <w:t>+</w:t>
      </w:r>
      <m:oMath>
        <m:nary>
          <m:naryPr>
            <m:chr m:val="∑"/>
            <m:limLoc m:val="undOvr"/>
            <m:ctrlPr>
              <w:rPr>
                <w:rFonts w:ascii="Cambria Math" w:hAnsi="Cambria Math"/>
                <w:i/>
              </w:rPr>
            </m:ctrlPr>
          </m:naryPr>
          <m:sub>
            <m:r>
              <w:rPr>
                <w:rFonts w:ascii="Cambria Math" w:hAnsi="Cambria Math"/>
              </w:rPr>
              <m:t>k=1</m:t>
            </m:r>
          </m:sub>
          <m:sup>
            <m:r>
              <w:rPr>
                <w:rFonts w:ascii="Cambria Math" w:hAnsi="Cambria Math"/>
              </w:rPr>
              <m:t>n</m:t>
            </m:r>
          </m:sup>
          <m:e>
            <m:sSub>
              <m:sSubPr>
                <m:ctrlPr>
                  <w:rPr>
                    <w:rFonts w:ascii="Cambria Math" w:hAnsi="Cambria Math"/>
                    <w:i/>
                  </w:rPr>
                </m:ctrlPr>
              </m:sSubPr>
              <m:e>
                <m:r>
                  <m:rPr>
                    <m:sty m:val="p"/>
                  </m:rPr>
                  <w:rPr>
                    <w:rFonts w:ascii="Cambria Math" w:hAnsi="Cambria Math"/>
                  </w:rPr>
                  <m:t>β</m:t>
                </m:r>
              </m:e>
              <m:sub>
                <m:r>
                  <w:rPr>
                    <w:rFonts w:ascii="Cambria Math" w:hAnsi="Cambria Math"/>
                  </w:rPr>
                  <m:t>k</m:t>
                </m:r>
              </m:sub>
            </m:sSub>
          </m:e>
        </m:nary>
      </m:oMath>
      <w:r w:rsidRPr="00BF1CC4">
        <w:t>X</w:t>
      </w:r>
      <w:r w:rsidRPr="00BF1CC4">
        <w:rPr>
          <w:vertAlign w:val="subscript"/>
        </w:rPr>
        <w:t>it</w:t>
      </w:r>
      <w:r w:rsidRPr="00BF1CC4">
        <w:t xml:space="preserve"> + U</w:t>
      </w:r>
      <w:r w:rsidRPr="00BF1CC4">
        <w:rPr>
          <w:vertAlign w:val="subscript"/>
        </w:rPr>
        <w:t>it</w:t>
      </w:r>
      <w:r w:rsidRPr="00BF1CC4">
        <w:t xml:space="preserve"> + ε</w:t>
      </w:r>
      <w:r w:rsidRPr="00BF1CC4">
        <w:rPr>
          <w:vertAlign w:val="subscript"/>
        </w:rPr>
        <w:t>it ………………………………………………………….    (2)</w:t>
      </w:r>
    </w:p>
    <w:p w14:paraId="7FB75C8D" w14:textId="0977E70C" w:rsidR="00B02E30" w:rsidRPr="00BF1CC4" w:rsidRDefault="00B02E30" w:rsidP="008552A8">
      <w:pPr>
        <w:spacing w:line="360" w:lineRule="auto"/>
        <w:jc w:val="both"/>
      </w:pPr>
      <w:r w:rsidRPr="00BF1CC4">
        <w:t xml:space="preserve">Where the explanations </w:t>
      </w:r>
      <w:r w:rsidR="00A22D86" w:rsidRPr="00BF1CC4">
        <w:t>are</w:t>
      </w:r>
      <w:r w:rsidRPr="00BF1CC4">
        <w:t xml:space="preserve"> as in equation 1, but U</w:t>
      </w:r>
      <w:r w:rsidRPr="00BF1CC4">
        <w:rPr>
          <w:vertAlign w:val="subscript"/>
        </w:rPr>
        <w:t>it</w:t>
      </w:r>
      <w:r w:rsidRPr="00BF1CC4">
        <w:t xml:space="preserve"> is the between bank error term</w:t>
      </w:r>
      <w:bookmarkStart w:id="20" w:name="_Toc148807478"/>
      <w:bookmarkStart w:id="21" w:name="_Toc80654574"/>
    </w:p>
    <w:p w14:paraId="62C43E83" w14:textId="5E084A3E" w:rsidR="00182643" w:rsidRPr="00BF1CC4" w:rsidRDefault="00182643" w:rsidP="008552A8">
      <w:pPr>
        <w:pStyle w:val="Heading2"/>
        <w:spacing w:line="360" w:lineRule="auto"/>
        <w:rPr>
          <w:rFonts w:ascii="Times New Roman" w:hAnsi="Times New Roman" w:cs="Times New Roman"/>
          <w:color w:val="auto"/>
          <w:sz w:val="24"/>
          <w:szCs w:val="24"/>
        </w:rPr>
      </w:pPr>
      <w:r w:rsidRPr="00BF1CC4">
        <w:rPr>
          <w:rFonts w:ascii="Times New Roman" w:hAnsi="Times New Roman" w:cs="Times New Roman"/>
          <w:color w:val="auto"/>
          <w:sz w:val="24"/>
          <w:szCs w:val="24"/>
          <w:shd w:val="clear" w:color="auto" w:fill="FFFFFF"/>
        </w:rPr>
        <w:t>3.</w:t>
      </w:r>
      <w:r w:rsidR="00607DF3" w:rsidRPr="00BF1CC4">
        <w:rPr>
          <w:rFonts w:ascii="Times New Roman" w:hAnsi="Times New Roman" w:cs="Times New Roman"/>
          <w:color w:val="auto"/>
          <w:sz w:val="24"/>
          <w:szCs w:val="24"/>
          <w:shd w:val="clear" w:color="auto" w:fill="FFFFFF"/>
        </w:rPr>
        <w:t>3</w:t>
      </w:r>
      <w:r w:rsidRPr="00BF1CC4">
        <w:rPr>
          <w:rFonts w:ascii="Times New Roman" w:hAnsi="Times New Roman" w:cs="Times New Roman"/>
          <w:color w:val="auto"/>
          <w:sz w:val="24"/>
          <w:szCs w:val="24"/>
          <w:shd w:val="clear" w:color="auto" w:fill="FFFFFF"/>
        </w:rPr>
        <w:t xml:space="preserve"> </w:t>
      </w:r>
      <w:r w:rsidR="00B02E30" w:rsidRPr="00BF1CC4">
        <w:rPr>
          <w:rFonts w:ascii="Times New Roman" w:hAnsi="Times New Roman" w:cs="Times New Roman"/>
          <w:color w:val="auto"/>
          <w:sz w:val="24"/>
          <w:szCs w:val="24"/>
        </w:rPr>
        <w:t>Pre-</w:t>
      </w:r>
      <w:bookmarkEnd w:id="20"/>
      <w:r w:rsidR="00B02E30" w:rsidRPr="00BF1CC4">
        <w:rPr>
          <w:rFonts w:ascii="Times New Roman" w:hAnsi="Times New Roman" w:cs="Times New Roman"/>
          <w:color w:val="auto"/>
          <w:sz w:val="24"/>
          <w:szCs w:val="24"/>
        </w:rPr>
        <w:t>estimation Test</w:t>
      </w:r>
    </w:p>
    <w:p w14:paraId="1F4775C9" w14:textId="6C687546" w:rsidR="00815867" w:rsidRPr="00BF1CC4" w:rsidRDefault="00182643" w:rsidP="00917A75">
      <w:pPr>
        <w:spacing w:line="360" w:lineRule="auto"/>
        <w:jc w:val="both"/>
      </w:pPr>
      <w:r w:rsidRPr="00BF1CC4">
        <w:t>Stationarity in panel data relates to means and standards deviations remaining constant over a given time interval. For panel data stationarity allows for forecasting to be done, paving way for estimation of future occurrences (Lau et al., 2019). It has previously been demonstrated that stationarity only occurs when there is no unit root in the data (</w:t>
      </w:r>
      <w:r w:rsidRPr="00BF1CC4">
        <w:rPr>
          <w:shd w:val="clear" w:color="auto" w:fill="FFFFFF"/>
        </w:rPr>
        <w:t>Adewuyi</w:t>
      </w:r>
      <w:r w:rsidR="00A22D86" w:rsidRPr="00BF1CC4">
        <w:rPr>
          <w:shd w:val="clear" w:color="auto" w:fill="FFFFFF"/>
        </w:rPr>
        <w:t xml:space="preserve"> et al.</w:t>
      </w:r>
      <w:r w:rsidRPr="00BF1CC4">
        <w:rPr>
          <w:shd w:val="clear" w:color="auto" w:fill="FFFFFF"/>
        </w:rPr>
        <w:t>, 2020).</w:t>
      </w:r>
      <w:r w:rsidRPr="00BF1CC4">
        <w:t xml:space="preserve"> Unit root will therefore be used to test for stationarity in the panel data relating to commercial banks under study.  Unit roots was tested </w:t>
      </w:r>
      <w:r w:rsidR="00A22D86" w:rsidRPr="00BF1CC4">
        <w:t>using</w:t>
      </w:r>
      <w:r w:rsidRPr="00BF1CC4">
        <w:t xml:space="preserve"> Levin–Lin–Chu and </w:t>
      </w:r>
      <w:r w:rsidRPr="00BF1CC4">
        <w:rPr>
          <w:rFonts w:eastAsiaTheme="minorHAnsi"/>
        </w:rPr>
        <w:t>Im-Pesaran-Shin test</w:t>
      </w:r>
      <w:r w:rsidR="00917A75">
        <w:rPr>
          <w:rFonts w:eastAsiaTheme="minorHAnsi"/>
        </w:rPr>
        <w:t>s</w:t>
      </w:r>
      <w:r w:rsidRPr="00BF1CC4">
        <w:t xml:space="preserve">. Under the Levin-Lin-Chu approach, it is hypothesized that panels have unit root, and therefore a significant t-statistic tested at the 5% level of significance will imply lack of unit root. </w:t>
      </w:r>
      <w:bookmarkStart w:id="22" w:name="_Hlk177980924"/>
      <w:r w:rsidR="00917A75">
        <w:t xml:space="preserve">In addition, </w:t>
      </w:r>
      <w:r w:rsidRPr="00BF1CC4">
        <w:t xml:space="preserve">Hausman test will be </w:t>
      </w:r>
      <w:r w:rsidR="00917A75">
        <w:t>performed</w:t>
      </w:r>
      <w:r w:rsidRPr="00BF1CC4">
        <w:t xml:space="preserve"> to decide on whether to use the fixed effects or the random effects </w:t>
      </w:r>
      <w:r w:rsidR="00917A75">
        <w:t xml:space="preserve">regression analysis. </w:t>
      </w:r>
      <w:r w:rsidR="00815867" w:rsidRPr="00BF1CC4">
        <w:t xml:space="preserve"> </w:t>
      </w:r>
    </w:p>
    <w:p w14:paraId="17B0D643" w14:textId="6409964F" w:rsidR="00B02E30" w:rsidRPr="00BF1CC4" w:rsidRDefault="00B02E30" w:rsidP="008552A8">
      <w:pPr>
        <w:pStyle w:val="Heading2"/>
        <w:spacing w:line="360" w:lineRule="auto"/>
        <w:rPr>
          <w:rFonts w:ascii="Times New Roman" w:hAnsi="Times New Roman" w:cs="Times New Roman"/>
          <w:color w:val="auto"/>
          <w:sz w:val="24"/>
          <w:szCs w:val="24"/>
        </w:rPr>
      </w:pPr>
      <w:bookmarkStart w:id="23" w:name="_Toc148807484"/>
      <w:bookmarkStart w:id="24" w:name="_Toc148807480"/>
      <w:bookmarkEnd w:id="22"/>
      <w:r w:rsidRPr="00BF1CC4">
        <w:rPr>
          <w:rFonts w:ascii="Times New Roman" w:hAnsi="Times New Roman" w:cs="Times New Roman"/>
          <w:color w:val="auto"/>
          <w:sz w:val="24"/>
          <w:szCs w:val="24"/>
        </w:rPr>
        <w:t>3.</w:t>
      </w:r>
      <w:r w:rsidR="00607DF3" w:rsidRPr="00BF1CC4">
        <w:rPr>
          <w:rFonts w:ascii="Times New Roman" w:hAnsi="Times New Roman" w:cs="Times New Roman"/>
          <w:color w:val="auto"/>
          <w:sz w:val="24"/>
          <w:szCs w:val="24"/>
        </w:rPr>
        <w:t>4</w:t>
      </w:r>
      <w:r w:rsidRPr="00BF1CC4">
        <w:rPr>
          <w:rFonts w:ascii="Times New Roman" w:hAnsi="Times New Roman" w:cs="Times New Roman"/>
          <w:color w:val="auto"/>
          <w:sz w:val="24"/>
          <w:szCs w:val="24"/>
        </w:rPr>
        <w:t xml:space="preserve"> Data Analysis</w:t>
      </w:r>
      <w:bookmarkEnd w:id="23"/>
    </w:p>
    <w:p w14:paraId="718BB522" w14:textId="675E6D98" w:rsidR="00B02E30" w:rsidRPr="00BF1CC4" w:rsidRDefault="00B02E30" w:rsidP="008552A8">
      <w:pPr>
        <w:spacing w:line="360" w:lineRule="auto"/>
        <w:jc w:val="both"/>
      </w:pPr>
      <w:r w:rsidRPr="00BF1CC4">
        <w:t xml:space="preserve">Data analysis focused on testing the formulated hypotheses. Regression models was used to establish the effects of bank characteristics, macroeconomic factors, on bank financial performance measured through return on equity (ROE). The pooled </w:t>
      </w:r>
      <w:r w:rsidR="00154702" w:rsidRPr="00154702">
        <w:t>ordinary least squares (OLS)</w:t>
      </w:r>
      <w:r w:rsidR="00154702">
        <w:t xml:space="preserve"> </w:t>
      </w:r>
      <w:r w:rsidRPr="00BF1CC4">
        <w:t xml:space="preserve">model was not considered for this study since, it has been noted that it is employed when different samples are selected for each period (Wooldridge, 2010). The study therefore employed the fixed effects model as determined by Hausman test results. Choice of fixed or random effects model was based on assertions by Wooldridge (2010), that the </w:t>
      </w:r>
      <w:r w:rsidRPr="00BF1CC4">
        <w:rPr>
          <w:shd w:val="clear" w:color="auto" w:fill="FFFFFF"/>
        </w:rPr>
        <w:t>fixed effects / random effects models are suitable the same sample of individuals</w:t>
      </w:r>
      <w:r w:rsidR="00082761" w:rsidRPr="00BF1CC4">
        <w:rPr>
          <w:shd w:val="clear" w:color="auto" w:fill="FFFFFF"/>
        </w:rPr>
        <w:t xml:space="preserve"> when</w:t>
      </w:r>
      <w:r w:rsidRPr="00BF1CC4">
        <w:rPr>
          <w:shd w:val="clear" w:color="auto" w:fill="FFFFFF"/>
        </w:rPr>
        <w:t xml:space="preserve"> observed over time. </w:t>
      </w:r>
      <w:r w:rsidR="00D27E36" w:rsidRPr="00BF1CC4">
        <w:rPr>
          <w:shd w:val="clear" w:color="auto" w:fill="FFFFFF"/>
        </w:rPr>
        <w:t>Indeed,</w:t>
      </w:r>
      <w:r w:rsidRPr="00BF1CC4">
        <w:rPr>
          <w:shd w:val="clear" w:color="auto" w:fill="FFFFFF"/>
        </w:rPr>
        <w:t xml:space="preserve"> for this study, the same sample of </w:t>
      </w:r>
      <w:r w:rsidR="00154702">
        <w:rPr>
          <w:shd w:val="clear" w:color="auto" w:fill="FFFFFF"/>
        </w:rPr>
        <w:t xml:space="preserve">9 </w:t>
      </w:r>
      <w:r w:rsidRPr="00BF1CC4">
        <w:rPr>
          <w:shd w:val="clear" w:color="auto" w:fill="FFFFFF"/>
        </w:rPr>
        <w:t xml:space="preserve">commercial banks </w:t>
      </w:r>
      <w:r w:rsidR="00154702">
        <w:rPr>
          <w:shd w:val="clear" w:color="auto" w:fill="FFFFFF"/>
        </w:rPr>
        <w:lastRenderedPageBreak/>
        <w:t>listed in Nairobi Securit</w:t>
      </w:r>
      <w:r w:rsidR="0026171C">
        <w:rPr>
          <w:shd w:val="clear" w:color="auto" w:fill="FFFFFF"/>
        </w:rPr>
        <w:t>ies</w:t>
      </w:r>
      <w:r w:rsidR="00154702">
        <w:rPr>
          <w:shd w:val="clear" w:color="auto" w:fill="FFFFFF"/>
        </w:rPr>
        <w:t xml:space="preserve"> Exchange (NSE) were</w:t>
      </w:r>
      <w:r w:rsidRPr="00BF1CC4">
        <w:rPr>
          <w:shd w:val="clear" w:color="auto" w:fill="FFFFFF"/>
        </w:rPr>
        <w:t xml:space="preserve"> be under observation for the period between 2011 and 2020.</w:t>
      </w:r>
    </w:p>
    <w:p w14:paraId="500B9DBB" w14:textId="6AD59B43" w:rsidR="00182643" w:rsidRPr="00BF1CC4" w:rsidRDefault="00607DF3" w:rsidP="008552A8">
      <w:pPr>
        <w:pStyle w:val="Heading2"/>
        <w:spacing w:line="360" w:lineRule="auto"/>
        <w:rPr>
          <w:rFonts w:ascii="Times New Roman" w:eastAsia="Arial Unicode MS" w:hAnsi="Times New Roman" w:cs="Times New Roman"/>
          <w:color w:val="auto"/>
          <w:sz w:val="24"/>
          <w:szCs w:val="24"/>
          <w:lang w:val="en-GB"/>
        </w:rPr>
      </w:pPr>
      <w:r w:rsidRPr="00BF1CC4">
        <w:rPr>
          <w:rFonts w:ascii="Times New Roman" w:eastAsia="Arial Unicode MS" w:hAnsi="Times New Roman" w:cs="Times New Roman"/>
          <w:color w:val="auto"/>
          <w:sz w:val="24"/>
          <w:szCs w:val="24"/>
          <w:lang w:val="en-GB"/>
        </w:rPr>
        <w:t xml:space="preserve">3.5 </w:t>
      </w:r>
      <w:r w:rsidR="00B02E30" w:rsidRPr="00BF1CC4">
        <w:rPr>
          <w:rFonts w:ascii="Times New Roman" w:eastAsia="Arial Unicode MS" w:hAnsi="Times New Roman" w:cs="Times New Roman"/>
          <w:color w:val="auto"/>
          <w:sz w:val="24"/>
          <w:szCs w:val="24"/>
          <w:lang w:val="en-GB"/>
        </w:rPr>
        <w:t>Post-estimation</w:t>
      </w:r>
      <w:r w:rsidR="00182643" w:rsidRPr="00BF1CC4">
        <w:rPr>
          <w:rFonts w:ascii="Times New Roman" w:eastAsia="Arial Unicode MS" w:hAnsi="Times New Roman" w:cs="Times New Roman"/>
          <w:color w:val="auto"/>
          <w:sz w:val="24"/>
          <w:szCs w:val="24"/>
          <w:lang w:val="en-GB"/>
        </w:rPr>
        <w:t xml:space="preserve"> Tests</w:t>
      </w:r>
      <w:bookmarkEnd w:id="24"/>
    </w:p>
    <w:p w14:paraId="6226D48F" w14:textId="29BA4E14" w:rsidR="007C0597" w:rsidRPr="00BF1CC4" w:rsidRDefault="00182643" w:rsidP="008552A8">
      <w:pPr>
        <w:spacing w:after="80" w:line="360" w:lineRule="auto"/>
        <w:jc w:val="both"/>
      </w:pPr>
      <w:r w:rsidRPr="00BF1CC4">
        <w:t>A series of diagnostic tests were conducted in order to ensure that models used will be econometrically sound (</w:t>
      </w:r>
      <w:r w:rsidRPr="00BF1CC4">
        <w:rPr>
          <w:shd w:val="clear" w:color="auto" w:fill="FFFFFF"/>
        </w:rPr>
        <w:t xml:space="preserve">Baloch et al., 2019). </w:t>
      </w:r>
      <w:r w:rsidR="007C0597" w:rsidRPr="00BF1CC4">
        <w:t xml:space="preserve">The following post-regression diagnostic tests were performed: normality using the Jarque-Bera test, serial correlation using the Durbin-Watson d-statistic, </w:t>
      </w:r>
      <w:r w:rsidR="003D50E6" w:rsidRPr="00BF1CC4">
        <w:rPr>
          <w:rFonts w:eastAsiaTheme="minorHAnsi"/>
        </w:rPr>
        <w:t>multicollinearity test</w:t>
      </w:r>
      <w:r w:rsidR="003D50E6">
        <w:rPr>
          <w:rFonts w:eastAsiaTheme="minorHAnsi"/>
        </w:rPr>
        <w:t xml:space="preserve"> </w:t>
      </w:r>
      <w:r w:rsidR="004D5686">
        <w:rPr>
          <w:rFonts w:eastAsiaTheme="minorHAnsi"/>
        </w:rPr>
        <w:t xml:space="preserve">using </w:t>
      </w:r>
      <w:r w:rsidR="004D5686" w:rsidRPr="00BF1CC4">
        <w:rPr>
          <w:rFonts w:eastAsiaTheme="minorHAnsi"/>
        </w:rPr>
        <w:t>Variance</w:t>
      </w:r>
      <w:r w:rsidR="003D50E6" w:rsidRPr="00BF1CC4">
        <w:rPr>
          <w:rFonts w:eastAsiaTheme="minorHAnsi"/>
        </w:rPr>
        <w:t xml:space="preserve"> Inflation Factor (VIF) </w:t>
      </w:r>
      <w:r w:rsidR="007C0597" w:rsidRPr="00BF1CC4">
        <w:t xml:space="preserve">and heteroscedasticity using the </w:t>
      </w:r>
      <w:r w:rsidR="008B0A7B" w:rsidRPr="00BF1CC4">
        <w:rPr>
          <w:rFonts w:eastAsiaTheme="minorHAnsi"/>
        </w:rPr>
        <w:t>White test</w:t>
      </w:r>
      <w:r w:rsidR="007C0597" w:rsidRPr="00BF1CC4">
        <w:t>. This is to eliminate the possibilities of spurious</w:t>
      </w:r>
      <w:r w:rsidR="003B7232">
        <w:t xml:space="preserve"> findings.</w:t>
      </w:r>
    </w:p>
    <w:p w14:paraId="32EFA3C2" w14:textId="00142995" w:rsidR="00735DCF" w:rsidRPr="00BF1CC4" w:rsidRDefault="00607DF3" w:rsidP="008552A8">
      <w:pPr>
        <w:pStyle w:val="Heading2"/>
        <w:spacing w:line="360" w:lineRule="auto"/>
        <w:rPr>
          <w:rFonts w:ascii="Times New Roman" w:hAnsi="Times New Roman" w:cs="Times New Roman"/>
          <w:color w:val="auto"/>
          <w:sz w:val="24"/>
          <w:szCs w:val="24"/>
        </w:rPr>
      </w:pPr>
      <w:bookmarkStart w:id="25" w:name="_Toc85276960"/>
      <w:bookmarkStart w:id="26" w:name="_Toc115641606"/>
      <w:bookmarkStart w:id="27" w:name="_Toc117954748"/>
      <w:bookmarkStart w:id="28" w:name="_Toc148807488"/>
      <w:bookmarkStart w:id="29" w:name="_Toc80654583"/>
      <w:bookmarkEnd w:id="21"/>
      <w:r w:rsidRPr="00BF1CC4">
        <w:rPr>
          <w:rFonts w:ascii="Times New Roman" w:hAnsi="Times New Roman" w:cs="Times New Roman"/>
          <w:color w:val="auto"/>
          <w:sz w:val="24"/>
          <w:szCs w:val="24"/>
        </w:rPr>
        <w:t>4</w:t>
      </w:r>
      <w:r w:rsidR="005A4DED" w:rsidRPr="00BF1CC4">
        <w:rPr>
          <w:rFonts w:ascii="Times New Roman" w:hAnsi="Times New Roman" w:cs="Times New Roman"/>
          <w:color w:val="auto"/>
          <w:sz w:val="24"/>
          <w:szCs w:val="24"/>
        </w:rPr>
        <w:t xml:space="preserve">. </w:t>
      </w:r>
      <w:r w:rsidRPr="00BF1CC4">
        <w:rPr>
          <w:rFonts w:ascii="Times New Roman" w:hAnsi="Times New Roman" w:cs="Times New Roman"/>
          <w:color w:val="auto"/>
          <w:sz w:val="24"/>
          <w:szCs w:val="24"/>
        </w:rPr>
        <w:t xml:space="preserve"> </w:t>
      </w:r>
      <w:r w:rsidR="001758FC" w:rsidRPr="00BF1CC4">
        <w:rPr>
          <w:rFonts w:ascii="Times New Roman" w:hAnsi="Times New Roman" w:cs="Times New Roman"/>
          <w:color w:val="auto"/>
          <w:sz w:val="24"/>
          <w:szCs w:val="24"/>
        </w:rPr>
        <w:t>Results and Discussion</w:t>
      </w:r>
      <w:bookmarkEnd w:id="25"/>
      <w:bookmarkEnd w:id="26"/>
      <w:bookmarkEnd w:id="27"/>
      <w:bookmarkEnd w:id="28"/>
    </w:p>
    <w:p w14:paraId="2E6A0BCA" w14:textId="44BD69B4" w:rsidR="00735DCF" w:rsidRPr="00BF1CC4" w:rsidRDefault="00735DCF" w:rsidP="008552A8">
      <w:pPr>
        <w:pStyle w:val="Heading2"/>
        <w:spacing w:line="360" w:lineRule="auto"/>
        <w:rPr>
          <w:rFonts w:ascii="Times New Roman" w:hAnsi="Times New Roman" w:cs="Times New Roman"/>
          <w:color w:val="auto"/>
          <w:sz w:val="24"/>
          <w:szCs w:val="24"/>
        </w:rPr>
      </w:pPr>
      <w:bookmarkStart w:id="30" w:name="_Toc117954752"/>
      <w:bookmarkStart w:id="31" w:name="_Toc148807492"/>
      <w:r w:rsidRPr="00BF1CC4">
        <w:rPr>
          <w:rFonts w:ascii="Times New Roman" w:hAnsi="Times New Roman" w:cs="Times New Roman"/>
          <w:color w:val="auto"/>
          <w:sz w:val="24"/>
          <w:szCs w:val="24"/>
        </w:rPr>
        <w:t>4.</w:t>
      </w:r>
      <w:r w:rsidR="00607DF3" w:rsidRPr="00BF1CC4">
        <w:rPr>
          <w:rFonts w:ascii="Times New Roman" w:hAnsi="Times New Roman" w:cs="Times New Roman"/>
          <w:color w:val="auto"/>
          <w:sz w:val="24"/>
          <w:szCs w:val="24"/>
        </w:rPr>
        <w:t>1</w:t>
      </w:r>
      <w:r w:rsidRPr="00BF1CC4">
        <w:rPr>
          <w:rFonts w:ascii="Times New Roman" w:hAnsi="Times New Roman" w:cs="Times New Roman"/>
          <w:color w:val="auto"/>
          <w:sz w:val="24"/>
          <w:szCs w:val="24"/>
        </w:rPr>
        <w:t xml:space="preserve"> Stationarity Results</w:t>
      </w:r>
      <w:bookmarkEnd w:id="30"/>
      <w:bookmarkEnd w:id="31"/>
    </w:p>
    <w:p w14:paraId="53A5EBA9" w14:textId="710D74D2" w:rsidR="00834A38" w:rsidRPr="00BF1CC4" w:rsidRDefault="00735DCF" w:rsidP="008552A8">
      <w:pPr>
        <w:spacing w:line="360" w:lineRule="auto"/>
        <w:jc w:val="both"/>
      </w:pPr>
      <w:r w:rsidRPr="00BF1CC4">
        <w:t xml:space="preserve">Utilizing a unit root test in panel data analysis substantially enhances the test's robustness, according to the findings of </w:t>
      </w:r>
      <w:r w:rsidRPr="00BF1CC4">
        <w:fldChar w:fldCharType="begin"/>
      </w:r>
      <w:r w:rsidRPr="00BF1CC4">
        <w:instrText xml:space="preserve"> ADDIN EN.CITE &lt;EndNote&gt;&lt;Cite AuthorYear="1"&gt;&lt;Author&gt;Burdisso&lt;/Author&gt;&lt;Year&gt;2016&lt;/Year&gt;&lt;RecNum&gt;327&lt;/RecNum&gt;&lt;DisplayText&gt;Burdisso and Sangiácomo (2016)&lt;/DisplayText&gt;&lt;record&gt;&lt;rec-number&gt;327&lt;/rec-number&gt;&lt;foreign-keys&gt;&lt;key app="EN" db-id="r0zpxf9dkzrv2yeppzfpxvz2ta5w2paa2fze" timestamp="1696563407"&gt;327&lt;/key&gt;&lt;/foreign-keys&gt;&lt;ref-type name="Journal Article"&gt;17&lt;/ref-type&gt;&lt;contributors&gt;&lt;authors&gt;&lt;author&gt;Burdisso, Tamara&lt;/author&gt;&lt;author&gt;Sangiácomo, Máximo&lt;/author&gt;&lt;/authors&gt;&lt;/contributors&gt;&lt;titles&gt;&lt;title&gt;Panel time series: Review of the methodological evolution&lt;/title&gt;&lt;secondary-title&gt;The Stata Journal&lt;/secondary-title&gt;&lt;/titles&gt;&lt;periodical&gt;&lt;full-title&gt;The Stata Journal&lt;/full-title&gt;&lt;/periodical&gt;&lt;pages&gt;424-442&lt;/pages&gt;&lt;volume&gt;16&lt;/volume&gt;&lt;number&gt;2&lt;/number&gt;&lt;dates&gt;&lt;year&gt;2016&lt;/year&gt;&lt;/dates&gt;&lt;isbn&gt;1536-867X&lt;/isbn&gt;&lt;urls&gt;&lt;/urls&gt;&lt;/record&gt;&lt;/Cite&gt;&lt;/EndNote&gt;</w:instrText>
      </w:r>
      <w:r w:rsidRPr="00BF1CC4">
        <w:fldChar w:fldCharType="separate"/>
      </w:r>
      <w:r w:rsidRPr="00BF1CC4">
        <w:rPr>
          <w:noProof/>
        </w:rPr>
        <w:t>Burdisso and Sangiácomo (2016)</w:t>
      </w:r>
      <w:r w:rsidRPr="00BF1CC4">
        <w:fldChar w:fldCharType="end"/>
      </w:r>
      <w:r w:rsidRPr="00BF1CC4">
        <w:t>. If the data is non-stationary, it is differenced until it becomes stationary</w:t>
      </w:r>
      <w:r w:rsidR="003B7232">
        <w:t>.</w:t>
      </w:r>
      <w:r w:rsidRPr="00BF1CC4">
        <w:t xml:space="preserve"> Consequently, this research employed and estimated the Levin-Lin-Ch</w:t>
      </w:r>
      <w:r w:rsidR="00431EDD" w:rsidRPr="00BF1CC4">
        <w:t>u unit root test</w:t>
      </w:r>
      <w:r w:rsidRPr="00BF1CC4">
        <w:t xml:space="preserve">, to ensure consistency and robustness in the analysis </w:t>
      </w:r>
      <w:r w:rsidRPr="00BF1CC4">
        <w:fldChar w:fldCharType="begin"/>
      </w:r>
      <w:r w:rsidRPr="00BF1CC4">
        <w:instrText xml:space="preserve"> ADDIN EN.CITE &lt;EndNote&gt;&lt;Cite&gt;&lt;Author&gt;Greene&lt;/Author&gt;&lt;Year&gt;2003&lt;/Year&gt;&lt;RecNum&gt;190&lt;/RecNum&gt;&lt;DisplayText&gt;(Greene, 2003)&lt;/DisplayText&gt;&lt;record&gt;&lt;rec-number&gt;190&lt;/rec-number&gt;&lt;foreign-keys&gt;&lt;key app="EN" db-id="r0zpxf9dkzrv2yeppzfpxvz2ta5w2paa2fze" timestamp="1667222519"&gt;190&lt;/key&gt;&lt;/foreign-keys&gt;&lt;ref-type name="Book"&gt;6&lt;/ref-type&gt;&lt;contributors&gt;&lt;authors&gt;&lt;author&gt;Greene, William H&lt;/author&gt;&lt;/authors&gt;&lt;/contributors&gt;&lt;titles&gt;&lt;title&gt;Econometric analysis&lt;/title&gt;&lt;/titles&gt;&lt;dates&gt;&lt;year&gt;2003&lt;/year&gt;&lt;/dates&gt;&lt;publisher&gt;Pearson Education India&lt;/publisher&gt;&lt;isbn&gt;817758684X&lt;/isbn&gt;&lt;urls&gt;&lt;/urls&gt;&lt;/record&gt;&lt;/Cite&gt;&lt;/EndNote&gt;</w:instrText>
      </w:r>
      <w:r w:rsidRPr="00BF1CC4">
        <w:fldChar w:fldCharType="separate"/>
      </w:r>
      <w:r w:rsidRPr="00BF1CC4">
        <w:rPr>
          <w:noProof/>
        </w:rPr>
        <w:t>(Greene, 2003)</w:t>
      </w:r>
      <w:r w:rsidRPr="00BF1CC4">
        <w:fldChar w:fldCharType="end"/>
      </w:r>
      <w:r w:rsidRPr="00BF1CC4">
        <w:t>.</w:t>
      </w:r>
    </w:p>
    <w:p w14:paraId="5E839AA8" w14:textId="0D84DE6F" w:rsidR="00735DCF" w:rsidRPr="00BF1CC4" w:rsidRDefault="00C84562" w:rsidP="008552A8">
      <w:pPr>
        <w:pStyle w:val="Caption"/>
        <w:spacing w:line="360" w:lineRule="auto"/>
        <w:rPr>
          <w:rFonts w:eastAsiaTheme="minorEastAsia"/>
          <w:b w:val="0"/>
          <w:bCs w:val="0"/>
          <w:color w:val="auto"/>
          <w:sz w:val="24"/>
          <w:szCs w:val="24"/>
        </w:rPr>
      </w:pPr>
      <w:bookmarkStart w:id="32" w:name="_Toc117954779"/>
      <w:bookmarkStart w:id="33" w:name="_Toc148807311"/>
      <w:r w:rsidRPr="00BF1CC4">
        <w:rPr>
          <w:color w:val="auto"/>
          <w:sz w:val="24"/>
          <w:szCs w:val="24"/>
        </w:rPr>
        <w:t xml:space="preserve">Table </w:t>
      </w:r>
      <w:r w:rsidR="00AA45AE" w:rsidRPr="00BF1CC4">
        <w:rPr>
          <w:color w:val="auto"/>
          <w:sz w:val="24"/>
          <w:szCs w:val="24"/>
        </w:rPr>
        <w:t>2</w:t>
      </w:r>
      <w:r w:rsidR="00735DCF" w:rsidRPr="00BF1CC4">
        <w:rPr>
          <w:color w:val="auto"/>
          <w:sz w:val="24"/>
          <w:szCs w:val="24"/>
        </w:rPr>
        <w:t>: Levin-Lin-Chu Unit Root Test</w:t>
      </w:r>
      <w:bookmarkEnd w:id="32"/>
      <w:bookmarkEnd w:id="3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2"/>
        <w:gridCol w:w="1467"/>
        <w:gridCol w:w="1374"/>
        <w:gridCol w:w="1467"/>
        <w:gridCol w:w="1374"/>
        <w:gridCol w:w="1482"/>
      </w:tblGrid>
      <w:tr w:rsidR="00BF1CC4" w:rsidRPr="00BF1CC4" w14:paraId="58DC1593" w14:textId="77777777" w:rsidTr="003F330D">
        <w:trPr>
          <w:trHeight w:val="22"/>
          <w:jc w:val="center"/>
        </w:trPr>
        <w:tc>
          <w:tcPr>
            <w:tcW w:w="955" w:type="pct"/>
          </w:tcPr>
          <w:p w14:paraId="1F60A044" w14:textId="77777777" w:rsidR="008A014A" w:rsidRPr="00BF1CC4" w:rsidRDefault="008A014A" w:rsidP="008552A8">
            <w:pPr>
              <w:spacing w:line="360" w:lineRule="auto"/>
              <w:jc w:val="both"/>
              <w:rPr>
                <w:rFonts w:eastAsiaTheme="minorHAnsi"/>
                <w:b/>
              </w:rPr>
            </w:pPr>
          </w:p>
        </w:tc>
        <w:tc>
          <w:tcPr>
            <w:tcW w:w="1603" w:type="pct"/>
            <w:gridSpan w:val="2"/>
          </w:tcPr>
          <w:p w14:paraId="4F603938" w14:textId="43D3E127" w:rsidR="008A014A" w:rsidRPr="00BF1CC4" w:rsidRDefault="008A014A" w:rsidP="008552A8">
            <w:pPr>
              <w:spacing w:line="360" w:lineRule="auto"/>
              <w:jc w:val="both"/>
              <w:rPr>
                <w:rFonts w:eastAsiaTheme="minorHAnsi"/>
                <w:b/>
              </w:rPr>
            </w:pPr>
            <w:r w:rsidRPr="00BF1CC4">
              <w:rPr>
                <w:rFonts w:eastAsiaTheme="minorHAnsi"/>
                <w:b/>
              </w:rPr>
              <w:t>LEVEL</w:t>
            </w:r>
          </w:p>
        </w:tc>
        <w:tc>
          <w:tcPr>
            <w:tcW w:w="2442" w:type="pct"/>
            <w:gridSpan w:val="3"/>
          </w:tcPr>
          <w:p w14:paraId="4E100D53" w14:textId="610A38C1" w:rsidR="008A014A" w:rsidRPr="00BF1CC4" w:rsidRDefault="008A014A" w:rsidP="008552A8">
            <w:pPr>
              <w:spacing w:line="360" w:lineRule="auto"/>
              <w:jc w:val="both"/>
              <w:rPr>
                <w:rFonts w:eastAsiaTheme="minorHAnsi"/>
                <w:b/>
              </w:rPr>
            </w:pPr>
            <w:r w:rsidRPr="00BF1CC4">
              <w:rPr>
                <w:rFonts w:eastAsiaTheme="minorHAnsi"/>
                <w:b/>
              </w:rPr>
              <w:t>First Difference</w:t>
            </w:r>
          </w:p>
        </w:tc>
      </w:tr>
      <w:tr w:rsidR="00BF1CC4" w:rsidRPr="00BF1CC4" w14:paraId="5CF212F3" w14:textId="77777777" w:rsidTr="003F330D">
        <w:trPr>
          <w:trHeight w:val="22"/>
          <w:jc w:val="center"/>
        </w:trPr>
        <w:tc>
          <w:tcPr>
            <w:tcW w:w="955" w:type="pct"/>
          </w:tcPr>
          <w:p w14:paraId="0E347BE0" w14:textId="77777777" w:rsidR="008A014A" w:rsidRPr="00BF1CC4" w:rsidRDefault="008A014A" w:rsidP="008552A8">
            <w:pPr>
              <w:spacing w:line="360" w:lineRule="auto"/>
              <w:jc w:val="both"/>
              <w:rPr>
                <w:rFonts w:eastAsiaTheme="minorHAnsi"/>
                <w:b/>
              </w:rPr>
            </w:pPr>
            <w:r w:rsidRPr="00BF1CC4">
              <w:rPr>
                <w:rFonts w:eastAsiaTheme="minorHAnsi"/>
                <w:b/>
              </w:rPr>
              <w:t>Variables</w:t>
            </w:r>
          </w:p>
        </w:tc>
        <w:tc>
          <w:tcPr>
            <w:tcW w:w="828" w:type="pct"/>
          </w:tcPr>
          <w:p w14:paraId="0E810131" w14:textId="4316EB30" w:rsidR="008A014A" w:rsidRPr="00BF1CC4" w:rsidRDefault="008A014A" w:rsidP="008552A8">
            <w:pPr>
              <w:spacing w:line="360" w:lineRule="auto"/>
              <w:jc w:val="both"/>
              <w:rPr>
                <w:rFonts w:eastAsiaTheme="minorHAnsi"/>
                <w:b/>
              </w:rPr>
            </w:pPr>
            <w:r w:rsidRPr="00BF1CC4">
              <w:rPr>
                <w:rFonts w:eastAsiaTheme="minorHAnsi"/>
                <w:b/>
              </w:rPr>
              <w:t>Statistic</w:t>
            </w:r>
          </w:p>
        </w:tc>
        <w:tc>
          <w:tcPr>
            <w:tcW w:w="776" w:type="pct"/>
          </w:tcPr>
          <w:p w14:paraId="06176CDA" w14:textId="77777777" w:rsidR="008A014A" w:rsidRPr="00BF1CC4" w:rsidRDefault="008A014A" w:rsidP="008552A8">
            <w:pPr>
              <w:spacing w:line="360" w:lineRule="auto"/>
              <w:jc w:val="both"/>
              <w:rPr>
                <w:rFonts w:eastAsiaTheme="minorHAnsi"/>
                <w:b/>
              </w:rPr>
            </w:pPr>
            <w:r w:rsidRPr="00BF1CC4">
              <w:rPr>
                <w:rFonts w:eastAsiaTheme="minorHAnsi"/>
                <w:b/>
              </w:rPr>
              <w:t>p-value</w:t>
            </w:r>
          </w:p>
        </w:tc>
        <w:tc>
          <w:tcPr>
            <w:tcW w:w="828" w:type="pct"/>
          </w:tcPr>
          <w:p w14:paraId="3187C6E4" w14:textId="421AAD34" w:rsidR="008A014A" w:rsidRPr="00BF1CC4" w:rsidRDefault="008A014A" w:rsidP="008552A8">
            <w:pPr>
              <w:spacing w:line="360" w:lineRule="auto"/>
              <w:jc w:val="both"/>
              <w:rPr>
                <w:rFonts w:eastAsiaTheme="minorHAnsi"/>
                <w:b/>
              </w:rPr>
            </w:pPr>
            <w:r w:rsidRPr="00BF1CC4">
              <w:rPr>
                <w:rFonts w:eastAsiaTheme="minorHAnsi"/>
                <w:b/>
              </w:rPr>
              <w:t>Statistic</w:t>
            </w:r>
          </w:p>
        </w:tc>
        <w:tc>
          <w:tcPr>
            <w:tcW w:w="776" w:type="pct"/>
          </w:tcPr>
          <w:p w14:paraId="7D9E185D" w14:textId="46A50438" w:rsidR="008A014A" w:rsidRPr="00BF1CC4" w:rsidRDefault="008A014A" w:rsidP="008552A8">
            <w:pPr>
              <w:spacing w:line="360" w:lineRule="auto"/>
              <w:jc w:val="both"/>
              <w:rPr>
                <w:rFonts w:eastAsiaTheme="minorHAnsi"/>
                <w:b/>
              </w:rPr>
            </w:pPr>
            <w:r w:rsidRPr="00BF1CC4">
              <w:rPr>
                <w:rFonts w:eastAsiaTheme="minorHAnsi"/>
                <w:b/>
              </w:rPr>
              <w:t>p-value</w:t>
            </w:r>
          </w:p>
        </w:tc>
        <w:tc>
          <w:tcPr>
            <w:tcW w:w="838" w:type="pct"/>
          </w:tcPr>
          <w:p w14:paraId="4BB79593" w14:textId="397FF9C7" w:rsidR="008A014A" w:rsidRPr="00BF1CC4" w:rsidRDefault="008A014A" w:rsidP="008552A8">
            <w:pPr>
              <w:spacing w:line="360" w:lineRule="auto"/>
              <w:jc w:val="both"/>
              <w:rPr>
                <w:rFonts w:eastAsiaTheme="minorHAnsi"/>
                <w:b/>
              </w:rPr>
            </w:pPr>
            <w:r w:rsidRPr="00BF1CC4">
              <w:rPr>
                <w:rFonts w:eastAsiaTheme="minorHAnsi"/>
                <w:b/>
              </w:rPr>
              <w:t>Remark</w:t>
            </w:r>
          </w:p>
        </w:tc>
      </w:tr>
      <w:tr w:rsidR="00BF1CC4" w:rsidRPr="00BF1CC4" w14:paraId="7848B868" w14:textId="77777777" w:rsidTr="003F330D">
        <w:trPr>
          <w:trHeight w:val="22"/>
          <w:jc w:val="center"/>
        </w:trPr>
        <w:tc>
          <w:tcPr>
            <w:tcW w:w="955" w:type="pct"/>
          </w:tcPr>
          <w:p w14:paraId="4DCDD95B" w14:textId="77777777" w:rsidR="008A014A" w:rsidRPr="00BF1CC4" w:rsidRDefault="008A014A" w:rsidP="008552A8">
            <w:pPr>
              <w:spacing w:line="360" w:lineRule="auto"/>
              <w:jc w:val="both"/>
              <w:rPr>
                <w:rFonts w:eastAsiaTheme="minorHAnsi"/>
              </w:rPr>
            </w:pPr>
            <w:r w:rsidRPr="00BF1CC4">
              <w:t>ROE</w:t>
            </w:r>
          </w:p>
        </w:tc>
        <w:tc>
          <w:tcPr>
            <w:tcW w:w="828" w:type="pct"/>
          </w:tcPr>
          <w:p w14:paraId="6D18532B" w14:textId="76FDAC0B" w:rsidR="008A014A" w:rsidRPr="00BF1CC4" w:rsidRDefault="00CE2E47" w:rsidP="008552A8">
            <w:pPr>
              <w:spacing w:line="360" w:lineRule="auto"/>
              <w:jc w:val="both"/>
              <w:rPr>
                <w:rFonts w:eastAsiaTheme="minorHAnsi"/>
              </w:rPr>
            </w:pPr>
            <w:r w:rsidRPr="00BF1CC4">
              <w:rPr>
                <w:rFonts w:eastAsiaTheme="minorHAnsi"/>
              </w:rPr>
              <w:t xml:space="preserve"> </w:t>
            </w:r>
            <w:r w:rsidR="008A014A" w:rsidRPr="00BF1CC4">
              <w:rPr>
                <w:rFonts w:eastAsiaTheme="minorHAnsi"/>
              </w:rPr>
              <w:t>2.767</w:t>
            </w:r>
          </w:p>
        </w:tc>
        <w:tc>
          <w:tcPr>
            <w:tcW w:w="776" w:type="pct"/>
          </w:tcPr>
          <w:p w14:paraId="593B9407" w14:textId="77777777" w:rsidR="008A014A" w:rsidRPr="00BF1CC4" w:rsidRDefault="008A014A" w:rsidP="008552A8">
            <w:pPr>
              <w:spacing w:line="360" w:lineRule="auto"/>
              <w:jc w:val="both"/>
              <w:rPr>
                <w:rFonts w:eastAsiaTheme="minorHAnsi"/>
              </w:rPr>
            </w:pPr>
            <w:r w:rsidRPr="00BF1CC4">
              <w:rPr>
                <w:rFonts w:eastAsiaTheme="minorHAnsi"/>
              </w:rPr>
              <w:t>0.9972</w:t>
            </w:r>
          </w:p>
        </w:tc>
        <w:tc>
          <w:tcPr>
            <w:tcW w:w="828" w:type="pct"/>
          </w:tcPr>
          <w:p w14:paraId="511CB5F9" w14:textId="774AED61" w:rsidR="008A014A" w:rsidRPr="00BF1CC4" w:rsidRDefault="008A014A" w:rsidP="008552A8">
            <w:pPr>
              <w:spacing w:line="360" w:lineRule="auto"/>
              <w:jc w:val="both"/>
            </w:pPr>
            <w:r w:rsidRPr="00BF1CC4">
              <w:rPr>
                <w:rFonts w:eastAsiaTheme="minorHAnsi"/>
              </w:rPr>
              <w:t>-4.740</w:t>
            </w:r>
          </w:p>
        </w:tc>
        <w:tc>
          <w:tcPr>
            <w:tcW w:w="776" w:type="pct"/>
          </w:tcPr>
          <w:p w14:paraId="31A24570" w14:textId="03487976" w:rsidR="008A014A" w:rsidRPr="00BF1CC4" w:rsidRDefault="008A014A" w:rsidP="008552A8">
            <w:pPr>
              <w:spacing w:line="360" w:lineRule="auto"/>
              <w:jc w:val="both"/>
            </w:pPr>
            <w:r w:rsidRPr="00BF1CC4">
              <w:rPr>
                <w:rFonts w:eastAsiaTheme="minorHAnsi"/>
              </w:rPr>
              <w:t>0.0000</w:t>
            </w:r>
          </w:p>
        </w:tc>
        <w:tc>
          <w:tcPr>
            <w:tcW w:w="838" w:type="pct"/>
          </w:tcPr>
          <w:p w14:paraId="5DAAB0AD" w14:textId="7F6DB207" w:rsidR="008A014A" w:rsidRPr="00BF1CC4" w:rsidRDefault="008A014A" w:rsidP="008552A8">
            <w:pPr>
              <w:spacing w:line="360" w:lineRule="auto"/>
              <w:jc w:val="both"/>
              <w:rPr>
                <w:rFonts w:eastAsiaTheme="minorHAnsi"/>
              </w:rPr>
            </w:pPr>
            <w:r w:rsidRPr="00BF1CC4">
              <w:rPr>
                <w:rFonts w:eastAsiaTheme="minorHAnsi"/>
              </w:rPr>
              <w:t>I (1)</w:t>
            </w:r>
          </w:p>
        </w:tc>
      </w:tr>
      <w:tr w:rsidR="00BF1CC4" w:rsidRPr="00BF1CC4" w14:paraId="7EF2A8FD" w14:textId="77777777" w:rsidTr="003F330D">
        <w:trPr>
          <w:trHeight w:val="22"/>
          <w:jc w:val="center"/>
        </w:trPr>
        <w:tc>
          <w:tcPr>
            <w:tcW w:w="955" w:type="pct"/>
          </w:tcPr>
          <w:p w14:paraId="18D76CA3" w14:textId="77777777" w:rsidR="008A014A" w:rsidRPr="00BF1CC4" w:rsidRDefault="008A014A" w:rsidP="008552A8">
            <w:pPr>
              <w:spacing w:line="360" w:lineRule="auto"/>
              <w:jc w:val="both"/>
              <w:rPr>
                <w:rFonts w:eastAsiaTheme="minorHAnsi"/>
              </w:rPr>
            </w:pPr>
            <w:r w:rsidRPr="00BF1CC4">
              <w:t>BSIZE</w:t>
            </w:r>
          </w:p>
        </w:tc>
        <w:tc>
          <w:tcPr>
            <w:tcW w:w="828" w:type="pct"/>
          </w:tcPr>
          <w:p w14:paraId="1B6F70A0" w14:textId="219539EB" w:rsidR="008A014A" w:rsidRPr="00BF1CC4" w:rsidRDefault="008A014A" w:rsidP="008552A8">
            <w:pPr>
              <w:spacing w:line="360" w:lineRule="auto"/>
              <w:jc w:val="both"/>
              <w:rPr>
                <w:rFonts w:eastAsiaTheme="minorHAnsi"/>
              </w:rPr>
            </w:pPr>
            <w:r w:rsidRPr="00BF1CC4">
              <w:rPr>
                <w:rFonts w:eastAsiaTheme="minorHAnsi"/>
              </w:rPr>
              <w:t xml:space="preserve">-4.650 </w:t>
            </w:r>
          </w:p>
        </w:tc>
        <w:tc>
          <w:tcPr>
            <w:tcW w:w="776" w:type="pct"/>
          </w:tcPr>
          <w:p w14:paraId="1D406193" w14:textId="77777777" w:rsidR="008A014A" w:rsidRPr="00BF1CC4" w:rsidRDefault="008A014A" w:rsidP="008552A8">
            <w:pPr>
              <w:spacing w:line="360" w:lineRule="auto"/>
              <w:jc w:val="both"/>
              <w:rPr>
                <w:rFonts w:eastAsiaTheme="minorHAnsi"/>
              </w:rPr>
            </w:pPr>
            <w:r w:rsidRPr="00BF1CC4">
              <w:rPr>
                <w:rFonts w:eastAsiaTheme="minorHAnsi"/>
              </w:rPr>
              <w:t>0.0000</w:t>
            </w:r>
          </w:p>
        </w:tc>
        <w:tc>
          <w:tcPr>
            <w:tcW w:w="828" w:type="pct"/>
          </w:tcPr>
          <w:p w14:paraId="5B9BAA10" w14:textId="3766C3CE" w:rsidR="008A014A" w:rsidRPr="00BF1CC4" w:rsidRDefault="003F330D" w:rsidP="008552A8">
            <w:pPr>
              <w:spacing w:line="360" w:lineRule="auto"/>
              <w:jc w:val="both"/>
              <w:rPr>
                <w:rFonts w:eastAsiaTheme="minorHAnsi"/>
              </w:rPr>
            </w:pPr>
            <w:r w:rsidRPr="00BF1CC4">
              <w:rPr>
                <w:rFonts w:eastAsiaTheme="minorHAnsi"/>
              </w:rPr>
              <w:t>-</w:t>
            </w:r>
          </w:p>
        </w:tc>
        <w:tc>
          <w:tcPr>
            <w:tcW w:w="776" w:type="pct"/>
          </w:tcPr>
          <w:p w14:paraId="19C6052D" w14:textId="2FCAAC1D" w:rsidR="008A014A" w:rsidRPr="00BF1CC4" w:rsidRDefault="003F330D" w:rsidP="008552A8">
            <w:pPr>
              <w:spacing w:line="360" w:lineRule="auto"/>
              <w:jc w:val="both"/>
              <w:rPr>
                <w:rFonts w:eastAsiaTheme="minorHAnsi"/>
              </w:rPr>
            </w:pPr>
            <w:r w:rsidRPr="00BF1CC4">
              <w:rPr>
                <w:rFonts w:eastAsiaTheme="minorHAnsi"/>
              </w:rPr>
              <w:t>-</w:t>
            </w:r>
          </w:p>
        </w:tc>
        <w:tc>
          <w:tcPr>
            <w:tcW w:w="838" w:type="pct"/>
          </w:tcPr>
          <w:p w14:paraId="49EC07C3" w14:textId="394EA969" w:rsidR="008A014A" w:rsidRPr="00BF1CC4" w:rsidRDefault="008A014A" w:rsidP="008552A8">
            <w:pPr>
              <w:spacing w:line="360" w:lineRule="auto"/>
              <w:jc w:val="both"/>
              <w:rPr>
                <w:rFonts w:eastAsiaTheme="minorHAnsi"/>
              </w:rPr>
            </w:pPr>
            <w:r w:rsidRPr="00BF1CC4">
              <w:rPr>
                <w:rFonts w:eastAsiaTheme="minorHAnsi"/>
              </w:rPr>
              <w:t>I (0)</w:t>
            </w:r>
          </w:p>
        </w:tc>
      </w:tr>
      <w:tr w:rsidR="00BF1CC4" w:rsidRPr="00BF1CC4" w14:paraId="21A57E3E" w14:textId="77777777" w:rsidTr="003F330D">
        <w:trPr>
          <w:trHeight w:val="22"/>
          <w:jc w:val="center"/>
        </w:trPr>
        <w:tc>
          <w:tcPr>
            <w:tcW w:w="955" w:type="pct"/>
          </w:tcPr>
          <w:p w14:paraId="3E49FA5B" w14:textId="77777777" w:rsidR="008A014A" w:rsidRPr="00BF1CC4" w:rsidRDefault="008A014A" w:rsidP="008552A8">
            <w:pPr>
              <w:spacing w:line="360" w:lineRule="auto"/>
              <w:jc w:val="both"/>
              <w:rPr>
                <w:rFonts w:eastAsiaTheme="minorHAnsi"/>
              </w:rPr>
            </w:pPr>
            <w:r w:rsidRPr="00BF1CC4">
              <w:t>CAP</w:t>
            </w:r>
          </w:p>
        </w:tc>
        <w:tc>
          <w:tcPr>
            <w:tcW w:w="828" w:type="pct"/>
          </w:tcPr>
          <w:p w14:paraId="3716460F" w14:textId="74DBBD11" w:rsidR="008A014A" w:rsidRPr="00BF1CC4" w:rsidRDefault="00CE2E47" w:rsidP="008552A8">
            <w:pPr>
              <w:spacing w:line="360" w:lineRule="auto"/>
              <w:jc w:val="both"/>
              <w:rPr>
                <w:rFonts w:eastAsiaTheme="minorHAnsi"/>
              </w:rPr>
            </w:pPr>
            <w:r w:rsidRPr="00BF1CC4">
              <w:rPr>
                <w:rFonts w:eastAsiaTheme="minorHAnsi"/>
              </w:rPr>
              <w:t xml:space="preserve"> </w:t>
            </w:r>
            <w:r w:rsidR="008A014A" w:rsidRPr="00BF1CC4">
              <w:rPr>
                <w:rFonts w:eastAsiaTheme="minorHAnsi"/>
              </w:rPr>
              <w:t>5.997</w:t>
            </w:r>
          </w:p>
        </w:tc>
        <w:tc>
          <w:tcPr>
            <w:tcW w:w="776" w:type="pct"/>
          </w:tcPr>
          <w:p w14:paraId="6C8A6E7C" w14:textId="77777777" w:rsidR="008A014A" w:rsidRPr="00BF1CC4" w:rsidRDefault="008A014A" w:rsidP="008552A8">
            <w:pPr>
              <w:spacing w:line="360" w:lineRule="auto"/>
              <w:jc w:val="both"/>
              <w:rPr>
                <w:rFonts w:eastAsiaTheme="minorHAnsi"/>
              </w:rPr>
            </w:pPr>
            <w:r w:rsidRPr="00BF1CC4">
              <w:rPr>
                <w:rFonts w:eastAsiaTheme="minorHAnsi"/>
              </w:rPr>
              <w:t>0.0000</w:t>
            </w:r>
          </w:p>
        </w:tc>
        <w:tc>
          <w:tcPr>
            <w:tcW w:w="828" w:type="pct"/>
          </w:tcPr>
          <w:p w14:paraId="65A6F41A" w14:textId="7C7291FF" w:rsidR="008A014A" w:rsidRPr="00BF1CC4" w:rsidRDefault="003F330D" w:rsidP="008552A8">
            <w:pPr>
              <w:spacing w:line="360" w:lineRule="auto"/>
              <w:jc w:val="both"/>
              <w:rPr>
                <w:rFonts w:eastAsiaTheme="minorHAnsi"/>
              </w:rPr>
            </w:pPr>
            <w:r w:rsidRPr="00BF1CC4">
              <w:rPr>
                <w:rFonts w:eastAsiaTheme="minorHAnsi"/>
              </w:rPr>
              <w:t>-</w:t>
            </w:r>
          </w:p>
        </w:tc>
        <w:tc>
          <w:tcPr>
            <w:tcW w:w="776" w:type="pct"/>
          </w:tcPr>
          <w:p w14:paraId="7FFEE9DC" w14:textId="0D39A3D0" w:rsidR="008A014A" w:rsidRPr="00BF1CC4" w:rsidRDefault="003F330D" w:rsidP="008552A8">
            <w:pPr>
              <w:spacing w:line="360" w:lineRule="auto"/>
              <w:jc w:val="both"/>
              <w:rPr>
                <w:rFonts w:eastAsiaTheme="minorHAnsi"/>
              </w:rPr>
            </w:pPr>
            <w:r w:rsidRPr="00BF1CC4">
              <w:rPr>
                <w:rFonts w:eastAsiaTheme="minorHAnsi"/>
              </w:rPr>
              <w:t>-</w:t>
            </w:r>
          </w:p>
        </w:tc>
        <w:tc>
          <w:tcPr>
            <w:tcW w:w="838" w:type="pct"/>
          </w:tcPr>
          <w:p w14:paraId="15BD7E5D" w14:textId="5CC155A1" w:rsidR="008A014A" w:rsidRPr="00BF1CC4" w:rsidRDefault="008A014A" w:rsidP="008552A8">
            <w:pPr>
              <w:spacing w:line="360" w:lineRule="auto"/>
              <w:jc w:val="both"/>
              <w:rPr>
                <w:rFonts w:eastAsiaTheme="minorHAnsi"/>
              </w:rPr>
            </w:pPr>
            <w:r w:rsidRPr="00BF1CC4">
              <w:rPr>
                <w:rFonts w:eastAsiaTheme="minorHAnsi"/>
              </w:rPr>
              <w:t>I (0)</w:t>
            </w:r>
          </w:p>
        </w:tc>
      </w:tr>
      <w:tr w:rsidR="00BF1CC4" w:rsidRPr="00BF1CC4" w14:paraId="3B2EC9D6" w14:textId="77777777" w:rsidTr="003F330D">
        <w:trPr>
          <w:trHeight w:val="22"/>
          <w:jc w:val="center"/>
        </w:trPr>
        <w:tc>
          <w:tcPr>
            <w:tcW w:w="955" w:type="pct"/>
          </w:tcPr>
          <w:p w14:paraId="64E8DCCC" w14:textId="77777777" w:rsidR="008A014A" w:rsidRPr="00BF1CC4" w:rsidRDefault="008A014A" w:rsidP="008552A8">
            <w:pPr>
              <w:spacing w:line="360" w:lineRule="auto"/>
              <w:jc w:val="both"/>
              <w:rPr>
                <w:rFonts w:eastAsiaTheme="minorHAnsi"/>
              </w:rPr>
            </w:pPr>
            <w:r w:rsidRPr="00BF1CC4">
              <w:t>EFFR</w:t>
            </w:r>
          </w:p>
        </w:tc>
        <w:tc>
          <w:tcPr>
            <w:tcW w:w="828" w:type="pct"/>
          </w:tcPr>
          <w:p w14:paraId="546B7ADD" w14:textId="257611EB" w:rsidR="008A014A" w:rsidRPr="00BF1CC4" w:rsidRDefault="008A014A" w:rsidP="008552A8">
            <w:pPr>
              <w:spacing w:line="360" w:lineRule="auto"/>
              <w:jc w:val="both"/>
              <w:rPr>
                <w:rFonts w:eastAsiaTheme="minorHAnsi"/>
              </w:rPr>
            </w:pPr>
            <w:r w:rsidRPr="00BF1CC4">
              <w:rPr>
                <w:rFonts w:eastAsiaTheme="minorHAnsi"/>
              </w:rPr>
              <w:t>-2.804</w:t>
            </w:r>
          </w:p>
        </w:tc>
        <w:tc>
          <w:tcPr>
            <w:tcW w:w="776" w:type="pct"/>
          </w:tcPr>
          <w:p w14:paraId="3A555AAF" w14:textId="77777777" w:rsidR="008A014A" w:rsidRPr="00BF1CC4" w:rsidRDefault="008A014A" w:rsidP="008552A8">
            <w:pPr>
              <w:spacing w:line="360" w:lineRule="auto"/>
              <w:jc w:val="both"/>
              <w:rPr>
                <w:rFonts w:eastAsiaTheme="minorHAnsi"/>
              </w:rPr>
            </w:pPr>
            <w:r w:rsidRPr="00BF1CC4">
              <w:rPr>
                <w:rFonts w:eastAsiaTheme="minorHAnsi"/>
              </w:rPr>
              <w:t>0.0025</w:t>
            </w:r>
          </w:p>
        </w:tc>
        <w:tc>
          <w:tcPr>
            <w:tcW w:w="828" w:type="pct"/>
          </w:tcPr>
          <w:p w14:paraId="0CF41FD9" w14:textId="11326E78" w:rsidR="008A014A" w:rsidRPr="00BF1CC4" w:rsidRDefault="003F330D" w:rsidP="008552A8">
            <w:pPr>
              <w:spacing w:line="360" w:lineRule="auto"/>
              <w:jc w:val="both"/>
              <w:rPr>
                <w:rFonts w:eastAsiaTheme="minorHAnsi"/>
              </w:rPr>
            </w:pPr>
            <w:r w:rsidRPr="00BF1CC4">
              <w:rPr>
                <w:rFonts w:eastAsiaTheme="minorHAnsi"/>
              </w:rPr>
              <w:t>-</w:t>
            </w:r>
          </w:p>
        </w:tc>
        <w:tc>
          <w:tcPr>
            <w:tcW w:w="776" w:type="pct"/>
          </w:tcPr>
          <w:p w14:paraId="55E4049D" w14:textId="774E1CC7" w:rsidR="008A014A" w:rsidRPr="00BF1CC4" w:rsidRDefault="003F330D" w:rsidP="008552A8">
            <w:pPr>
              <w:spacing w:line="360" w:lineRule="auto"/>
              <w:jc w:val="both"/>
              <w:rPr>
                <w:rFonts w:eastAsiaTheme="minorHAnsi"/>
              </w:rPr>
            </w:pPr>
            <w:r w:rsidRPr="00BF1CC4">
              <w:rPr>
                <w:rFonts w:eastAsiaTheme="minorHAnsi"/>
              </w:rPr>
              <w:t>-</w:t>
            </w:r>
          </w:p>
        </w:tc>
        <w:tc>
          <w:tcPr>
            <w:tcW w:w="838" w:type="pct"/>
          </w:tcPr>
          <w:p w14:paraId="7784C2B6" w14:textId="715E9E18" w:rsidR="008A014A" w:rsidRPr="00BF1CC4" w:rsidRDefault="008A014A" w:rsidP="008552A8">
            <w:pPr>
              <w:spacing w:line="360" w:lineRule="auto"/>
              <w:jc w:val="both"/>
              <w:rPr>
                <w:rFonts w:eastAsiaTheme="minorHAnsi"/>
              </w:rPr>
            </w:pPr>
            <w:r w:rsidRPr="00BF1CC4">
              <w:rPr>
                <w:rFonts w:eastAsiaTheme="minorHAnsi"/>
              </w:rPr>
              <w:t>I (0)</w:t>
            </w:r>
          </w:p>
        </w:tc>
      </w:tr>
      <w:tr w:rsidR="00BF1CC4" w:rsidRPr="00BF1CC4" w14:paraId="7E9918C5" w14:textId="77777777" w:rsidTr="003F330D">
        <w:trPr>
          <w:trHeight w:val="22"/>
          <w:jc w:val="center"/>
        </w:trPr>
        <w:tc>
          <w:tcPr>
            <w:tcW w:w="955" w:type="pct"/>
          </w:tcPr>
          <w:p w14:paraId="0D01EB31" w14:textId="77777777" w:rsidR="008A014A" w:rsidRPr="00BF1CC4" w:rsidRDefault="008A014A" w:rsidP="008552A8">
            <w:pPr>
              <w:spacing w:line="360" w:lineRule="auto"/>
              <w:jc w:val="both"/>
              <w:rPr>
                <w:rFonts w:eastAsiaTheme="minorHAnsi"/>
              </w:rPr>
            </w:pPr>
            <w:r w:rsidRPr="00BF1CC4">
              <w:t>CONC</w:t>
            </w:r>
          </w:p>
        </w:tc>
        <w:tc>
          <w:tcPr>
            <w:tcW w:w="828" w:type="pct"/>
          </w:tcPr>
          <w:p w14:paraId="1DA85F1D" w14:textId="007FB0AE" w:rsidR="008A014A" w:rsidRPr="00BF1CC4" w:rsidRDefault="008A014A" w:rsidP="008552A8">
            <w:pPr>
              <w:spacing w:line="360" w:lineRule="auto"/>
              <w:jc w:val="both"/>
              <w:rPr>
                <w:rFonts w:eastAsiaTheme="minorHAnsi"/>
              </w:rPr>
            </w:pPr>
            <w:r w:rsidRPr="00BF1CC4">
              <w:rPr>
                <w:rFonts w:eastAsiaTheme="minorHAnsi"/>
              </w:rPr>
              <w:t>-2.54</w:t>
            </w:r>
            <w:r w:rsidR="003F330D" w:rsidRPr="00BF1CC4">
              <w:rPr>
                <w:rFonts w:eastAsiaTheme="minorHAnsi"/>
              </w:rPr>
              <w:t>1</w:t>
            </w:r>
          </w:p>
        </w:tc>
        <w:tc>
          <w:tcPr>
            <w:tcW w:w="776" w:type="pct"/>
          </w:tcPr>
          <w:p w14:paraId="5F55AABC" w14:textId="77777777" w:rsidR="008A014A" w:rsidRPr="00BF1CC4" w:rsidRDefault="008A014A" w:rsidP="008552A8">
            <w:pPr>
              <w:spacing w:line="360" w:lineRule="auto"/>
              <w:jc w:val="both"/>
              <w:rPr>
                <w:rFonts w:eastAsiaTheme="minorHAnsi"/>
              </w:rPr>
            </w:pPr>
            <w:r w:rsidRPr="00BF1CC4">
              <w:rPr>
                <w:rFonts w:eastAsiaTheme="minorHAnsi"/>
              </w:rPr>
              <w:t>0.0055</w:t>
            </w:r>
          </w:p>
        </w:tc>
        <w:tc>
          <w:tcPr>
            <w:tcW w:w="828" w:type="pct"/>
          </w:tcPr>
          <w:p w14:paraId="38039BC5" w14:textId="56C4BC4C" w:rsidR="008A014A" w:rsidRPr="00BF1CC4" w:rsidRDefault="003F330D" w:rsidP="008552A8">
            <w:pPr>
              <w:spacing w:line="360" w:lineRule="auto"/>
              <w:jc w:val="both"/>
              <w:rPr>
                <w:rFonts w:eastAsiaTheme="minorHAnsi"/>
              </w:rPr>
            </w:pPr>
            <w:r w:rsidRPr="00BF1CC4">
              <w:rPr>
                <w:rFonts w:eastAsiaTheme="minorHAnsi"/>
              </w:rPr>
              <w:t>-</w:t>
            </w:r>
          </w:p>
        </w:tc>
        <w:tc>
          <w:tcPr>
            <w:tcW w:w="776" w:type="pct"/>
          </w:tcPr>
          <w:p w14:paraId="240A3FBC" w14:textId="0AB303AB" w:rsidR="008A014A" w:rsidRPr="00BF1CC4" w:rsidRDefault="003F330D" w:rsidP="008552A8">
            <w:pPr>
              <w:spacing w:line="360" w:lineRule="auto"/>
              <w:jc w:val="both"/>
              <w:rPr>
                <w:rFonts w:eastAsiaTheme="minorHAnsi"/>
              </w:rPr>
            </w:pPr>
            <w:r w:rsidRPr="00BF1CC4">
              <w:rPr>
                <w:rFonts w:eastAsiaTheme="minorHAnsi"/>
              </w:rPr>
              <w:t>-</w:t>
            </w:r>
          </w:p>
        </w:tc>
        <w:tc>
          <w:tcPr>
            <w:tcW w:w="838" w:type="pct"/>
          </w:tcPr>
          <w:p w14:paraId="7483C7E9" w14:textId="2791EBA7" w:rsidR="008A014A" w:rsidRPr="00BF1CC4" w:rsidRDefault="008A014A" w:rsidP="008552A8">
            <w:pPr>
              <w:spacing w:line="360" w:lineRule="auto"/>
              <w:jc w:val="both"/>
              <w:rPr>
                <w:rFonts w:eastAsiaTheme="minorHAnsi"/>
              </w:rPr>
            </w:pPr>
            <w:r w:rsidRPr="00BF1CC4">
              <w:rPr>
                <w:rFonts w:eastAsiaTheme="minorHAnsi"/>
              </w:rPr>
              <w:t>I (0)</w:t>
            </w:r>
          </w:p>
        </w:tc>
      </w:tr>
      <w:tr w:rsidR="00BF1CC4" w:rsidRPr="00BF1CC4" w14:paraId="162BEADA" w14:textId="77777777" w:rsidTr="003F330D">
        <w:trPr>
          <w:trHeight w:val="22"/>
          <w:jc w:val="center"/>
        </w:trPr>
        <w:tc>
          <w:tcPr>
            <w:tcW w:w="955" w:type="pct"/>
          </w:tcPr>
          <w:p w14:paraId="525849C2" w14:textId="77777777" w:rsidR="008A014A" w:rsidRPr="00BF1CC4" w:rsidRDefault="008A014A" w:rsidP="008552A8">
            <w:pPr>
              <w:spacing w:line="360" w:lineRule="auto"/>
              <w:jc w:val="both"/>
              <w:rPr>
                <w:rFonts w:eastAsiaTheme="minorHAnsi"/>
              </w:rPr>
            </w:pPr>
            <w:r w:rsidRPr="00BF1CC4">
              <w:t>INFL</w:t>
            </w:r>
          </w:p>
        </w:tc>
        <w:tc>
          <w:tcPr>
            <w:tcW w:w="828" w:type="pct"/>
          </w:tcPr>
          <w:p w14:paraId="20126BA0" w14:textId="3DA9B138" w:rsidR="008A014A" w:rsidRPr="00BF1CC4" w:rsidRDefault="008A014A" w:rsidP="008552A8">
            <w:pPr>
              <w:spacing w:line="360" w:lineRule="auto"/>
              <w:jc w:val="both"/>
              <w:rPr>
                <w:rFonts w:eastAsiaTheme="minorHAnsi"/>
              </w:rPr>
            </w:pPr>
            <w:r w:rsidRPr="00BF1CC4">
              <w:rPr>
                <w:rFonts w:eastAsiaTheme="minorHAnsi"/>
              </w:rPr>
              <w:t>-7.850</w:t>
            </w:r>
          </w:p>
        </w:tc>
        <w:tc>
          <w:tcPr>
            <w:tcW w:w="776" w:type="pct"/>
          </w:tcPr>
          <w:p w14:paraId="7DB78BEC" w14:textId="77777777" w:rsidR="008A014A" w:rsidRPr="00BF1CC4" w:rsidRDefault="008A014A" w:rsidP="008552A8">
            <w:pPr>
              <w:spacing w:line="360" w:lineRule="auto"/>
              <w:jc w:val="both"/>
              <w:rPr>
                <w:rFonts w:eastAsiaTheme="minorHAnsi"/>
              </w:rPr>
            </w:pPr>
            <w:r w:rsidRPr="00BF1CC4">
              <w:rPr>
                <w:rFonts w:eastAsiaTheme="minorHAnsi"/>
              </w:rPr>
              <w:t>0.0000</w:t>
            </w:r>
          </w:p>
        </w:tc>
        <w:tc>
          <w:tcPr>
            <w:tcW w:w="828" w:type="pct"/>
          </w:tcPr>
          <w:p w14:paraId="0ACDB541" w14:textId="54788D1E" w:rsidR="008A014A" w:rsidRPr="00BF1CC4" w:rsidRDefault="003F330D" w:rsidP="008552A8">
            <w:pPr>
              <w:spacing w:line="360" w:lineRule="auto"/>
              <w:jc w:val="both"/>
              <w:rPr>
                <w:rFonts w:eastAsiaTheme="minorHAnsi"/>
              </w:rPr>
            </w:pPr>
            <w:r w:rsidRPr="00BF1CC4">
              <w:rPr>
                <w:rFonts w:eastAsiaTheme="minorHAnsi"/>
              </w:rPr>
              <w:t>-</w:t>
            </w:r>
          </w:p>
        </w:tc>
        <w:tc>
          <w:tcPr>
            <w:tcW w:w="776" w:type="pct"/>
          </w:tcPr>
          <w:p w14:paraId="6994A19D" w14:textId="10A076E3" w:rsidR="008A014A" w:rsidRPr="00BF1CC4" w:rsidRDefault="003F330D" w:rsidP="008552A8">
            <w:pPr>
              <w:spacing w:line="360" w:lineRule="auto"/>
              <w:jc w:val="both"/>
              <w:rPr>
                <w:rFonts w:eastAsiaTheme="minorHAnsi"/>
              </w:rPr>
            </w:pPr>
            <w:r w:rsidRPr="00BF1CC4">
              <w:rPr>
                <w:rFonts w:eastAsiaTheme="minorHAnsi"/>
              </w:rPr>
              <w:t>-</w:t>
            </w:r>
          </w:p>
        </w:tc>
        <w:tc>
          <w:tcPr>
            <w:tcW w:w="838" w:type="pct"/>
          </w:tcPr>
          <w:p w14:paraId="057FE2C9" w14:textId="383BCF83" w:rsidR="008A014A" w:rsidRPr="00BF1CC4" w:rsidRDefault="008A014A" w:rsidP="008552A8">
            <w:pPr>
              <w:spacing w:line="360" w:lineRule="auto"/>
              <w:jc w:val="both"/>
              <w:rPr>
                <w:rFonts w:eastAsiaTheme="minorHAnsi"/>
              </w:rPr>
            </w:pPr>
            <w:r w:rsidRPr="00BF1CC4">
              <w:rPr>
                <w:rFonts w:eastAsiaTheme="minorHAnsi"/>
              </w:rPr>
              <w:t>I (0)</w:t>
            </w:r>
          </w:p>
        </w:tc>
      </w:tr>
      <w:tr w:rsidR="00BF1CC4" w:rsidRPr="00BF1CC4" w14:paraId="6A3B6AA3" w14:textId="77777777" w:rsidTr="003F330D">
        <w:trPr>
          <w:trHeight w:val="22"/>
          <w:jc w:val="center"/>
        </w:trPr>
        <w:tc>
          <w:tcPr>
            <w:tcW w:w="955" w:type="pct"/>
          </w:tcPr>
          <w:p w14:paraId="2DDD58A8" w14:textId="77777777" w:rsidR="008A014A" w:rsidRPr="00BF1CC4" w:rsidRDefault="008A014A" w:rsidP="008552A8">
            <w:pPr>
              <w:spacing w:line="360" w:lineRule="auto"/>
              <w:jc w:val="both"/>
              <w:rPr>
                <w:rFonts w:eastAsiaTheme="minorHAnsi"/>
              </w:rPr>
            </w:pPr>
            <w:r w:rsidRPr="00BF1CC4">
              <w:t>LENR</w:t>
            </w:r>
          </w:p>
        </w:tc>
        <w:tc>
          <w:tcPr>
            <w:tcW w:w="828" w:type="pct"/>
          </w:tcPr>
          <w:p w14:paraId="1F9EE5FF" w14:textId="3200790D" w:rsidR="008A014A" w:rsidRPr="00BF1CC4" w:rsidRDefault="00CE2E47" w:rsidP="008552A8">
            <w:pPr>
              <w:spacing w:line="360" w:lineRule="auto"/>
              <w:jc w:val="both"/>
              <w:rPr>
                <w:rFonts w:eastAsiaTheme="minorHAnsi"/>
              </w:rPr>
            </w:pPr>
            <w:r w:rsidRPr="00BF1CC4">
              <w:rPr>
                <w:rFonts w:eastAsiaTheme="minorHAnsi"/>
              </w:rPr>
              <w:t xml:space="preserve"> </w:t>
            </w:r>
            <w:r w:rsidR="008A014A" w:rsidRPr="00BF1CC4">
              <w:rPr>
                <w:rFonts w:eastAsiaTheme="minorHAnsi"/>
              </w:rPr>
              <w:t>2.925</w:t>
            </w:r>
          </w:p>
        </w:tc>
        <w:tc>
          <w:tcPr>
            <w:tcW w:w="776" w:type="pct"/>
          </w:tcPr>
          <w:p w14:paraId="2DEA2D9F" w14:textId="77777777" w:rsidR="008A014A" w:rsidRPr="00BF1CC4" w:rsidRDefault="008A014A" w:rsidP="008552A8">
            <w:pPr>
              <w:spacing w:line="360" w:lineRule="auto"/>
              <w:jc w:val="both"/>
              <w:rPr>
                <w:rFonts w:eastAsiaTheme="minorHAnsi"/>
              </w:rPr>
            </w:pPr>
            <w:r w:rsidRPr="00BF1CC4">
              <w:rPr>
                <w:rFonts w:eastAsiaTheme="minorHAnsi"/>
              </w:rPr>
              <w:t>0.9983</w:t>
            </w:r>
          </w:p>
        </w:tc>
        <w:tc>
          <w:tcPr>
            <w:tcW w:w="828" w:type="pct"/>
          </w:tcPr>
          <w:p w14:paraId="2ABCFE11" w14:textId="1081952E" w:rsidR="008A014A" w:rsidRPr="00BF1CC4" w:rsidRDefault="008A014A" w:rsidP="008552A8">
            <w:pPr>
              <w:spacing w:line="360" w:lineRule="auto"/>
              <w:jc w:val="both"/>
            </w:pPr>
            <w:r w:rsidRPr="00BF1CC4">
              <w:rPr>
                <w:rFonts w:eastAsiaTheme="minorHAnsi"/>
              </w:rPr>
              <w:t>-4.225</w:t>
            </w:r>
          </w:p>
        </w:tc>
        <w:tc>
          <w:tcPr>
            <w:tcW w:w="776" w:type="pct"/>
          </w:tcPr>
          <w:p w14:paraId="2161FBF1" w14:textId="7D0C6420" w:rsidR="008A014A" w:rsidRPr="00BF1CC4" w:rsidRDefault="008A014A" w:rsidP="008552A8">
            <w:pPr>
              <w:spacing w:line="360" w:lineRule="auto"/>
              <w:jc w:val="both"/>
            </w:pPr>
            <w:r w:rsidRPr="00BF1CC4">
              <w:rPr>
                <w:rFonts w:eastAsiaTheme="minorHAnsi"/>
              </w:rPr>
              <w:t>0.0000</w:t>
            </w:r>
          </w:p>
        </w:tc>
        <w:tc>
          <w:tcPr>
            <w:tcW w:w="838" w:type="pct"/>
          </w:tcPr>
          <w:p w14:paraId="0BE4F944" w14:textId="2C5098B6" w:rsidR="008A014A" w:rsidRPr="00BF1CC4" w:rsidRDefault="008A014A" w:rsidP="008552A8">
            <w:pPr>
              <w:spacing w:line="360" w:lineRule="auto"/>
              <w:jc w:val="both"/>
              <w:rPr>
                <w:rFonts w:eastAsiaTheme="minorHAnsi"/>
              </w:rPr>
            </w:pPr>
            <w:r w:rsidRPr="00BF1CC4">
              <w:rPr>
                <w:rFonts w:eastAsiaTheme="minorHAnsi"/>
              </w:rPr>
              <w:t>I (1)</w:t>
            </w:r>
          </w:p>
        </w:tc>
      </w:tr>
      <w:tr w:rsidR="008A014A" w:rsidRPr="00BF1CC4" w14:paraId="7C2231CA" w14:textId="77777777" w:rsidTr="003F330D">
        <w:trPr>
          <w:trHeight w:val="22"/>
          <w:jc w:val="center"/>
        </w:trPr>
        <w:tc>
          <w:tcPr>
            <w:tcW w:w="955" w:type="pct"/>
          </w:tcPr>
          <w:p w14:paraId="0476CD41" w14:textId="77777777" w:rsidR="008A014A" w:rsidRPr="00BF1CC4" w:rsidRDefault="008A014A" w:rsidP="008552A8">
            <w:pPr>
              <w:spacing w:line="360" w:lineRule="auto"/>
              <w:jc w:val="both"/>
            </w:pPr>
            <w:r w:rsidRPr="00BF1CC4">
              <w:t>DBTR</w:t>
            </w:r>
          </w:p>
        </w:tc>
        <w:tc>
          <w:tcPr>
            <w:tcW w:w="828" w:type="pct"/>
          </w:tcPr>
          <w:p w14:paraId="5CACE884" w14:textId="5644D1C3" w:rsidR="008A014A" w:rsidRPr="00BF1CC4" w:rsidRDefault="008A014A" w:rsidP="008552A8">
            <w:pPr>
              <w:spacing w:line="360" w:lineRule="auto"/>
              <w:jc w:val="both"/>
              <w:rPr>
                <w:rFonts w:eastAsiaTheme="minorHAnsi"/>
              </w:rPr>
            </w:pPr>
            <w:r w:rsidRPr="00BF1CC4">
              <w:rPr>
                <w:rFonts w:eastAsiaTheme="minorHAnsi"/>
              </w:rPr>
              <w:t>-1.167</w:t>
            </w:r>
          </w:p>
        </w:tc>
        <w:tc>
          <w:tcPr>
            <w:tcW w:w="776" w:type="pct"/>
          </w:tcPr>
          <w:p w14:paraId="7060E8BE" w14:textId="77777777" w:rsidR="008A014A" w:rsidRPr="00BF1CC4" w:rsidRDefault="008A014A" w:rsidP="008552A8">
            <w:pPr>
              <w:spacing w:line="360" w:lineRule="auto"/>
              <w:jc w:val="both"/>
              <w:rPr>
                <w:rFonts w:eastAsiaTheme="minorHAnsi"/>
              </w:rPr>
            </w:pPr>
            <w:r w:rsidRPr="00BF1CC4">
              <w:rPr>
                <w:rFonts w:eastAsiaTheme="minorHAnsi"/>
              </w:rPr>
              <w:t>0.1214</w:t>
            </w:r>
          </w:p>
        </w:tc>
        <w:tc>
          <w:tcPr>
            <w:tcW w:w="828" w:type="pct"/>
          </w:tcPr>
          <w:p w14:paraId="4CB954E8" w14:textId="29300DB1" w:rsidR="008A014A" w:rsidRPr="00BF1CC4" w:rsidRDefault="008A014A" w:rsidP="008552A8">
            <w:pPr>
              <w:spacing w:line="360" w:lineRule="auto"/>
              <w:jc w:val="both"/>
            </w:pPr>
            <w:r w:rsidRPr="00BF1CC4">
              <w:rPr>
                <w:rFonts w:eastAsiaTheme="minorHAnsi"/>
              </w:rPr>
              <w:t>-7.227</w:t>
            </w:r>
          </w:p>
        </w:tc>
        <w:tc>
          <w:tcPr>
            <w:tcW w:w="776" w:type="pct"/>
          </w:tcPr>
          <w:p w14:paraId="0C351C68" w14:textId="0490628F" w:rsidR="008A014A" w:rsidRPr="00BF1CC4" w:rsidRDefault="008A014A" w:rsidP="008552A8">
            <w:pPr>
              <w:spacing w:line="360" w:lineRule="auto"/>
              <w:jc w:val="both"/>
            </w:pPr>
            <w:r w:rsidRPr="00BF1CC4">
              <w:rPr>
                <w:rFonts w:eastAsiaTheme="minorHAnsi"/>
              </w:rPr>
              <w:t>0.0000</w:t>
            </w:r>
          </w:p>
        </w:tc>
        <w:tc>
          <w:tcPr>
            <w:tcW w:w="838" w:type="pct"/>
          </w:tcPr>
          <w:p w14:paraId="50CDA43A" w14:textId="5463B955" w:rsidR="008A014A" w:rsidRPr="00BF1CC4" w:rsidRDefault="008A014A" w:rsidP="008552A8">
            <w:pPr>
              <w:spacing w:line="360" w:lineRule="auto"/>
              <w:jc w:val="both"/>
            </w:pPr>
            <w:r w:rsidRPr="00BF1CC4">
              <w:rPr>
                <w:rFonts w:eastAsiaTheme="minorHAnsi"/>
              </w:rPr>
              <w:t>I (1)</w:t>
            </w:r>
          </w:p>
        </w:tc>
      </w:tr>
    </w:tbl>
    <w:p w14:paraId="60AEA4CE" w14:textId="77777777" w:rsidR="008A014A" w:rsidRPr="00BF1CC4" w:rsidRDefault="008A014A" w:rsidP="008552A8">
      <w:pPr>
        <w:spacing w:after="80" w:line="360" w:lineRule="auto"/>
        <w:jc w:val="both"/>
        <w:rPr>
          <w:b/>
        </w:rPr>
      </w:pPr>
    </w:p>
    <w:p w14:paraId="5C34D78C" w14:textId="694C6B6A" w:rsidR="00735DCF" w:rsidRPr="00BF1CC4" w:rsidRDefault="008A014A" w:rsidP="008552A8">
      <w:pPr>
        <w:spacing w:after="80" w:line="360" w:lineRule="auto"/>
        <w:jc w:val="both"/>
      </w:pPr>
      <w:r w:rsidRPr="00BF1CC4">
        <w:rPr>
          <w:rFonts w:eastAsiaTheme="minorHAnsi"/>
        </w:rPr>
        <w:t xml:space="preserve">From the results of Levin Lin Chu test presented in Table </w:t>
      </w:r>
      <w:r w:rsidR="00AA45AE" w:rsidRPr="00BF1CC4">
        <w:rPr>
          <w:rFonts w:eastAsiaTheme="minorHAnsi"/>
        </w:rPr>
        <w:t>2</w:t>
      </w:r>
      <w:r w:rsidRPr="00BF1CC4">
        <w:rPr>
          <w:rFonts w:eastAsiaTheme="minorHAnsi"/>
        </w:rPr>
        <w:t xml:space="preserve"> total assets, bank capital, tax, bank concentration, inflation and lending rate were stationary at levels. This is because </w:t>
      </w:r>
      <w:r w:rsidRPr="00BF1CC4">
        <w:rPr>
          <w:rFonts w:eastAsiaTheme="minorHAnsi"/>
        </w:rPr>
        <w:lastRenderedPageBreak/>
        <w:t xml:space="preserve">their t-statistic and p-values were significant at 5 percent critical value (P-Value less than 0.05). Rate of return on equity, lending interest rate and the debt ratio were non stationary at level (p value&gt;0.05). </w:t>
      </w:r>
      <w:r w:rsidRPr="00BF1CC4">
        <w:t>The null hypothesis is that the panel has unit root. When the probabilities are less than 0.05 critical value, this hypothesis is rejected. It is evident that all the panels achieved stationarity after undergoing the first differencing process.</w:t>
      </w:r>
    </w:p>
    <w:p w14:paraId="68709C4B" w14:textId="6F4FE1C3" w:rsidR="00735DCF" w:rsidRPr="00BF1CC4" w:rsidRDefault="00735DCF" w:rsidP="008552A8">
      <w:pPr>
        <w:pStyle w:val="Heading2"/>
        <w:spacing w:line="360" w:lineRule="auto"/>
        <w:rPr>
          <w:rFonts w:ascii="Times New Roman" w:hAnsi="Times New Roman" w:cs="Times New Roman"/>
          <w:color w:val="auto"/>
          <w:sz w:val="24"/>
          <w:szCs w:val="24"/>
        </w:rPr>
      </w:pPr>
      <w:bookmarkStart w:id="34" w:name="_Toc117954761"/>
      <w:bookmarkStart w:id="35" w:name="_Toc148807501"/>
      <w:r w:rsidRPr="00BF1CC4">
        <w:rPr>
          <w:rFonts w:ascii="Times New Roman" w:hAnsi="Times New Roman" w:cs="Times New Roman"/>
          <w:color w:val="auto"/>
          <w:sz w:val="24"/>
          <w:szCs w:val="24"/>
        </w:rPr>
        <w:t>4.</w:t>
      </w:r>
      <w:r w:rsidR="00607DF3" w:rsidRPr="00BF1CC4">
        <w:rPr>
          <w:rFonts w:ascii="Times New Roman" w:hAnsi="Times New Roman" w:cs="Times New Roman"/>
          <w:color w:val="auto"/>
          <w:sz w:val="24"/>
          <w:szCs w:val="24"/>
        </w:rPr>
        <w:t>2</w:t>
      </w:r>
      <w:r w:rsidRPr="00BF1CC4">
        <w:rPr>
          <w:rFonts w:ascii="Times New Roman" w:hAnsi="Times New Roman" w:cs="Times New Roman"/>
          <w:color w:val="auto"/>
          <w:sz w:val="24"/>
          <w:szCs w:val="24"/>
        </w:rPr>
        <w:t xml:space="preserve"> </w:t>
      </w:r>
      <w:bookmarkStart w:id="36" w:name="_Toc47364135"/>
      <w:r w:rsidRPr="00BF1CC4">
        <w:rPr>
          <w:rFonts w:ascii="Times New Roman" w:hAnsi="Times New Roman" w:cs="Times New Roman"/>
          <w:color w:val="auto"/>
          <w:sz w:val="24"/>
          <w:szCs w:val="24"/>
        </w:rPr>
        <w:t>Model Selection Using Hausman Test</w:t>
      </w:r>
      <w:bookmarkEnd w:id="34"/>
      <w:bookmarkEnd w:id="35"/>
      <w:bookmarkEnd w:id="36"/>
    </w:p>
    <w:p w14:paraId="0B91E8F5" w14:textId="0AF66850" w:rsidR="00B4583B" w:rsidRPr="00BF1CC4" w:rsidRDefault="00735DCF" w:rsidP="008552A8">
      <w:pPr>
        <w:spacing w:after="80" w:line="360" w:lineRule="auto"/>
        <w:jc w:val="both"/>
        <w:rPr>
          <w:rFonts w:eastAsiaTheme="minorHAnsi"/>
        </w:rPr>
      </w:pPr>
      <w:r w:rsidRPr="00BF1CC4">
        <w:rPr>
          <w:rFonts w:eastAsiaTheme="minorHAnsi"/>
        </w:rPr>
        <w:t xml:space="preserve">In panel regression analysis, fixed effects (FE) and random effects (RE) models are employed. The selection between these models can be determined through the application of the Hausman test. </w:t>
      </w:r>
    </w:p>
    <w:p w14:paraId="77A2AEE1" w14:textId="6601684C" w:rsidR="00B4583B" w:rsidRPr="00BF1CC4" w:rsidRDefault="00B4583B" w:rsidP="008552A8">
      <w:pPr>
        <w:pStyle w:val="Caption"/>
        <w:spacing w:line="360" w:lineRule="auto"/>
        <w:rPr>
          <w:rFonts w:eastAsiaTheme="minorHAnsi"/>
          <w:color w:val="auto"/>
          <w:sz w:val="24"/>
          <w:szCs w:val="24"/>
        </w:rPr>
      </w:pPr>
      <w:r w:rsidRPr="00BF1CC4">
        <w:rPr>
          <w:color w:val="auto"/>
          <w:sz w:val="24"/>
          <w:szCs w:val="24"/>
        </w:rPr>
        <w:t xml:space="preserve">Table </w:t>
      </w:r>
      <w:r w:rsidR="00AA45AE" w:rsidRPr="00BF1CC4">
        <w:rPr>
          <w:color w:val="auto"/>
          <w:sz w:val="24"/>
          <w:szCs w:val="24"/>
        </w:rPr>
        <w:t>3</w:t>
      </w:r>
      <w:r w:rsidRPr="00BF1CC4">
        <w:rPr>
          <w:color w:val="auto"/>
          <w:sz w:val="24"/>
          <w:szCs w:val="24"/>
        </w:rPr>
        <w:t>: Hausman Test Results</w:t>
      </w:r>
    </w:p>
    <w:tbl>
      <w:tblPr>
        <w:tblW w:w="8837" w:type="dxa"/>
        <w:tblBorders>
          <w:top w:val="single" w:sz="4" w:space="0" w:color="auto"/>
          <w:bottom w:val="single" w:sz="4" w:space="0" w:color="auto"/>
        </w:tblBorders>
        <w:tblLook w:val="04A0" w:firstRow="1" w:lastRow="0" w:firstColumn="1" w:lastColumn="0" w:noHBand="0" w:noVBand="1"/>
      </w:tblPr>
      <w:tblGrid>
        <w:gridCol w:w="1794"/>
        <w:gridCol w:w="1473"/>
        <w:gridCol w:w="1602"/>
        <w:gridCol w:w="1460"/>
        <w:gridCol w:w="2508"/>
      </w:tblGrid>
      <w:tr w:rsidR="00BF1CC4" w:rsidRPr="00BF1CC4" w14:paraId="181399C6" w14:textId="77777777" w:rsidTr="00195E1E">
        <w:trPr>
          <w:trHeight w:val="20"/>
        </w:trPr>
        <w:tc>
          <w:tcPr>
            <w:tcW w:w="1794" w:type="dxa"/>
          </w:tcPr>
          <w:p w14:paraId="371BF090" w14:textId="77777777" w:rsidR="00B4583B" w:rsidRPr="00BF1CC4" w:rsidRDefault="00B4583B" w:rsidP="008552A8">
            <w:pPr>
              <w:spacing w:line="360" w:lineRule="auto"/>
              <w:jc w:val="both"/>
              <w:rPr>
                <w:rFonts w:eastAsiaTheme="minorHAnsi"/>
                <w:b/>
              </w:rPr>
            </w:pPr>
          </w:p>
        </w:tc>
        <w:tc>
          <w:tcPr>
            <w:tcW w:w="3075" w:type="dxa"/>
            <w:gridSpan w:val="2"/>
          </w:tcPr>
          <w:p w14:paraId="45E8A3D9" w14:textId="77777777" w:rsidR="00B4583B" w:rsidRPr="00BF1CC4" w:rsidRDefault="00B4583B" w:rsidP="008552A8">
            <w:pPr>
              <w:spacing w:line="360" w:lineRule="auto"/>
              <w:jc w:val="both"/>
              <w:rPr>
                <w:rFonts w:eastAsiaTheme="minorHAnsi"/>
                <w:b/>
              </w:rPr>
            </w:pPr>
            <w:r w:rsidRPr="00BF1CC4">
              <w:rPr>
                <w:rFonts w:eastAsiaTheme="minorHAnsi"/>
                <w:b/>
              </w:rPr>
              <w:t>Coefficients</w:t>
            </w:r>
          </w:p>
        </w:tc>
        <w:tc>
          <w:tcPr>
            <w:tcW w:w="1460" w:type="dxa"/>
          </w:tcPr>
          <w:p w14:paraId="08E28604" w14:textId="77777777" w:rsidR="00B4583B" w:rsidRPr="00BF1CC4" w:rsidRDefault="00B4583B" w:rsidP="008552A8">
            <w:pPr>
              <w:spacing w:line="360" w:lineRule="auto"/>
              <w:jc w:val="both"/>
              <w:rPr>
                <w:rFonts w:eastAsiaTheme="minorHAnsi"/>
                <w:b/>
              </w:rPr>
            </w:pPr>
          </w:p>
        </w:tc>
        <w:tc>
          <w:tcPr>
            <w:tcW w:w="2508" w:type="dxa"/>
          </w:tcPr>
          <w:p w14:paraId="753BF42F" w14:textId="77777777" w:rsidR="00B4583B" w:rsidRPr="00BF1CC4" w:rsidRDefault="00B4583B" w:rsidP="008552A8">
            <w:pPr>
              <w:spacing w:line="360" w:lineRule="auto"/>
              <w:jc w:val="both"/>
              <w:rPr>
                <w:rFonts w:eastAsiaTheme="minorHAnsi"/>
                <w:b/>
              </w:rPr>
            </w:pPr>
          </w:p>
        </w:tc>
      </w:tr>
      <w:tr w:rsidR="00BF1CC4" w:rsidRPr="00BF1CC4" w14:paraId="2BC869ED" w14:textId="77777777" w:rsidTr="00195E1E">
        <w:trPr>
          <w:trHeight w:val="20"/>
        </w:trPr>
        <w:tc>
          <w:tcPr>
            <w:tcW w:w="1794" w:type="dxa"/>
            <w:tcBorders>
              <w:bottom w:val="nil"/>
            </w:tcBorders>
          </w:tcPr>
          <w:p w14:paraId="42FF0D95" w14:textId="77777777" w:rsidR="00B4583B" w:rsidRPr="00BF1CC4" w:rsidRDefault="00B4583B" w:rsidP="008552A8">
            <w:pPr>
              <w:spacing w:line="360" w:lineRule="auto"/>
              <w:jc w:val="both"/>
              <w:rPr>
                <w:rFonts w:eastAsiaTheme="minorHAnsi"/>
                <w:b/>
              </w:rPr>
            </w:pPr>
            <w:r w:rsidRPr="00BF1CC4">
              <w:rPr>
                <w:rFonts w:eastAsiaTheme="minorHAnsi"/>
                <w:b/>
              </w:rPr>
              <w:t xml:space="preserve">Variables </w:t>
            </w:r>
          </w:p>
        </w:tc>
        <w:tc>
          <w:tcPr>
            <w:tcW w:w="1473" w:type="dxa"/>
            <w:tcBorders>
              <w:bottom w:val="nil"/>
            </w:tcBorders>
          </w:tcPr>
          <w:p w14:paraId="4DB8E000" w14:textId="77777777" w:rsidR="00B4583B" w:rsidRPr="00BF1CC4" w:rsidRDefault="00B4583B" w:rsidP="008552A8">
            <w:pPr>
              <w:spacing w:line="360" w:lineRule="auto"/>
              <w:jc w:val="both"/>
              <w:rPr>
                <w:rFonts w:eastAsiaTheme="minorHAnsi"/>
                <w:b/>
              </w:rPr>
            </w:pPr>
            <w:r w:rsidRPr="00BF1CC4">
              <w:rPr>
                <w:rFonts w:eastAsiaTheme="minorHAnsi"/>
                <w:b/>
              </w:rPr>
              <w:t>(b)</w:t>
            </w:r>
          </w:p>
        </w:tc>
        <w:tc>
          <w:tcPr>
            <w:tcW w:w="1602" w:type="dxa"/>
            <w:tcBorders>
              <w:bottom w:val="nil"/>
            </w:tcBorders>
          </w:tcPr>
          <w:p w14:paraId="487635CB" w14:textId="77777777" w:rsidR="00B4583B" w:rsidRPr="00BF1CC4" w:rsidRDefault="00B4583B" w:rsidP="008552A8">
            <w:pPr>
              <w:spacing w:line="360" w:lineRule="auto"/>
              <w:jc w:val="both"/>
              <w:rPr>
                <w:rFonts w:eastAsiaTheme="minorHAnsi"/>
                <w:b/>
              </w:rPr>
            </w:pPr>
            <w:r w:rsidRPr="00BF1CC4">
              <w:rPr>
                <w:rFonts w:eastAsiaTheme="minorHAnsi"/>
                <w:b/>
              </w:rPr>
              <w:t>(B)</w:t>
            </w:r>
          </w:p>
        </w:tc>
        <w:tc>
          <w:tcPr>
            <w:tcW w:w="1460" w:type="dxa"/>
            <w:tcBorders>
              <w:bottom w:val="nil"/>
            </w:tcBorders>
          </w:tcPr>
          <w:p w14:paraId="79FA85C2" w14:textId="77777777" w:rsidR="00B4583B" w:rsidRPr="00BF1CC4" w:rsidRDefault="00B4583B" w:rsidP="008552A8">
            <w:pPr>
              <w:spacing w:line="360" w:lineRule="auto"/>
              <w:jc w:val="both"/>
              <w:rPr>
                <w:rFonts w:eastAsiaTheme="minorHAnsi"/>
                <w:b/>
              </w:rPr>
            </w:pPr>
            <w:r w:rsidRPr="00BF1CC4">
              <w:rPr>
                <w:rFonts w:eastAsiaTheme="minorHAnsi"/>
                <w:b/>
              </w:rPr>
              <w:t>(b-B)</w:t>
            </w:r>
          </w:p>
        </w:tc>
        <w:tc>
          <w:tcPr>
            <w:tcW w:w="2508" w:type="dxa"/>
            <w:tcBorders>
              <w:bottom w:val="nil"/>
            </w:tcBorders>
          </w:tcPr>
          <w:p w14:paraId="1AEA5B97" w14:textId="77777777" w:rsidR="00B4583B" w:rsidRPr="00BF1CC4" w:rsidRDefault="00B4583B" w:rsidP="008552A8">
            <w:pPr>
              <w:spacing w:line="360" w:lineRule="auto"/>
              <w:jc w:val="both"/>
              <w:rPr>
                <w:rFonts w:eastAsiaTheme="minorHAnsi"/>
                <w:b/>
              </w:rPr>
            </w:pPr>
            <w:r w:rsidRPr="00BF1CC4">
              <w:rPr>
                <w:rFonts w:eastAsiaTheme="minorHAnsi"/>
                <w:b/>
              </w:rPr>
              <w:t>Sqrt (diag (V_b-V_B)</w:t>
            </w:r>
          </w:p>
        </w:tc>
      </w:tr>
      <w:tr w:rsidR="00BF1CC4" w:rsidRPr="00BF1CC4" w14:paraId="6964D923" w14:textId="77777777" w:rsidTr="00195E1E">
        <w:trPr>
          <w:trHeight w:val="20"/>
        </w:trPr>
        <w:tc>
          <w:tcPr>
            <w:tcW w:w="1794" w:type="dxa"/>
            <w:tcBorders>
              <w:top w:val="nil"/>
              <w:bottom w:val="single" w:sz="4" w:space="0" w:color="auto"/>
            </w:tcBorders>
          </w:tcPr>
          <w:p w14:paraId="42947A2C" w14:textId="77777777" w:rsidR="00B4583B" w:rsidRPr="00BF1CC4" w:rsidRDefault="00B4583B" w:rsidP="008552A8">
            <w:pPr>
              <w:spacing w:line="360" w:lineRule="auto"/>
              <w:jc w:val="both"/>
              <w:rPr>
                <w:rFonts w:eastAsiaTheme="minorHAnsi"/>
                <w:b/>
              </w:rPr>
            </w:pPr>
          </w:p>
        </w:tc>
        <w:tc>
          <w:tcPr>
            <w:tcW w:w="1473" w:type="dxa"/>
            <w:tcBorders>
              <w:top w:val="nil"/>
              <w:bottom w:val="single" w:sz="4" w:space="0" w:color="auto"/>
            </w:tcBorders>
          </w:tcPr>
          <w:p w14:paraId="551FB1FD" w14:textId="77777777" w:rsidR="00B4583B" w:rsidRPr="00BF1CC4" w:rsidRDefault="00B4583B" w:rsidP="008552A8">
            <w:pPr>
              <w:spacing w:line="360" w:lineRule="auto"/>
              <w:jc w:val="both"/>
              <w:rPr>
                <w:rFonts w:eastAsiaTheme="minorHAnsi"/>
                <w:b/>
              </w:rPr>
            </w:pPr>
            <w:r w:rsidRPr="00BF1CC4">
              <w:rPr>
                <w:rFonts w:eastAsiaTheme="minorHAnsi"/>
                <w:b/>
              </w:rPr>
              <w:t>Fe</w:t>
            </w:r>
          </w:p>
        </w:tc>
        <w:tc>
          <w:tcPr>
            <w:tcW w:w="1602" w:type="dxa"/>
            <w:tcBorders>
              <w:top w:val="nil"/>
              <w:bottom w:val="single" w:sz="4" w:space="0" w:color="auto"/>
            </w:tcBorders>
          </w:tcPr>
          <w:p w14:paraId="3BFC261B" w14:textId="77777777" w:rsidR="00B4583B" w:rsidRPr="00BF1CC4" w:rsidRDefault="00B4583B" w:rsidP="008552A8">
            <w:pPr>
              <w:spacing w:line="360" w:lineRule="auto"/>
              <w:jc w:val="both"/>
              <w:rPr>
                <w:rFonts w:eastAsiaTheme="minorHAnsi"/>
                <w:b/>
              </w:rPr>
            </w:pPr>
            <w:r w:rsidRPr="00BF1CC4">
              <w:rPr>
                <w:rFonts w:eastAsiaTheme="minorHAnsi"/>
                <w:b/>
              </w:rPr>
              <w:t>Re</w:t>
            </w:r>
          </w:p>
        </w:tc>
        <w:tc>
          <w:tcPr>
            <w:tcW w:w="1460" w:type="dxa"/>
            <w:tcBorders>
              <w:top w:val="nil"/>
              <w:bottom w:val="single" w:sz="4" w:space="0" w:color="auto"/>
            </w:tcBorders>
          </w:tcPr>
          <w:p w14:paraId="534EA290" w14:textId="77777777" w:rsidR="00B4583B" w:rsidRPr="00BF1CC4" w:rsidRDefault="00B4583B" w:rsidP="008552A8">
            <w:pPr>
              <w:spacing w:line="360" w:lineRule="auto"/>
              <w:jc w:val="both"/>
              <w:rPr>
                <w:rFonts w:eastAsiaTheme="minorHAnsi"/>
                <w:b/>
              </w:rPr>
            </w:pPr>
            <w:r w:rsidRPr="00BF1CC4">
              <w:rPr>
                <w:rFonts w:eastAsiaTheme="minorHAnsi"/>
                <w:b/>
              </w:rPr>
              <w:t>Difference</w:t>
            </w:r>
          </w:p>
        </w:tc>
        <w:tc>
          <w:tcPr>
            <w:tcW w:w="2508" w:type="dxa"/>
            <w:tcBorders>
              <w:top w:val="nil"/>
              <w:bottom w:val="single" w:sz="4" w:space="0" w:color="auto"/>
            </w:tcBorders>
          </w:tcPr>
          <w:p w14:paraId="0ABF5677" w14:textId="77777777" w:rsidR="00B4583B" w:rsidRPr="00BF1CC4" w:rsidRDefault="00B4583B" w:rsidP="008552A8">
            <w:pPr>
              <w:spacing w:line="360" w:lineRule="auto"/>
              <w:jc w:val="both"/>
              <w:rPr>
                <w:rFonts w:eastAsiaTheme="minorHAnsi"/>
                <w:b/>
              </w:rPr>
            </w:pPr>
            <w:r w:rsidRPr="00BF1CC4">
              <w:rPr>
                <w:rFonts w:eastAsiaTheme="minorHAnsi"/>
                <w:b/>
              </w:rPr>
              <w:t>S. E</w:t>
            </w:r>
          </w:p>
        </w:tc>
      </w:tr>
      <w:tr w:rsidR="00BF1CC4" w:rsidRPr="00BF1CC4" w14:paraId="161725EC" w14:textId="77777777" w:rsidTr="00195E1E">
        <w:trPr>
          <w:trHeight w:val="20"/>
        </w:trPr>
        <w:tc>
          <w:tcPr>
            <w:tcW w:w="1794" w:type="dxa"/>
            <w:tcBorders>
              <w:top w:val="single" w:sz="4" w:space="0" w:color="auto"/>
            </w:tcBorders>
          </w:tcPr>
          <w:p w14:paraId="5CEAFF9C" w14:textId="77777777" w:rsidR="00B4583B" w:rsidRPr="00BF1CC4" w:rsidRDefault="00B4583B" w:rsidP="008552A8">
            <w:pPr>
              <w:spacing w:line="360" w:lineRule="auto"/>
              <w:jc w:val="both"/>
              <w:rPr>
                <w:rFonts w:eastAsiaTheme="minorHAnsi"/>
              </w:rPr>
            </w:pPr>
            <w:r w:rsidRPr="00BF1CC4">
              <w:t>TOTA</w:t>
            </w:r>
          </w:p>
        </w:tc>
        <w:tc>
          <w:tcPr>
            <w:tcW w:w="1473" w:type="dxa"/>
            <w:tcBorders>
              <w:top w:val="single" w:sz="4" w:space="0" w:color="auto"/>
            </w:tcBorders>
          </w:tcPr>
          <w:p w14:paraId="3E5CF317" w14:textId="58D8CCD5" w:rsidR="00B4583B" w:rsidRPr="00BF1CC4" w:rsidRDefault="00B4583B" w:rsidP="008552A8">
            <w:pPr>
              <w:spacing w:line="360" w:lineRule="auto"/>
              <w:jc w:val="both"/>
              <w:rPr>
                <w:rFonts w:eastAsiaTheme="minorHAnsi"/>
              </w:rPr>
            </w:pPr>
            <w:r w:rsidRPr="00BF1CC4">
              <w:rPr>
                <w:rFonts w:eastAsiaTheme="minorHAnsi"/>
              </w:rPr>
              <w:t>.0638</w:t>
            </w:r>
          </w:p>
        </w:tc>
        <w:tc>
          <w:tcPr>
            <w:tcW w:w="1602" w:type="dxa"/>
            <w:tcBorders>
              <w:top w:val="single" w:sz="4" w:space="0" w:color="auto"/>
            </w:tcBorders>
          </w:tcPr>
          <w:p w14:paraId="0EE69705" w14:textId="2C8057CD" w:rsidR="00B4583B" w:rsidRPr="00BF1CC4" w:rsidRDefault="00B4583B" w:rsidP="008552A8">
            <w:pPr>
              <w:spacing w:line="360" w:lineRule="auto"/>
              <w:jc w:val="both"/>
              <w:rPr>
                <w:rFonts w:eastAsiaTheme="minorHAnsi"/>
              </w:rPr>
            </w:pPr>
            <w:r w:rsidRPr="00BF1CC4">
              <w:rPr>
                <w:rFonts w:eastAsiaTheme="minorHAnsi"/>
              </w:rPr>
              <w:t xml:space="preserve">.040 </w:t>
            </w:r>
          </w:p>
        </w:tc>
        <w:tc>
          <w:tcPr>
            <w:tcW w:w="1460" w:type="dxa"/>
            <w:tcBorders>
              <w:top w:val="single" w:sz="4" w:space="0" w:color="auto"/>
            </w:tcBorders>
          </w:tcPr>
          <w:p w14:paraId="3F3C503E" w14:textId="6C15685A" w:rsidR="00B4583B" w:rsidRPr="00BF1CC4" w:rsidRDefault="00B4583B" w:rsidP="008552A8">
            <w:pPr>
              <w:spacing w:line="360" w:lineRule="auto"/>
              <w:jc w:val="both"/>
              <w:rPr>
                <w:rFonts w:eastAsiaTheme="minorHAnsi"/>
              </w:rPr>
            </w:pPr>
            <w:r w:rsidRPr="00BF1CC4">
              <w:rPr>
                <w:rFonts w:eastAsiaTheme="minorHAnsi"/>
              </w:rPr>
              <w:t>.022</w:t>
            </w:r>
          </w:p>
        </w:tc>
        <w:tc>
          <w:tcPr>
            <w:tcW w:w="2508" w:type="dxa"/>
            <w:tcBorders>
              <w:top w:val="single" w:sz="4" w:space="0" w:color="auto"/>
            </w:tcBorders>
          </w:tcPr>
          <w:p w14:paraId="07DF218F" w14:textId="5EC750A4" w:rsidR="00B4583B" w:rsidRPr="00BF1CC4" w:rsidRDefault="00B4583B" w:rsidP="008552A8">
            <w:pPr>
              <w:spacing w:line="360" w:lineRule="auto"/>
              <w:jc w:val="both"/>
              <w:rPr>
                <w:rFonts w:eastAsiaTheme="minorHAnsi"/>
              </w:rPr>
            </w:pPr>
            <w:r w:rsidRPr="00BF1CC4">
              <w:rPr>
                <w:rFonts w:eastAsiaTheme="minorHAnsi"/>
              </w:rPr>
              <w:t>.012</w:t>
            </w:r>
          </w:p>
        </w:tc>
      </w:tr>
      <w:tr w:rsidR="00BF1CC4" w:rsidRPr="00BF1CC4" w14:paraId="5B89A056" w14:textId="77777777" w:rsidTr="00195E1E">
        <w:trPr>
          <w:trHeight w:val="20"/>
        </w:trPr>
        <w:tc>
          <w:tcPr>
            <w:tcW w:w="1794" w:type="dxa"/>
          </w:tcPr>
          <w:p w14:paraId="11168057" w14:textId="106C45A8" w:rsidR="00B4583B" w:rsidRPr="00BF1CC4" w:rsidRDefault="00B4583B" w:rsidP="008552A8">
            <w:pPr>
              <w:spacing w:line="360" w:lineRule="auto"/>
              <w:jc w:val="both"/>
              <w:rPr>
                <w:rFonts w:eastAsiaTheme="minorHAnsi"/>
              </w:rPr>
            </w:pPr>
            <w:r w:rsidRPr="00BF1CC4">
              <w:t xml:space="preserve"> CAP</w:t>
            </w:r>
          </w:p>
        </w:tc>
        <w:tc>
          <w:tcPr>
            <w:tcW w:w="1473" w:type="dxa"/>
          </w:tcPr>
          <w:p w14:paraId="27464686" w14:textId="1C0901F2" w:rsidR="00B4583B" w:rsidRPr="00BF1CC4" w:rsidRDefault="00B4583B" w:rsidP="008552A8">
            <w:pPr>
              <w:spacing w:line="360" w:lineRule="auto"/>
              <w:jc w:val="both"/>
              <w:rPr>
                <w:rFonts w:eastAsiaTheme="minorHAnsi"/>
              </w:rPr>
            </w:pPr>
            <w:r w:rsidRPr="00BF1CC4">
              <w:rPr>
                <w:rFonts w:eastAsiaTheme="minorHAnsi"/>
              </w:rPr>
              <w:t>7.737</w:t>
            </w:r>
          </w:p>
        </w:tc>
        <w:tc>
          <w:tcPr>
            <w:tcW w:w="1602" w:type="dxa"/>
          </w:tcPr>
          <w:p w14:paraId="4E0C5001" w14:textId="3082E19E" w:rsidR="00B4583B" w:rsidRPr="00BF1CC4" w:rsidRDefault="00B4583B" w:rsidP="008552A8">
            <w:pPr>
              <w:spacing w:line="360" w:lineRule="auto"/>
              <w:jc w:val="both"/>
              <w:rPr>
                <w:rFonts w:eastAsiaTheme="minorHAnsi"/>
              </w:rPr>
            </w:pPr>
            <w:r w:rsidRPr="00BF1CC4">
              <w:rPr>
                <w:rFonts w:eastAsiaTheme="minorHAnsi"/>
              </w:rPr>
              <w:t>7.163</w:t>
            </w:r>
          </w:p>
        </w:tc>
        <w:tc>
          <w:tcPr>
            <w:tcW w:w="1460" w:type="dxa"/>
          </w:tcPr>
          <w:p w14:paraId="49662196" w14:textId="5C9CEBFB" w:rsidR="00B4583B" w:rsidRPr="00BF1CC4" w:rsidRDefault="00B4583B" w:rsidP="008552A8">
            <w:pPr>
              <w:spacing w:line="360" w:lineRule="auto"/>
              <w:jc w:val="both"/>
              <w:rPr>
                <w:rFonts w:eastAsiaTheme="minorHAnsi"/>
              </w:rPr>
            </w:pPr>
            <w:r w:rsidRPr="00BF1CC4">
              <w:rPr>
                <w:rFonts w:eastAsiaTheme="minorHAnsi"/>
              </w:rPr>
              <w:t>.574</w:t>
            </w:r>
          </w:p>
        </w:tc>
        <w:tc>
          <w:tcPr>
            <w:tcW w:w="2508" w:type="dxa"/>
          </w:tcPr>
          <w:p w14:paraId="6E234E8E" w14:textId="02B8D88A" w:rsidR="00B4583B" w:rsidRPr="00BF1CC4" w:rsidRDefault="00B4583B" w:rsidP="008552A8">
            <w:pPr>
              <w:spacing w:line="360" w:lineRule="auto"/>
              <w:jc w:val="both"/>
              <w:rPr>
                <w:rFonts w:eastAsiaTheme="minorHAnsi"/>
              </w:rPr>
            </w:pPr>
            <w:r w:rsidRPr="00BF1CC4">
              <w:rPr>
                <w:rFonts w:eastAsiaTheme="minorHAnsi"/>
              </w:rPr>
              <w:t>.044</w:t>
            </w:r>
          </w:p>
        </w:tc>
      </w:tr>
      <w:tr w:rsidR="00BF1CC4" w:rsidRPr="00BF1CC4" w14:paraId="7F915920" w14:textId="77777777" w:rsidTr="00195E1E">
        <w:trPr>
          <w:trHeight w:val="20"/>
        </w:trPr>
        <w:tc>
          <w:tcPr>
            <w:tcW w:w="1794" w:type="dxa"/>
          </w:tcPr>
          <w:p w14:paraId="49D8DBBB" w14:textId="77777777" w:rsidR="00B4583B" w:rsidRPr="00BF1CC4" w:rsidRDefault="00B4583B" w:rsidP="008552A8">
            <w:pPr>
              <w:spacing w:line="360" w:lineRule="auto"/>
              <w:jc w:val="both"/>
              <w:rPr>
                <w:rFonts w:eastAsiaTheme="minorHAnsi"/>
              </w:rPr>
            </w:pPr>
            <w:r w:rsidRPr="00BF1CC4">
              <w:t>EFFR</w:t>
            </w:r>
          </w:p>
        </w:tc>
        <w:tc>
          <w:tcPr>
            <w:tcW w:w="1473" w:type="dxa"/>
          </w:tcPr>
          <w:p w14:paraId="1F7282A2" w14:textId="725326D1" w:rsidR="00B4583B" w:rsidRPr="00BF1CC4" w:rsidRDefault="00B4583B" w:rsidP="008552A8">
            <w:pPr>
              <w:spacing w:line="360" w:lineRule="auto"/>
              <w:jc w:val="both"/>
              <w:rPr>
                <w:rFonts w:eastAsiaTheme="minorHAnsi"/>
              </w:rPr>
            </w:pPr>
            <w:r w:rsidRPr="00BF1CC4">
              <w:rPr>
                <w:rFonts w:eastAsiaTheme="minorHAnsi"/>
              </w:rPr>
              <w:t>-.0109</w:t>
            </w:r>
          </w:p>
        </w:tc>
        <w:tc>
          <w:tcPr>
            <w:tcW w:w="1602" w:type="dxa"/>
          </w:tcPr>
          <w:p w14:paraId="070A3155" w14:textId="206A51FE" w:rsidR="00B4583B" w:rsidRPr="00BF1CC4" w:rsidRDefault="00B4583B" w:rsidP="008552A8">
            <w:pPr>
              <w:spacing w:line="360" w:lineRule="auto"/>
              <w:jc w:val="both"/>
              <w:rPr>
                <w:rFonts w:eastAsiaTheme="minorHAnsi"/>
              </w:rPr>
            </w:pPr>
            <w:r w:rsidRPr="00BF1CC4">
              <w:rPr>
                <w:rFonts w:eastAsiaTheme="minorHAnsi"/>
              </w:rPr>
              <w:t>-.038</w:t>
            </w:r>
          </w:p>
        </w:tc>
        <w:tc>
          <w:tcPr>
            <w:tcW w:w="1460" w:type="dxa"/>
          </w:tcPr>
          <w:p w14:paraId="2D13515D" w14:textId="29CF4E75" w:rsidR="00B4583B" w:rsidRPr="00BF1CC4" w:rsidRDefault="00B4583B" w:rsidP="008552A8">
            <w:pPr>
              <w:spacing w:line="360" w:lineRule="auto"/>
              <w:jc w:val="both"/>
              <w:rPr>
                <w:rFonts w:eastAsiaTheme="minorHAnsi"/>
              </w:rPr>
            </w:pPr>
            <w:r w:rsidRPr="00BF1CC4">
              <w:rPr>
                <w:rFonts w:eastAsiaTheme="minorHAnsi"/>
              </w:rPr>
              <w:t>.027</w:t>
            </w:r>
          </w:p>
        </w:tc>
        <w:tc>
          <w:tcPr>
            <w:tcW w:w="2508" w:type="dxa"/>
          </w:tcPr>
          <w:p w14:paraId="59251B33" w14:textId="6F245C47" w:rsidR="00B4583B" w:rsidRPr="00BF1CC4" w:rsidRDefault="00B4583B" w:rsidP="008552A8">
            <w:pPr>
              <w:spacing w:line="360" w:lineRule="auto"/>
              <w:jc w:val="both"/>
              <w:rPr>
                <w:rFonts w:eastAsiaTheme="minorHAnsi"/>
              </w:rPr>
            </w:pPr>
            <w:r w:rsidRPr="00BF1CC4">
              <w:rPr>
                <w:rFonts w:eastAsiaTheme="minorHAnsi"/>
              </w:rPr>
              <w:t>.006</w:t>
            </w:r>
          </w:p>
        </w:tc>
      </w:tr>
      <w:tr w:rsidR="00BF1CC4" w:rsidRPr="00BF1CC4" w14:paraId="289D79D4" w14:textId="77777777" w:rsidTr="00195E1E">
        <w:trPr>
          <w:trHeight w:val="20"/>
        </w:trPr>
        <w:tc>
          <w:tcPr>
            <w:tcW w:w="1794" w:type="dxa"/>
          </w:tcPr>
          <w:p w14:paraId="06152C85" w14:textId="77777777" w:rsidR="00B4583B" w:rsidRPr="00BF1CC4" w:rsidRDefault="00B4583B" w:rsidP="008552A8">
            <w:pPr>
              <w:spacing w:line="360" w:lineRule="auto"/>
              <w:jc w:val="both"/>
              <w:rPr>
                <w:rFonts w:eastAsiaTheme="minorHAnsi"/>
              </w:rPr>
            </w:pPr>
            <w:r w:rsidRPr="00BF1CC4">
              <w:t>CONC</w:t>
            </w:r>
          </w:p>
        </w:tc>
        <w:tc>
          <w:tcPr>
            <w:tcW w:w="1473" w:type="dxa"/>
          </w:tcPr>
          <w:p w14:paraId="7559A296" w14:textId="2A98354F" w:rsidR="00B4583B" w:rsidRPr="00BF1CC4" w:rsidRDefault="00B4583B" w:rsidP="008552A8">
            <w:pPr>
              <w:spacing w:line="360" w:lineRule="auto"/>
              <w:jc w:val="both"/>
              <w:rPr>
                <w:rFonts w:eastAsiaTheme="minorHAnsi"/>
              </w:rPr>
            </w:pPr>
            <w:r w:rsidRPr="00BF1CC4">
              <w:rPr>
                <w:rFonts w:eastAsiaTheme="minorHAnsi"/>
              </w:rPr>
              <w:t>-.001</w:t>
            </w:r>
          </w:p>
        </w:tc>
        <w:tc>
          <w:tcPr>
            <w:tcW w:w="1602" w:type="dxa"/>
          </w:tcPr>
          <w:p w14:paraId="0ABF3E25" w14:textId="78C378BF" w:rsidR="00B4583B" w:rsidRPr="00BF1CC4" w:rsidRDefault="00B4583B" w:rsidP="008552A8">
            <w:pPr>
              <w:spacing w:line="360" w:lineRule="auto"/>
              <w:jc w:val="both"/>
              <w:rPr>
                <w:rFonts w:eastAsiaTheme="minorHAnsi"/>
              </w:rPr>
            </w:pPr>
            <w:r w:rsidRPr="00BF1CC4">
              <w:rPr>
                <w:rFonts w:eastAsiaTheme="minorHAnsi"/>
              </w:rPr>
              <w:t>-.000</w:t>
            </w:r>
          </w:p>
        </w:tc>
        <w:tc>
          <w:tcPr>
            <w:tcW w:w="1460" w:type="dxa"/>
          </w:tcPr>
          <w:p w14:paraId="65BFC969" w14:textId="61D4E308" w:rsidR="00B4583B" w:rsidRPr="00BF1CC4" w:rsidRDefault="00B4583B" w:rsidP="008552A8">
            <w:pPr>
              <w:spacing w:line="360" w:lineRule="auto"/>
              <w:jc w:val="both"/>
              <w:rPr>
                <w:rFonts w:eastAsiaTheme="minorHAnsi"/>
              </w:rPr>
            </w:pPr>
            <w:r w:rsidRPr="00BF1CC4">
              <w:rPr>
                <w:rFonts w:eastAsiaTheme="minorHAnsi"/>
              </w:rPr>
              <w:t>-.000</w:t>
            </w:r>
          </w:p>
        </w:tc>
        <w:tc>
          <w:tcPr>
            <w:tcW w:w="2508" w:type="dxa"/>
          </w:tcPr>
          <w:p w14:paraId="099EB549" w14:textId="77777777" w:rsidR="00B4583B" w:rsidRPr="00BF1CC4" w:rsidRDefault="00B4583B" w:rsidP="008552A8">
            <w:pPr>
              <w:spacing w:line="360" w:lineRule="auto"/>
              <w:jc w:val="both"/>
              <w:rPr>
                <w:rFonts w:eastAsiaTheme="minorHAnsi"/>
              </w:rPr>
            </w:pPr>
            <w:r w:rsidRPr="00BF1CC4">
              <w:rPr>
                <w:rFonts w:eastAsiaTheme="minorHAnsi"/>
              </w:rPr>
              <w:t xml:space="preserve">  ..</w:t>
            </w:r>
          </w:p>
        </w:tc>
      </w:tr>
      <w:tr w:rsidR="00BF1CC4" w:rsidRPr="00BF1CC4" w14:paraId="5DB73862" w14:textId="77777777" w:rsidTr="00195E1E">
        <w:trPr>
          <w:trHeight w:val="20"/>
        </w:trPr>
        <w:tc>
          <w:tcPr>
            <w:tcW w:w="1794" w:type="dxa"/>
          </w:tcPr>
          <w:p w14:paraId="3C57785B" w14:textId="77777777" w:rsidR="00B4583B" w:rsidRPr="00BF1CC4" w:rsidRDefault="00B4583B" w:rsidP="008552A8">
            <w:pPr>
              <w:spacing w:line="360" w:lineRule="auto"/>
              <w:jc w:val="both"/>
              <w:rPr>
                <w:rFonts w:eastAsiaTheme="minorHAnsi"/>
              </w:rPr>
            </w:pPr>
            <w:r w:rsidRPr="00BF1CC4">
              <w:t>INFL</w:t>
            </w:r>
          </w:p>
        </w:tc>
        <w:tc>
          <w:tcPr>
            <w:tcW w:w="1473" w:type="dxa"/>
          </w:tcPr>
          <w:p w14:paraId="02B119B2" w14:textId="74851B4D" w:rsidR="00B4583B" w:rsidRPr="00BF1CC4" w:rsidRDefault="00B4583B" w:rsidP="008552A8">
            <w:pPr>
              <w:spacing w:line="360" w:lineRule="auto"/>
              <w:jc w:val="both"/>
              <w:rPr>
                <w:rFonts w:eastAsiaTheme="minorHAnsi"/>
              </w:rPr>
            </w:pPr>
            <w:r w:rsidRPr="00BF1CC4">
              <w:rPr>
                <w:rFonts w:eastAsiaTheme="minorHAnsi"/>
              </w:rPr>
              <w:t>.002</w:t>
            </w:r>
          </w:p>
        </w:tc>
        <w:tc>
          <w:tcPr>
            <w:tcW w:w="1602" w:type="dxa"/>
          </w:tcPr>
          <w:p w14:paraId="5F3384F3" w14:textId="14D099CD" w:rsidR="00B4583B" w:rsidRPr="00BF1CC4" w:rsidRDefault="00B4583B" w:rsidP="008552A8">
            <w:pPr>
              <w:spacing w:line="360" w:lineRule="auto"/>
              <w:jc w:val="both"/>
              <w:rPr>
                <w:rFonts w:eastAsiaTheme="minorHAnsi"/>
              </w:rPr>
            </w:pPr>
            <w:r w:rsidRPr="00BF1CC4">
              <w:rPr>
                <w:rFonts w:eastAsiaTheme="minorHAnsi"/>
              </w:rPr>
              <w:t>.000</w:t>
            </w:r>
          </w:p>
        </w:tc>
        <w:tc>
          <w:tcPr>
            <w:tcW w:w="1460" w:type="dxa"/>
          </w:tcPr>
          <w:p w14:paraId="56803C77" w14:textId="53C7EFB2" w:rsidR="00B4583B" w:rsidRPr="00BF1CC4" w:rsidRDefault="00B4583B" w:rsidP="008552A8">
            <w:pPr>
              <w:spacing w:line="360" w:lineRule="auto"/>
              <w:jc w:val="both"/>
              <w:rPr>
                <w:rFonts w:eastAsiaTheme="minorHAnsi"/>
              </w:rPr>
            </w:pPr>
            <w:r w:rsidRPr="00BF1CC4">
              <w:rPr>
                <w:rFonts w:eastAsiaTheme="minorHAnsi"/>
              </w:rPr>
              <w:t>.002</w:t>
            </w:r>
          </w:p>
        </w:tc>
        <w:tc>
          <w:tcPr>
            <w:tcW w:w="2508" w:type="dxa"/>
          </w:tcPr>
          <w:p w14:paraId="109C7813" w14:textId="77777777" w:rsidR="00B4583B" w:rsidRPr="00BF1CC4" w:rsidRDefault="00B4583B" w:rsidP="008552A8">
            <w:pPr>
              <w:spacing w:line="360" w:lineRule="auto"/>
              <w:jc w:val="both"/>
              <w:rPr>
                <w:rFonts w:eastAsiaTheme="minorHAnsi"/>
              </w:rPr>
            </w:pPr>
            <w:r w:rsidRPr="00BF1CC4">
              <w:rPr>
                <w:rFonts w:eastAsiaTheme="minorHAnsi"/>
              </w:rPr>
              <w:t xml:space="preserve">  .</w:t>
            </w:r>
          </w:p>
        </w:tc>
      </w:tr>
      <w:tr w:rsidR="00BF1CC4" w:rsidRPr="00BF1CC4" w14:paraId="314DCEF6" w14:textId="77777777" w:rsidTr="00195E1E">
        <w:trPr>
          <w:trHeight w:val="20"/>
        </w:trPr>
        <w:tc>
          <w:tcPr>
            <w:tcW w:w="1794" w:type="dxa"/>
          </w:tcPr>
          <w:p w14:paraId="58FAEC61" w14:textId="77777777" w:rsidR="00B4583B" w:rsidRPr="00BF1CC4" w:rsidRDefault="00B4583B" w:rsidP="008552A8">
            <w:pPr>
              <w:spacing w:line="360" w:lineRule="auto"/>
              <w:jc w:val="both"/>
              <w:rPr>
                <w:rFonts w:eastAsiaTheme="minorHAnsi"/>
              </w:rPr>
            </w:pPr>
            <w:r w:rsidRPr="00BF1CC4">
              <w:t>LENR</w:t>
            </w:r>
          </w:p>
        </w:tc>
        <w:tc>
          <w:tcPr>
            <w:tcW w:w="1473" w:type="dxa"/>
          </w:tcPr>
          <w:p w14:paraId="2D4B2AD8" w14:textId="0AD8BC1D" w:rsidR="00B4583B" w:rsidRPr="00BF1CC4" w:rsidRDefault="00B4583B" w:rsidP="008552A8">
            <w:pPr>
              <w:spacing w:line="360" w:lineRule="auto"/>
              <w:jc w:val="both"/>
              <w:rPr>
                <w:rFonts w:eastAsiaTheme="minorHAnsi"/>
              </w:rPr>
            </w:pPr>
            <w:r w:rsidRPr="00BF1CC4">
              <w:rPr>
                <w:rFonts w:eastAsiaTheme="minorHAnsi"/>
              </w:rPr>
              <w:t>-.002</w:t>
            </w:r>
          </w:p>
        </w:tc>
        <w:tc>
          <w:tcPr>
            <w:tcW w:w="1602" w:type="dxa"/>
          </w:tcPr>
          <w:p w14:paraId="37B75FA2" w14:textId="24B8F678" w:rsidR="00B4583B" w:rsidRPr="00BF1CC4" w:rsidRDefault="00B4583B" w:rsidP="008552A8">
            <w:pPr>
              <w:spacing w:line="360" w:lineRule="auto"/>
              <w:jc w:val="both"/>
              <w:rPr>
                <w:rFonts w:eastAsiaTheme="minorHAnsi"/>
              </w:rPr>
            </w:pPr>
            <w:r w:rsidRPr="00BF1CC4">
              <w:rPr>
                <w:rFonts w:eastAsiaTheme="minorHAnsi"/>
              </w:rPr>
              <w:t xml:space="preserve">-.003  </w:t>
            </w:r>
          </w:p>
        </w:tc>
        <w:tc>
          <w:tcPr>
            <w:tcW w:w="1460" w:type="dxa"/>
          </w:tcPr>
          <w:p w14:paraId="10DCA86A" w14:textId="6CF201EB" w:rsidR="00B4583B" w:rsidRPr="00BF1CC4" w:rsidRDefault="00B4583B" w:rsidP="008552A8">
            <w:pPr>
              <w:spacing w:line="360" w:lineRule="auto"/>
              <w:jc w:val="both"/>
              <w:rPr>
                <w:rFonts w:eastAsiaTheme="minorHAnsi"/>
              </w:rPr>
            </w:pPr>
            <w:r w:rsidRPr="00BF1CC4">
              <w:rPr>
                <w:rFonts w:eastAsiaTheme="minorHAnsi"/>
              </w:rPr>
              <w:t>.000</w:t>
            </w:r>
          </w:p>
        </w:tc>
        <w:tc>
          <w:tcPr>
            <w:tcW w:w="2508" w:type="dxa"/>
          </w:tcPr>
          <w:p w14:paraId="7C35A6D2" w14:textId="77777777" w:rsidR="00B4583B" w:rsidRPr="00BF1CC4" w:rsidRDefault="00B4583B" w:rsidP="008552A8">
            <w:pPr>
              <w:spacing w:line="360" w:lineRule="auto"/>
              <w:jc w:val="both"/>
              <w:rPr>
                <w:rFonts w:eastAsiaTheme="minorHAnsi"/>
              </w:rPr>
            </w:pPr>
            <w:r w:rsidRPr="00BF1CC4">
              <w:rPr>
                <w:rFonts w:eastAsiaTheme="minorHAnsi"/>
              </w:rPr>
              <w:t xml:space="preserve">  .</w:t>
            </w:r>
          </w:p>
        </w:tc>
      </w:tr>
      <w:tr w:rsidR="00BF1CC4" w:rsidRPr="00BF1CC4" w14:paraId="09509C15" w14:textId="77777777" w:rsidTr="00195E1E">
        <w:trPr>
          <w:trHeight w:val="20"/>
        </w:trPr>
        <w:tc>
          <w:tcPr>
            <w:tcW w:w="1794" w:type="dxa"/>
          </w:tcPr>
          <w:p w14:paraId="110972D6" w14:textId="77777777" w:rsidR="00B4583B" w:rsidRPr="00BF1CC4" w:rsidRDefault="00B4583B" w:rsidP="008552A8">
            <w:pPr>
              <w:spacing w:line="360" w:lineRule="auto"/>
              <w:jc w:val="both"/>
              <w:rPr>
                <w:rFonts w:eastAsiaTheme="minorHAnsi"/>
              </w:rPr>
            </w:pPr>
            <w:r w:rsidRPr="00BF1CC4">
              <w:rPr>
                <w:rFonts w:eastAsiaTheme="minorHAnsi"/>
              </w:rPr>
              <w:t>DBTR</w:t>
            </w:r>
          </w:p>
        </w:tc>
        <w:tc>
          <w:tcPr>
            <w:tcW w:w="1473" w:type="dxa"/>
          </w:tcPr>
          <w:p w14:paraId="32872973" w14:textId="2D90CA0A" w:rsidR="00B4583B" w:rsidRPr="00BF1CC4" w:rsidRDefault="00B4583B" w:rsidP="008552A8">
            <w:pPr>
              <w:spacing w:line="360" w:lineRule="auto"/>
              <w:jc w:val="both"/>
              <w:rPr>
                <w:rFonts w:eastAsiaTheme="minorHAnsi"/>
              </w:rPr>
            </w:pPr>
            <w:r w:rsidRPr="00BF1CC4">
              <w:rPr>
                <w:rFonts w:eastAsiaTheme="minorHAnsi"/>
              </w:rPr>
              <w:t>.058</w:t>
            </w:r>
          </w:p>
        </w:tc>
        <w:tc>
          <w:tcPr>
            <w:tcW w:w="1602" w:type="dxa"/>
          </w:tcPr>
          <w:p w14:paraId="064DF2FA" w14:textId="67F5C82D" w:rsidR="00B4583B" w:rsidRPr="00BF1CC4" w:rsidRDefault="00B4583B" w:rsidP="008552A8">
            <w:pPr>
              <w:spacing w:line="360" w:lineRule="auto"/>
              <w:jc w:val="both"/>
              <w:rPr>
                <w:rFonts w:eastAsiaTheme="minorHAnsi"/>
              </w:rPr>
            </w:pPr>
            <w:r w:rsidRPr="00BF1CC4">
              <w:rPr>
                <w:rFonts w:eastAsiaTheme="minorHAnsi"/>
              </w:rPr>
              <w:t>.032</w:t>
            </w:r>
          </w:p>
        </w:tc>
        <w:tc>
          <w:tcPr>
            <w:tcW w:w="1460" w:type="dxa"/>
          </w:tcPr>
          <w:p w14:paraId="776F1E42" w14:textId="12195425" w:rsidR="00B4583B" w:rsidRPr="00BF1CC4" w:rsidRDefault="00B4583B" w:rsidP="008552A8">
            <w:pPr>
              <w:spacing w:line="360" w:lineRule="auto"/>
              <w:jc w:val="both"/>
              <w:rPr>
                <w:rFonts w:eastAsiaTheme="minorHAnsi"/>
              </w:rPr>
            </w:pPr>
            <w:r w:rsidRPr="00BF1CC4">
              <w:rPr>
                <w:rFonts w:eastAsiaTheme="minorHAnsi"/>
              </w:rPr>
              <w:t>.026</w:t>
            </w:r>
          </w:p>
        </w:tc>
        <w:tc>
          <w:tcPr>
            <w:tcW w:w="2508" w:type="dxa"/>
          </w:tcPr>
          <w:p w14:paraId="7CE8C814" w14:textId="3661CF99" w:rsidR="00B4583B" w:rsidRPr="00BF1CC4" w:rsidRDefault="00B4583B" w:rsidP="008552A8">
            <w:pPr>
              <w:spacing w:line="360" w:lineRule="auto"/>
              <w:jc w:val="both"/>
              <w:rPr>
                <w:rFonts w:eastAsiaTheme="minorHAnsi"/>
              </w:rPr>
            </w:pPr>
            <w:r w:rsidRPr="00BF1CC4">
              <w:rPr>
                <w:rFonts w:eastAsiaTheme="minorHAnsi"/>
              </w:rPr>
              <w:t>.005</w:t>
            </w:r>
          </w:p>
        </w:tc>
      </w:tr>
      <w:tr w:rsidR="00BF1CC4" w:rsidRPr="00BF1CC4" w14:paraId="0287A296" w14:textId="77777777" w:rsidTr="00195E1E">
        <w:trPr>
          <w:trHeight w:val="20"/>
        </w:trPr>
        <w:tc>
          <w:tcPr>
            <w:tcW w:w="8837" w:type="dxa"/>
            <w:gridSpan w:val="5"/>
            <w:tcBorders>
              <w:top w:val="single" w:sz="4" w:space="0" w:color="auto"/>
              <w:bottom w:val="nil"/>
            </w:tcBorders>
          </w:tcPr>
          <w:p w14:paraId="74808BFF" w14:textId="77777777" w:rsidR="00B4583B" w:rsidRPr="00BF1CC4" w:rsidRDefault="00B4583B" w:rsidP="008552A8">
            <w:pPr>
              <w:spacing w:line="360" w:lineRule="auto"/>
              <w:jc w:val="both"/>
              <w:rPr>
                <w:rFonts w:eastAsiaTheme="minorHAnsi"/>
              </w:rPr>
            </w:pPr>
            <w:r w:rsidRPr="00BF1CC4">
              <w:rPr>
                <w:rFonts w:eastAsiaTheme="minorHAnsi"/>
              </w:rPr>
              <w:t>b = consistent under H</w:t>
            </w:r>
            <w:r w:rsidRPr="00BF1CC4">
              <w:rPr>
                <w:rFonts w:eastAsiaTheme="minorHAnsi"/>
                <w:vertAlign w:val="subscript"/>
              </w:rPr>
              <w:t>0</w:t>
            </w:r>
            <w:r w:rsidRPr="00BF1CC4">
              <w:rPr>
                <w:rFonts w:eastAsiaTheme="minorHAnsi"/>
              </w:rPr>
              <w:t xml:space="preserve"> and H</w:t>
            </w:r>
            <w:r w:rsidRPr="00BF1CC4">
              <w:rPr>
                <w:rFonts w:eastAsiaTheme="minorHAnsi"/>
                <w:vertAlign w:val="subscript"/>
              </w:rPr>
              <w:t>a</w:t>
            </w:r>
            <w:r w:rsidRPr="00BF1CC4">
              <w:rPr>
                <w:rFonts w:eastAsiaTheme="minorHAnsi"/>
              </w:rPr>
              <w:t>; obtained from panel regression</w:t>
            </w:r>
          </w:p>
        </w:tc>
      </w:tr>
      <w:tr w:rsidR="00BF1CC4" w:rsidRPr="00BF1CC4" w14:paraId="7C3C2718" w14:textId="77777777" w:rsidTr="00195E1E">
        <w:trPr>
          <w:trHeight w:val="20"/>
        </w:trPr>
        <w:tc>
          <w:tcPr>
            <w:tcW w:w="8837" w:type="dxa"/>
            <w:gridSpan w:val="5"/>
            <w:tcBorders>
              <w:top w:val="nil"/>
              <w:bottom w:val="single" w:sz="4" w:space="0" w:color="auto"/>
            </w:tcBorders>
          </w:tcPr>
          <w:p w14:paraId="28750C2A" w14:textId="77777777" w:rsidR="00B4583B" w:rsidRPr="00BF1CC4" w:rsidRDefault="00B4583B" w:rsidP="008552A8">
            <w:pPr>
              <w:spacing w:line="360" w:lineRule="auto"/>
              <w:jc w:val="both"/>
              <w:rPr>
                <w:rFonts w:eastAsiaTheme="minorHAnsi"/>
              </w:rPr>
            </w:pPr>
            <w:r w:rsidRPr="00BF1CC4">
              <w:rPr>
                <w:rFonts w:eastAsiaTheme="minorHAnsi"/>
              </w:rPr>
              <w:t>B = inconsistent under Ha, efficient under H</w:t>
            </w:r>
            <w:r w:rsidRPr="00BF1CC4">
              <w:rPr>
                <w:rFonts w:eastAsiaTheme="minorHAnsi"/>
                <w:vertAlign w:val="subscript"/>
              </w:rPr>
              <w:t>0</w:t>
            </w:r>
            <w:r w:rsidRPr="00BF1CC4">
              <w:rPr>
                <w:rFonts w:eastAsiaTheme="minorHAnsi"/>
              </w:rPr>
              <w:t>; obtained from panel regression</w:t>
            </w:r>
          </w:p>
          <w:p w14:paraId="2D607F87" w14:textId="77777777" w:rsidR="00B4583B" w:rsidRPr="00BF1CC4" w:rsidRDefault="00B4583B" w:rsidP="008552A8">
            <w:pPr>
              <w:spacing w:line="360" w:lineRule="auto"/>
              <w:jc w:val="both"/>
              <w:rPr>
                <w:rFonts w:eastAsiaTheme="minorHAnsi"/>
              </w:rPr>
            </w:pPr>
            <w:r w:rsidRPr="00BF1CC4">
              <w:rPr>
                <w:rFonts w:eastAsiaTheme="minorHAnsi"/>
              </w:rPr>
              <w:t>Fe= Fixed Effects.</w:t>
            </w:r>
          </w:p>
          <w:p w14:paraId="6A092778" w14:textId="77777777" w:rsidR="00B4583B" w:rsidRPr="00BF1CC4" w:rsidRDefault="00B4583B" w:rsidP="008552A8">
            <w:pPr>
              <w:spacing w:line="360" w:lineRule="auto"/>
              <w:jc w:val="both"/>
              <w:rPr>
                <w:rFonts w:eastAsiaTheme="minorHAnsi"/>
              </w:rPr>
            </w:pPr>
            <w:r w:rsidRPr="00BF1CC4">
              <w:rPr>
                <w:rFonts w:eastAsiaTheme="minorHAnsi"/>
              </w:rPr>
              <w:t>Re= Random Effects</w:t>
            </w:r>
          </w:p>
        </w:tc>
      </w:tr>
      <w:tr w:rsidR="00BF1CC4" w:rsidRPr="00BF1CC4" w14:paraId="710146C1" w14:textId="77777777" w:rsidTr="00195E1E">
        <w:trPr>
          <w:trHeight w:val="20"/>
        </w:trPr>
        <w:tc>
          <w:tcPr>
            <w:tcW w:w="8837" w:type="dxa"/>
            <w:gridSpan w:val="5"/>
            <w:tcBorders>
              <w:top w:val="single" w:sz="4" w:space="0" w:color="auto"/>
              <w:bottom w:val="nil"/>
            </w:tcBorders>
          </w:tcPr>
          <w:p w14:paraId="2AB4B144" w14:textId="77777777" w:rsidR="00B4583B" w:rsidRPr="00BF1CC4" w:rsidRDefault="00B4583B" w:rsidP="008552A8">
            <w:pPr>
              <w:spacing w:line="360" w:lineRule="auto"/>
              <w:jc w:val="both"/>
              <w:rPr>
                <w:rFonts w:eastAsiaTheme="minorHAnsi"/>
              </w:rPr>
            </w:pPr>
            <w:r w:rsidRPr="00BF1CC4">
              <w:rPr>
                <w:rFonts w:eastAsiaTheme="minorHAnsi"/>
              </w:rPr>
              <w:t>Test: H0: difference in coefficients not systematic</w:t>
            </w:r>
          </w:p>
        </w:tc>
      </w:tr>
      <w:tr w:rsidR="00BF1CC4" w:rsidRPr="00BF1CC4" w14:paraId="60691BA3" w14:textId="77777777" w:rsidTr="00195E1E">
        <w:trPr>
          <w:trHeight w:val="20"/>
        </w:trPr>
        <w:tc>
          <w:tcPr>
            <w:tcW w:w="8837" w:type="dxa"/>
            <w:gridSpan w:val="5"/>
            <w:tcBorders>
              <w:top w:val="nil"/>
            </w:tcBorders>
          </w:tcPr>
          <w:p w14:paraId="59045E23" w14:textId="77777777" w:rsidR="00B4583B" w:rsidRPr="00BF1CC4" w:rsidRDefault="00B4583B" w:rsidP="008552A8">
            <w:pPr>
              <w:spacing w:line="360" w:lineRule="auto"/>
              <w:jc w:val="both"/>
              <w:rPr>
                <w:rFonts w:eastAsiaTheme="minorHAnsi"/>
              </w:rPr>
            </w:pPr>
            <w:r w:rsidRPr="00BF1CC4">
              <w:rPr>
                <w:rFonts w:eastAsiaTheme="minorHAnsi"/>
              </w:rPr>
              <w:t>Chi2(4) = (b-B)’[V_b-V_B)^(-1)](b-B)</w:t>
            </w:r>
          </w:p>
          <w:p w14:paraId="179C40A8" w14:textId="77777777" w:rsidR="00B4583B" w:rsidRPr="00BF1CC4" w:rsidRDefault="00B4583B" w:rsidP="008552A8">
            <w:pPr>
              <w:spacing w:line="360" w:lineRule="auto"/>
              <w:jc w:val="both"/>
              <w:rPr>
                <w:rFonts w:eastAsiaTheme="minorHAnsi"/>
              </w:rPr>
            </w:pPr>
            <w:r w:rsidRPr="00BF1CC4">
              <w:rPr>
                <w:rFonts w:eastAsiaTheme="minorHAnsi"/>
              </w:rPr>
              <w:tab/>
            </w:r>
            <w:r w:rsidRPr="00BF1CC4">
              <w:rPr>
                <w:rFonts w:eastAsiaTheme="minorHAnsi"/>
              </w:rPr>
              <w:tab/>
            </w:r>
            <w:r w:rsidRPr="00BF1CC4">
              <w:rPr>
                <w:rFonts w:eastAsiaTheme="minorHAnsi"/>
              </w:rPr>
              <w:tab/>
            </w:r>
            <w:r w:rsidRPr="00BF1CC4">
              <w:rPr>
                <w:rFonts w:eastAsiaTheme="minorHAnsi"/>
              </w:rPr>
              <w:tab/>
              <w:t xml:space="preserve">      = 35.08</w:t>
            </w:r>
          </w:p>
        </w:tc>
      </w:tr>
      <w:tr w:rsidR="00B4583B" w:rsidRPr="00BF1CC4" w14:paraId="707C2A0C" w14:textId="77777777" w:rsidTr="00195E1E">
        <w:trPr>
          <w:trHeight w:val="20"/>
        </w:trPr>
        <w:tc>
          <w:tcPr>
            <w:tcW w:w="8837" w:type="dxa"/>
            <w:gridSpan w:val="5"/>
          </w:tcPr>
          <w:p w14:paraId="3B56154E" w14:textId="77777777" w:rsidR="00B4583B" w:rsidRPr="00BF1CC4" w:rsidRDefault="00B4583B" w:rsidP="008552A8">
            <w:pPr>
              <w:spacing w:line="360" w:lineRule="auto"/>
              <w:jc w:val="both"/>
              <w:rPr>
                <w:rFonts w:eastAsiaTheme="minorHAnsi"/>
              </w:rPr>
            </w:pPr>
            <w:r w:rsidRPr="00BF1CC4">
              <w:rPr>
                <w:rFonts w:eastAsiaTheme="minorHAnsi"/>
              </w:rPr>
              <w:tab/>
            </w:r>
            <w:r w:rsidRPr="00BF1CC4">
              <w:rPr>
                <w:rFonts w:eastAsiaTheme="minorHAnsi"/>
              </w:rPr>
              <w:tab/>
            </w:r>
            <w:r w:rsidRPr="00BF1CC4">
              <w:rPr>
                <w:rFonts w:eastAsiaTheme="minorHAnsi"/>
              </w:rPr>
              <w:tab/>
              <w:t xml:space="preserve">  Prob&gt;Chi2=</w:t>
            </w:r>
            <w:r w:rsidRPr="00BF1CC4">
              <w:t xml:space="preserve"> </w:t>
            </w:r>
            <w:r w:rsidRPr="00BF1CC4">
              <w:rPr>
                <w:rFonts w:eastAsiaTheme="minorHAnsi"/>
              </w:rPr>
              <w:t>0.0000</w:t>
            </w:r>
          </w:p>
        </w:tc>
      </w:tr>
    </w:tbl>
    <w:p w14:paraId="1545F8AD" w14:textId="77777777" w:rsidR="00D27E36" w:rsidRPr="00BF1CC4" w:rsidRDefault="00D27E36" w:rsidP="008552A8">
      <w:pPr>
        <w:spacing w:after="80" w:line="360" w:lineRule="auto"/>
        <w:jc w:val="both"/>
        <w:rPr>
          <w:rFonts w:eastAsiaTheme="minorHAnsi"/>
          <w:b/>
        </w:rPr>
      </w:pPr>
    </w:p>
    <w:p w14:paraId="1B858A66" w14:textId="344E974D" w:rsidR="00B4583B" w:rsidRPr="00BF1CC4" w:rsidRDefault="00735DCF" w:rsidP="008552A8">
      <w:pPr>
        <w:spacing w:after="80" w:line="360" w:lineRule="auto"/>
        <w:jc w:val="both"/>
        <w:rPr>
          <w:rFonts w:eastAsiaTheme="minorHAnsi"/>
        </w:rPr>
      </w:pPr>
      <w:r w:rsidRPr="00BF1CC4">
        <w:rPr>
          <w:rFonts w:eastAsiaTheme="minorHAnsi"/>
        </w:rPr>
        <w:t xml:space="preserve">The results presented in Table </w:t>
      </w:r>
      <w:r w:rsidR="00AA45AE" w:rsidRPr="00BF1CC4">
        <w:rPr>
          <w:rFonts w:eastAsiaTheme="minorHAnsi"/>
        </w:rPr>
        <w:t>3</w:t>
      </w:r>
      <w:r w:rsidRPr="00BF1CC4">
        <w:rPr>
          <w:rFonts w:eastAsiaTheme="minorHAnsi"/>
        </w:rPr>
        <w:t xml:space="preserve"> are for Hausman test. The coefficients in first </w:t>
      </w:r>
      <w:r w:rsidR="00920CA5" w:rsidRPr="00BF1CC4">
        <w:rPr>
          <w:rFonts w:eastAsiaTheme="minorHAnsi"/>
        </w:rPr>
        <w:t>column are</w:t>
      </w:r>
      <w:r w:rsidRPr="00BF1CC4">
        <w:rPr>
          <w:rFonts w:eastAsiaTheme="minorHAnsi"/>
        </w:rPr>
        <w:t xml:space="preserve"> from fixed effects estimation and in the second columns</w:t>
      </w:r>
      <w:r w:rsidR="00AF6B42" w:rsidRPr="00BF1CC4">
        <w:rPr>
          <w:rFonts w:eastAsiaTheme="minorHAnsi"/>
        </w:rPr>
        <w:t xml:space="preserve"> </w:t>
      </w:r>
      <w:r w:rsidRPr="00BF1CC4">
        <w:rPr>
          <w:rFonts w:eastAsiaTheme="minorHAnsi"/>
        </w:rPr>
        <w:t xml:space="preserve">are from random effect model. </w:t>
      </w:r>
      <w:r w:rsidRPr="00BF1CC4">
        <w:rPr>
          <w:rFonts w:eastAsiaTheme="minorHAnsi"/>
        </w:rPr>
        <w:lastRenderedPageBreak/>
        <w:t xml:space="preserve">Hausman </w:t>
      </w:r>
      <w:r w:rsidR="00920CA5" w:rsidRPr="00BF1CC4">
        <w:rPr>
          <w:rFonts w:eastAsiaTheme="minorHAnsi"/>
        </w:rPr>
        <w:t>t</w:t>
      </w:r>
      <w:r w:rsidRPr="00BF1CC4">
        <w:rPr>
          <w:rFonts w:eastAsiaTheme="minorHAnsi"/>
        </w:rPr>
        <w:t xml:space="preserve">est measures the null hypothesis that there </w:t>
      </w:r>
      <w:r w:rsidR="00920CA5" w:rsidRPr="00BF1CC4">
        <w:rPr>
          <w:rFonts w:eastAsiaTheme="minorHAnsi"/>
        </w:rPr>
        <w:t>are</w:t>
      </w:r>
      <w:r w:rsidRPr="00BF1CC4">
        <w:rPr>
          <w:rFonts w:eastAsiaTheme="minorHAnsi"/>
        </w:rPr>
        <w:t xml:space="preserve"> non-systematic differences in coefficients (random effects are suitable) against the alternative that there are systematic differences in coefficients (Fixed effects are appropriate). The results showed that value for chi-square statistic is 35.08 and its probability is .0000&lt;.05. The null hypothesis was rejected and confirmed that the estimates from the fixed effects regression model were appropriate.</w:t>
      </w:r>
    </w:p>
    <w:p w14:paraId="607899DE" w14:textId="50FED188" w:rsidR="00735DCF" w:rsidRPr="00BF1CC4" w:rsidRDefault="00735DCF" w:rsidP="008552A8">
      <w:pPr>
        <w:pStyle w:val="Heading2"/>
        <w:spacing w:line="360" w:lineRule="auto"/>
        <w:rPr>
          <w:rFonts w:ascii="Times New Roman" w:hAnsi="Times New Roman" w:cs="Times New Roman"/>
          <w:color w:val="auto"/>
          <w:sz w:val="24"/>
          <w:szCs w:val="24"/>
        </w:rPr>
      </w:pPr>
      <w:bookmarkStart w:id="37" w:name="_Toc117954762"/>
      <w:bookmarkStart w:id="38" w:name="_Toc148807502"/>
      <w:r w:rsidRPr="00BF1CC4">
        <w:rPr>
          <w:rFonts w:ascii="Times New Roman" w:hAnsi="Times New Roman" w:cs="Times New Roman"/>
          <w:color w:val="auto"/>
          <w:sz w:val="24"/>
          <w:szCs w:val="24"/>
        </w:rPr>
        <w:t>4.</w:t>
      </w:r>
      <w:r w:rsidR="00607DF3" w:rsidRPr="00BF1CC4">
        <w:rPr>
          <w:rFonts w:ascii="Times New Roman" w:hAnsi="Times New Roman" w:cs="Times New Roman"/>
          <w:color w:val="auto"/>
          <w:sz w:val="24"/>
          <w:szCs w:val="24"/>
        </w:rPr>
        <w:t>3</w:t>
      </w:r>
      <w:r w:rsidRPr="00BF1CC4">
        <w:rPr>
          <w:rFonts w:ascii="Times New Roman" w:hAnsi="Times New Roman" w:cs="Times New Roman"/>
          <w:color w:val="auto"/>
          <w:sz w:val="24"/>
          <w:szCs w:val="24"/>
        </w:rPr>
        <w:t xml:space="preserve"> Fixed Effects Model Estimation</w:t>
      </w:r>
      <w:bookmarkEnd w:id="37"/>
      <w:bookmarkEnd w:id="38"/>
    </w:p>
    <w:p w14:paraId="318EFC3D" w14:textId="6B839CEF" w:rsidR="00AA45AE" w:rsidRPr="00BF1CC4" w:rsidRDefault="00735DCF" w:rsidP="008552A8">
      <w:pPr>
        <w:spacing w:line="360" w:lineRule="auto"/>
        <w:jc w:val="both"/>
      </w:pPr>
      <w:r w:rsidRPr="00BF1CC4">
        <w:t xml:space="preserve">Fixed effects models are consistent and efficient when the assumption of correlated individual-specific effects with the explanatory variables is met. These models tackle unobserved heterogeneity at the individual level by introducing dummy variables for each entity or individual, and they are estimated using methods such as the within transformation or the Least Squares Dummy Variable (LSDV) approach. </w:t>
      </w:r>
      <w:bookmarkStart w:id="39" w:name="_Toc117954786"/>
    </w:p>
    <w:p w14:paraId="0E2422DF" w14:textId="2F62071F" w:rsidR="00735DCF" w:rsidRPr="00BF1CC4" w:rsidRDefault="00DA5A19" w:rsidP="008552A8">
      <w:pPr>
        <w:pStyle w:val="Caption"/>
        <w:spacing w:line="360" w:lineRule="auto"/>
        <w:rPr>
          <w:rFonts w:eastAsiaTheme="minorEastAsia"/>
          <w:color w:val="auto"/>
          <w:sz w:val="24"/>
          <w:szCs w:val="24"/>
          <w:lang w:eastAsia="en-GB"/>
        </w:rPr>
      </w:pPr>
      <w:bookmarkStart w:id="40" w:name="_Toc148807318"/>
      <w:r w:rsidRPr="00BF1CC4">
        <w:rPr>
          <w:color w:val="auto"/>
          <w:sz w:val="24"/>
          <w:szCs w:val="24"/>
        </w:rPr>
        <w:t>Table 4</w:t>
      </w:r>
      <w:r w:rsidR="00735DCF" w:rsidRPr="00BF1CC4">
        <w:rPr>
          <w:color w:val="auto"/>
          <w:sz w:val="24"/>
          <w:szCs w:val="24"/>
        </w:rPr>
        <w:t xml:space="preserve">: </w:t>
      </w:r>
      <w:r w:rsidR="00E876F7" w:rsidRPr="00BF1CC4">
        <w:rPr>
          <w:color w:val="auto"/>
          <w:sz w:val="24"/>
          <w:szCs w:val="24"/>
        </w:rPr>
        <w:t xml:space="preserve">Regression </w:t>
      </w:r>
      <w:r w:rsidR="00735DCF" w:rsidRPr="00BF1CC4">
        <w:rPr>
          <w:color w:val="auto"/>
          <w:sz w:val="24"/>
          <w:szCs w:val="24"/>
        </w:rPr>
        <w:t>Results</w:t>
      </w:r>
      <w:bookmarkEnd w:id="39"/>
      <w:bookmarkEnd w:id="40"/>
    </w:p>
    <w:tbl>
      <w:tblPr>
        <w:tblW w:w="8778" w:type="dxa"/>
        <w:tblBorders>
          <w:bottom w:val="single" w:sz="4" w:space="0" w:color="auto"/>
        </w:tblBorders>
        <w:tblLayout w:type="fixed"/>
        <w:tblLook w:val="04A0" w:firstRow="1" w:lastRow="0" w:firstColumn="1" w:lastColumn="0" w:noHBand="0" w:noVBand="1"/>
      </w:tblPr>
      <w:tblGrid>
        <w:gridCol w:w="3258"/>
        <w:gridCol w:w="1848"/>
        <w:gridCol w:w="1410"/>
        <w:gridCol w:w="1191"/>
        <w:gridCol w:w="1071"/>
      </w:tblGrid>
      <w:tr w:rsidR="00BF1CC4" w:rsidRPr="00BF1CC4" w14:paraId="3DEDAEDD" w14:textId="77777777" w:rsidTr="00735DCF">
        <w:trPr>
          <w:trHeight w:val="19"/>
        </w:trPr>
        <w:tc>
          <w:tcPr>
            <w:tcW w:w="3258" w:type="dxa"/>
            <w:tcBorders>
              <w:top w:val="single" w:sz="4" w:space="0" w:color="auto"/>
              <w:bottom w:val="nil"/>
            </w:tcBorders>
          </w:tcPr>
          <w:p w14:paraId="1B5A768B" w14:textId="77777777" w:rsidR="00735DCF" w:rsidRPr="00BF1CC4" w:rsidRDefault="00735DCF" w:rsidP="008552A8">
            <w:pPr>
              <w:spacing w:line="360" w:lineRule="auto"/>
              <w:jc w:val="both"/>
              <w:rPr>
                <w:rFonts w:eastAsiaTheme="minorHAnsi"/>
              </w:rPr>
            </w:pPr>
            <w:bookmarkStart w:id="41" w:name="_Toc33531041"/>
            <w:bookmarkStart w:id="42" w:name="_Toc33532831"/>
            <w:bookmarkStart w:id="43" w:name="_Toc34480932"/>
            <w:r w:rsidRPr="00BF1CC4">
              <w:rPr>
                <w:rFonts w:eastAsiaTheme="minorHAnsi"/>
              </w:rPr>
              <w:t>Fixed effects regression</w:t>
            </w:r>
          </w:p>
        </w:tc>
        <w:tc>
          <w:tcPr>
            <w:tcW w:w="5520" w:type="dxa"/>
            <w:gridSpan w:val="4"/>
            <w:tcBorders>
              <w:top w:val="single" w:sz="4" w:space="0" w:color="auto"/>
              <w:bottom w:val="nil"/>
            </w:tcBorders>
          </w:tcPr>
          <w:p w14:paraId="78826871" w14:textId="77777777" w:rsidR="00735DCF" w:rsidRPr="00BF1CC4" w:rsidRDefault="00735DCF" w:rsidP="008552A8">
            <w:pPr>
              <w:spacing w:line="360" w:lineRule="auto"/>
              <w:jc w:val="both"/>
              <w:rPr>
                <w:rFonts w:eastAsiaTheme="minorHAnsi"/>
              </w:rPr>
            </w:pPr>
            <w:r w:rsidRPr="00BF1CC4">
              <w:rPr>
                <w:rFonts w:eastAsiaTheme="minorHAnsi"/>
              </w:rPr>
              <w:t>Number of observations =  87</w:t>
            </w:r>
          </w:p>
        </w:tc>
      </w:tr>
      <w:tr w:rsidR="00BF1CC4" w:rsidRPr="00BF1CC4" w14:paraId="5672EB0D" w14:textId="77777777" w:rsidTr="00735DCF">
        <w:trPr>
          <w:trHeight w:val="19"/>
        </w:trPr>
        <w:tc>
          <w:tcPr>
            <w:tcW w:w="3258" w:type="dxa"/>
            <w:tcBorders>
              <w:top w:val="nil"/>
            </w:tcBorders>
          </w:tcPr>
          <w:p w14:paraId="625A18D8" w14:textId="77777777" w:rsidR="00735DCF" w:rsidRPr="00BF1CC4" w:rsidRDefault="00735DCF" w:rsidP="008552A8">
            <w:pPr>
              <w:spacing w:line="360" w:lineRule="auto"/>
              <w:jc w:val="both"/>
              <w:rPr>
                <w:rFonts w:eastAsiaTheme="minorHAnsi"/>
              </w:rPr>
            </w:pPr>
            <w:r w:rsidRPr="00BF1CC4">
              <w:rPr>
                <w:rFonts w:eastAsiaTheme="minorHAnsi"/>
              </w:rPr>
              <w:t>Group variable: Year</w:t>
            </w:r>
          </w:p>
        </w:tc>
        <w:tc>
          <w:tcPr>
            <w:tcW w:w="5520" w:type="dxa"/>
            <w:gridSpan w:val="4"/>
            <w:tcBorders>
              <w:top w:val="nil"/>
            </w:tcBorders>
          </w:tcPr>
          <w:p w14:paraId="3577F807" w14:textId="77777777" w:rsidR="00735DCF" w:rsidRPr="00BF1CC4" w:rsidRDefault="00735DCF" w:rsidP="008552A8">
            <w:pPr>
              <w:spacing w:line="360" w:lineRule="auto"/>
              <w:jc w:val="both"/>
              <w:rPr>
                <w:rFonts w:eastAsiaTheme="minorHAnsi"/>
              </w:rPr>
            </w:pPr>
            <w:r w:rsidRPr="00BF1CC4">
              <w:rPr>
                <w:rFonts w:eastAsiaTheme="minorHAnsi"/>
              </w:rPr>
              <w:t xml:space="preserve">Number of Groups:   9  </w:t>
            </w:r>
          </w:p>
        </w:tc>
      </w:tr>
      <w:tr w:rsidR="00BF1CC4" w:rsidRPr="00BF1CC4" w14:paraId="4D05EF33" w14:textId="77777777" w:rsidTr="00735DCF">
        <w:trPr>
          <w:trHeight w:val="19"/>
        </w:trPr>
        <w:tc>
          <w:tcPr>
            <w:tcW w:w="3258" w:type="dxa"/>
          </w:tcPr>
          <w:p w14:paraId="11B028A5" w14:textId="77777777" w:rsidR="00735DCF" w:rsidRPr="00BF1CC4" w:rsidRDefault="00735DCF" w:rsidP="008552A8">
            <w:pPr>
              <w:spacing w:line="360" w:lineRule="auto"/>
              <w:jc w:val="both"/>
              <w:rPr>
                <w:rFonts w:eastAsiaTheme="minorHAnsi"/>
              </w:rPr>
            </w:pPr>
          </w:p>
        </w:tc>
        <w:tc>
          <w:tcPr>
            <w:tcW w:w="5520" w:type="dxa"/>
            <w:gridSpan w:val="4"/>
          </w:tcPr>
          <w:p w14:paraId="2E13EA08" w14:textId="77777777" w:rsidR="00735DCF" w:rsidRPr="00BF1CC4" w:rsidRDefault="00735DCF" w:rsidP="008552A8">
            <w:pPr>
              <w:spacing w:line="360" w:lineRule="auto"/>
              <w:jc w:val="both"/>
              <w:rPr>
                <w:rFonts w:eastAsiaTheme="minorHAnsi"/>
              </w:rPr>
            </w:pPr>
          </w:p>
        </w:tc>
      </w:tr>
      <w:tr w:rsidR="00BF1CC4" w:rsidRPr="00BF1CC4" w14:paraId="2B130349" w14:textId="77777777" w:rsidTr="00735DCF">
        <w:trPr>
          <w:trHeight w:val="19"/>
        </w:trPr>
        <w:tc>
          <w:tcPr>
            <w:tcW w:w="3258" w:type="dxa"/>
          </w:tcPr>
          <w:p w14:paraId="77B65D80" w14:textId="77777777" w:rsidR="00735DCF" w:rsidRPr="00BF1CC4" w:rsidRDefault="00735DCF" w:rsidP="008552A8">
            <w:pPr>
              <w:spacing w:line="360" w:lineRule="auto"/>
              <w:jc w:val="both"/>
              <w:rPr>
                <w:rFonts w:eastAsiaTheme="minorHAnsi"/>
              </w:rPr>
            </w:pPr>
            <w:r w:rsidRPr="00BF1CC4">
              <w:rPr>
                <w:rFonts w:eastAsiaTheme="minorHAnsi"/>
              </w:rPr>
              <w:t>R-sq within = 0.9336</w:t>
            </w:r>
          </w:p>
        </w:tc>
        <w:tc>
          <w:tcPr>
            <w:tcW w:w="3258" w:type="dxa"/>
            <w:gridSpan w:val="2"/>
          </w:tcPr>
          <w:p w14:paraId="2A2DFFDF" w14:textId="77777777" w:rsidR="00735DCF" w:rsidRPr="00BF1CC4" w:rsidRDefault="00735DCF" w:rsidP="008552A8">
            <w:pPr>
              <w:spacing w:line="360" w:lineRule="auto"/>
              <w:jc w:val="both"/>
              <w:rPr>
                <w:rFonts w:eastAsiaTheme="minorHAnsi"/>
              </w:rPr>
            </w:pPr>
            <w:r w:rsidRPr="00BF1CC4">
              <w:rPr>
                <w:rFonts w:eastAsiaTheme="minorHAnsi"/>
              </w:rPr>
              <w:t>Observations per group:</w:t>
            </w:r>
          </w:p>
        </w:tc>
        <w:tc>
          <w:tcPr>
            <w:tcW w:w="2262" w:type="dxa"/>
            <w:gridSpan w:val="2"/>
          </w:tcPr>
          <w:p w14:paraId="41BDD7F7" w14:textId="77777777" w:rsidR="00735DCF" w:rsidRPr="00BF1CC4" w:rsidRDefault="00735DCF" w:rsidP="008552A8">
            <w:pPr>
              <w:spacing w:line="360" w:lineRule="auto"/>
              <w:jc w:val="both"/>
              <w:rPr>
                <w:rFonts w:eastAsiaTheme="minorHAnsi"/>
              </w:rPr>
            </w:pPr>
            <w:r w:rsidRPr="00BF1CC4">
              <w:rPr>
                <w:rFonts w:eastAsiaTheme="minorHAnsi"/>
              </w:rPr>
              <w:t>Minimum       =  8</w:t>
            </w:r>
          </w:p>
        </w:tc>
      </w:tr>
      <w:tr w:rsidR="00BF1CC4" w:rsidRPr="00BF1CC4" w14:paraId="2BEC49A9" w14:textId="77777777" w:rsidTr="00735DCF">
        <w:trPr>
          <w:trHeight w:val="19"/>
        </w:trPr>
        <w:tc>
          <w:tcPr>
            <w:tcW w:w="3258" w:type="dxa"/>
          </w:tcPr>
          <w:p w14:paraId="1371D838" w14:textId="77777777" w:rsidR="00735DCF" w:rsidRPr="00BF1CC4" w:rsidRDefault="00735DCF" w:rsidP="008552A8">
            <w:pPr>
              <w:spacing w:line="360" w:lineRule="auto"/>
              <w:jc w:val="both"/>
              <w:rPr>
                <w:rFonts w:eastAsiaTheme="minorHAnsi"/>
              </w:rPr>
            </w:pPr>
            <w:r w:rsidRPr="00BF1CC4">
              <w:rPr>
                <w:rFonts w:eastAsiaTheme="minorHAnsi"/>
              </w:rPr>
              <w:t>Between      = 0.0174</w:t>
            </w:r>
          </w:p>
        </w:tc>
        <w:tc>
          <w:tcPr>
            <w:tcW w:w="3258" w:type="dxa"/>
            <w:gridSpan w:val="2"/>
          </w:tcPr>
          <w:p w14:paraId="1180A7E0" w14:textId="77777777" w:rsidR="00735DCF" w:rsidRPr="00BF1CC4" w:rsidRDefault="00735DCF" w:rsidP="008552A8">
            <w:pPr>
              <w:spacing w:line="360" w:lineRule="auto"/>
              <w:jc w:val="both"/>
              <w:rPr>
                <w:rFonts w:eastAsiaTheme="minorHAnsi"/>
              </w:rPr>
            </w:pPr>
          </w:p>
        </w:tc>
        <w:tc>
          <w:tcPr>
            <w:tcW w:w="2262" w:type="dxa"/>
            <w:gridSpan w:val="2"/>
          </w:tcPr>
          <w:p w14:paraId="0FB4F373" w14:textId="77777777" w:rsidR="00735DCF" w:rsidRPr="00BF1CC4" w:rsidRDefault="00735DCF" w:rsidP="008552A8">
            <w:pPr>
              <w:spacing w:line="360" w:lineRule="auto"/>
              <w:jc w:val="both"/>
              <w:rPr>
                <w:rFonts w:eastAsiaTheme="minorHAnsi"/>
              </w:rPr>
            </w:pPr>
            <w:r w:rsidRPr="00BF1CC4">
              <w:rPr>
                <w:rFonts w:eastAsiaTheme="minorHAnsi"/>
              </w:rPr>
              <w:t>Average         = 9.7</w:t>
            </w:r>
          </w:p>
        </w:tc>
      </w:tr>
      <w:tr w:rsidR="00BF1CC4" w:rsidRPr="00BF1CC4" w14:paraId="3B5AA556" w14:textId="77777777" w:rsidTr="00735DCF">
        <w:trPr>
          <w:trHeight w:val="19"/>
        </w:trPr>
        <w:tc>
          <w:tcPr>
            <w:tcW w:w="3258" w:type="dxa"/>
          </w:tcPr>
          <w:p w14:paraId="22D2ABCB" w14:textId="77777777" w:rsidR="00735DCF" w:rsidRPr="00BF1CC4" w:rsidRDefault="00735DCF" w:rsidP="008552A8">
            <w:pPr>
              <w:spacing w:line="360" w:lineRule="auto"/>
              <w:jc w:val="both"/>
              <w:rPr>
                <w:rFonts w:eastAsiaTheme="minorHAnsi"/>
              </w:rPr>
            </w:pPr>
            <w:r w:rsidRPr="00BF1CC4">
              <w:rPr>
                <w:rFonts w:eastAsiaTheme="minorHAnsi"/>
              </w:rPr>
              <w:t xml:space="preserve">Overall        = 0.5162  </w:t>
            </w:r>
          </w:p>
        </w:tc>
        <w:tc>
          <w:tcPr>
            <w:tcW w:w="3258" w:type="dxa"/>
            <w:gridSpan w:val="2"/>
          </w:tcPr>
          <w:p w14:paraId="07154498" w14:textId="77777777" w:rsidR="00735DCF" w:rsidRPr="00BF1CC4" w:rsidRDefault="00735DCF" w:rsidP="008552A8">
            <w:pPr>
              <w:spacing w:line="360" w:lineRule="auto"/>
              <w:jc w:val="both"/>
              <w:rPr>
                <w:rFonts w:eastAsiaTheme="minorHAnsi"/>
              </w:rPr>
            </w:pPr>
          </w:p>
        </w:tc>
        <w:tc>
          <w:tcPr>
            <w:tcW w:w="2262" w:type="dxa"/>
            <w:gridSpan w:val="2"/>
          </w:tcPr>
          <w:p w14:paraId="55F53763" w14:textId="77777777" w:rsidR="00735DCF" w:rsidRPr="00BF1CC4" w:rsidRDefault="00735DCF" w:rsidP="008552A8">
            <w:pPr>
              <w:spacing w:line="360" w:lineRule="auto"/>
              <w:jc w:val="both"/>
              <w:rPr>
                <w:rFonts w:eastAsiaTheme="minorHAnsi"/>
              </w:rPr>
            </w:pPr>
            <w:r w:rsidRPr="00BF1CC4">
              <w:rPr>
                <w:rFonts w:eastAsiaTheme="minorHAnsi"/>
              </w:rPr>
              <w:t>Maximum      = 9</w:t>
            </w:r>
          </w:p>
        </w:tc>
      </w:tr>
      <w:tr w:rsidR="00BF1CC4" w:rsidRPr="00BF1CC4" w14:paraId="3CF538F1" w14:textId="77777777" w:rsidTr="00735DCF">
        <w:trPr>
          <w:trHeight w:val="19"/>
        </w:trPr>
        <w:tc>
          <w:tcPr>
            <w:tcW w:w="3258" w:type="dxa"/>
          </w:tcPr>
          <w:p w14:paraId="1F859BF3" w14:textId="77777777" w:rsidR="00735DCF" w:rsidRPr="00BF1CC4" w:rsidRDefault="00735DCF" w:rsidP="008552A8">
            <w:pPr>
              <w:spacing w:line="360" w:lineRule="auto"/>
              <w:jc w:val="both"/>
              <w:rPr>
                <w:rFonts w:eastAsiaTheme="minorHAnsi"/>
              </w:rPr>
            </w:pPr>
          </w:p>
        </w:tc>
        <w:tc>
          <w:tcPr>
            <w:tcW w:w="3258" w:type="dxa"/>
            <w:gridSpan w:val="2"/>
          </w:tcPr>
          <w:p w14:paraId="63BC8C99" w14:textId="77777777" w:rsidR="00735DCF" w:rsidRPr="00BF1CC4" w:rsidRDefault="00735DCF" w:rsidP="008552A8">
            <w:pPr>
              <w:spacing w:line="360" w:lineRule="auto"/>
              <w:jc w:val="both"/>
              <w:rPr>
                <w:rFonts w:eastAsiaTheme="minorHAnsi"/>
              </w:rPr>
            </w:pPr>
            <w:r w:rsidRPr="00BF1CC4">
              <w:rPr>
                <w:rFonts w:eastAsiaTheme="minorHAnsi"/>
              </w:rPr>
              <w:t xml:space="preserve">              F(7,71)</w:t>
            </w:r>
          </w:p>
        </w:tc>
        <w:tc>
          <w:tcPr>
            <w:tcW w:w="2262" w:type="dxa"/>
            <w:gridSpan w:val="2"/>
          </w:tcPr>
          <w:p w14:paraId="536AA2D2" w14:textId="77777777" w:rsidR="00735DCF" w:rsidRPr="00BF1CC4" w:rsidRDefault="00735DCF" w:rsidP="008552A8">
            <w:pPr>
              <w:spacing w:line="360" w:lineRule="auto"/>
              <w:jc w:val="both"/>
              <w:rPr>
                <w:rFonts w:eastAsiaTheme="minorHAnsi"/>
              </w:rPr>
            </w:pPr>
            <w:r w:rsidRPr="00BF1CC4">
              <w:rPr>
                <w:rFonts w:eastAsiaTheme="minorHAnsi"/>
              </w:rPr>
              <w:t>= 142.55</w:t>
            </w:r>
          </w:p>
        </w:tc>
      </w:tr>
      <w:tr w:rsidR="00BF1CC4" w:rsidRPr="00BF1CC4" w14:paraId="234E78D1" w14:textId="77777777" w:rsidTr="00735DCF">
        <w:trPr>
          <w:trHeight w:val="19"/>
        </w:trPr>
        <w:tc>
          <w:tcPr>
            <w:tcW w:w="3258" w:type="dxa"/>
            <w:tcBorders>
              <w:bottom w:val="single" w:sz="4" w:space="0" w:color="auto"/>
            </w:tcBorders>
          </w:tcPr>
          <w:p w14:paraId="2696498C" w14:textId="77777777" w:rsidR="00735DCF" w:rsidRPr="00BF1CC4" w:rsidRDefault="00735DCF" w:rsidP="008552A8">
            <w:pPr>
              <w:spacing w:line="360" w:lineRule="auto"/>
              <w:jc w:val="both"/>
              <w:rPr>
                <w:rFonts w:eastAsiaTheme="minorHAnsi"/>
              </w:rPr>
            </w:pPr>
            <w:r w:rsidRPr="00BF1CC4">
              <w:rPr>
                <w:rFonts w:eastAsiaTheme="minorHAnsi"/>
              </w:rPr>
              <w:t xml:space="preserve">Corr = -0.6910  </w:t>
            </w:r>
          </w:p>
        </w:tc>
        <w:tc>
          <w:tcPr>
            <w:tcW w:w="3258" w:type="dxa"/>
            <w:gridSpan w:val="2"/>
            <w:tcBorders>
              <w:bottom w:val="single" w:sz="4" w:space="0" w:color="auto"/>
            </w:tcBorders>
          </w:tcPr>
          <w:p w14:paraId="6E904B16" w14:textId="77777777" w:rsidR="00735DCF" w:rsidRPr="00BF1CC4" w:rsidRDefault="00735DCF" w:rsidP="008552A8">
            <w:pPr>
              <w:spacing w:line="360" w:lineRule="auto"/>
              <w:jc w:val="both"/>
              <w:rPr>
                <w:rFonts w:eastAsiaTheme="minorHAnsi"/>
              </w:rPr>
            </w:pPr>
            <w:r w:rsidRPr="00BF1CC4">
              <w:rPr>
                <w:rFonts w:eastAsiaTheme="minorHAnsi"/>
              </w:rPr>
              <w:t>Prob &gt; F</w:t>
            </w:r>
          </w:p>
        </w:tc>
        <w:tc>
          <w:tcPr>
            <w:tcW w:w="2262" w:type="dxa"/>
            <w:gridSpan w:val="2"/>
            <w:tcBorders>
              <w:bottom w:val="single" w:sz="4" w:space="0" w:color="auto"/>
            </w:tcBorders>
          </w:tcPr>
          <w:p w14:paraId="309D72EB" w14:textId="77777777" w:rsidR="00735DCF" w:rsidRPr="00BF1CC4" w:rsidRDefault="00735DCF" w:rsidP="008552A8">
            <w:pPr>
              <w:spacing w:line="360" w:lineRule="auto"/>
              <w:jc w:val="both"/>
              <w:rPr>
                <w:rFonts w:eastAsiaTheme="minorHAnsi"/>
              </w:rPr>
            </w:pPr>
            <w:r w:rsidRPr="00BF1CC4">
              <w:rPr>
                <w:rFonts w:eastAsiaTheme="minorHAnsi"/>
              </w:rPr>
              <w:t>=  0.0000</w:t>
            </w:r>
          </w:p>
        </w:tc>
      </w:tr>
      <w:tr w:rsidR="00BF1CC4" w:rsidRPr="00BF1CC4" w14:paraId="0B0F0295" w14:textId="77777777" w:rsidTr="00735DCF">
        <w:trPr>
          <w:trHeight w:val="19"/>
        </w:trPr>
        <w:tc>
          <w:tcPr>
            <w:tcW w:w="3258" w:type="dxa"/>
            <w:tcBorders>
              <w:top w:val="single" w:sz="4" w:space="0" w:color="auto"/>
              <w:bottom w:val="single" w:sz="4" w:space="0" w:color="auto"/>
            </w:tcBorders>
          </w:tcPr>
          <w:p w14:paraId="147D9C6E" w14:textId="77777777" w:rsidR="00735DCF" w:rsidRPr="00BF1CC4" w:rsidRDefault="00735DCF" w:rsidP="008552A8">
            <w:pPr>
              <w:spacing w:line="360" w:lineRule="auto"/>
              <w:jc w:val="both"/>
              <w:rPr>
                <w:rFonts w:eastAsiaTheme="minorHAnsi"/>
                <w:b/>
                <w:bCs/>
              </w:rPr>
            </w:pPr>
            <w:r w:rsidRPr="00BF1CC4">
              <w:rPr>
                <w:rFonts w:eastAsiaTheme="minorHAnsi"/>
                <w:b/>
                <w:bCs/>
              </w:rPr>
              <w:t>LNGCP</w:t>
            </w:r>
          </w:p>
        </w:tc>
        <w:tc>
          <w:tcPr>
            <w:tcW w:w="1848" w:type="dxa"/>
            <w:tcBorders>
              <w:top w:val="single" w:sz="4" w:space="0" w:color="auto"/>
              <w:bottom w:val="single" w:sz="4" w:space="0" w:color="auto"/>
            </w:tcBorders>
          </w:tcPr>
          <w:p w14:paraId="31E6EBC6" w14:textId="77777777" w:rsidR="00735DCF" w:rsidRPr="00BF1CC4" w:rsidRDefault="00735DCF" w:rsidP="008552A8">
            <w:pPr>
              <w:spacing w:line="360" w:lineRule="auto"/>
              <w:jc w:val="both"/>
              <w:rPr>
                <w:rFonts w:eastAsiaTheme="minorHAnsi"/>
                <w:b/>
                <w:bCs/>
              </w:rPr>
            </w:pPr>
            <w:r w:rsidRPr="00BF1CC4">
              <w:rPr>
                <w:rFonts w:eastAsiaTheme="minorHAnsi"/>
                <w:b/>
                <w:bCs/>
              </w:rPr>
              <w:t>Coefficient</w:t>
            </w:r>
          </w:p>
        </w:tc>
        <w:tc>
          <w:tcPr>
            <w:tcW w:w="1410" w:type="dxa"/>
            <w:tcBorders>
              <w:top w:val="single" w:sz="4" w:space="0" w:color="auto"/>
              <w:bottom w:val="single" w:sz="4" w:space="0" w:color="auto"/>
            </w:tcBorders>
          </w:tcPr>
          <w:p w14:paraId="02EFCD2C" w14:textId="77777777" w:rsidR="00735DCF" w:rsidRPr="00BF1CC4" w:rsidRDefault="00735DCF" w:rsidP="008552A8">
            <w:pPr>
              <w:spacing w:line="360" w:lineRule="auto"/>
              <w:jc w:val="both"/>
              <w:rPr>
                <w:rFonts w:eastAsiaTheme="minorHAnsi"/>
                <w:b/>
                <w:bCs/>
              </w:rPr>
            </w:pPr>
            <w:r w:rsidRPr="00BF1CC4">
              <w:rPr>
                <w:rFonts w:eastAsiaTheme="minorHAnsi"/>
                <w:b/>
                <w:bCs/>
              </w:rPr>
              <w:t>Std. Error</w:t>
            </w:r>
          </w:p>
        </w:tc>
        <w:tc>
          <w:tcPr>
            <w:tcW w:w="1191" w:type="dxa"/>
            <w:tcBorders>
              <w:top w:val="single" w:sz="4" w:space="0" w:color="auto"/>
              <w:bottom w:val="single" w:sz="4" w:space="0" w:color="auto"/>
            </w:tcBorders>
          </w:tcPr>
          <w:p w14:paraId="449EB3FA" w14:textId="77777777" w:rsidR="00735DCF" w:rsidRPr="00BF1CC4" w:rsidRDefault="00735DCF" w:rsidP="008552A8">
            <w:pPr>
              <w:spacing w:line="360" w:lineRule="auto"/>
              <w:jc w:val="both"/>
              <w:rPr>
                <w:rFonts w:eastAsiaTheme="minorHAnsi"/>
                <w:b/>
                <w:bCs/>
              </w:rPr>
            </w:pPr>
            <w:r w:rsidRPr="00BF1CC4">
              <w:rPr>
                <w:rFonts w:eastAsiaTheme="minorHAnsi"/>
                <w:b/>
                <w:bCs/>
              </w:rPr>
              <w:t>T</w:t>
            </w:r>
          </w:p>
        </w:tc>
        <w:tc>
          <w:tcPr>
            <w:tcW w:w="1071" w:type="dxa"/>
            <w:tcBorders>
              <w:top w:val="single" w:sz="4" w:space="0" w:color="auto"/>
              <w:bottom w:val="single" w:sz="4" w:space="0" w:color="auto"/>
            </w:tcBorders>
          </w:tcPr>
          <w:p w14:paraId="176B50FF" w14:textId="77777777" w:rsidR="00735DCF" w:rsidRPr="00BF1CC4" w:rsidRDefault="00735DCF" w:rsidP="008552A8">
            <w:pPr>
              <w:spacing w:line="360" w:lineRule="auto"/>
              <w:jc w:val="both"/>
              <w:rPr>
                <w:rFonts w:eastAsiaTheme="minorHAnsi"/>
                <w:b/>
                <w:bCs/>
              </w:rPr>
            </w:pPr>
            <w:r w:rsidRPr="00BF1CC4">
              <w:rPr>
                <w:rFonts w:eastAsiaTheme="minorHAnsi"/>
                <w:b/>
                <w:bCs/>
              </w:rPr>
              <w:t>P &gt; |z|</w:t>
            </w:r>
          </w:p>
        </w:tc>
      </w:tr>
      <w:tr w:rsidR="00BF1CC4" w:rsidRPr="00BF1CC4" w14:paraId="3B01406C" w14:textId="77777777" w:rsidTr="00735DCF">
        <w:trPr>
          <w:trHeight w:val="19"/>
        </w:trPr>
        <w:tc>
          <w:tcPr>
            <w:tcW w:w="3258" w:type="dxa"/>
            <w:tcBorders>
              <w:top w:val="single" w:sz="4" w:space="0" w:color="auto"/>
            </w:tcBorders>
          </w:tcPr>
          <w:p w14:paraId="59E2CD98" w14:textId="77777777" w:rsidR="00735DCF" w:rsidRPr="00BF1CC4" w:rsidRDefault="00735DCF" w:rsidP="008552A8">
            <w:pPr>
              <w:spacing w:line="360" w:lineRule="auto"/>
              <w:jc w:val="both"/>
              <w:rPr>
                <w:rFonts w:eastAsiaTheme="minorHAnsi"/>
              </w:rPr>
            </w:pPr>
            <w:r w:rsidRPr="00BF1CC4">
              <w:t>BSIZE</w:t>
            </w:r>
          </w:p>
        </w:tc>
        <w:tc>
          <w:tcPr>
            <w:tcW w:w="1848" w:type="dxa"/>
            <w:tcBorders>
              <w:top w:val="single" w:sz="4" w:space="0" w:color="auto"/>
            </w:tcBorders>
          </w:tcPr>
          <w:p w14:paraId="6CF61449" w14:textId="248DED99" w:rsidR="00735DCF" w:rsidRPr="00BF1CC4" w:rsidRDefault="00920CA5" w:rsidP="008552A8">
            <w:pPr>
              <w:spacing w:line="360" w:lineRule="auto"/>
              <w:jc w:val="both"/>
              <w:rPr>
                <w:rFonts w:eastAsiaTheme="minorHAnsi"/>
              </w:rPr>
            </w:pPr>
            <w:r w:rsidRPr="00BF1CC4">
              <w:rPr>
                <w:rFonts w:eastAsiaTheme="minorHAnsi"/>
              </w:rPr>
              <w:t>0</w:t>
            </w:r>
            <w:r w:rsidR="00735DCF" w:rsidRPr="00BF1CC4">
              <w:rPr>
                <w:rFonts w:eastAsiaTheme="minorHAnsi"/>
              </w:rPr>
              <w:t>.063</w:t>
            </w:r>
          </w:p>
        </w:tc>
        <w:tc>
          <w:tcPr>
            <w:tcW w:w="1410" w:type="dxa"/>
            <w:tcBorders>
              <w:top w:val="single" w:sz="4" w:space="0" w:color="auto"/>
            </w:tcBorders>
          </w:tcPr>
          <w:p w14:paraId="37752D14" w14:textId="1DABEE4F" w:rsidR="00735DCF" w:rsidRPr="00BF1CC4" w:rsidRDefault="000C6258" w:rsidP="008552A8">
            <w:pPr>
              <w:spacing w:line="360" w:lineRule="auto"/>
              <w:jc w:val="both"/>
              <w:rPr>
                <w:rFonts w:eastAsiaTheme="minorHAnsi"/>
              </w:rPr>
            </w:pPr>
            <w:r w:rsidRPr="00BF1CC4">
              <w:rPr>
                <w:rFonts w:eastAsiaTheme="minorHAnsi"/>
              </w:rPr>
              <w:t>0</w:t>
            </w:r>
            <w:r w:rsidR="00735DCF" w:rsidRPr="00BF1CC4">
              <w:rPr>
                <w:rFonts w:eastAsiaTheme="minorHAnsi"/>
              </w:rPr>
              <w:t>.013</w:t>
            </w:r>
          </w:p>
        </w:tc>
        <w:tc>
          <w:tcPr>
            <w:tcW w:w="1191" w:type="dxa"/>
            <w:tcBorders>
              <w:top w:val="single" w:sz="4" w:space="0" w:color="auto"/>
            </w:tcBorders>
          </w:tcPr>
          <w:p w14:paraId="254F3C26" w14:textId="77777777" w:rsidR="00735DCF" w:rsidRPr="00BF1CC4" w:rsidRDefault="00735DCF" w:rsidP="008552A8">
            <w:pPr>
              <w:spacing w:line="360" w:lineRule="auto"/>
              <w:jc w:val="both"/>
              <w:rPr>
                <w:rFonts w:eastAsiaTheme="minorHAnsi"/>
              </w:rPr>
            </w:pPr>
            <w:r w:rsidRPr="00BF1CC4">
              <w:rPr>
                <w:rFonts w:eastAsiaTheme="minorHAnsi"/>
              </w:rPr>
              <w:t xml:space="preserve">4.72  </w:t>
            </w:r>
          </w:p>
        </w:tc>
        <w:tc>
          <w:tcPr>
            <w:tcW w:w="1071" w:type="dxa"/>
            <w:tcBorders>
              <w:top w:val="single" w:sz="4" w:space="0" w:color="auto"/>
            </w:tcBorders>
          </w:tcPr>
          <w:p w14:paraId="6BC33626" w14:textId="77777777" w:rsidR="00735DCF" w:rsidRPr="00BF1CC4" w:rsidRDefault="00735DCF" w:rsidP="008552A8">
            <w:pPr>
              <w:spacing w:line="360" w:lineRule="auto"/>
              <w:jc w:val="both"/>
              <w:rPr>
                <w:rFonts w:eastAsiaTheme="minorHAnsi"/>
              </w:rPr>
            </w:pPr>
            <w:r w:rsidRPr="00BF1CC4">
              <w:rPr>
                <w:rFonts w:eastAsiaTheme="minorHAnsi"/>
              </w:rPr>
              <w:t>0.000</w:t>
            </w:r>
          </w:p>
        </w:tc>
      </w:tr>
      <w:tr w:rsidR="00BF1CC4" w:rsidRPr="00BF1CC4" w14:paraId="70899B38" w14:textId="77777777" w:rsidTr="00735DCF">
        <w:trPr>
          <w:trHeight w:val="19"/>
        </w:trPr>
        <w:tc>
          <w:tcPr>
            <w:tcW w:w="3258" w:type="dxa"/>
          </w:tcPr>
          <w:p w14:paraId="3A114960" w14:textId="77777777" w:rsidR="00735DCF" w:rsidRPr="00BF1CC4" w:rsidRDefault="00735DCF" w:rsidP="008552A8">
            <w:pPr>
              <w:spacing w:line="360" w:lineRule="auto"/>
              <w:jc w:val="both"/>
              <w:rPr>
                <w:rFonts w:eastAsiaTheme="minorHAnsi"/>
              </w:rPr>
            </w:pPr>
            <w:r w:rsidRPr="00BF1CC4">
              <w:t>CAP</w:t>
            </w:r>
          </w:p>
        </w:tc>
        <w:tc>
          <w:tcPr>
            <w:tcW w:w="1848" w:type="dxa"/>
          </w:tcPr>
          <w:p w14:paraId="4438AF0F" w14:textId="1F011ECC" w:rsidR="00735DCF" w:rsidRPr="00BF1CC4" w:rsidRDefault="00735DCF" w:rsidP="008552A8">
            <w:pPr>
              <w:spacing w:line="360" w:lineRule="auto"/>
              <w:jc w:val="both"/>
              <w:rPr>
                <w:rFonts w:eastAsiaTheme="minorHAnsi"/>
              </w:rPr>
            </w:pPr>
            <w:r w:rsidRPr="00BF1CC4">
              <w:rPr>
                <w:rFonts w:eastAsiaTheme="minorHAnsi"/>
              </w:rPr>
              <w:t>7.73</w:t>
            </w:r>
            <w:r w:rsidR="00920CA5" w:rsidRPr="00BF1CC4">
              <w:rPr>
                <w:rFonts w:eastAsiaTheme="minorHAnsi"/>
              </w:rPr>
              <w:t>7</w:t>
            </w:r>
          </w:p>
        </w:tc>
        <w:tc>
          <w:tcPr>
            <w:tcW w:w="1410" w:type="dxa"/>
          </w:tcPr>
          <w:p w14:paraId="4DA09B5B" w14:textId="67E210A8" w:rsidR="00735DCF" w:rsidRPr="00BF1CC4" w:rsidRDefault="000C6258" w:rsidP="008552A8">
            <w:pPr>
              <w:spacing w:line="360" w:lineRule="auto"/>
              <w:jc w:val="both"/>
              <w:rPr>
                <w:rFonts w:eastAsiaTheme="minorHAnsi"/>
              </w:rPr>
            </w:pPr>
            <w:r w:rsidRPr="00BF1CC4">
              <w:rPr>
                <w:rFonts w:eastAsiaTheme="minorHAnsi"/>
              </w:rPr>
              <w:t>0</w:t>
            </w:r>
            <w:r w:rsidR="00735DCF" w:rsidRPr="00BF1CC4">
              <w:rPr>
                <w:rFonts w:eastAsiaTheme="minorHAnsi"/>
              </w:rPr>
              <w:t>.281</w:t>
            </w:r>
          </w:p>
        </w:tc>
        <w:tc>
          <w:tcPr>
            <w:tcW w:w="1191" w:type="dxa"/>
          </w:tcPr>
          <w:p w14:paraId="2574C1C9" w14:textId="77777777" w:rsidR="00735DCF" w:rsidRPr="00BF1CC4" w:rsidRDefault="00735DCF" w:rsidP="008552A8">
            <w:pPr>
              <w:spacing w:line="360" w:lineRule="auto"/>
              <w:jc w:val="both"/>
              <w:rPr>
                <w:rFonts w:eastAsiaTheme="minorHAnsi"/>
              </w:rPr>
            </w:pPr>
            <w:r w:rsidRPr="00BF1CC4">
              <w:rPr>
                <w:rFonts w:eastAsiaTheme="minorHAnsi"/>
              </w:rPr>
              <w:t>27.49</w:t>
            </w:r>
          </w:p>
        </w:tc>
        <w:tc>
          <w:tcPr>
            <w:tcW w:w="1071" w:type="dxa"/>
          </w:tcPr>
          <w:p w14:paraId="0B3AF9B0" w14:textId="77777777" w:rsidR="00735DCF" w:rsidRPr="00BF1CC4" w:rsidRDefault="00735DCF" w:rsidP="008552A8">
            <w:pPr>
              <w:spacing w:line="360" w:lineRule="auto"/>
              <w:jc w:val="both"/>
              <w:rPr>
                <w:rFonts w:eastAsiaTheme="minorHAnsi"/>
              </w:rPr>
            </w:pPr>
            <w:r w:rsidRPr="00BF1CC4">
              <w:rPr>
                <w:rFonts w:eastAsiaTheme="minorHAnsi"/>
              </w:rPr>
              <w:t>0.000</w:t>
            </w:r>
          </w:p>
        </w:tc>
      </w:tr>
      <w:tr w:rsidR="00BF1CC4" w:rsidRPr="00BF1CC4" w14:paraId="7322B8E2" w14:textId="77777777" w:rsidTr="00735DCF">
        <w:trPr>
          <w:trHeight w:val="19"/>
        </w:trPr>
        <w:tc>
          <w:tcPr>
            <w:tcW w:w="3258" w:type="dxa"/>
          </w:tcPr>
          <w:p w14:paraId="6A149BB7" w14:textId="77777777" w:rsidR="00735DCF" w:rsidRPr="00BF1CC4" w:rsidRDefault="00735DCF" w:rsidP="008552A8">
            <w:pPr>
              <w:spacing w:line="360" w:lineRule="auto"/>
              <w:jc w:val="both"/>
              <w:rPr>
                <w:rFonts w:eastAsiaTheme="minorHAnsi"/>
              </w:rPr>
            </w:pPr>
            <w:r w:rsidRPr="00BF1CC4">
              <w:t>TAXR</w:t>
            </w:r>
          </w:p>
        </w:tc>
        <w:tc>
          <w:tcPr>
            <w:tcW w:w="1848" w:type="dxa"/>
          </w:tcPr>
          <w:p w14:paraId="33A6BCBC" w14:textId="35FCF51C" w:rsidR="00735DCF" w:rsidRPr="00BF1CC4" w:rsidRDefault="00735DCF" w:rsidP="008552A8">
            <w:pPr>
              <w:spacing w:line="360" w:lineRule="auto"/>
              <w:jc w:val="both"/>
              <w:rPr>
                <w:rFonts w:eastAsiaTheme="minorHAnsi"/>
              </w:rPr>
            </w:pPr>
            <w:r w:rsidRPr="00BF1CC4">
              <w:rPr>
                <w:rFonts w:eastAsiaTheme="minorHAnsi"/>
              </w:rPr>
              <w:t>-</w:t>
            </w:r>
            <w:r w:rsidR="00920CA5" w:rsidRPr="00BF1CC4">
              <w:rPr>
                <w:rFonts w:eastAsiaTheme="minorHAnsi"/>
              </w:rPr>
              <w:t>0</w:t>
            </w:r>
            <w:r w:rsidRPr="00BF1CC4">
              <w:rPr>
                <w:rFonts w:eastAsiaTheme="minorHAnsi"/>
              </w:rPr>
              <w:t>.010</w:t>
            </w:r>
          </w:p>
        </w:tc>
        <w:tc>
          <w:tcPr>
            <w:tcW w:w="1410" w:type="dxa"/>
          </w:tcPr>
          <w:p w14:paraId="1EA33870" w14:textId="66A5F391" w:rsidR="00735DCF" w:rsidRPr="00BF1CC4" w:rsidRDefault="000C6258" w:rsidP="008552A8">
            <w:pPr>
              <w:spacing w:line="360" w:lineRule="auto"/>
              <w:jc w:val="both"/>
              <w:rPr>
                <w:rFonts w:eastAsiaTheme="minorHAnsi"/>
              </w:rPr>
            </w:pPr>
            <w:r w:rsidRPr="00BF1CC4">
              <w:rPr>
                <w:rFonts w:eastAsiaTheme="minorHAnsi"/>
              </w:rPr>
              <w:t>0</w:t>
            </w:r>
            <w:r w:rsidR="00735DCF" w:rsidRPr="00BF1CC4">
              <w:rPr>
                <w:rFonts w:eastAsiaTheme="minorHAnsi"/>
              </w:rPr>
              <w:t>.008</w:t>
            </w:r>
          </w:p>
        </w:tc>
        <w:tc>
          <w:tcPr>
            <w:tcW w:w="1191" w:type="dxa"/>
          </w:tcPr>
          <w:p w14:paraId="76B8E6BE" w14:textId="77777777" w:rsidR="00735DCF" w:rsidRPr="00BF1CC4" w:rsidRDefault="00735DCF" w:rsidP="008552A8">
            <w:pPr>
              <w:spacing w:line="360" w:lineRule="auto"/>
              <w:jc w:val="both"/>
              <w:rPr>
                <w:rFonts w:eastAsiaTheme="minorHAnsi"/>
              </w:rPr>
            </w:pPr>
            <w:r w:rsidRPr="00BF1CC4">
              <w:rPr>
                <w:rFonts w:eastAsiaTheme="minorHAnsi"/>
              </w:rPr>
              <w:t>-1.25</w:t>
            </w:r>
          </w:p>
        </w:tc>
        <w:tc>
          <w:tcPr>
            <w:tcW w:w="1071" w:type="dxa"/>
          </w:tcPr>
          <w:p w14:paraId="2E7900DC" w14:textId="77777777" w:rsidR="00735DCF" w:rsidRPr="00BF1CC4" w:rsidRDefault="00735DCF" w:rsidP="008552A8">
            <w:pPr>
              <w:spacing w:line="360" w:lineRule="auto"/>
              <w:jc w:val="both"/>
              <w:rPr>
                <w:rFonts w:eastAsiaTheme="minorHAnsi"/>
              </w:rPr>
            </w:pPr>
            <w:r w:rsidRPr="00BF1CC4">
              <w:rPr>
                <w:rFonts w:eastAsiaTheme="minorHAnsi"/>
              </w:rPr>
              <w:t>0.216</w:t>
            </w:r>
          </w:p>
        </w:tc>
      </w:tr>
      <w:tr w:rsidR="00BF1CC4" w:rsidRPr="00BF1CC4" w14:paraId="014F6FC0" w14:textId="77777777" w:rsidTr="00735DCF">
        <w:trPr>
          <w:trHeight w:val="19"/>
        </w:trPr>
        <w:tc>
          <w:tcPr>
            <w:tcW w:w="3258" w:type="dxa"/>
          </w:tcPr>
          <w:p w14:paraId="161BA273" w14:textId="77777777" w:rsidR="00735DCF" w:rsidRPr="00BF1CC4" w:rsidRDefault="00735DCF" w:rsidP="008552A8">
            <w:pPr>
              <w:spacing w:line="360" w:lineRule="auto"/>
              <w:jc w:val="both"/>
              <w:rPr>
                <w:rFonts w:eastAsiaTheme="minorHAnsi"/>
              </w:rPr>
            </w:pPr>
            <w:r w:rsidRPr="00BF1CC4">
              <w:t>CONC</w:t>
            </w:r>
          </w:p>
        </w:tc>
        <w:tc>
          <w:tcPr>
            <w:tcW w:w="1848" w:type="dxa"/>
          </w:tcPr>
          <w:p w14:paraId="3D33E26E" w14:textId="4453FA94" w:rsidR="00735DCF" w:rsidRPr="00BF1CC4" w:rsidRDefault="00735DCF" w:rsidP="008552A8">
            <w:pPr>
              <w:spacing w:line="360" w:lineRule="auto"/>
              <w:jc w:val="both"/>
              <w:rPr>
                <w:rFonts w:eastAsiaTheme="minorHAnsi"/>
              </w:rPr>
            </w:pPr>
            <w:r w:rsidRPr="00BF1CC4">
              <w:rPr>
                <w:rFonts w:eastAsiaTheme="minorHAnsi"/>
              </w:rPr>
              <w:t>-</w:t>
            </w:r>
            <w:r w:rsidR="00920CA5" w:rsidRPr="00BF1CC4">
              <w:rPr>
                <w:rFonts w:eastAsiaTheme="minorHAnsi"/>
              </w:rPr>
              <w:t>0</w:t>
            </w:r>
            <w:r w:rsidRPr="00BF1CC4">
              <w:rPr>
                <w:rFonts w:eastAsiaTheme="minorHAnsi"/>
              </w:rPr>
              <w:t>.001</w:t>
            </w:r>
          </w:p>
        </w:tc>
        <w:tc>
          <w:tcPr>
            <w:tcW w:w="1410" w:type="dxa"/>
          </w:tcPr>
          <w:p w14:paraId="0A8268D6" w14:textId="077DE928" w:rsidR="00735DCF" w:rsidRPr="00BF1CC4" w:rsidRDefault="000C6258" w:rsidP="008552A8">
            <w:pPr>
              <w:spacing w:line="360" w:lineRule="auto"/>
              <w:jc w:val="both"/>
              <w:rPr>
                <w:rFonts w:eastAsiaTheme="minorHAnsi"/>
              </w:rPr>
            </w:pPr>
            <w:r w:rsidRPr="00BF1CC4">
              <w:rPr>
                <w:rFonts w:eastAsiaTheme="minorHAnsi"/>
              </w:rPr>
              <w:t>0</w:t>
            </w:r>
            <w:r w:rsidR="00735DCF" w:rsidRPr="00BF1CC4">
              <w:rPr>
                <w:rFonts w:eastAsiaTheme="minorHAnsi"/>
              </w:rPr>
              <w:t>.00</w:t>
            </w:r>
            <w:r w:rsidR="00920CA5" w:rsidRPr="00BF1CC4">
              <w:rPr>
                <w:rFonts w:eastAsiaTheme="minorHAnsi"/>
              </w:rPr>
              <w:t>0</w:t>
            </w:r>
          </w:p>
        </w:tc>
        <w:tc>
          <w:tcPr>
            <w:tcW w:w="1191" w:type="dxa"/>
          </w:tcPr>
          <w:p w14:paraId="47FC892C" w14:textId="77777777" w:rsidR="00735DCF" w:rsidRPr="00BF1CC4" w:rsidRDefault="00735DCF" w:rsidP="008552A8">
            <w:pPr>
              <w:spacing w:line="360" w:lineRule="auto"/>
              <w:jc w:val="both"/>
              <w:rPr>
                <w:rFonts w:eastAsiaTheme="minorHAnsi"/>
              </w:rPr>
            </w:pPr>
            <w:r w:rsidRPr="00BF1CC4">
              <w:rPr>
                <w:rFonts w:eastAsiaTheme="minorHAnsi"/>
              </w:rPr>
              <w:t>-2.57</w:t>
            </w:r>
          </w:p>
        </w:tc>
        <w:tc>
          <w:tcPr>
            <w:tcW w:w="1071" w:type="dxa"/>
          </w:tcPr>
          <w:p w14:paraId="3E273600" w14:textId="77777777" w:rsidR="00735DCF" w:rsidRPr="00BF1CC4" w:rsidRDefault="00735DCF" w:rsidP="008552A8">
            <w:pPr>
              <w:spacing w:line="360" w:lineRule="auto"/>
              <w:jc w:val="both"/>
              <w:rPr>
                <w:rFonts w:eastAsiaTheme="minorHAnsi"/>
              </w:rPr>
            </w:pPr>
            <w:r w:rsidRPr="00BF1CC4">
              <w:rPr>
                <w:rFonts w:eastAsiaTheme="minorHAnsi"/>
              </w:rPr>
              <w:t>0.012</w:t>
            </w:r>
          </w:p>
        </w:tc>
      </w:tr>
      <w:tr w:rsidR="00BF1CC4" w:rsidRPr="00BF1CC4" w14:paraId="00824AAA" w14:textId="77777777" w:rsidTr="00735DCF">
        <w:trPr>
          <w:trHeight w:val="19"/>
        </w:trPr>
        <w:tc>
          <w:tcPr>
            <w:tcW w:w="3258" w:type="dxa"/>
          </w:tcPr>
          <w:p w14:paraId="5F7ED2BE" w14:textId="77777777" w:rsidR="00735DCF" w:rsidRPr="00BF1CC4" w:rsidRDefault="00735DCF" w:rsidP="008552A8">
            <w:pPr>
              <w:spacing w:line="360" w:lineRule="auto"/>
              <w:jc w:val="both"/>
              <w:rPr>
                <w:rFonts w:eastAsiaTheme="minorHAnsi"/>
              </w:rPr>
            </w:pPr>
            <w:r w:rsidRPr="00BF1CC4">
              <w:t>INFL</w:t>
            </w:r>
          </w:p>
        </w:tc>
        <w:tc>
          <w:tcPr>
            <w:tcW w:w="1848" w:type="dxa"/>
          </w:tcPr>
          <w:p w14:paraId="1F67B37F" w14:textId="715DC935" w:rsidR="00735DCF" w:rsidRPr="00BF1CC4" w:rsidRDefault="00920CA5" w:rsidP="008552A8">
            <w:pPr>
              <w:spacing w:line="360" w:lineRule="auto"/>
              <w:jc w:val="both"/>
              <w:rPr>
                <w:rFonts w:eastAsiaTheme="minorHAnsi"/>
              </w:rPr>
            </w:pPr>
            <w:r w:rsidRPr="00BF1CC4">
              <w:rPr>
                <w:rFonts w:eastAsiaTheme="minorHAnsi"/>
              </w:rPr>
              <w:t>0</w:t>
            </w:r>
            <w:r w:rsidR="00735DCF" w:rsidRPr="00BF1CC4">
              <w:rPr>
                <w:rFonts w:eastAsiaTheme="minorHAnsi"/>
              </w:rPr>
              <w:t>.002</w:t>
            </w:r>
          </w:p>
        </w:tc>
        <w:tc>
          <w:tcPr>
            <w:tcW w:w="1410" w:type="dxa"/>
          </w:tcPr>
          <w:p w14:paraId="685DC05D" w14:textId="04665117" w:rsidR="00735DCF" w:rsidRPr="00BF1CC4" w:rsidRDefault="000C6258" w:rsidP="008552A8">
            <w:pPr>
              <w:spacing w:line="360" w:lineRule="auto"/>
              <w:jc w:val="both"/>
              <w:rPr>
                <w:rFonts w:eastAsiaTheme="minorHAnsi"/>
              </w:rPr>
            </w:pPr>
            <w:r w:rsidRPr="00BF1CC4">
              <w:rPr>
                <w:rFonts w:eastAsiaTheme="minorHAnsi"/>
              </w:rPr>
              <w:t>0</w:t>
            </w:r>
            <w:r w:rsidR="00735DCF" w:rsidRPr="00BF1CC4">
              <w:rPr>
                <w:rFonts w:eastAsiaTheme="minorHAnsi"/>
              </w:rPr>
              <w:t>.002</w:t>
            </w:r>
          </w:p>
        </w:tc>
        <w:tc>
          <w:tcPr>
            <w:tcW w:w="1191" w:type="dxa"/>
          </w:tcPr>
          <w:p w14:paraId="6FA99696" w14:textId="77777777" w:rsidR="00735DCF" w:rsidRPr="00BF1CC4" w:rsidRDefault="00735DCF" w:rsidP="008552A8">
            <w:pPr>
              <w:spacing w:line="360" w:lineRule="auto"/>
              <w:jc w:val="both"/>
              <w:rPr>
                <w:rFonts w:eastAsiaTheme="minorHAnsi"/>
              </w:rPr>
            </w:pPr>
            <w:r w:rsidRPr="00BF1CC4">
              <w:rPr>
                <w:rFonts w:eastAsiaTheme="minorHAnsi"/>
              </w:rPr>
              <w:t>1.42</w:t>
            </w:r>
          </w:p>
        </w:tc>
        <w:tc>
          <w:tcPr>
            <w:tcW w:w="1071" w:type="dxa"/>
          </w:tcPr>
          <w:p w14:paraId="5802DA6C" w14:textId="77777777" w:rsidR="00735DCF" w:rsidRPr="00BF1CC4" w:rsidRDefault="00735DCF" w:rsidP="008552A8">
            <w:pPr>
              <w:spacing w:line="360" w:lineRule="auto"/>
              <w:jc w:val="both"/>
              <w:rPr>
                <w:rFonts w:eastAsiaTheme="minorHAnsi"/>
              </w:rPr>
            </w:pPr>
            <w:r w:rsidRPr="00BF1CC4">
              <w:rPr>
                <w:rFonts w:eastAsiaTheme="minorHAnsi"/>
              </w:rPr>
              <w:t>0.159</w:t>
            </w:r>
          </w:p>
        </w:tc>
      </w:tr>
      <w:tr w:rsidR="00BF1CC4" w:rsidRPr="00BF1CC4" w14:paraId="4FAAA94C" w14:textId="77777777" w:rsidTr="00735DCF">
        <w:trPr>
          <w:trHeight w:val="19"/>
        </w:trPr>
        <w:tc>
          <w:tcPr>
            <w:tcW w:w="3258" w:type="dxa"/>
          </w:tcPr>
          <w:p w14:paraId="2176FEAD" w14:textId="77777777" w:rsidR="00735DCF" w:rsidRPr="00BF1CC4" w:rsidRDefault="00735DCF" w:rsidP="008552A8">
            <w:pPr>
              <w:spacing w:line="360" w:lineRule="auto"/>
              <w:jc w:val="both"/>
              <w:rPr>
                <w:rFonts w:eastAsiaTheme="minorHAnsi"/>
              </w:rPr>
            </w:pPr>
            <w:r w:rsidRPr="00BF1CC4">
              <w:t>LENR</w:t>
            </w:r>
          </w:p>
        </w:tc>
        <w:tc>
          <w:tcPr>
            <w:tcW w:w="1848" w:type="dxa"/>
          </w:tcPr>
          <w:p w14:paraId="6D14FF0C" w14:textId="2981BDDE" w:rsidR="00735DCF" w:rsidRPr="00BF1CC4" w:rsidRDefault="00735DCF" w:rsidP="008552A8">
            <w:pPr>
              <w:spacing w:line="360" w:lineRule="auto"/>
              <w:jc w:val="both"/>
              <w:rPr>
                <w:rFonts w:eastAsiaTheme="minorHAnsi"/>
              </w:rPr>
            </w:pPr>
            <w:r w:rsidRPr="00BF1CC4">
              <w:rPr>
                <w:rFonts w:eastAsiaTheme="minorHAnsi"/>
              </w:rPr>
              <w:t>-</w:t>
            </w:r>
            <w:r w:rsidR="00920CA5" w:rsidRPr="00BF1CC4">
              <w:rPr>
                <w:rFonts w:eastAsiaTheme="minorHAnsi"/>
              </w:rPr>
              <w:t>0</w:t>
            </w:r>
            <w:r w:rsidRPr="00BF1CC4">
              <w:rPr>
                <w:rFonts w:eastAsiaTheme="minorHAnsi"/>
              </w:rPr>
              <w:t>.002</w:t>
            </w:r>
          </w:p>
        </w:tc>
        <w:tc>
          <w:tcPr>
            <w:tcW w:w="1410" w:type="dxa"/>
          </w:tcPr>
          <w:p w14:paraId="598970A6" w14:textId="6441A39D" w:rsidR="00735DCF" w:rsidRPr="00BF1CC4" w:rsidRDefault="000C6258" w:rsidP="008552A8">
            <w:pPr>
              <w:spacing w:line="360" w:lineRule="auto"/>
              <w:jc w:val="both"/>
              <w:rPr>
                <w:rFonts w:eastAsiaTheme="minorHAnsi"/>
              </w:rPr>
            </w:pPr>
            <w:r w:rsidRPr="00BF1CC4">
              <w:rPr>
                <w:rFonts w:eastAsiaTheme="minorHAnsi"/>
              </w:rPr>
              <w:t>0</w:t>
            </w:r>
            <w:r w:rsidR="00735DCF" w:rsidRPr="00BF1CC4">
              <w:rPr>
                <w:rFonts w:eastAsiaTheme="minorHAnsi"/>
              </w:rPr>
              <w:t>.002</w:t>
            </w:r>
          </w:p>
        </w:tc>
        <w:tc>
          <w:tcPr>
            <w:tcW w:w="1191" w:type="dxa"/>
          </w:tcPr>
          <w:p w14:paraId="08B36726" w14:textId="77777777" w:rsidR="00735DCF" w:rsidRPr="00BF1CC4" w:rsidRDefault="00735DCF" w:rsidP="008552A8">
            <w:pPr>
              <w:spacing w:line="360" w:lineRule="auto"/>
              <w:jc w:val="both"/>
              <w:rPr>
                <w:rFonts w:eastAsiaTheme="minorHAnsi"/>
              </w:rPr>
            </w:pPr>
            <w:r w:rsidRPr="00BF1CC4">
              <w:rPr>
                <w:rFonts w:eastAsiaTheme="minorHAnsi"/>
              </w:rPr>
              <w:t xml:space="preserve">-0.98  </w:t>
            </w:r>
          </w:p>
        </w:tc>
        <w:tc>
          <w:tcPr>
            <w:tcW w:w="1071" w:type="dxa"/>
          </w:tcPr>
          <w:p w14:paraId="6588E449" w14:textId="77777777" w:rsidR="00735DCF" w:rsidRPr="00BF1CC4" w:rsidRDefault="00735DCF" w:rsidP="008552A8">
            <w:pPr>
              <w:spacing w:line="360" w:lineRule="auto"/>
              <w:jc w:val="both"/>
              <w:rPr>
                <w:rFonts w:eastAsiaTheme="minorHAnsi"/>
              </w:rPr>
            </w:pPr>
            <w:r w:rsidRPr="00BF1CC4">
              <w:rPr>
                <w:rFonts w:eastAsiaTheme="minorHAnsi"/>
              </w:rPr>
              <w:t xml:space="preserve">0.330  </w:t>
            </w:r>
          </w:p>
        </w:tc>
      </w:tr>
      <w:tr w:rsidR="00BF1CC4" w:rsidRPr="00BF1CC4" w14:paraId="5BC8D5C8" w14:textId="77777777" w:rsidTr="00735DCF">
        <w:trPr>
          <w:trHeight w:val="19"/>
        </w:trPr>
        <w:tc>
          <w:tcPr>
            <w:tcW w:w="3258" w:type="dxa"/>
            <w:tcBorders>
              <w:bottom w:val="nil"/>
            </w:tcBorders>
          </w:tcPr>
          <w:p w14:paraId="612DAE36" w14:textId="77777777" w:rsidR="00735DCF" w:rsidRPr="00BF1CC4" w:rsidRDefault="00735DCF" w:rsidP="008552A8">
            <w:pPr>
              <w:spacing w:line="360" w:lineRule="auto"/>
              <w:jc w:val="both"/>
              <w:rPr>
                <w:rFonts w:eastAsiaTheme="minorEastAsia"/>
              </w:rPr>
            </w:pPr>
            <w:r w:rsidRPr="00BF1CC4">
              <w:rPr>
                <w:rFonts w:eastAsiaTheme="minorEastAsia"/>
              </w:rPr>
              <w:t>DBTR</w:t>
            </w:r>
            <w:r w:rsidRPr="00BF1CC4">
              <w:rPr>
                <w:rFonts w:eastAsiaTheme="minorHAnsi"/>
              </w:rPr>
              <w:t xml:space="preserve">  </w:t>
            </w:r>
          </w:p>
        </w:tc>
        <w:tc>
          <w:tcPr>
            <w:tcW w:w="1848" w:type="dxa"/>
            <w:tcBorders>
              <w:bottom w:val="nil"/>
            </w:tcBorders>
          </w:tcPr>
          <w:p w14:paraId="30813325" w14:textId="0F7F80ED" w:rsidR="00735DCF" w:rsidRPr="00BF1CC4" w:rsidRDefault="00920CA5" w:rsidP="008552A8">
            <w:pPr>
              <w:spacing w:line="360" w:lineRule="auto"/>
              <w:jc w:val="both"/>
              <w:rPr>
                <w:rFonts w:eastAsiaTheme="minorHAnsi"/>
              </w:rPr>
            </w:pPr>
            <w:r w:rsidRPr="00BF1CC4">
              <w:rPr>
                <w:rFonts w:eastAsiaTheme="minorHAnsi"/>
              </w:rPr>
              <w:t>0</w:t>
            </w:r>
            <w:r w:rsidR="00735DCF" w:rsidRPr="00BF1CC4">
              <w:rPr>
                <w:rFonts w:eastAsiaTheme="minorHAnsi"/>
              </w:rPr>
              <w:t>.058</w:t>
            </w:r>
          </w:p>
        </w:tc>
        <w:tc>
          <w:tcPr>
            <w:tcW w:w="1410" w:type="dxa"/>
            <w:tcBorders>
              <w:bottom w:val="nil"/>
            </w:tcBorders>
          </w:tcPr>
          <w:p w14:paraId="6793F100" w14:textId="452EAA15" w:rsidR="00735DCF" w:rsidRPr="00BF1CC4" w:rsidRDefault="000C6258" w:rsidP="008552A8">
            <w:pPr>
              <w:spacing w:line="360" w:lineRule="auto"/>
              <w:jc w:val="both"/>
              <w:rPr>
                <w:rFonts w:eastAsiaTheme="minorHAnsi"/>
              </w:rPr>
            </w:pPr>
            <w:r w:rsidRPr="00BF1CC4">
              <w:rPr>
                <w:rFonts w:eastAsiaTheme="minorHAnsi"/>
              </w:rPr>
              <w:t>0</w:t>
            </w:r>
            <w:r w:rsidR="00735DCF" w:rsidRPr="00BF1CC4">
              <w:rPr>
                <w:rFonts w:eastAsiaTheme="minorHAnsi"/>
              </w:rPr>
              <w:t>.010</w:t>
            </w:r>
          </w:p>
        </w:tc>
        <w:tc>
          <w:tcPr>
            <w:tcW w:w="1191" w:type="dxa"/>
            <w:tcBorders>
              <w:bottom w:val="nil"/>
            </w:tcBorders>
          </w:tcPr>
          <w:p w14:paraId="31916FAF" w14:textId="77777777" w:rsidR="00735DCF" w:rsidRPr="00BF1CC4" w:rsidRDefault="00735DCF" w:rsidP="008552A8">
            <w:pPr>
              <w:spacing w:line="360" w:lineRule="auto"/>
              <w:jc w:val="both"/>
              <w:rPr>
                <w:rFonts w:eastAsiaTheme="minorHAnsi"/>
              </w:rPr>
            </w:pPr>
            <w:r w:rsidRPr="00BF1CC4">
              <w:rPr>
                <w:rFonts w:eastAsiaTheme="minorHAnsi"/>
              </w:rPr>
              <w:t>5.69</w:t>
            </w:r>
          </w:p>
        </w:tc>
        <w:tc>
          <w:tcPr>
            <w:tcW w:w="1071" w:type="dxa"/>
            <w:tcBorders>
              <w:bottom w:val="nil"/>
            </w:tcBorders>
          </w:tcPr>
          <w:p w14:paraId="33764885" w14:textId="77777777" w:rsidR="00735DCF" w:rsidRPr="00BF1CC4" w:rsidRDefault="00735DCF" w:rsidP="008552A8">
            <w:pPr>
              <w:spacing w:line="360" w:lineRule="auto"/>
              <w:jc w:val="both"/>
              <w:rPr>
                <w:rFonts w:eastAsiaTheme="minorHAnsi"/>
              </w:rPr>
            </w:pPr>
            <w:r w:rsidRPr="00BF1CC4">
              <w:rPr>
                <w:rFonts w:eastAsiaTheme="minorHAnsi"/>
              </w:rPr>
              <w:t>0.000</w:t>
            </w:r>
          </w:p>
        </w:tc>
      </w:tr>
      <w:tr w:rsidR="00BF1CC4" w:rsidRPr="00BF1CC4" w14:paraId="4DD2C5C8" w14:textId="77777777" w:rsidTr="00735DCF">
        <w:trPr>
          <w:trHeight w:val="19"/>
        </w:trPr>
        <w:tc>
          <w:tcPr>
            <w:tcW w:w="3258" w:type="dxa"/>
            <w:tcBorders>
              <w:top w:val="nil"/>
              <w:bottom w:val="single" w:sz="4" w:space="0" w:color="auto"/>
            </w:tcBorders>
          </w:tcPr>
          <w:p w14:paraId="42BE2DBA" w14:textId="77777777" w:rsidR="00735DCF" w:rsidRPr="00BF1CC4" w:rsidRDefault="00735DCF" w:rsidP="008552A8">
            <w:pPr>
              <w:spacing w:line="360" w:lineRule="auto"/>
              <w:jc w:val="both"/>
              <w:rPr>
                <w:rFonts w:eastAsiaTheme="minorHAnsi"/>
              </w:rPr>
            </w:pPr>
            <w:r w:rsidRPr="00BF1CC4">
              <w:rPr>
                <w:rFonts w:eastAsiaTheme="minorHAnsi"/>
              </w:rPr>
              <w:t>CONS</w:t>
            </w:r>
          </w:p>
        </w:tc>
        <w:tc>
          <w:tcPr>
            <w:tcW w:w="1848" w:type="dxa"/>
            <w:tcBorders>
              <w:top w:val="nil"/>
              <w:bottom w:val="single" w:sz="4" w:space="0" w:color="auto"/>
            </w:tcBorders>
          </w:tcPr>
          <w:p w14:paraId="14ED0AC5" w14:textId="73E0BB54" w:rsidR="00735DCF" w:rsidRPr="00BF1CC4" w:rsidRDefault="00920CA5" w:rsidP="008552A8">
            <w:pPr>
              <w:spacing w:line="360" w:lineRule="auto"/>
              <w:jc w:val="both"/>
              <w:rPr>
                <w:rFonts w:eastAsiaTheme="minorHAnsi"/>
              </w:rPr>
            </w:pPr>
            <w:r w:rsidRPr="00BF1CC4">
              <w:rPr>
                <w:rFonts w:eastAsiaTheme="minorHAnsi"/>
              </w:rPr>
              <w:t>0</w:t>
            </w:r>
            <w:r w:rsidR="00735DCF" w:rsidRPr="00BF1CC4">
              <w:rPr>
                <w:rFonts w:eastAsiaTheme="minorHAnsi"/>
              </w:rPr>
              <w:t>.726</w:t>
            </w:r>
          </w:p>
        </w:tc>
        <w:tc>
          <w:tcPr>
            <w:tcW w:w="1410" w:type="dxa"/>
            <w:tcBorders>
              <w:top w:val="nil"/>
              <w:bottom w:val="single" w:sz="4" w:space="0" w:color="auto"/>
            </w:tcBorders>
          </w:tcPr>
          <w:p w14:paraId="64C2E501" w14:textId="2A3FBE9F" w:rsidR="00735DCF" w:rsidRPr="00BF1CC4" w:rsidRDefault="000C6258" w:rsidP="008552A8">
            <w:pPr>
              <w:spacing w:line="360" w:lineRule="auto"/>
              <w:jc w:val="both"/>
              <w:rPr>
                <w:rFonts w:eastAsiaTheme="minorHAnsi"/>
              </w:rPr>
            </w:pPr>
            <w:r w:rsidRPr="00BF1CC4">
              <w:rPr>
                <w:rFonts w:eastAsiaTheme="minorHAnsi"/>
              </w:rPr>
              <w:t>0</w:t>
            </w:r>
            <w:r w:rsidR="00735DCF" w:rsidRPr="00BF1CC4">
              <w:rPr>
                <w:rFonts w:eastAsiaTheme="minorHAnsi"/>
              </w:rPr>
              <w:t>.283</w:t>
            </w:r>
          </w:p>
        </w:tc>
        <w:tc>
          <w:tcPr>
            <w:tcW w:w="1191" w:type="dxa"/>
            <w:tcBorders>
              <w:top w:val="nil"/>
              <w:bottom w:val="single" w:sz="4" w:space="0" w:color="auto"/>
            </w:tcBorders>
          </w:tcPr>
          <w:p w14:paraId="23D85578" w14:textId="77777777" w:rsidR="00735DCF" w:rsidRPr="00BF1CC4" w:rsidRDefault="00735DCF" w:rsidP="008552A8">
            <w:pPr>
              <w:spacing w:line="360" w:lineRule="auto"/>
              <w:jc w:val="both"/>
              <w:rPr>
                <w:rFonts w:eastAsiaTheme="minorHAnsi"/>
              </w:rPr>
            </w:pPr>
            <w:r w:rsidRPr="00BF1CC4">
              <w:rPr>
                <w:rFonts w:eastAsiaTheme="minorHAnsi"/>
              </w:rPr>
              <w:t>-3.54</w:t>
            </w:r>
          </w:p>
        </w:tc>
        <w:tc>
          <w:tcPr>
            <w:tcW w:w="1071" w:type="dxa"/>
            <w:tcBorders>
              <w:top w:val="nil"/>
              <w:bottom w:val="single" w:sz="4" w:space="0" w:color="auto"/>
            </w:tcBorders>
          </w:tcPr>
          <w:p w14:paraId="3D53AAF8" w14:textId="77777777" w:rsidR="00735DCF" w:rsidRPr="00BF1CC4" w:rsidRDefault="00735DCF" w:rsidP="008552A8">
            <w:pPr>
              <w:spacing w:line="360" w:lineRule="auto"/>
              <w:jc w:val="both"/>
              <w:rPr>
                <w:rFonts w:eastAsiaTheme="minorHAnsi"/>
              </w:rPr>
            </w:pPr>
            <w:r w:rsidRPr="00BF1CC4">
              <w:rPr>
                <w:rFonts w:eastAsiaTheme="minorHAnsi"/>
              </w:rPr>
              <w:t>0.001</w:t>
            </w:r>
          </w:p>
        </w:tc>
      </w:tr>
      <w:tr w:rsidR="00BF1CC4" w:rsidRPr="00BF1CC4" w14:paraId="593C0C46" w14:textId="77777777" w:rsidTr="00735DCF">
        <w:trPr>
          <w:trHeight w:val="19"/>
        </w:trPr>
        <w:tc>
          <w:tcPr>
            <w:tcW w:w="3258" w:type="dxa"/>
            <w:tcBorders>
              <w:top w:val="single" w:sz="4" w:space="0" w:color="auto"/>
              <w:bottom w:val="nil"/>
            </w:tcBorders>
          </w:tcPr>
          <w:p w14:paraId="29FA73C2" w14:textId="77777777" w:rsidR="00735DCF" w:rsidRPr="00BF1CC4" w:rsidRDefault="00735DCF" w:rsidP="008552A8">
            <w:pPr>
              <w:spacing w:line="360" w:lineRule="auto"/>
              <w:jc w:val="both"/>
              <w:rPr>
                <w:rFonts w:eastAsiaTheme="minorHAnsi"/>
              </w:rPr>
            </w:pPr>
            <w:r w:rsidRPr="00BF1CC4">
              <w:rPr>
                <w:rFonts w:eastAsiaTheme="minorHAnsi"/>
              </w:rPr>
              <w:t>Sigma_</w:t>
            </w:r>
            <w:r w:rsidRPr="00BF1CC4">
              <w:rPr>
                <w:rFonts w:eastAsiaTheme="minorHAnsi"/>
                <w:i/>
                <w:iCs/>
              </w:rPr>
              <w:t>u</w:t>
            </w:r>
            <w:r w:rsidRPr="00BF1CC4">
              <w:rPr>
                <w:rFonts w:eastAsiaTheme="minorHAnsi"/>
              </w:rPr>
              <w:t xml:space="preserve"> </w:t>
            </w:r>
          </w:p>
        </w:tc>
        <w:tc>
          <w:tcPr>
            <w:tcW w:w="1848" w:type="dxa"/>
            <w:tcBorders>
              <w:top w:val="single" w:sz="4" w:space="0" w:color="auto"/>
              <w:bottom w:val="nil"/>
            </w:tcBorders>
          </w:tcPr>
          <w:p w14:paraId="083794C0" w14:textId="16EB40A4" w:rsidR="00735DCF" w:rsidRPr="00BF1CC4" w:rsidRDefault="00735DCF" w:rsidP="008552A8">
            <w:pPr>
              <w:spacing w:line="360" w:lineRule="auto"/>
              <w:jc w:val="both"/>
              <w:rPr>
                <w:rFonts w:eastAsiaTheme="minorHAnsi"/>
              </w:rPr>
            </w:pPr>
            <w:r w:rsidRPr="00BF1CC4">
              <w:rPr>
                <w:rFonts w:eastAsiaTheme="minorHAnsi"/>
              </w:rPr>
              <w:t>.1486</w:t>
            </w:r>
          </w:p>
        </w:tc>
        <w:tc>
          <w:tcPr>
            <w:tcW w:w="1410" w:type="dxa"/>
            <w:tcBorders>
              <w:top w:val="single" w:sz="4" w:space="0" w:color="auto"/>
              <w:bottom w:val="nil"/>
            </w:tcBorders>
          </w:tcPr>
          <w:p w14:paraId="575230DD" w14:textId="77777777" w:rsidR="00735DCF" w:rsidRPr="00BF1CC4" w:rsidRDefault="00735DCF" w:rsidP="008552A8">
            <w:pPr>
              <w:spacing w:line="360" w:lineRule="auto"/>
              <w:jc w:val="both"/>
              <w:rPr>
                <w:rFonts w:eastAsiaTheme="minorHAnsi"/>
              </w:rPr>
            </w:pPr>
          </w:p>
        </w:tc>
        <w:tc>
          <w:tcPr>
            <w:tcW w:w="1191" w:type="dxa"/>
            <w:tcBorders>
              <w:top w:val="single" w:sz="4" w:space="0" w:color="auto"/>
              <w:bottom w:val="nil"/>
            </w:tcBorders>
          </w:tcPr>
          <w:p w14:paraId="07296116" w14:textId="77777777" w:rsidR="00735DCF" w:rsidRPr="00BF1CC4" w:rsidRDefault="00735DCF" w:rsidP="008552A8">
            <w:pPr>
              <w:spacing w:line="360" w:lineRule="auto"/>
              <w:jc w:val="both"/>
              <w:rPr>
                <w:rFonts w:eastAsiaTheme="minorHAnsi"/>
              </w:rPr>
            </w:pPr>
          </w:p>
        </w:tc>
        <w:tc>
          <w:tcPr>
            <w:tcW w:w="1071" w:type="dxa"/>
            <w:tcBorders>
              <w:top w:val="single" w:sz="4" w:space="0" w:color="auto"/>
              <w:bottom w:val="nil"/>
            </w:tcBorders>
          </w:tcPr>
          <w:p w14:paraId="597E3174" w14:textId="77777777" w:rsidR="00735DCF" w:rsidRPr="00BF1CC4" w:rsidRDefault="00735DCF" w:rsidP="008552A8">
            <w:pPr>
              <w:spacing w:line="360" w:lineRule="auto"/>
              <w:jc w:val="both"/>
              <w:rPr>
                <w:rFonts w:eastAsiaTheme="minorHAnsi"/>
              </w:rPr>
            </w:pPr>
          </w:p>
        </w:tc>
      </w:tr>
      <w:tr w:rsidR="00BF1CC4" w:rsidRPr="00BF1CC4" w14:paraId="03402FC3" w14:textId="77777777" w:rsidTr="00735DCF">
        <w:trPr>
          <w:trHeight w:val="19"/>
        </w:trPr>
        <w:tc>
          <w:tcPr>
            <w:tcW w:w="3258" w:type="dxa"/>
            <w:tcBorders>
              <w:bottom w:val="nil"/>
            </w:tcBorders>
          </w:tcPr>
          <w:p w14:paraId="6FAFD12A" w14:textId="77777777" w:rsidR="00735DCF" w:rsidRPr="00BF1CC4" w:rsidRDefault="00735DCF" w:rsidP="008552A8">
            <w:pPr>
              <w:spacing w:line="360" w:lineRule="auto"/>
              <w:jc w:val="both"/>
              <w:rPr>
                <w:rFonts w:eastAsiaTheme="minorHAnsi"/>
              </w:rPr>
            </w:pPr>
            <w:r w:rsidRPr="00BF1CC4">
              <w:rPr>
                <w:rFonts w:eastAsiaTheme="minorHAnsi"/>
              </w:rPr>
              <w:lastRenderedPageBreak/>
              <w:t>Sigma_</w:t>
            </w:r>
            <w:r w:rsidRPr="00BF1CC4">
              <w:rPr>
                <w:rFonts w:eastAsiaTheme="minorHAnsi"/>
                <w:i/>
                <w:iCs/>
              </w:rPr>
              <w:t>e</w:t>
            </w:r>
          </w:p>
        </w:tc>
        <w:tc>
          <w:tcPr>
            <w:tcW w:w="1848" w:type="dxa"/>
            <w:tcBorders>
              <w:bottom w:val="nil"/>
            </w:tcBorders>
          </w:tcPr>
          <w:p w14:paraId="46F81C23" w14:textId="703D048D" w:rsidR="00735DCF" w:rsidRPr="00BF1CC4" w:rsidRDefault="00735DCF" w:rsidP="008552A8">
            <w:pPr>
              <w:spacing w:line="360" w:lineRule="auto"/>
              <w:jc w:val="both"/>
              <w:rPr>
                <w:rFonts w:eastAsiaTheme="minorHAnsi"/>
              </w:rPr>
            </w:pPr>
            <w:r w:rsidRPr="00BF1CC4">
              <w:rPr>
                <w:rFonts w:eastAsiaTheme="minorHAnsi"/>
              </w:rPr>
              <w:t>.038</w:t>
            </w:r>
          </w:p>
        </w:tc>
        <w:tc>
          <w:tcPr>
            <w:tcW w:w="1410" w:type="dxa"/>
            <w:tcBorders>
              <w:bottom w:val="nil"/>
            </w:tcBorders>
          </w:tcPr>
          <w:p w14:paraId="375C4980" w14:textId="77777777" w:rsidR="00735DCF" w:rsidRPr="00BF1CC4" w:rsidRDefault="00735DCF" w:rsidP="008552A8">
            <w:pPr>
              <w:spacing w:line="360" w:lineRule="auto"/>
              <w:jc w:val="both"/>
              <w:rPr>
                <w:rFonts w:eastAsiaTheme="minorHAnsi"/>
              </w:rPr>
            </w:pPr>
          </w:p>
        </w:tc>
        <w:tc>
          <w:tcPr>
            <w:tcW w:w="1191" w:type="dxa"/>
            <w:tcBorders>
              <w:bottom w:val="nil"/>
            </w:tcBorders>
          </w:tcPr>
          <w:p w14:paraId="6A7C84B8" w14:textId="77777777" w:rsidR="00735DCF" w:rsidRPr="00BF1CC4" w:rsidRDefault="00735DCF" w:rsidP="008552A8">
            <w:pPr>
              <w:spacing w:line="360" w:lineRule="auto"/>
              <w:jc w:val="both"/>
              <w:rPr>
                <w:rFonts w:eastAsiaTheme="minorHAnsi"/>
              </w:rPr>
            </w:pPr>
          </w:p>
        </w:tc>
        <w:tc>
          <w:tcPr>
            <w:tcW w:w="1071" w:type="dxa"/>
            <w:tcBorders>
              <w:bottom w:val="nil"/>
            </w:tcBorders>
          </w:tcPr>
          <w:p w14:paraId="45FC8326" w14:textId="77777777" w:rsidR="00735DCF" w:rsidRPr="00BF1CC4" w:rsidRDefault="00735DCF" w:rsidP="008552A8">
            <w:pPr>
              <w:spacing w:line="360" w:lineRule="auto"/>
              <w:jc w:val="both"/>
              <w:rPr>
                <w:rFonts w:eastAsiaTheme="minorHAnsi"/>
              </w:rPr>
            </w:pPr>
          </w:p>
        </w:tc>
      </w:tr>
      <w:tr w:rsidR="00BF1CC4" w:rsidRPr="00BF1CC4" w14:paraId="4026AC47" w14:textId="77777777" w:rsidTr="00735DCF">
        <w:trPr>
          <w:trHeight w:val="19"/>
        </w:trPr>
        <w:tc>
          <w:tcPr>
            <w:tcW w:w="3258" w:type="dxa"/>
            <w:tcBorders>
              <w:top w:val="nil"/>
            </w:tcBorders>
          </w:tcPr>
          <w:p w14:paraId="5074EEFB" w14:textId="77777777" w:rsidR="00735DCF" w:rsidRPr="00BF1CC4" w:rsidRDefault="00735DCF" w:rsidP="008552A8">
            <w:pPr>
              <w:spacing w:line="360" w:lineRule="auto"/>
              <w:jc w:val="both"/>
              <w:rPr>
                <w:rFonts w:eastAsiaTheme="minorHAnsi"/>
              </w:rPr>
            </w:pPr>
            <w:r w:rsidRPr="00BF1CC4">
              <w:rPr>
                <w:rFonts w:eastAsiaTheme="minorHAnsi"/>
              </w:rPr>
              <w:t>Rho</w:t>
            </w:r>
          </w:p>
        </w:tc>
        <w:tc>
          <w:tcPr>
            <w:tcW w:w="1848" w:type="dxa"/>
            <w:tcBorders>
              <w:top w:val="nil"/>
            </w:tcBorders>
          </w:tcPr>
          <w:p w14:paraId="3100F44B" w14:textId="29B2623D" w:rsidR="00735DCF" w:rsidRPr="00BF1CC4" w:rsidRDefault="00735DCF" w:rsidP="008552A8">
            <w:pPr>
              <w:spacing w:line="360" w:lineRule="auto"/>
              <w:jc w:val="both"/>
              <w:rPr>
                <w:rFonts w:eastAsiaTheme="minorHAnsi"/>
              </w:rPr>
            </w:pPr>
            <w:r w:rsidRPr="00BF1CC4">
              <w:rPr>
                <w:rFonts w:eastAsiaTheme="minorHAnsi"/>
              </w:rPr>
              <w:t>.937</w:t>
            </w:r>
          </w:p>
        </w:tc>
        <w:tc>
          <w:tcPr>
            <w:tcW w:w="3672" w:type="dxa"/>
            <w:gridSpan w:val="3"/>
            <w:tcBorders>
              <w:top w:val="nil"/>
            </w:tcBorders>
          </w:tcPr>
          <w:p w14:paraId="0CA8BB50" w14:textId="77777777" w:rsidR="00735DCF" w:rsidRPr="00BF1CC4" w:rsidRDefault="00735DCF" w:rsidP="008552A8">
            <w:pPr>
              <w:spacing w:line="360" w:lineRule="auto"/>
              <w:jc w:val="both"/>
              <w:rPr>
                <w:rFonts w:eastAsiaTheme="minorHAnsi"/>
              </w:rPr>
            </w:pPr>
            <w:r w:rsidRPr="00BF1CC4">
              <w:rPr>
                <w:rFonts w:eastAsiaTheme="minorHAnsi"/>
              </w:rPr>
              <w:t xml:space="preserve">(fraction of variance due to </w:t>
            </w:r>
            <w:r w:rsidRPr="00BF1CC4">
              <w:rPr>
                <w:rFonts w:eastAsiaTheme="minorHAnsi"/>
                <w:i/>
                <w:iCs/>
                <w:u w:val="single"/>
              </w:rPr>
              <w:t>u_i</w:t>
            </w:r>
            <w:r w:rsidRPr="00BF1CC4">
              <w:rPr>
                <w:rFonts w:eastAsiaTheme="minorHAnsi"/>
              </w:rPr>
              <w:t>)</w:t>
            </w:r>
          </w:p>
        </w:tc>
      </w:tr>
    </w:tbl>
    <w:bookmarkEnd w:id="41"/>
    <w:bookmarkEnd w:id="42"/>
    <w:bookmarkEnd w:id="43"/>
    <w:p w14:paraId="479322E5" w14:textId="29D118AF" w:rsidR="00655797" w:rsidRPr="003C7135" w:rsidRDefault="00735DCF" w:rsidP="008552A8">
      <w:pPr>
        <w:spacing w:before="100" w:beforeAutospacing="1" w:after="80" w:line="360" w:lineRule="auto"/>
        <w:jc w:val="both"/>
        <w:rPr>
          <w:rFonts w:eastAsiaTheme="minorHAnsi"/>
        </w:rPr>
      </w:pPr>
      <w:r w:rsidRPr="00BF1CC4">
        <w:rPr>
          <w:rFonts w:eastAsiaTheme="minorHAnsi"/>
        </w:rPr>
        <w:t xml:space="preserve">The fixed effect model results showed a positive and statistically </w:t>
      </w:r>
      <w:r w:rsidR="00CD755D" w:rsidRPr="00BF1CC4">
        <w:rPr>
          <w:rFonts w:eastAsiaTheme="minorHAnsi"/>
        </w:rPr>
        <w:t>significant</w:t>
      </w:r>
      <w:r w:rsidR="003C7135">
        <w:rPr>
          <w:rFonts w:eastAsiaTheme="minorHAnsi"/>
        </w:rPr>
        <w:t xml:space="preserve"> relation between bank assets size and profitability</w:t>
      </w:r>
      <w:r w:rsidR="00CD755D" w:rsidRPr="00BF1CC4">
        <w:rPr>
          <w:rFonts w:eastAsiaTheme="minorHAnsi"/>
        </w:rPr>
        <w:t>.</w:t>
      </w:r>
      <w:r w:rsidRPr="00BF1CC4">
        <w:rPr>
          <w:rFonts w:eastAsiaTheme="minorHAnsi"/>
          <w:lang w:eastAsia="en-GB"/>
        </w:rPr>
        <w:t xml:space="preserve"> T</w:t>
      </w:r>
      <w:r w:rsidRPr="00BF1CC4">
        <w:rPr>
          <w:rFonts w:eastAsiaTheme="minorEastAsia"/>
          <w:lang w:eastAsia="en-GB"/>
        </w:rPr>
        <w:t xml:space="preserve">herefore, this hypothesis was rejected. The size of a bank's total assets appears to have a noteworthy impact on its rate of return on equity. </w:t>
      </w:r>
      <w:r w:rsidRPr="00BF1CC4">
        <w:rPr>
          <w:rFonts w:eastAsiaTheme="minorHAnsi"/>
        </w:rPr>
        <w:t xml:space="preserve">The positive and statistically significant relationship between total assets and the rate of return on equity (ROE) among the selected banks in the NSE can be attributed to a combination of factors. Banks with larger asset bases often benefit from economies of scale, diversification, and improved access to capital, enhanced risk management capabilities, and a stronger market reputation, which collectively contribute to higher ROE. This finding aligns with the notion that bank size plays a pivotal role in influencing financial performance, as a larger asset base provides a competitive advantage in the financial sector </w:t>
      </w:r>
      <w:r w:rsidRPr="00BF1CC4">
        <w:rPr>
          <w:rFonts w:eastAsiaTheme="minorHAnsi"/>
        </w:rPr>
        <w:fldChar w:fldCharType="begin"/>
      </w:r>
      <w:r w:rsidRPr="00BF1CC4">
        <w:rPr>
          <w:rFonts w:eastAsiaTheme="minorHAnsi"/>
        </w:rPr>
        <w:instrText xml:space="preserve"> ADDIN EN.CITE &lt;EndNote&gt;&lt;Cite&gt;&lt;Author&gt;Berger&lt;/Author&gt;&lt;Year&gt;2003&lt;/Year&gt;&lt;RecNum&gt;337&lt;/RecNum&gt;&lt;DisplayText&gt;(Berger &amp;amp; Mester, 2003)&lt;/DisplayText&gt;&lt;record&gt;&lt;rec-number&gt;337&lt;/rec-number&gt;&lt;foreign-keys&gt;&lt;key app="EN" db-id="r0zpxf9dkzrv2yeppzfpxvz2ta5w2paa2fze" timestamp="1696927516"&gt;337&lt;/key&gt;&lt;/foreign-keys&gt;&lt;ref-type name="Journal Article"&gt;17&lt;/ref-type&gt;&lt;contributors&gt;&lt;authors&gt;&lt;author&gt;Berger, Allen N&lt;/author&gt;&lt;author&gt;Mester, Loretta J&lt;/author&gt;&lt;/authors&gt;&lt;/contributors&gt;&lt;titles&gt;&lt;title&gt;Explaining the dramatic changes in performance of US banks: technological change, deregulation, and dynamic changes in competition&lt;/title&gt;&lt;secondary-title&gt;Journal of financial intermediation&lt;/secondary-title&gt;&lt;/titles&gt;&lt;periodical&gt;&lt;full-title&gt;Journal of financial intermediation&lt;/full-title&gt;&lt;/periodical&gt;&lt;pages&gt;57-95&lt;/pages&gt;&lt;volume&gt;12&lt;/volume&gt;&lt;number&gt;1&lt;/number&gt;&lt;dates&gt;&lt;year&gt;2003&lt;/year&gt;&lt;/dates&gt;&lt;isbn&gt;1042-9573&lt;/isbn&gt;&lt;urls&gt;&lt;/urls&gt;&lt;/record&gt;&lt;/Cite&gt;&lt;/EndNote&gt;</w:instrText>
      </w:r>
      <w:r w:rsidRPr="00BF1CC4">
        <w:rPr>
          <w:rFonts w:eastAsiaTheme="minorHAnsi"/>
        </w:rPr>
        <w:fldChar w:fldCharType="separate"/>
      </w:r>
      <w:r w:rsidRPr="00BF1CC4">
        <w:rPr>
          <w:rFonts w:eastAsiaTheme="minorHAnsi"/>
          <w:noProof/>
        </w:rPr>
        <w:t>(Berger &amp; Mester, 2003)</w:t>
      </w:r>
      <w:r w:rsidRPr="00BF1CC4">
        <w:rPr>
          <w:rFonts w:eastAsiaTheme="minorHAnsi"/>
        </w:rPr>
        <w:fldChar w:fldCharType="end"/>
      </w:r>
      <w:r w:rsidRPr="00BF1CC4">
        <w:rPr>
          <w:rFonts w:eastAsiaTheme="minorHAnsi"/>
        </w:rPr>
        <w:t>.</w:t>
      </w:r>
      <w:r w:rsidR="00655797" w:rsidRPr="00BF1CC4">
        <w:rPr>
          <w:rFonts w:eastAsiaTheme="minorHAnsi"/>
        </w:rPr>
        <w:t xml:space="preserve"> </w:t>
      </w:r>
      <w:r w:rsidRPr="00BF1CC4">
        <w:t xml:space="preserve">The study was in line with </w:t>
      </w:r>
      <w:r w:rsidRPr="00BF1CC4">
        <w:fldChar w:fldCharType="begin"/>
      </w:r>
      <w:r w:rsidRPr="00BF1CC4">
        <w:instrText xml:space="preserve"> ADDIN EN.CITE &lt;EndNote&gt;&lt;Cite AuthorYear="1"&gt;&lt;Author&gt;Mkandawire&lt;/Author&gt;&lt;Year&gt;2016&lt;/Year&gt;&lt;RecNum&gt;336&lt;/RecNum&gt;&lt;DisplayText&gt;Mkandawire (2016)&lt;/DisplayText&gt;&lt;record&gt;&lt;rec-number&gt;336&lt;/rec-number&gt;&lt;foreign-keys&gt;&lt;key app="EN" db-id="r0zpxf9dkzrv2yeppzfpxvz2ta5w2paa2fze" timestamp="1696926535"&gt;336&lt;/key&gt;&lt;/foreign-keys&gt;&lt;ref-type name="Journal Article"&gt;17&lt;/ref-type&gt;&lt;contributors&gt;&lt;authors&gt;&lt;author&gt;Mkandawire, Perry&lt;/author&gt;&lt;/authors&gt;&lt;/contributors&gt;&lt;titles&gt;&lt;title&gt;An analysis of the determinants of bank performance in Malawi: A case of listed commercial banks&lt;/title&gt;&lt;/titles&gt;&lt;dates&gt;&lt;year&gt;2016&lt;/year&gt;&lt;/dates&gt;&lt;urls&gt;&lt;/urls&gt;&lt;/record&gt;&lt;/Cite&gt;&lt;/EndNote&gt;</w:instrText>
      </w:r>
      <w:r w:rsidRPr="00BF1CC4">
        <w:fldChar w:fldCharType="separate"/>
      </w:r>
      <w:r w:rsidRPr="00BF1CC4">
        <w:rPr>
          <w:noProof/>
        </w:rPr>
        <w:t>Mkandawire (2016)</w:t>
      </w:r>
      <w:r w:rsidRPr="00BF1CC4">
        <w:fldChar w:fldCharType="end"/>
      </w:r>
      <w:r w:rsidR="00F412A5" w:rsidRPr="00BF1CC4">
        <w:t xml:space="preserve"> and </w:t>
      </w:r>
      <w:r w:rsidR="00F412A5" w:rsidRPr="00BF1CC4">
        <w:rPr>
          <w:bCs/>
        </w:rPr>
        <w:t xml:space="preserve"> </w:t>
      </w:r>
      <w:r w:rsidR="00F412A5" w:rsidRPr="00BF1CC4">
        <w:rPr>
          <w:bCs/>
        </w:rPr>
        <w:fldChar w:fldCharType="begin"/>
      </w:r>
      <w:r w:rsidR="00F412A5" w:rsidRPr="00BF1CC4">
        <w:rPr>
          <w:bCs/>
        </w:rPr>
        <w:instrText xml:space="preserve"> ADDIN EN.CITE &lt;EndNote&gt;&lt;Cite AuthorYear="1"&gt;&lt;Author&gt;Kamande&lt;/Author&gt;&lt;Year&gt;2017&lt;/Year&gt;&lt;RecNum&gt;345&lt;/RecNum&gt;&lt;DisplayText&gt;Kamande (2017)&lt;/DisplayText&gt;&lt;record&gt;&lt;rec-number&gt;345&lt;/rec-number&gt;&lt;foreign-keys&gt;&lt;key app="EN" db-id="r0zpxf9dkzrv2yeppzfpxvz2ta5w2paa2fze" timestamp="1696948982"&gt;345&lt;/key&gt;&lt;/foreign-keys&gt;&lt;ref-type name="Thesis"&gt;32&lt;/ref-type&gt;&lt;contributors&gt;&lt;authors&gt;&lt;author&gt;Kamande, Eric Gicharu&lt;/author&gt;&lt;/authors&gt;&lt;/contributors&gt;&lt;titles&gt;&lt;title&gt;The effect of bank specific factors on financial performance of commercial banks in Kenya&lt;/title&gt;&lt;/titles&gt;&lt;dates&gt;&lt;year&gt;2017&lt;/year&gt;&lt;/dates&gt;&lt;urls&gt;&lt;/urls&gt;&lt;/record&gt;&lt;/Cite&gt;&lt;/EndNote&gt;</w:instrText>
      </w:r>
      <w:r w:rsidR="00F412A5" w:rsidRPr="00BF1CC4">
        <w:rPr>
          <w:bCs/>
        </w:rPr>
        <w:fldChar w:fldCharType="separate"/>
      </w:r>
      <w:r w:rsidR="00F412A5" w:rsidRPr="00BF1CC4">
        <w:rPr>
          <w:bCs/>
          <w:noProof/>
        </w:rPr>
        <w:t>Kamande (2017)</w:t>
      </w:r>
      <w:r w:rsidR="00F412A5" w:rsidRPr="00BF1CC4">
        <w:rPr>
          <w:bCs/>
        </w:rPr>
        <w:fldChar w:fldCharType="end"/>
      </w:r>
      <w:r w:rsidR="00F412A5" w:rsidRPr="00BF1CC4">
        <w:rPr>
          <w:bCs/>
        </w:rPr>
        <w:t xml:space="preserve"> </w:t>
      </w:r>
      <w:r w:rsidRPr="00BF1CC4">
        <w:t xml:space="preserve"> who </w:t>
      </w:r>
      <w:r w:rsidRPr="00BF1CC4">
        <w:rPr>
          <w:shd w:val="clear" w:color="auto" w:fill="FFFFFF"/>
        </w:rPr>
        <w:t>assessed the determinants of bank performance in Malawi.</w:t>
      </w:r>
    </w:p>
    <w:p w14:paraId="5C28E7E0" w14:textId="47E0BD9E" w:rsidR="0055348D" w:rsidRPr="00BF1CC4" w:rsidRDefault="00735DCF" w:rsidP="008552A8">
      <w:pPr>
        <w:spacing w:before="240" w:after="80" w:line="360" w:lineRule="auto"/>
        <w:jc w:val="both"/>
        <w:rPr>
          <w:rFonts w:eastAsiaTheme="minorHAnsi"/>
        </w:rPr>
      </w:pPr>
      <w:r w:rsidRPr="00BF1CC4">
        <w:rPr>
          <w:rFonts w:eastAsiaTheme="minorHAnsi"/>
        </w:rPr>
        <w:t>The results of the study found a positive and significant relation between bank capital and the rate of return on equity among the selected banks in NSE. This implied that the null hypothesis was rejected at the conventional 5 percent significance level.</w:t>
      </w:r>
      <w:r w:rsidRPr="00BF1CC4">
        <w:t xml:space="preserve"> </w:t>
      </w:r>
      <w:r w:rsidRPr="00BF1CC4">
        <w:rPr>
          <w:rFonts w:eastAsiaTheme="minorHAnsi"/>
        </w:rPr>
        <w:t xml:space="preserve">This outcome can be explained by the risk-mitigating role of adequate capital, which bolsters investor confidence and facilitates higher lending capacity, thereby increasing interest income and competitiveness </w:t>
      </w:r>
      <w:r w:rsidRPr="00BF1CC4">
        <w:rPr>
          <w:rFonts w:eastAsiaTheme="minorHAnsi"/>
        </w:rPr>
        <w:fldChar w:fldCharType="begin"/>
      </w:r>
      <w:r w:rsidRPr="00BF1CC4">
        <w:rPr>
          <w:rFonts w:eastAsiaTheme="minorHAnsi"/>
        </w:rPr>
        <w:instrText xml:space="preserve"> ADDIN EN.CITE &lt;EndNote&gt;&lt;Cite&gt;&lt;Author&gt;Bhattacharya&lt;/Author&gt;&lt;Year&gt;2021&lt;/Year&gt;&lt;RecNum&gt;338&lt;/RecNum&gt;&lt;DisplayText&gt;(Bhattacharya&lt;style face="italic"&gt; et al.&lt;/style&gt;, 2021)&lt;/DisplayText&gt;&lt;record&gt;&lt;rec-number&gt;338&lt;/rec-number&gt;&lt;foreign-keys&gt;&lt;key app="EN" db-id="r0zpxf9dkzrv2yeppzfpxvz2ta5w2paa2fze" timestamp="1696928445"&gt;338&lt;/key&gt;&lt;/foreign-keys&gt;&lt;ref-type name="Journal Article"&gt;17&lt;/ref-type&gt;&lt;contributors&gt;&lt;authors&gt;&lt;author&gt;Bhattacharya, Abhi&lt;/author&gt;&lt;author&gt;Good, Valerie&lt;/author&gt;&lt;author&gt;Sardashti, Hanieh&lt;/author&gt;&lt;author&gt;Peloza, John&lt;/author&gt;&lt;/authors&gt;&lt;/contributors&gt;&lt;titles&gt;&lt;title&gt;Beyond warm glow: The risk-mitigating effect of corporate social responsibility (CSR)&lt;/title&gt;&lt;secondary-title&gt;Journal of Business Ethics&lt;/secondary-title&gt;&lt;/titles&gt;&lt;periodical&gt;&lt;full-title&gt;Journal of Business Ethics&lt;/full-title&gt;&lt;/periodical&gt;&lt;pages&gt;317-336&lt;/pages&gt;&lt;volume&gt;171&lt;/volume&gt;&lt;dates&gt;&lt;year&gt;2021&lt;/year&gt;&lt;/dates&gt;&lt;isbn&gt;0167-4544&lt;/isbn&gt;&lt;urls&gt;&lt;/urls&gt;&lt;/record&gt;&lt;/Cite&gt;&lt;/EndNote&gt;</w:instrText>
      </w:r>
      <w:r w:rsidRPr="00BF1CC4">
        <w:rPr>
          <w:rFonts w:eastAsiaTheme="minorHAnsi"/>
        </w:rPr>
        <w:fldChar w:fldCharType="separate"/>
      </w:r>
      <w:r w:rsidRPr="00BF1CC4">
        <w:rPr>
          <w:rFonts w:eastAsiaTheme="minorHAnsi"/>
          <w:noProof/>
        </w:rPr>
        <w:t>(Bhattacharya</w:t>
      </w:r>
      <w:r w:rsidRPr="00BF1CC4">
        <w:rPr>
          <w:rFonts w:eastAsiaTheme="minorHAnsi"/>
          <w:i/>
          <w:noProof/>
        </w:rPr>
        <w:t xml:space="preserve"> et al.</w:t>
      </w:r>
      <w:r w:rsidRPr="00BF1CC4">
        <w:rPr>
          <w:rFonts w:eastAsiaTheme="minorHAnsi"/>
          <w:noProof/>
        </w:rPr>
        <w:t>, 2021)</w:t>
      </w:r>
      <w:r w:rsidRPr="00BF1CC4">
        <w:rPr>
          <w:rFonts w:eastAsiaTheme="minorHAnsi"/>
        </w:rPr>
        <w:fldChar w:fldCharType="end"/>
      </w:r>
      <w:r w:rsidRPr="00BF1CC4">
        <w:rPr>
          <w:rFonts w:eastAsiaTheme="minorHAnsi"/>
        </w:rPr>
        <w:t>.</w:t>
      </w:r>
      <w:r w:rsidR="0055348D" w:rsidRPr="00BF1CC4">
        <w:rPr>
          <w:rFonts w:eastAsiaTheme="minorHAnsi"/>
        </w:rPr>
        <w:t xml:space="preserve"> </w:t>
      </w:r>
      <w:r w:rsidRPr="00BF1CC4">
        <w:t xml:space="preserve">This study aligns with the findings of  </w:t>
      </w:r>
      <w:r w:rsidRPr="00BF1CC4">
        <w:fldChar w:fldCharType="begin"/>
      </w:r>
      <w:r w:rsidRPr="00BF1CC4">
        <w:instrText xml:space="preserve"> ADDIN EN.CITE &lt;EndNote&gt;&lt;Cite AuthorYear="1"&gt;&lt;Author&gt;Saleh&lt;/Author&gt;&lt;Year&gt;2020&lt;/Year&gt;&lt;RecNum&gt;339&lt;/RecNum&gt;&lt;DisplayText&gt;Saleh and Abu Afifa (2020)&lt;/DisplayText&gt;&lt;record&gt;&lt;rec-number&gt;339&lt;/rec-number&gt;&lt;foreign-keys&gt;&lt;key app="EN" db-id="r0zpxf9dkzrv2yeppzfpxvz2ta5w2paa2fze" timestamp="1696928730"&gt;339&lt;/key&gt;&lt;/foreign-keys&gt;&lt;ref-type name="Journal Article"&gt;17&lt;/ref-type&gt;&lt;contributors&gt;&lt;authors&gt;&lt;author&gt;Saleh, Isam&lt;/author&gt;&lt;author&gt;Abu Afifa, Malik&lt;/author&gt;&lt;/authors&gt;&lt;/contributors&gt;&lt;titles&gt;&lt;title&gt;The effect of credit risk, liquidity risk and bank capital on bank profitability: Evidence from an emerging market&lt;/title&gt;&lt;secondary-title&gt;Cogent Economics &amp;amp; Finance&lt;/secondary-title&gt;&lt;/titles&gt;&lt;periodical&gt;&lt;full-title&gt;Cogent Economics &amp;amp; Finance&lt;/full-title&gt;&lt;/periodical&gt;&lt;pages&gt;1814509&lt;/pages&gt;&lt;volume&gt;8&lt;/volume&gt;&lt;number&gt;1&lt;/number&gt;&lt;dates&gt;&lt;year&gt;2020&lt;/year&gt;&lt;/dates&gt;&lt;isbn&gt;2332-2039&lt;/isbn&gt;&lt;urls&gt;&lt;/urls&gt;&lt;/record&gt;&lt;/Cite&gt;&lt;/EndNote&gt;</w:instrText>
      </w:r>
      <w:r w:rsidRPr="00BF1CC4">
        <w:fldChar w:fldCharType="separate"/>
      </w:r>
      <w:r w:rsidRPr="00BF1CC4">
        <w:t>Saleh and Abu Afifa (2020)</w:t>
      </w:r>
      <w:r w:rsidRPr="00BF1CC4">
        <w:fldChar w:fldCharType="end"/>
      </w:r>
      <w:r w:rsidRPr="00BF1CC4">
        <w:t xml:space="preserve"> who, explored the influence of credit risk, liquidity risk, and bank capital on bank profitability on an emerging market spanning from 2010 to 2018. </w:t>
      </w:r>
    </w:p>
    <w:p w14:paraId="5A5DFC83" w14:textId="1918259A" w:rsidR="000A775B" w:rsidRPr="00BF1CC4" w:rsidRDefault="00735DCF" w:rsidP="008552A8">
      <w:pPr>
        <w:spacing w:before="240" w:after="80" w:line="360" w:lineRule="auto"/>
        <w:jc w:val="both"/>
        <w:rPr>
          <w:rFonts w:eastAsiaTheme="minorHAnsi"/>
        </w:rPr>
      </w:pPr>
      <w:r w:rsidRPr="00BF1CC4">
        <w:rPr>
          <w:rFonts w:eastAsiaTheme="minorHAnsi"/>
        </w:rPr>
        <w:t xml:space="preserve">Results indicated a negative insignificant relation </w:t>
      </w:r>
      <w:r w:rsidR="003C7135">
        <w:rPr>
          <w:rFonts w:eastAsiaTheme="minorHAnsi"/>
          <w:lang w:eastAsia="en-GB"/>
        </w:rPr>
        <w:t>between tax rate and profitability</w:t>
      </w:r>
      <w:r w:rsidRPr="00BF1CC4">
        <w:rPr>
          <w:rFonts w:eastAsiaTheme="minorHAnsi"/>
          <w:lang w:eastAsia="en-GB"/>
        </w:rPr>
        <w:t>.</w:t>
      </w:r>
      <w:r w:rsidRPr="00BF1CC4">
        <w:rPr>
          <w:rFonts w:eastAsiaTheme="minorHAnsi"/>
        </w:rPr>
        <w:t xml:space="preserve"> This implied that the null hypothesis failed to be rejected at 5 percent significance level.</w:t>
      </w:r>
      <w:r w:rsidRPr="00BF1CC4">
        <w:t xml:space="preserve"> </w:t>
      </w:r>
      <w:r w:rsidRPr="00BF1CC4">
        <w:rPr>
          <w:rFonts w:eastAsiaTheme="minorHAnsi"/>
        </w:rPr>
        <w:t xml:space="preserve">This could be due to various reasons, such as effective tax management strategies or the nuances of the tax regime </w:t>
      </w:r>
      <w:r w:rsidR="0055348D" w:rsidRPr="00BF1CC4">
        <w:rPr>
          <w:rFonts w:eastAsiaTheme="minorHAnsi"/>
        </w:rPr>
        <w:t>like deductions</w:t>
      </w:r>
      <w:r w:rsidRPr="00BF1CC4">
        <w:rPr>
          <w:rFonts w:eastAsiaTheme="minorHAnsi"/>
        </w:rPr>
        <w:t xml:space="preserve">, credits, exemptions within the selected banks. </w:t>
      </w:r>
      <w:r w:rsidRPr="00BF1CC4">
        <w:rPr>
          <w:shd w:val="clear" w:color="auto" w:fill="FFFFFF"/>
        </w:rPr>
        <w:t xml:space="preserve">The findings of this study ran counter to those of </w:t>
      </w:r>
      <w:r w:rsidRPr="00BF1CC4">
        <w:t xml:space="preserve"> </w:t>
      </w:r>
      <w:r w:rsidRPr="00BF1CC4">
        <w:fldChar w:fldCharType="begin"/>
      </w:r>
      <w:r w:rsidRPr="00BF1CC4">
        <w:instrText xml:space="preserve"> ADDIN EN.CITE &lt;EndNote&gt;&lt;Cite AuthorYear="1"&gt;&lt;Author&gt;Doménech&lt;/Author&gt;&lt;RecNum&gt;342&lt;/RecNum&gt;&lt;DisplayText&gt;Doménech&lt;style face="italic"&gt; et al.&lt;/style&gt; &lt;/DisplayText&gt;&lt;record&gt;&lt;rec-number&gt;342&lt;/rec-number&gt;&lt;foreign-keys&gt;&lt;key app="EN" db-id="r0zpxf9dkzrv2yeppzfpxvz2ta5w2paa2fze" timestamp="1696933305"&gt;342&lt;/key&gt;&lt;/foreign-keys&gt;&lt;ref-type name="Journal Article"&gt;17&lt;/ref-type&gt;&lt;contributors&gt;&lt;authors&gt;&lt;author&gt;Doménech, Rafael&lt;/author&gt;&lt;author&gt;Boscá Mares, José Emilio&lt;/author&gt;&lt;author&gt;Ferri, Javier&lt;/author&gt;&lt;author&gt;Rubio Ramírez, Juan&lt;/author&gt;&lt;/authors&gt;&lt;/contributors&gt;&lt;titles&gt;&lt;title&gt;Macroeconomic Effects of Taxes on Banking&lt;/title&gt;&lt;secondary-title&gt;Available at SSRN 4415390&lt;/secondary-title&gt;&lt;/titles&gt;&lt;periodical&gt;&lt;full-title&gt;Available at SSRN 4415390&lt;/full-title&gt;&lt;/periodical&gt;&lt;dates&gt;&lt;/dates&gt;&lt;urls&gt;&lt;/urls&gt;&lt;/record&gt;&lt;/Cite&gt;&lt;/EndNote&gt;</w:instrText>
      </w:r>
      <w:r w:rsidRPr="00BF1CC4">
        <w:fldChar w:fldCharType="separate"/>
      </w:r>
      <w:r w:rsidRPr="00BF1CC4">
        <w:rPr>
          <w:noProof/>
        </w:rPr>
        <w:t>Doménech</w:t>
      </w:r>
      <w:r w:rsidRPr="00BF1CC4">
        <w:rPr>
          <w:i/>
          <w:noProof/>
        </w:rPr>
        <w:t xml:space="preserve"> et al.</w:t>
      </w:r>
      <w:r w:rsidRPr="00BF1CC4">
        <w:rPr>
          <w:noProof/>
        </w:rPr>
        <w:t xml:space="preserve"> </w:t>
      </w:r>
      <w:r w:rsidRPr="00BF1CC4">
        <w:fldChar w:fldCharType="end"/>
      </w:r>
      <w:r w:rsidR="00797082" w:rsidRPr="00BF1CC4">
        <w:t xml:space="preserve">(2023) </w:t>
      </w:r>
      <w:r w:rsidRPr="00BF1CC4">
        <w:rPr>
          <w:shd w:val="clear" w:color="auto" w:fill="FFFFFF"/>
        </w:rPr>
        <w:t xml:space="preserve">who </w:t>
      </w:r>
      <w:r w:rsidR="00797082" w:rsidRPr="00BF1CC4">
        <w:rPr>
          <w:shd w:val="clear" w:color="auto" w:fill="FFFFFF"/>
        </w:rPr>
        <w:t xml:space="preserve">established </w:t>
      </w:r>
      <w:r w:rsidRPr="00BF1CC4">
        <w:rPr>
          <w:shd w:val="clear" w:color="auto" w:fill="FFFFFF"/>
        </w:rPr>
        <w:t xml:space="preserve"> the macroeconomic implications</w:t>
      </w:r>
      <w:r w:rsidR="00797082" w:rsidRPr="00BF1CC4">
        <w:rPr>
          <w:shd w:val="clear" w:color="auto" w:fill="FFFFFF"/>
        </w:rPr>
        <w:t xml:space="preserve"> of taxes</w:t>
      </w:r>
      <w:r w:rsidRPr="00BF1CC4">
        <w:rPr>
          <w:shd w:val="clear" w:color="auto" w:fill="FFFFFF"/>
        </w:rPr>
        <w:t xml:space="preserve"> </w:t>
      </w:r>
      <w:r w:rsidR="00797082" w:rsidRPr="00BF1CC4">
        <w:rPr>
          <w:shd w:val="clear" w:color="auto" w:fill="FFFFFF"/>
        </w:rPr>
        <w:t xml:space="preserve">via </w:t>
      </w:r>
      <w:r w:rsidRPr="00BF1CC4">
        <w:rPr>
          <w:shd w:val="clear" w:color="auto" w:fill="FFFFFF"/>
        </w:rPr>
        <w:t xml:space="preserve">raising the costs of financial intermediation. </w:t>
      </w:r>
    </w:p>
    <w:p w14:paraId="57CB68E7" w14:textId="1A280C01" w:rsidR="00735DCF" w:rsidRPr="00BF1CC4" w:rsidRDefault="00735DCF" w:rsidP="008552A8">
      <w:pPr>
        <w:spacing w:before="240" w:after="80" w:line="360" w:lineRule="auto"/>
        <w:jc w:val="both"/>
        <w:rPr>
          <w:rFonts w:eastAsiaTheme="minorHAnsi"/>
        </w:rPr>
      </w:pPr>
      <w:r w:rsidRPr="00BF1CC4">
        <w:rPr>
          <w:rFonts w:eastAsiaTheme="minorHAnsi"/>
        </w:rPr>
        <w:lastRenderedPageBreak/>
        <w:t xml:space="preserve">Objective four </w:t>
      </w:r>
      <w:r w:rsidR="0055348D" w:rsidRPr="00BF1CC4">
        <w:rPr>
          <w:rFonts w:eastAsiaTheme="minorHAnsi"/>
        </w:rPr>
        <w:t xml:space="preserve">results </w:t>
      </w:r>
      <w:r w:rsidRPr="00BF1CC4">
        <w:rPr>
          <w:rFonts w:eastAsiaTheme="minorHAnsi"/>
        </w:rPr>
        <w:t xml:space="preserve">implied that the null hypothesis was rejected at 5 percent significance level. </w:t>
      </w:r>
      <w:r w:rsidRPr="00BF1CC4">
        <w:t>It implies that as bank concentration or market share increases by one unit, there is a corresponding decrease in the rate of return on equity (ROE) by 0.001 units. This suggests that a higher concentration or market share within the selected banks is associated with a reduction in their ROE. This finding indicates that, in this context, a more concentrated market may have a detrimental effect on the profitability of these banks.</w:t>
      </w:r>
      <w:r w:rsidR="0055348D" w:rsidRPr="00BF1CC4">
        <w:t xml:space="preserve"> </w:t>
      </w:r>
      <w:r w:rsidRPr="00BF1CC4">
        <w:rPr>
          <w:rFonts w:eastAsiaTheme="minorHAnsi"/>
        </w:rPr>
        <w:t xml:space="preserve">The negative relationship between bank concentration or market share and the rate of return on equity (ROE) can be attributed to several factors. A higher market concentration may lead to reduced competition, which can result in banks having more pricing power and less incentive to offer competitive interest rates to depositors and borrowers. This, in turn, can lower the profitability of banks as they may not need to strive for higher returns to attract customers in a less competitive environment. Additionally, regulatory authorities may scrutinize and regulate highly concentrated markets more closely, which could affect the operational flexibility and efficiency of banks, further impacting their ROE </w:t>
      </w:r>
      <w:bookmarkStart w:id="44" w:name="_Hlk178061128"/>
      <w:r w:rsidRPr="00BF1CC4">
        <w:rPr>
          <w:rFonts w:eastAsiaTheme="minorHAnsi"/>
        </w:rPr>
        <w:fldChar w:fldCharType="begin"/>
      </w:r>
      <w:r w:rsidRPr="00BF1CC4">
        <w:rPr>
          <w:rFonts w:eastAsiaTheme="minorHAnsi"/>
        </w:rPr>
        <w:instrText xml:space="preserve"> ADDIN EN.CITE &lt;EndNote&gt;&lt;Cite&gt;&lt;Author&gt;Almarzoqi&lt;/Author&gt;&lt;Year&gt;2015&lt;/Year&gt;&lt;RecNum&gt;344&lt;/RecNum&gt;&lt;DisplayText&gt;(Almarzoqi&lt;style face="italic"&gt; et al.&lt;/style&gt;, 2015)&lt;/DisplayText&gt;&lt;record&gt;&lt;rec-number&gt;344&lt;/rec-number&gt;&lt;foreign-keys&gt;&lt;key app="EN" db-id="r0zpxf9dkzrv2yeppzfpxvz2ta5w2paa2fze" timestamp="1696935134"&gt;344&lt;/key&gt;&lt;/foreign-keys&gt;&lt;ref-type name="Book"&gt;6&lt;/ref-type&gt;&lt;contributors&gt;&lt;authors&gt;&lt;author&gt;Almarzoqi, Raja&lt;/author&gt;&lt;author&gt;Naceur, Mr Sami Ben&lt;/author&gt;&lt;author&gt;Scopelliti, Alessandro&lt;/author&gt;&lt;/authors&gt;&lt;/contributors&gt;&lt;titles&gt;&lt;title&gt;How does bank competition affect solvency, liquidity and credit risk? Evidence from the MENA countries&lt;/title&gt;&lt;/titles&gt;&lt;dates&gt;&lt;year&gt;2015&lt;/year&gt;&lt;/dates&gt;&lt;publisher&gt;International Monetary Fund&lt;/publisher&gt;&lt;isbn&gt;1513581910&lt;/isbn&gt;&lt;urls&gt;&lt;/urls&gt;&lt;/record&gt;&lt;/Cite&gt;&lt;/EndNote&gt;</w:instrText>
      </w:r>
      <w:r w:rsidRPr="00BF1CC4">
        <w:rPr>
          <w:rFonts w:eastAsiaTheme="minorHAnsi"/>
        </w:rPr>
        <w:fldChar w:fldCharType="separate"/>
      </w:r>
      <w:r w:rsidRPr="00BF1CC4">
        <w:rPr>
          <w:rFonts w:eastAsiaTheme="minorHAnsi"/>
          <w:noProof/>
        </w:rPr>
        <w:t>(Almarzoqi</w:t>
      </w:r>
      <w:r w:rsidRPr="00BF1CC4">
        <w:rPr>
          <w:rFonts w:eastAsiaTheme="minorHAnsi"/>
          <w:i/>
          <w:noProof/>
        </w:rPr>
        <w:t xml:space="preserve"> et al.</w:t>
      </w:r>
      <w:r w:rsidRPr="00BF1CC4">
        <w:rPr>
          <w:rFonts w:eastAsiaTheme="minorHAnsi"/>
          <w:noProof/>
        </w:rPr>
        <w:t>, 2015)</w:t>
      </w:r>
      <w:r w:rsidRPr="00BF1CC4">
        <w:rPr>
          <w:rFonts w:eastAsiaTheme="minorHAnsi"/>
        </w:rPr>
        <w:fldChar w:fldCharType="end"/>
      </w:r>
      <w:bookmarkEnd w:id="44"/>
      <w:r w:rsidRPr="00BF1CC4">
        <w:rPr>
          <w:rFonts w:eastAsiaTheme="minorHAnsi"/>
        </w:rPr>
        <w:t>.</w:t>
      </w:r>
      <w:r w:rsidR="000A775B" w:rsidRPr="00BF1CC4">
        <w:rPr>
          <w:rFonts w:eastAsiaTheme="minorHAnsi"/>
        </w:rPr>
        <w:t xml:space="preserve"> </w:t>
      </w:r>
      <w:r w:rsidRPr="00BF1CC4">
        <w:t xml:space="preserve">This study deviates from </w:t>
      </w:r>
      <w:r w:rsidRPr="00BF1CC4">
        <w:fldChar w:fldCharType="begin"/>
      </w:r>
      <w:r w:rsidRPr="00BF1CC4">
        <w:instrText xml:space="preserve"> ADDIN EN.CITE &lt;EndNote&gt;&lt;Cite AuthorYear="1"&gt;&lt;Author&gt;Wernerfelt&lt;/Author&gt;&lt;Year&gt;1986&lt;/Year&gt;&lt;RecNum&gt;346&lt;/RecNum&gt;&lt;DisplayText&gt;Wernerfelt (1986)&lt;/DisplayText&gt;&lt;record&gt;&lt;rec-number&gt;346&lt;/rec-number&gt;&lt;foreign-keys&gt;&lt;key app="EN" db-id="r0zpxf9dkzrv2yeppzfpxvz2ta5w2paa2fze" timestamp="1696950374"&gt;346&lt;/key&gt;&lt;/foreign-keys&gt;&lt;ref-type name="Journal Article"&gt;17&lt;/ref-type&gt;&lt;contributors&gt;&lt;authors&gt;&lt;author&gt;Wernerfelt, Birger&lt;/author&gt;&lt;/authors&gt;&lt;/contributors&gt;&lt;titles&gt;&lt;title&gt;The relation between market share and profitability&lt;/title&gt;&lt;secondary-title&gt;Journal of Business strategy&lt;/secondary-title&gt;&lt;/titles&gt;&lt;periodical&gt;&lt;full-title&gt;Journal of Business strategy&lt;/full-title&gt;&lt;/periodical&gt;&lt;pages&gt;67-74&lt;/pages&gt;&lt;volume&gt;6&lt;/volume&gt;&lt;number&gt;4&lt;/number&gt;&lt;dates&gt;&lt;year&gt;1986&lt;/year&gt;&lt;/dates&gt;&lt;isbn&gt;0275-6668&lt;/isbn&gt;&lt;urls&gt;&lt;/urls&gt;&lt;/record&gt;&lt;/Cite&gt;&lt;/EndNote&gt;</w:instrText>
      </w:r>
      <w:r w:rsidRPr="00BF1CC4">
        <w:fldChar w:fldCharType="separate"/>
      </w:r>
      <w:r w:rsidRPr="00BF1CC4">
        <w:rPr>
          <w:noProof/>
        </w:rPr>
        <w:t>Wernerfelt (1986)</w:t>
      </w:r>
      <w:r w:rsidRPr="00BF1CC4">
        <w:fldChar w:fldCharType="end"/>
      </w:r>
      <w:r w:rsidRPr="00BF1CC4">
        <w:t xml:space="preserve"> research in Ghana, which explored the impact of market share and bank performance.</w:t>
      </w:r>
    </w:p>
    <w:p w14:paraId="62131F69" w14:textId="77777777" w:rsidR="00735DCF" w:rsidRPr="00BF1CC4" w:rsidRDefault="00735DCF" w:rsidP="008552A8">
      <w:pPr>
        <w:spacing w:before="240" w:after="80" w:line="360" w:lineRule="auto"/>
        <w:jc w:val="both"/>
        <w:rPr>
          <w:rFonts w:eastAsiaTheme="minorHAnsi"/>
        </w:rPr>
      </w:pPr>
      <w:bookmarkStart w:id="45" w:name="_Toc117954764"/>
      <w:r w:rsidRPr="00BF1CC4">
        <w:rPr>
          <w:rFonts w:eastAsiaTheme="minorHAnsi"/>
        </w:rPr>
        <w:t xml:space="preserve">The positive yet statistically insignificant relationship between inflation and the rate of return on equity among the selected banks in the NSE may be attributed to several factors. First, it's possible that the impact of inflation on banks' profitability exhibits time lags, meaning that its effects may not be immediately reflected in their equity returns. Second, these banks could have implemented effective inflation control measures, such as hedging strategies or cost-cutting measures, to mitigate the negative consequences of inflation on their financial performance. The government and central bank policies aimed at stabilizing inflation rates might have played a role in reducing inflation's impact on these banks, further contributing to the observed insubstantial link between inflation and the rate of return on equity </w:t>
      </w:r>
      <w:r w:rsidRPr="00BF1CC4">
        <w:rPr>
          <w:rFonts w:eastAsiaTheme="minorHAnsi"/>
        </w:rPr>
        <w:fldChar w:fldCharType="begin"/>
      </w:r>
      <w:r w:rsidRPr="00BF1CC4">
        <w:rPr>
          <w:rFonts w:eastAsiaTheme="minorHAnsi"/>
        </w:rPr>
        <w:instrText xml:space="preserve"> ADDIN EN.CITE &lt;EndNote&gt;&lt;Cite&gt;&lt;Author&gt;Mishra&lt;/Author&gt;&lt;Year&gt;2013&lt;/Year&gt;&lt;RecNum&gt;61&lt;/RecNum&gt;&lt;DisplayText&gt;(Mishra &amp;amp; Montiel, 2013)&lt;/DisplayText&gt;&lt;record&gt;&lt;rec-number&gt;61&lt;/rec-number&gt;&lt;foreign-keys&gt;&lt;key app="EN" db-id="r0zpxf9dkzrv2yeppzfpxvz2ta5w2paa2fze" timestamp="1667222497"&gt;61&lt;/key&gt;&lt;/foreign-keys&gt;&lt;ref-type name="Journal Article"&gt;17&lt;/ref-type&gt;&lt;contributors&gt;&lt;authors&gt;&lt;author&gt;Mishra, Prachi&lt;/author&gt;&lt;author&gt;Montiel, Peter&lt;/author&gt;&lt;/authors&gt;&lt;/contributors&gt;&lt;titles&gt;&lt;title&gt;How effective is monetary transmission in low-income countries? A survey of the empirical evidence&lt;/title&gt;&lt;secondary-title&gt;Economic Systems&lt;/secondary-title&gt;&lt;/titles&gt;&lt;periodical&gt;&lt;full-title&gt;Economic Systems&lt;/full-title&gt;&lt;/periodical&gt;&lt;pages&gt;187-216&lt;/pages&gt;&lt;volume&gt;37&lt;/volume&gt;&lt;number&gt;2&lt;/number&gt;&lt;dates&gt;&lt;year&gt;2013&lt;/year&gt;&lt;/dates&gt;&lt;isbn&gt;0939-3625&lt;/isbn&gt;&lt;urls&gt;&lt;/urls&gt;&lt;/record&gt;&lt;/Cite&gt;&lt;/EndNote&gt;</w:instrText>
      </w:r>
      <w:r w:rsidRPr="00BF1CC4">
        <w:rPr>
          <w:rFonts w:eastAsiaTheme="minorHAnsi"/>
        </w:rPr>
        <w:fldChar w:fldCharType="separate"/>
      </w:r>
      <w:r w:rsidRPr="00BF1CC4">
        <w:rPr>
          <w:rFonts w:eastAsiaTheme="minorHAnsi"/>
          <w:noProof/>
        </w:rPr>
        <w:t>(Mishra &amp; Montiel, 2013)</w:t>
      </w:r>
      <w:r w:rsidRPr="00BF1CC4">
        <w:rPr>
          <w:rFonts w:eastAsiaTheme="minorHAnsi"/>
        </w:rPr>
        <w:fldChar w:fldCharType="end"/>
      </w:r>
      <w:r w:rsidRPr="00BF1CC4">
        <w:rPr>
          <w:rFonts w:eastAsiaTheme="minorHAnsi"/>
        </w:rPr>
        <w:t>.</w:t>
      </w:r>
    </w:p>
    <w:p w14:paraId="0290DBE2" w14:textId="77777777" w:rsidR="00735DCF" w:rsidRPr="00BF1CC4" w:rsidRDefault="00735DCF" w:rsidP="008552A8">
      <w:pPr>
        <w:spacing w:before="240" w:after="80" w:line="360" w:lineRule="auto"/>
        <w:jc w:val="both"/>
        <w:rPr>
          <w:rFonts w:eastAsiaTheme="minorHAnsi"/>
        </w:rPr>
      </w:pPr>
      <w:r w:rsidRPr="00BF1CC4">
        <w:rPr>
          <w:rFonts w:eastAsiaTheme="minorHAnsi"/>
        </w:rPr>
        <w:t xml:space="preserve">The observed negative but statistically insignificant relationship between lending rates and the rate of return on equity among the selected banks in the NSE suggests that factors beyond lending rates are likely at play. Potential time lags and regulatory influences could account for this situation </w:t>
      </w:r>
      <w:r w:rsidRPr="00BF1CC4">
        <w:rPr>
          <w:rFonts w:eastAsiaTheme="minorHAnsi"/>
        </w:rPr>
        <w:fldChar w:fldCharType="begin"/>
      </w:r>
      <w:r w:rsidRPr="00BF1CC4">
        <w:rPr>
          <w:rFonts w:eastAsiaTheme="minorHAnsi"/>
        </w:rPr>
        <w:instrText xml:space="preserve"> ADDIN EN.CITE &lt;EndNote&gt;&lt;Cite&gt;&lt;Author&gt;Omondi&lt;/Author&gt;&lt;Year&gt;2013&lt;/Year&gt;&lt;RecNum&gt;349&lt;/RecNum&gt;&lt;DisplayText&gt;(Omondi &amp;amp; Muturi, 2013)&lt;/DisplayText&gt;&lt;record&gt;&lt;rec-number&gt;349&lt;/rec-number&gt;&lt;foreign-keys&gt;&lt;key app="EN" db-id="r0zpxf9dkzrv2yeppzfpxvz2ta5w2paa2fze" timestamp="1696964255"&gt;349&lt;/key&gt;&lt;/foreign-keys&gt;&lt;ref-type name="Journal Article"&gt;17&lt;/ref-type&gt;&lt;contributors&gt;&lt;authors&gt;&lt;author&gt;Omondi, Maleya M&lt;/author&gt;&lt;author&gt;Muturi, Willy&lt;/author&gt;&lt;/authors&gt;&lt;/contributors&gt;&lt;titles&gt;&lt;title&gt;Factors affecting the financial performance of listed companies at the Nairobi Securities Exchange in Kenya&lt;/title&gt;&lt;secondary-title&gt;Research journal of finance and accounting&lt;/secondary-title&gt;&lt;/titles&gt;&lt;periodical&gt;&lt;full-title&gt;Research journal of finance and accounting&lt;/full-title&gt;&lt;/periodical&gt;&lt;pages&gt;99-104&lt;/pages&gt;&lt;volume&gt;4&lt;/volume&gt;&lt;number&gt;15&lt;/number&gt;&lt;dates&gt;&lt;year&gt;2013&lt;/year&gt;&lt;/dates&gt;&lt;urls&gt;&lt;/urls&gt;&lt;/record&gt;&lt;/Cite&gt;&lt;/EndNote&gt;</w:instrText>
      </w:r>
      <w:r w:rsidRPr="00BF1CC4">
        <w:rPr>
          <w:rFonts w:eastAsiaTheme="minorHAnsi"/>
        </w:rPr>
        <w:fldChar w:fldCharType="separate"/>
      </w:r>
      <w:r w:rsidRPr="00BF1CC4">
        <w:rPr>
          <w:rFonts w:eastAsiaTheme="minorHAnsi"/>
          <w:noProof/>
        </w:rPr>
        <w:t>(Omondi &amp; Muturi, 2013)</w:t>
      </w:r>
      <w:r w:rsidRPr="00BF1CC4">
        <w:rPr>
          <w:rFonts w:eastAsiaTheme="minorHAnsi"/>
        </w:rPr>
        <w:fldChar w:fldCharType="end"/>
      </w:r>
      <w:r w:rsidRPr="00BF1CC4">
        <w:rPr>
          <w:rFonts w:eastAsiaTheme="minorHAnsi"/>
        </w:rPr>
        <w:t>.</w:t>
      </w:r>
    </w:p>
    <w:p w14:paraId="4324EDD9" w14:textId="6F75BF30" w:rsidR="007C0597" w:rsidRPr="00BF1CC4" w:rsidRDefault="00735DCF" w:rsidP="008552A8">
      <w:pPr>
        <w:spacing w:before="240" w:after="80" w:line="360" w:lineRule="auto"/>
        <w:jc w:val="both"/>
        <w:rPr>
          <w:rFonts w:eastAsiaTheme="minorHAnsi"/>
        </w:rPr>
      </w:pPr>
      <w:r w:rsidRPr="00BF1CC4">
        <w:rPr>
          <w:rFonts w:eastAsiaTheme="minorHAnsi"/>
        </w:rPr>
        <w:lastRenderedPageBreak/>
        <w:t>The results of the study found a positive and significant relation between debt ratio and the rate of return on equity among the selected banks in NSE. This implied that the null hypothesis was rejected at the conventional 5 percent significance level.</w:t>
      </w:r>
      <w:r w:rsidRPr="00BF1CC4">
        <w:t xml:space="preserve"> This means that a higher bank debt ratio is associated with higher returns on equity. Possible explanations for this result could include the fact that taking on additional debt might allow banks to leverage their investments, potentially leading to increased profits if well managed and utilized.</w:t>
      </w:r>
      <w:r w:rsidR="00D27E36" w:rsidRPr="00BF1CC4">
        <w:t xml:space="preserve"> </w:t>
      </w:r>
      <w:r w:rsidRPr="00BF1CC4">
        <w:t xml:space="preserve">The noted statistically significant inverse association between the </w:t>
      </w:r>
      <w:r w:rsidR="0055348D" w:rsidRPr="00BF1CC4">
        <w:t>debt-to-equity</w:t>
      </w:r>
      <w:r w:rsidRPr="00BF1CC4">
        <w:t xml:space="preserve"> ratio and financial performance aligns with the drift concept proposed by the dynamic tradeoff theory. It is also in accordance with the assertion of the pecking order theory in capital markets, particularly in cases where there is asymmetry in firm information, as discussed by Myers and Majluf</w:t>
      </w:r>
      <w:r w:rsidR="0055348D" w:rsidRPr="00BF1CC4">
        <w:t xml:space="preserve"> (</w:t>
      </w:r>
      <w:r w:rsidRPr="00BF1CC4">
        <w:t>1984</w:t>
      </w:r>
      <w:r w:rsidR="0055348D" w:rsidRPr="00BF1CC4">
        <w:t>)</w:t>
      </w:r>
      <w:r w:rsidRPr="00BF1CC4">
        <w:t xml:space="preserve">. A comparable discovery was made by </w:t>
      </w:r>
      <w:r w:rsidRPr="00BF1CC4">
        <w:fldChar w:fldCharType="begin"/>
      </w:r>
      <w:r w:rsidRPr="00BF1CC4">
        <w:instrText xml:space="preserve"> ADDIN EN.CITE &lt;EndNote&gt;&lt;Cite&gt;&lt;Author&gt;Omollo&lt;/Author&gt;&lt;Year&gt;2018&lt;/Year&gt;&lt;RecNum&gt;351&lt;/RecNum&gt;&lt;DisplayText&gt;(Omollo&lt;style face="italic"&gt; et al.&lt;/style&gt;, 2018)&lt;/DisplayText&gt;&lt;record&gt;&lt;rec-number&gt;351&lt;/rec-number&gt;&lt;foreign-keys&gt;&lt;key app="EN" db-id="r0zpxf9dkzrv2yeppzfpxvz2ta5w2paa2fze" timestamp="1696965784"&gt;351&lt;/key&gt;&lt;/foreign-keys&gt;&lt;ref-type name="Journal Article"&gt;17&lt;/ref-type&gt;&lt;contributors&gt;&lt;authors&gt;&lt;author&gt;Omollo, Benter Achieng&lt;/author&gt;&lt;author&gt;Muturi, Willy M&lt;/author&gt;&lt;author&gt;Wanjare, Joshua&lt;/author&gt;&lt;/authors&gt;&lt;/contributors&gt;&lt;titles&gt;&lt;title&gt;Effect of debt financing options on financial performance of firms listed at the Nairobi Securities Exchange, Kenya&lt;/title&gt;&lt;secondary-title&gt;Research Journal of Finance and Accounting&lt;/secondary-title&gt;&lt;/titles&gt;&lt;periodical&gt;&lt;full-title&gt;Research journal of finance and accounting&lt;/full-title&gt;&lt;/periodical&gt;&lt;pages&gt;150-164&lt;/pages&gt;&lt;volume&gt;9&lt;/volume&gt;&lt;number&gt;10&lt;/number&gt;&lt;dates&gt;&lt;year&gt;2018&lt;/year&gt;&lt;/dates&gt;&lt;urls&gt;&lt;/urls&gt;&lt;/record&gt;&lt;/Cite&gt;&lt;/EndNote&gt;</w:instrText>
      </w:r>
      <w:r w:rsidRPr="00BF1CC4">
        <w:fldChar w:fldCharType="separate"/>
      </w:r>
      <w:r w:rsidRPr="00BF1CC4">
        <w:rPr>
          <w:noProof/>
        </w:rPr>
        <w:t>(Omollo</w:t>
      </w:r>
      <w:r w:rsidRPr="00BF1CC4">
        <w:rPr>
          <w:i/>
          <w:noProof/>
        </w:rPr>
        <w:t xml:space="preserve"> et al.</w:t>
      </w:r>
      <w:r w:rsidR="003C7135">
        <w:rPr>
          <w:noProof/>
        </w:rPr>
        <w:t xml:space="preserve"> (</w:t>
      </w:r>
      <w:r w:rsidRPr="00BF1CC4">
        <w:rPr>
          <w:noProof/>
        </w:rPr>
        <w:t>2018)</w:t>
      </w:r>
      <w:r w:rsidRPr="00BF1CC4">
        <w:fldChar w:fldCharType="end"/>
      </w:r>
      <w:r w:rsidR="003C7135">
        <w:t xml:space="preserve"> and </w:t>
      </w:r>
      <w:r w:rsidRPr="00BF1CC4">
        <w:t>Salamba</w:t>
      </w:r>
      <w:r w:rsidR="003C7135">
        <w:t xml:space="preserve"> (</w:t>
      </w:r>
      <w:r w:rsidRPr="00BF1CC4">
        <w:t>2015), supporting the consistency of these findings in the existing literature.</w:t>
      </w:r>
    </w:p>
    <w:p w14:paraId="5E0E7A07" w14:textId="45DB4A8C" w:rsidR="00981E3E" w:rsidRPr="00BF1CC4" w:rsidRDefault="007C0597" w:rsidP="008552A8">
      <w:pPr>
        <w:spacing w:before="240" w:after="80" w:line="360" w:lineRule="auto"/>
        <w:jc w:val="both"/>
        <w:rPr>
          <w:rFonts w:eastAsiaTheme="minorHAnsi"/>
          <w:lang w:eastAsia="en-GB"/>
        </w:rPr>
      </w:pPr>
      <w:r w:rsidRPr="00BF1CC4">
        <w:rPr>
          <w:rFonts w:eastAsiaTheme="minorHAnsi"/>
          <w:lang w:eastAsia="en-GB"/>
        </w:rPr>
        <w:t xml:space="preserve">The overall R- square was </w:t>
      </w:r>
      <w:r w:rsidRPr="00BF1CC4">
        <w:rPr>
          <w:rFonts w:eastAsiaTheme="minorHAnsi"/>
        </w:rPr>
        <w:t>0.5162</w:t>
      </w:r>
      <w:r w:rsidR="00111C2B" w:rsidRPr="00BF1CC4">
        <w:rPr>
          <w:rFonts w:eastAsiaTheme="minorHAnsi"/>
          <w:lang w:eastAsia="en-GB"/>
        </w:rPr>
        <w:t xml:space="preserve">, confirm the goodness of fit of model. </w:t>
      </w:r>
      <w:r w:rsidRPr="00BF1CC4">
        <w:t>The study performed the following post regression diagnostic tests; normality test using Jarque-Bera test, serial correlation using Durbin-Watson d-statistic and heteroscedasticity test by Breusch-Pagan-Godfrey. This is to eliminate the possibilities of spurious</w:t>
      </w:r>
      <w:r w:rsidR="003D50E6">
        <w:t xml:space="preserve"> results</w:t>
      </w:r>
      <w:r w:rsidRPr="00BF1CC4">
        <w:t xml:space="preserve">. Based on Table 4, </w:t>
      </w:r>
      <w:r w:rsidRPr="00BF1CC4">
        <w:rPr>
          <w:rFonts w:eastAsiaTheme="minorHAnsi"/>
        </w:rPr>
        <w:t xml:space="preserve">the Jarque-Bera test indicate that the residuals are normally distributed; </w:t>
      </w:r>
      <w:r w:rsidR="00111C2B" w:rsidRPr="00BF1CC4">
        <w:rPr>
          <w:rFonts w:eastAsiaTheme="minorHAnsi"/>
        </w:rPr>
        <w:t>since</w:t>
      </w:r>
      <w:r w:rsidRPr="00BF1CC4">
        <w:rPr>
          <w:rFonts w:eastAsiaTheme="minorHAnsi"/>
        </w:rPr>
        <w:t xml:space="preserve"> the p-value is smaller than the Chi (2) value, we fail to reject the null hypothesis. Table 4 displays the results of a </w:t>
      </w:r>
      <w:bookmarkStart w:id="46" w:name="_Hlk177982517"/>
      <w:r w:rsidRPr="00BF1CC4">
        <w:rPr>
          <w:rFonts w:eastAsiaTheme="minorHAnsi"/>
        </w:rPr>
        <w:t xml:space="preserve">multicollinearity test, where the Variance Inflation Factor (VIF) </w:t>
      </w:r>
      <w:bookmarkEnd w:id="46"/>
      <w:r w:rsidRPr="00BF1CC4">
        <w:rPr>
          <w:rFonts w:eastAsiaTheme="minorHAnsi"/>
        </w:rPr>
        <w:t>is employed to assess the degree of collinearity among independent variables in the analysis. The average VIF value observed was 4.10, which is notably lower than the predefined threshold of 10. This outcome suggests the absence of significant multicollinearity in the data, signifying that the independent variables in the analysis do not exhibit strong correlation issues.</w:t>
      </w:r>
      <w:r w:rsidR="00981E3E" w:rsidRPr="00BF1CC4">
        <w:rPr>
          <w:rFonts w:eastAsiaTheme="minorHAnsi"/>
        </w:rPr>
        <w:t xml:space="preserve"> Homoscedasticity null hypothesis is accepted if the chi-square test statistic's corresponding p value is greater than the 5% level of significance and rejected if it is lower than that mark. Table 4 shows the outcomes of White test which demonstrate that the residuals of the model are homoscedastic. The residuals' serial correlation was investigated using the Breusch and Pagan Lagrangian multiplier test. </w:t>
      </w:r>
      <w:r w:rsidR="00981E3E" w:rsidRPr="00BF1CC4">
        <w:t xml:space="preserve">The results in </w:t>
      </w:r>
      <w:r w:rsidR="0055348D" w:rsidRPr="00BF1CC4">
        <w:t>T</w:t>
      </w:r>
      <w:r w:rsidR="00981E3E" w:rsidRPr="00BF1CC4">
        <w:t xml:space="preserve">able 4 indicated </w:t>
      </w:r>
      <w:r w:rsidR="008B0A7B" w:rsidRPr="00BF1CC4">
        <w:t>a –</w:t>
      </w:r>
      <w:r w:rsidR="00981E3E" w:rsidRPr="00BF1CC4">
        <w:t xml:space="preserve"> value was 0.7203&gt; 0.05 at 95% </w:t>
      </w:r>
      <w:r w:rsidR="00981E3E" w:rsidRPr="00BF1CC4">
        <w:lastRenderedPageBreak/>
        <w:t>confidence interval therefore the null hypothesis of no serial autocorrelation was accepted.</w:t>
      </w:r>
    </w:p>
    <w:p w14:paraId="59CAC1DC" w14:textId="47973619" w:rsidR="00735DCF" w:rsidRPr="00BF1CC4" w:rsidRDefault="00607DF3" w:rsidP="008552A8">
      <w:pPr>
        <w:pStyle w:val="Heading2"/>
        <w:spacing w:line="360" w:lineRule="auto"/>
        <w:rPr>
          <w:rFonts w:ascii="Times New Roman" w:hAnsi="Times New Roman" w:cs="Times New Roman"/>
          <w:color w:val="auto"/>
          <w:sz w:val="24"/>
          <w:szCs w:val="24"/>
        </w:rPr>
      </w:pPr>
      <w:bookmarkStart w:id="47" w:name="_Toc463643460"/>
      <w:bookmarkStart w:id="48" w:name="_Toc463643991"/>
      <w:bookmarkStart w:id="49" w:name="_Toc526348776"/>
      <w:bookmarkStart w:id="50" w:name="_Toc527119826"/>
      <w:bookmarkStart w:id="51" w:name="_Toc11425921"/>
      <w:bookmarkStart w:id="52" w:name="_Toc57131396"/>
      <w:bookmarkStart w:id="53" w:name="_Toc62646610"/>
      <w:bookmarkStart w:id="54" w:name="_Toc85276999"/>
      <w:bookmarkStart w:id="55" w:name="_Toc115641626"/>
      <w:bookmarkStart w:id="56" w:name="_Toc117954766"/>
      <w:bookmarkStart w:id="57" w:name="_Toc148807505"/>
      <w:r w:rsidRPr="00BF1CC4">
        <w:rPr>
          <w:rFonts w:ascii="Times New Roman" w:hAnsi="Times New Roman" w:cs="Times New Roman"/>
          <w:color w:val="auto"/>
          <w:sz w:val="24"/>
          <w:szCs w:val="24"/>
        </w:rPr>
        <w:t xml:space="preserve">5 </w:t>
      </w:r>
      <w:r w:rsidR="00211F4C" w:rsidRPr="00BF1CC4">
        <w:rPr>
          <w:rFonts w:ascii="Times New Roman" w:hAnsi="Times New Roman" w:cs="Times New Roman"/>
          <w:color w:val="auto"/>
          <w:sz w:val="24"/>
          <w:szCs w:val="24"/>
        </w:rPr>
        <w:t xml:space="preserve">Conclusion </w:t>
      </w:r>
      <w:bookmarkEnd w:id="47"/>
      <w:bookmarkEnd w:id="48"/>
      <w:bookmarkEnd w:id="49"/>
      <w:bookmarkEnd w:id="50"/>
      <w:bookmarkEnd w:id="51"/>
      <w:bookmarkEnd w:id="52"/>
      <w:bookmarkEnd w:id="53"/>
      <w:bookmarkEnd w:id="54"/>
      <w:bookmarkEnd w:id="55"/>
      <w:bookmarkEnd w:id="56"/>
      <w:bookmarkEnd w:id="57"/>
    </w:p>
    <w:p w14:paraId="206C5405" w14:textId="3EB056EA" w:rsidR="00545DBC" w:rsidRPr="00BF1CC4" w:rsidRDefault="00545DBC" w:rsidP="008552A8">
      <w:pPr>
        <w:spacing w:before="240" w:after="240" w:line="360" w:lineRule="auto"/>
        <w:jc w:val="both"/>
        <w:rPr>
          <w:rFonts w:eastAsiaTheme="minorHAnsi"/>
        </w:rPr>
      </w:pPr>
      <w:bookmarkStart w:id="58" w:name="_Toc11425933"/>
      <w:bookmarkStart w:id="59" w:name="_Toc57131409"/>
      <w:bookmarkStart w:id="60" w:name="_Toc62646623"/>
      <w:bookmarkStart w:id="61" w:name="_Toc85277012"/>
      <w:bookmarkStart w:id="62" w:name="_Toc115641639"/>
      <w:bookmarkStart w:id="63" w:name="_Toc117954771"/>
      <w:r w:rsidRPr="00BF1CC4">
        <w:t xml:space="preserve">The purpose of the study is to investigate the relationship between bank specific factors, macroeconomic drivers and </w:t>
      </w:r>
      <w:r w:rsidR="003F4723">
        <w:t xml:space="preserve">profitability </w:t>
      </w:r>
      <w:r w:rsidRPr="00BF1CC4">
        <w:t xml:space="preserve">of </w:t>
      </w:r>
      <w:r w:rsidR="006923D1">
        <w:t xml:space="preserve">nine </w:t>
      </w:r>
      <w:r w:rsidRPr="00BF1CC4">
        <w:t xml:space="preserve">commercial banks listed in Nairobi </w:t>
      </w:r>
      <w:r w:rsidR="003B7232">
        <w:t>Securities</w:t>
      </w:r>
      <w:r w:rsidRPr="00BF1CC4">
        <w:t xml:space="preserve"> Exchange, Kenya. The study is anchored on transaction cost economic theory with panel secondary data spanning from the period 2011-2020.  Data was analyzed using </w:t>
      </w:r>
      <w:r w:rsidR="00CD70CB" w:rsidRPr="00BF1CC4">
        <w:t xml:space="preserve">pooled </w:t>
      </w:r>
      <w:r w:rsidRPr="00BF1CC4">
        <w:t xml:space="preserve">ordinary least squares (OLS) combined with fixed effect model to generate the necessary descriptive and inferential </w:t>
      </w:r>
      <w:r w:rsidR="00CD70CB" w:rsidRPr="00BF1CC4">
        <w:t>estimates</w:t>
      </w:r>
      <w:r w:rsidRPr="00BF1CC4">
        <w:t>.</w:t>
      </w:r>
      <w:r w:rsidRPr="00BF1CC4">
        <w:rPr>
          <w:rFonts w:eastAsiaTheme="minorHAnsi"/>
        </w:rPr>
        <w:t xml:space="preserve"> Based on the panel fixed model regression results increase in total assets, bank capital and debt ratio increase bank profitability while increase in market concentration hurt firms’ performance</w:t>
      </w:r>
      <w:r w:rsidR="003B7232">
        <w:rPr>
          <w:rFonts w:eastAsiaTheme="minorHAnsi"/>
        </w:rPr>
        <w:t xml:space="preserve"> in relation to its equity</w:t>
      </w:r>
      <w:r w:rsidRPr="00BF1CC4">
        <w:rPr>
          <w:rFonts w:eastAsiaTheme="minorHAnsi"/>
        </w:rPr>
        <w:t xml:space="preserve"> </w:t>
      </w:r>
      <w:r w:rsidR="00CD70CB" w:rsidRPr="00BF1CC4">
        <w:rPr>
          <w:rFonts w:eastAsiaTheme="minorHAnsi"/>
        </w:rPr>
        <w:t>Finally</w:t>
      </w:r>
      <w:r w:rsidRPr="00BF1CC4">
        <w:rPr>
          <w:rFonts w:eastAsiaTheme="minorHAnsi"/>
        </w:rPr>
        <w:t xml:space="preserve">, inflation rate, lending rate and tax rate were insignificant in relation to rate of return on equity among the selected banks in NSE. </w:t>
      </w:r>
    </w:p>
    <w:p w14:paraId="2B7F771C" w14:textId="082B07DB" w:rsidR="00D27E36" w:rsidRPr="00BF1CC4" w:rsidRDefault="00735DCF" w:rsidP="008552A8">
      <w:pPr>
        <w:spacing w:before="240" w:after="240" w:line="360" w:lineRule="auto"/>
        <w:jc w:val="both"/>
        <w:rPr>
          <w:rFonts w:eastAsiaTheme="minorHAnsi"/>
        </w:rPr>
      </w:pPr>
      <w:r w:rsidRPr="00BF1CC4">
        <w:t xml:space="preserve">The study's findings led to the following </w:t>
      </w:r>
      <w:r w:rsidR="00211F4C" w:rsidRPr="00BF1CC4">
        <w:t>recommendations</w:t>
      </w:r>
      <w:r w:rsidRPr="00BF1CC4">
        <w:t>:</w:t>
      </w:r>
      <w:r w:rsidR="00111C2B" w:rsidRPr="00BF1CC4">
        <w:t xml:space="preserve"> </w:t>
      </w:r>
      <w:r w:rsidRPr="00BF1CC4">
        <w:rPr>
          <w:rFonts w:eastAsiaTheme="minorHAnsi"/>
        </w:rPr>
        <w:t>Banks should give thought to the implementation of strategic asset management as a means to optimize their asset allocation, as it can contribute to increased profitability through diversification and efficient asset utilization. As banks witness asset expansion, it is imperative that they place a strong emphasis on robust risk management practices to uphold the quality of their assets. The effective assessment and management of risks are pivotal in protecting against potential losses</w:t>
      </w:r>
      <w:r w:rsidR="00D27E36" w:rsidRPr="00BF1CC4">
        <w:rPr>
          <w:rFonts w:eastAsiaTheme="minorHAnsi"/>
        </w:rPr>
        <w:t xml:space="preserve"> and collapse.</w:t>
      </w:r>
    </w:p>
    <w:p w14:paraId="783DD4AF" w14:textId="574FFF84" w:rsidR="00735DCF" w:rsidRPr="00BF1CC4" w:rsidRDefault="00735DCF" w:rsidP="008552A8">
      <w:pPr>
        <w:spacing w:before="240" w:after="240" w:line="360" w:lineRule="auto"/>
        <w:jc w:val="both"/>
      </w:pPr>
      <w:r w:rsidRPr="00BF1CC4">
        <w:t xml:space="preserve">In light of the study's banks should focus on optimizing their capital allocation strategies to ensure that capital is efficiently used to generate higher returns on equity. This may involve reallocating capital to more profitable areas of their business or seeking opportunities for growth that can enhance the return on equity. They should encourage ongoing research and analysis within the bank to identify opportunities for investment like new </w:t>
      </w:r>
      <w:r w:rsidR="00D27E36" w:rsidRPr="00BF1CC4">
        <w:t>technology</w:t>
      </w:r>
      <w:r w:rsidRPr="00BF1CC4">
        <w:t xml:space="preserve"> to improve capital-to-equity ratio, which can, in turn, boost profitability.</w:t>
      </w:r>
    </w:p>
    <w:p w14:paraId="77152D37" w14:textId="0ABA42CD" w:rsidR="00735DCF" w:rsidRPr="00BF1CC4" w:rsidRDefault="00735DCF" w:rsidP="008552A8">
      <w:pPr>
        <w:spacing w:before="240" w:after="240" w:line="360" w:lineRule="auto"/>
        <w:jc w:val="both"/>
      </w:pPr>
      <w:r w:rsidRPr="00BF1CC4">
        <w:t xml:space="preserve">Given the study's findings that a negative relationship exists between bank concentration (market share) and the rate of return on equity (ROE), </w:t>
      </w:r>
      <w:bookmarkStart w:id="64" w:name="_Hlk174197838"/>
      <w:r w:rsidRPr="00BF1CC4">
        <w:t xml:space="preserve">the study recommended that banks </w:t>
      </w:r>
      <w:r w:rsidRPr="00BF1CC4">
        <w:lastRenderedPageBreak/>
        <w:t xml:space="preserve">should diversify their business lines and offerings. </w:t>
      </w:r>
      <w:bookmarkEnd w:id="64"/>
      <w:r w:rsidRPr="00BF1CC4">
        <w:t>Explore opportunities in areas such as wealth management, asset management and insurance. Banks should develop a competitive strategy that takes into account the negative impact of high bank concentration on ROE. This strategy may involve focusing on niche markets or segments, where competition is lower, and the bank can maintain a competitive edge like Green Banking.</w:t>
      </w:r>
    </w:p>
    <w:p w14:paraId="1B876CBC" w14:textId="1A2A39EC" w:rsidR="008137DE" w:rsidRPr="00BF1CC4" w:rsidRDefault="00735DCF" w:rsidP="008552A8">
      <w:pPr>
        <w:spacing w:before="240" w:after="240" w:line="360" w:lineRule="auto"/>
        <w:jc w:val="both"/>
      </w:pPr>
      <w:r w:rsidRPr="00BF1CC4">
        <w:t xml:space="preserve">Finally on bank debt ratio government bodies should have counter-cyclical policies in place to mitigate the risks associated with increased leverage during economic downturns example Automatic </w:t>
      </w:r>
      <w:r w:rsidR="00E97D63">
        <w:t>s</w:t>
      </w:r>
      <w:r w:rsidRPr="00BF1CC4">
        <w:t>tabilizers that are built-in features of fiscal policy that automatically respond to economic conditions like the progressive income taxes. This can help maintain the stability of the financial sector and prevent systemic crises. Banks should focus on optimizing their debt management strategies to strike a balance between capital structure and profitability. This may involve using debt for growth and expansion where it can generate higher returns on equity, but doing so prudently to avoid excessive leverage.</w:t>
      </w:r>
    </w:p>
    <w:p w14:paraId="4A0331BD" w14:textId="2983D937" w:rsidR="00182643" w:rsidRPr="00BF1CC4" w:rsidRDefault="00182643" w:rsidP="008552A8">
      <w:pPr>
        <w:pStyle w:val="Heading2"/>
        <w:spacing w:line="360" w:lineRule="auto"/>
        <w:rPr>
          <w:rFonts w:ascii="Times New Roman" w:hAnsi="Times New Roman" w:cs="Times New Roman"/>
          <w:color w:val="auto"/>
          <w:sz w:val="24"/>
          <w:szCs w:val="24"/>
        </w:rPr>
      </w:pPr>
      <w:bookmarkStart w:id="65" w:name="_Toc148807511"/>
      <w:bookmarkEnd w:id="29"/>
      <w:bookmarkEnd w:id="45"/>
      <w:bookmarkEnd w:id="58"/>
      <w:bookmarkEnd w:id="59"/>
      <w:bookmarkEnd w:id="60"/>
      <w:bookmarkEnd w:id="61"/>
      <w:bookmarkEnd w:id="62"/>
      <w:bookmarkEnd w:id="63"/>
      <w:r w:rsidRPr="00BF1CC4">
        <w:rPr>
          <w:rFonts w:ascii="Times New Roman" w:hAnsi="Times New Roman" w:cs="Times New Roman"/>
          <w:color w:val="auto"/>
          <w:sz w:val="24"/>
          <w:szCs w:val="24"/>
        </w:rPr>
        <w:t>Reference</w:t>
      </w:r>
      <w:bookmarkEnd w:id="65"/>
      <w:r w:rsidR="00A906A7" w:rsidRPr="00BF1CC4">
        <w:rPr>
          <w:rFonts w:ascii="Times New Roman" w:hAnsi="Times New Roman" w:cs="Times New Roman"/>
          <w:color w:val="auto"/>
          <w:sz w:val="24"/>
          <w:szCs w:val="24"/>
        </w:rPr>
        <w:t>s</w:t>
      </w:r>
    </w:p>
    <w:p w14:paraId="50EF32A2" w14:textId="5CD6995E" w:rsidR="00735DCF" w:rsidRPr="00BF1CC4" w:rsidRDefault="00182643" w:rsidP="008552A8">
      <w:pPr>
        <w:pStyle w:val="EndNoteBibliography"/>
        <w:spacing w:line="360" w:lineRule="auto"/>
        <w:ind w:left="720" w:hanging="720"/>
        <w:jc w:val="both"/>
      </w:pPr>
      <w:r w:rsidRPr="00BF1CC4">
        <w:fldChar w:fldCharType="begin"/>
      </w:r>
      <w:r w:rsidRPr="00BF1CC4">
        <w:instrText xml:space="preserve"> ADDIN EN.REFLIST </w:instrText>
      </w:r>
      <w:r w:rsidRPr="00BF1CC4">
        <w:fldChar w:fldCharType="separate"/>
      </w:r>
      <w:r w:rsidR="00735DCF" w:rsidRPr="00BF1CC4">
        <w:t xml:space="preserve"> Allen, M. (2017). </w:t>
      </w:r>
      <w:r w:rsidR="00735DCF" w:rsidRPr="00BF1CC4">
        <w:rPr>
          <w:i/>
        </w:rPr>
        <w:t>The SAGE encyclopedia of communication research methods</w:t>
      </w:r>
      <w:r w:rsidR="00735DCF" w:rsidRPr="00BF1CC4">
        <w:t>: SAGE publications.</w:t>
      </w:r>
    </w:p>
    <w:p w14:paraId="03764407" w14:textId="77777777" w:rsidR="00735DCF" w:rsidRPr="00BF1CC4" w:rsidRDefault="00735DCF" w:rsidP="008552A8">
      <w:pPr>
        <w:pStyle w:val="EndNoteBibliography"/>
        <w:spacing w:line="360" w:lineRule="auto"/>
        <w:ind w:left="720" w:hanging="720"/>
        <w:jc w:val="both"/>
      </w:pPr>
      <w:r w:rsidRPr="00BF1CC4">
        <w:t xml:space="preserve">Almarzoqi, R., Naceur, M. S. B., &amp; Scopelliti, A. (2015). </w:t>
      </w:r>
      <w:r w:rsidRPr="00BF1CC4">
        <w:rPr>
          <w:i/>
        </w:rPr>
        <w:t>How does bank competition affect solvency, liquidity and credit risk? Evidence from the MENA countries</w:t>
      </w:r>
      <w:r w:rsidRPr="00BF1CC4">
        <w:t>: International Monetary Fund.</w:t>
      </w:r>
    </w:p>
    <w:p w14:paraId="6B1C657B" w14:textId="537188AA" w:rsidR="00735DCF" w:rsidRPr="00BF1CC4" w:rsidRDefault="00A906A7" w:rsidP="008552A8">
      <w:pPr>
        <w:pStyle w:val="EndNoteBibliography"/>
        <w:spacing w:line="360" w:lineRule="auto"/>
        <w:ind w:left="720" w:hanging="720"/>
        <w:jc w:val="both"/>
      </w:pPr>
      <w:r w:rsidRPr="00BF1CC4">
        <w:t xml:space="preserve">Apiyo, W. (2019). </w:t>
      </w:r>
      <w:r w:rsidRPr="00BF1CC4">
        <w:rPr>
          <w:i/>
        </w:rPr>
        <w:t xml:space="preserve">Mediating Role of Performance Appraisal on the Relationship Between Employee Engagement Strategy and Sustainable Firm Performance of Commercial Banks In </w:t>
      </w:r>
      <w:r w:rsidR="00444E71" w:rsidRPr="00BF1CC4">
        <w:rPr>
          <w:i/>
          <w:iCs/>
        </w:rPr>
        <w:t>Eldoret</w:t>
      </w:r>
      <w:r w:rsidR="00735DCF" w:rsidRPr="00BF1CC4">
        <w:rPr>
          <w:i/>
        </w:rPr>
        <w:t>.</w:t>
      </w:r>
      <w:r w:rsidR="00735DCF" w:rsidRPr="00BF1CC4">
        <w:t xml:space="preserve"> University of Eldoret.   </w:t>
      </w:r>
    </w:p>
    <w:p w14:paraId="3B6E0E94" w14:textId="77777777" w:rsidR="00735DCF" w:rsidRPr="00BF1CC4" w:rsidRDefault="00735DCF" w:rsidP="008552A8">
      <w:pPr>
        <w:pStyle w:val="EndNoteBibliography"/>
        <w:spacing w:line="360" w:lineRule="auto"/>
        <w:ind w:left="720" w:hanging="720"/>
        <w:jc w:val="both"/>
      </w:pPr>
      <w:r w:rsidRPr="00BF1CC4">
        <w:t xml:space="preserve">Argilés-Bosch, J. M., Garcia-Blandón, J., Ravenda, D., &amp; Martínez-Blasco, M. (2018). An empirical analysis of the curvilinear relationship between slack and firm performance. </w:t>
      </w:r>
      <w:r w:rsidRPr="00BF1CC4">
        <w:rPr>
          <w:i/>
        </w:rPr>
        <w:t>Journal of Management Control, 29</w:t>
      </w:r>
      <w:r w:rsidRPr="00BF1CC4">
        <w:t xml:space="preserve">, 361-397. </w:t>
      </w:r>
    </w:p>
    <w:p w14:paraId="08321704" w14:textId="77777777" w:rsidR="00735DCF" w:rsidRPr="00BF1CC4" w:rsidRDefault="00735DCF" w:rsidP="008552A8">
      <w:pPr>
        <w:pStyle w:val="EndNoteBibliography"/>
        <w:spacing w:line="360" w:lineRule="auto"/>
        <w:ind w:left="720" w:hanging="720"/>
        <w:jc w:val="both"/>
      </w:pPr>
      <w:r w:rsidRPr="00BF1CC4">
        <w:t>Association, K. B. (2022). Kenya Bankers Association Annual Report And Financial Statements 2021: Kenya Bankers Association.</w:t>
      </w:r>
    </w:p>
    <w:p w14:paraId="2ECE55C9" w14:textId="77777777" w:rsidR="00735DCF" w:rsidRPr="00BF1CC4" w:rsidRDefault="00735DCF" w:rsidP="008552A8">
      <w:pPr>
        <w:pStyle w:val="EndNoteBibliography"/>
        <w:spacing w:line="360" w:lineRule="auto"/>
        <w:ind w:left="720" w:hanging="720"/>
        <w:jc w:val="both"/>
      </w:pPr>
      <w:r w:rsidRPr="00BF1CC4">
        <w:t xml:space="preserve">Barasa, W. A. (2016). </w:t>
      </w:r>
      <w:r w:rsidRPr="00BF1CC4">
        <w:rPr>
          <w:i/>
        </w:rPr>
        <w:t>Influence of corporate social responsibility on customer loyalty in Kenya commercial bank limited Eldoret town, Kenya.</w:t>
      </w:r>
      <w:r w:rsidRPr="00BF1CC4">
        <w:t xml:space="preserve"> University of Nairobi.   </w:t>
      </w:r>
    </w:p>
    <w:p w14:paraId="472ACECA" w14:textId="77777777" w:rsidR="00735DCF" w:rsidRPr="00BF1CC4" w:rsidRDefault="00735DCF" w:rsidP="008552A8">
      <w:pPr>
        <w:pStyle w:val="EndNoteBibliography"/>
        <w:spacing w:line="360" w:lineRule="auto"/>
        <w:ind w:left="720" w:hanging="720"/>
        <w:jc w:val="both"/>
      </w:pPr>
      <w:r w:rsidRPr="00BF1CC4">
        <w:lastRenderedPageBreak/>
        <w:t xml:space="preserve">Berger, A. N., &amp; Mester, L. J. (2003). Explaining the dramatic changes in performance of US banks: technological change, deregulation, and dynamic changes in competition. </w:t>
      </w:r>
      <w:r w:rsidRPr="00BF1CC4">
        <w:rPr>
          <w:i/>
        </w:rPr>
        <w:t>Journal of financial intermediation, 12</w:t>
      </w:r>
      <w:r w:rsidRPr="00BF1CC4">
        <w:t xml:space="preserve">(1), 57-95. </w:t>
      </w:r>
    </w:p>
    <w:p w14:paraId="19858787" w14:textId="77777777" w:rsidR="00735DCF" w:rsidRPr="00BF1CC4" w:rsidRDefault="00735DCF" w:rsidP="008552A8">
      <w:pPr>
        <w:pStyle w:val="EndNoteBibliography"/>
        <w:spacing w:line="360" w:lineRule="auto"/>
        <w:ind w:left="720" w:hanging="720"/>
        <w:jc w:val="both"/>
      </w:pPr>
      <w:r w:rsidRPr="00BF1CC4">
        <w:t xml:space="preserve">Bhattacharya, A., Good, V., Sardashti, H., &amp; Peloza, J. (2021). Beyond warm glow: The risk-mitigating effect of corporate social responsibility (CSR). </w:t>
      </w:r>
      <w:r w:rsidRPr="00BF1CC4">
        <w:rPr>
          <w:i/>
        </w:rPr>
        <w:t>Journal of Business Ethics, 171</w:t>
      </w:r>
      <w:r w:rsidRPr="00BF1CC4">
        <w:t xml:space="preserve">, 317-336. </w:t>
      </w:r>
    </w:p>
    <w:p w14:paraId="1D098DB5" w14:textId="77777777" w:rsidR="00735DCF" w:rsidRPr="00BF1CC4" w:rsidRDefault="00735DCF" w:rsidP="008552A8">
      <w:pPr>
        <w:pStyle w:val="EndNoteBibliography"/>
        <w:spacing w:line="360" w:lineRule="auto"/>
        <w:ind w:left="720" w:hanging="720"/>
        <w:jc w:val="both"/>
      </w:pPr>
      <w:r w:rsidRPr="00BF1CC4">
        <w:t xml:space="preserve">Burdisso, T., &amp; Sangiácomo, M. (2016). Panel time series: Review of the methodological evolution. </w:t>
      </w:r>
      <w:r w:rsidRPr="00BF1CC4">
        <w:rPr>
          <w:i/>
        </w:rPr>
        <w:t>The Stata Journal, 16</w:t>
      </w:r>
      <w:r w:rsidRPr="00BF1CC4">
        <w:t xml:space="preserve">(2), 424-442. </w:t>
      </w:r>
    </w:p>
    <w:p w14:paraId="7358E130" w14:textId="77777777" w:rsidR="00735DCF" w:rsidRPr="00BF1CC4" w:rsidRDefault="00735DCF" w:rsidP="008552A8">
      <w:pPr>
        <w:pStyle w:val="EndNoteBibliography"/>
        <w:spacing w:line="360" w:lineRule="auto"/>
        <w:ind w:left="720" w:hanging="720"/>
        <w:jc w:val="both"/>
      </w:pPr>
      <w:r w:rsidRPr="00BF1CC4">
        <w:t xml:space="preserve">Dao, B. (2020). Determinants of profitability in commercial banks in Vietnam, Malaysia and Thailand. </w:t>
      </w:r>
      <w:r w:rsidRPr="00BF1CC4">
        <w:rPr>
          <w:i/>
        </w:rPr>
        <w:t>Journal of Asian Finance, Economics and Business, 7</w:t>
      </w:r>
      <w:r w:rsidRPr="00BF1CC4">
        <w:t xml:space="preserve">(4), 133-143. </w:t>
      </w:r>
    </w:p>
    <w:p w14:paraId="7F47D414" w14:textId="1250E730" w:rsidR="00735DCF" w:rsidRPr="00BF1CC4" w:rsidRDefault="00735DCF" w:rsidP="008552A8">
      <w:pPr>
        <w:pStyle w:val="EndNoteBibliography"/>
        <w:spacing w:line="360" w:lineRule="auto"/>
        <w:ind w:left="720" w:hanging="720"/>
        <w:jc w:val="both"/>
      </w:pPr>
      <w:r w:rsidRPr="00BF1CC4">
        <w:t>Doménech, R., Boscá Mares, J. E., Ferri, J., &amp; Rubio Ramírez, J.</w:t>
      </w:r>
      <w:r w:rsidR="00797082" w:rsidRPr="00BF1CC4">
        <w:t xml:space="preserve">(2023). </w:t>
      </w:r>
      <w:r w:rsidRPr="00BF1CC4">
        <w:t xml:space="preserve"> Macroeconomic Effects of Taxes on Banking. </w:t>
      </w:r>
      <w:r w:rsidRPr="00BF1CC4">
        <w:rPr>
          <w:i/>
        </w:rPr>
        <w:t>Available at SSRN 4415390</w:t>
      </w:r>
      <w:r w:rsidRPr="00BF1CC4">
        <w:t xml:space="preserve">. </w:t>
      </w:r>
    </w:p>
    <w:p w14:paraId="3E04AC48" w14:textId="77777777" w:rsidR="00735DCF" w:rsidRPr="00BF1CC4" w:rsidRDefault="00735DCF" w:rsidP="008552A8">
      <w:pPr>
        <w:pStyle w:val="EndNoteBibliography"/>
        <w:spacing w:line="360" w:lineRule="auto"/>
        <w:ind w:left="720" w:hanging="720"/>
        <w:jc w:val="both"/>
      </w:pPr>
      <w:r w:rsidRPr="00BF1CC4">
        <w:t xml:space="preserve">Fahmi, I., &amp; Saputra, M. (2011). Analysis of financial performance in a form of financial ratio before and after right issue at the indonesia's stock exchange (bursa efek indonesia). </w:t>
      </w:r>
      <w:r w:rsidRPr="00BF1CC4">
        <w:rPr>
          <w:i/>
        </w:rPr>
        <w:t>International Journal of Business and social science, 2</w:t>
      </w:r>
      <w:r w:rsidRPr="00BF1CC4">
        <w:t xml:space="preserve">(24). </w:t>
      </w:r>
    </w:p>
    <w:p w14:paraId="54522E4E" w14:textId="77777777" w:rsidR="00735DCF" w:rsidRPr="00BF1CC4" w:rsidRDefault="00735DCF" w:rsidP="008552A8">
      <w:pPr>
        <w:pStyle w:val="EndNoteBibliography"/>
        <w:spacing w:line="360" w:lineRule="auto"/>
        <w:ind w:left="720" w:hanging="720"/>
        <w:jc w:val="both"/>
      </w:pPr>
      <w:r w:rsidRPr="00BF1CC4">
        <w:t xml:space="preserve">Fatihudin, D. (2018). How measuring financial performance. </w:t>
      </w:r>
      <w:r w:rsidRPr="00BF1CC4">
        <w:rPr>
          <w:i/>
        </w:rPr>
        <w:t>International Journal of Civil Engineering and Technology (IJCIET), 9</w:t>
      </w:r>
      <w:r w:rsidRPr="00BF1CC4">
        <w:t xml:space="preserve">(6), 553-557. </w:t>
      </w:r>
    </w:p>
    <w:p w14:paraId="6FC7529B" w14:textId="77777777" w:rsidR="00735DCF" w:rsidRDefault="00735DCF" w:rsidP="008552A8">
      <w:pPr>
        <w:pStyle w:val="EndNoteBibliography"/>
        <w:spacing w:line="360" w:lineRule="auto"/>
        <w:ind w:left="720" w:hanging="720"/>
        <w:jc w:val="both"/>
      </w:pPr>
      <w:r w:rsidRPr="00BF1CC4">
        <w:t xml:space="preserve">Gichuki, C. W. (2014). </w:t>
      </w:r>
      <w:r w:rsidRPr="00BF1CC4">
        <w:rPr>
          <w:i/>
        </w:rPr>
        <w:t>Effect of cost management strategies on the financial performance of manufacturing companies listed on the Nairobi securities exchange.</w:t>
      </w:r>
      <w:r w:rsidRPr="00BF1CC4">
        <w:t xml:space="preserve"> University of Nairobi.   </w:t>
      </w:r>
    </w:p>
    <w:p w14:paraId="1C0791DD" w14:textId="148E667A" w:rsidR="001E58C7" w:rsidRPr="00BF1CC4" w:rsidRDefault="001E58C7" w:rsidP="008552A8">
      <w:pPr>
        <w:pStyle w:val="EndNoteBibliography"/>
        <w:spacing w:line="360" w:lineRule="auto"/>
        <w:ind w:left="720" w:hanging="720"/>
        <w:jc w:val="both"/>
      </w:pPr>
      <w:r>
        <w:t>Gisore</w:t>
      </w:r>
      <w:r w:rsidRPr="001E58C7">
        <w:t xml:space="preserve">, N. (2020). Factors affecting growth of </w:t>
      </w:r>
      <w:r>
        <w:t>SBE</w:t>
      </w:r>
      <w:r w:rsidRPr="001E58C7">
        <w:t>. African Journal of Economics and Sustainable Development, 3(3), 80-87</w:t>
      </w:r>
    </w:p>
    <w:p w14:paraId="4CB8F034" w14:textId="77777777" w:rsidR="00735DCF" w:rsidRPr="00BF1CC4" w:rsidRDefault="00735DCF" w:rsidP="008552A8">
      <w:pPr>
        <w:pStyle w:val="EndNoteBibliography"/>
        <w:spacing w:line="360" w:lineRule="auto"/>
        <w:ind w:left="720" w:hanging="720"/>
        <w:jc w:val="both"/>
      </w:pPr>
      <w:r w:rsidRPr="00BF1CC4">
        <w:t xml:space="preserve">Greene, W. H. (2003). </w:t>
      </w:r>
      <w:r w:rsidRPr="00BF1CC4">
        <w:rPr>
          <w:i/>
        </w:rPr>
        <w:t>Econometric analysis</w:t>
      </w:r>
      <w:r w:rsidRPr="00BF1CC4">
        <w:t>: Pearson Education India.</w:t>
      </w:r>
    </w:p>
    <w:p w14:paraId="753F1F95" w14:textId="77777777" w:rsidR="00735DCF" w:rsidRPr="00BF1CC4" w:rsidRDefault="00735DCF" w:rsidP="008552A8">
      <w:pPr>
        <w:pStyle w:val="EndNoteBibliography"/>
        <w:spacing w:line="360" w:lineRule="auto"/>
        <w:ind w:left="720" w:hanging="720"/>
        <w:jc w:val="both"/>
      </w:pPr>
      <w:r w:rsidRPr="00BF1CC4">
        <w:t xml:space="preserve">Jha, S. (2018). </w:t>
      </w:r>
      <w:r w:rsidRPr="00BF1CC4">
        <w:rPr>
          <w:i/>
        </w:rPr>
        <w:t>Performance appraisal of commercial banks and linkage financial indicators with economic growth in Nepal.</w:t>
      </w:r>
      <w:r w:rsidRPr="00BF1CC4">
        <w:t xml:space="preserve">   </w:t>
      </w:r>
    </w:p>
    <w:p w14:paraId="3E833BFC" w14:textId="77777777" w:rsidR="00735DCF" w:rsidRPr="00BF1CC4" w:rsidRDefault="00735DCF" w:rsidP="008552A8">
      <w:pPr>
        <w:pStyle w:val="EndNoteBibliography"/>
        <w:spacing w:line="360" w:lineRule="auto"/>
        <w:ind w:left="720" w:hanging="720"/>
        <w:jc w:val="both"/>
      </w:pPr>
      <w:r w:rsidRPr="00BF1CC4">
        <w:t xml:space="preserve">Kamande, E. G. (2017). </w:t>
      </w:r>
      <w:r w:rsidRPr="00BF1CC4">
        <w:rPr>
          <w:i/>
        </w:rPr>
        <w:t>The effect of bank specific factors on financial performance of commercial banks in Kenya.</w:t>
      </w:r>
      <w:r w:rsidRPr="00BF1CC4">
        <w:t xml:space="preserve">   </w:t>
      </w:r>
    </w:p>
    <w:p w14:paraId="5D49C7E0" w14:textId="77777777" w:rsidR="00735DCF" w:rsidRPr="00BF1CC4" w:rsidRDefault="00735DCF" w:rsidP="008552A8">
      <w:pPr>
        <w:pStyle w:val="EndNoteBibliography"/>
        <w:spacing w:line="360" w:lineRule="auto"/>
        <w:ind w:left="720" w:hanging="720"/>
        <w:jc w:val="both"/>
      </w:pPr>
      <w:r w:rsidRPr="00BF1CC4">
        <w:t xml:space="preserve">Kharatyan, D., Nunes, A., &amp; Lopes, J. (2016). Financial ratios and indicators that determine return on equity. </w:t>
      </w:r>
      <w:r w:rsidRPr="00BF1CC4">
        <w:rPr>
          <w:i/>
        </w:rPr>
        <w:t>XVII–Encuentro AECA</w:t>
      </w:r>
      <w:r w:rsidRPr="00BF1CC4">
        <w:t xml:space="preserve">. </w:t>
      </w:r>
    </w:p>
    <w:p w14:paraId="2115F78F" w14:textId="0ECF2B37" w:rsidR="00101B82" w:rsidRPr="00BF1CC4" w:rsidRDefault="00101B82" w:rsidP="008552A8">
      <w:pPr>
        <w:pStyle w:val="EndNoteBibliography"/>
        <w:spacing w:line="360" w:lineRule="auto"/>
        <w:ind w:left="720" w:hanging="720"/>
        <w:jc w:val="both"/>
      </w:pPr>
      <w:r w:rsidRPr="00BF1CC4">
        <w:t>Kiprop, V., Ayuma, C., &amp; Bokongo, J. (2016). Effect of Financial Innovation on the Growth of Commercial Banks in Eldoret Town, Uasin Gishu County. Journal of Business and Management. 18(9), 99-109</w:t>
      </w:r>
    </w:p>
    <w:p w14:paraId="56B397BA" w14:textId="77777777" w:rsidR="00735DCF" w:rsidRPr="00BF1CC4" w:rsidRDefault="00735DCF" w:rsidP="008552A8">
      <w:pPr>
        <w:pStyle w:val="EndNoteBibliography"/>
        <w:spacing w:line="360" w:lineRule="auto"/>
        <w:ind w:left="720" w:hanging="720"/>
        <w:jc w:val="both"/>
      </w:pPr>
      <w:r w:rsidRPr="00BF1CC4">
        <w:lastRenderedPageBreak/>
        <w:t xml:space="preserve">Mishra, P., &amp; Montiel, P. (2013). How effective is monetary transmission in low-income countries? A survey of the empirical evidence. </w:t>
      </w:r>
      <w:r w:rsidRPr="00BF1CC4">
        <w:rPr>
          <w:i/>
        </w:rPr>
        <w:t>Economic Systems, 37</w:t>
      </w:r>
      <w:r w:rsidRPr="00BF1CC4">
        <w:t xml:space="preserve">(2), 187-216. </w:t>
      </w:r>
    </w:p>
    <w:p w14:paraId="56DA51D1" w14:textId="77777777" w:rsidR="00735DCF" w:rsidRPr="00BF1CC4" w:rsidRDefault="00735DCF" w:rsidP="008552A8">
      <w:pPr>
        <w:pStyle w:val="EndNoteBibliography"/>
        <w:spacing w:line="360" w:lineRule="auto"/>
        <w:ind w:left="720" w:hanging="720"/>
        <w:jc w:val="both"/>
      </w:pPr>
      <w:r w:rsidRPr="00BF1CC4">
        <w:t xml:space="preserve">Mkandawire, P. (2016). An analysis of the determinants of bank performance in Malawi: A case of listed commercial banks. </w:t>
      </w:r>
    </w:p>
    <w:p w14:paraId="10819852" w14:textId="77777777" w:rsidR="00735DCF" w:rsidRPr="00BF1CC4" w:rsidRDefault="00735DCF" w:rsidP="008552A8">
      <w:pPr>
        <w:pStyle w:val="EndNoteBibliography"/>
        <w:spacing w:line="360" w:lineRule="auto"/>
        <w:ind w:left="720" w:hanging="720"/>
        <w:jc w:val="both"/>
      </w:pPr>
      <w:r w:rsidRPr="00BF1CC4">
        <w:t xml:space="preserve">Mohamed, O. A. (2020). </w:t>
      </w:r>
      <w:r w:rsidRPr="00BF1CC4">
        <w:rPr>
          <w:i/>
        </w:rPr>
        <w:t>The Role Of Commercial Banks In economic Development In Kenya.</w:t>
      </w:r>
      <w:r w:rsidRPr="00BF1CC4">
        <w:t xml:space="preserve"> University of Nairobi.   </w:t>
      </w:r>
    </w:p>
    <w:p w14:paraId="5A000377" w14:textId="77777777" w:rsidR="00735DCF" w:rsidRPr="00BF1CC4" w:rsidRDefault="00735DCF" w:rsidP="008552A8">
      <w:pPr>
        <w:pStyle w:val="EndNoteBibliography"/>
        <w:spacing w:line="360" w:lineRule="auto"/>
        <w:ind w:left="720" w:hanging="720"/>
        <w:jc w:val="both"/>
      </w:pPr>
      <w:r w:rsidRPr="00BF1CC4">
        <w:t xml:space="preserve">Novaes, A. D. (1993). Revisiting the inertial inflation hypothesis for Brazil. </w:t>
      </w:r>
      <w:r w:rsidRPr="00BF1CC4">
        <w:rPr>
          <w:i/>
        </w:rPr>
        <w:t>Journal of development economics, 42</w:t>
      </w:r>
      <w:r w:rsidRPr="00BF1CC4">
        <w:t xml:space="preserve">(1), 89-110. </w:t>
      </w:r>
    </w:p>
    <w:p w14:paraId="4D91CED6" w14:textId="77777777" w:rsidR="00735DCF" w:rsidRPr="00BF1CC4" w:rsidRDefault="00735DCF" w:rsidP="008552A8">
      <w:pPr>
        <w:pStyle w:val="EndNoteBibliography"/>
        <w:spacing w:line="360" w:lineRule="auto"/>
        <w:ind w:left="720" w:hanging="720"/>
        <w:jc w:val="both"/>
      </w:pPr>
      <w:r w:rsidRPr="00BF1CC4">
        <w:t xml:space="preserve">Nurdiansari, R., Susilawati, E., Sriwahyuni, A., &amp; Paulina, E. (2021). Analysis of Financial Performance Before and During the Covid-19 Pandemic Era at PT. Bank Rakyat Indonesia (BRI) TBK. </w:t>
      </w:r>
      <w:r w:rsidRPr="00BF1CC4">
        <w:rPr>
          <w:i/>
        </w:rPr>
        <w:t>Nusantara Science and Technology Proceedings</w:t>
      </w:r>
      <w:r w:rsidRPr="00BF1CC4">
        <w:t xml:space="preserve">, 129-137. </w:t>
      </w:r>
    </w:p>
    <w:p w14:paraId="6420C036" w14:textId="77777777" w:rsidR="00735DCF" w:rsidRPr="00BF1CC4" w:rsidRDefault="00735DCF" w:rsidP="008552A8">
      <w:pPr>
        <w:pStyle w:val="EndNoteBibliography"/>
        <w:spacing w:line="360" w:lineRule="auto"/>
        <w:ind w:left="720" w:hanging="720"/>
        <w:jc w:val="both"/>
      </w:pPr>
      <w:r w:rsidRPr="00BF1CC4">
        <w:t xml:space="preserve">Nyasha, S., &amp; Odhiambo, N. M. (2015). Do banks and stock markets spur economic growth? Kenya's experience. </w:t>
      </w:r>
      <w:r w:rsidRPr="00BF1CC4">
        <w:rPr>
          <w:i/>
        </w:rPr>
        <w:t>International Journal of Sustainable Economy, 7</w:t>
      </w:r>
      <w:r w:rsidRPr="00BF1CC4">
        <w:t xml:space="preserve">(1), 54-65. </w:t>
      </w:r>
    </w:p>
    <w:p w14:paraId="577AD1D3" w14:textId="77777777" w:rsidR="00735DCF" w:rsidRPr="00BF1CC4" w:rsidRDefault="00735DCF" w:rsidP="008552A8">
      <w:pPr>
        <w:pStyle w:val="EndNoteBibliography"/>
        <w:spacing w:line="360" w:lineRule="auto"/>
        <w:ind w:left="720" w:hanging="720"/>
        <w:jc w:val="both"/>
      </w:pPr>
      <w:r w:rsidRPr="00BF1CC4">
        <w:t xml:space="preserve">Ochande, G. B. (2019). </w:t>
      </w:r>
      <w:r w:rsidRPr="00BF1CC4">
        <w:rPr>
          <w:i/>
        </w:rPr>
        <w:t>Cost structure and Financial Performance Of Commercial Banks Listed at Nairobi Stock Exchange.</w:t>
      </w:r>
      <w:r w:rsidRPr="00BF1CC4">
        <w:t xml:space="preserve"> University of Nairobi.   </w:t>
      </w:r>
    </w:p>
    <w:p w14:paraId="735B11E7" w14:textId="77777777" w:rsidR="00735DCF" w:rsidRPr="00BF1CC4" w:rsidRDefault="00735DCF" w:rsidP="008552A8">
      <w:pPr>
        <w:pStyle w:val="EndNoteBibliography"/>
        <w:spacing w:line="360" w:lineRule="auto"/>
        <w:ind w:left="720" w:hanging="720"/>
        <w:jc w:val="both"/>
      </w:pPr>
      <w:r w:rsidRPr="00BF1CC4">
        <w:t xml:space="preserve">Omollo, B. A., Muturi, W. M., &amp; Wanjare, J. (2018). Effect of debt financing options on financial performance of firms listed at the Nairobi Securities Exchange, Kenya. </w:t>
      </w:r>
      <w:r w:rsidRPr="00BF1CC4">
        <w:rPr>
          <w:i/>
        </w:rPr>
        <w:t>Research Journal of Finance and Accounting, 9</w:t>
      </w:r>
      <w:r w:rsidRPr="00BF1CC4">
        <w:t xml:space="preserve">(10), 150-164. </w:t>
      </w:r>
    </w:p>
    <w:p w14:paraId="07CAAF8D" w14:textId="77777777" w:rsidR="00735DCF" w:rsidRPr="00BF1CC4" w:rsidRDefault="00735DCF" w:rsidP="008552A8">
      <w:pPr>
        <w:pStyle w:val="EndNoteBibliography"/>
        <w:spacing w:line="360" w:lineRule="auto"/>
        <w:ind w:left="720" w:hanging="720"/>
        <w:jc w:val="both"/>
      </w:pPr>
      <w:r w:rsidRPr="00BF1CC4">
        <w:t xml:space="preserve">Omondi, M. M., &amp; Muturi, W. (2013). Factors affecting the financial performance of listed companies at the Nairobi Securities Exchange in Kenya. </w:t>
      </w:r>
      <w:r w:rsidRPr="00BF1CC4">
        <w:rPr>
          <w:i/>
        </w:rPr>
        <w:t>Research journal of finance and accounting, 4</w:t>
      </w:r>
      <w:r w:rsidRPr="00BF1CC4">
        <w:t xml:space="preserve">(15), 99-104. </w:t>
      </w:r>
    </w:p>
    <w:p w14:paraId="2D507446" w14:textId="77777777" w:rsidR="00735DCF" w:rsidRPr="00BF1CC4" w:rsidRDefault="00735DCF" w:rsidP="008552A8">
      <w:pPr>
        <w:pStyle w:val="EndNoteBibliography"/>
        <w:spacing w:line="360" w:lineRule="auto"/>
        <w:ind w:left="720" w:hanging="720"/>
        <w:jc w:val="both"/>
      </w:pPr>
      <w:r w:rsidRPr="00BF1CC4">
        <w:t xml:space="preserve">Petria, N., Capraru, B., &amp; Ihnatov, I. (2015). Determinants of banks’ profitability: evidence from EU 27 banking systems. </w:t>
      </w:r>
      <w:r w:rsidRPr="00BF1CC4">
        <w:rPr>
          <w:i/>
        </w:rPr>
        <w:t>Procedia economics and finance, 20</w:t>
      </w:r>
      <w:r w:rsidRPr="00BF1CC4">
        <w:t xml:space="preserve">, 518-524. </w:t>
      </w:r>
    </w:p>
    <w:p w14:paraId="06D259FF" w14:textId="77777777" w:rsidR="00735DCF" w:rsidRPr="00BF1CC4" w:rsidRDefault="00735DCF" w:rsidP="008552A8">
      <w:pPr>
        <w:pStyle w:val="EndNoteBibliography"/>
        <w:spacing w:line="360" w:lineRule="auto"/>
        <w:ind w:left="720" w:hanging="720"/>
        <w:jc w:val="both"/>
      </w:pPr>
      <w:r w:rsidRPr="00BF1CC4">
        <w:t xml:space="preserve">Romao, M., Costa, J., &amp; Costa, C. J. (2019). </w:t>
      </w:r>
      <w:r w:rsidRPr="00BF1CC4">
        <w:rPr>
          <w:i/>
        </w:rPr>
        <w:t>Robotic process automation: A case study in the banking industry.</w:t>
      </w:r>
      <w:r w:rsidRPr="00BF1CC4">
        <w:t xml:space="preserve"> Paper presented at the 2019 14th Iberian Conference on information systems and technologies (CISTI).</w:t>
      </w:r>
    </w:p>
    <w:p w14:paraId="18CFF138" w14:textId="77777777" w:rsidR="00735DCF" w:rsidRPr="00BF1CC4" w:rsidRDefault="00735DCF" w:rsidP="008552A8">
      <w:pPr>
        <w:pStyle w:val="EndNoteBibliography"/>
        <w:spacing w:line="360" w:lineRule="auto"/>
        <w:ind w:left="720" w:hanging="720"/>
        <w:jc w:val="both"/>
      </w:pPr>
      <w:r w:rsidRPr="00BF1CC4">
        <w:lastRenderedPageBreak/>
        <w:t xml:space="preserve">Saleh, I., &amp; Abu Afifa, M. (2020). The effect of credit risk, liquidity risk and bank capital on bank profitability: Evidence from an emerging market. </w:t>
      </w:r>
      <w:r w:rsidRPr="00BF1CC4">
        <w:rPr>
          <w:i/>
        </w:rPr>
        <w:t>Cogent Economics &amp; Finance, 8</w:t>
      </w:r>
      <w:r w:rsidRPr="00BF1CC4">
        <w:t xml:space="preserve">(1), 1814509. </w:t>
      </w:r>
    </w:p>
    <w:p w14:paraId="6E8FE72D" w14:textId="77777777" w:rsidR="00735DCF" w:rsidRPr="00BF1CC4" w:rsidRDefault="00735DCF" w:rsidP="008552A8">
      <w:pPr>
        <w:pStyle w:val="EndNoteBibliography"/>
        <w:spacing w:line="360" w:lineRule="auto"/>
        <w:ind w:left="720" w:hanging="720"/>
        <w:jc w:val="both"/>
      </w:pPr>
      <w:r w:rsidRPr="00BF1CC4">
        <w:t xml:space="preserve">Song, H., Yu, K., &amp; Lu, Q. (2018). Financial service providers and banks’ role in helping SMEs to access finance. </w:t>
      </w:r>
      <w:r w:rsidRPr="00BF1CC4">
        <w:rPr>
          <w:i/>
        </w:rPr>
        <w:t>International Journal of Physical Distribution &amp; Logistics Management, 48</w:t>
      </w:r>
      <w:r w:rsidRPr="00BF1CC4">
        <w:t xml:space="preserve">(1), 69-92. </w:t>
      </w:r>
    </w:p>
    <w:p w14:paraId="4F3C8FE1" w14:textId="76655B56" w:rsidR="00735DCF" w:rsidRPr="00BF1CC4" w:rsidRDefault="00A906A7" w:rsidP="008552A8">
      <w:pPr>
        <w:pStyle w:val="EndNoteBibliography"/>
        <w:spacing w:line="360" w:lineRule="auto"/>
        <w:ind w:left="720" w:hanging="720"/>
        <w:jc w:val="both"/>
      </w:pPr>
      <w:r w:rsidRPr="00BF1CC4">
        <w:t xml:space="preserve">Wendy, E. A. (2019). </w:t>
      </w:r>
      <w:r w:rsidRPr="00BF1CC4">
        <w:rPr>
          <w:i/>
        </w:rPr>
        <w:t xml:space="preserve">Mediating Role of Performance Appraisal on the Relationship </w:t>
      </w:r>
      <w:r w:rsidR="00E876F7" w:rsidRPr="00BF1CC4">
        <w:rPr>
          <w:i/>
        </w:rPr>
        <w:t>tabl</w:t>
      </w:r>
      <w:r w:rsidRPr="00BF1CC4">
        <w:rPr>
          <w:i/>
        </w:rPr>
        <w:t>Between Employee Engagement Strategy and Sustainable Firm Performance of Commercial Banks.</w:t>
      </w:r>
      <w:r w:rsidRPr="00BF1CC4">
        <w:t xml:space="preserve">   </w:t>
      </w:r>
    </w:p>
    <w:p w14:paraId="616887F3" w14:textId="77777777" w:rsidR="00735DCF" w:rsidRPr="00BF1CC4" w:rsidRDefault="00735DCF" w:rsidP="008552A8">
      <w:pPr>
        <w:pStyle w:val="EndNoteBibliography"/>
        <w:spacing w:line="360" w:lineRule="auto"/>
        <w:ind w:left="720" w:hanging="720"/>
        <w:jc w:val="both"/>
      </w:pPr>
      <w:r w:rsidRPr="00BF1CC4">
        <w:t xml:space="preserve">Wernerfelt, B. (1986). The relation between market share and profitability. </w:t>
      </w:r>
      <w:r w:rsidRPr="00BF1CC4">
        <w:rPr>
          <w:i/>
        </w:rPr>
        <w:t>Journal of Business strategy, 6</w:t>
      </w:r>
      <w:r w:rsidRPr="00BF1CC4">
        <w:t xml:space="preserve">(4), 67-74. </w:t>
      </w:r>
    </w:p>
    <w:p w14:paraId="02344D9F" w14:textId="77777777" w:rsidR="00735DCF" w:rsidRPr="00BF1CC4" w:rsidRDefault="00735DCF" w:rsidP="008552A8">
      <w:pPr>
        <w:pStyle w:val="EndNoteBibliography"/>
        <w:spacing w:line="360" w:lineRule="auto"/>
        <w:ind w:left="720" w:hanging="720"/>
        <w:jc w:val="both"/>
      </w:pPr>
      <w:r w:rsidRPr="00BF1CC4">
        <w:t xml:space="preserve">William, N. C., &amp; Njuguna, J. (2023). Customer Service Strategies and Bank Performance in Kenya. A Survey of Selected Commercial Banks in Eldoret Town, Uasin Gishu County Kenya. </w:t>
      </w:r>
      <w:r w:rsidRPr="00BF1CC4">
        <w:rPr>
          <w:i/>
        </w:rPr>
        <w:t>Journal of Strategic Management, 3</w:t>
      </w:r>
      <w:r w:rsidRPr="00BF1CC4">
        <w:t xml:space="preserve">(2), 1-14. </w:t>
      </w:r>
    </w:p>
    <w:p w14:paraId="2B928629" w14:textId="77777777" w:rsidR="00735DCF" w:rsidRPr="00BF1CC4" w:rsidRDefault="00735DCF" w:rsidP="008552A8">
      <w:pPr>
        <w:pStyle w:val="EndNoteBibliography"/>
        <w:spacing w:line="360" w:lineRule="auto"/>
        <w:ind w:left="720" w:hanging="720"/>
        <w:jc w:val="both"/>
      </w:pPr>
      <w:r w:rsidRPr="00BF1CC4">
        <w:t xml:space="preserve">Williamson, O. E. (2014). Interdisciplinary social science: The transaction cost economics project </w:t>
      </w:r>
      <w:r w:rsidRPr="00BF1CC4">
        <w:rPr>
          <w:i/>
        </w:rPr>
        <w:t>Economics for the Curious: Inside the Minds of 12 Nobel Laureates</w:t>
      </w:r>
      <w:r w:rsidRPr="00BF1CC4">
        <w:t xml:space="preserve"> (pp. 123-140): Springer.</w:t>
      </w:r>
    </w:p>
    <w:p w14:paraId="2F318B9E" w14:textId="43F61380" w:rsidR="00735DCF" w:rsidRPr="00BF1CC4" w:rsidRDefault="00735DCF" w:rsidP="008552A8">
      <w:pPr>
        <w:pStyle w:val="EndNoteBibliography"/>
        <w:spacing w:line="360" w:lineRule="auto"/>
        <w:ind w:left="720" w:hanging="720"/>
        <w:jc w:val="both"/>
      </w:pPr>
      <w:r w:rsidRPr="00BF1CC4">
        <w:t>Wooldridge, J. M. (201</w:t>
      </w:r>
      <w:r w:rsidR="00647328" w:rsidRPr="00BF1CC4">
        <w:t>0</w:t>
      </w:r>
      <w:r w:rsidRPr="00BF1CC4">
        <w:t xml:space="preserve">). Correlated random effects models with unbalanced panels. </w:t>
      </w:r>
      <w:r w:rsidRPr="00BF1CC4">
        <w:rPr>
          <w:i/>
        </w:rPr>
        <w:t>Journal of Econometrics, 211</w:t>
      </w:r>
      <w:r w:rsidRPr="00BF1CC4">
        <w:t xml:space="preserve">(1), 137-150. </w:t>
      </w:r>
    </w:p>
    <w:p w14:paraId="1AC60A23" w14:textId="77777777" w:rsidR="00735DCF" w:rsidRPr="00BF1CC4" w:rsidRDefault="00735DCF" w:rsidP="008552A8">
      <w:pPr>
        <w:pStyle w:val="EndNoteBibliography"/>
        <w:spacing w:line="360" w:lineRule="auto"/>
        <w:ind w:left="720" w:hanging="720"/>
        <w:jc w:val="both"/>
      </w:pPr>
      <w:r w:rsidRPr="00BF1CC4">
        <w:t xml:space="preserve">Yakubu, Z., Loganathan, N., Mursitama, T. N., Mardani, A., Khan, S. A. R., &amp; Hassan, A. A. G. (2020). Financial Liberalisation, Political Stability, and Economic Determinants of Real Economic Growth in Kenya. </w:t>
      </w:r>
      <w:r w:rsidRPr="00BF1CC4">
        <w:rPr>
          <w:i/>
        </w:rPr>
        <w:t>Energies, 13</w:t>
      </w:r>
      <w:r w:rsidRPr="00BF1CC4">
        <w:t xml:space="preserve">(13), 3426. </w:t>
      </w:r>
    </w:p>
    <w:p w14:paraId="08233C3D" w14:textId="4C28AB1B" w:rsidR="00182643" w:rsidRPr="00BF1CC4" w:rsidRDefault="00182643" w:rsidP="008552A8">
      <w:pPr>
        <w:spacing w:line="360" w:lineRule="auto"/>
        <w:ind w:left="720" w:hanging="720"/>
        <w:jc w:val="both"/>
      </w:pPr>
      <w:r w:rsidRPr="00BF1CC4">
        <w:fldChar w:fldCharType="end"/>
      </w:r>
    </w:p>
    <w:sectPr w:rsidR="00182643" w:rsidRPr="00BF1CC4" w:rsidSect="00F02886">
      <w:headerReference w:type="even" r:id="rId8"/>
      <w:headerReference w:type="default" r:id="rId9"/>
      <w:footerReference w:type="even" r:id="rId10"/>
      <w:footerReference w:type="default" r:id="rId11"/>
      <w:headerReference w:type="first" r:id="rId12"/>
      <w:footerReference w:type="first" r:id="rId13"/>
      <w:pgSz w:w="12240" w:h="15840"/>
      <w:pgMar w:top="108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DFA599" w14:textId="77777777" w:rsidR="00B00EDA" w:rsidRDefault="00B00EDA">
      <w:r>
        <w:separator/>
      </w:r>
    </w:p>
  </w:endnote>
  <w:endnote w:type="continuationSeparator" w:id="0">
    <w:p w14:paraId="21BA1F51" w14:textId="77777777" w:rsidR="00B00EDA" w:rsidRDefault="00B00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699015" w14:textId="29C89814" w:rsidR="00181055" w:rsidRDefault="00181055" w:rsidP="00F028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943FE">
      <w:rPr>
        <w:rStyle w:val="PageNumber"/>
        <w:noProof/>
      </w:rPr>
      <w:t>1</w:t>
    </w:r>
    <w:r>
      <w:rPr>
        <w:rStyle w:val="PageNumber"/>
      </w:rPr>
      <w:fldChar w:fldCharType="end"/>
    </w:r>
  </w:p>
  <w:p w14:paraId="14C93EE9" w14:textId="77777777" w:rsidR="00181055" w:rsidRDefault="001810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E2042" w14:textId="77777777" w:rsidR="00181055" w:rsidRDefault="00181055" w:rsidP="00F028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078BE">
      <w:rPr>
        <w:rStyle w:val="PageNumber"/>
        <w:noProof/>
      </w:rPr>
      <w:t>73</w:t>
    </w:r>
    <w:r>
      <w:rPr>
        <w:rStyle w:val="PageNumber"/>
      </w:rPr>
      <w:fldChar w:fldCharType="end"/>
    </w:r>
  </w:p>
  <w:p w14:paraId="4B384C22" w14:textId="77777777" w:rsidR="00181055" w:rsidRDefault="001810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4A527" w14:textId="77777777" w:rsidR="003A396D" w:rsidRDefault="003A39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79BD53" w14:textId="77777777" w:rsidR="00B00EDA" w:rsidRDefault="00B00EDA">
      <w:r>
        <w:separator/>
      </w:r>
    </w:p>
  </w:footnote>
  <w:footnote w:type="continuationSeparator" w:id="0">
    <w:p w14:paraId="249AC3DC" w14:textId="77777777" w:rsidR="00B00EDA" w:rsidRDefault="00B00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7A191E" w14:textId="212F1239" w:rsidR="003A396D" w:rsidRDefault="003A396D">
    <w:pPr>
      <w:pStyle w:val="Header"/>
    </w:pPr>
    <w:r>
      <w:rPr>
        <w:noProof/>
      </w:rPr>
      <w:pict w14:anchorId="1920FA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1325141" o:spid="_x0000_s1026" type="#_x0000_t136" style="position:absolute;margin-left:0;margin-top:0;width:548.1pt;height:60.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6C5AB" w14:textId="5D3AB56B" w:rsidR="003A396D" w:rsidRDefault="003A396D">
    <w:pPr>
      <w:pStyle w:val="Header"/>
    </w:pPr>
    <w:r>
      <w:rPr>
        <w:noProof/>
      </w:rPr>
      <w:pict w14:anchorId="5314BA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1325142" o:spid="_x0000_s1027" type="#_x0000_t136" style="position:absolute;margin-left:0;margin-top:0;width:548.1pt;height:60.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95D66" w14:textId="4C0695D0" w:rsidR="003A396D" w:rsidRDefault="003A396D">
    <w:pPr>
      <w:pStyle w:val="Header"/>
    </w:pPr>
    <w:r>
      <w:rPr>
        <w:noProof/>
      </w:rPr>
      <w:pict w14:anchorId="08D770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1325140" o:spid="_x0000_s1025" type="#_x0000_t136" style="position:absolute;margin-left:0;margin-top:0;width:548.1pt;height:60.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3539D"/>
    <w:multiLevelType w:val="hybridMultilevel"/>
    <w:tmpl w:val="EE946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F30D9"/>
    <w:multiLevelType w:val="hybridMultilevel"/>
    <w:tmpl w:val="77509740"/>
    <w:lvl w:ilvl="0" w:tplc="9D3EF996">
      <w:start w:val="1"/>
      <w:numFmt w:val="lowerRoman"/>
      <w:lvlText w:val="%1."/>
      <w:lvlJc w:val="righ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785FAC"/>
    <w:multiLevelType w:val="hybridMultilevel"/>
    <w:tmpl w:val="1C9262B0"/>
    <w:lvl w:ilvl="0" w:tplc="9D3EF996">
      <w:start w:val="1"/>
      <w:numFmt w:val="lowerRoman"/>
      <w:lvlText w:val="%1."/>
      <w:lvlJc w:val="righ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221301"/>
    <w:multiLevelType w:val="hybridMultilevel"/>
    <w:tmpl w:val="768E7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4465AF"/>
    <w:multiLevelType w:val="hybridMultilevel"/>
    <w:tmpl w:val="6CB24F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DB6857"/>
    <w:multiLevelType w:val="hybridMultilevel"/>
    <w:tmpl w:val="4ABA4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79060C"/>
    <w:multiLevelType w:val="multilevel"/>
    <w:tmpl w:val="2F1A7860"/>
    <w:lvl w:ilvl="0">
      <w:start w:val="1"/>
      <w:numFmt w:val="decimal"/>
      <w:lvlText w:val="%1."/>
      <w:lvlJc w:val="left"/>
      <w:pPr>
        <w:tabs>
          <w:tab w:val="num" w:pos="720"/>
        </w:tabs>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8FF65A4"/>
    <w:multiLevelType w:val="hybridMultilevel"/>
    <w:tmpl w:val="461E6E4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8" w15:restartNumberingAfterBreak="0">
    <w:nsid w:val="59E20C96"/>
    <w:multiLevelType w:val="hybridMultilevel"/>
    <w:tmpl w:val="0C742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B56153"/>
    <w:multiLevelType w:val="hybridMultilevel"/>
    <w:tmpl w:val="0812E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3E285C"/>
    <w:multiLevelType w:val="hybridMultilevel"/>
    <w:tmpl w:val="77509740"/>
    <w:lvl w:ilvl="0" w:tplc="9D3EF996">
      <w:start w:val="1"/>
      <w:numFmt w:val="lowerRoman"/>
      <w:lvlText w:val="%1."/>
      <w:lvlJc w:val="righ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B97672"/>
    <w:multiLevelType w:val="hybridMultilevel"/>
    <w:tmpl w:val="7A78E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E9081E"/>
    <w:multiLevelType w:val="hybridMultilevel"/>
    <w:tmpl w:val="33A6C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E052C8"/>
    <w:multiLevelType w:val="hybridMultilevel"/>
    <w:tmpl w:val="B86456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C3A0892"/>
    <w:multiLevelType w:val="hybridMultilevel"/>
    <w:tmpl w:val="153C0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2619534">
    <w:abstractNumId w:val="6"/>
  </w:num>
  <w:num w:numId="2" w16cid:durableId="378868351">
    <w:abstractNumId w:val="4"/>
  </w:num>
  <w:num w:numId="3" w16cid:durableId="5545147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20466529">
    <w:abstractNumId w:val="7"/>
  </w:num>
  <w:num w:numId="5" w16cid:durableId="1814322327">
    <w:abstractNumId w:val="12"/>
  </w:num>
  <w:num w:numId="6" w16cid:durableId="103036909">
    <w:abstractNumId w:val="3"/>
  </w:num>
  <w:num w:numId="7" w16cid:durableId="661591633">
    <w:abstractNumId w:val="14"/>
  </w:num>
  <w:num w:numId="8" w16cid:durableId="836074923">
    <w:abstractNumId w:val="0"/>
  </w:num>
  <w:num w:numId="9" w16cid:durableId="223833824">
    <w:abstractNumId w:val="8"/>
  </w:num>
  <w:num w:numId="10" w16cid:durableId="824669238">
    <w:abstractNumId w:val="11"/>
  </w:num>
  <w:num w:numId="11" w16cid:durableId="1608078149">
    <w:abstractNumId w:val="5"/>
  </w:num>
  <w:num w:numId="12" w16cid:durableId="980231286">
    <w:abstractNumId w:val="10"/>
  </w:num>
  <w:num w:numId="13" w16cid:durableId="1954554366">
    <w:abstractNumId w:val="1"/>
  </w:num>
  <w:num w:numId="14" w16cid:durableId="120005158">
    <w:abstractNumId w:val="2"/>
  </w:num>
  <w:num w:numId="15" w16cid:durableId="1442803525">
    <w:abstractNumId w:val="9"/>
  </w:num>
  <w:num w:numId="16" w16cid:durableId="9253832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2"/>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0zpxf9dkzrv2yeppzfpxvz2ta5w2paa2fze&quot;&gt;Library2&lt;record-ids&gt;&lt;item&gt;5&lt;/item&gt;&lt;item&gt;16&lt;/item&gt;&lt;item&gt;61&lt;/item&gt;&lt;item&gt;66&lt;/item&gt;&lt;item&gt;169&lt;/item&gt;&lt;item&gt;171&lt;/item&gt;&lt;item&gt;190&lt;/item&gt;&lt;item&gt;326&lt;/item&gt;&lt;item&gt;327&lt;/item&gt;&lt;item&gt;328&lt;/item&gt;&lt;item&gt;329&lt;/item&gt;&lt;item&gt;330&lt;/item&gt;&lt;item&gt;331&lt;/item&gt;&lt;item&gt;333&lt;/item&gt;&lt;item&gt;334&lt;/item&gt;&lt;item&gt;335&lt;/item&gt;&lt;item&gt;336&lt;/item&gt;&lt;item&gt;337&lt;/item&gt;&lt;item&gt;338&lt;/item&gt;&lt;item&gt;339&lt;/item&gt;&lt;item&gt;341&lt;/item&gt;&lt;item&gt;342&lt;/item&gt;&lt;item&gt;343&lt;/item&gt;&lt;item&gt;344&lt;/item&gt;&lt;item&gt;345&lt;/item&gt;&lt;item&gt;346&lt;/item&gt;&lt;item&gt;348&lt;/item&gt;&lt;item&gt;349&lt;/item&gt;&lt;item&gt;351&lt;/item&gt;&lt;item&gt;353&lt;/item&gt;&lt;item&gt;355&lt;/item&gt;&lt;item&gt;358&lt;/item&gt;&lt;item&gt;359&lt;/item&gt;&lt;item&gt;363&lt;/item&gt;&lt;item&gt;364&lt;/item&gt;&lt;item&gt;365&lt;/item&gt;&lt;item&gt;366&lt;/item&gt;&lt;item&gt;367&lt;/item&gt;&lt;item&gt;368&lt;/item&gt;&lt;item&gt;369&lt;/item&gt;&lt;item&gt;370&lt;/item&gt;&lt;item&gt;371&lt;/item&gt;&lt;item&gt;372&lt;/item&gt;&lt;item&gt;373&lt;/item&gt;&lt;item&gt;374&lt;/item&gt;&lt;item&gt;375&lt;/item&gt;&lt;item&gt;376&lt;/item&gt;&lt;item&gt;377&lt;/item&gt;&lt;item&gt;378&lt;/item&gt;&lt;item&gt;379&lt;/item&gt;&lt;item&gt;380&lt;/item&gt;&lt;item&gt;381&lt;/item&gt;&lt;item&gt;383&lt;/item&gt;&lt;item&gt;384&lt;/item&gt;&lt;item&gt;385&lt;/item&gt;&lt;item&gt;386&lt;/item&gt;&lt;item&gt;387&lt;/item&gt;&lt;item&gt;388&lt;/item&gt;&lt;item&gt;389&lt;/item&gt;&lt;item&gt;390&lt;/item&gt;&lt;item&gt;391&lt;/item&gt;&lt;item&gt;393&lt;/item&gt;&lt;item&gt;394&lt;/item&gt;&lt;item&gt;395&lt;/item&gt;&lt;item&gt;396&lt;/item&gt;&lt;item&gt;397&lt;/item&gt;&lt;item&gt;398&lt;/item&gt;&lt;item&gt;399&lt;/item&gt;&lt;item&gt;400&lt;/item&gt;&lt;item&gt;401&lt;/item&gt;&lt;item&gt;402&lt;/item&gt;&lt;item&gt;404&lt;/item&gt;&lt;item&gt;407&lt;/item&gt;&lt;item&gt;408&lt;/item&gt;&lt;item&gt;409&lt;/item&gt;&lt;item&gt;410&lt;/item&gt;&lt;item&gt;411&lt;/item&gt;&lt;item&gt;412&lt;/item&gt;&lt;item&gt;414&lt;/item&gt;&lt;item&gt;416&lt;/item&gt;&lt;item&gt;417&lt;/item&gt;&lt;item&gt;418&lt;/item&gt;&lt;item&gt;419&lt;/item&gt;&lt;item&gt;420&lt;/item&gt;&lt;item&gt;421&lt;/item&gt;&lt;item&gt;422&lt;/item&gt;&lt;item&gt;424&lt;/item&gt;&lt;item&gt;425&lt;/item&gt;&lt;item&gt;426&lt;/item&gt;&lt;item&gt;427&lt;/item&gt;&lt;item&gt;428&lt;/item&gt;&lt;item&gt;429&lt;/item&gt;&lt;item&gt;430&lt;/item&gt;&lt;item&gt;431&lt;/item&gt;&lt;item&gt;432&lt;/item&gt;&lt;item&gt;434&lt;/item&gt;&lt;item&gt;438&lt;/item&gt;&lt;item&gt;439&lt;/item&gt;&lt;item&gt;440&lt;/item&gt;&lt;item&gt;441&lt;/item&gt;&lt;item&gt;442&lt;/item&gt;&lt;item&gt;443&lt;/item&gt;&lt;item&gt;445&lt;/item&gt;&lt;item&gt;446&lt;/item&gt;&lt;item&gt;447&lt;/item&gt;&lt;item&gt;448&lt;/item&gt;&lt;item&gt;449&lt;/item&gt;&lt;item&gt;450&lt;/item&gt;&lt;item&gt;451&lt;/item&gt;&lt;item&gt;452&lt;/item&gt;&lt;item&gt;453&lt;/item&gt;&lt;item&gt;454&lt;/item&gt;&lt;item&gt;455&lt;/item&gt;&lt;item&gt;456&lt;/item&gt;&lt;item&gt;457&lt;/item&gt;&lt;item&gt;458&lt;/item&gt;&lt;/record-ids&gt;&lt;/item&gt;&lt;/Libraries&gt;"/>
  </w:docVars>
  <w:rsids>
    <w:rsidRoot w:val="00182643"/>
    <w:rsid w:val="0001455E"/>
    <w:rsid w:val="00016696"/>
    <w:rsid w:val="00020A60"/>
    <w:rsid w:val="00020E36"/>
    <w:rsid w:val="000308FC"/>
    <w:rsid w:val="000435D7"/>
    <w:rsid w:val="0004617E"/>
    <w:rsid w:val="0005398A"/>
    <w:rsid w:val="000564F6"/>
    <w:rsid w:val="000664AD"/>
    <w:rsid w:val="00082761"/>
    <w:rsid w:val="000828DE"/>
    <w:rsid w:val="00094EC3"/>
    <w:rsid w:val="00095CC4"/>
    <w:rsid w:val="000A209C"/>
    <w:rsid w:val="000A775B"/>
    <w:rsid w:val="000C07B5"/>
    <w:rsid w:val="000C6258"/>
    <w:rsid w:val="000D4582"/>
    <w:rsid w:val="000D609F"/>
    <w:rsid w:val="000D72E1"/>
    <w:rsid w:val="000E0DC9"/>
    <w:rsid w:val="000F243D"/>
    <w:rsid w:val="001015B0"/>
    <w:rsid w:val="00101B82"/>
    <w:rsid w:val="0010382A"/>
    <w:rsid w:val="00103A4E"/>
    <w:rsid w:val="00111C2B"/>
    <w:rsid w:val="00111E12"/>
    <w:rsid w:val="00112E0A"/>
    <w:rsid w:val="0012205C"/>
    <w:rsid w:val="00131D59"/>
    <w:rsid w:val="00134ECB"/>
    <w:rsid w:val="001352A9"/>
    <w:rsid w:val="00154702"/>
    <w:rsid w:val="0015752A"/>
    <w:rsid w:val="00166460"/>
    <w:rsid w:val="00166B81"/>
    <w:rsid w:val="001758FC"/>
    <w:rsid w:val="0017765B"/>
    <w:rsid w:val="00181055"/>
    <w:rsid w:val="00182643"/>
    <w:rsid w:val="001A38C3"/>
    <w:rsid w:val="001B2671"/>
    <w:rsid w:val="001B7FFC"/>
    <w:rsid w:val="001D67D9"/>
    <w:rsid w:val="001D708C"/>
    <w:rsid w:val="001D7B36"/>
    <w:rsid w:val="001E1649"/>
    <w:rsid w:val="001E58C7"/>
    <w:rsid w:val="001F27B2"/>
    <w:rsid w:val="001F427C"/>
    <w:rsid w:val="001F44B1"/>
    <w:rsid w:val="002068C4"/>
    <w:rsid w:val="00211F4C"/>
    <w:rsid w:val="00213575"/>
    <w:rsid w:val="00220229"/>
    <w:rsid w:val="00226B3D"/>
    <w:rsid w:val="00233CF9"/>
    <w:rsid w:val="00235C4B"/>
    <w:rsid w:val="00246C3F"/>
    <w:rsid w:val="0025185D"/>
    <w:rsid w:val="0025289C"/>
    <w:rsid w:val="00254BB2"/>
    <w:rsid w:val="002574C7"/>
    <w:rsid w:val="0026171C"/>
    <w:rsid w:val="00263AC0"/>
    <w:rsid w:val="00265463"/>
    <w:rsid w:val="00267F2A"/>
    <w:rsid w:val="002735A3"/>
    <w:rsid w:val="0029733B"/>
    <w:rsid w:val="002A40F8"/>
    <w:rsid w:val="002B3F35"/>
    <w:rsid w:val="002B6C6C"/>
    <w:rsid w:val="002B7C7C"/>
    <w:rsid w:val="002D008E"/>
    <w:rsid w:val="002D57DD"/>
    <w:rsid w:val="002D6092"/>
    <w:rsid w:val="002E1714"/>
    <w:rsid w:val="002E17E8"/>
    <w:rsid w:val="002E58C7"/>
    <w:rsid w:val="002F3F65"/>
    <w:rsid w:val="002F762C"/>
    <w:rsid w:val="002F7CDB"/>
    <w:rsid w:val="003033F7"/>
    <w:rsid w:val="003046F9"/>
    <w:rsid w:val="00317C88"/>
    <w:rsid w:val="00322518"/>
    <w:rsid w:val="00322DCB"/>
    <w:rsid w:val="003241C1"/>
    <w:rsid w:val="00326CA5"/>
    <w:rsid w:val="003308D1"/>
    <w:rsid w:val="003367E0"/>
    <w:rsid w:val="0034194A"/>
    <w:rsid w:val="00341CBF"/>
    <w:rsid w:val="00370948"/>
    <w:rsid w:val="00383443"/>
    <w:rsid w:val="00386F2F"/>
    <w:rsid w:val="00392022"/>
    <w:rsid w:val="003A2DF2"/>
    <w:rsid w:val="003A30A8"/>
    <w:rsid w:val="003A396D"/>
    <w:rsid w:val="003B7232"/>
    <w:rsid w:val="003B7238"/>
    <w:rsid w:val="003C2ECE"/>
    <w:rsid w:val="003C7135"/>
    <w:rsid w:val="003C75E0"/>
    <w:rsid w:val="003D0B69"/>
    <w:rsid w:val="003D50E6"/>
    <w:rsid w:val="003D5FF5"/>
    <w:rsid w:val="003F330D"/>
    <w:rsid w:val="003F4723"/>
    <w:rsid w:val="004007B6"/>
    <w:rsid w:val="00414292"/>
    <w:rsid w:val="0041460E"/>
    <w:rsid w:val="00415A13"/>
    <w:rsid w:val="00431707"/>
    <w:rsid w:val="00431EDD"/>
    <w:rsid w:val="004442E6"/>
    <w:rsid w:val="00444E71"/>
    <w:rsid w:val="00451C1B"/>
    <w:rsid w:val="00452724"/>
    <w:rsid w:val="0046763F"/>
    <w:rsid w:val="00471970"/>
    <w:rsid w:val="00475C30"/>
    <w:rsid w:val="004843D8"/>
    <w:rsid w:val="00484BA7"/>
    <w:rsid w:val="004943FE"/>
    <w:rsid w:val="004A4E3F"/>
    <w:rsid w:val="004C0519"/>
    <w:rsid w:val="004D5686"/>
    <w:rsid w:val="004D60F3"/>
    <w:rsid w:val="004E0BFD"/>
    <w:rsid w:val="004E3961"/>
    <w:rsid w:val="004E4A60"/>
    <w:rsid w:val="004E64E5"/>
    <w:rsid w:val="004F5001"/>
    <w:rsid w:val="0050252D"/>
    <w:rsid w:val="00503966"/>
    <w:rsid w:val="00503CF7"/>
    <w:rsid w:val="00505F4B"/>
    <w:rsid w:val="00506D23"/>
    <w:rsid w:val="0053085C"/>
    <w:rsid w:val="00536743"/>
    <w:rsid w:val="005428AC"/>
    <w:rsid w:val="00545DBC"/>
    <w:rsid w:val="00546CA1"/>
    <w:rsid w:val="0054706F"/>
    <w:rsid w:val="0055348D"/>
    <w:rsid w:val="00577617"/>
    <w:rsid w:val="005777D4"/>
    <w:rsid w:val="0058510D"/>
    <w:rsid w:val="00585C86"/>
    <w:rsid w:val="005904EB"/>
    <w:rsid w:val="00596635"/>
    <w:rsid w:val="005A0457"/>
    <w:rsid w:val="005A4DED"/>
    <w:rsid w:val="005D1C0F"/>
    <w:rsid w:val="005E3149"/>
    <w:rsid w:val="005E5153"/>
    <w:rsid w:val="005F06C0"/>
    <w:rsid w:val="00606370"/>
    <w:rsid w:val="006078BE"/>
    <w:rsid w:val="00607DF3"/>
    <w:rsid w:val="00620A99"/>
    <w:rsid w:val="0063039C"/>
    <w:rsid w:val="00645A6E"/>
    <w:rsid w:val="00647328"/>
    <w:rsid w:val="00650645"/>
    <w:rsid w:val="00653337"/>
    <w:rsid w:val="00654892"/>
    <w:rsid w:val="00655797"/>
    <w:rsid w:val="00655DE3"/>
    <w:rsid w:val="0066037D"/>
    <w:rsid w:val="006773D3"/>
    <w:rsid w:val="00677E82"/>
    <w:rsid w:val="006923D1"/>
    <w:rsid w:val="006A2250"/>
    <w:rsid w:val="006A7175"/>
    <w:rsid w:val="006B1FF3"/>
    <w:rsid w:val="006B6367"/>
    <w:rsid w:val="006C1E3E"/>
    <w:rsid w:val="006D295B"/>
    <w:rsid w:val="006D4856"/>
    <w:rsid w:val="006D5D4D"/>
    <w:rsid w:val="006D5F60"/>
    <w:rsid w:val="006E1410"/>
    <w:rsid w:val="006E6682"/>
    <w:rsid w:val="006F20DA"/>
    <w:rsid w:val="006F2F15"/>
    <w:rsid w:val="006F3CD4"/>
    <w:rsid w:val="00723E69"/>
    <w:rsid w:val="00735DCF"/>
    <w:rsid w:val="0074040D"/>
    <w:rsid w:val="007454D3"/>
    <w:rsid w:val="007478D0"/>
    <w:rsid w:val="007572FB"/>
    <w:rsid w:val="00763032"/>
    <w:rsid w:val="007702A6"/>
    <w:rsid w:val="007768A5"/>
    <w:rsid w:val="0078018F"/>
    <w:rsid w:val="00797082"/>
    <w:rsid w:val="007A164C"/>
    <w:rsid w:val="007A2E94"/>
    <w:rsid w:val="007A5E7E"/>
    <w:rsid w:val="007A7385"/>
    <w:rsid w:val="007B6707"/>
    <w:rsid w:val="007B6998"/>
    <w:rsid w:val="007C0597"/>
    <w:rsid w:val="007C2898"/>
    <w:rsid w:val="007E7276"/>
    <w:rsid w:val="007F1CC5"/>
    <w:rsid w:val="007F31AF"/>
    <w:rsid w:val="007F5F50"/>
    <w:rsid w:val="008137DE"/>
    <w:rsid w:val="00815867"/>
    <w:rsid w:val="00815BD1"/>
    <w:rsid w:val="00834A38"/>
    <w:rsid w:val="008366AF"/>
    <w:rsid w:val="0084320E"/>
    <w:rsid w:val="008552A8"/>
    <w:rsid w:val="00861C54"/>
    <w:rsid w:val="00871174"/>
    <w:rsid w:val="00873549"/>
    <w:rsid w:val="00873A3F"/>
    <w:rsid w:val="008868D3"/>
    <w:rsid w:val="00887587"/>
    <w:rsid w:val="008A014A"/>
    <w:rsid w:val="008A1BC4"/>
    <w:rsid w:val="008A36C6"/>
    <w:rsid w:val="008B0A7B"/>
    <w:rsid w:val="008D043F"/>
    <w:rsid w:val="008D5A67"/>
    <w:rsid w:val="008E3608"/>
    <w:rsid w:val="008E544D"/>
    <w:rsid w:val="008F3C1B"/>
    <w:rsid w:val="00905430"/>
    <w:rsid w:val="00914F1F"/>
    <w:rsid w:val="00915082"/>
    <w:rsid w:val="00916B71"/>
    <w:rsid w:val="00917A75"/>
    <w:rsid w:val="00920CA5"/>
    <w:rsid w:val="00941CF4"/>
    <w:rsid w:val="009542E2"/>
    <w:rsid w:val="009543C4"/>
    <w:rsid w:val="0095518E"/>
    <w:rsid w:val="00955454"/>
    <w:rsid w:val="0096743B"/>
    <w:rsid w:val="009677DD"/>
    <w:rsid w:val="0097595A"/>
    <w:rsid w:val="00981E3E"/>
    <w:rsid w:val="00981FEC"/>
    <w:rsid w:val="00984F57"/>
    <w:rsid w:val="00997BC5"/>
    <w:rsid w:val="009B6452"/>
    <w:rsid w:val="009D0CD6"/>
    <w:rsid w:val="009D3619"/>
    <w:rsid w:val="009E49B9"/>
    <w:rsid w:val="009E688A"/>
    <w:rsid w:val="009F78EE"/>
    <w:rsid w:val="00A00628"/>
    <w:rsid w:val="00A06D95"/>
    <w:rsid w:val="00A11D23"/>
    <w:rsid w:val="00A22D86"/>
    <w:rsid w:val="00A263E3"/>
    <w:rsid w:val="00A30FD7"/>
    <w:rsid w:val="00A34060"/>
    <w:rsid w:val="00A402E6"/>
    <w:rsid w:val="00A51E2C"/>
    <w:rsid w:val="00A715EF"/>
    <w:rsid w:val="00A726E8"/>
    <w:rsid w:val="00A808DC"/>
    <w:rsid w:val="00A84647"/>
    <w:rsid w:val="00A906A7"/>
    <w:rsid w:val="00A91CDF"/>
    <w:rsid w:val="00AA2580"/>
    <w:rsid w:val="00AA409B"/>
    <w:rsid w:val="00AA45AE"/>
    <w:rsid w:val="00AB0970"/>
    <w:rsid w:val="00AB2F20"/>
    <w:rsid w:val="00AB4DE2"/>
    <w:rsid w:val="00AC1D6E"/>
    <w:rsid w:val="00AD01C0"/>
    <w:rsid w:val="00AD0498"/>
    <w:rsid w:val="00AD20DE"/>
    <w:rsid w:val="00AD4BD3"/>
    <w:rsid w:val="00AE30CB"/>
    <w:rsid w:val="00AE63DF"/>
    <w:rsid w:val="00AF6B42"/>
    <w:rsid w:val="00B00EDA"/>
    <w:rsid w:val="00B02E30"/>
    <w:rsid w:val="00B130B0"/>
    <w:rsid w:val="00B16026"/>
    <w:rsid w:val="00B22758"/>
    <w:rsid w:val="00B24435"/>
    <w:rsid w:val="00B3204F"/>
    <w:rsid w:val="00B365E5"/>
    <w:rsid w:val="00B36EFF"/>
    <w:rsid w:val="00B4583B"/>
    <w:rsid w:val="00B45EBF"/>
    <w:rsid w:val="00B47F5E"/>
    <w:rsid w:val="00B53C0F"/>
    <w:rsid w:val="00B60F68"/>
    <w:rsid w:val="00B658BD"/>
    <w:rsid w:val="00B71551"/>
    <w:rsid w:val="00B76F94"/>
    <w:rsid w:val="00B9385A"/>
    <w:rsid w:val="00B972B8"/>
    <w:rsid w:val="00BA7070"/>
    <w:rsid w:val="00BB4D3B"/>
    <w:rsid w:val="00BC21B2"/>
    <w:rsid w:val="00BC6C4C"/>
    <w:rsid w:val="00BF1CC4"/>
    <w:rsid w:val="00BF5934"/>
    <w:rsid w:val="00C15936"/>
    <w:rsid w:val="00C2013D"/>
    <w:rsid w:val="00C36BF4"/>
    <w:rsid w:val="00C41287"/>
    <w:rsid w:val="00C61CE7"/>
    <w:rsid w:val="00C62A95"/>
    <w:rsid w:val="00C70EE9"/>
    <w:rsid w:val="00C71E7D"/>
    <w:rsid w:val="00C74E6B"/>
    <w:rsid w:val="00C8399F"/>
    <w:rsid w:val="00C84562"/>
    <w:rsid w:val="00C96A95"/>
    <w:rsid w:val="00CB188F"/>
    <w:rsid w:val="00CB7D55"/>
    <w:rsid w:val="00CC1007"/>
    <w:rsid w:val="00CC790C"/>
    <w:rsid w:val="00CD1ADF"/>
    <w:rsid w:val="00CD6757"/>
    <w:rsid w:val="00CD6B89"/>
    <w:rsid w:val="00CD70CB"/>
    <w:rsid w:val="00CD755D"/>
    <w:rsid w:val="00CE2E47"/>
    <w:rsid w:val="00CE7A7A"/>
    <w:rsid w:val="00D008FA"/>
    <w:rsid w:val="00D01710"/>
    <w:rsid w:val="00D0237C"/>
    <w:rsid w:val="00D11DD3"/>
    <w:rsid w:val="00D12B1F"/>
    <w:rsid w:val="00D141F2"/>
    <w:rsid w:val="00D16DB0"/>
    <w:rsid w:val="00D17EF3"/>
    <w:rsid w:val="00D26678"/>
    <w:rsid w:val="00D27E36"/>
    <w:rsid w:val="00D548C9"/>
    <w:rsid w:val="00D54D65"/>
    <w:rsid w:val="00D606CA"/>
    <w:rsid w:val="00D74237"/>
    <w:rsid w:val="00D83EFB"/>
    <w:rsid w:val="00D936CC"/>
    <w:rsid w:val="00D97996"/>
    <w:rsid w:val="00DA27BB"/>
    <w:rsid w:val="00DA342A"/>
    <w:rsid w:val="00DA4297"/>
    <w:rsid w:val="00DA5A19"/>
    <w:rsid w:val="00DB1565"/>
    <w:rsid w:val="00DB501A"/>
    <w:rsid w:val="00DC1C2F"/>
    <w:rsid w:val="00DC3AC6"/>
    <w:rsid w:val="00DD4023"/>
    <w:rsid w:val="00DD492D"/>
    <w:rsid w:val="00DD54D2"/>
    <w:rsid w:val="00DE3C49"/>
    <w:rsid w:val="00DF6586"/>
    <w:rsid w:val="00E003FA"/>
    <w:rsid w:val="00E06070"/>
    <w:rsid w:val="00E07C89"/>
    <w:rsid w:val="00E110CB"/>
    <w:rsid w:val="00E22CF6"/>
    <w:rsid w:val="00E2635B"/>
    <w:rsid w:val="00E263D8"/>
    <w:rsid w:val="00E27D9B"/>
    <w:rsid w:val="00E35257"/>
    <w:rsid w:val="00E42823"/>
    <w:rsid w:val="00E434B3"/>
    <w:rsid w:val="00E52DC6"/>
    <w:rsid w:val="00E65176"/>
    <w:rsid w:val="00E82A82"/>
    <w:rsid w:val="00E83737"/>
    <w:rsid w:val="00E876F7"/>
    <w:rsid w:val="00E93770"/>
    <w:rsid w:val="00E97D63"/>
    <w:rsid w:val="00EA0841"/>
    <w:rsid w:val="00EB39E3"/>
    <w:rsid w:val="00EB481E"/>
    <w:rsid w:val="00EC3D5C"/>
    <w:rsid w:val="00ED31FC"/>
    <w:rsid w:val="00ED48DE"/>
    <w:rsid w:val="00EF4CF9"/>
    <w:rsid w:val="00F02886"/>
    <w:rsid w:val="00F045EF"/>
    <w:rsid w:val="00F066C6"/>
    <w:rsid w:val="00F10EE4"/>
    <w:rsid w:val="00F260FB"/>
    <w:rsid w:val="00F275CA"/>
    <w:rsid w:val="00F412A5"/>
    <w:rsid w:val="00F60E7F"/>
    <w:rsid w:val="00F62D59"/>
    <w:rsid w:val="00F648C4"/>
    <w:rsid w:val="00F749F0"/>
    <w:rsid w:val="00F7528C"/>
    <w:rsid w:val="00F83D9C"/>
    <w:rsid w:val="00FB7AFC"/>
    <w:rsid w:val="00FC02A3"/>
    <w:rsid w:val="00FC031D"/>
    <w:rsid w:val="00FD04B6"/>
    <w:rsid w:val="00FD3A04"/>
    <w:rsid w:val="00FD3BBE"/>
    <w:rsid w:val="00FD4A80"/>
    <w:rsid w:val="00FD7A9C"/>
    <w:rsid w:val="00FF03F3"/>
    <w:rsid w:val="00FF3810"/>
    <w:rsid w:val="00FF61A2"/>
    <w:rsid w:val="00FF6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21321"/>
  <w15:docId w15:val="{8FB11AEC-F483-4E84-A3C8-69904EE65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64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8264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18264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D4A8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D4A8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2643"/>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rsid w:val="0018264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D4A80"/>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FD4A80"/>
    <w:rPr>
      <w:rFonts w:asciiTheme="majorHAnsi" w:eastAsiaTheme="majorEastAsia" w:hAnsiTheme="majorHAnsi" w:cstheme="majorBidi"/>
      <w:b/>
      <w:bCs/>
      <w:i/>
      <w:iCs/>
      <w:color w:val="4F81BD" w:themeColor="accent1"/>
      <w:sz w:val="24"/>
      <w:szCs w:val="24"/>
    </w:rPr>
  </w:style>
  <w:style w:type="paragraph" w:styleId="Footer">
    <w:name w:val="footer"/>
    <w:basedOn w:val="Normal"/>
    <w:link w:val="FooterChar"/>
    <w:rsid w:val="00182643"/>
    <w:pPr>
      <w:tabs>
        <w:tab w:val="center" w:pos="4320"/>
        <w:tab w:val="right" w:pos="8640"/>
      </w:tabs>
    </w:pPr>
  </w:style>
  <w:style w:type="character" w:customStyle="1" w:styleId="FooterChar">
    <w:name w:val="Footer Char"/>
    <w:basedOn w:val="DefaultParagraphFont"/>
    <w:link w:val="Footer"/>
    <w:rsid w:val="00182643"/>
    <w:rPr>
      <w:rFonts w:ascii="Times New Roman" w:eastAsia="Times New Roman" w:hAnsi="Times New Roman" w:cs="Times New Roman"/>
      <w:sz w:val="24"/>
      <w:szCs w:val="24"/>
    </w:rPr>
  </w:style>
  <w:style w:type="character" w:styleId="PageNumber">
    <w:name w:val="page number"/>
    <w:basedOn w:val="DefaultParagraphFont"/>
    <w:rsid w:val="00182643"/>
  </w:style>
  <w:style w:type="paragraph" w:styleId="DocumentMap">
    <w:name w:val="Document Map"/>
    <w:basedOn w:val="Normal"/>
    <w:link w:val="DocumentMapChar"/>
    <w:rsid w:val="00182643"/>
    <w:rPr>
      <w:rFonts w:ascii="Tahoma" w:hAnsi="Tahoma" w:cs="Tahoma"/>
      <w:sz w:val="16"/>
      <w:szCs w:val="16"/>
    </w:rPr>
  </w:style>
  <w:style w:type="character" w:customStyle="1" w:styleId="DocumentMapChar">
    <w:name w:val="Document Map Char"/>
    <w:basedOn w:val="DefaultParagraphFont"/>
    <w:link w:val="DocumentMap"/>
    <w:rsid w:val="00182643"/>
    <w:rPr>
      <w:rFonts w:ascii="Tahoma" w:eastAsia="Times New Roman" w:hAnsi="Tahoma" w:cs="Tahoma"/>
      <w:sz w:val="16"/>
      <w:szCs w:val="16"/>
    </w:rPr>
  </w:style>
  <w:style w:type="table" w:styleId="TableGrid">
    <w:name w:val="Table Grid"/>
    <w:basedOn w:val="TableNormal"/>
    <w:uiPriority w:val="39"/>
    <w:rsid w:val="0018264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182643"/>
    <w:rPr>
      <w:color w:val="0000FF"/>
      <w:u w:val="single"/>
    </w:rPr>
  </w:style>
  <w:style w:type="character" w:styleId="Emphasis">
    <w:name w:val="Emphasis"/>
    <w:basedOn w:val="DefaultParagraphFont"/>
    <w:uiPriority w:val="20"/>
    <w:qFormat/>
    <w:rsid w:val="00182643"/>
    <w:rPr>
      <w:i/>
      <w:iCs/>
    </w:rPr>
  </w:style>
  <w:style w:type="paragraph" w:styleId="TOC1">
    <w:name w:val="toc 1"/>
    <w:basedOn w:val="Normal"/>
    <w:next w:val="Normal"/>
    <w:autoRedefine/>
    <w:uiPriority w:val="39"/>
    <w:rsid w:val="00182643"/>
    <w:pPr>
      <w:tabs>
        <w:tab w:val="right" w:leader="dot" w:pos="8630"/>
      </w:tabs>
      <w:spacing w:line="360" w:lineRule="auto"/>
    </w:pPr>
  </w:style>
  <w:style w:type="paragraph" w:styleId="ListParagraph">
    <w:name w:val="List Paragraph"/>
    <w:basedOn w:val="Normal"/>
    <w:uiPriority w:val="34"/>
    <w:qFormat/>
    <w:rsid w:val="00182643"/>
    <w:pPr>
      <w:ind w:left="720"/>
    </w:pPr>
    <w:rPr>
      <w:rFonts w:eastAsia="Calibri"/>
    </w:rPr>
  </w:style>
  <w:style w:type="paragraph" w:styleId="BalloonText">
    <w:name w:val="Balloon Text"/>
    <w:basedOn w:val="Normal"/>
    <w:link w:val="BalloonTextChar"/>
    <w:uiPriority w:val="99"/>
    <w:semiHidden/>
    <w:unhideWhenUsed/>
    <w:rsid w:val="00182643"/>
    <w:rPr>
      <w:rFonts w:ascii="Tahoma" w:hAnsi="Tahoma" w:cs="Tahoma"/>
      <w:sz w:val="16"/>
      <w:szCs w:val="16"/>
    </w:rPr>
  </w:style>
  <w:style w:type="character" w:customStyle="1" w:styleId="BalloonTextChar">
    <w:name w:val="Balloon Text Char"/>
    <w:basedOn w:val="DefaultParagraphFont"/>
    <w:link w:val="BalloonText"/>
    <w:uiPriority w:val="99"/>
    <w:semiHidden/>
    <w:rsid w:val="00182643"/>
    <w:rPr>
      <w:rFonts w:ascii="Tahoma" w:eastAsia="Times New Roman" w:hAnsi="Tahoma" w:cs="Tahoma"/>
      <w:sz w:val="16"/>
      <w:szCs w:val="16"/>
    </w:rPr>
  </w:style>
  <w:style w:type="character" w:styleId="PlaceholderText">
    <w:name w:val="Placeholder Text"/>
    <w:basedOn w:val="DefaultParagraphFont"/>
    <w:uiPriority w:val="99"/>
    <w:semiHidden/>
    <w:rsid w:val="00182643"/>
    <w:rPr>
      <w:color w:val="808080"/>
    </w:rPr>
  </w:style>
  <w:style w:type="paragraph" w:customStyle="1" w:styleId="Default">
    <w:name w:val="Default"/>
    <w:link w:val="DefaultChar"/>
    <w:rsid w:val="0018264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efaultChar">
    <w:name w:val="Default Char"/>
    <w:basedOn w:val="DefaultParagraphFont"/>
    <w:link w:val="Default"/>
    <w:locked/>
    <w:rsid w:val="00735DCF"/>
    <w:rPr>
      <w:rFonts w:ascii="Times New Roman" w:hAnsi="Times New Roman" w:cs="Times New Roman"/>
      <w:color w:val="000000"/>
      <w:sz w:val="24"/>
      <w:szCs w:val="24"/>
    </w:rPr>
  </w:style>
  <w:style w:type="paragraph" w:customStyle="1" w:styleId="EndNoteBibliographyTitle">
    <w:name w:val="EndNote Bibliography Title"/>
    <w:basedOn w:val="Normal"/>
    <w:link w:val="EndNoteBibliographyTitleChar"/>
    <w:rsid w:val="00182643"/>
    <w:pPr>
      <w:jc w:val="center"/>
    </w:pPr>
    <w:rPr>
      <w:noProof/>
    </w:rPr>
  </w:style>
  <w:style w:type="character" w:customStyle="1" w:styleId="EndNoteBibliographyTitleChar">
    <w:name w:val="EndNote Bibliography Title Char"/>
    <w:basedOn w:val="DefaultParagraphFont"/>
    <w:link w:val="EndNoteBibliographyTitle"/>
    <w:rsid w:val="00182643"/>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182643"/>
    <w:rPr>
      <w:noProof/>
    </w:rPr>
  </w:style>
  <w:style w:type="character" w:customStyle="1" w:styleId="EndNoteBibliographyChar">
    <w:name w:val="EndNote Bibliography Char"/>
    <w:basedOn w:val="DefaultParagraphFont"/>
    <w:link w:val="EndNoteBibliography"/>
    <w:rsid w:val="00182643"/>
    <w:rPr>
      <w:rFonts w:ascii="Times New Roman" w:eastAsia="Times New Roman" w:hAnsi="Times New Roman" w:cs="Times New Roman"/>
      <w:noProof/>
      <w:sz w:val="24"/>
      <w:szCs w:val="24"/>
    </w:rPr>
  </w:style>
  <w:style w:type="paragraph" w:styleId="Caption">
    <w:name w:val="caption"/>
    <w:basedOn w:val="Normal"/>
    <w:next w:val="Normal"/>
    <w:uiPriority w:val="35"/>
    <w:unhideWhenUsed/>
    <w:qFormat/>
    <w:rsid w:val="00182643"/>
    <w:pPr>
      <w:spacing w:after="200"/>
      <w:jc w:val="both"/>
    </w:pPr>
    <w:rPr>
      <w:rFonts w:eastAsia="Calibri"/>
      <w:b/>
      <w:bCs/>
      <w:color w:val="4F81BD" w:themeColor="accent1"/>
      <w:sz w:val="18"/>
      <w:szCs w:val="18"/>
    </w:rPr>
  </w:style>
  <w:style w:type="paragraph" w:styleId="Header">
    <w:name w:val="header"/>
    <w:basedOn w:val="Normal"/>
    <w:link w:val="HeaderChar"/>
    <w:uiPriority w:val="99"/>
    <w:unhideWhenUsed/>
    <w:rsid w:val="00FD4A80"/>
    <w:pPr>
      <w:tabs>
        <w:tab w:val="center" w:pos="4680"/>
        <w:tab w:val="right" w:pos="9360"/>
      </w:tabs>
    </w:pPr>
  </w:style>
  <w:style w:type="character" w:customStyle="1" w:styleId="HeaderChar">
    <w:name w:val="Header Char"/>
    <w:basedOn w:val="DefaultParagraphFont"/>
    <w:link w:val="Header"/>
    <w:uiPriority w:val="99"/>
    <w:rsid w:val="00FD4A80"/>
    <w:rPr>
      <w:rFonts w:ascii="Times New Roman" w:eastAsia="Times New Roman" w:hAnsi="Times New Roman" w:cs="Times New Roman"/>
      <w:sz w:val="24"/>
      <w:szCs w:val="24"/>
    </w:rPr>
  </w:style>
  <w:style w:type="paragraph" w:styleId="NoSpacing">
    <w:name w:val="No Spacing"/>
    <w:uiPriority w:val="1"/>
    <w:qFormat/>
    <w:rsid w:val="00FD4A80"/>
    <w:pPr>
      <w:spacing w:after="0"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FD4A80"/>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2">
    <w:name w:val="toc 2"/>
    <w:basedOn w:val="Normal"/>
    <w:next w:val="Normal"/>
    <w:autoRedefine/>
    <w:uiPriority w:val="39"/>
    <w:unhideWhenUsed/>
    <w:rsid w:val="00FD4A80"/>
    <w:pPr>
      <w:spacing w:after="100"/>
      <w:ind w:left="240"/>
    </w:pPr>
  </w:style>
  <w:style w:type="paragraph" w:styleId="TOC3">
    <w:name w:val="toc 3"/>
    <w:basedOn w:val="Normal"/>
    <w:next w:val="Normal"/>
    <w:autoRedefine/>
    <w:uiPriority w:val="39"/>
    <w:unhideWhenUsed/>
    <w:rsid w:val="00735DCF"/>
    <w:pPr>
      <w:spacing w:after="100"/>
      <w:ind w:left="480"/>
    </w:pPr>
  </w:style>
  <w:style w:type="paragraph" w:styleId="NormalWeb">
    <w:name w:val="Normal (Web)"/>
    <w:basedOn w:val="Normal"/>
    <w:uiPriority w:val="99"/>
    <w:unhideWhenUsed/>
    <w:rsid w:val="00735DCF"/>
    <w:pPr>
      <w:spacing w:before="100" w:beforeAutospacing="1" w:after="100" w:afterAutospacing="1"/>
    </w:pPr>
  </w:style>
  <w:style w:type="paragraph" w:styleId="TableofFigures">
    <w:name w:val="table of figures"/>
    <w:basedOn w:val="Normal"/>
    <w:next w:val="Normal"/>
    <w:uiPriority w:val="99"/>
    <w:unhideWhenUsed/>
    <w:rsid w:val="00DA5A19"/>
  </w:style>
  <w:style w:type="paragraph" w:customStyle="1" w:styleId="c0">
    <w:name w:val="c0"/>
    <w:basedOn w:val="Normal"/>
    <w:rsid w:val="00BF1CC4"/>
    <w:pPr>
      <w:spacing w:before="100" w:beforeAutospacing="1" w:after="100" w:afterAutospacing="1"/>
    </w:pPr>
  </w:style>
  <w:style w:type="character" w:customStyle="1" w:styleId="c3">
    <w:name w:val="c3"/>
    <w:basedOn w:val="DefaultParagraphFont"/>
    <w:rsid w:val="00BF1CC4"/>
  </w:style>
  <w:style w:type="character" w:styleId="UnresolvedMention">
    <w:name w:val="Unresolved Mention"/>
    <w:basedOn w:val="DefaultParagraphFont"/>
    <w:uiPriority w:val="99"/>
    <w:semiHidden/>
    <w:unhideWhenUsed/>
    <w:rsid w:val="004527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0430400">
      <w:bodyDiv w:val="1"/>
      <w:marLeft w:val="0"/>
      <w:marRight w:val="0"/>
      <w:marTop w:val="0"/>
      <w:marBottom w:val="0"/>
      <w:divBdr>
        <w:top w:val="none" w:sz="0" w:space="0" w:color="auto"/>
        <w:left w:val="none" w:sz="0" w:space="0" w:color="auto"/>
        <w:bottom w:val="none" w:sz="0" w:space="0" w:color="auto"/>
        <w:right w:val="none" w:sz="0" w:space="0" w:color="auto"/>
      </w:divBdr>
    </w:div>
    <w:div w:id="950893160">
      <w:bodyDiv w:val="1"/>
      <w:marLeft w:val="0"/>
      <w:marRight w:val="0"/>
      <w:marTop w:val="0"/>
      <w:marBottom w:val="0"/>
      <w:divBdr>
        <w:top w:val="none" w:sz="0" w:space="0" w:color="auto"/>
        <w:left w:val="none" w:sz="0" w:space="0" w:color="auto"/>
        <w:bottom w:val="none" w:sz="0" w:space="0" w:color="auto"/>
        <w:right w:val="none" w:sz="0" w:space="0" w:color="auto"/>
      </w:divBdr>
    </w:div>
    <w:div w:id="1028413315">
      <w:bodyDiv w:val="1"/>
      <w:marLeft w:val="0"/>
      <w:marRight w:val="0"/>
      <w:marTop w:val="0"/>
      <w:marBottom w:val="0"/>
      <w:divBdr>
        <w:top w:val="none" w:sz="0" w:space="0" w:color="auto"/>
        <w:left w:val="none" w:sz="0" w:space="0" w:color="auto"/>
        <w:bottom w:val="none" w:sz="0" w:space="0" w:color="auto"/>
        <w:right w:val="none" w:sz="0" w:space="0" w:color="auto"/>
      </w:divBdr>
    </w:div>
    <w:div w:id="1127119654">
      <w:bodyDiv w:val="1"/>
      <w:marLeft w:val="0"/>
      <w:marRight w:val="0"/>
      <w:marTop w:val="0"/>
      <w:marBottom w:val="0"/>
      <w:divBdr>
        <w:top w:val="none" w:sz="0" w:space="0" w:color="auto"/>
        <w:left w:val="none" w:sz="0" w:space="0" w:color="auto"/>
        <w:bottom w:val="none" w:sz="0" w:space="0" w:color="auto"/>
        <w:right w:val="none" w:sz="0" w:space="0" w:color="auto"/>
      </w:divBdr>
    </w:div>
    <w:div w:id="1182431490">
      <w:bodyDiv w:val="1"/>
      <w:marLeft w:val="0"/>
      <w:marRight w:val="0"/>
      <w:marTop w:val="0"/>
      <w:marBottom w:val="0"/>
      <w:divBdr>
        <w:top w:val="none" w:sz="0" w:space="0" w:color="auto"/>
        <w:left w:val="none" w:sz="0" w:space="0" w:color="auto"/>
        <w:bottom w:val="none" w:sz="0" w:space="0" w:color="auto"/>
        <w:right w:val="none" w:sz="0" w:space="0" w:color="auto"/>
      </w:divBdr>
    </w:div>
    <w:div w:id="1646666713">
      <w:bodyDiv w:val="1"/>
      <w:marLeft w:val="0"/>
      <w:marRight w:val="0"/>
      <w:marTop w:val="0"/>
      <w:marBottom w:val="0"/>
      <w:divBdr>
        <w:top w:val="none" w:sz="0" w:space="0" w:color="auto"/>
        <w:left w:val="none" w:sz="0" w:space="0" w:color="auto"/>
        <w:bottom w:val="none" w:sz="0" w:space="0" w:color="auto"/>
        <w:right w:val="none" w:sz="0" w:space="0" w:color="auto"/>
      </w:divBdr>
    </w:div>
    <w:div w:id="194761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5F6EC-B080-45D2-9070-285F3AFCE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799</TotalTime>
  <Pages>18</Pages>
  <Words>10135</Words>
  <Characters>57770</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Editor-23</cp:lastModifiedBy>
  <cp:revision>371</cp:revision>
  <dcterms:created xsi:type="dcterms:W3CDTF">2023-10-20T11:55:00Z</dcterms:created>
  <dcterms:modified xsi:type="dcterms:W3CDTF">2024-10-08T12:25:00Z</dcterms:modified>
</cp:coreProperties>
</file>