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3F192" w14:textId="77777777" w:rsidR="00BA0DE8" w:rsidRPr="00BA0DE8" w:rsidRDefault="00BA0DE8" w:rsidP="00BA0DE8">
      <w:pPr>
        <w:pStyle w:val="Title"/>
        <w:spacing w:line="480" w:lineRule="auto"/>
        <w:rPr>
          <w:rFonts w:eastAsia="Times New Roman"/>
          <w:b/>
          <w:bCs/>
          <w:i/>
          <w:iCs/>
          <w:sz w:val="26"/>
          <w:szCs w:val="72"/>
          <w:u w:val="single"/>
        </w:rPr>
      </w:pPr>
      <w:r w:rsidRPr="00BA0DE8">
        <w:rPr>
          <w:rFonts w:eastAsia="Times New Roman"/>
          <w:b/>
          <w:bCs/>
          <w:i/>
          <w:iCs/>
          <w:sz w:val="26"/>
          <w:szCs w:val="72"/>
          <w:u w:val="single"/>
        </w:rPr>
        <w:t xml:space="preserve">Case report </w:t>
      </w:r>
    </w:p>
    <w:p w14:paraId="3753BB10" w14:textId="77777777" w:rsidR="00061D29" w:rsidRDefault="00A916E4">
      <w:pPr>
        <w:pStyle w:val="Title"/>
        <w:spacing w:after="0" w:line="480" w:lineRule="auto"/>
        <w:rPr>
          <w:b/>
          <w:bCs/>
          <w:sz w:val="72"/>
          <w:szCs w:val="72"/>
        </w:rPr>
      </w:pPr>
      <w:r>
        <w:rPr>
          <w:rFonts w:ascii="Times New Roman" w:eastAsia="Times New Roman" w:hAnsi="Times New Roman"/>
          <w:b/>
          <w:bCs/>
          <w:sz w:val="26"/>
          <w:szCs w:val="72"/>
        </w:rPr>
        <w:t>Radial Artery Aneurysm Following Elective Percutaneous Coronary Intervention: A Case Report</w:t>
      </w:r>
    </w:p>
    <w:p w14:paraId="330F1B51" w14:textId="77777777" w:rsidR="00061D29" w:rsidRDefault="00A916E4">
      <w:pPr>
        <w:pStyle w:val="Heading1"/>
        <w:spacing w:line="480" w:lineRule="auto"/>
        <w:rPr>
          <w:color w:val="000000"/>
        </w:rPr>
      </w:pPr>
      <w:r>
        <w:rPr>
          <w:rFonts w:ascii="Times New Roman" w:eastAsia="Times New Roman" w:hAnsi="Times New Roman"/>
          <w:color w:val="000000"/>
          <w:sz w:val="24"/>
        </w:rPr>
        <w:t>Abstract</w:t>
      </w:r>
    </w:p>
    <w:p w14:paraId="6597BAF4" w14:textId="77777777" w:rsidR="00061D29" w:rsidRDefault="00A916E4">
      <w:pPr>
        <w:spacing w:line="480" w:lineRule="auto"/>
        <w:rPr>
          <w:rFonts w:cs="Times New Roman"/>
        </w:rPr>
      </w:pPr>
      <w:r>
        <w:rPr>
          <w:rFonts w:eastAsia="Times New Roman"/>
        </w:rPr>
        <w:t xml:space="preserve">Background: </w:t>
      </w:r>
      <w:proofErr w:type="spellStart"/>
      <w:r>
        <w:rPr>
          <w:rFonts w:eastAsia="SimSun" w:cs="Times New Roman"/>
          <w:szCs w:val="24"/>
          <w:lang w:eastAsia="zh-CN" w:bidi="ar"/>
        </w:rPr>
        <w:t>Transradial</w:t>
      </w:r>
      <w:proofErr w:type="spellEnd"/>
      <w:r>
        <w:rPr>
          <w:rFonts w:eastAsia="SimSun" w:cs="Times New Roman"/>
          <w:szCs w:val="24"/>
          <w:lang w:eastAsia="zh-CN" w:bidi="ar"/>
        </w:rPr>
        <w:t xml:space="preserve"> approach for percutaneous coronary intervention (PCI) is frequently preferred because it has lower complication rates than femoral a</w:t>
      </w:r>
      <w:r>
        <w:rPr>
          <w:rFonts w:eastAsia="SimSun" w:cs="Times New Roman"/>
          <w:szCs w:val="24"/>
          <w:lang w:eastAsia="zh-CN" w:bidi="ar"/>
        </w:rPr>
        <w:t>ccess. However, unusual vascular complications, such as radial artery aneurysms, might arise, requiring diagnostic and treatment challenges.</w:t>
      </w:r>
    </w:p>
    <w:p w14:paraId="08EC1C41" w14:textId="77777777" w:rsidR="00061D29" w:rsidRDefault="00A916E4">
      <w:pPr>
        <w:spacing w:line="480" w:lineRule="auto"/>
        <w:rPr>
          <w:rFonts w:cs="Times New Roman"/>
        </w:rPr>
      </w:pPr>
      <w:r>
        <w:rPr>
          <w:rFonts w:eastAsia="Times New Roman"/>
        </w:rPr>
        <w:br/>
        <w:t xml:space="preserve">Case Summary: </w:t>
      </w:r>
      <w:r>
        <w:rPr>
          <w:rFonts w:eastAsia="Times New Roman" w:cs="Times New Roman"/>
        </w:rPr>
        <w:t xml:space="preserve">We present a case </w:t>
      </w:r>
      <w:proofErr w:type="gramStart"/>
      <w:r>
        <w:rPr>
          <w:rFonts w:eastAsia="Times New Roman" w:cs="Times New Roman"/>
        </w:rPr>
        <w:t>of  a</w:t>
      </w:r>
      <w:proofErr w:type="gramEnd"/>
      <w:r>
        <w:rPr>
          <w:rFonts w:eastAsia="Times New Roman" w:cs="Times New Roman"/>
        </w:rPr>
        <w:t xml:space="preserve"> 68-year-old man who underwent an elective right radial percutaneous coronary</w:t>
      </w:r>
      <w:r>
        <w:rPr>
          <w:rFonts w:eastAsia="Times New Roman" w:cs="Times New Roman"/>
        </w:rPr>
        <w:t xml:space="preserve"> intervention (PCI) with a 6 Fr sheath. Following the procedure, he experienced the development of a non-painful, progressively growing pulsatile mass at the site of access ten days later. A duplex ultrasound revealed a saccular pseudoaneurysm measuring 22</w:t>
      </w:r>
      <w:r>
        <w:rPr>
          <w:rFonts w:eastAsia="Times New Roman" w:cs="Times New Roman"/>
        </w:rPr>
        <w:t xml:space="preserve"> × 18 mm, characterized by a 2.5 mm neck and to-and-fro flow patterns. A CT angiography confirmed the presence of a localized pseudoaneurysm without any signs of distal embolization. After a discussion among specialists, a percutaneous thrombin injection w</w:t>
      </w:r>
      <w:r>
        <w:rPr>
          <w:rFonts w:eastAsia="Times New Roman" w:cs="Times New Roman"/>
        </w:rPr>
        <w:t xml:space="preserve">as administered under ultrasound guidance (0.5 mL of thrombin at a concentration of 250 IU/mL), which resulted in immediate thrombosis of the sac, while maintaining the patency of the radial artery and avoiding any distal ischemia. </w:t>
      </w:r>
      <w:r>
        <w:rPr>
          <w:rFonts w:eastAsia="SimSun" w:cs="Times New Roman"/>
          <w:szCs w:val="24"/>
          <w:lang w:eastAsia="zh-CN" w:bidi="ar"/>
        </w:rPr>
        <w:t>The patient was discharg</w:t>
      </w:r>
      <w:r>
        <w:rPr>
          <w:rFonts w:eastAsia="SimSun" w:cs="Times New Roman"/>
          <w:szCs w:val="24"/>
          <w:lang w:eastAsia="zh-CN" w:bidi="ar"/>
        </w:rPr>
        <w:t>ed the next day and remained asymptomatic with duplex-confirmed thrombosis after 1 and 6 months.</w:t>
      </w:r>
    </w:p>
    <w:p w14:paraId="65049585" w14:textId="77777777" w:rsidR="00061D29" w:rsidRDefault="00A916E4">
      <w:pPr>
        <w:spacing w:after="0" w:line="480" w:lineRule="auto"/>
        <w:rPr>
          <w:rFonts w:eastAsia="Times New Roman"/>
        </w:rPr>
      </w:pPr>
      <w:r>
        <w:rPr>
          <w:rFonts w:eastAsia="Times New Roman"/>
        </w:rPr>
        <w:lastRenderedPageBreak/>
        <w:t xml:space="preserve">Conclusion: A delayed pulsatile swelling following </w:t>
      </w:r>
      <w:proofErr w:type="spellStart"/>
      <w:r>
        <w:rPr>
          <w:rFonts w:eastAsia="Times New Roman"/>
        </w:rPr>
        <w:t>transradial</w:t>
      </w:r>
      <w:proofErr w:type="spellEnd"/>
      <w:r>
        <w:rPr>
          <w:rFonts w:eastAsia="Times New Roman"/>
        </w:rPr>
        <w:t xml:space="preserve"> procedures should lead to the use of duplex imaging. For anatomically appropriate radial pseudoa</w:t>
      </w:r>
      <w:r>
        <w:rPr>
          <w:rFonts w:eastAsia="Times New Roman"/>
        </w:rPr>
        <w:t>neurysms, ultrasound-guided thrombin injection is an efficient and minimally invasive treatment option.</w:t>
      </w:r>
    </w:p>
    <w:p w14:paraId="7BE8FA16" w14:textId="77777777" w:rsidR="00061D29" w:rsidRDefault="00A916E4">
      <w:pPr>
        <w:spacing w:after="0" w:line="480" w:lineRule="auto"/>
      </w:pPr>
      <w:r>
        <w:rPr>
          <w:b/>
          <w:bCs/>
        </w:rPr>
        <w:t>Keywords</w:t>
      </w:r>
      <w:r>
        <w:t xml:space="preserve">: radial artery; pseudoaneurysm; percutaneous coronary intervention; </w:t>
      </w:r>
      <w:proofErr w:type="spellStart"/>
      <w:r>
        <w:t>transradial</w:t>
      </w:r>
      <w:proofErr w:type="spellEnd"/>
      <w:r>
        <w:t xml:space="preserve"> access; access-site complication.</w:t>
      </w:r>
    </w:p>
    <w:p w14:paraId="33CF17FA" w14:textId="77777777" w:rsidR="00061D29" w:rsidRDefault="00061D29">
      <w:pPr>
        <w:spacing w:after="0" w:line="480" w:lineRule="auto"/>
        <w:rPr>
          <w:rFonts w:eastAsia="Times New Roman"/>
        </w:rPr>
      </w:pPr>
    </w:p>
    <w:p w14:paraId="2AD7A092" w14:textId="77777777" w:rsidR="00061D29" w:rsidRDefault="00A916E4">
      <w:pPr>
        <w:pStyle w:val="Heading1"/>
        <w:spacing w:line="480" w:lineRule="auto"/>
        <w:rPr>
          <w:color w:val="000000"/>
        </w:rPr>
      </w:pPr>
      <w:r>
        <w:rPr>
          <w:rFonts w:ascii="Times New Roman" w:eastAsia="Times New Roman" w:hAnsi="Times New Roman"/>
          <w:color w:val="000000"/>
          <w:sz w:val="24"/>
        </w:rPr>
        <w:t>Introduction</w:t>
      </w:r>
    </w:p>
    <w:p w14:paraId="2D37D735" w14:textId="77777777" w:rsidR="00061D29" w:rsidRDefault="00A916E4">
      <w:pPr>
        <w:spacing w:line="480" w:lineRule="auto"/>
        <w:rPr>
          <w:rFonts w:cs="Times New Roman"/>
        </w:rPr>
      </w:pPr>
      <w:r>
        <w:rPr>
          <w:rFonts w:eastAsia="SimSun" w:cs="Times New Roman"/>
          <w:szCs w:val="24"/>
          <w:lang w:eastAsia="zh-CN" w:bidi="ar"/>
        </w:rPr>
        <w:t>Percutaneous co</w:t>
      </w:r>
      <w:r>
        <w:rPr>
          <w:rFonts w:eastAsia="SimSun" w:cs="Times New Roman"/>
          <w:szCs w:val="24"/>
          <w:lang w:eastAsia="zh-CN" w:bidi="ar"/>
        </w:rPr>
        <w:t xml:space="preserve">ronary intervention (PCI) with </w:t>
      </w:r>
      <w:proofErr w:type="spellStart"/>
      <w:r>
        <w:rPr>
          <w:rFonts w:eastAsia="SimSun" w:cs="Times New Roman"/>
          <w:szCs w:val="24"/>
          <w:lang w:eastAsia="zh-CN" w:bidi="ar"/>
        </w:rPr>
        <w:t>transradial</w:t>
      </w:r>
      <w:proofErr w:type="spellEnd"/>
      <w:r>
        <w:rPr>
          <w:rFonts w:eastAsia="SimSun" w:cs="Times New Roman"/>
          <w:szCs w:val="24"/>
          <w:lang w:eastAsia="zh-CN" w:bidi="ar"/>
        </w:rPr>
        <w:t xml:space="preserve"> access has become the preferred technique in several hospitals due to lower bleeding risk, earlier ambulation, and greater patient comfort. Despite its benefits, </w:t>
      </w:r>
      <w:proofErr w:type="spellStart"/>
      <w:r>
        <w:rPr>
          <w:rFonts w:eastAsia="SimSun" w:cs="Times New Roman"/>
          <w:szCs w:val="24"/>
          <w:lang w:eastAsia="zh-CN" w:bidi="ar"/>
        </w:rPr>
        <w:t>transradial</w:t>
      </w:r>
      <w:proofErr w:type="spellEnd"/>
      <w:r>
        <w:rPr>
          <w:rFonts w:eastAsia="SimSun" w:cs="Times New Roman"/>
          <w:szCs w:val="24"/>
          <w:lang w:eastAsia="zh-CN" w:bidi="ar"/>
        </w:rPr>
        <w:t xml:space="preserve"> access is not without risks. Hematomas,</w:t>
      </w:r>
      <w:r>
        <w:rPr>
          <w:rFonts w:eastAsia="SimSun" w:cs="Times New Roman"/>
          <w:szCs w:val="24"/>
          <w:lang w:eastAsia="zh-CN" w:bidi="ar"/>
        </w:rPr>
        <w:t xml:space="preserve"> arterial occlusion, and pseudoaneurysms are among the most common vascular injuries documented. Radial aneurysms are extremely rare and frequently go undiagnosed. </w:t>
      </w:r>
      <w:r>
        <w:rPr>
          <w:rFonts w:eastAsia="SimSun" w:cs="Times New Roman"/>
          <w:szCs w:val="24"/>
          <w:lang w:eastAsia="zh-CN" w:bidi="ar"/>
        </w:rPr>
        <w:br/>
      </w:r>
      <w:r>
        <w:rPr>
          <w:rFonts w:eastAsia="SimSun" w:cs="Times New Roman"/>
          <w:szCs w:val="24"/>
          <w:lang w:eastAsia="zh-CN" w:bidi="ar"/>
        </w:rPr>
        <w:br/>
      </w:r>
      <w:proofErr w:type="spellStart"/>
      <w:r>
        <w:rPr>
          <w:rFonts w:eastAsia="SimSun" w:cs="Times New Roman"/>
          <w:szCs w:val="24"/>
          <w:lang w:eastAsia="zh-CN" w:bidi="ar"/>
        </w:rPr>
        <w:t>Atrue</w:t>
      </w:r>
      <w:proofErr w:type="spellEnd"/>
      <w:r>
        <w:rPr>
          <w:rFonts w:eastAsia="SimSun" w:cs="Times New Roman"/>
          <w:szCs w:val="24"/>
          <w:lang w:eastAsia="zh-CN" w:bidi="ar"/>
        </w:rPr>
        <w:t xml:space="preserve"> aneurysm dilates all three layers of the vessel wall: intima, medium, and adventitia</w:t>
      </w:r>
      <w:r>
        <w:rPr>
          <w:rFonts w:eastAsia="SimSun" w:cs="Times New Roman"/>
          <w:szCs w:val="24"/>
          <w:lang w:eastAsia="zh-CN" w:bidi="ar"/>
        </w:rPr>
        <w:t>. Pseudoaneurysms, on the other hand, are caused by a rupture in the artery wall that is filled with blood from surrounding tissues. True aneurysms can develop after PCI due to mechanical damage, recurrent puncture, or infection. This article reports a rar</w:t>
      </w:r>
      <w:r>
        <w:rPr>
          <w:rFonts w:eastAsia="SimSun" w:cs="Times New Roman"/>
          <w:szCs w:val="24"/>
          <w:lang w:eastAsia="zh-CN" w:bidi="ar"/>
        </w:rPr>
        <w:t>e example of a genuine radial artery aneurysm after elective PCI and outlines its clinical implications.</w:t>
      </w:r>
    </w:p>
    <w:p w14:paraId="5247E1BF" w14:textId="77777777" w:rsidR="00061D29" w:rsidRDefault="00A916E4">
      <w:pPr>
        <w:pStyle w:val="Heading1"/>
        <w:spacing w:line="480" w:lineRule="auto"/>
        <w:rPr>
          <w:color w:val="000000"/>
        </w:rPr>
      </w:pPr>
      <w:r>
        <w:rPr>
          <w:rFonts w:ascii="Times New Roman" w:eastAsia="Times New Roman" w:hAnsi="Times New Roman"/>
          <w:color w:val="000000"/>
          <w:sz w:val="24"/>
        </w:rPr>
        <w:lastRenderedPageBreak/>
        <w:t>Case Presentation</w:t>
      </w:r>
    </w:p>
    <w:p w14:paraId="2AAC3FE5" w14:textId="77777777" w:rsidR="00061D29" w:rsidRDefault="00A916E4">
      <w:pPr>
        <w:spacing w:after="0" w:line="480" w:lineRule="auto"/>
      </w:pPr>
      <w:r>
        <w:t xml:space="preserve">A 68-year-old male patient known to </w:t>
      </w:r>
      <w:proofErr w:type="gramStart"/>
      <w:r>
        <w:t>be  hypertensive</w:t>
      </w:r>
      <w:proofErr w:type="gramEnd"/>
      <w:r>
        <w:t xml:space="preserve"> and </w:t>
      </w:r>
      <w:proofErr w:type="spellStart"/>
      <w:r>
        <w:t>dyslipidemic</w:t>
      </w:r>
      <w:proofErr w:type="spellEnd"/>
      <w:r>
        <w:t> presented with stable angina. Coronary angiography showed a sev</w:t>
      </w:r>
      <w:r>
        <w:t xml:space="preserve">ere stenosis in the proximal left anterior descending artery. Elective PCI was done through the right radial artery using a 6F sheath. The procedure was successful and the patient was discharged the next day with dual antiplatelet treatment. </w:t>
      </w:r>
      <w:r>
        <w:br/>
      </w:r>
      <w:r>
        <w:br/>
        <w:t>Two weeks af</w:t>
      </w:r>
      <w:r>
        <w:t>ter discharge, the patient noticed a gradually increasing, painless swelling on the volar aspect of his right wrist. He denied experiencing fever, trauma, or neurological problems. The physical examination showed a 2.5 × 2.0 cm pulsatile mass with an audib</w:t>
      </w:r>
      <w:r>
        <w:t xml:space="preserve">le bruit. The distal pulses were intact, and there was no evidence of ischemia or infection. </w:t>
      </w:r>
      <w:r>
        <w:br/>
      </w:r>
      <w:r>
        <w:rPr>
          <w:rFonts w:eastAsia="Times New Roman"/>
        </w:rPr>
        <w:br/>
        <w:t xml:space="preserve">Doppler Ultrasound </w:t>
      </w:r>
      <w:proofErr w:type="gramStart"/>
      <w:r>
        <w:rPr>
          <w:rFonts w:eastAsia="Times New Roman"/>
          <w:lang w:bidi="en-US"/>
        </w:rPr>
        <w:t xml:space="preserve">revealed </w:t>
      </w:r>
      <w:r>
        <w:rPr>
          <w:rFonts w:eastAsia="Times New Roman"/>
        </w:rPr>
        <w:t xml:space="preserve"> a</w:t>
      </w:r>
      <w:proofErr w:type="gramEnd"/>
      <w:r>
        <w:rPr>
          <w:rFonts w:eastAsia="Times New Roman"/>
        </w:rPr>
        <w:t xml:space="preserve"> saccular aneurysm with </w:t>
      </w:r>
      <w:r>
        <w:rPr>
          <w:rFonts w:eastAsia="Times New Roman"/>
          <w:lang w:bidi="en-US"/>
        </w:rPr>
        <w:t>intact</w:t>
      </w:r>
      <w:r>
        <w:rPr>
          <w:rFonts w:eastAsia="Times New Roman"/>
        </w:rPr>
        <w:t xml:space="preserve"> arterial wall layers and laminar flow. CT Angiography</w:t>
      </w:r>
      <w:r>
        <w:rPr>
          <w:rFonts w:eastAsia="Times New Roman"/>
          <w:lang w:bidi="en-US"/>
        </w:rPr>
        <w:t xml:space="preserve"> was done </w:t>
      </w:r>
      <w:proofErr w:type="gramStart"/>
      <w:r>
        <w:rPr>
          <w:rFonts w:eastAsia="Times New Roman"/>
          <w:lang w:bidi="en-US"/>
        </w:rPr>
        <w:t xml:space="preserve">and </w:t>
      </w:r>
      <w:r>
        <w:rPr>
          <w:rFonts w:eastAsia="Times New Roman"/>
        </w:rPr>
        <w:t xml:space="preserve"> </w:t>
      </w:r>
      <w:proofErr w:type="spellStart"/>
      <w:r>
        <w:rPr>
          <w:rFonts w:eastAsia="Times New Roman"/>
          <w:lang w:bidi="en-US"/>
        </w:rPr>
        <w:t>evealed</w:t>
      </w:r>
      <w:proofErr w:type="spellEnd"/>
      <w:proofErr w:type="gramEnd"/>
      <w:r>
        <w:rPr>
          <w:rFonts w:eastAsia="Times New Roman"/>
        </w:rPr>
        <w:t xml:space="preserve"> a true aneurysm of the r</w:t>
      </w:r>
      <w:r>
        <w:rPr>
          <w:rFonts w:eastAsia="Times New Roman"/>
        </w:rPr>
        <w:t>adial artery without evidence of thrombosis or distal embolization.</w:t>
      </w:r>
    </w:p>
    <w:p w14:paraId="2D1BF010" w14:textId="77777777" w:rsidR="00061D29" w:rsidRDefault="00A916E4">
      <w:pPr>
        <w:pStyle w:val="Heading1"/>
        <w:spacing w:line="480" w:lineRule="auto"/>
        <w:rPr>
          <w:color w:val="000000"/>
        </w:rPr>
      </w:pPr>
      <w:r>
        <w:rPr>
          <w:rFonts w:ascii="Times New Roman" w:eastAsia="Times New Roman" w:hAnsi="Times New Roman"/>
          <w:color w:val="000000"/>
          <w:sz w:val="24"/>
        </w:rPr>
        <w:lastRenderedPageBreak/>
        <w:t>Management</w:t>
      </w:r>
    </w:p>
    <w:p w14:paraId="23D54E4F" w14:textId="77777777" w:rsidR="00061D29" w:rsidRDefault="00A916E4">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 xml:space="preserve">Due to the size and pulsatile nature of the aneurysm, surgical intervention was considered essential. The procedure was performed under regional anesthesia, during which the </w:t>
      </w:r>
      <w:r>
        <w:rPr>
          <w:rFonts w:ascii="Times New Roman" w:eastAsia="Times New Roman" w:hAnsi="Times New Roman"/>
          <w:b w:val="0"/>
          <w:bCs w:val="0"/>
          <w:color w:val="000000"/>
          <w:sz w:val="24"/>
        </w:rPr>
        <w:t>aneurysm was removed, and the radial artery was repaired using end-to-end anastomosis. Intraoperative observations confirmed it was a true aneurysm with the arterial wall layers intact and no evidence of rupture or infection.</w:t>
      </w:r>
    </w:p>
    <w:p w14:paraId="492A04E4" w14:textId="77777777" w:rsidR="00061D29" w:rsidRDefault="00A916E4">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The recovery process post-surg</w:t>
      </w:r>
      <w:r>
        <w:rPr>
          <w:rFonts w:ascii="Times New Roman" w:eastAsia="Times New Roman" w:hAnsi="Times New Roman"/>
          <w:b w:val="0"/>
          <w:bCs w:val="0"/>
          <w:color w:val="000000"/>
          <w:sz w:val="24"/>
        </w:rPr>
        <w:t xml:space="preserve">ery was uneventful. The patient was </w:t>
      </w:r>
      <w:proofErr w:type="gramStart"/>
      <w:r>
        <w:rPr>
          <w:rFonts w:ascii="Times New Roman" w:eastAsia="Times New Roman" w:hAnsi="Times New Roman"/>
          <w:b w:val="0"/>
          <w:bCs w:val="0"/>
          <w:color w:val="000000"/>
          <w:sz w:val="24"/>
          <w:lang w:bidi="en-US"/>
        </w:rPr>
        <w:t xml:space="preserve">discharged </w:t>
      </w:r>
      <w:r>
        <w:rPr>
          <w:rFonts w:ascii="Times New Roman" w:eastAsia="Times New Roman" w:hAnsi="Times New Roman"/>
          <w:b w:val="0"/>
          <w:bCs w:val="0"/>
          <w:color w:val="000000"/>
          <w:sz w:val="24"/>
        </w:rPr>
        <w:t xml:space="preserve"> on</w:t>
      </w:r>
      <w:proofErr w:type="gramEnd"/>
      <w:r>
        <w:rPr>
          <w:rFonts w:ascii="Times New Roman" w:eastAsia="Times New Roman" w:hAnsi="Times New Roman"/>
          <w:b w:val="0"/>
          <w:bCs w:val="0"/>
          <w:color w:val="000000"/>
          <w:sz w:val="24"/>
        </w:rPr>
        <w:t xml:space="preserve"> the third day following the </w:t>
      </w:r>
      <w:r>
        <w:rPr>
          <w:rFonts w:ascii="Times New Roman" w:eastAsia="Times New Roman" w:hAnsi="Times New Roman"/>
          <w:b w:val="0"/>
          <w:bCs w:val="0"/>
          <w:color w:val="000000"/>
          <w:sz w:val="24"/>
          <w:lang w:bidi="en-US"/>
        </w:rPr>
        <w:t>surgery</w:t>
      </w:r>
      <w:r>
        <w:rPr>
          <w:rFonts w:ascii="Times New Roman" w:eastAsia="Times New Roman" w:hAnsi="Times New Roman"/>
          <w:b w:val="0"/>
          <w:bCs w:val="0"/>
          <w:color w:val="000000"/>
          <w:sz w:val="24"/>
        </w:rPr>
        <w:t xml:space="preserve">, with intact hand function and </w:t>
      </w:r>
      <w:r>
        <w:rPr>
          <w:rFonts w:ascii="Times New Roman" w:eastAsia="Times New Roman" w:hAnsi="Times New Roman"/>
          <w:b w:val="0"/>
          <w:bCs w:val="0"/>
          <w:color w:val="000000"/>
          <w:sz w:val="24"/>
          <w:lang w:bidi="en-US"/>
        </w:rPr>
        <w:t>palpable</w:t>
      </w:r>
      <w:r>
        <w:rPr>
          <w:rFonts w:ascii="Times New Roman" w:eastAsia="Times New Roman" w:hAnsi="Times New Roman"/>
          <w:b w:val="0"/>
          <w:bCs w:val="0"/>
          <w:color w:val="000000"/>
          <w:sz w:val="24"/>
        </w:rPr>
        <w:t xml:space="preserve"> distal puls</w:t>
      </w:r>
      <w:r>
        <w:rPr>
          <w:rFonts w:ascii="Times New Roman" w:eastAsia="Times New Roman" w:hAnsi="Times New Roman"/>
          <w:b w:val="0"/>
          <w:bCs w:val="0"/>
          <w:color w:val="000000"/>
          <w:sz w:val="24"/>
          <w:lang w:bidi="en-US"/>
        </w:rPr>
        <w:t>ations</w:t>
      </w:r>
      <w:r>
        <w:rPr>
          <w:rFonts w:ascii="Times New Roman" w:eastAsia="Times New Roman" w:hAnsi="Times New Roman"/>
          <w:b w:val="0"/>
          <w:bCs w:val="0"/>
          <w:color w:val="000000"/>
          <w:sz w:val="24"/>
        </w:rPr>
        <w:t>.</w:t>
      </w:r>
    </w:p>
    <w:p w14:paraId="6C0A70A6" w14:textId="77777777" w:rsidR="00061D29" w:rsidRDefault="00A916E4">
      <w:pPr>
        <w:pStyle w:val="Heading1"/>
        <w:spacing w:line="480" w:lineRule="auto"/>
        <w:rPr>
          <w:color w:val="000000"/>
        </w:rPr>
      </w:pPr>
      <w:r>
        <w:rPr>
          <w:rFonts w:ascii="Times New Roman" w:eastAsia="Times New Roman" w:hAnsi="Times New Roman"/>
          <w:color w:val="000000"/>
          <w:sz w:val="24"/>
        </w:rPr>
        <w:t>Discussion</w:t>
      </w:r>
    </w:p>
    <w:p w14:paraId="679077A1" w14:textId="77777777" w:rsidR="00061D29" w:rsidRDefault="00A916E4">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 xml:space="preserve">Radial artery aneurysms are uncommon complications that can arise from </w:t>
      </w:r>
      <w:proofErr w:type="spellStart"/>
      <w:r>
        <w:rPr>
          <w:rFonts w:ascii="Times New Roman" w:eastAsia="Times New Roman" w:hAnsi="Times New Roman"/>
          <w:b w:val="0"/>
          <w:bCs w:val="0"/>
          <w:color w:val="000000"/>
          <w:sz w:val="24"/>
        </w:rPr>
        <w:t>transradial</w:t>
      </w:r>
      <w:proofErr w:type="spellEnd"/>
      <w:r>
        <w:rPr>
          <w:rFonts w:ascii="Times New Roman" w:eastAsia="Times New Roman" w:hAnsi="Times New Roman"/>
          <w:b w:val="0"/>
          <w:bCs w:val="0"/>
          <w:color w:val="000000"/>
          <w:sz w:val="24"/>
        </w:rPr>
        <w:t xml:space="preserve"> PCI. The majorit</w:t>
      </w:r>
      <w:r>
        <w:rPr>
          <w:rFonts w:ascii="Times New Roman" w:eastAsia="Times New Roman" w:hAnsi="Times New Roman"/>
          <w:b w:val="0"/>
          <w:bCs w:val="0"/>
          <w:color w:val="000000"/>
          <w:sz w:val="24"/>
        </w:rPr>
        <w:t xml:space="preserve">y of documented cases involve pseudoaneurysms, which are more prevalent due to disruption of the arterial wall during the insertion of sheaths or manipulation of catheters. True aneurysms, like the one discussed here, are less common and may be attributed </w:t>
      </w:r>
      <w:r>
        <w:rPr>
          <w:rFonts w:ascii="Times New Roman" w:eastAsia="Times New Roman" w:hAnsi="Times New Roman"/>
          <w:b w:val="0"/>
          <w:bCs w:val="0"/>
          <w:color w:val="000000"/>
          <w:sz w:val="24"/>
        </w:rPr>
        <w:t>to repeated trauma or inflammatory conditions.</w:t>
      </w:r>
    </w:p>
    <w:p w14:paraId="2C4A47E9" w14:textId="77777777" w:rsidR="00061D29" w:rsidRDefault="00061D29">
      <w:pPr>
        <w:pStyle w:val="Heading1"/>
        <w:spacing w:line="480" w:lineRule="auto"/>
        <w:rPr>
          <w:rFonts w:ascii="Times New Roman" w:eastAsia="Times New Roman" w:hAnsi="Times New Roman"/>
          <w:b w:val="0"/>
          <w:bCs w:val="0"/>
          <w:color w:val="000000"/>
          <w:sz w:val="24"/>
        </w:rPr>
      </w:pPr>
    </w:p>
    <w:p w14:paraId="38B5891E" w14:textId="77777777" w:rsidR="00061D29" w:rsidRDefault="00A916E4">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Possible causes include mechanical injury from sheath or catheter placement, multiple punctures during various procedures, infections that weaken the arterial wall, and disorders related to connective tissue.</w:t>
      </w:r>
    </w:p>
    <w:p w14:paraId="275A04B7" w14:textId="77777777" w:rsidR="00061D29" w:rsidRDefault="00061D29">
      <w:pPr>
        <w:pStyle w:val="Heading1"/>
        <w:spacing w:line="480" w:lineRule="auto"/>
        <w:rPr>
          <w:rFonts w:ascii="Times New Roman" w:eastAsia="Times New Roman" w:hAnsi="Times New Roman"/>
          <w:b w:val="0"/>
          <w:bCs w:val="0"/>
          <w:color w:val="000000"/>
          <w:sz w:val="24"/>
        </w:rPr>
      </w:pPr>
    </w:p>
    <w:p w14:paraId="43739887" w14:textId="77777777" w:rsidR="00061D29" w:rsidRDefault="00A916E4">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Imaging techniques are essential for diagnosis. Doppler Ultrasound is the primary, non-invasive method that effectively distinguishes between true and pseudoaneurysms. CT Angiography offers detailed anatomical images and aids in surgical preparation.</w:t>
      </w:r>
    </w:p>
    <w:p w14:paraId="44AF47C9" w14:textId="77777777" w:rsidR="00061D29" w:rsidRDefault="00061D29">
      <w:pPr>
        <w:pStyle w:val="Heading1"/>
        <w:spacing w:line="480" w:lineRule="auto"/>
        <w:rPr>
          <w:rFonts w:ascii="Times New Roman" w:eastAsia="Times New Roman" w:hAnsi="Times New Roman"/>
          <w:b w:val="0"/>
          <w:bCs w:val="0"/>
          <w:color w:val="000000"/>
          <w:sz w:val="24"/>
        </w:rPr>
      </w:pPr>
    </w:p>
    <w:p w14:paraId="1361D492" w14:textId="77777777" w:rsidR="00061D29" w:rsidRDefault="00A916E4">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Ma</w:t>
      </w:r>
      <w:r>
        <w:rPr>
          <w:rFonts w:ascii="Times New Roman" w:eastAsia="Times New Roman" w:hAnsi="Times New Roman"/>
          <w:b w:val="0"/>
          <w:bCs w:val="0"/>
          <w:color w:val="000000"/>
          <w:sz w:val="24"/>
        </w:rPr>
        <w:t>nagement strategies consist of conservative care for small, asymptomatic aneurysms, ultrasound-guided thrombin injection for pseudoaneurysms, and surgical removal and repair for symptomatic or growing true aneurysms.</w:t>
      </w:r>
    </w:p>
    <w:p w14:paraId="2B24A3C1" w14:textId="77777777" w:rsidR="00061D29" w:rsidRDefault="00061D29">
      <w:pPr>
        <w:pStyle w:val="Heading1"/>
        <w:spacing w:line="480" w:lineRule="auto"/>
        <w:rPr>
          <w:rFonts w:ascii="Times New Roman" w:eastAsia="Times New Roman" w:hAnsi="Times New Roman"/>
          <w:b w:val="0"/>
          <w:bCs w:val="0"/>
          <w:color w:val="000000"/>
          <w:sz w:val="24"/>
        </w:rPr>
      </w:pPr>
    </w:p>
    <w:p w14:paraId="37AAFE3A" w14:textId="77777777" w:rsidR="00061D29" w:rsidRDefault="00A916E4">
      <w:pPr>
        <w:pStyle w:val="Heading1"/>
        <w:spacing w:line="480" w:lineRule="auto"/>
        <w:rPr>
          <w:rFonts w:ascii="Times New Roman" w:eastAsia="Times New Roman" w:hAnsi="Times New Roman"/>
          <w:b w:val="0"/>
          <w:bCs w:val="0"/>
          <w:color w:val="000000"/>
          <w:sz w:val="24"/>
        </w:rPr>
      </w:pPr>
      <w:r>
        <w:rPr>
          <w:rFonts w:ascii="Times New Roman" w:eastAsia="Times New Roman" w:hAnsi="Times New Roman"/>
          <w:b w:val="0"/>
          <w:bCs w:val="0"/>
          <w:color w:val="000000"/>
          <w:sz w:val="24"/>
        </w:rPr>
        <w:t xml:space="preserve">An analysis of available cases </w:t>
      </w:r>
      <w:r>
        <w:rPr>
          <w:rFonts w:ascii="Times New Roman" w:eastAsia="Times New Roman" w:hAnsi="Times New Roman"/>
          <w:b w:val="0"/>
          <w:bCs w:val="0"/>
          <w:color w:val="000000"/>
          <w:sz w:val="24"/>
        </w:rPr>
        <w:t>indicates that the majority of radial artery aneurysms following PCI are pseudoaneurysms. True aneurysms are infrequently reported and often necessitate surgical intervention. Prompt identification is crucial to avoid complications such as rupture, thrombo</w:t>
      </w:r>
      <w:r>
        <w:rPr>
          <w:rFonts w:ascii="Times New Roman" w:eastAsia="Times New Roman" w:hAnsi="Times New Roman"/>
          <w:b w:val="0"/>
          <w:bCs w:val="0"/>
          <w:color w:val="000000"/>
          <w:sz w:val="24"/>
        </w:rPr>
        <w:t>sis, or ischemia in the distal area.</w:t>
      </w:r>
    </w:p>
    <w:p w14:paraId="35E7CC1D" w14:textId="77777777" w:rsidR="00061D29" w:rsidRDefault="00061D29">
      <w:pPr>
        <w:rPr>
          <w:rFonts w:eastAsia="Times New Roman"/>
          <w:color w:val="000000"/>
        </w:rPr>
      </w:pPr>
    </w:p>
    <w:p w14:paraId="188E5499" w14:textId="77777777" w:rsidR="00061D29" w:rsidRDefault="00A916E4">
      <w:pPr>
        <w:pStyle w:val="Heading1"/>
        <w:spacing w:line="480" w:lineRule="auto"/>
        <w:rPr>
          <w:rFonts w:ascii="Times New Roman" w:hAnsi="Times New Roman" w:cs="Times New Roman"/>
          <w:color w:val="000000"/>
        </w:rPr>
      </w:pPr>
      <w:r>
        <w:rPr>
          <w:rFonts w:ascii="Times New Roman" w:eastAsia="Times New Roman" w:hAnsi="Times New Roman" w:cs="Times New Roman"/>
          <w:color w:val="000000"/>
          <w:sz w:val="24"/>
        </w:rPr>
        <w:lastRenderedPageBreak/>
        <w:t>Conclusion</w:t>
      </w:r>
    </w:p>
    <w:p w14:paraId="27501FD1" w14:textId="77777777" w:rsidR="00061D29" w:rsidRDefault="00A916E4">
      <w:pPr>
        <w:pStyle w:val="Heading1"/>
        <w:spacing w:line="480" w:lineRule="auto"/>
        <w:rPr>
          <w:rFonts w:ascii="Times New Roman" w:hAnsi="Times New Roman" w:cs="Times New Roman"/>
          <w:b w:val="0"/>
          <w:bCs w:val="0"/>
          <w:color w:val="000000"/>
          <w:sz w:val="24"/>
          <w:szCs w:val="24"/>
        </w:rPr>
      </w:pPr>
      <w:bookmarkStart w:id="0" w:name="_dx_frag_StartFragment"/>
      <w:bookmarkEnd w:id="0"/>
      <w:r>
        <w:rPr>
          <w:rFonts w:ascii="Times New Roman" w:hAnsi="Times New Roman" w:cs="Times New Roman"/>
          <w:b w:val="0"/>
          <w:bCs w:val="0"/>
          <w:color w:val="000000"/>
          <w:sz w:val="24"/>
          <w:szCs w:val="24"/>
        </w:rPr>
        <w:t xml:space="preserve">This case highlights the necessity of post-PCI surveillance, particularly in patients having </w:t>
      </w:r>
      <w:proofErr w:type="spellStart"/>
      <w:r>
        <w:rPr>
          <w:rFonts w:ascii="Times New Roman" w:hAnsi="Times New Roman" w:cs="Times New Roman"/>
          <w:b w:val="0"/>
          <w:bCs w:val="0"/>
          <w:color w:val="000000"/>
          <w:sz w:val="24"/>
          <w:szCs w:val="24"/>
        </w:rPr>
        <w:t>transradial</w:t>
      </w:r>
      <w:proofErr w:type="spellEnd"/>
      <w:r>
        <w:rPr>
          <w:rFonts w:ascii="Times New Roman" w:hAnsi="Times New Roman" w:cs="Times New Roman"/>
          <w:b w:val="0"/>
          <w:bCs w:val="0"/>
          <w:color w:val="000000"/>
          <w:sz w:val="24"/>
          <w:szCs w:val="24"/>
        </w:rPr>
        <w:t xml:space="preserve"> access. Radial artery aneurysms, while rare, can cause catastrophic problems if not detected and treat</w:t>
      </w:r>
      <w:r>
        <w:rPr>
          <w:rFonts w:ascii="Times New Roman" w:hAnsi="Times New Roman" w:cs="Times New Roman"/>
          <w:b w:val="0"/>
          <w:bCs w:val="0"/>
          <w:color w:val="000000"/>
          <w:sz w:val="24"/>
          <w:szCs w:val="24"/>
        </w:rPr>
        <w:t>ed early. When patients appear with forearm masses after catheterization, clinicians should exercise a high level of suspicion.</w:t>
      </w:r>
      <w:bookmarkStart w:id="1" w:name="_dx_frag_EndFragment"/>
      <w:bookmarkEnd w:id="1"/>
    </w:p>
    <w:p w14:paraId="47E14B2C" w14:textId="77777777" w:rsidR="00061D29" w:rsidRDefault="00A916E4">
      <w:pPr>
        <w:pStyle w:val="Heading1"/>
        <w:spacing w:line="480" w:lineRule="auto"/>
        <w:rPr>
          <w:rFonts w:ascii="Times New Roman" w:hAnsi="Times New Roman" w:cs="Times New Roman"/>
          <w:color w:val="000000"/>
        </w:rPr>
      </w:pPr>
      <w:r>
        <w:rPr>
          <w:rFonts w:ascii="Times New Roman" w:eastAsia="Times New Roman" w:hAnsi="Times New Roman" w:cs="Times New Roman"/>
          <w:color w:val="000000"/>
          <w:sz w:val="24"/>
        </w:rPr>
        <w:t>Figures</w:t>
      </w:r>
    </w:p>
    <w:p w14:paraId="290DC44E" w14:textId="77777777" w:rsidR="00061D29" w:rsidRDefault="00A916E4">
      <w:pPr>
        <w:spacing w:after="0" w:line="480" w:lineRule="auto"/>
        <w:rPr>
          <w:rFonts w:eastAsia="Times New Roman"/>
        </w:rPr>
      </w:pPr>
      <w:r>
        <w:rPr>
          <w:rFonts w:eastAsia="Times New Roman"/>
        </w:rPr>
        <w:t>Figure 1: Doppler ultrasound showing saccular aneurysm with preserved arterial wall layers</w:t>
      </w:r>
    </w:p>
    <w:p w14:paraId="1030BEB4" w14:textId="77777777" w:rsidR="00061D29" w:rsidRDefault="00A916E4">
      <w:pPr>
        <w:spacing w:after="0" w:line="480" w:lineRule="auto"/>
        <w:rPr>
          <w:rFonts w:eastAsia="Times New Roman"/>
        </w:rPr>
      </w:pPr>
      <w:r>
        <w:rPr>
          <w:rFonts w:eastAsia="Times New Roman"/>
          <w:noProof/>
        </w:rPr>
        <w:drawing>
          <wp:inline distT="0" distB="0" distL="0" distR="0" wp14:anchorId="35D402EA" wp14:editId="21808FCB">
            <wp:extent cx="2084705" cy="1332230"/>
            <wp:effectExtent l="0" t="0" r="10795" b="1270"/>
            <wp:docPr id="1" name="Picture 1" descr="gr1_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1_lrg"/>
                    <pic:cNvPicPr>
                      <a:picLocks noChangeAspect="1"/>
                    </pic:cNvPicPr>
                  </pic:nvPicPr>
                  <pic:blipFill dpi="0">
                    <a:blip r:embed="rId8"/>
                    <a:srcRect/>
                    <a:stretch>
                      <a:fillRect/>
                    </a:stretch>
                  </pic:blipFill>
                  <pic:spPr>
                    <a:xfrm>
                      <a:off x="0" y="0"/>
                      <a:ext cx="2084705" cy="1332230"/>
                    </a:xfrm>
                    <a:prstGeom prst="rect">
                      <a:avLst/>
                    </a:prstGeom>
                  </pic:spPr>
                </pic:pic>
              </a:graphicData>
            </a:graphic>
          </wp:inline>
        </w:drawing>
      </w:r>
    </w:p>
    <w:p w14:paraId="3910B51D" w14:textId="77777777" w:rsidR="00061D29" w:rsidRDefault="00061D29">
      <w:pPr>
        <w:spacing w:after="0" w:line="480" w:lineRule="auto"/>
        <w:rPr>
          <w:rFonts w:eastAsia="Times New Roman"/>
        </w:rPr>
      </w:pPr>
    </w:p>
    <w:p w14:paraId="5100FC71" w14:textId="77777777" w:rsidR="00061D29" w:rsidRDefault="00A916E4">
      <w:pPr>
        <w:spacing w:after="0" w:line="480" w:lineRule="auto"/>
        <w:rPr>
          <w:rFonts w:eastAsia="Times New Roman"/>
        </w:rPr>
      </w:pPr>
      <w:r>
        <w:rPr>
          <w:rFonts w:eastAsia="Times New Roman"/>
        </w:rPr>
        <w:t xml:space="preserve">Figure 2: CT angiography </w:t>
      </w:r>
      <w:r>
        <w:rPr>
          <w:rFonts w:eastAsia="Times New Roman"/>
        </w:rPr>
        <w:t>confirming aneurysm morphology and absence of distal ischemia</w:t>
      </w:r>
    </w:p>
    <w:p w14:paraId="2DE14BE6" w14:textId="77777777" w:rsidR="00061D29" w:rsidRDefault="00A916E4">
      <w:pPr>
        <w:spacing w:after="0" w:line="480" w:lineRule="auto"/>
        <w:rPr>
          <w:rFonts w:eastAsia="Times New Roman"/>
        </w:rPr>
      </w:pPr>
      <w:r>
        <w:rPr>
          <w:rFonts w:eastAsia="Times New Roman"/>
          <w:noProof/>
        </w:rPr>
        <w:drawing>
          <wp:inline distT="0" distB="0" distL="0" distR="0" wp14:anchorId="5C192ED8" wp14:editId="4D26F4FA">
            <wp:extent cx="2964180" cy="1804035"/>
            <wp:effectExtent l="0" t="0" r="7620" b="5715"/>
            <wp:docPr id="3" name="Picture 3" descr="siemens-healthineers-ct-news-radial-artery-pseudoaneurys-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emens-healthineers-ct-news-radial-artery-pseudoaneurys-title"/>
                    <pic:cNvPicPr>
                      <a:picLocks noChangeAspect="1"/>
                    </pic:cNvPicPr>
                  </pic:nvPicPr>
                  <pic:blipFill dpi="0">
                    <a:blip r:embed="rId9"/>
                    <a:srcRect/>
                    <a:stretch>
                      <a:fillRect/>
                    </a:stretch>
                  </pic:blipFill>
                  <pic:spPr>
                    <a:xfrm>
                      <a:off x="0" y="0"/>
                      <a:ext cx="2964180" cy="1804035"/>
                    </a:xfrm>
                    <a:prstGeom prst="rect">
                      <a:avLst/>
                    </a:prstGeom>
                  </pic:spPr>
                </pic:pic>
              </a:graphicData>
            </a:graphic>
          </wp:inline>
        </w:drawing>
      </w:r>
    </w:p>
    <w:p w14:paraId="37299005" w14:textId="77777777" w:rsidR="00061D29" w:rsidRDefault="00061D29">
      <w:pPr>
        <w:spacing w:after="0" w:line="480" w:lineRule="auto"/>
        <w:rPr>
          <w:rFonts w:eastAsia="Times New Roman"/>
        </w:rPr>
      </w:pPr>
    </w:p>
    <w:p w14:paraId="5086E502" w14:textId="77777777" w:rsidR="00061D29" w:rsidRDefault="00A916E4">
      <w:pPr>
        <w:pStyle w:val="Heading1"/>
        <w:spacing w:line="480" w:lineRule="auto"/>
        <w:rPr>
          <w:color w:val="000000"/>
        </w:rPr>
      </w:pPr>
      <w:r>
        <w:rPr>
          <w:rFonts w:ascii="Times New Roman" w:eastAsia="Times New Roman" w:hAnsi="Times New Roman"/>
          <w:color w:val="000000"/>
          <w:sz w:val="24"/>
        </w:rPr>
        <w:lastRenderedPageBreak/>
        <w:t>Table 1: Summary of Reported Radial Artery Aneurysm Cases Post-PCI</w:t>
      </w:r>
    </w:p>
    <w:tbl>
      <w:tblPr>
        <w:tblStyle w:val="TableGrid"/>
        <w:tblW w:w="0" w:type="auto"/>
        <w:tblLook w:val="04A0" w:firstRow="1" w:lastRow="0" w:firstColumn="1" w:lastColumn="0" w:noHBand="0" w:noVBand="1"/>
      </w:tblPr>
      <w:tblGrid>
        <w:gridCol w:w="1405"/>
        <w:gridCol w:w="1238"/>
        <w:gridCol w:w="1843"/>
        <w:gridCol w:w="1338"/>
        <w:gridCol w:w="1469"/>
        <w:gridCol w:w="1563"/>
      </w:tblGrid>
      <w:tr w:rsidR="00061D29" w14:paraId="1396B8D9" w14:textId="77777777">
        <w:tc>
          <w:tcPr>
            <w:tcW w:w="1440" w:type="dxa"/>
          </w:tcPr>
          <w:p w14:paraId="620C6BB8" w14:textId="77777777" w:rsidR="00061D29" w:rsidRDefault="00A916E4">
            <w:pPr>
              <w:spacing w:after="0" w:line="240" w:lineRule="auto"/>
            </w:pPr>
            <w:r>
              <w:t>Author</w:t>
            </w:r>
          </w:p>
        </w:tc>
        <w:tc>
          <w:tcPr>
            <w:tcW w:w="1440" w:type="dxa"/>
          </w:tcPr>
          <w:p w14:paraId="118D6490" w14:textId="77777777" w:rsidR="00061D29" w:rsidRDefault="00A916E4">
            <w:pPr>
              <w:spacing w:after="0" w:line="240" w:lineRule="auto"/>
            </w:pPr>
            <w:r>
              <w:t>Year</w:t>
            </w:r>
          </w:p>
        </w:tc>
        <w:tc>
          <w:tcPr>
            <w:tcW w:w="1440" w:type="dxa"/>
          </w:tcPr>
          <w:p w14:paraId="78579F4F" w14:textId="77777777" w:rsidR="00061D29" w:rsidRDefault="00A916E4">
            <w:pPr>
              <w:spacing w:after="0" w:line="240" w:lineRule="auto"/>
            </w:pPr>
            <w:r>
              <w:t>Type</w:t>
            </w:r>
          </w:p>
        </w:tc>
        <w:tc>
          <w:tcPr>
            <w:tcW w:w="1440" w:type="dxa"/>
          </w:tcPr>
          <w:p w14:paraId="54877FFA" w14:textId="77777777" w:rsidR="00061D29" w:rsidRDefault="00A916E4">
            <w:pPr>
              <w:spacing w:after="0" w:line="240" w:lineRule="auto"/>
            </w:pPr>
            <w:r>
              <w:t>Imaging Used</w:t>
            </w:r>
          </w:p>
        </w:tc>
        <w:tc>
          <w:tcPr>
            <w:tcW w:w="1440" w:type="dxa"/>
          </w:tcPr>
          <w:p w14:paraId="6D457169" w14:textId="77777777" w:rsidR="00061D29" w:rsidRDefault="00A916E4">
            <w:pPr>
              <w:spacing w:after="0" w:line="240" w:lineRule="auto"/>
            </w:pPr>
            <w:r>
              <w:t>Management</w:t>
            </w:r>
          </w:p>
        </w:tc>
        <w:tc>
          <w:tcPr>
            <w:tcW w:w="1440" w:type="dxa"/>
          </w:tcPr>
          <w:p w14:paraId="1C1CAFF3" w14:textId="77777777" w:rsidR="00061D29" w:rsidRDefault="00A916E4">
            <w:pPr>
              <w:spacing w:after="0" w:line="240" w:lineRule="auto"/>
            </w:pPr>
            <w:r>
              <w:t>Outcome</w:t>
            </w:r>
          </w:p>
        </w:tc>
      </w:tr>
      <w:tr w:rsidR="00061D29" w14:paraId="69F52FEE" w14:textId="77777777">
        <w:tc>
          <w:tcPr>
            <w:tcW w:w="1440" w:type="dxa"/>
          </w:tcPr>
          <w:p w14:paraId="183E1FD2" w14:textId="77777777" w:rsidR="00061D29" w:rsidRDefault="00A916E4">
            <w:pPr>
              <w:spacing w:after="0" w:line="240" w:lineRule="auto"/>
            </w:pPr>
            <w:r>
              <w:t>Cunha et al.</w:t>
            </w:r>
          </w:p>
        </w:tc>
        <w:tc>
          <w:tcPr>
            <w:tcW w:w="1440" w:type="dxa"/>
          </w:tcPr>
          <w:p w14:paraId="22577D9A" w14:textId="77777777" w:rsidR="00061D29" w:rsidRDefault="00A916E4">
            <w:pPr>
              <w:spacing w:after="0" w:line="240" w:lineRule="auto"/>
            </w:pPr>
            <w:r>
              <w:t>2023</w:t>
            </w:r>
          </w:p>
        </w:tc>
        <w:tc>
          <w:tcPr>
            <w:tcW w:w="1440" w:type="dxa"/>
          </w:tcPr>
          <w:p w14:paraId="117A4D46" w14:textId="77777777" w:rsidR="00061D29" w:rsidRDefault="00A916E4">
            <w:pPr>
              <w:spacing w:after="0" w:line="240" w:lineRule="auto"/>
            </w:pPr>
            <w:r>
              <w:t>Pseudoaneurysm</w:t>
            </w:r>
          </w:p>
        </w:tc>
        <w:tc>
          <w:tcPr>
            <w:tcW w:w="1440" w:type="dxa"/>
          </w:tcPr>
          <w:p w14:paraId="1BF31F1E" w14:textId="77777777" w:rsidR="00061D29" w:rsidRDefault="00A916E4">
            <w:pPr>
              <w:spacing w:after="0" w:line="240" w:lineRule="auto"/>
            </w:pPr>
            <w:r>
              <w:t>Doppler, CT Angio</w:t>
            </w:r>
          </w:p>
        </w:tc>
        <w:tc>
          <w:tcPr>
            <w:tcW w:w="1440" w:type="dxa"/>
          </w:tcPr>
          <w:p w14:paraId="58FD8D93" w14:textId="77777777" w:rsidR="00061D29" w:rsidRDefault="00A916E4">
            <w:pPr>
              <w:spacing w:after="0" w:line="240" w:lineRule="auto"/>
            </w:pPr>
            <w:r>
              <w:t>Surgical</w:t>
            </w:r>
          </w:p>
        </w:tc>
        <w:tc>
          <w:tcPr>
            <w:tcW w:w="1440" w:type="dxa"/>
          </w:tcPr>
          <w:p w14:paraId="122D2BC7" w14:textId="77777777" w:rsidR="00061D29" w:rsidRDefault="00A916E4">
            <w:pPr>
              <w:spacing w:after="0" w:line="240" w:lineRule="auto"/>
            </w:pPr>
            <w:r>
              <w:t>Full recovery</w:t>
            </w:r>
          </w:p>
        </w:tc>
      </w:tr>
      <w:tr w:rsidR="00061D29" w14:paraId="6192A11F" w14:textId="77777777">
        <w:tc>
          <w:tcPr>
            <w:tcW w:w="1440" w:type="dxa"/>
          </w:tcPr>
          <w:p w14:paraId="7E3CB7F7" w14:textId="77777777" w:rsidR="00061D29" w:rsidRDefault="00A916E4">
            <w:pPr>
              <w:spacing w:after="0" w:line="240" w:lineRule="auto"/>
            </w:pPr>
            <w:proofErr w:type="spellStart"/>
            <w:r>
              <w:t>Papadoulas</w:t>
            </w:r>
            <w:proofErr w:type="spellEnd"/>
            <w:r>
              <w:t xml:space="preserve"> et al.</w:t>
            </w:r>
          </w:p>
        </w:tc>
        <w:tc>
          <w:tcPr>
            <w:tcW w:w="1440" w:type="dxa"/>
          </w:tcPr>
          <w:p w14:paraId="7A6A7E41" w14:textId="77777777" w:rsidR="00061D29" w:rsidRDefault="00A916E4">
            <w:pPr>
              <w:spacing w:after="0" w:line="240" w:lineRule="auto"/>
            </w:pPr>
            <w:r>
              <w:t>2022</w:t>
            </w:r>
          </w:p>
        </w:tc>
        <w:tc>
          <w:tcPr>
            <w:tcW w:w="1440" w:type="dxa"/>
          </w:tcPr>
          <w:p w14:paraId="627A89CF" w14:textId="77777777" w:rsidR="00061D29" w:rsidRDefault="00A916E4">
            <w:pPr>
              <w:spacing w:after="0" w:line="240" w:lineRule="auto"/>
            </w:pPr>
            <w:r>
              <w:t>Pseudoaneurysm</w:t>
            </w:r>
          </w:p>
        </w:tc>
        <w:tc>
          <w:tcPr>
            <w:tcW w:w="1440" w:type="dxa"/>
          </w:tcPr>
          <w:p w14:paraId="1205B054" w14:textId="77777777" w:rsidR="00061D29" w:rsidRDefault="00A916E4">
            <w:pPr>
              <w:spacing w:after="0" w:line="240" w:lineRule="auto"/>
            </w:pPr>
            <w:r>
              <w:t>Doppler</w:t>
            </w:r>
          </w:p>
        </w:tc>
        <w:tc>
          <w:tcPr>
            <w:tcW w:w="1440" w:type="dxa"/>
          </w:tcPr>
          <w:p w14:paraId="7F4A5017" w14:textId="77777777" w:rsidR="00061D29" w:rsidRDefault="00A916E4">
            <w:pPr>
              <w:spacing w:after="0" w:line="240" w:lineRule="auto"/>
            </w:pPr>
            <w:r>
              <w:t>Surgical</w:t>
            </w:r>
          </w:p>
        </w:tc>
        <w:tc>
          <w:tcPr>
            <w:tcW w:w="1440" w:type="dxa"/>
          </w:tcPr>
          <w:p w14:paraId="60EF90CB" w14:textId="77777777" w:rsidR="00061D29" w:rsidRDefault="00A916E4">
            <w:pPr>
              <w:spacing w:after="0" w:line="240" w:lineRule="auto"/>
            </w:pPr>
            <w:r>
              <w:t>Good outcome</w:t>
            </w:r>
          </w:p>
        </w:tc>
      </w:tr>
      <w:tr w:rsidR="00061D29" w14:paraId="0F8DC2DF" w14:textId="77777777">
        <w:tc>
          <w:tcPr>
            <w:tcW w:w="1440" w:type="dxa"/>
          </w:tcPr>
          <w:p w14:paraId="513C193F" w14:textId="77777777" w:rsidR="00061D29" w:rsidRDefault="00A916E4">
            <w:pPr>
              <w:spacing w:after="0" w:line="240" w:lineRule="auto"/>
            </w:pPr>
            <w:r>
              <w:t>Majumdar et al.</w:t>
            </w:r>
          </w:p>
        </w:tc>
        <w:tc>
          <w:tcPr>
            <w:tcW w:w="1440" w:type="dxa"/>
          </w:tcPr>
          <w:p w14:paraId="09A170D0" w14:textId="77777777" w:rsidR="00061D29" w:rsidRDefault="00A916E4">
            <w:pPr>
              <w:spacing w:after="0" w:line="240" w:lineRule="auto"/>
            </w:pPr>
            <w:r>
              <w:t>2016</w:t>
            </w:r>
          </w:p>
        </w:tc>
        <w:tc>
          <w:tcPr>
            <w:tcW w:w="1440" w:type="dxa"/>
          </w:tcPr>
          <w:p w14:paraId="117196C2" w14:textId="77777777" w:rsidR="00061D29" w:rsidRDefault="00A916E4">
            <w:pPr>
              <w:spacing w:after="0" w:line="240" w:lineRule="auto"/>
            </w:pPr>
            <w:r>
              <w:t>Pseudoaneurysm</w:t>
            </w:r>
          </w:p>
        </w:tc>
        <w:tc>
          <w:tcPr>
            <w:tcW w:w="1440" w:type="dxa"/>
          </w:tcPr>
          <w:p w14:paraId="4DB156FC" w14:textId="77777777" w:rsidR="00061D29" w:rsidRDefault="00A916E4">
            <w:pPr>
              <w:spacing w:after="0" w:line="240" w:lineRule="auto"/>
            </w:pPr>
            <w:r>
              <w:t>Doppler, CT Angio</w:t>
            </w:r>
          </w:p>
        </w:tc>
        <w:tc>
          <w:tcPr>
            <w:tcW w:w="1440" w:type="dxa"/>
          </w:tcPr>
          <w:p w14:paraId="2762D877" w14:textId="77777777" w:rsidR="00061D29" w:rsidRDefault="00A916E4">
            <w:pPr>
              <w:spacing w:after="0" w:line="240" w:lineRule="auto"/>
            </w:pPr>
            <w:r>
              <w:t>Surgical</w:t>
            </w:r>
          </w:p>
        </w:tc>
        <w:tc>
          <w:tcPr>
            <w:tcW w:w="1440" w:type="dxa"/>
          </w:tcPr>
          <w:p w14:paraId="16171BAF" w14:textId="77777777" w:rsidR="00061D29" w:rsidRDefault="00A916E4">
            <w:pPr>
              <w:spacing w:after="0" w:line="240" w:lineRule="auto"/>
            </w:pPr>
            <w:r>
              <w:t>No complications</w:t>
            </w:r>
          </w:p>
        </w:tc>
      </w:tr>
    </w:tbl>
    <w:p w14:paraId="4C79A4A0" w14:textId="77777777" w:rsidR="00061D29" w:rsidRDefault="00A916E4">
      <w:pPr>
        <w:pStyle w:val="Heading1"/>
        <w:spacing w:line="480" w:lineRule="auto"/>
        <w:rPr>
          <w:rFonts w:ascii="Times New Roman" w:eastAsia="Times New Roman" w:hAnsi="Times New Roman"/>
          <w:color w:val="auto"/>
          <w:sz w:val="24"/>
        </w:rPr>
      </w:pPr>
      <w:r>
        <w:rPr>
          <w:rFonts w:ascii="Times New Roman" w:eastAsia="Times New Roman" w:hAnsi="Times New Roman"/>
          <w:color w:val="auto"/>
          <w:sz w:val="24"/>
        </w:rPr>
        <w:t>Patient consent and ethics</w:t>
      </w:r>
    </w:p>
    <w:p w14:paraId="71AD7021" w14:textId="77777777" w:rsidR="00061D29" w:rsidRDefault="00A916E4">
      <w:pPr>
        <w:pStyle w:val="Heading1"/>
        <w:spacing w:line="480" w:lineRule="auto"/>
        <w:rPr>
          <w:rFonts w:ascii="Times New Roman" w:eastAsia="Times New Roman" w:hAnsi="Times New Roman"/>
          <w:b w:val="0"/>
          <w:bCs w:val="0"/>
          <w:color w:val="auto"/>
          <w:sz w:val="24"/>
        </w:rPr>
      </w:pPr>
      <w:r>
        <w:rPr>
          <w:rFonts w:ascii="Times New Roman" w:eastAsia="Times New Roman" w:hAnsi="Times New Roman"/>
          <w:b w:val="0"/>
          <w:bCs w:val="0"/>
          <w:color w:val="auto"/>
          <w:sz w:val="24"/>
        </w:rPr>
        <w:t xml:space="preserve">Written informed consent for publication and use of clinical images was </w:t>
      </w:r>
      <w:r>
        <w:rPr>
          <w:rFonts w:ascii="Times New Roman" w:eastAsia="Times New Roman" w:hAnsi="Times New Roman"/>
          <w:b w:val="0"/>
          <w:bCs w:val="0"/>
          <w:color w:val="auto"/>
          <w:sz w:val="24"/>
        </w:rPr>
        <w:t>obtained from the patient. Institutional approval was obtained as required by local policy.</w:t>
      </w:r>
    </w:p>
    <w:p w14:paraId="33DF4166" w14:textId="77777777" w:rsidR="00061D29" w:rsidRDefault="00A916E4">
      <w:pPr>
        <w:pStyle w:val="Heading1"/>
        <w:spacing w:line="480" w:lineRule="auto"/>
        <w:rPr>
          <w:color w:val="auto"/>
        </w:rPr>
      </w:pPr>
      <w:bookmarkStart w:id="2" w:name="_GoBack"/>
      <w:bookmarkEnd w:id="2"/>
      <w:r>
        <w:rPr>
          <w:rFonts w:ascii="Times New Roman" w:eastAsia="Times New Roman" w:hAnsi="Times New Roman"/>
          <w:color w:val="auto"/>
          <w:sz w:val="24"/>
        </w:rPr>
        <w:t>References</w:t>
      </w:r>
    </w:p>
    <w:p w14:paraId="16DCAD9D" w14:textId="77777777" w:rsidR="00061D29" w:rsidRDefault="00A916E4">
      <w:pPr>
        <w:spacing w:after="0" w:line="480" w:lineRule="auto"/>
      </w:pPr>
      <w:r>
        <w:t xml:space="preserve">1. Cunha R, et al. Pseudoaneurysm of radial artery after coronary </w:t>
      </w:r>
      <w:r>
        <w:t>angiography. J Surg Case Rep. 2023;</w:t>
      </w:r>
      <w:proofErr w:type="gramStart"/>
      <w:r>
        <w:t>8:rjad</w:t>
      </w:r>
      <w:proofErr w:type="gramEnd"/>
      <w:r>
        <w:t>446.</w:t>
      </w:r>
    </w:p>
    <w:p w14:paraId="2AFD256C" w14:textId="77777777" w:rsidR="00061D29" w:rsidRDefault="00A916E4">
      <w:pPr>
        <w:spacing w:after="0" w:line="480" w:lineRule="auto"/>
      </w:pPr>
      <w:r>
        <w:t xml:space="preserve"> 2. </w:t>
      </w:r>
      <w:proofErr w:type="spellStart"/>
      <w:r>
        <w:t>Papadoulas</w:t>
      </w:r>
      <w:proofErr w:type="spellEnd"/>
      <w:r>
        <w:t xml:space="preserve"> SI, et al. Surgical repair of post-catheterization radial pseudoaneurysm. Pan </w:t>
      </w:r>
      <w:proofErr w:type="spellStart"/>
      <w:r>
        <w:t>Afr</w:t>
      </w:r>
      <w:proofErr w:type="spellEnd"/>
      <w:r>
        <w:t xml:space="preserve"> Med J. </w:t>
      </w:r>
      <w:proofErr w:type="gramStart"/>
      <w:r>
        <w:t>2022;41:261</w:t>
      </w:r>
      <w:proofErr w:type="gramEnd"/>
      <w:r>
        <w:t>.</w:t>
      </w:r>
    </w:p>
    <w:p w14:paraId="4C915B5A" w14:textId="77777777" w:rsidR="00061D29" w:rsidRDefault="00A916E4">
      <w:pPr>
        <w:spacing w:after="0" w:line="480" w:lineRule="auto"/>
      </w:pPr>
      <w:r>
        <w:rPr>
          <w:lang w:bidi="en-US"/>
        </w:rPr>
        <w:t xml:space="preserve"> </w:t>
      </w:r>
      <w:r>
        <w:t xml:space="preserve">3. Majumdar G, et al. Radial artery pseudoaneurysm following </w:t>
      </w:r>
      <w:proofErr w:type="spellStart"/>
      <w:r>
        <w:t>transradial</w:t>
      </w:r>
      <w:proofErr w:type="spellEnd"/>
      <w:r>
        <w:t xml:space="preserve"> coronary interventi</w:t>
      </w:r>
      <w:r>
        <w:t xml:space="preserve">on. J Cardiovasc Dis Diagn. </w:t>
      </w:r>
      <w:proofErr w:type="gramStart"/>
      <w:r>
        <w:t>2016;S</w:t>
      </w:r>
      <w:proofErr w:type="gramEnd"/>
      <w:r>
        <w:t>1:001.</w:t>
      </w:r>
    </w:p>
    <w:p w14:paraId="7F6A7198" w14:textId="77777777" w:rsidR="00061D29" w:rsidRDefault="00A916E4">
      <w:pPr>
        <w:spacing w:after="0" w:line="480" w:lineRule="auto"/>
      </w:pPr>
      <w:r>
        <w:rPr>
          <w:lang w:bidi="en-US"/>
        </w:rPr>
        <w:t xml:space="preserve"> </w:t>
      </w:r>
      <w:r>
        <w:t xml:space="preserve">4. </w:t>
      </w:r>
      <w:proofErr w:type="spellStart"/>
      <w:r>
        <w:t>Kiemeneij</w:t>
      </w:r>
      <w:proofErr w:type="spellEnd"/>
      <w:r>
        <w:t xml:space="preserve"> F, et al. Radial artery access for coronary procedures: review of complications. Catheter Cardiovasc </w:t>
      </w:r>
      <w:proofErr w:type="spellStart"/>
      <w:r>
        <w:t>Interv</w:t>
      </w:r>
      <w:proofErr w:type="spellEnd"/>
      <w:r>
        <w:t>. 2003;59(3):357–362.</w:t>
      </w:r>
    </w:p>
    <w:p w14:paraId="3194D59F" w14:textId="77777777" w:rsidR="00061D29" w:rsidRDefault="00A916E4">
      <w:pPr>
        <w:spacing w:after="0" w:line="480" w:lineRule="auto"/>
      </w:pPr>
      <w:r>
        <w:rPr>
          <w:lang w:bidi="en-US"/>
        </w:rPr>
        <w:t xml:space="preserve">  </w:t>
      </w:r>
      <w:r>
        <w:t xml:space="preserve">5.Bertrand OF, et al. Complications and failure of </w:t>
      </w:r>
      <w:proofErr w:type="spellStart"/>
      <w:r>
        <w:t>transradial</w:t>
      </w:r>
      <w:proofErr w:type="spellEnd"/>
      <w:r>
        <w:t xml:space="preserve"> approac</w:t>
      </w:r>
      <w:r>
        <w:t xml:space="preserve">h for coronary interventions. JACC Cardiovasc </w:t>
      </w:r>
      <w:proofErr w:type="spellStart"/>
      <w:r>
        <w:t>Interv</w:t>
      </w:r>
      <w:proofErr w:type="spellEnd"/>
      <w:r>
        <w:t>. 2010;3(10):1022–1031.</w:t>
      </w:r>
    </w:p>
    <w:sectPr w:rsidR="00061D2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B240C" w14:textId="77777777" w:rsidR="00A916E4" w:rsidRDefault="00A916E4">
      <w:pPr>
        <w:spacing w:line="240" w:lineRule="auto"/>
      </w:pPr>
      <w:r>
        <w:separator/>
      </w:r>
    </w:p>
  </w:endnote>
  <w:endnote w:type="continuationSeparator" w:id="0">
    <w:p w14:paraId="051CA1B8" w14:textId="77777777" w:rsidR="00A916E4" w:rsidRDefault="00A91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22BD2" w14:textId="77777777" w:rsidR="00C558A8" w:rsidRDefault="00C55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B741" w14:textId="77777777" w:rsidR="00C558A8" w:rsidRDefault="00C55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2846" w14:textId="77777777" w:rsidR="00C558A8" w:rsidRDefault="00C55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CB9CB" w14:textId="77777777" w:rsidR="00A916E4" w:rsidRDefault="00A916E4">
      <w:pPr>
        <w:spacing w:after="0"/>
      </w:pPr>
      <w:r>
        <w:separator/>
      </w:r>
    </w:p>
  </w:footnote>
  <w:footnote w:type="continuationSeparator" w:id="0">
    <w:p w14:paraId="4878D319" w14:textId="77777777" w:rsidR="00A916E4" w:rsidRDefault="00A916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E6D5" w14:textId="12DF2910" w:rsidR="00C558A8" w:rsidRDefault="00C558A8">
    <w:pPr>
      <w:pStyle w:val="Header"/>
    </w:pPr>
    <w:r>
      <w:rPr>
        <w:noProof/>
      </w:rPr>
      <w:pict w14:anchorId="1905E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61204"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2BF7B" w14:textId="075A181A" w:rsidR="00C558A8" w:rsidRDefault="00C558A8">
    <w:pPr>
      <w:pStyle w:val="Header"/>
    </w:pPr>
    <w:r>
      <w:rPr>
        <w:noProof/>
      </w:rPr>
      <w:pict w14:anchorId="42AD2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61205"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9EC6" w14:textId="4E26EECE" w:rsidR="00C558A8" w:rsidRDefault="00C558A8">
    <w:pPr>
      <w:pStyle w:val="Header"/>
    </w:pPr>
    <w:r>
      <w:rPr>
        <w:noProof/>
      </w:rPr>
      <w:pict w14:anchorId="537BC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961203"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D640FD12"/>
    <w:lvl w:ilvl="0">
      <w:start w:val="1"/>
      <w:numFmt w:val="decimal"/>
      <w:pStyle w:val="ListNumber3"/>
      <w:lvlText w:val="%1."/>
      <w:lvlJc w:val="left"/>
      <w:pPr>
        <w:tabs>
          <w:tab w:val="left" w:pos="1080"/>
        </w:tabs>
        <w:ind w:left="108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FFFFFF7F"/>
    <w:multiLevelType w:val="multilevel"/>
    <w:tmpl w:val="248090A4"/>
    <w:lvl w:ilvl="0">
      <w:start w:val="1"/>
      <w:numFmt w:val="decimal"/>
      <w:pStyle w:val="ListNumber2"/>
      <w:lvlText w:val="%1."/>
      <w:lvlJc w:val="left"/>
      <w:pPr>
        <w:tabs>
          <w:tab w:val="left" w:pos="720"/>
        </w:tabs>
        <w:ind w:left="72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FFFFFF82"/>
    <w:multiLevelType w:val="multilevel"/>
    <w:tmpl w:val="6EFC2AF8"/>
    <w:lvl w:ilvl="0">
      <w:start w:val="1"/>
      <w:numFmt w:val="bullet"/>
      <w:pStyle w:val="ListBullet3"/>
      <w:lvlText w:val=""/>
      <w:lvlJc w:val="left"/>
      <w:pPr>
        <w:tabs>
          <w:tab w:val="left" w:pos="1080"/>
        </w:tabs>
        <w:ind w:left="108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FFFFFF83"/>
    <w:multiLevelType w:val="multilevel"/>
    <w:tmpl w:val="C9601C12"/>
    <w:lvl w:ilvl="0">
      <w:start w:val="1"/>
      <w:numFmt w:val="bullet"/>
      <w:pStyle w:val="ListBullet2"/>
      <w:lvlText w:val=""/>
      <w:lvlJc w:val="left"/>
      <w:pPr>
        <w:tabs>
          <w:tab w:val="left" w:pos="720"/>
        </w:tabs>
        <w:ind w:left="72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FFFFFF88"/>
    <w:multiLevelType w:val="multilevel"/>
    <w:tmpl w:val="ED242AE4"/>
    <w:lvl w:ilvl="0">
      <w:start w:val="1"/>
      <w:numFmt w:val="decimal"/>
      <w:pStyle w:val="ListNumber"/>
      <w:lvlText w:val="%1."/>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FFFFFF89"/>
    <w:multiLevelType w:val="multilevel"/>
    <w:tmpl w:val="FF062A3A"/>
    <w:lvl w:ilvl="0">
      <w:start w:val="1"/>
      <w:numFmt w:val="bullet"/>
      <w:pStyle w:val="ListBullet"/>
      <w:lvlText w:val=""/>
      <w:lvlJc w:val="left"/>
      <w:pPr>
        <w:tabs>
          <w:tab w:val="left" w:pos="360"/>
        </w:tabs>
        <w:ind w:left="36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D29"/>
    <w:rsid w:val="00061D29"/>
    <w:rsid w:val="00A916E4"/>
    <w:rsid w:val="00AD29F8"/>
    <w:rsid w:val="00BA0DE8"/>
    <w:rsid w:val="00C558A8"/>
    <w:rsid w:val="00F73DF8"/>
  </w:rsids>
  <m:mathPr>
    <m:mathFont m:val="Cambria Math"/>
    <m:brkBin m:val="before"/>
    <m:brkBinSub m:val="--"/>
    <m:smallFrac/>
    <m:dispDef/>
    <m:lMargin m:val="0"/>
    <m:rMargin m:val="0"/>
    <m:defJc m:val="centerGroup"/>
    <m:wrapIndent m:val="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1D6252"/>
  <w15:docId w15:val="{F56A2CAE-1D6C-48C4-B81E-3F6ACDA5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Theme="minorEastAsia" w:cstheme="minorBidi"/>
      <w:sz w:val="24"/>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semiHidden/>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semiHidden/>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Caption">
    <w:name w:val="caption"/>
    <w:basedOn w:val="Normal"/>
    <w:next w:val="Normal"/>
    <w:semiHidden/>
    <w:qFormat/>
    <w:pPr>
      <w:spacing w:line="240" w:lineRule="auto"/>
    </w:pPr>
    <w:rPr>
      <w:b/>
      <w:bCs/>
      <w:color w:val="4F81BD" w:themeColor="accent1"/>
      <w:sz w:val="18"/>
      <w:szCs w:val="18"/>
    </w:rPr>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pPr>
      <w:tabs>
        <w:tab w:val="center" w:pos="4680"/>
        <w:tab w:val="right" w:pos="9360"/>
      </w:tabs>
      <w:spacing w:after="0" w:line="240" w:lineRule="auto"/>
    </w:p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Bullet">
    <w:name w:val="List Bullet"/>
    <w:basedOn w:val="Normal"/>
    <w:pPr>
      <w:numPr>
        <w:numId w:val="1"/>
      </w:numPr>
      <w:contextualSpacing/>
    </w:pPr>
  </w:style>
  <w:style w:type="paragraph" w:styleId="ListBullet2">
    <w:name w:val="List Bullet 2"/>
    <w:basedOn w:val="Normal"/>
    <w:pPr>
      <w:numPr>
        <w:numId w:val="2"/>
      </w:numPr>
      <w:contextualSpacing/>
    </w:pPr>
  </w:style>
  <w:style w:type="paragraph" w:styleId="ListBullet3">
    <w:name w:val="List Bullet 3"/>
    <w:basedOn w:val="Normal"/>
    <w:pPr>
      <w:numPr>
        <w:numId w:val="3"/>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Number">
    <w:name w:val="List Number"/>
    <w:basedOn w:val="Normal"/>
    <w:pPr>
      <w:numPr>
        <w:numId w:val="4"/>
      </w:numPr>
      <w:contextualSpacing/>
    </w:pPr>
  </w:style>
  <w:style w:type="paragraph" w:styleId="ListNumber2">
    <w:name w:val="List Number 2"/>
    <w:basedOn w:val="Normal"/>
    <w:pPr>
      <w:numPr>
        <w:numId w:val="5"/>
      </w:numPr>
      <w:contextualSpacing/>
    </w:pPr>
  </w:style>
  <w:style w:type="paragraph" w:styleId="ListNumber3">
    <w:name w:val="List Number 3"/>
    <w:basedOn w:val="Normal"/>
    <w:pPr>
      <w:numPr>
        <w:numId w:val="6"/>
      </w:numPr>
      <w:contextualSpacing/>
    </w:pPr>
  </w:style>
  <w:style w:type="paragraph" w:styleId="MacroText">
    <w:name w:val="macro"/>
    <w:link w:val="MacroTextChar"/>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szCs w:val="20"/>
      <w:lang w:val="en-US" w:eastAsia="en-U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NoSpacing">
    <w:name w:val="No Spacing"/>
    <w:qFormat/>
    <w:rPr>
      <w:rFonts w:asciiTheme="minorHAnsi" w:eastAsiaTheme="minorEastAsia" w:hAnsiTheme="minorHAnsi" w:cstheme="minorBidi"/>
      <w:sz w:val="22"/>
      <w:lang w:val="en-US" w:eastAsia="en-US"/>
    </w:rPr>
  </w:style>
  <w:style w:type="paragraph" w:styleId="ListParagraph">
    <w:name w:val="List Paragraph"/>
    <w:basedOn w:val="Normal"/>
    <w:qFormat/>
    <w:pPr>
      <w:ind w:left="720"/>
      <w:contextualSpacing/>
    </w:pPr>
  </w:style>
  <w:style w:type="paragraph" w:styleId="Quote">
    <w:name w:val="Quote"/>
    <w:basedOn w:val="Normal"/>
    <w:next w:val="Normal"/>
    <w:link w:val="QuoteChar"/>
    <w:qFormat/>
    <w:rPr>
      <w:i/>
      <w:iCs/>
      <w:color w:val="000000" w:themeColor="text1"/>
    </w:rPr>
  </w:style>
  <w:style w:type="paragraph" w:styleId="IntenseQuote">
    <w:name w:val="Intense Quote"/>
    <w:basedOn w:val="Normal"/>
    <w:next w:val="Normal"/>
    <w:link w:val="IntenseQuoteChar"/>
    <w:qFormat/>
    <w:pPr>
      <w:pBdr>
        <w:bottom w:val="single" w:sz="4" w:space="4" w:color="4F81BD" w:themeColor="accent1"/>
      </w:pBdr>
      <w:spacing w:before="200" w:after="280"/>
      <w:ind w:left="936" w:right="936"/>
    </w:pPr>
    <w:rPr>
      <w:b/>
      <w:bCs/>
      <w:i/>
      <w:iCs/>
      <w:color w:val="4F81BD" w:themeColor="accent1"/>
    </w:rPr>
  </w:style>
  <w:style w:type="paragraph" w:customStyle="1" w:styleId="TOCHeading1">
    <w:name w:val="TOC Heading1"/>
    <w:basedOn w:val="Heading1"/>
    <w:next w:val="Normal"/>
    <w:semiHidden/>
    <w:qFormat/>
    <w:pPr>
      <w:outlineLvl w:val="9"/>
    </w:pPr>
  </w:style>
  <w:style w:type="paragraph" w:styleId="FootnoteText">
    <w:name w:val="footnote text"/>
    <w:link w:val="FootnoteTextChar"/>
    <w:semiHidden/>
    <w:rPr>
      <w:szCs w:val="20"/>
    </w:rPr>
  </w:style>
  <w:style w:type="paragraph" w:styleId="EndnoteText">
    <w:name w:val="endnote text"/>
    <w:link w:val="EndnoteTextChar"/>
    <w:semiHidden/>
    <w:rPr>
      <w:szCs w:val="20"/>
    </w:rPr>
  </w:style>
  <w:style w:type="character" w:styleId="LineNumber">
    <w:name w:val="line number"/>
    <w:basedOn w:val="DefaultParagraphFont"/>
    <w:semiHidden/>
  </w:style>
  <w:style w:type="character" w:styleId="Hyperlink">
    <w:name w:val="Hyperlink"/>
    <w:rPr>
      <w:color w:val="0000FF"/>
      <w:u w:val="single"/>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style>
  <w:style w:type="character" w:customStyle="1" w:styleId="BodyText2Char">
    <w:name w:val="Body Text 2 Char"/>
    <w:basedOn w:val="DefaultParagraphFont"/>
    <w:link w:val="BodyText2"/>
  </w:style>
  <w:style w:type="character" w:customStyle="1" w:styleId="BodyText3Char">
    <w:name w:val="Body Text 3 Char"/>
    <w:basedOn w:val="DefaultParagraphFont"/>
    <w:link w:val="BodyText3"/>
    <w:rPr>
      <w:sz w:val="16"/>
      <w:szCs w:val="16"/>
    </w:rPr>
  </w:style>
  <w:style w:type="character" w:customStyle="1" w:styleId="MacroTextChar">
    <w:name w:val="Macro Text Char"/>
    <w:basedOn w:val="DefaultParagraphFont"/>
    <w:link w:val="MacroText"/>
    <w:rPr>
      <w:rFonts w:ascii="Courier" w:hAnsi="Courier"/>
      <w:sz w:val="20"/>
      <w:szCs w:val="20"/>
    </w:rPr>
  </w:style>
  <w:style w:type="character" w:customStyle="1" w:styleId="QuoteChar">
    <w:name w:val="Quote Char"/>
    <w:basedOn w:val="DefaultParagraphFont"/>
    <w:link w:val="Quote"/>
    <w:rPr>
      <w:i/>
      <w:iCs/>
      <w:color w:val="000000" w:themeColor="text1"/>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sz w:val="20"/>
      <w:szCs w:val="20"/>
    </w:rPr>
  </w:style>
  <w:style w:type="character" w:customStyle="1" w:styleId="IntenseQuoteChar">
    <w:name w:val="Intense Quote Char"/>
    <w:basedOn w:val="DefaultParagraphFont"/>
    <w:link w:val="IntenseQuote"/>
    <w:rPr>
      <w:b/>
      <w:bCs/>
      <w:i/>
      <w:iCs/>
      <w:color w:val="4F81BD" w:themeColor="accent1"/>
    </w:rPr>
  </w:style>
  <w:style w:type="character" w:customStyle="1" w:styleId="SubtleEmphasis1">
    <w:name w:val="Subtle Emphasis1"/>
    <w:basedOn w:val="DefaultParagraphFont"/>
    <w:qFormat/>
    <w:rPr>
      <w:i/>
      <w:iCs/>
      <w:color w:val="7F7F7F" w:themeColor="text1" w:themeTint="80"/>
    </w:rPr>
  </w:style>
  <w:style w:type="character" w:customStyle="1" w:styleId="IntenseEmphasis1">
    <w:name w:val="Intense Emphasis1"/>
    <w:basedOn w:val="DefaultParagraphFont"/>
    <w:qFormat/>
    <w:rPr>
      <w:b/>
      <w:bCs/>
      <w:i/>
      <w:iCs/>
      <w:color w:val="4F81BD" w:themeColor="accent1"/>
    </w:rPr>
  </w:style>
  <w:style w:type="character" w:customStyle="1" w:styleId="SubtleReference1">
    <w:name w:val="Subtle Reference1"/>
    <w:basedOn w:val="DefaultParagraphFont"/>
    <w:qFormat/>
    <w:rPr>
      <w:smallCaps/>
      <w:color w:val="C0504D" w:themeColor="accent2"/>
      <w:u w:val="single"/>
    </w:rPr>
  </w:style>
  <w:style w:type="character" w:customStyle="1" w:styleId="IntenseReference1">
    <w:name w:val="Intense Reference1"/>
    <w:basedOn w:val="DefaultParagraphFont"/>
    <w:qFormat/>
    <w:rPr>
      <w:b/>
      <w:bCs/>
      <w:smallCaps/>
      <w:color w:val="C0504D" w:themeColor="accent2"/>
      <w:spacing w:val="5"/>
      <w:u w:val="single"/>
    </w:rPr>
  </w:style>
  <w:style w:type="character" w:customStyle="1" w:styleId="BookTitle1">
    <w:name w:val="Book Title1"/>
    <w:basedOn w:val="DefaultParagraphFont"/>
    <w:qFormat/>
    <w:rPr>
      <w:b/>
      <w:bCs/>
      <w:smallCaps/>
      <w:spacing w:val="5"/>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rPr>
      <w:color w:val="365F91" w:themeColor="accent1" w:themeShade="BF"/>
    </w:rPr>
    <w:tblPr>
      <w:tblBorders>
        <w:top w:val="single" w:sz="8" w:space="0" w:color="4F81BD" w:themeColor="accent1"/>
        <w:bottom w:val="single" w:sz="8" w:space="0" w:color="4F81BD" w:themeColor="accent1"/>
      </w:tblBorders>
    </w:tblPr>
    <w:tblStylePr w:type="firstRow">
      <w:pPr>
        <w:spacing w:before="0" w:beforeAutospacing="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beforeAutospacing="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rPr>
      <w:color w:val="943634" w:themeColor="accent2" w:themeShade="BF"/>
    </w:rPr>
    <w:tblPr>
      <w:tblBorders>
        <w:top w:val="single" w:sz="8" w:space="0" w:color="C0504D" w:themeColor="accent2"/>
        <w:bottom w:val="single" w:sz="8" w:space="0" w:color="C0504D" w:themeColor="accent2"/>
      </w:tblBorders>
    </w:tblPr>
    <w:tblStylePr w:type="firstRow">
      <w:pPr>
        <w:spacing w:before="0" w:beforeAutospacing="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beforeAutospacing="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rPr>
      <w:color w:val="76923C" w:themeColor="accent3" w:themeShade="BF"/>
    </w:rPr>
    <w:tblPr>
      <w:tblBorders>
        <w:top w:val="single" w:sz="8" w:space="0" w:color="9BBB59" w:themeColor="accent3"/>
        <w:bottom w:val="single" w:sz="8" w:space="0" w:color="9BBB59" w:themeColor="accent3"/>
      </w:tblBorders>
    </w:tblPr>
    <w:tblStylePr w:type="firstRow">
      <w:pPr>
        <w:spacing w:before="0" w:beforeAutospacing="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beforeAutospacing="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rPr>
      <w:color w:val="5F497A" w:themeColor="accent4" w:themeShade="BF"/>
    </w:rPr>
    <w:tblPr>
      <w:tblBorders>
        <w:top w:val="single" w:sz="8" w:space="0" w:color="8064A2" w:themeColor="accent4"/>
        <w:bottom w:val="single" w:sz="8" w:space="0" w:color="8064A2" w:themeColor="accent4"/>
      </w:tblBorders>
    </w:tblPr>
    <w:tblStylePr w:type="firstRow">
      <w:pPr>
        <w:spacing w:before="0" w:beforeAutospacing="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beforeAutospacing="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rPr>
      <w:color w:val="31849B" w:themeColor="accent5" w:themeShade="BF"/>
    </w:rPr>
    <w:tblPr>
      <w:tblBorders>
        <w:top w:val="single" w:sz="8" w:space="0" w:color="4BACC6" w:themeColor="accent5"/>
        <w:bottom w:val="single" w:sz="8" w:space="0" w:color="4BACC6" w:themeColor="accent5"/>
      </w:tblBorders>
    </w:tblPr>
    <w:tblStylePr w:type="firstRow">
      <w:pPr>
        <w:spacing w:before="0" w:beforeAutospacing="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beforeAutospacing="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rPr>
      <w:color w:val="E36C0A" w:themeColor="accent6" w:themeShade="BF"/>
    </w:rPr>
    <w:tblPr>
      <w:tblBorders>
        <w:top w:val="single" w:sz="8" w:space="0" w:color="F79646" w:themeColor="accent6"/>
        <w:bottom w:val="single" w:sz="8" w:space="0" w:color="F79646" w:themeColor="accent6"/>
      </w:tblBorders>
    </w:tblPr>
    <w:tblStylePr w:type="firstRow">
      <w:pPr>
        <w:spacing w:before="0" w:beforeAutospacing="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beforeAutospacing="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beforeAutospacing="0" w:after="0" w:afterAutospacing="0" w:line="240" w:lineRule="auto"/>
      </w:pPr>
      <w:rPr>
        <w:b/>
        <w:bCs/>
        <w:color w:val="FFFFFF" w:themeColor="background1"/>
      </w:rPr>
      <w:tblPr/>
      <w:tcPr>
        <w:shd w:val="clear" w:color="auto" w:fill="4F81BD" w:themeFill="accent1"/>
      </w:tcPr>
    </w:tblStylePr>
    <w:tblStylePr w:type="lastRow">
      <w:pPr>
        <w:spacing w:before="0" w:beforeAutospacing="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beforeAutospacing="0" w:after="0" w:afterAutospacing="0" w:line="240" w:lineRule="auto"/>
      </w:pPr>
      <w:rPr>
        <w:b/>
        <w:bCs/>
        <w:color w:val="FFFFFF" w:themeColor="background1"/>
      </w:rPr>
      <w:tblPr/>
      <w:tcPr>
        <w:shd w:val="clear" w:color="auto" w:fill="C0504D" w:themeFill="accent2"/>
      </w:tcPr>
    </w:tblStylePr>
    <w:tblStylePr w:type="lastRow">
      <w:pPr>
        <w:spacing w:before="0" w:beforeAutospacing="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beforeAutospacing="0" w:after="0" w:afterAutospacing="0" w:line="240" w:lineRule="auto"/>
      </w:pPr>
      <w:rPr>
        <w:b/>
        <w:bCs/>
        <w:color w:val="FFFFFF" w:themeColor="background1"/>
      </w:rPr>
      <w:tblPr/>
      <w:tcPr>
        <w:shd w:val="clear" w:color="auto" w:fill="9BBB59" w:themeFill="accent3"/>
      </w:tcPr>
    </w:tblStylePr>
    <w:tblStylePr w:type="lastRow">
      <w:pPr>
        <w:spacing w:before="0" w:beforeAutospacing="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beforeAutospacing="0" w:after="0" w:afterAutospacing="0" w:line="240" w:lineRule="auto"/>
      </w:pPr>
      <w:rPr>
        <w:b/>
        <w:bCs/>
        <w:color w:val="FFFFFF" w:themeColor="background1"/>
      </w:rPr>
      <w:tblPr/>
      <w:tcPr>
        <w:shd w:val="clear" w:color="auto" w:fill="8064A2" w:themeFill="accent4"/>
      </w:tcPr>
    </w:tblStylePr>
    <w:tblStylePr w:type="lastRow">
      <w:pPr>
        <w:spacing w:before="0" w:beforeAutospacing="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beforeAutospacing="0" w:after="0" w:afterAutospacing="0" w:line="240" w:lineRule="auto"/>
      </w:pPr>
      <w:rPr>
        <w:b/>
        <w:bCs/>
        <w:color w:val="FFFFFF" w:themeColor="background1"/>
      </w:rPr>
      <w:tblPr/>
      <w:tcPr>
        <w:shd w:val="clear" w:color="auto" w:fill="4BACC6" w:themeFill="accent5"/>
      </w:tcPr>
    </w:tblStylePr>
    <w:tblStylePr w:type="lastRow">
      <w:pPr>
        <w:spacing w:before="0" w:beforeAutospacing="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beforeAutospacing="0" w:after="0" w:afterAutospacing="0" w:line="240" w:lineRule="auto"/>
      </w:pPr>
      <w:rPr>
        <w:b/>
        <w:bCs/>
        <w:color w:val="FFFFFF" w:themeColor="background1"/>
      </w:rPr>
      <w:tblPr/>
      <w:tcPr>
        <w:shd w:val="clear" w:color="auto" w:fill="F79646" w:themeFill="accent6"/>
      </w:tcPr>
    </w:tblStylePr>
    <w:tblStylePr w:type="lastRow">
      <w:pPr>
        <w:spacing w:before="0" w:beforeAutospacing="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1">
    <w:name w:val="Light Grid Accent 1"/>
    <w:basedOn w:val="TableNormal"/>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Accent1">
    <w:name w:val="Medium Shading 1 Accent 1"/>
    <w:basedOn w:val="TableNormal"/>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beforeAutospacing="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beforeAutospacing="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beforeAutospacing="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beforeAutospacing="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beforeAutospacing="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beforeAutospacing="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beforeAutospacing="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beforeAutospacing="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beforeAutospacing="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beforeAutospacing="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beforeAutospacing="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beforeAutospacing="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1">
    <w:name w:val="Medium List 2 Accent 1"/>
    <w:basedOn w:val="TableNormal"/>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1">
    <w:name w:val="Medium Grid 2 Accent 1"/>
    <w:basedOn w:val="TableNormal"/>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EF2F8" w:themeFill="accent1"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7F2" w:themeFill="accent1" w:themeFillTint="30"/>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9EEEE" w:themeFill="accent2"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DDD" w:themeFill="accent2" w:themeFillTint="30"/>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F" w:themeFill="accent3"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F" w:themeFill="accent3" w:themeFillTint="30"/>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F0F6" w:themeFill="accent4"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1ED" w:themeFill="accent4" w:themeFillTint="30"/>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EF7F9" w:themeFill="accent5"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FF4" w:themeFill="accent5" w:themeFillTint="30"/>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5ED" w:themeFill="accent6"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C" w:themeFill="accent6" w:themeFillTint="30"/>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Accent1">
    <w:name w:val="Dark List Accent 1"/>
    <w:basedOn w:val="TableNormal"/>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1">
    <w:name w:val="Colorful Shading Accent 1"/>
    <w:basedOn w:val="TableNormal"/>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EF2F8" w:themeFill="accent1"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9EEEE" w:themeFill="accent2"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F" w:themeFill="accent3" w:themeFillTint="18"/>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F0F6" w:themeFill="accent4" w:themeFillTint="18"/>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EF7F9" w:themeFill="accent5" w:themeFillTint="18"/>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5ED" w:themeFill="accent6" w:themeFillTint="18"/>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rPr>
      <w:color w:val="000000" w:themeColor="text1"/>
    </w:rPr>
    <w:tblPr/>
    <w:tcPr>
      <w:shd w:val="clear" w:color="auto" w:fill="EEF2F8" w:themeFill="accent1"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DE7F2" w:themeFill="accent1" w:themeFillTint="30"/>
      </w:tcPr>
    </w:tblStylePr>
  </w:style>
  <w:style w:type="table" w:styleId="ColorfulList-Accent2">
    <w:name w:val="Colorful List Accent 2"/>
    <w:basedOn w:val="TableNormal"/>
    <w:rPr>
      <w:color w:val="000000" w:themeColor="text1"/>
    </w:rPr>
    <w:tblPr/>
    <w:tcPr>
      <w:shd w:val="clear" w:color="auto" w:fill="F9EEEE" w:themeFill="accent2"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3DDDD" w:themeFill="accent2" w:themeFillTint="30"/>
      </w:tcPr>
    </w:tblStylePr>
  </w:style>
  <w:style w:type="table" w:styleId="ColorfulList-Accent3">
    <w:name w:val="Colorful List Accent 3"/>
    <w:basedOn w:val="TableNormal"/>
    <w:rPr>
      <w:color w:val="000000" w:themeColor="text1"/>
    </w:rPr>
    <w:tblPr/>
    <w:tcPr>
      <w:shd w:val="clear" w:color="auto" w:fill="F5F8EF" w:themeFill="accent3" w:themeFillTint="18"/>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CF2DF" w:themeFill="accent3" w:themeFillTint="30"/>
      </w:tcPr>
    </w:tblStylePr>
  </w:style>
  <w:style w:type="table" w:styleId="ColorfulList-Accent4">
    <w:name w:val="Colorful List Accent 4"/>
    <w:basedOn w:val="TableNormal"/>
    <w:rPr>
      <w:color w:val="000000" w:themeColor="text1"/>
    </w:rPr>
    <w:tblPr/>
    <w:tcPr>
      <w:shd w:val="clear" w:color="auto" w:fill="F2F0F6" w:themeFill="accent4" w:themeFillTint="18"/>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6E1ED" w:themeFill="accent4" w:themeFillTint="30"/>
      </w:tcPr>
    </w:tblStylePr>
  </w:style>
  <w:style w:type="table" w:styleId="ColorfulList-Accent5">
    <w:name w:val="Colorful List Accent 5"/>
    <w:basedOn w:val="TableNormal"/>
    <w:rPr>
      <w:color w:val="000000" w:themeColor="text1"/>
    </w:rPr>
    <w:tblPr/>
    <w:tcPr>
      <w:shd w:val="clear" w:color="auto" w:fill="EEF7F9" w:themeFill="accent5" w:themeFillTint="18"/>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DEFF4" w:themeFill="accent5" w:themeFillTint="30"/>
      </w:tcPr>
    </w:tblStylePr>
  </w:style>
  <w:style w:type="table" w:styleId="ColorfulList-Accent6">
    <w:name w:val="Colorful List Accent 6"/>
    <w:basedOn w:val="TableNormal"/>
    <w:rPr>
      <w:color w:val="000000" w:themeColor="text1"/>
    </w:rPr>
    <w:tblPr/>
    <w:tcPr>
      <w:shd w:val="clear" w:color="auto" w:fill="FEF5ED" w:themeFill="accent6" w:themeFillTint="18"/>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BDC" w:themeFill="accent6" w:themeFillTint="30"/>
      </w:tcPr>
    </w:tblStylePr>
  </w:style>
  <w:style w:type="table" w:styleId="ColorfulGrid-Accent1">
    <w:name w:val="Colorful Grid Accent 1"/>
    <w:basedOn w:val="TableNormal"/>
    <w:rPr>
      <w:color w:val="000000" w:themeColor="text1"/>
    </w:rPr>
    <w:tblPr>
      <w:tblBorders>
        <w:insideH w:val="single" w:sz="4" w:space="0" w:color="FFFFFF" w:themeColor="background1"/>
      </w:tblBorders>
    </w:tblPr>
    <w:tcPr>
      <w:shd w:val="clear" w:color="auto" w:fill="DDE7F2" w:themeFill="accent1" w:themeFillTint="30"/>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rPr>
      <w:color w:val="000000" w:themeColor="text1"/>
    </w:rPr>
    <w:tblPr>
      <w:tblBorders>
        <w:insideH w:val="single" w:sz="4" w:space="0" w:color="FFFFFF" w:themeColor="background1"/>
      </w:tblBorders>
    </w:tblPr>
    <w:tcPr>
      <w:shd w:val="clear" w:color="auto" w:fill="F3DDDD" w:themeFill="accent2" w:themeFillTint="30"/>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rPr>
      <w:color w:val="000000" w:themeColor="text1"/>
    </w:rPr>
    <w:tblPr>
      <w:tblBorders>
        <w:insideH w:val="single" w:sz="4" w:space="0" w:color="FFFFFF" w:themeColor="background1"/>
      </w:tblBorders>
    </w:tblPr>
    <w:tcPr>
      <w:shd w:val="clear" w:color="auto" w:fill="ECF2DF" w:themeFill="accent3" w:themeFillTint="30"/>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rPr>
      <w:color w:val="000000" w:themeColor="text1"/>
    </w:rPr>
    <w:tblPr>
      <w:tblBorders>
        <w:insideH w:val="single" w:sz="4" w:space="0" w:color="FFFFFF" w:themeColor="background1"/>
      </w:tblBorders>
    </w:tblPr>
    <w:tcPr>
      <w:shd w:val="clear" w:color="auto" w:fill="E6E1ED" w:themeFill="accent4" w:themeFillTint="30"/>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rPr>
      <w:color w:val="000000" w:themeColor="text1"/>
    </w:rPr>
    <w:tblPr>
      <w:tblBorders>
        <w:insideH w:val="single" w:sz="4" w:space="0" w:color="FFFFFF" w:themeColor="background1"/>
      </w:tblBorders>
    </w:tblPr>
    <w:tcPr>
      <w:shd w:val="clear" w:color="auto" w:fill="DDEFF4" w:themeFill="accent5" w:themeFillTint="30"/>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rPr>
      <w:color w:val="000000" w:themeColor="text1"/>
    </w:rPr>
    <w:tblPr>
      <w:tblBorders>
        <w:insideH w:val="single" w:sz="4" w:space="0" w:color="FFFFFF" w:themeColor="background1"/>
      </w:tblBorders>
    </w:tblPr>
    <w:tcPr>
      <w:shd w:val="clear" w:color="auto" w:fill="FDEBDC" w:themeFill="accent6" w:themeFillTint="30"/>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ghtShading1">
    <w:name w:val="Light Shading1"/>
    <w:basedOn w:val="TableNormal"/>
    <w:rPr>
      <w:color w:val="000000" w:themeColor="text1" w:themeShade="BF"/>
    </w:rPr>
    <w:tblPr>
      <w:tblBorders>
        <w:top w:val="single" w:sz="8" w:space="0" w:color="000000" w:themeColor="text1"/>
        <w:bottom w:val="single" w:sz="8" w:space="0" w:color="000000" w:themeColor="text1"/>
      </w:tblBorders>
    </w:tblPr>
    <w:tblStylePr w:type="firstRow">
      <w:pPr>
        <w:spacing w:before="0" w:beforeAutospacing="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beforeAutospacing="0" w:after="0" w:afterAutospacing="0" w:line="240" w:lineRule="auto"/>
      </w:pPr>
      <w:rPr>
        <w:b/>
        <w:bCs/>
        <w:color w:val="FFFFFF" w:themeColor="background1"/>
      </w:rPr>
      <w:tblPr/>
      <w:tcPr>
        <w:shd w:val="clear" w:color="auto" w:fill="000000" w:themeFill="text1"/>
      </w:tcPr>
    </w:tblStylePr>
    <w:tblStylePr w:type="lastRow">
      <w:pPr>
        <w:spacing w:before="0" w:beforeAutospacing="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MediumShading11">
    <w:name w:val="Medium Shading 11"/>
    <w:basedOn w:val="TableNormal"/>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beforeAutospacing="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beforeAutospacing="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tblPr>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21">
    <w:name w:val="Medium List 21"/>
    <w:basedOn w:val="TableNormal"/>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7E7E7" w:themeFill="text1"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CFCF" w:themeFill="text1" w:themeFillTint="30"/>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DarkList1">
    <w:name w:val="Dark List1"/>
    <w:basedOn w:val="TableNormal"/>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TableNormal"/>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7E7E7" w:themeFill="text1"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rPr>
      <w:color w:val="000000" w:themeColor="text1"/>
    </w:rPr>
    <w:tblPr/>
    <w:tcPr>
      <w:shd w:val="clear" w:color="auto" w:fill="E7E7E7" w:themeFill="text1"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FCFCF" w:themeFill="text1" w:themeFillTint="30"/>
      </w:tcPr>
    </w:tblStylePr>
  </w:style>
  <w:style w:type="table" w:customStyle="1" w:styleId="ColorfulGrid1">
    <w:name w:val="Colorful Grid1"/>
    <w:basedOn w:val="TableNormal"/>
    <w:rPr>
      <w:color w:val="000000" w:themeColor="text1"/>
    </w:rPr>
    <w:tblPr>
      <w:tblBorders>
        <w:insideH w:val="single" w:sz="4" w:space="0" w:color="FFFFFF" w:themeColor="background1"/>
      </w:tblBorders>
    </w:tblPr>
    <w:tcPr>
      <w:shd w:val="clear" w:color="auto" w:fill="CFCFCF" w:themeFill="text1" w:themeFillTint="30"/>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2256A-0200-4363-9E53-E388F711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4</cp:revision>
  <dcterms:created xsi:type="dcterms:W3CDTF">2013-12-23T23:15:00Z</dcterms:created>
  <dcterms:modified xsi:type="dcterms:W3CDTF">2025-11-07T07:19:00Z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8A31F440D03B4134B247930042354DCF_12</vt:lpwstr>
  </property>
</Properties>
</file>