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B4226" w14:textId="77777777" w:rsidR="00A40186" w:rsidRPr="00A40186" w:rsidRDefault="00A40186" w:rsidP="00A40186">
      <w:pPr>
        <w:spacing w:line="480" w:lineRule="auto"/>
        <w:ind w:right="-472"/>
        <w:rPr>
          <w:rFonts w:ascii="Times New Roman" w:hAnsi="Times New Roman" w:cs="Times New Roman"/>
          <w:b/>
          <w:bCs/>
          <w:i/>
          <w:iCs/>
          <w:sz w:val="20"/>
          <w:szCs w:val="20"/>
          <w:u w:val="single"/>
          <w:lang w:val="en-US"/>
        </w:rPr>
      </w:pPr>
      <w:r w:rsidRPr="00A40186">
        <w:rPr>
          <w:rFonts w:ascii="Times New Roman" w:hAnsi="Times New Roman" w:cs="Times New Roman"/>
          <w:b/>
          <w:bCs/>
          <w:i/>
          <w:iCs/>
          <w:sz w:val="20"/>
          <w:szCs w:val="20"/>
          <w:u w:val="single"/>
          <w:lang w:val="en-US"/>
        </w:rPr>
        <w:t xml:space="preserve">Case report </w:t>
      </w:r>
    </w:p>
    <w:p w14:paraId="48E693B9" w14:textId="10B62CA8" w:rsidR="00C525D4" w:rsidRPr="00146911" w:rsidRDefault="00C525D4" w:rsidP="00C525D4">
      <w:pPr>
        <w:spacing w:line="480" w:lineRule="auto"/>
        <w:ind w:right="-472"/>
        <w:rPr>
          <w:rFonts w:ascii="Times New Roman" w:hAnsi="Times New Roman" w:cs="Times New Roman"/>
          <w:sz w:val="20"/>
          <w:szCs w:val="20"/>
        </w:rPr>
      </w:pPr>
      <w:r w:rsidRPr="00146911">
        <w:rPr>
          <w:rFonts w:ascii="Times New Roman" w:hAnsi="Times New Roman" w:cs="Times New Roman"/>
          <w:sz w:val="20"/>
          <w:szCs w:val="20"/>
        </w:rPr>
        <w:t xml:space="preserve">A Rare Coexistence of Chronic Calcific Pancreatitis with Intestinal Malrotation </w:t>
      </w:r>
    </w:p>
    <w:p w14:paraId="50BDEE48" w14:textId="77777777" w:rsidR="00C525D4" w:rsidRPr="00146911" w:rsidRDefault="00C525D4" w:rsidP="00C525D4">
      <w:pPr>
        <w:spacing w:line="480" w:lineRule="auto"/>
        <w:ind w:right="-472"/>
        <w:rPr>
          <w:rFonts w:ascii="Times New Roman" w:hAnsi="Times New Roman" w:cs="Times New Roman"/>
          <w:sz w:val="20"/>
          <w:szCs w:val="20"/>
        </w:rPr>
      </w:pPr>
    </w:p>
    <w:p w14:paraId="155E9642" w14:textId="6092A2FD"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b/>
          <w:bCs/>
          <w:sz w:val="20"/>
          <w:szCs w:val="20"/>
        </w:rPr>
        <w:br/>
        <w:t>Abstract:</w:t>
      </w:r>
    </w:p>
    <w:p w14:paraId="68B724E3"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xml:space="preserve">, the most common congenital anomaly of the pancreas, is associated with recurrent pancreatitis and, in severe cases, chronic calcific changes. Intestinal malrotation, a rare embryological disorder caused by incomplete midgut rotation, often presents in childhood with abdominal pain or vomiting but may occasionally be detected in adults. Their coexistence is extremely rare, given their independent embryological origins. We report the case of a 25-year-old male who presented with recurrent abdominal pain, vomiting, and steatorrhea. Imaging confirmed chronic calcific pancreatitis in the setting of 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xml:space="preserve">, along with features of intestinal malrotation. The patient underwent a combined surgical approach: Frey’s procedure for pancreatitis and Ladd’s procedure for correction of malrotation. Postoperatively, recovery was uneventful, and the patient remained asymptomatic at two months of follow-up. </w:t>
      </w:r>
    </w:p>
    <w:p w14:paraId="3285003B" w14:textId="77777777"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b/>
          <w:bCs/>
          <w:sz w:val="20"/>
          <w:szCs w:val="20"/>
        </w:rPr>
        <w:t xml:space="preserve">Key Words: </w:t>
      </w:r>
      <w:r w:rsidRPr="00146911">
        <w:rPr>
          <w:rFonts w:ascii="Times New Roman" w:hAnsi="Times New Roman" w:cs="Times New Roman"/>
          <w:sz w:val="20"/>
          <w:szCs w:val="20"/>
        </w:rPr>
        <w:t xml:space="preserve">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Intestinal malrotation; Chronic calcific pancreatitis; Frey’s procedure; Ladd’s procedure</w:t>
      </w:r>
    </w:p>
    <w:p w14:paraId="550EFA2C" w14:textId="2AD46DCC"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b/>
          <w:bCs/>
          <w:sz w:val="20"/>
          <w:szCs w:val="20"/>
        </w:rPr>
        <w:t>Introduction:</w:t>
      </w:r>
    </w:p>
    <w:p w14:paraId="3AA03E6E"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xml:space="preserve">, present in 5–11% of the population, is the most common pancreatic anomaly and a recognized cause of recurrent pancreatitis that can progress to chronic calcific changes </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{"citationID":"2zRRqao6","properties":{"formattedCitation":"[1]","plainCitation":"[1]","noteIndex":0},"citationItems":[{"id":2391,"uris":["http://zotero.org/users/local/yS7w59YP/items/WZHRMSTK"],"itemData":{"id":2391,"type":"article-journal","abstract":"Pancreas divisum (PD) is the most common congenital anomaly of the pancreas, which increases susceptibility to recurrent pancreatitis. Usually, after failure of initial endoscopic therapies, surgical treatment combining pancreatic resection or drainage is used. The Frey procedure is used for chronic pancreatitis, but it has not been reported to be applied in an adult patient with PD-associated pancreatitis. The purpose of the paper was to describe effective treatment of this rare condition by the Frey procedure after failure of interventional endoscopic treatment. A 39-year-old female patient was initially treated for recurrent acute pancreatitis. After endoscopic diagnosis of PD, the minor duodenal papilla was incised and a plastic stent was inserted into the dorsal pancreatic duct. During the following 36 months, the patient was hospitalised several times because of recurrent episodes of pancreatitis. Thereafter, local resection of the pancreatic head combined with lateral pancreaticojejunostomy was performed with no complications. After 54 months of follow-up, the patient demonstrates abnormal glucose metabolism, with a need for enzyme supplementation, and she is free of pain. Local resection of the pancreatic head combined with lateral pancreaticojejunostomy (Frey procedure) offers a favourable outcome after failure of endoscopic papillotomy and duct stenting for pancreatitis associated with PD.","container-title":"Gastroenterology Review","DOI":"10.5114/pg.2014.43581","ISSN":"1895-5770","journalAbbreviation":"pg","language":"en","page":"175-178","source":"DOI.org (Crossref)","title":"Frey operation for chronic pancreatitis associated with pancreas divisum: and review of the literature","title-short":"Frey operation for chronic pancreatitis associated with pancreas divisum","volume":"3","author":[{"family":"Skórzewska","given":"Magdalena"},{"family":"Romanowicz","given":"Tomasz"},{"family":"Mielko","given":"Jerzy"},{"family":"Kurylcio","given":"Andrzej"},{"family":"Pertkiewicz","given":"Jan"},{"family":"Zymon","given":"Robert"},{"family":"Polkowski","given":"Wojciech P."}],"issued":{"date-parts":[["2014"]]}}}],"schema":"https://github.com/citation-style-language/schema/raw/master/csl-citation.json"}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[1]</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 xml:space="preserve">. Intestinal malrotation, with an incidence of 1 in 5,000 live births, results from incomplete midgut rotation and typically presents with vomiting or abdominal pain </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{"citationID":"mg5hdHyN","properties":{"formattedCitation":"[2]","plainCitation":"[2]","noteIndex":0},"citationItems":[{"id":2366,"uris":["http://zotero.org/users/local/yS7w59YP/items/78VBI29H"],"itemData":{"id":2366,"type":"article-journal","abstract":"Intestinal nonrotation is a subtype of malrotation occurring when the midgut fails to rotate before returning to the peritoneal cavity between weeks 8-10 of development. Though sometimes presenting as volvulus during the neonatal period, a subset of patients remains asymptomatic and are identified incidentally as adults. When patients with intestinal nonrotation present with abdominal symptoms, there exists a diagnostic dilemma for the treating surgeon. We present the case of a patient who presented with acute abdominal pain and vomiting, with radiographic findings of intestinal nonrotation and no other acute pathology. Symptoms spontaneously resolved with conservative management for likely etiology of viral gastroenteritis. At the one-month follow-up, the patient had no residual or recurrent symptoms, with no further interventions planned.","container-title":"Cureus","DOI":"10.7759/cureus.29153","ISSN":"2168-8184","language":"en","source":"DOI.org (Crossref)","title":"Incidental Discovery of Nonrotation in a Patient With Nonspecific Abdominal Pain: A Surgical Diagnostic Dilemma","title-short":"Incidental Discovery of Nonrotation in a Patient With Nonspecific Abdominal Pain","URL":"https://www.cureus.com/articles/111959-incidental-discovery-of-nonrotation-in-a-patient-with-nonspecific-abdominal-pain-a-surgical-diagnostic-dilemma","author":[{"family":"Genualdi","given":"Joseph"},{"family":"Murray-Ramcharan","given":"Max"},{"family":"Matos","given":"Francisco"},{"family":"Ramcharan","given":"Alexius"}],"accessed":{"date-parts":[["2025",9,14]]},"issued":{"date-parts":[["2022",9,14]]}}}],"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[2]</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 xml:space="preserve">. Their embryological origins are independent, and coexistence is extremely rare </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{"citationID":"5b83q9al","properties":{"formattedCitation":"[3]","plainCitation":"[3]","noteIndex":0},"citationItems":[{"id":2384,"uris":["http://zotero.org/users/local/yS7w59YP/items/FLC6LXZU"],"itemData":{"id":2384,"type":"article-journal","abstract":"Background: 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[3]</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 We report a unique case of chronic calcific pancreatitis associated with intestinal malrotation.</w:t>
      </w:r>
    </w:p>
    <w:p w14:paraId="3087D0A3" w14:textId="77777777"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b/>
          <w:bCs/>
          <w:sz w:val="20"/>
          <w:szCs w:val="20"/>
        </w:rPr>
        <w:t>Case Presentation:</w:t>
      </w:r>
    </w:p>
    <w:p w14:paraId="655BCC69"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A 25-year-old male presented with recurrent epigastric pain radiating to the back for six months, requiring both oral and intravenous analgesia for relief. The pain was accompanied by nausea and copious non-bilious vomiting. He had two prior hospital admissions for similar episodes. Additionally, he reported bulky, greasy, </w:t>
      </w:r>
      <w:r w:rsidRPr="00146911">
        <w:rPr>
          <w:rFonts w:ascii="Times New Roman" w:hAnsi="Times New Roman" w:cs="Times New Roman"/>
          <w:sz w:val="20"/>
          <w:szCs w:val="20"/>
        </w:rPr>
        <w:lastRenderedPageBreak/>
        <w:t>foul-smelling stools with occasional diarrhoea. There was no history of jaundice or gastrointestinal bleeding. On examination, the abdomen was soft without tenderness or palpable lumps.</w:t>
      </w:r>
    </w:p>
    <w:p w14:paraId="0DBDD820"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Laboratory findings from prior admissions revealed elevated serum amylase (1200 U/L) and lipase (1800 U/L). Ultrasonography demonstrated a bulky pancreas with multiple intraductal calcifications suggestive of acute-on-chronic pancreatitis. His recent fasting blood sugar (90 mg/dl) and HbA1c (4.8 g/dl) were within normal limits. Contrast-enhanced computed tomography (CECT) of the abdomen revealed two separately draining pancreatic ducts with ductal dilatation and multiple calculi involving both the dorsal and ventral ducts, findings consistent with chronic calcific pancreatitis in the setting of 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xml:space="preserve"> (Figure 1A, 1B). Additionally, CECT demonstrated reversal of the superior mesenteric artery and vein relationship (artery on the right, vein on the left) (Figure 1C), midline duodenojejunal (DJ) flexure without left fixation, right-sided proximal jejunum, suggestive of intestinal non-rotation (Figure 1D).</w:t>
      </w:r>
    </w:p>
    <w:p w14:paraId="47190064" w14:textId="77777777" w:rsidR="008F59DE" w:rsidRPr="00146911" w:rsidRDefault="008F59DE" w:rsidP="00300949">
      <w:pPr>
        <w:spacing w:line="480" w:lineRule="auto"/>
        <w:rPr>
          <w:rFonts w:ascii="Times New Roman" w:hAnsi="Times New Roman" w:cs="Times New Roman"/>
          <w:sz w:val="20"/>
          <w:szCs w:val="20"/>
        </w:rPr>
      </w:pPr>
    </w:p>
    <w:p w14:paraId="2530E215"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The patient underwent an exploratory laparotomy. A Frey’s procedure was performed, involving pancreatic head coring and clearance of calculi from the dorsal duct draining via the minor papilla (Figure 2A), followed by </w:t>
      </w:r>
      <w:proofErr w:type="spellStart"/>
      <w:r w:rsidRPr="00146911">
        <w:rPr>
          <w:rFonts w:ascii="Times New Roman" w:hAnsi="Times New Roman" w:cs="Times New Roman"/>
          <w:sz w:val="20"/>
          <w:szCs w:val="20"/>
        </w:rPr>
        <w:t>pancreaticojejunostomy</w:t>
      </w:r>
      <w:proofErr w:type="spellEnd"/>
      <w:r w:rsidRPr="00146911">
        <w:rPr>
          <w:rFonts w:ascii="Times New Roman" w:hAnsi="Times New Roman" w:cs="Times New Roman"/>
          <w:sz w:val="20"/>
          <w:szCs w:val="20"/>
        </w:rPr>
        <w:t xml:space="preserve"> (Figure 2B) with a Roux limb 30 cm distal to the DJ flexure, performed without creating a retrocolic window. Subsequently, Ladd’s procedure was undertaken. Intraoperatively, the DJ flexure was located in the midline (Figure 3A) with a proximal jejunal loop in the right of the abdomen, and Ladd’s bands (Figure 3B) were noted crossing the second part of the duodenum, attaching to the right subhepatic and lumbar region. The bands were divided, mesentery widened, and a prophylactic appendectomy performed (Figure 3C). The small bowel was positioned on the right and the large bowel on the left to complete correction of malrotation (Figure 3D).</w:t>
      </w:r>
    </w:p>
    <w:p w14:paraId="5F5E0CBB"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The postoperative course was uneventful. Oral liquids were tolerated on day three and a normal diet by day four. The patient was discharged on the fifth postoperative day. At the two-month follow-up, he remained asymptomatic with satisfactory recovery.</w:t>
      </w:r>
    </w:p>
    <w:p w14:paraId="361B3840" w14:textId="77777777" w:rsidR="008F59DE" w:rsidRPr="00146911" w:rsidRDefault="008F59DE" w:rsidP="00300949">
      <w:pPr>
        <w:spacing w:line="480" w:lineRule="auto"/>
        <w:rPr>
          <w:rFonts w:ascii="Times New Roman" w:hAnsi="Times New Roman" w:cs="Times New Roman"/>
          <w:sz w:val="20"/>
          <w:szCs w:val="20"/>
        </w:rPr>
      </w:pPr>
    </w:p>
    <w:p w14:paraId="4D49D2AE" w14:textId="77777777"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b/>
          <w:bCs/>
          <w:sz w:val="20"/>
          <w:szCs w:val="20"/>
        </w:rPr>
        <w:t>Discussion:</w:t>
      </w:r>
    </w:p>
    <w:p w14:paraId="2424387A"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xml:space="preserve"> is the most common developmental anomaly of the pancreas, with a prevalence ranging between 5% and 11% in the general population. It arises due to the failure of fusion between the ventral and </w:t>
      </w:r>
      <w:r w:rsidRPr="00146911">
        <w:rPr>
          <w:rFonts w:ascii="Times New Roman" w:hAnsi="Times New Roman" w:cs="Times New Roman"/>
          <w:sz w:val="20"/>
          <w:szCs w:val="20"/>
        </w:rPr>
        <w:lastRenderedPageBreak/>
        <w:t xml:space="preserve">dorsal pancreatic ducts. Consequently, the ventral duct of </w:t>
      </w:r>
      <w:proofErr w:type="spellStart"/>
      <w:r w:rsidRPr="00146911">
        <w:rPr>
          <w:rFonts w:ascii="Times New Roman" w:hAnsi="Times New Roman" w:cs="Times New Roman"/>
          <w:sz w:val="20"/>
          <w:szCs w:val="20"/>
        </w:rPr>
        <w:t>Wirsung</w:t>
      </w:r>
      <w:proofErr w:type="spellEnd"/>
      <w:r w:rsidRPr="00146911">
        <w:rPr>
          <w:rFonts w:ascii="Times New Roman" w:hAnsi="Times New Roman" w:cs="Times New Roman"/>
          <w:sz w:val="20"/>
          <w:szCs w:val="20"/>
        </w:rPr>
        <w:t xml:space="preserve"> drains the head and uncinate process through the major papilla, whereas the dorsal duct of Santorini drains the body and tail through the minor papilla. Obstruction at the level of the minor papilla may impede drainage of the dorsal duct, predisposing to recurrent episodes of acute pancreatitis that may eventually progress to chronic pancreatitis </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{"citationID":"5Kcle09W","properties":{"formattedCitation":"[1]","plainCitation":"[1]","noteIndex":0},"citationItems":[{"id":2391,"uris":["http://zotero.org/users/local/yS7w59YP/items/WZHRMSTK"],"itemData":{"id":2391,"type":"article-journal","abstract":"Pancreas divisum (PD) is the most common congenital anomaly of the pancreas, which increases susceptibility to recurrent pancreatitis. Usually, after failure of initial endoscopic therapies, surgical treatment combining pancreatic resection or drainage is used. The Frey procedure is used for chronic pancreatitis, but it has not been reported to be applied in an adult patient with PD-associated pancreatitis. The purpose of the paper was to describe effective treatment of this rare condition by the Frey procedure after failure of interventional endoscopic treatment. A 39-year-old female patient was initially treated for recurrent acute pancreatitis. After endoscopic diagnosis of PD, the minor duodenal papilla was incised and a plastic stent was inserted into the dorsal pancreatic duct. During the following 36 months, the patient was hospitalised several times because of recurrent episodes of pancreatitis. Thereafter, local resection of the pancreatic head combined with lateral pancreaticojejunostomy was performed with no complications. After 54 months of follow-up, the patient demonstrates abnormal glucose metabolism, with a need for enzyme supplementation, and she is free of pain. Local resection of the pancreatic head combined with lateral pancreaticojejunostomy (Frey procedure) offers a favourable outcome after failure of endoscopic papillotomy and duct stenting for pancreatitis associated with PD.","container-title":"Gastroenterology Review","DOI":"10.5114/pg.2014.43581","ISSN":"1895-5770","journalAbbreviation":"pg","language":"en","page":"175-178","source":"DOI.org (Crossref)","title":"Frey operation for chronic pancreatitis associated with pancreas divisum: and review of the literature","title-short":"Frey operation for chronic pancreatitis associated with pancreas divisum","volume":"3","author":[{"family":"Skórzewska","given":"Magdalena"},{"family":"Romanowicz","given":"Tomasz"},{"family":"Mielko","given":"Jerzy"},{"family":"Kurylcio","given":"Andrzej"},{"family":"Pertkiewicz","given":"Jan"},{"family":"Zymon","given":"Robert"},{"family":"Polkowski","given":"Wojciech P."}],"issued":{"date-parts":[["2014"]]}}}],"schema":"https://github.com/citation-style-language/schema/raw/master/csl-citation.json"}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[1]</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w:t>
      </w:r>
    </w:p>
    <w:p w14:paraId="1C975CF1"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Intestinal malrotation, on the other hand, results from incomplete rotation and fixation of the midgut during embryogenesis, with an incidence of approximately 1 in 6,000 live births</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{"citationID":"KCvarRP1","properties":{"formattedCitation":"[2]","plainCitation":"[2]","noteIndex":0},"citationItems":[{"id":2366,"uris":["http://zotero.org/users/local/yS7w59YP/items/78VBI29H"],"itemData":{"id":2366,"type":"article-journal","abstract":"Intestinal nonrotation is a subtype of malrotation occurring when the midgut fails to rotate before returning to the peritoneal cavity between weeks 8-10 of development. Though sometimes presenting as volvulus during the neonatal period, a subset of patients remains asymptomatic and are identified incidentally as adults. When patients with intestinal nonrotation present with abdominal symptoms, there exists a diagnostic dilemma for the treating surgeon. We present the case of a patient who presented with acute abdominal pain and vomiting, with radiographic findings of intestinal nonrotation and no other acute pathology. Symptoms spontaneously resolved with conservative management for likely etiology of viral gastroenteritis. At the one-month follow-up, the patient had no residual or recurrent symptoms, with no further interventions planned.","container-title":"Cureus","DOI":"10.7759/cureus.29153","ISSN":"2168-8184","language":"en","source":"DOI.org (Crossref)","title":"Incidental Discovery of Nonrotation in a Patient With Nonspecific Abdominal Pain: A Surgical Diagnostic Dilemma","title-short":"Incidental Discovery of Nonrotation in a Patient With Nonspecific Abdominal Pain","URL":"https://www.cureus.com/articles/111959-incidental-discovery-of-nonrotation-in-a-patient-with-nonspecific-abdominal-pain-a-surgical-diagnostic-dilemma","author":[{"family":"Genualdi","given":"Joseph"},{"family":"Murray-Ramcharan","given":"Max"},{"family":"Matos","given":"Francisco"},{"family":"Ramcharan","given":"Alexius"}],"accessed":{"date-parts":[["2025",9,14]]},"issued":{"date-parts":[["2022",9,14]]}}}],"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[2]</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 xml:space="preserve">. The clinical presentation varies with age, ranging from bilious vomiting in the neonatal period to recurrent intermittent vomiting, abdominal pain, and growth restriction in older children. In some cases, malrotation is discovered incidentally during imaging or surgical procedures, like in our case </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{"citationID":"9oV53xlE","properties":{"formattedCitation":"[1,3,4]","plainCitation":"[1,3,4]","noteIndex":0},"citationItems":[{"id":2391,"uris":["http://zotero.org/users/local/yS7w59YP/items/WZHRMSTK"],"itemData":{"id":2391,"type":"article-journal","abstract":"Pancreas divisum (PD) is the most common congenital anomaly of the pancreas, which increases susceptibility to recurrent pancreatitis. Usually, after failure of initial endoscopic therapies, surgical treatment combining pancreatic resection or drainage is used. The Frey procedure is used for chronic pancreatitis, but it has not been reported to be applied in an adult patient with PD-associated pancreatitis. The purpose of the paper was to describe effective treatment of this rare condition by the Frey procedure after failure of interventional endoscopic treatment. A 39-year-old female patient was initially treated for recurrent acute pancreatitis. After endoscopic diagnosis of PD, the minor duodenal papilla was incised and a plastic stent was inserted into the dorsal pancreatic duct. During the following 36 months, the patient was hospitalised several times because of recurrent episodes of pancreatitis. Thereafter, local resection of the pancreatic head combined with lateral pancreaticojejunostomy was performed with no complications. After 54 months of follow-up, the patient demonstrates abnormal glucose metabolism, with a need for enzyme supplementation, and she is free of pain. Local resection of the pancreatic head combined with lateral pancreaticojejunostomy (Frey procedure) offers a favourable outcome after failure of endoscopic papillotomy and duct stenting for pancreatitis associated with PD.","container-title":"Gastroenterology Review","DOI":"10.5114/pg.2014.43581","ISSN":"1895-5770","journalAbbreviation":"pg","language":"en","page":"175-178","source":"DOI.org (Crossref)","title":"Frey operation for chronic pancreatitis associated with pancreas divisum: and review of the literature","title-short":"Frey operation for chronic pancreatitis associated with pancreas divisum","volume":"3","author":[{"family":"Skórzewska","given":"Magdalena"},{"family":"Romanowicz","given":"Tomasz"},{"family":"Mielko","given":"Jerzy"},{"family":"Kurylcio","given":"Andrzej"},{"family":"Pertkiewicz","given":"Jan"},{"family":"Zymon","given":"Robert"},{"family":"Polkowski","given":"Wojciech P."}],"issued":{"date-parts":[["2014"]]}}},{"id":2384,"uris":["http://zotero.org/users/local/yS7w59YP/items/FLC6LXZU"],"itemData":{"id":2384,"type":"article-journal","abstract":"Background: 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id":2372,"uris":["http://zotero.org/users/local/yS7w59YP/items/EITNDSQW"],"itemData":{"id":2372,"type":"article-journal","container-title":"International Journal of Surgery Case Reports","DOI":"10.1016/j.ijscr.2016.06.053","ISSN":"22102612","journalAbbreviation":"International Journal of Surgery Case Reports","language":"en","page":"229-233","source":"DOI.org (Crossref)","title":"An unusual presentation of congenital intestinal malrotation in a nonagenarian","volume":"25","author":[{"family":"Fernandez-Moure","given":"Joseph S."},{"family":"Moses","given":"Maya L."},{"family":"Garcia","given":"Andres"},{"family":"Reader","given":"Michael M."}],"issued":{"date-parts":[["2016"]]}}}],"schema":"https://github.com/citation-style-language/schema/raw/master/csl-citation.json"}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[1,3,4]</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w:t>
      </w:r>
    </w:p>
    <w:p w14:paraId="75D53B00"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For chronic calcific pancreatitis, the Frey’s procedure, pancreatic head coring combined with pancreatojejunostomy, remains the surgical treatment of choice. In contrast, the Ladd’s procedure is the standard treatment for intestinal malrotation. This involves division of Ladd’s bands, tethering the cecum and right colon to the abdominal wall, prophylactic appendectomy, and repositioning of the small bowel to the right and the colon to the left of the abdominal cavity </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{"citationID":"28B8K4Xw","properties":{"formattedCitation":"[3,4]","plainCitation":"[3,4]","noteIndex":0},"citationItems":[{"id":2384,"uris":["http://zotero.org/users/local/yS7w59YP/items/FLC6LXZU"],"itemData":{"id":2384,"type":"article-journal","abstract":"Background: 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id":2372,"uris":["http://zotero.org/users/local/yS7w59YP/items/EITNDSQW"],"itemData":{"id":2372,"type":"article-journal","container-title":"International Journal of Surgery Case Reports","DOI":"10.1016/j.ijscr.2016.06.053","ISSN":"22102612","journalAbbreviation":"International Journal of Surgery Case Reports","language":"en","page":"229-233","source":"DOI.org (Crossref)","title":"An unusual presentation of congenital intestinal malrotation in a nonagenarian","volume":"25","author":[{"family":"Fernandez-Moure","given":"Joseph S."},{"family":"Moses","given":"Maya L."},{"family":"Garcia","given":"Andres"},{"family":"Reader","given":"Michael M."}],"issued":{"date-parts":[["2016"]]}}}],"schema":"https://github.com/citation-style-language/schema/raw/master/csl-citation.json"}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[3,4]</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w:t>
      </w:r>
    </w:p>
    <w:p w14:paraId="10456AB6"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Embryologically, pancreatic ductal fusion occurs between the 5th and 10th weeks of gestation, while midgut rotation takes place between the 10th and 12th weeks. These are independent developmental processes; however, overlapping periods of embryogenesis may account for their coexistence. Nakano </w:t>
      </w:r>
      <w:r w:rsidRPr="00146911">
        <w:rPr>
          <w:rFonts w:ascii="Times New Roman" w:hAnsi="Times New Roman" w:cs="Times New Roman"/>
          <w:i/>
          <w:iCs/>
          <w:sz w:val="20"/>
          <w:szCs w:val="20"/>
        </w:rPr>
        <w:t>et al</w:t>
      </w:r>
      <w:r w:rsidRPr="00146911">
        <w:rPr>
          <w:rFonts w:ascii="Times New Roman" w:hAnsi="Times New Roman" w:cs="Times New Roman"/>
          <w:sz w:val="20"/>
          <w:szCs w:val="20"/>
        </w:rPr>
        <w:t xml:space="preserve">. previously described such concurrence, suggesting a possible embryological link. Our case represents a rare instance of chronic calcific pancreatitis with coexisting intestinal malrotation, with an underlying developmental anomaly, such as 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xml:space="preserve">, which may serve as the etiological basis </w:t>
      </w: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ZOTERO_ITEM CSL_CITATION {"citationID":"j7OoosYa","properties":{"formattedCitation":"[3\\uc0\\u8211{}5]","plainCitation":"[3–5]","noteIndex":0},"citationItems":[{"id":2384,"uris":["http://zotero.org/users/local/yS7w59YP/items/FLC6LXZU"],"itemData":{"id":2384,"type":"article-journal","abstract":"Background:  Pancreaticobiliary maljunction is a congenital anatomical abnorma l junction of the pancreatic duct and bile duct into a common channel outside the duodenal wall. Pancreas divisum is also a congenital anatomical abnormality characterized by unfused pancreatic ducts. Intestinal malrotation is caused by the failure of bowel rotation and fixation. We reported an optimal surgical intervention for the rare case of pancreaticobiliary maljunction and pancreas divisum accompanied intestinal malrotation. Case presentation:  A 2-year-old female presented with fever and jaundice. Abdominal ultrasound showed dilated common bile duct and intrahepatic bile ducts; MRCP showed pancreaticobiliary maljunction, pancreas divisum, and dilated biliary system; Abdominal contrast-enhanced CT showed a reversed relationship between the superior mesenteric artery and the superior mesenteric vein. An operation of laparoscopic resection of the extrahepatic bile duct, Roux-en-Y hepaticojejunostomy, and Ladd’s procedure was performed after the inflammation of the biliary system was treated. The post-operative follow-up period was uneventful. Conclusions:  The management of pancreas divisum can be conservative. We present an optimal pattern of Roux-enY hepaticojejunostomy to deal with pancreaticobiliary maljunction associated with intestinal malrotation.","container-title":"BMC Pediatrics","DOI":"10.1186/s12887-022-03171-y","ISSN":"1471-2431","issue":"1","journalAbbreviation":"BMC Pediatr","language":"en","page":"110","source":"DOI.org (Crossref)","title":"Pancreaticobiliary maljunction and pancreas divisum accompanied with intestinal malrotation: a case report","title-short":"Pancreaticobiliary maljunction and pancreas divisum accompanied with intestinal malrotation","volume":"22","author":[{"family":"Lei","given":"Waiun"},{"family":"Yan","given":"Jiayu"},{"family":"Zhang","given":"Tingchong"},{"family":"Liu","given":"Lu"},{"family":"Chen","given":"Yajun"}],"issued":{"date-parts":[["2022",12]]}}},{"id":2372,"uris":["http://zotero.org/users/local/yS7w59YP/items/EITNDSQW"],"itemData":{"id":2372,"type":"article-journal","container-title":"International Journal of Surgery Case Reports","DOI":"10.1016/j.ijscr.2016.06.053","ISSN":"22102612","journalAbbreviation":"International Journal of Surgery Case Reports","language":"en","page":"229-233","source":"DOI.org (Crossref)","title":"An unusual presentation of congenital intestinal malrotation in a nonagenarian","volume":"25","author":[{"family":"Fernandez-Moure","given":"Joseph S."},{"family":"Moses","given":"Maya L."},{"family":"Garcia","given":"Andres"},{"family":"Reader","given":"Michael M."}],"issued":{"date-parts":[["2016"]]}}},{"id":2393,"uris":["http://zotero.org/users/local/yS7w59YP/items/RJ4L46VV"],"itemData":{"id":2393,"type":"article-journal","abstract":"An unusual case of a coexistence of pancreas divisum and intestinal malrotation in a patient with cholecystolithiasis is described herein. The diagnosis of pancreas divisum was established by endoscopic retrograde pancreatography, and the intestinal malrotation was diagnosed by duodenography and barium enema. An operation was performed for the cholecystolithiasis. The pancreas was soft, and its shape was almost normal. Cholecystectomy and prophylactic appendectomy were performed, however nothing was done to the pancreas.","container-title":"The Japanese Journal of Surgery","DOI":"10.1007/BF02470597","ISSN":"0047-1909, 1436-2813","issue":"3","journalAbbreviation":"The Japanese Journal of Surgery","language":"en","license":"http://www.springer.com/tdm","page":"186-189","source":"DOI.org (Crossref)","title":"Coexistence of pancreas divisum and intestinal malrotation in a patient with cholecystolithiasis —A case report—","volume":"17","author":[{"family":"Nakano","given":"Hideaki"},{"family":"Okamura","given":"Kazunori"},{"family":"Nakase","given":"Ichiro"},{"family":"Tamaki","given":"Hisao"},{"family":"Kitamura","given":"Hirohiko"},{"family":"Miyazaki","given":"Koichi"},{"family":"Ito","given":"Nobuyasu"},{"family":"Tagawa","given":"Sinsei"}],"issued":{"date-parts":[["1987",5]]}}}],"schema":"https://github.com/citation-style-language/schema/raw/master/csl-citation.json"} </w:instrText>
      </w:r>
      <w:r w:rsidRPr="00146911">
        <w:rPr>
          <w:rFonts w:ascii="Times New Roman" w:hAnsi="Times New Roman" w:cs="Times New Roman"/>
          <w:sz w:val="20"/>
          <w:szCs w:val="20"/>
        </w:rPr>
        <w:fldChar w:fldCharType="separate"/>
      </w:r>
      <w:r w:rsidRPr="00146911">
        <w:rPr>
          <w:rFonts w:ascii="Times New Roman" w:hAnsi="Times New Roman" w:cs="Times New Roman"/>
          <w:kern w:val="0"/>
          <w:sz w:val="20"/>
          <w:szCs w:val="20"/>
        </w:rPr>
        <w:t>[3–5]</w:t>
      </w:r>
      <w:r w:rsidRPr="00146911">
        <w:rPr>
          <w:rFonts w:ascii="Times New Roman" w:hAnsi="Times New Roman" w:cs="Times New Roman"/>
          <w:sz w:val="20"/>
          <w:szCs w:val="20"/>
        </w:rPr>
        <w:fldChar w:fldCharType="end"/>
      </w:r>
      <w:r w:rsidRPr="00146911">
        <w:rPr>
          <w:rFonts w:ascii="Times New Roman" w:hAnsi="Times New Roman" w:cs="Times New Roman"/>
          <w:sz w:val="20"/>
          <w:szCs w:val="20"/>
        </w:rPr>
        <w:t>.</w:t>
      </w:r>
    </w:p>
    <w:p w14:paraId="521B7765" w14:textId="77777777" w:rsidR="008F59DE" w:rsidRPr="00146911" w:rsidRDefault="008F59DE" w:rsidP="00300949">
      <w:pPr>
        <w:spacing w:line="480" w:lineRule="auto"/>
        <w:rPr>
          <w:rFonts w:ascii="Times New Roman" w:hAnsi="Times New Roman" w:cs="Times New Roman"/>
          <w:sz w:val="20"/>
          <w:szCs w:val="20"/>
        </w:rPr>
      </w:pPr>
    </w:p>
    <w:p w14:paraId="02C04F23" w14:textId="77777777"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b/>
          <w:bCs/>
          <w:sz w:val="20"/>
          <w:szCs w:val="20"/>
        </w:rPr>
        <w:t>Conclusion:</w:t>
      </w:r>
    </w:p>
    <w:p w14:paraId="26A8A558" w14:textId="77777777" w:rsidR="008F59DE"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The coexistence of pancreatic </w:t>
      </w:r>
      <w:proofErr w:type="spellStart"/>
      <w:r w:rsidRPr="00146911">
        <w:rPr>
          <w:rFonts w:ascii="Times New Roman" w:hAnsi="Times New Roman" w:cs="Times New Roman"/>
          <w:sz w:val="20"/>
          <w:szCs w:val="20"/>
        </w:rPr>
        <w:t>divisum</w:t>
      </w:r>
      <w:proofErr w:type="spellEnd"/>
      <w:r w:rsidRPr="00146911">
        <w:rPr>
          <w:rFonts w:ascii="Times New Roman" w:hAnsi="Times New Roman" w:cs="Times New Roman"/>
          <w:sz w:val="20"/>
          <w:szCs w:val="20"/>
        </w:rPr>
        <w:t xml:space="preserve"> and intestinal malrotation is extremely rare. Careful evaluation and tailored surgical management are essential to achieve optimal outcomes in such complex clinical presentations.</w:t>
      </w:r>
    </w:p>
    <w:p w14:paraId="513659B4" w14:textId="77777777" w:rsidR="00807434" w:rsidRPr="00146911" w:rsidRDefault="00807434" w:rsidP="00807434">
      <w:pPr>
        <w:spacing w:after="0" w:line="480" w:lineRule="auto"/>
        <w:ind w:right="-472"/>
        <w:jc w:val="both"/>
        <w:rPr>
          <w:rFonts w:ascii="Times New Roman" w:hAnsi="Times New Roman" w:cs="Times New Roman"/>
          <w:b/>
          <w:bCs/>
          <w:sz w:val="20"/>
          <w:szCs w:val="20"/>
          <w:u w:val="single"/>
        </w:rPr>
      </w:pPr>
      <w:r w:rsidRPr="00146911">
        <w:rPr>
          <w:rFonts w:ascii="Times New Roman" w:hAnsi="Times New Roman" w:cs="Times New Roman"/>
          <w:b/>
          <w:bCs/>
          <w:sz w:val="20"/>
          <w:szCs w:val="20"/>
          <w:u w:val="single"/>
        </w:rPr>
        <w:t xml:space="preserve">Disclosure Statements: </w:t>
      </w:r>
    </w:p>
    <w:p w14:paraId="54B400B2" w14:textId="77777777" w:rsidR="00B45734" w:rsidRDefault="00B45734" w:rsidP="00807434">
      <w:pPr>
        <w:spacing w:after="0" w:line="480" w:lineRule="auto"/>
        <w:ind w:right="-472"/>
        <w:jc w:val="both"/>
        <w:rPr>
          <w:rFonts w:ascii="Times New Roman" w:hAnsi="Times New Roman" w:cs="Times New Roman"/>
          <w:b/>
          <w:bCs/>
          <w:sz w:val="20"/>
          <w:szCs w:val="20"/>
        </w:rPr>
      </w:pPr>
    </w:p>
    <w:p w14:paraId="2B65BAF0" w14:textId="59094BF6" w:rsidR="00807434" w:rsidRPr="00146911" w:rsidRDefault="00807434" w:rsidP="00807434">
      <w:pPr>
        <w:spacing w:after="0" w:line="480" w:lineRule="auto"/>
        <w:ind w:right="-472"/>
        <w:jc w:val="both"/>
        <w:rPr>
          <w:rFonts w:ascii="Times New Roman" w:hAnsi="Times New Roman" w:cs="Times New Roman"/>
          <w:sz w:val="20"/>
          <w:szCs w:val="20"/>
        </w:rPr>
      </w:pPr>
      <w:bookmarkStart w:id="0" w:name="_GoBack"/>
      <w:bookmarkEnd w:id="0"/>
      <w:r w:rsidRPr="00146911">
        <w:rPr>
          <w:rFonts w:ascii="Times New Roman" w:hAnsi="Times New Roman" w:cs="Times New Roman"/>
          <w:b/>
          <w:bCs/>
          <w:sz w:val="20"/>
          <w:szCs w:val="20"/>
        </w:rPr>
        <w:lastRenderedPageBreak/>
        <w:t>Conflict of interest statement</w:t>
      </w:r>
      <w:bookmarkStart w:id="1" w:name="_Hlk188302199"/>
      <w:r w:rsidRPr="00146911">
        <w:rPr>
          <w:rFonts w:ascii="Times New Roman" w:hAnsi="Times New Roman" w:cs="Times New Roman"/>
          <w:sz w:val="20"/>
          <w:szCs w:val="20"/>
        </w:rPr>
        <w:t>: All authors declare that they have no conflicts of interest to disclose in this research project. We affirm that our involvement in this research is free from any financial, personal, or external affiliations that could compromise its objectivity, integrity, or impartiality</w:t>
      </w:r>
    </w:p>
    <w:bookmarkEnd w:id="1"/>
    <w:p w14:paraId="78C14281" w14:textId="77777777" w:rsidR="00807434" w:rsidRPr="00146911" w:rsidRDefault="00807434" w:rsidP="00807434">
      <w:pPr>
        <w:spacing w:after="0" w:line="480" w:lineRule="auto"/>
        <w:ind w:right="-472"/>
        <w:jc w:val="both"/>
        <w:rPr>
          <w:rFonts w:ascii="Times New Roman" w:hAnsi="Times New Roman" w:cs="Times New Roman"/>
          <w:b/>
          <w:bCs/>
          <w:sz w:val="20"/>
          <w:szCs w:val="20"/>
        </w:rPr>
      </w:pPr>
    </w:p>
    <w:p w14:paraId="29214D58" w14:textId="77777777" w:rsidR="00807434" w:rsidRPr="00146911" w:rsidRDefault="00807434" w:rsidP="00807434">
      <w:pPr>
        <w:spacing w:after="0" w:line="480" w:lineRule="auto"/>
        <w:ind w:right="-472"/>
        <w:jc w:val="both"/>
        <w:rPr>
          <w:rFonts w:ascii="Times New Roman" w:hAnsi="Times New Roman" w:cs="Times New Roman"/>
          <w:b/>
          <w:bCs/>
          <w:sz w:val="20"/>
          <w:szCs w:val="20"/>
        </w:rPr>
      </w:pPr>
      <w:r w:rsidRPr="00146911">
        <w:rPr>
          <w:rFonts w:ascii="Times New Roman" w:hAnsi="Times New Roman" w:cs="Times New Roman"/>
          <w:b/>
          <w:bCs/>
          <w:sz w:val="20"/>
          <w:szCs w:val="20"/>
        </w:rPr>
        <w:t xml:space="preserve"> Ethics approval</w:t>
      </w:r>
    </w:p>
    <w:p w14:paraId="7DA0F3D2" w14:textId="77777777" w:rsidR="00807434" w:rsidRPr="00146911" w:rsidRDefault="00807434" w:rsidP="00807434">
      <w:pPr>
        <w:spacing w:after="0" w:line="480" w:lineRule="auto"/>
        <w:ind w:right="-472"/>
        <w:jc w:val="both"/>
        <w:rPr>
          <w:rFonts w:ascii="Times New Roman" w:hAnsi="Times New Roman" w:cs="Times New Roman"/>
          <w:sz w:val="20"/>
          <w:szCs w:val="20"/>
        </w:rPr>
      </w:pPr>
      <w:r w:rsidRPr="00146911">
        <w:rPr>
          <w:rFonts w:ascii="Times New Roman" w:hAnsi="Times New Roman" w:cs="Times New Roman"/>
          <w:sz w:val="20"/>
          <w:szCs w:val="20"/>
        </w:rPr>
        <w:t>The authors take full responsibility for all aspects of this work, ensuring that any questions regarding the accuracy or integrity of any part are thoroughly investigated and appropriately resolved. Written informed consent was obtained from the patient for the publication of this case report. Institutional board approval was not required for this publication.</w:t>
      </w:r>
    </w:p>
    <w:p w14:paraId="22B6AABD" w14:textId="77777777" w:rsidR="00807434" w:rsidRPr="00146911" w:rsidRDefault="00807434" w:rsidP="00807434">
      <w:pPr>
        <w:spacing w:after="0" w:line="480" w:lineRule="auto"/>
        <w:ind w:right="-472"/>
        <w:jc w:val="both"/>
        <w:rPr>
          <w:rFonts w:ascii="Times New Roman" w:hAnsi="Times New Roman" w:cs="Times New Roman"/>
          <w:sz w:val="20"/>
          <w:szCs w:val="20"/>
        </w:rPr>
      </w:pPr>
    </w:p>
    <w:p w14:paraId="058818D6" w14:textId="77777777" w:rsidR="00807434" w:rsidRPr="00146911" w:rsidRDefault="00807434" w:rsidP="00807434">
      <w:pPr>
        <w:spacing w:after="0" w:line="480" w:lineRule="auto"/>
        <w:ind w:right="-472"/>
        <w:jc w:val="both"/>
        <w:rPr>
          <w:rFonts w:ascii="Times New Roman" w:hAnsi="Times New Roman" w:cs="Times New Roman"/>
          <w:sz w:val="20"/>
          <w:szCs w:val="20"/>
        </w:rPr>
      </w:pPr>
      <w:r w:rsidRPr="00146911">
        <w:rPr>
          <w:rFonts w:ascii="Times New Roman" w:hAnsi="Times New Roman" w:cs="Times New Roman"/>
          <w:b/>
          <w:bCs/>
          <w:sz w:val="20"/>
          <w:szCs w:val="20"/>
        </w:rPr>
        <w:t>Informed Consent:</w:t>
      </w:r>
      <w:r w:rsidRPr="00146911">
        <w:rPr>
          <w:rFonts w:ascii="Times New Roman" w:hAnsi="Times New Roman" w:cs="Times New Roman"/>
          <w:sz w:val="20"/>
          <w:szCs w:val="20"/>
        </w:rPr>
        <w:t xml:space="preserve"> Informed consent was obtained from the patient.</w:t>
      </w:r>
    </w:p>
    <w:p w14:paraId="736A5471" w14:textId="77777777" w:rsidR="00807434" w:rsidRPr="00146911" w:rsidRDefault="00807434" w:rsidP="00300949">
      <w:pPr>
        <w:spacing w:line="480" w:lineRule="auto"/>
        <w:rPr>
          <w:rFonts w:ascii="Times New Roman" w:hAnsi="Times New Roman" w:cs="Times New Roman"/>
          <w:sz w:val="20"/>
          <w:szCs w:val="20"/>
        </w:rPr>
      </w:pPr>
    </w:p>
    <w:p w14:paraId="2EDBDA38" w14:textId="77777777" w:rsidR="008F59DE" w:rsidRPr="00146911" w:rsidRDefault="008F59DE" w:rsidP="00300949">
      <w:pPr>
        <w:spacing w:line="480" w:lineRule="auto"/>
        <w:rPr>
          <w:rFonts w:ascii="Times New Roman" w:hAnsi="Times New Roman" w:cs="Times New Roman"/>
          <w:sz w:val="20"/>
          <w:szCs w:val="20"/>
        </w:rPr>
      </w:pPr>
    </w:p>
    <w:p w14:paraId="434F5822" w14:textId="77777777"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b/>
          <w:bCs/>
          <w:sz w:val="20"/>
          <w:szCs w:val="20"/>
        </w:rPr>
        <w:t>References:</w:t>
      </w:r>
    </w:p>
    <w:p w14:paraId="55F4D642" w14:textId="77777777" w:rsidR="008F59DE" w:rsidRPr="00146911" w:rsidRDefault="008F59DE" w:rsidP="00300949">
      <w:pPr>
        <w:pStyle w:val="Bibliography"/>
        <w:spacing w:line="480" w:lineRule="auto"/>
        <w:rPr>
          <w:rFonts w:ascii="Times New Roman" w:hAnsi="Times New Roman" w:cs="Times New Roman"/>
          <w:sz w:val="20"/>
          <w:szCs w:val="20"/>
        </w:rPr>
      </w:pPr>
      <w:r w:rsidRPr="00146911">
        <w:rPr>
          <w:rFonts w:ascii="Times New Roman" w:hAnsi="Times New Roman" w:cs="Times New Roman"/>
          <w:sz w:val="20"/>
          <w:szCs w:val="20"/>
        </w:rPr>
        <w:fldChar w:fldCharType="begin"/>
      </w:r>
      <w:r w:rsidRPr="00146911">
        <w:rPr>
          <w:rFonts w:ascii="Times New Roman" w:hAnsi="Times New Roman" w:cs="Times New Roman"/>
          <w:sz w:val="20"/>
          <w:szCs w:val="20"/>
        </w:rPr>
        <w:instrText xml:space="preserve"> ADDIN ZOTERO_BIBL {"uncited":[],"omitted":[],"custom":[]} CSL_BIBLIOGRAPHY </w:instrText>
      </w:r>
      <w:r w:rsidRPr="00146911">
        <w:rPr>
          <w:rFonts w:ascii="Times New Roman" w:hAnsi="Times New Roman" w:cs="Times New Roman"/>
          <w:sz w:val="20"/>
          <w:szCs w:val="20"/>
        </w:rPr>
        <w:fldChar w:fldCharType="separate"/>
      </w:r>
      <w:r w:rsidRPr="00146911">
        <w:rPr>
          <w:rFonts w:ascii="Times New Roman" w:hAnsi="Times New Roman" w:cs="Times New Roman"/>
          <w:sz w:val="20"/>
          <w:szCs w:val="20"/>
        </w:rPr>
        <w:t xml:space="preserve">1. </w:t>
      </w:r>
      <w:r w:rsidRPr="00146911">
        <w:rPr>
          <w:rFonts w:ascii="Times New Roman" w:hAnsi="Times New Roman" w:cs="Times New Roman"/>
          <w:sz w:val="20"/>
          <w:szCs w:val="20"/>
        </w:rPr>
        <w:tab/>
        <w:t xml:space="preserve">Skórzewska M, Romanowicz T, Mielko J, Kurylcio A, Pertkiewicz J, Zymon R, et al. Frey operation for chronic pancreatitis associated with pancreas divisum: and review of the literature. pg. 2014;3:175–8. </w:t>
      </w:r>
    </w:p>
    <w:p w14:paraId="2CCC8DE0" w14:textId="77777777" w:rsidR="008F59DE" w:rsidRPr="00146911" w:rsidRDefault="008F59DE" w:rsidP="00300949">
      <w:pPr>
        <w:pStyle w:val="Bibliography"/>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2. </w:t>
      </w:r>
      <w:r w:rsidRPr="00146911">
        <w:rPr>
          <w:rFonts w:ascii="Times New Roman" w:hAnsi="Times New Roman" w:cs="Times New Roman"/>
          <w:sz w:val="20"/>
          <w:szCs w:val="20"/>
        </w:rPr>
        <w:tab/>
        <w:t>Genualdi J, Murray-Ramcharan M, Matos F, Ramcharan A. Incidental Discovery of Nonrotation in a Patient With Nonspecific Abdominal Pain: A Surgical Diagnostic Dilemma. Cureus [Internet]. 2022 Sep 14 [cited 2025 Sep 14]; Available from: https://www.cureus.com/articles/111959-incidental-discovery-of-nonrotation-in-a-patient-with-nonspecific-abdominal-pain-a-surgical-diagnostic-dilemma</w:t>
      </w:r>
    </w:p>
    <w:p w14:paraId="3E6B936E" w14:textId="77777777" w:rsidR="008F59DE" w:rsidRPr="00146911" w:rsidRDefault="008F59DE" w:rsidP="00300949">
      <w:pPr>
        <w:pStyle w:val="Bibliography"/>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3. </w:t>
      </w:r>
      <w:r w:rsidRPr="00146911">
        <w:rPr>
          <w:rFonts w:ascii="Times New Roman" w:hAnsi="Times New Roman" w:cs="Times New Roman"/>
          <w:sz w:val="20"/>
          <w:szCs w:val="20"/>
        </w:rPr>
        <w:tab/>
        <w:t xml:space="preserve">Lei W, Yan J, Zhang T, Liu L, Chen Y. Pancreaticobiliary maljunction and pancreas divisum accompanied with intestinal malrotation: a case report. BMC Pediatr. 2022 Dec;22(1):110. </w:t>
      </w:r>
    </w:p>
    <w:p w14:paraId="4003C09F" w14:textId="77777777" w:rsidR="008F59DE" w:rsidRPr="00146911" w:rsidRDefault="008F59DE" w:rsidP="00300949">
      <w:pPr>
        <w:pStyle w:val="Bibliography"/>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4. </w:t>
      </w:r>
      <w:r w:rsidRPr="00146911">
        <w:rPr>
          <w:rFonts w:ascii="Times New Roman" w:hAnsi="Times New Roman" w:cs="Times New Roman"/>
          <w:sz w:val="20"/>
          <w:szCs w:val="20"/>
        </w:rPr>
        <w:tab/>
        <w:t xml:space="preserve">Fernandez-Moure JS, Moses ML, Garcia A, Reader MM. An unusual presentation of congenital intestinal malrotation in a nonagenarian. International Journal of Surgery Case Reports. 2016;25:229–33. </w:t>
      </w:r>
    </w:p>
    <w:p w14:paraId="6B016F8C" w14:textId="77777777" w:rsidR="008F59DE" w:rsidRPr="00146911" w:rsidRDefault="008F59DE" w:rsidP="00300949">
      <w:pPr>
        <w:pStyle w:val="Bibliography"/>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5. </w:t>
      </w:r>
      <w:r w:rsidRPr="00146911">
        <w:rPr>
          <w:rFonts w:ascii="Times New Roman" w:hAnsi="Times New Roman" w:cs="Times New Roman"/>
          <w:sz w:val="20"/>
          <w:szCs w:val="20"/>
        </w:rPr>
        <w:tab/>
        <w:t xml:space="preserve">Nakano H, Okamura K, Nakase I, Tamaki H, Kitamura H, Miyazaki K, et al. Coexistence of pancreas divisum and intestinal malrotation in a patient with cholecystolithiasis —A case report—. The Japanese Journal of Surgery. 1987 May;17(3):186–9. </w:t>
      </w:r>
    </w:p>
    <w:p w14:paraId="31213B42" w14:textId="77777777" w:rsidR="008F59DE" w:rsidRPr="00146911" w:rsidRDefault="008F59DE" w:rsidP="00300949">
      <w:pPr>
        <w:spacing w:line="480" w:lineRule="auto"/>
        <w:rPr>
          <w:rFonts w:ascii="Times New Roman" w:hAnsi="Times New Roman" w:cs="Times New Roman"/>
          <w:b/>
          <w:bCs/>
          <w:sz w:val="20"/>
          <w:szCs w:val="20"/>
        </w:rPr>
      </w:pPr>
      <w:r w:rsidRPr="00146911">
        <w:rPr>
          <w:rFonts w:ascii="Times New Roman" w:hAnsi="Times New Roman" w:cs="Times New Roman"/>
          <w:sz w:val="20"/>
          <w:szCs w:val="20"/>
        </w:rPr>
        <w:fldChar w:fldCharType="end"/>
      </w:r>
    </w:p>
    <w:p w14:paraId="6E82D4E1" w14:textId="77777777" w:rsidR="008F59DE" w:rsidRPr="00146911" w:rsidRDefault="008F59DE" w:rsidP="00300949">
      <w:pPr>
        <w:spacing w:line="480" w:lineRule="auto"/>
        <w:rPr>
          <w:rFonts w:ascii="Times New Roman" w:hAnsi="Times New Roman" w:cs="Times New Roman"/>
          <w:sz w:val="20"/>
          <w:szCs w:val="20"/>
        </w:rPr>
      </w:pPr>
      <w:r w:rsidRPr="00146911">
        <w:rPr>
          <w:rFonts w:ascii="Times New Roman" w:hAnsi="Times New Roman" w:cs="Times New Roman"/>
          <w:sz w:val="20"/>
          <w:szCs w:val="20"/>
        </w:rPr>
        <w:lastRenderedPageBreak/>
        <w:t>Figure 1: (A) CT scan showing multiple calculi in the dorsal pancreatic duct (white arrow). (B) Multiple calculi in the dorsal (black arrow) and ventral ducts (white arrow), draining separately. (C) Non-rotation of the gut showing the superior mesenteric artery on the right (black arrow) and the superior mesenteric vein on the left (white arrow). (D) The duodenojejunal flexure is located in the midline.</w:t>
      </w:r>
    </w:p>
    <w:p w14:paraId="10396262" w14:textId="4DD65B3A" w:rsidR="00EB5B4B" w:rsidRDefault="00EB5B4B" w:rsidP="00300949">
      <w:pPr>
        <w:spacing w:line="480" w:lineRule="auto"/>
        <w:ind w:right="-472"/>
        <w:rPr>
          <w:rFonts w:ascii="Times New Roman" w:hAnsi="Times New Roman" w:cs="Times New Roman"/>
          <w:sz w:val="20"/>
          <w:szCs w:val="20"/>
        </w:rPr>
      </w:pPr>
      <w:r>
        <w:rPr>
          <w:noProof/>
        </w:rPr>
        <w:drawing>
          <wp:inline distT="0" distB="0" distL="0" distR="0" wp14:anchorId="0D81E2D1" wp14:editId="666CD122">
            <wp:extent cx="5774589" cy="4324350"/>
            <wp:effectExtent l="0" t="0" r="0" b="0"/>
            <wp:docPr id="46358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3799" cy="4331247"/>
                    </a:xfrm>
                    <a:prstGeom prst="rect">
                      <a:avLst/>
                    </a:prstGeom>
                    <a:noFill/>
                    <a:ln>
                      <a:noFill/>
                    </a:ln>
                  </pic:spPr>
                </pic:pic>
              </a:graphicData>
            </a:graphic>
          </wp:inline>
        </w:drawing>
      </w:r>
    </w:p>
    <w:p w14:paraId="6187B5DE" w14:textId="77777777" w:rsidR="00EB5B4B" w:rsidRDefault="00EB5B4B" w:rsidP="00300949">
      <w:pPr>
        <w:spacing w:line="480" w:lineRule="auto"/>
        <w:ind w:right="-472"/>
        <w:rPr>
          <w:rFonts w:ascii="Times New Roman" w:hAnsi="Times New Roman" w:cs="Times New Roman"/>
          <w:sz w:val="20"/>
          <w:szCs w:val="20"/>
        </w:rPr>
      </w:pPr>
    </w:p>
    <w:p w14:paraId="02F43685" w14:textId="77777777" w:rsidR="00807434" w:rsidRPr="00146911" w:rsidRDefault="00807434" w:rsidP="00807434">
      <w:pPr>
        <w:spacing w:line="480" w:lineRule="auto"/>
        <w:rPr>
          <w:rFonts w:ascii="Times New Roman" w:hAnsi="Times New Roman" w:cs="Times New Roman"/>
          <w:sz w:val="20"/>
          <w:szCs w:val="20"/>
        </w:rPr>
      </w:pPr>
      <w:r w:rsidRPr="00146911">
        <w:rPr>
          <w:rFonts w:ascii="Times New Roman" w:hAnsi="Times New Roman" w:cs="Times New Roman"/>
          <w:sz w:val="20"/>
          <w:szCs w:val="20"/>
        </w:rPr>
        <w:t xml:space="preserve">Figure 2: (A) Intraoperative image showing the dorsal pancreatic duct draining into the minor papilla (black arrow) with pancreatic head coring. (B) </w:t>
      </w:r>
      <w:proofErr w:type="spellStart"/>
      <w:r w:rsidRPr="00146911">
        <w:rPr>
          <w:rFonts w:ascii="Times New Roman" w:hAnsi="Times New Roman" w:cs="Times New Roman"/>
          <w:sz w:val="20"/>
          <w:szCs w:val="20"/>
        </w:rPr>
        <w:t>Pancreaticojejunostomy</w:t>
      </w:r>
      <w:proofErr w:type="spellEnd"/>
      <w:r w:rsidRPr="00146911">
        <w:rPr>
          <w:rFonts w:ascii="Times New Roman" w:hAnsi="Times New Roman" w:cs="Times New Roman"/>
          <w:sz w:val="20"/>
          <w:szCs w:val="20"/>
        </w:rPr>
        <w:t xml:space="preserve"> anastomosis.</w:t>
      </w:r>
    </w:p>
    <w:p w14:paraId="5611E808" w14:textId="753F934B" w:rsidR="00EB5B4B" w:rsidRDefault="00EB5B4B" w:rsidP="00300949">
      <w:pPr>
        <w:spacing w:line="480" w:lineRule="auto"/>
        <w:ind w:right="-472"/>
        <w:rPr>
          <w:rFonts w:ascii="Times New Roman" w:hAnsi="Times New Roman" w:cs="Times New Roman"/>
          <w:sz w:val="20"/>
          <w:szCs w:val="20"/>
        </w:rPr>
      </w:pPr>
      <w:r>
        <w:rPr>
          <w:noProof/>
        </w:rPr>
        <w:lastRenderedPageBreak/>
        <w:drawing>
          <wp:inline distT="0" distB="0" distL="0" distR="0" wp14:anchorId="6875EAB0" wp14:editId="3F4AC155">
            <wp:extent cx="5949638" cy="2305050"/>
            <wp:effectExtent l="0" t="0" r="0" b="0"/>
            <wp:docPr id="105349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9873" cy="2309015"/>
                    </a:xfrm>
                    <a:prstGeom prst="rect">
                      <a:avLst/>
                    </a:prstGeom>
                    <a:noFill/>
                    <a:ln>
                      <a:noFill/>
                    </a:ln>
                  </pic:spPr>
                </pic:pic>
              </a:graphicData>
            </a:graphic>
          </wp:inline>
        </w:drawing>
      </w:r>
    </w:p>
    <w:p w14:paraId="382C38EF" w14:textId="77777777" w:rsidR="00EB5B4B" w:rsidRDefault="00EB5B4B" w:rsidP="00300949">
      <w:pPr>
        <w:spacing w:line="480" w:lineRule="auto"/>
        <w:ind w:right="-472"/>
        <w:rPr>
          <w:rFonts w:ascii="Times New Roman" w:hAnsi="Times New Roman" w:cs="Times New Roman"/>
          <w:sz w:val="20"/>
          <w:szCs w:val="20"/>
        </w:rPr>
      </w:pPr>
    </w:p>
    <w:p w14:paraId="598047DD" w14:textId="77777777" w:rsidR="00EB5B4B" w:rsidRDefault="00EB5B4B" w:rsidP="00300949">
      <w:pPr>
        <w:spacing w:line="480" w:lineRule="auto"/>
        <w:ind w:right="-472"/>
        <w:rPr>
          <w:rFonts w:ascii="Times New Roman" w:hAnsi="Times New Roman" w:cs="Times New Roman"/>
          <w:sz w:val="20"/>
          <w:szCs w:val="20"/>
        </w:rPr>
      </w:pPr>
    </w:p>
    <w:p w14:paraId="410DB06B" w14:textId="77777777" w:rsidR="00EB5B4B" w:rsidRDefault="00EB5B4B" w:rsidP="00300949">
      <w:pPr>
        <w:spacing w:line="480" w:lineRule="auto"/>
        <w:ind w:right="-472"/>
        <w:rPr>
          <w:rFonts w:ascii="Times New Roman" w:hAnsi="Times New Roman" w:cs="Times New Roman"/>
          <w:sz w:val="20"/>
          <w:szCs w:val="20"/>
        </w:rPr>
      </w:pPr>
    </w:p>
    <w:p w14:paraId="3B88714F" w14:textId="77777777" w:rsidR="00EB5B4B" w:rsidRDefault="00EB5B4B" w:rsidP="00300949">
      <w:pPr>
        <w:spacing w:line="480" w:lineRule="auto"/>
        <w:ind w:right="-472"/>
        <w:rPr>
          <w:rFonts w:ascii="Times New Roman" w:hAnsi="Times New Roman" w:cs="Times New Roman"/>
          <w:sz w:val="20"/>
          <w:szCs w:val="20"/>
        </w:rPr>
      </w:pPr>
    </w:p>
    <w:p w14:paraId="6514F0D2" w14:textId="77777777" w:rsidR="00EB5B4B" w:rsidRDefault="00EB5B4B" w:rsidP="00300949">
      <w:pPr>
        <w:spacing w:line="480" w:lineRule="auto"/>
        <w:ind w:right="-472"/>
        <w:rPr>
          <w:rFonts w:ascii="Times New Roman" w:hAnsi="Times New Roman" w:cs="Times New Roman"/>
          <w:sz w:val="20"/>
          <w:szCs w:val="20"/>
        </w:rPr>
      </w:pPr>
    </w:p>
    <w:p w14:paraId="74B252B9" w14:textId="77777777" w:rsidR="00EB5B4B" w:rsidRDefault="00EB5B4B" w:rsidP="00300949">
      <w:pPr>
        <w:spacing w:line="480" w:lineRule="auto"/>
        <w:ind w:right="-472"/>
        <w:rPr>
          <w:rFonts w:ascii="Times New Roman" w:hAnsi="Times New Roman" w:cs="Times New Roman"/>
          <w:sz w:val="20"/>
          <w:szCs w:val="20"/>
        </w:rPr>
      </w:pPr>
    </w:p>
    <w:p w14:paraId="546786C4" w14:textId="77777777" w:rsidR="00807434" w:rsidRPr="00146911" w:rsidRDefault="00807434" w:rsidP="00807434">
      <w:pPr>
        <w:spacing w:line="480" w:lineRule="auto"/>
        <w:rPr>
          <w:rFonts w:ascii="Times New Roman" w:hAnsi="Times New Roman" w:cs="Times New Roman"/>
          <w:sz w:val="20"/>
          <w:szCs w:val="20"/>
        </w:rPr>
      </w:pPr>
    </w:p>
    <w:p w14:paraId="22AA02FE" w14:textId="77777777" w:rsidR="00807434" w:rsidRPr="00146911" w:rsidRDefault="00807434" w:rsidP="00807434">
      <w:pPr>
        <w:spacing w:line="480" w:lineRule="auto"/>
        <w:rPr>
          <w:rFonts w:ascii="Times New Roman" w:hAnsi="Times New Roman" w:cs="Times New Roman"/>
          <w:sz w:val="20"/>
          <w:szCs w:val="20"/>
        </w:rPr>
      </w:pPr>
      <w:r w:rsidRPr="00146911">
        <w:rPr>
          <w:rFonts w:ascii="Times New Roman" w:hAnsi="Times New Roman" w:cs="Times New Roman"/>
          <w:sz w:val="20"/>
          <w:szCs w:val="20"/>
        </w:rPr>
        <w:t>Figure 3: (A) Intraoperative image demonstrating the duodenojejunal flexure located in the midline (black arrow). (B) Presence of Ladd’s bands crossing the duodenum and tethering to the right subhepatic region. (C) Prophylactic appendectomy performed as part of Ladd’s procedure. (D) Final orientation with the small bowel placed on the right and the large bowel on the left side of the abdomen.</w:t>
      </w:r>
    </w:p>
    <w:p w14:paraId="65B035B8" w14:textId="3FE3B2CD" w:rsidR="00EB5B4B" w:rsidRDefault="00EB5B4B" w:rsidP="00300949">
      <w:pPr>
        <w:spacing w:line="480" w:lineRule="auto"/>
        <w:ind w:right="-472"/>
        <w:rPr>
          <w:rFonts w:ascii="Times New Roman" w:hAnsi="Times New Roman" w:cs="Times New Roman"/>
          <w:sz w:val="20"/>
          <w:szCs w:val="20"/>
        </w:rPr>
      </w:pPr>
      <w:r>
        <w:rPr>
          <w:noProof/>
        </w:rPr>
        <w:lastRenderedPageBreak/>
        <w:drawing>
          <wp:inline distT="0" distB="0" distL="0" distR="0" wp14:anchorId="2C1AF518" wp14:editId="779FEE40">
            <wp:extent cx="5234710" cy="4146550"/>
            <wp:effectExtent l="0" t="0" r="4445" b="6350"/>
            <wp:docPr id="289582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1568" cy="4151982"/>
                    </a:xfrm>
                    <a:prstGeom prst="rect">
                      <a:avLst/>
                    </a:prstGeom>
                    <a:noFill/>
                    <a:ln>
                      <a:noFill/>
                    </a:ln>
                  </pic:spPr>
                </pic:pic>
              </a:graphicData>
            </a:graphic>
          </wp:inline>
        </w:drawing>
      </w:r>
    </w:p>
    <w:p w14:paraId="3C72F7CA" w14:textId="77777777" w:rsidR="00EB5B4B" w:rsidRPr="00146911" w:rsidRDefault="00EB5B4B" w:rsidP="00300949">
      <w:pPr>
        <w:spacing w:line="480" w:lineRule="auto"/>
        <w:ind w:right="-472"/>
        <w:rPr>
          <w:rFonts w:ascii="Times New Roman" w:hAnsi="Times New Roman" w:cs="Times New Roman"/>
          <w:sz w:val="20"/>
          <w:szCs w:val="20"/>
        </w:rPr>
      </w:pPr>
    </w:p>
    <w:sectPr w:rsidR="00EB5B4B" w:rsidRPr="0014691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97A1F" w14:textId="77777777" w:rsidR="003D6C60" w:rsidRDefault="003D6C60" w:rsidP="00B45734">
      <w:pPr>
        <w:spacing w:after="0" w:line="240" w:lineRule="auto"/>
      </w:pPr>
      <w:r>
        <w:separator/>
      </w:r>
    </w:p>
  </w:endnote>
  <w:endnote w:type="continuationSeparator" w:id="0">
    <w:p w14:paraId="25A3F817" w14:textId="77777777" w:rsidR="003D6C60" w:rsidRDefault="003D6C60" w:rsidP="00B45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DD4E" w14:textId="77777777" w:rsidR="00B45734" w:rsidRDefault="00B45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19789" w14:textId="77777777" w:rsidR="00B45734" w:rsidRDefault="00B457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1F1FD" w14:textId="77777777" w:rsidR="00B45734" w:rsidRDefault="00B45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F7AE5" w14:textId="77777777" w:rsidR="003D6C60" w:rsidRDefault="003D6C60" w:rsidP="00B45734">
      <w:pPr>
        <w:spacing w:after="0" w:line="240" w:lineRule="auto"/>
      </w:pPr>
      <w:r>
        <w:separator/>
      </w:r>
    </w:p>
  </w:footnote>
  <w:footnote w:type="continuationSeparator" w:id="0">
    <w:p w14:paraId="72375062" w14:textId="77777777" w:rsidR="003D6C60" w:rsidRDefault="003D6C60" w:rsidP="00B45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8513" w14:textId="04B44347" w:rsidR="00B45734" w:rsidRDefault="00B45734">
    <w:pPr>
      <w:pStyle w:val="Header"/>
    </w:pPr>
    <w:r>
      <w:rPr>
        <w:noProof/>
      </w:rPr>
      <w:pict w14:anchorId="36E83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064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0E747" w14:textId="54CED894" w:rsidR="00B45734" w:rsidRDefault="00B45734">
    <w:pPr>
      <w:pStyle w:val="Header"/>
    </w:pPr>
    <w:r>
      <w:rPr>
        <w:noProof/>
      </w:rPr>
      <w:pict w14:anchorId="60A5D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064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85EFF" w14:textId="6A27B600" w:rsidR="00B45734" w:rsidRDefault="00B45734">
    <w:pPr>
      <w:pStyle w:val="Header"/>
    </w:pPr>
    <w:r>
      <w:rPr>
        <w:noProof/>
      </w:rPr>
      <w:pict w14:anchorId="191C3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9064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C1089"/>
    <w:multiLevelType w:val="hybridMultilevel"/>
    <w:tmpl w:val="93B0555C"/>
    <w:lvl w:ilvl="0" w:tplc="4009000F">
      <w:start w:val="1"/>
      <w:numFmt w:val="decimal"/>
      <w:lvlText w:val="%1."/>
      <w:lvlJc w:val="left"/>
      <w:pPr>
        <w:ind w:left="-491" w:hanging="360"/>
      </w:pPr>
      <w:rPr>
        <w:rFonts w:hint="default"/>
      </w:rPr>
    </w:lvl>
    <w:lvl w:ilvl="1" w:tplc="FFFFFFFF" w:tentative="1">
      <w:start w:val="1"/>
      <w:numFmt w:val="bullet"/>
      <w:lvlText w:val="o"/>
      <w:lvlJc w:val="left"/>
      <w:pPr>
        <w:ind w:left="229" w:hanging="360"/>
      </w:pPr>
      <w:rPr>
        <w:rFonts w:ascii="Courier New" w:hAnsi="Courier New" w:cs="Courier New" w:hint="default"/>
      </w:rPr>
    </w:lvl>
    <w:lvl w:ilvl="2" w:tplc="FFFFFFFF" w:tentative="1">
      <w:start w:val="1"/>
      <w:numFmt w:val="bullet"/>
      <w:lvlText w:val=""/>
      <w:lvlJc w:val="left"/>
      <w:pPr>
        <w:ind w:left="949" w:hanging="360"/>
      </w:pPr>
      <w:rPr>
        <w:rFonts w:ascii="Wingdings" w:hAnsi="Wingdings" w:hint="default"/>
      </w:rPr>
    </w:lvl>
    <w:lvl w:ilvl="3" w:tplc="FFFFFFFF" w:tentative="1">
      <w:start w:val="1"/>
      <w:numFmt w:val="bullet"/>
      <w:lvlText w:val=""/>
      <w:lvlJc w:val="left"/>
      <w:pPr>
        <w:ind w:left="1669" w:hanging="360"/>
      </w:pPr>
      <w:rPr>
        <w:rFonts w:ascii="Symbol" w:hAnsi="Symbol" w:hint="default"/>
      </w:rPr>
    </w:lvl>
    <w:lvl w:ilvl="4" w:tplc="FFFFFFFF" w:tentative="1">
      <w:start w:val="1"/>
      <w:numFmt w:val="bullet"/>
      <w:lvlText w:val="o"/>
      <w:lvlJc w:val="left"/>
      <w:pPr>
        <w:ind w:left="2389" w:hanging="360"/>
      </w:pPr>
      <w:rPr>
        <w:rFonts w:ascii="Courier New" w:hAnsi="Courier New" w:cs="Courier New" w:hint="default"/>
      </w:rPr>
    </w:lvl>
    <w:lvl w:ilvl="5" w:tplc="FFFFFFFF" w:tentative="1">
      <w:start w:val="1"/>
      <w:numFmt w:val="bullet"/>
      <w:lvlText w:val=""/>
      <w:lvlJc w:val="left"/>
      <w:pPr>
        <w:ind w:left="3109" w:hanging="360"/>
      </w:pPr>
      <w:rPr>
        <w:rFonts w:ascii="Wingdings" w:hAnsi="Wingdings" w:hint="default"/>
      </w:rPr>
    </w:lvl>
    <w:lvl w:ilvl="6" w:tplc="FFFFFFFF" w:tentative="1">
      <w:start w:val="1"/>
      <w:numFmt w:val="bullet"/>
      <w:lvlText w:val=""/>
      <w:lvlJc w:val="left"/>
      <w:pPr>
        <w:ind w:left="3829" w:hanging="360"/>
      </w:pPr>
      <w:rPr>
        <w:rFonts w:ascii="Symbol" w:hAnsi="Symbol" w:hint="default"/>
      </w:rPr>
    </w:lvl>
    <w:lvl w:ilvl="7" w:tplc="FFFFFFFF" w:tentative="1">
      <w:start w:val="1"/>
      <w:numFmt w:val="bullet"/>
      <w:lvlText w:val="o"/>
      <w:lvlJc w:val="left"/>
      <w:pPr>
        <w:ind w:left="4549" w:hanging="360"/>
      </w:pPr>
      <w:rPr>
        <w:rFonts w:ascii="Courier New" w:hAnsi="Courier New" w:cs="Courier New" w:hint="default"/>
      </w:rPr>
    </w:lvl>
    <w:lvl w:ilvl="8" w:tplc="FFFFFFFF" w:tentative="1">
      <w:start w:val="1"/>
      <w:numFmt w:val="bullet"/>
      <w:lvlText w:val=""/>
      <w:lvlJc w:val="left"/>
      <w:pPr>
        <w:ind w:left="5269" w:hanging="360"/>
      </w:pPr>
      <w:rPr>
        <w:rFonts w:ascii="Wingdings" w:hAnsi="Wingdings" w:hint="default"/>
      </w:rPr>
    </w:lvl>
  </w:abstractNum>
  <w:abstractNum w:abstractNumId="1" w15:restartNumberingAfterBreak="0">
    <w:nsid w:val="5DDF72B6"/>
    <w:multiLevelType w:val="hybridMultilevel"/>
    <w:tmpl w:val="FEF00524"/>
    <w:lvl w:ilvl="0" w:tplc="94864FEA">
      <w:start w:val="1"/>
      <w:numFmt w:val="decimal"/>
      <w:lvlText w:val="%1."/>
      <w:lvlJc w:val="left"/>
      <w:pPr>
        <w:ind w:left="644" w:hanging="360"/>
      </w:pPr>
      <w:rPr>
        <w:rFonts w:ascii="Times New Roman" w:eastAsia="Book Antiqua"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24"/>
    <w:rsid w:val="00001BD3"/>
    <w:rsid w:val="00025778"/>
    <w:rsid w:val="00095BE1"/>
    <w:rsid w:val="000B0F63"/>
    <w:rsid w:val="000E4095"/>
    <w:rsid w:val="00107D06"/>
    <w:rsid w:val="00114F4C"/>
    <w:rsid w:val="00146911"/>
    <w:rsid w:val="00147076"/>
    <w:rsid w:val="001644B5"/>
    <w:rsid w:val="00167D55"/>
    <w:rsid w:val="00172E72"/>
    <w:rsid w:val="00174EA0"/>
    <w:rsid w:val="001D7E32"/>
    <w:rsid w:val="0021023C"/>
    <w:rsid w:val="00225AF8"/>
    <w:rsid w:val="002C752D"/>
    <w:rsid w:val="00300949"/>
    <w:rsid w:val="003238BA"/>
    <w:rsid w:val="00382C2E"/>
    <w:rsid w:val="003B4422"/>
    <w:rsid w:val="003D6C60"/>
    <w:rsid w:val="003E5A8B"/>
    <w:rsid w:val="00406463"/>
    <w:rsid w:val="0041649F"/>
    <w:rsid w:val="005B6625"/>
    <w:rsid w:val="005E0024"/>
    <w:rsid w:val="005E4E6B"/>
    <w:rsid w:val="0062468A"/>
    <w:rsid w:val="0063291D"/>
    <w:rsid w:val="00634F0E"/>
    <w:rsid w:val="006766F2"/>
    <w:rsid w:val="00681260"/>
    <w:rsid w:val="007118DF"/>
    <w:rsid w:val="00737FF1"/>
    <w:rsid w:val="0078186E"/>
    <w:rsid w:val="007936BB"/>
    <w:rsid w:val="00795F0D"/>
    <w:rsid w:val="007A5F2F"/>
    <w:rsid w:val="00806934"/>
    <w:rsid w:val="00807434"/>
    <w:rsid w:val="008C2057"/>
    <w:rsid w:val="008F59DE"/>
    <w:rsid w:val="008F74F4"/>
    <w:rsid w:val="00903ECF"/>
    <w:rsid w:val="00916DE9"/>
    <w:rsid w:val="009469E7"/>
    <w:rsid w:val="00953073"/>
    <w:rsid w:val="0098403F"/>
    <w:rsid w:val="00984245"/>
    <w:rsid w:val="00A101F0"/>
    <w:rsid w:val="00A40186"/>
    <w:rsid w:val="00A46D52"/>
    <w:rsid w:val="00A70B85"/>
    <w:rsid w:val="00AB3021"/>
    <w:rsid w:val="00AF0140"/>
    <w:rsid w:val="00B045B8"/>
    <w:rsid w:val="00B45734"/>
    <w:rsid w:val="00B627CE"/>
    <w:rsid w:val="00B65527"/>
    <w:rsid w:val="00B83901"/>
    <w:rsid w:val="00B87AAE"/>
    <w:rsid w:val="00B92948"/>
    <w:rsid w:val="00BA1463"/>
    <w:rsid w:val="00BA401D"/>
    <w:rsid w:val="00C22ED2"/>
    <w:rsid w:val="00C31EE4"/>
    <w:rsid w:val="00C525D4"/>
    <w:rsid w:val="00C64944"/>
    <w:rsid w:val="00C77AC9"/>
    <w:rsid w:val="00CD5E6E"/>
    <w:rsid w:val="00CD6194"/>
    <w:rsid w:val="00D01182"/>
    <w:rsid w:val="00D01FAD"/>
    <w:rsid w:val="00D34330"/>
    <w:rsid w:val="00D36BC4"/>
    <w:rsid w:val="00DD3B50"/>
    <w:rsid w:val="00E07F22"/>
    <w:rsid w:val="00E27B27"/>
    <w:rsid w:val="00E439C2"/>
    <w:rsid w:val="00E80B7F"/>
    <w:rsid w:val="00E9568B"/>
    <w:rsid w:val="00EB5B4B"/>
    <w:rsid w:val="00EC30E0"/>
    <w:rsid w:val="00F11365"/>
    <w:rsid w:val="00F57171"/>
    <w:rsid w:val="00F85337"/>
    <w:rsid w:val="00FF55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EA4B32"/>
  <w15:chartTrackingRefBased/>
  <w15:docId w15:val="{FEE5896F-52CD-4203-858A-4AA6AD6EE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45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45B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B045B8"/>
    <w:pPr>
      <w:spacing w:after="7" w:line="266" w:lineRule="auto"/>
      <w:ind w:left="720" w:hanging="10"/>
      <w:contextualSpacing/>
    </w:pPr>
    <w:rPr>
      <w:rFonts w:ascii="Book Antiqua" w:eastAsia="Book Antiqua" w:hAnsi="Book Antiqua" w:cs="Mangal"/>
      <w:color w:val="000000"/>
      <w:kern w:val="0"/>
      <w:lang w:eastAsia="en-IN" w:bidi="hi-IN"/>
      <w14:ligatures w14:val="none"/>
    </w:rPr>
  </w:style>
  <w:style w:type="character" w:styleId="Hyperlink">
    <w:name w:val="Hyperlink"/>
    <w:basedOn w:val="DefaultParagraphFont"/>
    <w:unhideWhenUsed/>
    <w:rsid w:val="00B045B8"/>
    <w:rPr>
      <w:color w:val="0563C1" w:themeColor="hyperlink"/>
      <w:u w:val="single"/>
    </w:rPr>
  </w:style>
  <w:style w:type="character" w:styleId="UnresolvedMention">
    <w:name w:val="Unresolved Mention"/>
    <w:basedOn w:val="DefaultParagraphFont"/>
    <w:uiPriority w:val="99"/>
    <w:semiHidden/>
    <w:unhideWhenUsed/>
    <w:rsid w:val="00B045B8"/>
    <w:rPr>
      <w:color w:val="605E5C"/>
      <w:shd w:val="clear" w:color="auto" w:fill="E1DFDD"/>
    </w:rPr>
  </w:style>
  <w:style w:type="paragraph" w:styleId="Bibliography">
    <w:name w:val="Bibliography"/>
    <w:basedOn w:val="Normal"/>
    <w:next w:val="Normal"/>
    <w:uiPriority w:val="37"/>
    <w:semiHidden/>
    <w:unhideWhenUsed/>
    <w:rsid w:val="008F59DE"/>
  </w:style>
  <w:style w:type="paragraph" w:styleId="Header">
    <w:name w:val="header"/>
    <w:basedOn w:val="Normal"/>
    <w:link w:val="HeaderChar"/>
    <w:uiPriority w:val="99"/>
    <w:unhideWhenUsed/>
    <w:rsid w:val="00B45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734"/>
  </w:style>
  <w:style w:type="paragraph" w:styleId="Footer">
    <w:name w:val="footer"/>
    <w:basedOn w:val="Normal"/>
    <w:link w:val="FooterChar"/>
    <w:uiPriority w:val="99"/>
    <w:unhideWhenUsed/>
    <w:rsid w:val="00B45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7</Pages>
  <Words>5124</Words>
  <Characters>29209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only4bijit@gmail.com</dc:creator>
  <cp:keywords/>
  <dc:description/>
  <cp:lastModifiedBy>SDI 1084</cp:lastModifiedBy>
  <cp:revision>63</cp:revision>
  <dcterms:created xsi:type="dcterms:W3CDTF">2025-01-14T17:06:00Z</dcterms:created>
  <dcterms:modified xsi:type="dcterms:W3CDTF">2025-11-04T11:39:00Z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9f8ca1aef69ad63565f84f5653514b2cebca9f9382a16bf5188747e9e45688e4</vt:lpwstr>
  </property>
</Properties>
</file>