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F4D4" w14:textId="77777777" w:rsidR="005372E5" w:rsidRDefault="006B022B">
      <w:pPr>
        <w:pStyle w:val="Heading1"/>
        <w:spacing w:line="360" w:lineRule="auto"/>
        <w:jc w:val="center"/>
        <w:rPr>
          <w:rFonts w:ascii="Times New Roman" w:hAnsi="Times New Roman"/>
          <w:color w:val="auto"/>
          <w:sz w:val="24"/>
          <w:szCs w:val="24"/>
        </w:rPr>
      </w:pPr>
      <w:r w:rsidRPr="00AF4D6F">
        <w:rPr>
          <w:rFonts w:ascii="Times New Roman" w:hAnsi="Times New Roman"/>
          <w:color w:val="auto"/>
          <w:sz w:val="24"/>
          <w:szCs w:val="24"/>
        </w:rPr>
        <w:t xml:space="preserve">Optimization of Cellulase Production by </w:t>
      </w:r>
      <w:proofErr w:type="spellStart"/>
      <w:r w:rsidRPr="00AF4D6F">
        <w:rPr>
          <w:rFonts w:ascii="Times New Roman" w:hAnsi="Times New Roman"/>
          <w:i/>
          <w:iCs/>
          <w:color w:val="auto"/>
          <w:sz w:val="24"/>
          <w:szCs w:val="24"/>
        </w:rPr>
        <w:t>Daldinia</w:t>
      </w:r>
      <w:proofErr w:type="spellEnd"/>
      <w:r w:rsidRPr="00AF4D6F">
        <w:rPr>
          <w:rFonts w:ascii="Times New Roman" w:hAnsi="Times New Roman"/>
          <w:i/>
          <w:iCs/>
          <w:color w:val="auto"/>
          <w:sz w:val="24"/>
          <w:szCs w:val="24"/>
        </w:rPr>
        <w:t xml:space="preserve"> </w:t>
      </w:r>
      <w:proofErr w:type="spellStart"/>
      <w:r w:rsidRPr="00AF4D6F">
        <w:rPr>
          <w:rFonts w:ascii="Times New Roman" w:hAnsi="Times New Roman"/>
          <w:i/>
          <w:iCs/>
          <w:color w:val="auto"/>
          <w:sz w:val="24"/>
          <w:szCs w:val="24"/>
        </w:rPr>
        <w:t>concentrica</w:t>
      </w:r>
      <w:proofErr w:type="spellEnd"/>
      <w:r w:rsidRPr="00AF4D6F">
        <w:rPr>
          <w:rFonts w:ascii="Times New Roman" w:hAnsi="Times New Roman"/>
          <w:color w:val="auto"/>
          <w:sz w:val="24"/>
          <w:szCs w:val="24"/>
        </w:rPr>
        <w:t xml:space="preserve"> through Variation of Incubation Time and Lignocellulosic Substrate under Solid-State Fermentation</w:t>
      </w:r>
    </w:p>
    <w:p w14:paraId="0CCDC43D" w14:textId="77777777" w:rsidR="001B249C" w:rsidRDefault="001B249C" w:rsidP="001B249C"/>
    <w:p w14:paraId="479C2F35" w14:textId="77777777" w:rsidR="008619BC" w:rsidRDefault="008619BC" w:rsidP="001B249C"/>
    <w:p w14:paraId="23CBB119" w14:textId="77777777" w:rsidR="008619BC" w:rsidRDefault="008619BC" w:rsidP="001B249C"/>
    <w:p w14:paraId="6C972323" w14:textId="77777777" w:rsidR="008619BC" w:rsidRPr="001B249C" w:rsidRDefault="008619BC" w:rsidP="001B249C"/>
    <w:p w14:paraId="44863C3D" w14:textId="77777777" w:rsidR="005372E5" w:rsidRPr="00AF4D6F" w:rsidRDefault="006B022B">
      <w:pPr>
        <w:pStyle w:val="Heading1"/>
        <w:spacing w:line="360" w:lineRule="auto"/>
        <w:jc w:val="both"/>
        <w:rPr>
          <w:rFonts w:ascii="Times New Roman" w:hAnsi="Times New Roman"/>
          <w:color w:val="auto"/>
          <w:sz w:val="24"/>
          <w:szCs w:val="24"/>
        </w:rPr>
      </w:pPr>
      <w:r w:rsidRPr="00AF4D6F">
        <w:rPr>
          <w:rFonts w:ascii="Times New Roman" w:hAnsi="Times New Roman"/>
          <w:color w:val="auto"/>
          <w:sz w:val="24"/>
          <w:szCs w:val="24"/>
        </w:rPr>
        <w:t>Abstract</w:t>
      </w:r>
    </w:p>
    <w:p w14:paraId="640D0C8A" w14:textId="155BA350"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 xml:space="preserve">Most agro-industrial residues, such as sugarcane bagasse, rice husks, and eucalyptus sawdust, are underutilized despite their potential as abundant sources of cellulose. Fungal species are excellent producers of cellulases that hydrolyze cellulose into fermentable sugars for various industrial applications. This study optimized cellulase production by </w:t>
      </w:r>
      <w:proofErr w:type="spellStart"/>
      <w:r w:rsidRPr="00AF4D6F">
        <w:rPr>
          <w:rFonts w:ascii="Times New Roman" w:hAnsi="Times New Roman"/>
          <w:i/>
          <w:iCs/>
          <w:sz w:val="24"/>
          <w:szCs w:val="24"/>
        </w:rPr>
        <w:t>Daldinia</w:t>
      </w:r>
      <w:proofErr w:type="spellEnd"/>
      <w:r w:rsidRPr="00AF4D6F">
        <w:rPr>
          <w:rFonts w:ascii="Times New Roman" w:hAnsi="Times New Roman"/>
          <w:i/>
          <w:iCs/>
          <w:sz w:val="24"/>
          <w:szCs w:val="24"/>
        </w:rPr>
        <w:t xml:space="preserve"> </w:t>
      </w:r>
      <w:proofErr w:type="spellStart"/>
      <w:r w:rsidRPr="00AF4D6F">
        <w:rPr>
          <w:rFonts w:ascii="Times New Roman" w:hAnsi="Times New Roman"/>
          <w:i/>
          <w:iCs/>
          <w:sz w:val="24"/>
          <w:szCs w:val="24"/>
        </w:rPr>
        <w:t>concentrica</w:t>
      </w:r>
      <w:proofErr w:type="spellEnd"/>
      <w:r w:rsidRPr="00AF4D6F">
        <w:rPr>
          <w:rFonts w:ascii="Times New Roman" w:hAnsi="Times New Roman"/>
          <w:sz w:val="24"/>
          <w:szCs w:val="24"/>
        </w:rPr>
        <w:t xml:space="preserve"> through variation of incubation time and lignocellulosic substrates under solid-state fermentation (SSF). The fungal culture, previously confirmed as </w:t>
      </w:r>
      <w:proofErr w:type="spellStart"/>
      <w:r w:rsidRPr="00AF4D6F">
        <w:rPr>
          <w:rFonts w:ascii="Times New Roman" w:hAnsi="Times New Roman"/>
          <w:i/>
          <w:iCs/>
          <w:sz w:val="24"/>
          <w:szCs w:val="24"/>
        </w:rPr>
        <w:t>Daldinia</w:t>
      </w:r>
      <w:proofErr w:type="spellEnd"/>
      <w:r w:rsidRPr="00AF4D6F">
        <w:rPr>
          <w:rFonts w:ascii="Times New Roman" w:hAnsi="Times New Roman"/>
          <w:i/>
          <w:iCs/>
          <w:sz w:val="24"/>
          <w:szCs w:val="24"/>
        </w:rPr>
        <w:t xml:space="preserve"> </w:t>
      </w:r>
      <w:proofErr w:type="spellStart"/>
      <w:r w:rsidRPr="00AF4D6F">
        <w:rPr>
          <w:rFonts w:ascii="Times New Roman" w:hAnsi="Times New Roman"/>
          <w:i/>
          <w:iCs/>
          <w:sz w:val="24"/>
          <w:szCs w:val="24"/>
        </w:rPr>
        <w:t>concentrica</w:t>
      </w:r>
      <w:proofErr w:type="spellEnd"/>
      <w:r w:rsidRPr="00AF4D6F">
        <w:rPr>
          <w:rFonts w:ascii="Times New Roman" w:hAnsi="Times New Roman"/>
          <w:sz w:val="24"/>
          <w:szCs w:val="24"/>
        </w:rPr>
        <w:t>, was cultured on untreated sugarcane bagasse, rice husks, and eucalyptus sawdust using Bushnell Haas medium as a moisture source. Enzyme activities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endoglucanase, and </w:t>
      </w:r>
      <w:proofErr w:type="spellStart"/>
      <w:r w:rsidRPr="00AF4D6F">
        <w:rPr>
          <w:rFonts w:ascii="Times New Roman" w:hAnsi="Times New Roman"/>
          <w:sz w:val="24"/>
          <w:szCs w:val="24"/>
        </w:rPr>
        <w:t>exoglucanase</w:t>
      </w:r>
      <w:proofErr w:type="spellEnd"/>
      <w:r w:rsidRPr="00AF4D6F">
        <w:rPr>
          <w:rFonts w:ascii="Times New Roman" w:hAnsi="Times New Roman"/>
          <w:sz w:val="24"/>
          <w:szCs w:val="24"/>
        </w:rPr>
        <w:t xml:space="preserve">) were measured every two days for ten days. Statistical analysis using one-way ANOVA (R v4.5.0) and Tukey’s post hoc test (p ≤ 0.05) revealed significant effects of both substrate type and incubation period on enzyme yield. The results showed maximum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activity (2.41 ± 0.08 IU/mL) on rice husks at day 6, highest endoglucanase (4.77 ± 0.11 IU/mL) on sugarcane bagasse at day 8, and peak </w:t>
      </w:r>
      <w:proofErr w:type="spellStart"/>
      <w:r w:rsidRPr="00AF4D6F">
        <w:rPr>
          <w:rFonts w:ascii="Times New Roman" w:hAnsi="Times New Roman"/>
          <w:sz w:val="24"/>
          <w:szCs w:val="24"/>
        </w:rPr>
        <w:t>exoglucanase</w:t>
      </w:r>
      <w:proofErr w:type="spellEnd"/>
      <w:r w:rsidRPr="00AF4D6F">
        <w:rPr>
          <w:rFonts w:ascii="Times New Roman" w:hAnsi="Times New Roman"/>
          <w:sz w:val="24"/>
          <w:szCs w:val="24"/>
        </w:rPr>
        <w:t xml:space="preserve"> (1.43 ± 0.04 IU/mL) on eucalyptus sawdust at day 8. These findings suggest that </w:t>
      </w:r>
      <w:proofErr w:type="spellStart"/>
      <w:r w:rsidRPr="00AF4D6F">
        <w:rPr>
          <w:rFonts w:ascii="Times New Roman" w:hAnsi="Times New Roman"/>
          <w:i/>
          <w:iCs/>
          <w:sz w:val="24"/>
          <w:szCs w:val="24"/>
        </w:rPr>
        <w:t>Daldinia</w:t>
      </w:r>
      <w:proofErr w:type="spellEnd"/>
      <w:r w:rsidRPr="00AF4D6F">
        <w:rPr>
          <w:rFonts w:ascii="Times New Roman" w:hAnsi="Times New Roman"/>
          <w:i/>
          <w:iCs/>
          <w:sz w:val="24"/>
          <w:szCs w:val="24"/>
        </w:rPr>
        <w:t xml:space="preserve"> </w:t>
      </w:r>
      <w:proofErr w:type="spellStart"/>
      <w:r w:rsidRPr="00AF4D6F">
        <w:rPr>
          <w:rFonts w:ascii="Times New Roman" w:hAnsi="Times New Roman"/>
          <w:i/>
          <w:iCs/>
          <w:sz w:val="24"/>
          <w:szCs w:val="24"/>
        </w:rPr>
        <w:t>concentrica</w:t>
      </w:r>
      <w:proofErr w:type="spellEnd"/>
      <w:r w:rsidRPr="00AF4D6F">
        <w:rPr>
          <w:rFonts w:ascii="Times New Roman" w:hAnsi="Times New Roman"/>
          <w:i/>
          <w:iCs/>
          <w:sz w:val="24"/>
          <w:szCs w:val="24"/>
        </w:rPr>
        <w:t xml:space="preserve"> </w:t>
      </w:r>
      <w:r w:rsidRPr="00AF4D6F">
        <w:rPr>
          <w:rFonts w:ascii="Times New Roman" w:hAnsi="Times New Roman"/>
          <w:sz w:val="24"/>
          <w:szCs w:val="24"/>
        </w:rPr>
        <w:t xml:space="preserve">is a promising cellulase producer, and scaling up could offer a cost-effective approach for </w:t>
      </w:r>
      <w:proofErr w:type="spellStart"/>
      <w:r w:rsidRPr="00AF4D6F">
        <w:rPr>
          <w:rFonts w:ascii="Times New Roman" w:hAnsi="Times New Roman"/>
          <w:sz w:val="24"/>
          <w:szCs w:val="24"/>
        </w:rPr>
        <w:t>agro</w:t>
      </w:r>
      <w:proofErr w:type="spellEnd"/>
      <w:r w:rsidRPr="00AF4D6F">
        <w:rPr>
          <w:rFonts w:ascii="Times New Roman" w:hAnsi="Times New Roman"/>
          <w:sz w:val="24"/>
          <w:szCs w:val="24"/>
        </w:rPr>
        <w:t>-waste valorization.</w:t>
      </w:r>
    </w:p>
    <w:p w14:paraId="63A6FFD8" w14:textId="3B7B28DD" w:rsidR="005372E5" w:rsidRPr="00AF4D6F" w:rsidRDefault="006B022B">
      <w:pPr>
        <w:jc w:val="both"/>
        <w:rPr>
          <w:rFonts w:ascii="Times New Roman" w:hAnsi="Times New Roman"/>
          <w:sz w:val="24"/>
          <w:szCs w:val="24"/>
        </w:rPr>
      </w:pPr>
      <w:r w:rsidRPr="00AF4D6F">
        <w:rPr>
          <w:rFonts w:ascii="Times New Roman" w:hAnsi="Times New Roman"/>
          <w:b/>
          <w:bCs/>
          <w:sz w:val="24"/>
          <w:szCs w:val="24"/>
        </w:rPr>
        <w:t>Keywords:</w:t>
      </w:r>
      <w:r w:rsidRPr="00AF4D6F">
        <w:rPr>
          <w:rFonts w:ascii="Times New Roman" w:hAnsi="Times New Roman"/>
          <w:sz w:val="24"/>
          <w:szCs w:val="24"/>
        </w:rPr>
        <w:t xml:space="preserve"> </w:t>
      </w:r>
      <w:r w:rsidR="00AF4D6F" w:rsidRPr="00AF4D6F">
        <w:rPr>
          <w:rFonts w:ascii="Times New Roman" w:hAnsi="Times New Roman"/>
          <w:sz w:val="24"/>
          <w:szCs w:val="24"/>
        </w:rPr>
        <w:t>Filamentous fungi, plant residues</w:t>
      </w:r>
      <w:r w:rsidRPr="00AF4D6F">
        <w:rPr>
          <w:rFonts w:ascii="Times New Roman" w:hAnsi="Times New Roman"/>
          <w:sz w:val="24"/>
          <w:szCs w:val="24"/>
        </w:rPr>
        <w:t xml:space="preserve">, </w:t>
      </w:r>
      <w:r w:rsidR="00AF4D6F" w:rsidRPr="00AF4D6F">
        <w:rPr>
          <w:rFonts w:ascii="Times New Roman" w:hAnsi="Times New Roman"/>
          <w:sz w:val="24"/>
          <w:szCs w:val="24"/>
        </w:rPr>
        <w:t xml:space="preserve">solid-state fermentation </w:t>
      </w:r>
      <w:r w:rsidRPr="00AF4D6F">
        <w:rPr>
          <w:rFonts w:ascii="Times New Roman" w:hAnsi="Times New Roman"/>
          <w:sz w:val="24"/>
          <w:szCs w:val="24"/>
        </w:rPr>
        <w:t xml:space="preserve">cellulases, </w:t>
      </w:r>
      <w:r w:rsidR="00AF4D6F" w:rsidRPr="00AF4D6F">
        <w:rPr>
          <w:rFonts w:ascii="Times New Roman" w:hAnsi="Times New Roman"/>
          <w:sz w:val="24"/>
          <w:szCs w:val="24"/>
        </w:rPr>
        <w:t>sustainability</w:t>
      </w:r>
    </w:p>
    <w:p w14:paraId="7C453FB3" w14:textId="7229134A" w:rsidR="005372E5" w:rsidRPr="00AF4D6F" w:rsidRDefault="006B022B">
      <w:pPr>
        <w:pStyle w:val="Heading1"/>
        <w:spacing w:line="360" w:lineRule="auto"/>
        <w:jc w:val="both"/>
        <w:rPr>
          <w:rFonts w:ascii="Times New Roman" w:hAnsi="Times New Roman"/>
          <w:color w:val="auto"/>
          <w:sz w:val="24"/>
          <w:szCs w:val="24"/>
        </w:rPr>
      </w:pPr>
      <w:r w:rsidRPr="00AF4D6F">
        <w:rPr>
          <w:rFonts w:ascii="Times New Roman" w:hAnsi="Times New Roman"/>
          <w:color w:val="auto"/>
          <w:sz w:val="24"/>
          <w:szCs w:val="24"/>
        </w:rPr>
        <w:t>1. Introduction</w:t>
      </w:r>
    </w:p>
    <w:p w14:paraId="07A9C2E5"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Lignocellulosic biomass, comprising cellulose, hemicellulose, and lignin, represents one of the most abundant renewable resources worldwide (</w:t>
      </w:r>
      <w:proofErr w:type="spellStart"/>
      <w:r w:rsidRPr="00AF4D6F">
        <w:rPr>
          <w:rFonts w:ascii="Times New Roman" w:hAnsi="Times New Roman"/>
          <w:sz w:val="24"/>
          <w:szCs w:val="24"/>
        </w:rPr>
        <w:t>Kadoguchi</w:t>
      </w:r>
      <w:proofErr w:type="spellEnd"/>
      <w:r w:rsidRPr="00AF4D6F">
        <w:rPr>
          <w:rFonts w:ascii="Times New Roman" w:hAnsi="Times New Roman"/>
          <w:sz w:val="24"/>
          <w:szCs w:val="24"/>
        </w:rPr>
        <w:t xml:space="preserve"> </w:t>
      </w:r>
      <w:r w:rsidRPr="00AF4D6F">
        <w:rPr>
          <w:rFonts w:ascii="Times New Roman" w:hAnsi="Times New Roman"/>
          <w:i/>
          <w:iCs/>
          <w:sz w:val="24"/>
          <w:szCs w:val="24"/>
        </w:rPr>
        <w:t>et al.,</w:t>
      </w:r>
      <w:r w:rsidRPr="00AF4D6F">
        <w:rPr>
          <w:rFonts w:ascii="Times New Roman" w:hAnsi="Times New Roman"/>
          <w:sz w:val="24"/>
          <w:szCs w:val="24"/>
        </w:rPr>
        <w:t xml:space="preserve"> 2024). </w:t>
      </w:r>
      <w:r w:rsidRPr="00AF4D6F">
        <w:rPr>
          <w:rFonts w:ascii="Times New Roman" w:hAnsi="Times New Roman"/>
          <w:sz w:val="24"/>
          <w:szCs w:val="24"/>
          <w:shd w:val="clear" w:color="auto" w:fill="FFFFFF"/>
        </w:rPr>
        <w:t xml:space="preserve">According to recent statistics, nearly 180 billion </w:t>
      </w:r>
      <w:proofErr w:type="spellStart"/>
      <w:r w:rsidRPr="00AF4D6F">
        <w:rPr>
          <w:rFonts w:ascii="Times New Roman" w:hAnsi="Times New Roman"/>
          <w:sz w:val="24"/>
          <w:szCs w:val="24"/>
          <w:shd w:val="clear" w:color="auto" w:fill="FFFFFF"/>
        </w:rPr>
        <w:t>tonnes</w:t>
      </w:r>
      <w:proofErr w:type="spellEnd"/>
      <w:r w:rsidRPr="00AF4D6F">
        <w:rPr>
          <w:rFonts w:ascii="Times New Roman" w:hAnsi="Times New Roman"/>
          <w:sz w:val="24"/>
          <w:szCs w:val="24"/>
          <w:shd w:val="clear" w:color="auto" w:fill="FFFFFF"/>
        </w:rPr>
        <w:t xml:space="preserve"> of lignocellulosic materials are produced worldwide each year, but only 8.3 billion </w:t>
      </w:r>
      <w:proofErr w:type="spellStart"/>
      <w:r w:rsidRPr="00AF4D6F">
        <w:rPr>
          <w:rFonts w:ascii="Times New Roman" w:hAnsi="Times New Roman"/>
          <w:sz w:val="24"/>
          <w:szCs w:val="24"/>
          <w:shd w:val="clear" w:color="auto" w:fill="FFFFFF"/>
        </w:rPr>
        <w:t>tonnes</w:t>
      </w:r>
      <w:proofErr w:type="spellEnd"/>
      <w:r w:rsidRPr="00AF4D6F">
        <w:rPr>
          <w:rFonts w:ascii="Times New Roman" w:hAnsi="Times New Roman"/>
          <w:sz w:val="24"/>
          <w:szCs w:val="24"/>
          <w:shd w:val="clear" w:color="auto" w:fill="FFFFFF"/>
        </w:rPr>
        <w:t xml:space="preserve"> of this material are actually used across various applications. </w:t>
      </w:r>
      <w:r w:rsidRPr="00AF4D6F">
        <w:rPr>
          <w:rFonts w:ascii="Times New Roman" w:hAnsi="Times New Roman"/>
          <w:sz w:val="24"/>
          <w:szCs w:val="24"/>
        </w:rPr>
        <w:t xml:space="preserve">For instance, sugarcane production alone contributes nearly 280 million </w:t>
      </w:r>
      <w:proofErr w:type="spellStart"/>
      <w:r w:rsidRPr="00AF4D6F">
        <w:rPr>
          <w:rFonts w:ascii="Times New Roman" w:hAnsi="Times New Roman"/>
          <w:sz w:val="24"/>
          <w:szCs w:val="24"/>
        </w:rPr>
        <w:t>tonnes</w:t>
      </w:r>
      <w:proofErr w:type="spellEnd"/>
      <w:r w:rsidRPr="00AF4D6F">
        <w:rPr>
          <w:rFonts w:ascii="Times New Roman" w:hAnsi="Times New Roman"/>
          <w:sz w:val="24"/>
          <w:szCs w:val="24"/>
        </w:rPr>
        <w:t xml:space="preserve"> of bagasse each year (Ungureanu </w:t>
      </w:r>
      <w:r w:rsidRPr="00AF4D6F">
        <w:rPr>
          <w:rFonts w:ascii="Times New Roman" w:hAnsi="Times New Roman"/>
          <w:i/>
          <w:iCs/>
          <w:sz w:val="24"/>
          <w:szCs w:val="24"/>
        </w:rPr>
        <w:t>et al.,</w:t>
      </w:r>
      <w:r w:rsidRPr="00AF4D6F">
        <w:rPr>
          <w:rFonts w:ascii="Times New Roman" w:hAnsi="Times New Roman"/>
          <w:sz w:val="24"/>
          <w:szCs w:val="24"/>
        </w:rPr>
        <w:t xml:space="preserve"> 2022). In Kenya, agro-industrial residues such as rice husks, sugarcane bagasse, and eucalyptus sawdust accumulate in large quantities, contributing significantly to waste generation and posing serious environmental disposal challenges (</w:t>
      </w:r>
      <w:proofErr w:type="spellStart"/>
      <w:r w:rsidRPr="00AF4D6F">
        <w:rPr>
          <w:rFonts w:ascii="Times New Roman" w:hAnsi="Times New Roman"/>
          <w:sz w:val="24"/>
          <w:szCs w:val="24"/>
        </w:rPr>
        <w:t>InfoNile</w:t>
      </w:r>
      <w:proofErr w:type="spellEnd"/>
      <w:r w:rsidRPr="00AF4D6F">
        <w:rPr>
          <w:rFonts w:ascii="Times New Roman" w:hAnsi="Times New Roman"/>
          <w:sz w:val="24"/>
          <w:szCs w:val="24"/>
        </w:rPr>
        <w:t xml:space="preserve">, 2022; Kenya Biochar </w:t>
      </w:r>
      <w:r w:rsidRPr="00AF4D6F">
        <w:rPr>
          <w:rFonts w:ascii="Times New Roman" w:hAnsi="Times New Roman"/>
          <w:sz w:val="24"/>
          <w:szCs w:val="24"/>
        </w:rPr>
        <w:lastRenderedPageBreak/>
        <w:t xml:space="preserve">Initiative, 2023; Kirinyaga County Government, 2022; Naher </w:t>
      </w:r>
      <w:r w:rsidRPr="00AF4D6F">
        <w:rPr>
          <w:rFonts w:ascii="Times New Roman" w:hAnsi="Times New Roman"/>
          <w:i/>
          <w:iCs/>
          <w:sz w:val="24"/>
          <w:szCs w:val="24"/>
        </w:rPr>
        <w:t>et al</w:t>
      </w:r>
      <w:r w:rsidRPr="00AF4D6F">
        <w:rPr>
          <w:rFonts w:ascii="Times New Roman" w:hAnsi="Times New Roman"/>
          <w:sz w:val="24"/>
          <w:szCs w:val="24"/>
        </w:rPr>
        <w:t xml:space="preserve">., 2021; </w:t>
      </w:r>
      <w:proofErr w:type="spellStart"/>
      <w:r w:rsidRPr="00AF4D6F">
        <w:rPr>
          <w:rFonts w:ascii="Times New Roman" w:hAnsi="Times New Roman"/>
          <w:sz w:val="24"/>
          <w:szCs w:val="24"/>
        </w:rPr>
        <w:t>Bokinsky</w:t>
      </w:r>
      <w:proofErr w:type="spellEnd"/>
      <w:r w:rsidRPr="00AF4D6F">
        <w:rPr>
          <w:rFonts w:ascii="Times New Roman" w:hAnsi="Times New Roman"/>
          <w:sz w:val="24"/>
          <w:szCs w:val="24"/>
        </w:rPr>
        <w:t xml:space="preserve"> </w:t>
      </w:r>
      <w:r w:rsidRPr="00AF4D6F">
        <w:rPr>
          <w:rFonts w:ascii="Times New Roman" w:hAnsi="Times New Roman"/>
          <w:i/>
          <w:iCs/>
          <w:sz w:val="24"/>
          <w:szCs w:val="24"/>
        </w:rPr>
        <w:t>et al</w:t>
      </w:r>
      <w:r w:rsidRPr="00AF4D6F">
        <w:rPr>
          <w:rFonts w:ascii="Times New Roman" w:hAnsi="Times New Roman"/>
          <w:sz w:val="24"/>
          <w:szCs w:val="24"/>
        </w:rPr>
        <w:t xml:space="preserve">., 2011). Rice milling alone produces approximately 26% husk by weight of paddy, translating to over 8,000 </w:t>
      </w:r>
      <w:proofErr w:type="spellStart"/>
      <w:r w:rsidRPr="00AF4D6F">
        <w:rPr>
          <w:rFonts w:ascii="Times New Roman" w:hAnsi="Times New Roman"/>
          <w:sz w:val="24"/>
          <w:szCs w:val="24"/>
        </w:rPr>
        <w:t>tonnes</w:t>
      </w:r>
      <w:proofErr w:type="spellEnd"/>
      <w:r w:rsidRPr="00AF4D6F">
        <w:rPr>
          <w:rFonts w:ascii="Times New Roman" w:hAnsi="Times New Roman"/>
          <w:sz w:val="24"/>
          <w:szCs w:val="24"/>
        </w:rPr>
        <w:t xml:space="preserve"> annually in Kirinyaga County (David, 2019). However, most of these residues remain underutilized despite their high potential as feedstocks for bioenergy and bioproduct generation.</w:t>
      </w:r>
    </w:p>
    <w:p w14:paraId="16A69141"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Enzymatic hydrolysis of such residues into fermentable sugars offers pathways to biofuels, biochemicals, and value-added products (</w:t>
      </w:r>
      <w:proofErr w:type="spellStart"/>
      <w:r w:rsidRPr="00AF4D6F">
        <w:rPr>
          <w:rFonts w:ascii="Times New Roman" w:hAnsi="Times New Roman"/>
          <w:sz w:val="24"/>
          <w:szCs w:val="24"/>
        </w:rPr>
        <w:t>Korsa</w:t>
      </w:r>
      <w:proofErr w:type="spellEnd"/>
      <w:r w:rsidRPr="00AF4D6F">
        <w:rPr>
          <w:rFonts w:ascii="Times New Roman" w:hAnsi="Times New Roman"/>
          <w:sz w:val="24"/>
          <w:szCs w:val="24"/>
        </w:rPr>
        <w:t xml:space="preserve"> </w:t>
      </w:r>
      <w:r w:rsidRPr="00AF4D6F">
        <w:rPr>
          <w:rFonts w:ascii="Times New Roman" w:hAnsi="Times New Roman"/>
          <w:i/>
          <w:iCs/>
          <w:sz w:val="24"/>
          <w:szCs w:val="24"/>
        </w:rPr>
        <w:t>et al</w:t>
      </w:r>
      <w:r w:rsidRPr="00AF4D6F">
        <w:rPr>
          <w:rFonts w:ascii="Times New Roman" w:hAnsi="Times New Roman"/>
          <w:sz w:val="24"/>
          <w:szCs w:val="24"/>
        </w:rPr>
        <w:t xml:space="preserve">., 2023; Sikiru </w:t>
      </w:r>
      <w:r w:rsidRPr="00AF4D6F">
        <w:rPr>
          <w:rFonts w:ascii="Times New Roman" w:hAnsi="Times New Roman"/>
          <w:i/>
          <w:iCs/>
          <w:sz w:val="24"/>
          <w:szCs w:val="24"/>
        </w:rPr>
        <w:t>et al.,</w:t>
      </w:r>
      <w:r w:rsidRPr="00AF4D6F">
        <w:rPr>
          <w:rFonts w:ascii="Times New Roman" w:hAnsi="Times New Roman"/>
          <w:sz w:val="24"/>
          <w:szCs w:val="24"/>
        </w:rPr>
        <w:t xml:space="preserve"> 2024). However, the high cost and inefficiencies of cellulase production remain major bottlenecks (</w:t>
      </w:r>
      <w:proofErr w:type="spellStart"/>
      <w:r w:rsidRPr="00AF4D6F">
        <w:rPr>
          <w:rFonts w:ascii="Times New Roman" w:hAnsi="Times New Roman"/>
          <w:sz w:val="24"/>
          <w:szCs w:val="24"/>
        </w:rPr>
        <w:t>Kadoguchi</w:t>
      </w:r>
      <w:proofErr w:type="spellEnd"/>
      <w:r w:rsidRPr="00AF4D6F">
        <w:rPr>
          <w:rFonts w:ascii="Times New Roman" w:hAnsi="Times New Roman"/>
          <w:sz w:val="24"/>
          <w:szCs w:val="24"/>
        </w:rPr>
        <w:t xml:space="preserve"> </w:t>
      </w:r>
      <w:r w:rsidRPr="00AF4D6F">
        <w:rPr>
          <w:rFonts w:ascii="Times New Roman" w:hAnsi="Times New Roman"/>
          <w:i/>
          <w:iCs/>
          <w:sz w:val="24"/>
          <w:szCs w:val="24"/>
        </w:rPr>
        <w:t>et al</w:t>
      </w:r>
      <w:r w:rsidRPr="00AF4D6F">
        <w:rPr>
          <w:rFonts w:ascii="Times New Roman" w:hAnsi="Times New Roman"/>
          <w:sz w:val="24"/>
          <w:szCs w:val="24"/>
        </w:rPr>
        <w:t xml:space="preserve">., 2024; </w:t>
      </w:r>
      <w:proofErr w:type="spellStart"/>
      <w:r w:rsidRPr="00AF4D6F">
        <w:rPr>
          <w:rFonts w:ascii="Times New Roman" w:hAnsi="Times New Roman"/>
          <w:sz w:val="24"/>
          <w:szCs w:val="24"/>
        </w:rPr>
        <w:t>Munyasi</w:t>
      </w:r>
      <w:proofErr w:type="spellEnd"/>
      <w:r w:rsidRPr="00AF4D6F">
        <w:rPr>
          <w:rFonts w:ascii="Times New Roman" w:hAnsi="Times New Roman"/>
          <w:sz w:val="24"/>
          <w:szCs w:val="24"/>
        </w:rPr>
        <w:t xml:space="preserve"> </w:t>
      </w:r>
      <w:r w:rsidRPr="00AF4D6F">
        <w:rPr>
          <w:rFonts w:ascii="Times New Roman" w:hAnsi="Times New Roman"/>
          <w:i/>
          <w:iCs/>
          <w:sz w:val="24"/>
          <w:szCs w:val="24"/>
        </w:rPr>
        <w:t>et al</w:t>
      </w:r>
      <w:r w:rsidRPr="00AF4D6F">
        <w:rPr>
          <w:rFonts w:ascii="Times New Roman" w:hAnsi="Times New Roman"/>
          <w:sz w:val="24"/>
          <w:szCs w:val="24"/>
        </w:rPr>
        <w:t xml:space="preserve">, 2024). Fungi are major producers of cellulases. Trichoderma </w:t>
      </w:r>
      <w:proofErr w:type="spellStart"/>
      <w:r w:rsidRPr="00AF4D6F">
        <w:rPr>
          <w:rFonts w:ascii="Times New Roman" w:hAnsi="Times New Roman"/>
          <w:sz w:val="24"/>
          <w:szCs w:val="24"/>
        </w:rPr>
        <w:t>sp</w:t>
      </w:r>
      <w:proofErr w:type="spellEnd"/>
      <w:r w:rsidRPr="00AF4D6F">
        <w:rPr>
          <w:rFonts w:ascii="Times New Roman" w:hAnsi="Times New Roman"/>
          <w:sz w:val="24"/>
          <w:szCs w:val="24"/>
        </w:rPr>
        <w:t xml:space="preserve">, Aspergillus </w:t>
      </w:r>
      <w:proofErr w:type="spellStart"/>
      <w:r w:rsidRPr="00AF4D6F">
        <w:rPr>
          <w:rFonts w:ascii="Times New Roman" w:hAnsi="Times New Roman"/>
          <w:sz w:val="24"/>
          <w:szCs w:val="24"/>
        </w:rPr>
        <w:t>sp</w:t>
      </w:r>
      <w:proofErr w:type="spellEnd"/>
      <w:r w:rsidRPr="00AF4D6F">
        <w:rPr>
          <w:rFonts w:ascii="Times New Roman" w:hAnsi="Times New Roman"/>
          <w:sz w:val="24"/>
          <w:szCs w:val="24"/>
        </w:rPr>
        <w:t xml:space="preserve">, and </w:t>
      </w:r>
      <w:proofErr w:type="spellStart"/>
      <w:r w:rsidRPr="00AF4D6F">
        <w:rPr>
          <w:rFonts w:ascii="Times New Roman" w:hAnsi="Times New Roman"/>
          <w:i/>
          <w:iCs/>
          <w:sz w:val="24"/>
          <w:szCs w:val="24"/>
        </w:rPr>
        <w:t>Daldinia</w:t>
      </w:r>
      <w:proofErr w:type="spellEnd"/>
      <w:r w:rsidRPr="00AF4D6F">
        <w:rPr>
          <w:rFonts w:ascii="Times New Roman" w:hAnsi="Times New Roman"/>
          <w:i/>
          <w:iCs/>
          <w:sz w:val="24"/>
          <w:szCs w:val="24"/>
        </w:rPr>
        <w:t xml:space="preserve"> </w:t>
      </w:r>
      <w:proofErr w:type="spellStart"/>
      <w:r w:rsidRPr="00AF4D6F">
        <w:rPr>
          <w:rFonts w:ascii="Times New Roman" w:hAnsi="Times New Roman"/>
          <w:i/>
          <w:iCs/>
          <w:sz w:val="24"/>
          <w:szCs w:val="24"/>
        </w:rPr>
        <w:t>caldariorum</w:t>
      </w:r>
      <w:proofErr w:type="spellEnd"/>
      <w:r w:rsidRPr="00AF4D6F">
        <w:rPr>
          <w:rFonts w:ascii="Times New Roman" w:hAnsi="Times New Roman"/>
          <w:sz w:val="24"/>
          <w:szCs w:val="24"/>
        </w:rPr>
        <w:t xml:space="preserve"> have been extensively studied and reported to produce cellulase enzymes under various culture conditions (Soni </w:t>
      </w:r>
      <w:r w:rsidRPr="00AF4D6F">
        <w:rPr>
          <w:rFonts w:ascii="Times New Roman" w:hAnsi="Times New Roman"/>
          <w:i/>
          <w:iCs/>
          <w:sz w:val="24"/>
          <w:szCs w:val="24"/>
        </w:rPr>
        <w:t>et al</w:t>
      </w:r>
      <w:r w:rsidRPr="00AF4D6F">
        <w:rPr>
          <w:rFonts w:ascii="Times New Roman" w:hAnsi="Times New Roman"/>
          <w:sz w:val="24"/>
          <w:szCs w:val="24"/>
        </w:rPr>
        <w:t xml:space="preserve">., 2010; Peng </w:t>
      </w:r>
      <w:r w:rsidRPr="00AF4D6F">
        <w:rPr>
          <w:rFonts w:ascii="Times New Roman" w:hAnsi="Times New Roman"/>
          <w:i/>
          <w:iCs/>
          <w:sz w:val="24"/>
          <w:szCs w:val="24"/>
        </w:rPr>
        <w:t>et al</w:t>
      </w:r>
      <w:r w:rsidRPr="00AF4D6F">
        <w:rPr>
          <w:rFonts w:ascii="Times New Roman" w:hAnsi="Times New Roman"/>
          <w:sz w:val="24"/>
          <w:szCs w:val="24"/>
        </w:rPr>
        <w:t>., 2021). In particular, the study on</w:t>
      </w:r>
      <w:r w:rsidRPr="00AF4D6F">
        <w:rPr>
          <w:rFonts w:ascii="Times New Roman" w:hAnsi="Times New Roman"/>
          <w:i/>
          <w:iCs/>
          <w:sz w:val="24"/>
          <w:szCs w:val="24"/>
        </w:rPr>
        <w:t xml:space="preserve"> </w:t>
      </w:r>
      <w:proofErr w:type="spellStart"/>
      <w:r w:rsidRPr="00AF4D6F">
        <w:rPr>
          <w:rFonts w:ascii="Times New Roman" w:hAnsi="Times New Roman"/>
          <w:i/>
          <w:iCs/>
          <w:sz w:val="24"/>
          <w:szCs w:val="24"/>
        </w:rPr>
        <w:t>Daldinia</w:t>
      </w:r>
      <w:proofErr w:type="spellEnd"/>
      <w:r w:rsidRPr="00AF4D6F">
        <w:rPr>
          <w:rFonts w:ascii="Times New Roman" w:hAnsi="Times New Roman"/>
          <w:sz w:val="24"/>
          <w:szCs w:val="24"/>
        </w:rPr>
        <w:t xml:space="preserve"> </w:t>
      </w:r>
      <w:proofErr w:type="spellStart"/>
      <w:r w:rsidRPr="00AF4D6F">
        <w:rPr>
          <w:rFonts w:ascii="Times New Roman" w:hAnsi="Times New Roman"/>
          <w:i/>
          <w:iCs/>
          <w:sz w:val="24"/>
          <w:szCs w:val="24"/>
        </w:rPr>
        <w:t>caldariorum</w:t>
      </w:r>
      <w:proofErr w:type="spellEnd"/>
      <w:r w:rsidRPr="00AF4D6F">
        <w:rPr>
          <w:rFonts w:ascii="Times New Roman" w:hAnsi="Times New Roman"/>
          <w:i/>
          <w:iCs/>
          <w:sz w:val="24"/>
          <w:szCs w:val="24"/>
        </w:rPr>
        <w:t xml:space="preserve"> </w:t>
      </w:r>
      <w:r w:rsidRPr="00AF4D6F">
        <w:rPr>
          <w:rFonts w:ascii="Times New Roman" w:hAnsi="Times New Roman"/>
          <w:sz w:val="24"/>
          <w:szCs w:val="24"/>
        </w:rPr>
        <w:t xml:space="preserve">D263 revealed a broad spectrum of highly active cellulolytic enzymes distinguished via zymography and proteomics (Soni </w:t>
      </w:r>
      <w:r w:rsidRPr="00AF4D6F">
        <w:rPr>
          <w:rFonts w:ascii="Times New Roman" w:hAnsi="Times New Roman"/>
          <w:i/>
          <w:iCs/>
          <w:sz w:val="24"/>
          <w:szCs w:val="24"/>
        </w:rPr>
        <w:t>et al</w:t>
      </w:r>
      <w:r w:rsidRPr="00AF4D6F">
        <w:rPr>
          <w:rFonts w:ascii="Times New Roman" w:hAnsi="Times New Roman"/>
          <w:sz w:val="24"/>
          <w:szCs w:val="24"/>
        </w:rPr>
        <w:t xml:space="preserve">., 2010). Despite these studies, there is limited information on </w:t>
      </w:r>
      <w:proofErr w:type="spellStart"/>
      <w:r w:rsidRPr="00AF4D6F">
        <w:rPr>
          <w:rFonts w:ascii="Times New Roman" w:hAnsi="Times New Roman"/>
          <w:i/>
          <w:iCs/>
          <w:sz w:val="24"/>
          <w:szCs w:val="24"/>
        </w:rPr>
        <w:t>Daldinia</w:t>
      </w:r>
      <w:proofErr w:type="spellEnd"/>
      <w:r w:rsidRPr="00AF4D6F">
        <w:rPr>
          <w:rFonts w:ascii="Times New Roman" w:hAnsi="Times New Roman"/>
          <w:sz w:val="24"/>
          <w:szCs w:val="24"/>
        </w:rPr>
        <w:t xml:space="preserve"> </w:t>
      </w:r>
      <w:proofErr w:type="spellStart"/>
      <w:r w:rsidRPr="00AF4D6F">
        <w:rPr>
          <w:rFonts w:ascii="Times New Roman" w:hAnsi="Times New Roman"/>
          <w:i/>
          <w:iCs/>
          <w:sz w:val="24"/>
          <w:szCs w:val="24"/>
        </w:rPr>
        <w:t>concentrica’s</w:t>
      </w:r>
      <w:proofErr w:type="spellEnd"/>
      <w:r w:rsidRPr="00AF4D6F">
        <w:rPr>
          <w:rFonts w:ascii="Times New Roman" w:hAnsi="Times New Roman"/>
          <w:sz w:val="24"/>
          <w:szCs w:val="24"/>
        </w:rPr>
        <w:t xml:space="preserve"> cellulase kinetics on untreated </w:t>
      </w:r>
      <w:proofErr w:type="spellStart"/>
      <w:r w:rsidRPr="00AF4D6F">
        <w:rPr>
          <w:rFonts w:ascii="Times New Roman" w:hAnsi="Times New Roman"/>
          <w:sz w:val="24"/>
          <w:szCs w:val="24"/>
        </w:rPr>
        <w:t>agro</w:t>
      </w:r>
      <w:proofErr w:type="spellEnd"/>
      <w:r w:rsidRPr="00AF4D6F">
        <w:rPr>
          <w:rFonts w:ascii="Times New Roman" w:hAnsi="Times New Roman"/>
          <w:sz w:val="24"/>
          <w:szCs w:val="24"/>
        </w:rPr>
        <w:t xml:space="preserve">-wastes and the temporal profile of enzyme activity under solid-state fermentation (SSF) conditions (Abdullah </w:t>
      </w:r>
      <w:r w:rsidRPr="00AF4D6F">
        <w:rPr>
          <w:rFonts w:ascii="Times New Roman" w:hAnsi="Times New Roman"/>
          <w:i/>
          <w:iCs/>
          <w:sz w:val="24"/>
          <w:szCs w:val="24"/>
        </w:rPr>
        <w:t>et al</w:t>
      </w:r>
      <w:r w:rsidRPr="00AF4D6F">
        <w:rPr>
          <w:rFonts w:ascii="Times New Roman" w:hAnsi="Times New Roman"/>
          <w:sz w:val="24"/>
          <w:szCs w:val="24"/>
        </w:rPr>
        <w:t>., 2021).</w:t>
      </w:r>
    </w:p>
    <w:p w14:paraId="0F1F17B9"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Solid-state fermentation mimics the natural growth environment of fungi, enhances enzyme yields, and minimizes water requirements compared to submerged systems (Singhania </w:t>
      </w:r>
      <w:r w:rsidRPr="00AF4D6F">
        <w:rPr>
          <w:rFonts w:ascii="Times New Roman" w:hAnsi="Times New Roman"/>
          <w:i/>
          <w:iCs/>
          <w:sz w:val="24"/>
          <w:szCs w:val="24"/>
        </w:rPr>
        <w:t>et al</w:t>
      </w:r>
      <w:r w:rsidRPr="00AF4D6F">
        <w:rPr>
          <w:rFonts w:ascii="Times New Roman" w:hAnsi="Times New Roman"/>
          <w:sz w:val="24"/>
          <w:szCs w:val="24"/>
        </w:rPr>
        <w:t xml:space="preserve">., 2022; Krishna </w:t>
      </w:r>
      <w:r w:rsidRPr="00AF4D6F">
        <w:rPr>
          <w:rFonts w:ascii="Times New Roman" w:hAnsi="Times New Roman"/>
          <w:i/>
          <w:iCs/>
          <w:sz w:val="24"/>
          <w:szCs w:val="24"/>
        </w:rPr>
        <w:t>et al</w:t>
      </w:r>
      <w:r w:rsidRPr="00AF4D6F">
        <w:rPr>
          <w:rFonts w:ascii="Times New Roman" w:hAnsi="Times New Roman"/>
          <w:sz w:val="24"/>
          <w:szCs w:val="24"/>
        </w:rPr>
        <w:t xml:space="preserve">., 1999). Moreover, using untreated biomass reduces processing costs, though enzyme production rates may depend strongly on substrate structure and incubation time (Naher </w:t>
      </w:r>
      <w:r w:rsidRPr="00AF4D6F">
        <w:rPr>
          <w:rFonts w:ascii="Times New Roman" w:hAnsi="Times New Roman"/>
          <w:i/>
          <w:iCs/>
          <w:sz w:val="24"/>
          <w:szCs w:val="24"/>
        </w:rPr>
        <w:t>et al</w:t>
      </w:r>
      <w:r w:rsidRPr="00AF4D6F">
        <w:rPr>
          <w:rFonts w:ascii="Times New Roman" w:hAnsi="Times New Roman"/>
          <w:sz w:val="24"/>
          <w:szCs w:val="24"/>
        </w:rPr>
        <w:t xml:space="preserve">., 2021). The main constituents of lignocellulosic material are cellulose, hemicellulose, and lignin, which make up about 40–50%, 15–20%, and 20–30% of plant cell wall biomass, respectively, and these constituents are arranged in a non-uniform three-dimensional orientation (Singhvi </w:t>
      </w:r>
      <w:r w:rsidRPr="00AF4D6F">
        <w:rPr>
          <w:rFonts w:ascii="Times New Roman" w:hAnsi="Times New Roman"/>
          <w:i/>
          <w:iCs/>
          <w:sz w:val="24"/>
          <w:szCs w:val="24"/>
        </w:rPr>
        <w:t>et al</w:t>
      </w:r>
      <w:r w:rsidRPr="00AF4D6F">
        <w:rPr>
          <w:rFonts w:ascii="Times New Roman" w:hAnsi="Times New Roman"/>
          <w:sz w:val="24"/>
          <w:szCs w:val="24"/>
        </w:rPr>
        <w:t xml:space="preserve">., 2019). Cellulose is the most abundant polysaccharide on Earth, containing linearly arranged D-glucose units joined by β-1,4-glycosidic linkages. Cellulases target these β-1,4 bonds and break the cellulose into simple sugars (Ferrand </w:t>
      </w:r>
      <w:r w:rsidRPr="00AF4D6F">
        <w:rPr>
          <w:rFonts w:ascii="Times New Roman" w:hAnsi="Times New Roman"/>
          <w:i/>
          <w:iCs/>
          <w:sz w:val="24"/>
          <w:szCs w:val="24"/>
        </w:rPr>
        <w:t>et al</w:t>
      </w:r>
      <w:r w:rsidRPr="00AF4D6F">
        <w:rPr>
          <w:rFonts w:ascii="Times New Roman" w:hAnsi="Times New Roman"/>
          <w:sz w:val="24"/>
          <w:szCs w:val="24"/>
        </w:rPr>
        <w:t xml:space="preserve">., 2020). The hydrolysis of the insoluble cellulose by cellulases yields D-glucose, cellobiose, and cello-oligosaccharides (Srivastava </w:t>
      </w:r>
      <w:r w:rsidRPr="00AF4D6F">
        <w:rPr>
          <w:rFonts w:ascii="Times New Roman" w:hAnsi="Times New Roman"/>
          <w:i/>
          <w:iCs/>
          <w:sz w:val="24"/>
          <w:szCs w:val="24"/>
        </w:rPr>
        <w:t>et al</w:t>
      </w:r>
      <w:r w:rsidRPr="00AF4D6F">
        <w:rPr>
          <w:rFonts w:ascii="Times New Roman" w:hAnsi="Times New Roman"/>
          <w:sz w:val="24"/>
          <w:szCs w:val="24"/>
        </w:rPr>
        <w:t xml:space="preserve">., 2015). Although lignocellulosic polymers can be hydrolyzed using enzymes and concentrated acids such as sulfuric acid, enzymatic hydrolysis is </w:t>
      </w:r>
      <w:proofErr w:type="spellStart"/>
      <w:r w:rsidRPr="00AF4D6F">
        <w:rPr>
          <w:rFonts w:ascii="Times New Roman" w:hAnsi="Times New Roman"/>
          <w:sz w:val="24"/>
          <w:szCs w:val="24"/>
        </w:rPr>
        <w:t>favoured</w:t>
      </w:r>
      <w:proofErr w:type="spellEnd"/>
      <w:r w:rsidRPr="00AF4D6F">
        <w:rPr>
          <w:rFonts w:ascii="Times New Roman" w:hAnsi="Times New Roman"/>
          <w:sz w:val="24"/>
          <w:szCs w:val="24"/>
        </w:rPr>
        <w:t xml:space="preserve"> because it is affordable and produces higher yields of simple sugars (Akia </w:t>
      </w:r>
      <w:r w:rsidRPr="00AF4D6F">
        <w:rPr>
          <w:rFonts w:ascii="Times New Roman" w:hAnsi="Times New Roman"/>
          <w:i/>
          <w:iCs/>
          <w:sz w:val="24"/>
          <w:szCs w:val="24"/>
        </w:rPr>
        <w:t>et al</w:t>
      </w:r>
      <w:r w:rsidRPr="00AF4D6F">
        <w:rPr>
          <w:rFonts w:ascii="Times New Roman" w:hAnsi="Times New Roman"/>
          <w:sz w:val="24"/>
          <w:szCs w:val="24"/>
        </w:rPr>
        <w:t xml:space="preserve">., 2014). Microorganisms such as fungi, bacteria, and protozoans </w:t>
      </w:r>
      <w:r w:rsidRPr="00AF4D6F">
        <w:rPr>
          <w:rFonts w:ascii="Times New Roman" w:hAnsi="Times New Roman"/>
          <w:sz w:val="24"/>
          <w:szCs w:val="24"/>
        </w:rPr>
        <w:lastRenderedPageBreak/>
        <w:t>are known to produce cellulases that hydrolyze lignocellulosic substrates into fermentable sugars (</w:t>
      </w:r>
      <w:proofErr w:type="spellStart"/>
      <w:r w:rsidRPr="00AF4D6F">
        <w:rPr>
          <w:rFonts w:ascii="Times New Roman" w:hAnsi="Times New Roman"/>
          <w:sz w:val="24"/>
          <w:szCs w:val="24"/>
        </w:rPr>
        <w:t>Benocci</w:t>
      </w:r>
      <w:proofErr w:type="spellEnd"/>
      <w:r w:rsidRPr="00AF4D6F">
        <w:rPr>
          <w:rFonts w:ascii="Times New Roman" w:hAnsi="Times New Roman"/>
          <w:sz w:val="24"/>
          <w:szCs w:val="24"/>
        </w:rPr>
        <w:t xml:space="preserve"> </w:t>
      </w:r>
      <w:r w:rsidRPr="00AF4D6F">
        <w:rPr>
          <w:rFonts w:ascii="Times New Roman" w:hAnsi="Times New Roman"/>
          <w:i/>
          <w:iCs/>
          <w:sz w:val="24"/>
          <w:szCs w:val="24"/>
        </w:rPr>
        <w:t xml:space="preserve">et al., </w:t>
      </w:r>
      <w:r w:rsidRPr="00AF4D6F">
        <w:rPr>
          <w:rFonts w:ascii="Times New Roman" w:hAnsi="Times New Roman"/>
          <w:sz w:val="24"/>
          <w:szCs w:val="24"/>
        </w:rPr>
        <w:t>2017).</w:t>
      </w:r>
    </w:p>
    <w:p w14:paraId="36DDD505"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Cellulases are essential biocatalysts with wide industrial applications in textiles, brewing, laundry detergents, paper production, bioethanol generation, agriculture, and food processing (Mohana et al., 2008; </w:t>
      </w:r>
      <w:proofErr w:type="spellStart"/>
      <w:r w:rsidRPr="00AF4D6F">
        <w:rPr>
          <w:rFonts w:ascii="Times New Roman" w:hAnsi="Times New Roman"/>
          <w:sz w:val="24"/>
          <w:szCs w:val="24"/>
        </w:rPr>
        <w:t>Kuhad</w:t>
      </w:r>
      <w:proofErr w:type="spellEnd"/>
      <w:r w:rsidRPr="00AF4D6F">
        <w:rPr>
          <w:rFonts w:ascii="Times New Roman" w:hAnsi="Times New Roman"/>
          <w:sz w:val="24"/>
          <w:szCs w:val="24"/>
        </w:rPr>
        <w:t xml:space="preserve"> </w:t>
      </w:r>
      <w:r w:rsidRPr="00AF4D6F">
        <w:rPr>
          <w:rFonts w:ascii="Times New Roman" w:hAnsi="Times New Roman"/>
          <w:i/>
          <w:iCs/>
          <w:sz w:val="24"/>
          <w:szCs w:val="24"/>
        </w:rPr>
        <w:t>et al</w:t>
      </w:r>
      <w:r w:rsidRPr="00AF4D6F">
        <w:rPr>
          <w:rFonts w:ascii="Times New Roman" w:hAnsi="Times New Roman"/>
          <w:sz w:val="24"/>
          <w:szCs w:val="24"/>
        </w:rPr>
        <w:t xml:space="preserve">., 2011). The enzyme complex comprises endoglucanases, </w:t>
      </w:r>
      <w:proofErr w:type="spellStart"/>
      <w:r w:rsidRPr="00AF4D6F">
        <w:rPr>
          <w:rFonts w:ascii="Times New Roman" w:hAnsi="Times New Roman"/>
          <w:sz w:val="24"/>
          <w:szCs w:val="24"/>
        </w:rPr>
        <w:t>exoglucanases</w:t>
      </w:r>
      <w:proofErr w:type="spellEnd"/>
      <w:r w:rsidRPr="00AF4D6F">
        <w:rPr>
          <w:rFonts w:ascii="Times New Roman" w:hAnsi="Times New Roman"/>
          <w:sz w:val="24"/>
          <w:szCs w:val="24"/>
        </w:rPr>
        <w:t xml:space="preserve">, and β-glucosidases. Endoglucanases act randomly within internal β-1,4-glycosidic bonds of cellulose chains, generating new chain ends; </w:t>
      </w:r>
      <w:proofErr w:type="spellStart"/>
      <w:r w:rsidRPr="00AF4D6F">
        <w:rPr>
          <w:rFonts w:ascii="Times New Roman" w:hAnsi="Times New Roman"/>
          <w:sz w:val="24"/>
          <w:szCs w:val="24"/>
        </w:rPr>
        <w:t>exoglucanases</w:t>
      </w:r>
      <w:proofErr w:type="spellEnd"/>
      <w:r w:rsidRPr="00AF4D6F">
        <w:rPr>
          <w:rFonts w:ascii="Times New Roman" w:hAnsi="Times New Roman"/>
          <w:sz w:val="24"/>
          <w:szCs w:val="24"/>
        </w:rPr>
        <w:t xml:space="preserve"> hydrolyze cellobiose units from these ends, while β-glucosidases convert cellobiose into glucose monomers (Badoni </w:t>
      </w:r>
      <w:r w:rsidRPr="00AF4D6F">
        <w:rPr>
          <w:rFonts w:ascii="Times New Roman" w:hAnsi="Times New Roman"/>
          <w:i/>
          <w:iCs/>
          <w:sz w:val="24"/>
          <w:szCs w:val="24"/>
        </w:rPr>
        <w:t>et al</w:t>
      </w:r>
      <w:r w:rsidRPr="00AF4D6F">
        <w:rPr>
          <w:rFonts w:ascii="Times New Roman" w:hAnsi="Times New Roman"/>
          <w:sz w:val="24"/>
          <w:szCs w:val="24"/>
        </w:rPr>
        <w:t>., 2025). The synergistic action of these enzymes ensures complete hydrolysis of cellulose into fermentable sugars suitable for biofuel and other biotechnological applications.</w:t>
      </w:r>
    </w:p>
    <w:p w14:paraId="7741FF39"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Compared to submerged fermentation, </w:t>
      </w:r>
      <w:bookmarkStart w:id="0" w:name="_Hlk212807652"/>
      <w:r w:rsidRPr="00AF4D6F">
        <w:rPr>
          <w:rFonts w:ascii="Times New Roman" w:hAnsi="Times New Roman"/>
          <w:sz w:val="24"/>
          <w:szCs w:val="24"/>
        </w:rPr>
        <w:t xml:space="preserve">solid-state fermentation </w:t>
      </w:r>
      <w:bookmarkEnd w:id="0"/>
      <w:r w:rsidRPr="00AF4D6F">
        <w:rPr>
          <w:rFonts w:ascii="Times New Roman" w:hAnsi="Times New Roman"/>
          <w:sz w:val="24"/>
          <w:szCs w:val="24"/>
        </w:rPr>
        <w:t xml:space="preserve">(SSF) can increase total cellulase yield by up to twelvefold (Krishna </w:t>
      </w:r>
      <w:r w:rsidRPr="00AF4D6F">
        <w:rPr>
          <w:rFonts w:ascii="Times New Roman" w:hAnsi="Times New Roman"/>
          <w:i/>
          <w:iCs/>
          <w:sz w:val="24"/>
          <w:szCs w:val="24"/>
        </w:rPr>
        <w:t>et al</w:t>
      </w:r>
      <w:r w:rsidRPr="00AF4D6F">
        <w:rPr>
          <w:rFonts w:ascii="Times New Roman" w:hAnsi="Times New Roman"/>
          <w:sz w:val="24"/>
          <w:szCs w:val="24"/>
        </w:rPr>
        <w:t xml:space="preserve">., 1999; </w:t>
      </w:r>
      <w:proofErr w:type="spellStart"/>
      <w:r w:rsidRPr="00AF4D6F">
        <w:rPr>
          <w:rFonts w:ascii="Times New Roman" w:hAnsi="Times New Roman"/>
          <w:sz w:val="24"/>
          <w:szCs w:val="24"/>
        </w:rPr>
        <w:t>Munyasi</w:t>
      </w:r>
      <w:proofErr w:type="spellEnd"/>
      <w:r w:rsidRPr="00AF4D6F">
        <w:rPr>
          <w:rFonts w:ascii="Times New Roman" w:hAnsi="Times New Roman"/>
          <w:sz w:val="24"/>
          <w:szCs w:val="24"/>
        </w:rPr>
        <w:t xml:space="preserve"> </w:t>
      </w:r>
      <w:r w:rsidRPr="00AF4D6F">
        <w:rPr>
          <w:rFonts w:ascii="Times New Roman" w:hAnsi="Times New Roman"/>
          <w:i/>
          <w:iCs/>
          <w:sz w:val="24"/>
          <w:szCs w:val="24"/>
        </w:rPr>
        <w:t>et al</w:t>
      </w:r>
      <w:r w:rsidRPr="00AF4D6F">
        <w:rPr>
          <w:rFonts w:ascii="Times New Roman" w:hAnsi="Times New Roman"/>
          <w:sz w:val="24"/>
          <w:szCs w:val="24"/>
        </w:rPr>
        <w:t xml:space="preserve">., 2024). This study, therefore, explores </w:t>
      </w:r>
      <w:proofErr w:type="spellStart"/>
      <w:r w:rsidRPr="00AF4D6F">
        <w:rPr>
          <w:rFonts w:ascii="Times New Roman" w:hAnsi="Times New Roman"/>
          <w:i/>
          <w:iCs/>
          <w:sz w:val="24"/>
          <w:szCs w:val="24"/>
        </w:rPr>
        <w:t>Daldinia</w:t>
      </w:r>
      <w:proofErr w:type="spellEnd"/>
      <w:r w:rsidRPr="00AF4D6F">
        <w:rPr>
          <w:rFonts w:ascii="Times New Roman" w:hAnsi="Times New Roman"/>
          <w:i/>
          <w:iCs/>
          <w:sz w:val="24"/>
          <w:szCs w:val="24"/>
        </w:rPr>
        <w:t xml:space="preserve"> </w:t>
      </w:r>
      <w:proofErr w:type="spellStart"/>
      <w:r w:rsidRPr="00AF4D6F">
        <w:rPr>
          <w:rFonts w:ascii="Times New Roman" w:hAnsi="Times New Roman"/>
          <w:i/>
          <w:iCs/>
          <w:sz w:val="24"/>
          <w:szCs w:val="24"/>
        </w:rPr>
        <w:t>concentrica</w:t>
      </w:r>
      <w:proofErr w:type="spellEnd"/>
      <w:r w:rsidRPr="00AF4D6F">
        <w:rPr>
          <w:rFonts w:ascii="Times New Roman" w:hAnsi="Times New Roman"/>
          <w:sz w:val="24"/>
          <w:szCs w:val="24"/>
        </w:rPr>
        <w:t xml:space="preserve"> as a potential source of low-cost cellulases for the valorization of agro-industrial residues, supporting sustainable waste management and bioenergy production. The objective was to optimize cellulase production, specifically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endoglucanase, and </w:t>
      </w:r>
      <w:proofErr w:type="spellStart"/>
      <w:r w:rsidRPr="00AF4D6F">
        <w:rPr>
          <w:rFonts w:ascii="Times New Roman" w:hAnsi="Times New Roman"/>
          <w:sz w:val="24"/>
          <w:szCs w:val="24"/>
        </w:rPr>
        <w:t>exoglucanase</w:t>
      </w:r>
      <w:proofErr w:type="spellEnd"/>
      <w:r w:rsidRPr="00AF4D6F">
        <w:rPr>
          <w:rFonts w:ascii="Times New Roman" w:hAnsi="Times New Roman"/>
          <w:sz w:val="24"/>
          <w:szCs w:val="24"/>
        </w:rPr>
        <w:t xml:space="preserve">, by </w:t>
      </w:r>
      <w:proofErr w:type="spellStart"/>
      <w:r w:rsidRPr="00AF4D6F">
        <w:rPr>
          <w:rFonts w:ascii="Times New Roman" w:hAnsi="Times New Roman"/>
          <w:i/>
          <w:iCs/>
          <w:sz w:val="24"/>
          <w:szCs w:val="24"/>
        </w:rPr>
        <w:t>Daldinia</w:t>
      </w:r>
      <w:proofErr w:type="spellEnd"/>
      <w:r w:rsidRPr="00AF4D6F">
        <w:rPr>
          <w:rFonts w:ascii="Times New Roman" w:hAnsi="Times New Roman"/>
          <w:i/>
          <w:iCs/>
          <w:sz w:val="24"/>
          <w:szCs w:val="24"/>
        </w:rPr>
        <w:t xml:space="preserve"> </w:t>
      </w:r>
      <w:proofErr w:type="spellStart"/>
      <w:r w:rsidRPr="00AF4D6F">
        <w:rPr>
          <w:rFonts w:ascii="Times New Roman" w:hAnsi="Times New Roman"/>
          <w:i/>
          <w:iCs/>
          <w:sz w:val="24"/>
          <w:szCs w:val="24"/>
        </w:rPr>
        <w:t>concentrica</w:t>
      </w:r>
      <w:proofErr w:type="spellEnd"/>
      <w:r w:rsidRPr="00AF4D6F">
        <w:rPr>
          <w:rFonts w:ascii="Times New Roman" w:hAnsi="Times New Roman"/>
          <w:sz w:val="24"/>
          <w:szCs w:val="24"/>
        </w:rPr>
        <w:t xml:space="preserve"> through variation of incubation time and lignocellulosic substrate under solid-state fermentation (SSF). It was hypothesized that both substrate type and incubation duration significantly influence cellulase productivity, with mid-incubation periods (6–8 days) expected to yield peak enzyme activities. This hypothesis aligns with previous findings showing that </w:t>
      </w:r>
      <w:proofErr w:type="spellStart"/>
      <w:r w:rsidRPr="00AF4D6F">
        <w:rPr>
          <w:rFonts w:ascii="Times New Roman" w:hAnsi="Times New Roman"/>
          <w:i/>
          <w:iCs/>
          <w:sz w:val="24"/>
          <w:szCs w:val="24"/>
        </w:rPr>
        <w:t>Daldinia</w:t>
      </w:r>
      <w:proofErr w:type="spellEnd"/>
      <w:r w:rsidRPr="00AF4D6F">
        <w:rPr>
          <w:rFonts w:ascii="Times New Roman" w:hAnsi="Times New Roman"/>
          <w:i/>
          <w:iCs/>
          <w:sz w:val="24"/>
          <w:szCs w:val="24"/>
        </w:rPr>
        <w:t xml:space="preserve"> </w:t>
      </w:r>
      <w:proofErr w:type="spellStart"/>
      <w:r w:rsidRPr="00AF4D6F">
        <w:rPr>
          <w:rFonts w:ascii="Times New Roman" w:hAnsi="Times New Roman"/>
          <w:i/>
          <w:iCs/>
          <w:sz w:val="24"/>
          <w:szCs w:val="24"/>
        </w:rPr>
        <w:t>caldariorum</w:t>
      </w:r>
      <w:proofErr w:type="spellEnd"/>
      <w:r w:rsidRPr="00AF4D6F">
        <w:rPr>
          <w:rFonts w:ascii="Times New Roman" w:hAnsi="Times New Roman"/>
          <w:sz w:val="24"/>
          <w:szCs w:val="24"/>
        </w:rPr>
        <w:t xml:space="preserve"> exhibited maximum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activity within 3–4 days under specific culture conditions (Soni </w:t>
      </w:r>
      <w:r w:rsidRPr="00AF4D6F">
        <w:rPr>
          <w:rFonts w:ascii="Times New Roman" w:hAnsi="Times New Roman"/>
          <w:i/>
          <w:iCs/>
          <w:sz w:val="24"/>
          <w:szCs w:val="24"/>
        </w:rPr>
        <w:t>et al</w:t>
      </w:r>
      <w:r w:rsidRPr="00AF4D6F">
        <w:rPr>
          <w:rFonts w:ascii="Times New Roman" w:hAnsi="Times New Roman"/>
          <w:sz w:val="24"/>
          <w:szCs w:val="24"/>
        </w:rPr>
        <w:t>., 2010).</w:t>
      </w:r>
    </w:p>
    <w:p w14:paraId="4761DF0D" w14:textId="77777777" w:rsidR="00AF4D6F" w:rsidRPr="00AF4D6F" w:rsidRDefault="006B022B">
      <w:pPr>
        <w:pStyle w:val="Heading1"/>
        <w:spacing w:line="360" w:lineRule="auto"/>
        <w:jc w:val="both"/>
        <w:rPr>
          <w:rFonts w:ascii="Times New Roman" w:hAnsi="Times New Roman"/>
          <w:color w:val="auto"/>
          <w:sz w:val="24"/>
          <w:szCs w:val="24"/>
        </w:rPr>
      </w:pPr>
      <w:r w:rsidRPr="00AF4D6F">
        <w:rPr>
          <w:rFonts w:ascii="Times New Roman" w:hAnsi="Times New Roman"/>
          <w:color w:val="auto"/>
          <w:sz w:val="24"/>
          <w:szCs w:val="24"/>
        </w:rPr>
        <w:t>2. Materials and Methods</w:t>
      </w:r>
    </w:p>
    <w:p w14:paraId="40CF9E30" w14:textId="515F12D2" w:rsidR="005372E5" w:rsidRPr="00AF4D6F" w:rsidRDefault="006B022B">
      <w:pPr>
        <w:pStyle w:val="Heading1"/>
        <w:spacing w:line="360" w:lineRule="auto"/>
        <w:jc w:val="both"/>
        <w:rPr>
          <w:rFonts w:ascii="Times New Roman" w:hAnsi="Times New Roman"/>
          <w:color w:val="auto"/>
          <w:sz w:val="24"/>
          <w:szCs w:val="24"/>
        </w:rPr>
      </w:pPr>
      <w:r w:rsidRPr="00AF4D6F">
        <w:rPr>
          <w:rFonts w:ascii="Times New Roman" w:hAnsi="Times New Roman"/>
          <w:color w:val="auto"/>
          <w:sz w:val="24"/>
          <w:szCs w:val="24"/>
        </w:rPr>
        <w:t>2.1 Study area</w:t>
      </w:r>
    </w:p>
    <w:p w14:paraId="77F45D1E"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The study was conducted at the Science Laboratory Complex, Kenyatta University (1.1815° S, 36.9345° E), Nairobi, Kenya. The facility provides controlled laboratory conditions suitable for fungal culture, enzyme extraction, and biochemical assays.</w:t>
      </w:r>
    </w:p>
    <w:p w14:paraId="74A54540" w14:textId="10B6CA9F" w:rsidR="005372E5" w:rsidRPr="00AF4D6F" w:rsidRDefault="006B022B">
      <w:pPr>
        <w:pStyle w:val="Heading1"/>
        <w:spacing w:line="360" w:lineRule="auto"/>
        <w:jc w:val="both"/>
        <w:rPr>
          <w:rFonts w:ascii="Times New Roman" w:hAnsi="Times New Roman"/>
          <w:color w:val="auto"/>
          <w:sz w:val="24"/>
          <w:szCs w:val="24"/>
        </w:rPr>
      </w:pPr>
      <w:r w:rsidRPr="00AF4D6F">
        <w:rPr>
          <w:rFonts w:ascii="Times New Roman" w:hAnsi="Times New Roman"/>
          <w:color w:val="auto"/>
          <w:sz w:val="24"/>
          <w:szCs w:val="24"/>
        </w:rPr>
        <w:lastRenderedPageBreak/>
        <w:t>2.2 Preparation of Fungal Media</w:t>
      </w:r>
    </w:p>
    <w:p w14:paraId="035EA41C" w14:textId="1E8B5EDF" w:rsidR="005372E5" w:rsidRPr="00AF4D6F" w:rsidRDefault="006B022B" w:rsidP="00AF4D6F">
      <w:pPr>
        <w:pStyle w:val="Heading1"/>
        <w:spacing w:after="240"/>
        <w:rPr>
          <w:rFonts w:ascii="Times New Roman" w:hAnsi="Times New Roman"/>
          <w:color w:val="auto"/>
          <w:sz w:val="24"/>
          <w:szCs w:val="24"/>
        </w:rPr>
      </w:pPr>
      <w:r w:rsidRPr="00AF4D6F">
        <w:rPr>
          <w:rFonts w:ascii="Times New Roman" w:hAnsi="Times New Roman"/>
          <w:color w:val="auto"/>
          <w:sz w:val="24"/>
          <w:szCs w:val="24"/>
        </w:rPr>
        <w:t xml:space="preserve">2.2.1 Preparation of Potato Dextrose Agar </w:t>
      </w:r>
    </w:p>
    <w:p w14:paraId="60CA8363" w14:textId="77777777" w:rsidR="005372E5" w:rsidRPr="00AF4D6F" w:rsidRDefault="006B022B" w:rsidP="00AF4D6F">
      <w:pPr>
        <w:spacing w:after="240" w:line="360" w:lineRule="auto"/>
        <w:jc w:val="both"/>
        <w:rPr>
          <w:rFonts w:ascii="Times New Roman" w:hAnsi="Times New Roman"/>
          <w:sz w:val="24"/>
          <w:szCs w:val="24"/>
        </w:rPr>
      </w:pPr>
      <w:r w:rsidRPr="00AF4D6F">
        <w:rPr>
          <w:rFonts w:ascii="Times New Roman" w:hAnsi="Times New Roman"/>
          <w:sz w:val="24"/>
          <w:szCs w:val="24"/>
        </w:rPr>
        <w:t>Irish potatoes (200 g) were cut into small pieces and placed in a 1 L conical flask containing 0.5 L of distilled water, covered with aluminum foil (Westphal et al., 2021). The mixture was boiled on a hot plate, and the resulting broth was filtered into a separate 1 L conical flask. To the filtrate, 20 g of dextrose and 15 g of agar were added, followed by topping up to 1 L with distilled water. The solution was autoclaved at 121 °C and 15 psi for sterilization. After cooling to 45 °C, gentamycin (100 mg/L) was added to inhibit bacterial growth. The medium was dispensed into sterile Petri dishes. PDA served as a general-purpose medium for culturing and maintaining the fungal strain, providing the nutrients necessary for vigorous mycelial growth prior to cellulase production assays (Pitt and Hocking, 2009).</w:t>
      </w:r>
    </w:p>
    <w:p w14:paraId="541F562A" w14:textId="77777777" w:rsidR="005372E5" w:rsidRPr="00AF4D6F" w:rsidRDefault="006B022B">
      <w:pPr>
        <w:pStyle w:val="Heading1"/>
        <w:spacing w:line="360" w:lineRule="auto"/>
        <w:jc w:val="both"/>
        <w:rPr>
          <w:rFonts w:ascii="Times New Roman" w:hAnsi="Times New Roman"/>
          <w:color w:val="auto"/>
          <w:sz w:val="24"/>
          <w:szCs w:val="24"/>
        </w:rPr>
      </w:pPr>
      <w:r w:rsidRPr="00AF4D6F">
        <w:rPr>
          <w:rFonts w:ascii="Times New Roman" w:hAnsi="Times New Roman"/>
          <w:color w:val="auto"/>
          <w:sz w:val="24"/>
          <w:szCs w:val="24"/>
        </w:rPr>
        <w:t>2.2.2 Preparation of 1% Carboxymethyl Cellulose (CMC) Agar</w:t>
      </w:r>
    </w:p>
    <w:p w14:paraId="513963FF"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Agar powder (15 g), glucose (1.0 g), carboxymethyl cellulose (1.88 g), and 10 mL of a 1% Congo Red stock solution were mixed. The final volume was adjusted to 1 L using distilled water (Legodi </w:t>
      </w:r>
      <w:r w:rsidRPr="00AF4D6F">
        <w:rPr>
          <w:rFonts w:ascii="Times New Roman" w:hAnsi="Times New Roman"/>
          <w:i/>
          <w:iCs/>
          <w:sz w:val="24"/>
          <w:szCs w:val="24"/>
        </w:rPr>
        <w:t>et al</w:t>
      </w:r>
      <w:r w:rsidRPr="00AF4D6F">
        <w:rPr>
          <w:rFonts w:ascii="Times New Roman" w:hAnsi="Times New Roman"/>
          <w:sz w:val="24"/>
          <w:szCs w:val="24"/>
        </w:rPr>
        <w:t>., 2019). The prepared agar medium was autoclaved at 121 °C and 15 psi for 20 minutes. After sterilization, 2.5 mL of gentamycin (100 mg/L) was added to the medium, which was then dispensed aseptically into sterile Petri dishes (</w:t>
      </w:r>
      <w:proofErr w:type="spellStart"/>
      <w:r w:rsidRPr="00AF4D6F">
        <w:rPr>
          <w:rFonts w:ascii="Times New Roman" w:hAnsi="Times New Roman"/>
          <w:sz w:val="24"/>
          <w:szCs w:val="24"/>
        </w:rPr>
        <w:t>Munyasi</w:t>
      </w:r>
      <w:proofErr w:type="spellEnd"/>
      <w:r w:rsidRPr="00AF4D6F">
        <w:rPr>
          <w:rFonts w:ascii="Times New Roman" w:hAnsi="Times New Roman"/>
          <w:sz w:val="24"/>
          <w:szCs w:val="24"/>
        </w:rPr>
        <w:t xml:space="preserve"> </w:t>
      </w:r>
      <w:r w:rsidRPr="00AF4D6F">
        <w:rPr>
          <w:rFonts w:ascii="Times New Roman" w:hAnsi="Times New Roman"/>
          <w:i/>
          <w:iCs/>
          <w:sz w:val="24"/>
          <w:szCs w:val="24"/>
        </w:rPr>
        <w:t>et al</w:t>
      </w:r>
      <w:r w:rsidRPr="00AF4D6F">
        <w:rPr>
          <w:rFonts w:ascii="Times New Roman" w:hAnsi="Times New Roman"/>
          <w:sz w:val="24"/>
          <w:szCs w:val="24"/>
        </w:rPr>
        <w:t>., 2024). This medium was used for screening and isolating cellulase-producing fungi since carboxymethyl cellulose acts as the carbon source while Congo Red enables visualization of hydrolysis zones (</w:t>
      </w:r>
      <w:proofErr w:type="spellStart"/>
      <w:r w:rsidRPr="00AF4D6F">
        <w:rPr>
          <w:rFonts w:ascii="Times New Roman" w:hAnsi="Times New Roman"/>
          <w:sz w:val="24"/>
          <w:szCs w:val="24"/>
        </w:rPr>
        <w:t>Sazci</w:t>
      </w:r>
      <w:proofErr w:type="spellEnd"/>
      <w:r w:rsidRPr="00AF4D6F">
        <w:rPr>
          <w:rFonts w:ascii="Times New Roman" w:hAnsi="Times New Roman"/>
          <w:sz w:val="24"/>
          <w:szCs w:val="24"/>
        </w:rPr>
        <w:t xml:space="preserve"> et al., 1986).</w:t>
      </w:r>
    </w:p>
    <w:p w14:paraId="21BE0634" w14:textId="77777777" w:rsidR="005372E5" w:rsidRPr="00AF4D6F" w:rsidRDefault="006B022B" w:rsidP="00AF4D6F">
      <w:pPr>
        <w:pStyle w:val="Heading1"/>
        <w:spacing w:after="240" w:line="360" w:lineRule="auto"/>
        <w:jc w:val="both"/>
        <w:rPr>
          <w:rFonts w:ascii="Times New Roman" w:hAnsi="Times New Roman"/>
          <w:color w:val="auto"/>
          <w:sz w:val="24"/>
          <w:szCs w:val="24"/>
        </w:rPr>
      </w:pPr>
      <w:r w:rsidRPr="00AF4D6F">
        <w:rPr>
          <w:rFonts w:ascii="Times New Roman" w:hAnsi="Times New Roman"/>
          <w:color w:val="auto"/>
          <w:sz w:val="24"/>
          <w:szCs w:val="24"/>
        </w:rPr>
        <w:t>2.2.3 Isolation and Maintenance of Cellulase-Producing Fungi</w:t>
      </w:r>
    </w:p>
    <w:p w14:paraId="1200C732" w14:textId="77777777" w:rsidR="005372E5" w:rsidRPr="00AF4D6F" w:rsidRDefault="006B022B" w:rsidP="00AF4D6F">
      <w:pPr>
        <w:spacing w:after="240" w:line="360" w:lineRule="auto"/>
        <w:jc w:val="both"/>
        <w:rPr>
          <w:rFonts w:ascii="Times New Roman" w:hAnsi="Times New Roman"/>
          <w:sz w:val="24"/>
          <w:szCs w:val="24"/>
        </w:rPr>
      </w:pPr>
      <w:r w:rsidRPr="00AF4D6F">
        <w:rPr>
          <w:rFonts w:ascii="Times New Roman" w:hAnsi="Times New Roman"/>
          <w:sz w:val="24"/>
          <w:szCs w:val="24"/>
        </w:rPr>
        <w:t>Sample pieces (0.5–1 cm) were surface-sterilized with 1% sodium hypochlorite (</w:t>
      </w:r>
      <w:proofErr w:type="spellStart"/>
      <w:r w:rsidRPr="00AF4D6F">
        <w:rPr>
          <w:rFonts w:ascii="Times New Roman" w:hAnsi="Times New Roman"/>
          <w:sz w:val="24"/>
          <w:szCs w:val="24"/>
        </w:rPr>
        <w:t>NaOCl</w:t>
      </w:r>
      <w:proofErr w:type="spellEnd"/>
      <w:r w:rsidRPr="00AF4D6F">
        <w:rPr>
          <w:rFonts w:ascii="Times New Roman" w:hAnsi="Times New Roman"/>
          <w:sz w:val="24"/>
          <w:szCs w:val="24"/>
        </w:rPr>
        <w:t>) for 30 seconds, rinsed five times with distilled water, and blot-dried with sterile paper towels (</w:t>
      </w:r>
      <w:proofErr w:type="spellStart"/>
      <w:r w:rsidRPr="00AF4D6F">
        <w:rPr>
          <w:rFonts w:ascii="Times New Roman" w:hAnsi="Times New Roman"/>
          <w:sz w:val="24"/>
          <w:szCs w:val="24"/>
        </w:rPr>
        <w:t>Munyasi</w:t>
      </w:r>
      <w:proofErr w:type="spellEnd"/>
      <w:r w:rsidRPr="00AF4D6F">
        <w:rPr>
          <w:rFonts w:ascii="Times New Roman" w:hAnsi="Times New Roman"/>
          <w:sz w:val="24"/>
          <w:szCs w:val="24"/>
        </w:rPr>
        <w:t xml:space="preserve"> </w:t>
      </w:r>
      <w:r w:rsidRPr="00AF4D6F">
        <w:rPr>
          <w:rFonts w:ascii="Times New Roman" w:hAnsi="Times New Roman"/>
          <w:i/>
          <w:iCs/>
          <w:sz w:val="24"/>
          <w:szCs w:val="24"/>
        </w:rPr>
        <w:t>et al</w:t>
      </w:r>
      <w:r w:rsidRPr="00AF4D6F">
        <w:rPr>
          <w:rFonts w:ascii="Times New Roman" w:hAnsi="Times New Roman"/>
          <w:sz w:val="24"/>
          <w:szCs w:val="24"/>
        </w:rPr>
        <w:t xml:space="preserve">., 2024). The sterilized samples were plated on 0.188% potato dextrose agar containing gentamycin (100 mg/L) to inhibit bacterial contamination. Petri dishes were labeled and sealed with parafilm before incubation at 25 °C (Jobita </w:t>
      </w:r>
      <w:r w:rsidRPr="00AF4D6F">
        <w:rPr>
          <w:rFonts w:ascii="Times New Roman" w:hAnsi="Times New Roman"/>
          <w:i/>
          <w:iCs/>
          <w:sz w:val="24"/>
          <w:szCs w:val="24"/>
        </w:rPr>
        <w:t>et al</w:t>
      </w:r>
      <w:r w:rsidRPr="00AF4D6F">
        <w:rPr>
          <w:rFonts w:ascii="Times New Roman" w:hAnsi="Times New Roman"/>
          <w:sz w:val="24"/>
          <w:szCs w:val="24"/>
        </w:rPr>
        <w:t>., 2025). Plates were monitored daily for fungal growth, and emerging colonies were sub-cultured onto carboxymethyl cellulose agar for pure culture isolation.</w:t>
      </w:r>
    </w:p>
    <w:p w14:paraId="42E67586" w14:textId="047B6FA6"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lastRenderedPageBreak/>
        <w:t>2.3</w:t>
      </w:r>
      <w:r w:rsidRPr="00AF4D6F">
        <w:rPr>
          <w:rFonts w:ascii="Times New Roman" w:hAnsi="Times New Roman"/>
          <w:color w:val="auto"/>
          <w:sz w:val="24"/>
          <w:szCs w:val="24"/>
        </w:rPr>
        <w:t xml:space="preserve"> Substrate Preparation</w:t>
      </w:r>
    </w:p>
    <w:p w14:paraId="1E375D8A"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Three lignocellulosic substrates were used: rice husks (</w:t>
      </w:r>
      <w:r w:rsidRPr="00AF4D6F">
        <w:rPr>
          <w:rFonts w:ascii="Times New Roman" w:hAnsi="Times New Roman"/>
          <w:i/>
          <w:iCs/>
          <w:sz w:val="24"/>
          <w:szCs w:val="24"/>
        </w:rPr>
        <w:t>Oryza sativa</w:t>
      </w:r>
      <w:r w:rsidRPr="00AF4D6F">
        <w:rPr>
          <w:rFonts w:ascii="Times New Roman" w:hAnsi="Times New Roman"/>
          <w:sz w:val="24"/>
          <w:szCs w:val="24"/>
        </w:rPr>
        <w:t>), sugarcane bagasse (</w:t>
      </w:r>
      <w:r w:rsidRPr="00AF4D6F">
        <w:rPr>
          <w:rFonts w:ascii="Times New Roman" w:hAnsi="Times New Roman"/>
          <w:i/>
          <w:iCs/>
          <w:sz w:val="24"/>
          <w:szCs w:val="24"/>
        </w:rPr>
        <w:t>Saccharum</w:t>
      </w:r>
      <w:r w:rsidRPr="00AF4D6F">
        <w:rPr>
          <w:rFonts w:ascii="Times New Roman" w:hAnsi="Times New Roman"/>
          <w:sz w:val="24"/>
          <w:szCs w:val="24"/>
        </w:rPr>
        <w:t xml:space="preserve"> </w:t>
      </w:r>
      <w:r w:rsidRPr="00AF4D6F">
        <w:rPr>
          <w:rFonts w:ascii="Times New Roman" w:hAnsi="Times New Roman"/>
          <w:i/>
          <w:iCs/>
          <w:sz w:val="24"/>
          <w:szCs w:val="24"/>
        </w:rPr>
        <w:t>officinarum</w:t>
      </w:r>
      <w:r w:rsidRPr="00AF4D6F">
        <w:rPr>
          <w:rFonts w:ascii="Times New Roman" w:hAnsi="Times New Roman"/>
          <w:sz w:val="24"/>
          <w:szCs w:val="24"/>
        </w:rPr>
        <w:t>), and eucalyptus sawdust (</w:t>
      </w:r>
      <w:r w:rsidRPr="00AF4D6F">
        <w:rPr>
          <w:rFonts w:ascii="Times New Roman" w:hAnsi="Times New Roman"/>
          <w:i/>
          <w:iCs/>
          <w:sz w:val="24"/>
          <w:szCs w:val="24"/>
        </w:rPr>
        <w:t>Eucalyptus sp</w:t>
      </w:r>
      <w:r w:rsidRPr="00AF4D6F">
        <w:rPr>
          <w:rFonts w:ascii="Times New Roman" w:hAnsi="Times New Roman"/>
          <w:sz w:val="24"/>
          <w:szCs w:val="24"/>
        </w:rPr>
        <w:t xml:space="preserve">.). Samples were collected from local sources: sugarcane bagasse from Kisumu (0.0917° S, 34.7680° E), rice husks from </w:t>
      </w:r>
      <w:proofErr w:type="spellStart"/>
      <w:r w:rsidRPr="00AF4D6F">
        <w:rPr>
          <w:rFonts w:ascii="Times New Roman" w:hAnsi="Times New Roman"/>
          <w:sz w:val="24"/>
          <w:szCs w:val="24"/>
        </w:rPr>
        <w:t>Mwea</w:t>
      </w:r>
      <w:proofErr w:type="spellEnd"/>
      <w:r w:rsidRPr="00AF4D6F">
        <w:rPr>
          <w:rFonts w:ascii="Times New Roman" w:hAnsi="Times New Roman"/>
          <w:sz w:val="24"/>
          <w:szCs w:val="24"/>
        </w:rPr>
        <w:t xml:space="preserve"> (0.6753° S, 37.3690° E), and eucalyptus sawdust near Kenyatta University (1.1815° S, 36.9345° E). The wastes were cleaned, oven-dried at 65 °C for 72 hours, and ground to 1–3 mm particle size (Ravindran </w:t>
      </w:r>
      <w:r w:rsidRPr="00AF4D6F">
        <w:rPr>
          <w:rFonts w:ascii="Times New Roman" w:hAnsi="Times New Roman"/>
          <w:i/>
          <w:iCs/>
          <w:sz w:val="24"/>
          <w:szCs w:val="24"/>
        </w:rPr>
        <w:t>et al</w:t>
      </w:r>
      <w:r w:rsidRPr="00AF4D6F">
        <w:rPr>
          <w:rFonts w:ascii="Times New Roman" w:hAnsi="Times New Roman"/>
          <w:sz w:val="24"/>
          <w:szCs w:val="24"/>
        </w:rPr>
        <w:t>., 2016). The dried substrates were sealed in sterile containers and stored at 25 °C until use.</w:t>
      </w:r>
    </w:p>
    <w:p w14:paraId="4D0C3207" w14:textId="02101542"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t xml:space="preserve">2.4 </w:t>
      </w:r>
      <w:r w:rsidRPr="00AF4D6F">
        <w:rPr>
          <w:rFonts w:ascii="Times New Roman" w:hAnsi="Times New Roman"/>
          <w:color w:val="auto"/>
          <w:sz w:val="24"/>
          <w:szCs w:val="24"/>
        </w:rPr>
        <w:t>Solid-State Fermentation Setup</w:t>
      </w:r>
    </w:p>
    <w:p w14:paraId="67E8078A"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Twelve milliliters of Bushnell Haas (BH) medium, a carbon-free mineral medium supporting microbial enzyme production (Atlas, 2010), was prepared with the following composition (g/L): </w:t>
      </w:r>
      <w:proofErr w:type="spellStart"/>
      <w:r w:rsidRPr="00AF4D6F">
        <w:rPr>
          <w:rFonts w:ascii="Times New Roman" w:hAnsi="Times New Roman"/>
          <w:sz w:val="24"/>
          <w:szCs w:val="24"/>
        </w:rPr>
        <w:t>MgSO</w:t>
      </w:r>
      <w:proofErr w:type="spellEnd"/>
      <w:r w:rsidRPr="00AF4D6F">
        <w:rPr>
          <w:rFonts w:ascii="Times New Roman" w:hAnsi="Times New Roman"/>
          <w:sz w:val="24"/>
          <w:szCs w:val="24"/>
        </w:rPr>
        <w:t xml:space="preserve">₄ – 0.1; </w:t>
      </w:r>
      <w:proofErr w:type="spellStart"/>
      <w:r w:rsidRPr="00AF4D6F">
        <w:rPr>
          <w:rFonts w:ascii="Times New Roman" w:hAnsi="Times New Roman"/>
          <w:sz w:val="24"/>
          <w:szCs w:val="24"/>
        </w:rPr>
        <w:t>CaCl</w:t>
      </w:r>
      <w:proofErr w:type="spellEnd"/>
      <w:r w:rsidRPr="00AF4D6F">
        <w:rPr>
          <w:rFonts w:ascii="Times New Roman" w:hAnsi="Times New Roman"/>
          <w:sz w:val="24"/>
          <w:szCs w:val="24"/>
        </w:rPr>
        <w:t xml:space="preserve">₂ – 0.05; K₂HPO₄ – 1.0; </w:t>
      </w:r>
      <w:proofErr w:type="spellStart"/>
      <w:r w:rsidRPr="00AF4D6F">
        <w:rPr>
          <w:rFonts w:ascii="Times New Roman" w:hAnsi="Times New Roman"/>
          <w:sz w:val="24"/>
          <w:szCs w:val="24"/>
        </w:rPr>
        <w:t>NaNO</w:t>
      </w:r>
      <w:proofErr w:type="spellEnd"/>
      <w:r w:rsidRPr="00AF4D6F">
        <w:rPr>
          <w:rFonts w:ascii="Times New Roman" w:hAnsi="Times New Roman"/>
          <w:sz w:val="24"/>
          <w:szCs w:val="24"/>
        </w:rPr>
        <w:t xml:space="preserve">₃ – 1.0; </w:t>
      </w:r>
      <w:proofErr w:type="spellStart"/>
      <w:r w:rsidRPr="00AF4D6F">
        <w:rPr>
          <w:rFonts w:ascii="Times New Roman" w:hAnsi="Times New Roman"/>
          <w:sz w:val="24"/>
          <w:szCs w:val="24"/>
        </w:rPr>
        <w:t>FeCl</w:t>
      </w:r>
      <w:proofErr w:type="spellEnd"/>
      <w:r w:rsidRPr="00AF4D6F">
        <w:rPr>
          <w:rFonts w:ascii="Times New Roman" w:hAnsi="Times New Roman"/>
          <w:sz w:val="24"/>
          <w:szCs w:val="24"/>
        </w:rPr>
        <w:t>₃ – 0.05 (</w:t>
      </w:r>
      <w:proofErr w:type="spellStart"/>
      <w:r w:rsidRPr="00AF4D6F">
        <w:rPr>
          <w:rFonts w:ascii="Times New Roman" w:hAnsi="Times New Roman"/>
          <w:sz w:val="24"/>
          <w:szCs w:val="24"/>
        </w:rPr>
        <w:t>Brijwani</w:t>
      </w:r>
      <w:proofErr w:type="spellEnd"/>
      <w:r w:rsidRPr="00AF4D6F">
        <w:rPr>
          <w:rFonts w:ascii="Times New Roman" w:hAnsi="Times New Roman"/>
          <w:sz w:val="24"/>
          <w:szCs w:val="24"/>
        </w:rPr>
        <w:t xml:space="preserve"> &amp; </w:t>
      </w:r>
      <w:proofErr w:type="spellStart"/>
      <w:r w:rsidRPr="00AF4D6F">
        <w:rPr>
          <w:rFonts w:ascii="Times New Roman" w:hAnsi="Times New Roman"/>
          <w:sz w:val="24"/>
          <w:szCs w:val="24"/>
        </w:rPr>
        <w:t>Vadlani</w:t>
      </w:r>
      <w:proofErr w:type="spellEnd"/>
      <w:r w:rsidRPr="00AF4D6F">
        <w:rPr>
          <w:rFonts w:ascii="Times New Roman" w:hAnsi="Times New Roman"/>
          <w:sz w:val="24"/>
          <w:szCs w:val="24"/>
        </w:rPr>
        <w:t>, 2011). The pH of the medium was adjusted to 4.9 before dispensing the solution into 350 mL bottles, each containing 5 g of untreated lignocellulosic substrate (rice husks, sugarcane bagasse, or eucalyptus sawdust. A total of 45 bottles were used, 15 for each of the substrates.</w:t>
      </w:r>
    </w:p>
    <w:p w14:paraId="4B762089"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 The bottles were then sterilized at 121 °C and 15 psi for 20 minutes (</w:t>
      </w:r>
      <w:r w:rsidRPr="00AF4D6F">
        <w:rPr>
          <w:rFonts w:ascii="Times New Roman" w:hAnsi="Times New Roman"/>
          <w:sz w:val="24"/>
          <w:szCs w:val="24"/>
          <w:shd w:val="clear" w:color="auto" w:fill="FFFFFF"/>
        </w:rPr>
        <w:t xml:space="preserve">Dessie </w:t>
      </w:r>
      <w:r w:rsidRPr="00AF4D6F">
        <w:rPr>
          <w:rFonts w:ascii="Times New Roman" w:hAnsi="Times New Roman"/>
          <w:i/>
          <w:iCs/>
          <w:sz w:val="24"/>
          <w:szCs w:val="24"/>
          <w:shd w:val="clear" w:color="auto" w:fill="FFFFFF"/>
        </w:rPr>
        <w:t>et al</w:t>
      </w:r>
      <w:r w:rsidRPr="00AF4D6F">
        <w:rPr>
          <w:rFonts w:ascii="Times New Roman" w:hAnsi="Times New Roman"/>
          <w:sz w:val="24"/>
          <w:szCs w:val="24"/>
          <w:shd w:val="clear" w:color="auto" w:fill="FFFFFF"/>
        </w:rPr>
        <w:t>., 2018).</w:t>
      </w:r>
      <w:r w:rsidRPr="00AF4D6F">
        <w:rPr>
          <w:rFonts w:ascii="Times New Roman" w:hAnsi="Times New Roman"/>
          <w:sz w:val="24"/>
          <w:szCs w:val="24"/>
        </w:rPr>
        <w:t xml:space="preserve"> After cooling, 1.5 mL of prepared fungal inoculum (1 × 10⁶ spores/mL) was added aseptically to each bottle. The inoculated bottles were incubated at 30 °C for 14 days under static conditions (Hasanin </w:t>
      </w:r>
      <w:r w:rsidRPr="00AF4D6F">
        <w:rPr>
          <w:rFonts w:ascii="Times New Roman" w:hAnsi="Times New Roman"/>
          <w:i/>
          <w:iCs/>
          <w:sz w:val="24"/>
          <w:szCs w:val="24"/>
        </w:rPr>
        <w:t>et al</w:t>
      </w:r>
      <w:r w:rsidRPr="00AF4D6F">
        <w:rPr>
          <w:rFonts w:ascii="Times New Roman" w:hAnsi="Times New Roman"/>
          <w:sz w:val="24"/>
          <w:szCs w:val="24"/>
        </w:rPr>
        <w:t>., 2020). Bottles were loosely capped to allow air exchange while preventing contamination.</w:t>
      </w:r>
    </w:p>
    <w:p w14:paraId="0DCAF4B9" w14:textId="77777777" w:rsidR="005372E5" w:rsidRPr="00AF4D6F" w:rsidRDefault="006B022B">
      <w:pPr>
        <w:spacing w:line="360" w:lineRule="auto"/>
        <w:jc w:val="both"/>
        <w:rPr>
          <w:rFonts w:ascii="Times New Roman" w:hAnsi="Times New Roman"/>
          <w:b/>
          <w:bCs/>
          <w:sz w:val="24"/>
          <w:szCs w:val="24"/>
        </w:rPr>
      </w:pPr>
      <w:bookmarkStart w:id="1" w:name="_Hlk212824570"/>
      <w:r w:rsidRPr="00AF4D6F">
        <w:rPr>
          <w:rFonts w:ascii="Times New Roman" w:hAnsi="Times New Roman"/>
          <w:b/>
          <w:bCs/>
          <w:sz w:val="24"/>
          <w:szCs w:val="24"/>
        </w:rPr>
        <w:t>Experimental design</w:t>
      </w:r>
    </w:p>
    <w:p w14:paraId="3E1B2597"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The experiment was arranged in a Completely Randomized Design (CRD) with three treatments representing the lignocellulosic substrates (sugarcane bagasse, Rice husks, and Eucalyptus sawdust). Each treatment was replicated three times for each incubation period (2, 4, 6, 8, and 10 days), resulting in a total of 45 experimental units. Enzyme extraction was performed every two days for a total of ten days. On each sampling day, cellulases were extracted from nine bottles, three randomly selected bottles per substrate type, to determine cellulase activity.</w:t>
      </w:r>
    </w:p>
    <w:p w14:paraId="327DD72A"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b/>
          <w:bCs/>
          <w:sz w:val="24"/>
          <w:szCs w:val="24"/>
        </w:rPr>
        <w:t>2.5 Enzyme</w:t>
      </w:r>
      <w:bookmarkEnd w:id="1"/>
      <w:r w:rsidRPr="00AF4D6F">
        <w:rPr>
          <w:rFonts w:ascii="Times New Roman" w:hAnsi="Times New Roman"/>
          <w:b/>
          <w:bCs/>
          <w:sz w:val="24"/>
          <w:szCs w:val="24"/>
        </w:rPr>
        <w:t xml:space="preserve"> Extraction</w:t>
      </w:r>
    </w:p>
    <w:p w14:paraId="20B440C6"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lastRenderedPageBreak/>
        <w:t xml:space="preserve">Crude enzyme extraction was performed by adding 50 mL of 50 mM citrate buffer (pH 4.8) to each 350 mL bottle. The mixture was shaken for 15 minutes at 120 rpm to facilitate enzyme release and allowed to stand for 2 hours. </w:t>
      </w:r>
    </w:p>
    <w:p w14:paraId="3E25AF97"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The contents were filtered through Whatman No. 1 filter paper to separate fungal mycelia and residual substrates from the liquid portion. The filtrate was centrifuged at 12,000 rpm for 12 minutes at 4 °C, and the clear supernatant was collected as the crude enzyme extract (Legodi </w:t>
      </w:r>
      <w:r w:rsidRPr="00AF4D6F">
        <w:rPr>
          <w:rFonts w:ascii="Times New Roman" w:hAnsi="Times New Roman"/>
          <w:i/>
          <w:iCs/>
          <w:sz w:val="24"/>
          <w:szCs w:val="24"/>
        </w:rPr>
        <w:t>et al</w:t>
      </w:r>
      <w:r w:rsidRPr="00AF4D6F">
        <w:rPr>
          <w:rFonts w:ascii="Times New Roman" w:hAnsi="Times New Roman"/>
          <w:sz w:val="24"/>
          <w:szCs w:val="24"/>
        </w:rPr>
        <w:t>., 2019). The supernatant was stored at −20 °C for subsequent enzyme bioassays (</w:t>
      </w:r>
      <w:proofErr w:type="spellStart"/>
      <w:r w:rsidRPr="00AF4D6F">
        <w:rPr>
          <w:rFonts w:ascii="Times New Roman" w:hAnsi="Times New Roman"/>
          <w:sz w:val="24"/>
          <w:szCs w:val="24"/>
        </w:rPr>
        <w:t>Mandels</w:t>
      </w:r>
      <w:proofErr w:type="spellEnd"/>
      <w:r w:rsidRPr="00AF4D6F">
        <w:rPr>
          <w:rFonts w:ascii="Times New Roman" w:hAnsi="Times New Roman"/>
          <w:sz w:val="24"/>
          <w:szCs w:val="24"/>
        </w:rPr>
        <w:t xml:space="preserve"> &amp; Weber, 1969; Gautam </w:t>
      </w:r>
      <w:r w:rsidRPr="00AF4D6F">
        <w:rPr>
          <w:rFonts w:ascii="Times New Roman" w:hAnsi="Times New Roman"/>
          <w:i/>
          <w:iCs/>
          <w:sz w:val="24"/>
          <w:szCs w:val="24"/>
        </w:rPr>
        <w:t>et al</w:t>
      </w:r>
      <w:r w:rsidRPr="00AF4D6F">
        <w:rPr>
          <w:rFonts w:ascii="Times New Roman" w:hAnsi="Times New Roman"/>
          <w:sz w:val="24"/>
          <w:szCs w:val="24"/>
        </w:rPr>
        <w:t>., 2012).</w:t>
      </w:r>
    </w:p>
    <w:p w14:paraId="46CE0E85" w14:textId="77777777" w:rsidR="005372E5" w:rsidRPr="00AF4D6F" w:rsidRDefault="006B022B">
      <w:pPr>
        <w:spacing w:line="360" w:lineRule="auto"/>
        <w:jc w:val="both"/>
        <w:rPr>
          <w:rFonts w:ascii="Times New Roman" w:hAnsi="Times New Roman"/>
          <w:b/>
          <w:bCs/>
          <w:sz w:val="24"/>
          <w:szCs w:val="24"/>
        </w:rPr>
      </w:pPr>
      <w:r w:rsidRPr="00AF4D6F">
        <w:rPr>
          <w:rFonts w:ascii="Times New Roman" w:hAnsi="Times New Roman"/>
          <w:b/>
          <w:bCs/>
          <w:sz w:val="24"/>
          <w:szCs w:val="24"/>
        </w:rPr>
        <w:t>2.7 Enzyme Assays</w:t>
      </w:r>
    </w:p>
    <w:p w14:paraId="6A0FD5E9" w14:textId="77777777" w:rsidR="005372E5" w:rsidRPr="00AF4D6F" w:rsidRDefault="006B022B">
      <w:pPr>
        <w:spacing w:line="360" w:lineRule="auto"/>
        <w:jc w:val="both"/>
        <w:rPr>
          <w:rFonts w:ascii="Times New Roman" w:hAnsi="Times New Roman"/>
          <w:b/>
          <w:bCs/>
          <w:sz w:val="24"/>
          <w:szCs w:val="24"/>
        </w:rPr>
      </w:pPr>
      <w:r w:rsidRPr="00AF4D6F">
        <w:rPr>
          <w:rFonts w:ascii="Times New Roman" w:hAnsi="Times New Roman"/>
          <w:b/>
          <w:bCs/>
          <w:sz w:val="24"/>
          <w:szCs w:val="24"/>
        </w:rPr>
        <w:t>2.7.1 Preparation of Reagents</w:t>
      </w:r>
    </w:p>
    <w:p w14:paraId="7C8E446D"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DNS reagent: 9 g DNS, 9 g NaOH, 1.5 g phenol, and 1.0 g </w:t>
      </w:r>
      <w:proofErr w:type="spellStart"/>
      <w:r w:rsidRPr="00AF4D6F">
        <w:rPr>
          <w:rFonts w:ascii="Times New Roman" w:hAnsi="Times New Roman"/>
          <w:sz w:val="24"/>
          <w:szCs w:val="24"/>
        </w:rPr>
        <w:t>Na₂SO</w:t>
      </w:r>
      <w:proofErr w:type="spellEnd"/>
      <w:r w:rsidRPr="00AF4D6F">
        <w:rPr>
          <w:rFonts w:ascii="Times New Roman" w:hAnsi="Times New Roman"/>
          <w:sz w:val="24"/>
          <w:szCs w:val="24"/>
        </w:rPr>
        <w:t>₃ were dissolved in 1 L of distilled water and stored in a dark container.</w:t>
      </w:r>
    </w:p>
    <w:p w14:paraId="78E4024E"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Potassium sodium tartrate: 350 mg was dissolved in 1 L of distilled water (Jobita et al., 2025).</w:t>
      </w:r>
    </w:p>
    <w:p w14:paraId="5E395C27" w14:textId="12E57287"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t xml:space="preserve">2.4.1 </w:t>
      </w:r>
      <w:r w:rsidRPr="00AF4D6F">
        <w:rPr>
          <w:rFonts w:ascii="Times New Roman" w:hAnsi="Times New Roman"/>
          <w:color w:val="auto"/>
          <w:sz w:val="24"/>
          <w:szCs w:val="24"/>
        </w:rPr>
        <w:t>Filter Paper Assay (</w:t>
      </w:r>
      <w:proofErr w:type="spellStart"/>
      <w:r w:rsidRPr="00AF4D6F">
        <w:rPr>
          <w:rFonts w:ascii="Times New Roman" w:hAnsi="Times New Roman"/>
          <w:color w:val="auto"/>
          <w:sz w:val="24"/>
          <w:szCs w:val="24"/>
        </w:rPr>
        <w:t>FPase</w:t>
      </w:r>
      <w:proofErr w:type="spellEnd"/>
      <w:r w:rsidRPr="00AF4D6F">
        <w:rPr>
          <w:rFonts w:ascii="Times New Roman" w:hAnsi="Times New Roman"/>
          <w:color w:val="auto"/>
          <w:sz w:val="24"/>
          <w:szCs w:val="24"/>
        </w:rPr>
        <w:t>)</w:t>
      </w:r>
    </w:p>
    <w:p w14:paraId="59911AB5"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The total cellulase activity of the crude enzyme extract was determined using the Filter Paper Assay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as described by </w:t>
      </w:r>
      <w:proofErr w:type="spellStart"/>
      <w:r w:rsidRPr="00AF4D6F">
        <w:rPr>
          <w:rFonts w:ascii="Times New Roman" w:hAnsi="Times New Roman"/>
          <w:sz w:val="24"/>
          <w:szCs w:val="24"/>
        </w:rPr>
        <w:t>Mandels</w:t>
      </w:r>
      <w:proofErr w:type="spellEnd"/>
      <w:r w:rsidRPr="00AF4D6F">
        <w:rPr>
          <w:rFonts w:ascii="Times New Roman" w:hAnsi="Times New Roman"/>
          <w:sz w:val="24"/>
          <w:szCs w:val="24"/>
        </w:rPr>
        <w:t xml:space="preserve">, Andreotti, and Roche (1976). </w:t>
      </w:r>
    </w:p>
    <w:p w14:paraId="2EBA8A17"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A Whatman No. 1 filter paper strip (1 × 6 cm, approximately 50 mg) was used as the cellulose substrate. The substrate was placed in 2 mL microcentrifuge tubes containing 500 µL of 50 mM citrate buffer (pH 4.8) to maintain optimal enzymatic conditions. Then, 500 µL of crude enzyme filtrate was added to each tube, gently mixed, and </w:t>
      </w:r>
      <w:proofErr w:type="gramStart"/>
      <w:r w:rsidRPr="00AF4D6F">
        <w:rPr>
          <w:rFonts w:ascii="Times New Roman" w:hAnsi="Times New Roman"/>
          <w:sz w:val="24"/>
          <w:szCs w:val="24"/>
        </w:rPr>
        <w:t>incubated  in</w:t>
      </w:r>
      <w:proofErr w:type="gramEnd"/>
      <w:r w:rsidRPr="00AF4D6F">
        <w:rPr>
          <w:rFonts w:ascii="Times New Roman" w:hAnsi="Times New Roman"/>
          <w:sz w:val="24"/>
          <w:szCs w:val="24"/>
        </w:rPr>
        <w:t xml:space="preserve"> a water bath at 50 °C for 60 minutes.</w:t>
      </w:r>
    </w:p>
    <w:p w14:paraId="45506341"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After incubation, the reaction was terminated by adding 700 µL of DNS reagent, followed by heating at 100 °C for 5 minutes to develop a red-brown color. The tubes were cooled under running tap water, and 300 µL of potassium sodium tartrate was added to stabilize the color complex. The absorbance was measured at 540 nm using a UV–</w:t>
      </w:r>
      <w:proofErr w:type="gramStart"/>
      <w:r w:rsidRPr="00AF4D6F">
        <w:rPr>
          <w:rFonts w:ascii="Times New Roman" w:hAnsi="Times New Roman"/>
          <w:sz w:val="24"/>
          <w:szCs w:val="24"/>
        </w:rPr>
        <w:t>Vis</w:t>
      </w:r>
      <w:proofErr w:type="gramEnd"/>
      <w:r w:rsidRPr="00AF4D6F">
        <w:rPr>
          <w:rFonts w:ascii="Times New Roman" w:hAnsi="Times New Roman"/>
          <w:sz w:val="24"/>
          <w:szCs w:val="24"/>
        </w:rPr>
        <w:t xml:space="preserve"> spectrophotometer (Miller, 1959; Ghose, 1987).</w:t>
      </w:r>
    </w:p>
    <w:p w14:paraId="37FC98B8" w14:textId="7597CE54"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lastRenderedPageBreak/>
        <w:t>2.4.2</w:t>
      </w:r>
      <w:r w:rsidRPr="00AF4D6F">
        <w:rPr>
          <w:rFonts w:ascii="Times New Roman" w:hAnsi="Times New Roman"/>
          <w:color w:val="auto"/>
          <w:sz w:val="24"/>
          <w:szCs w:val="24"/>
        </w:rPr>
        <w:t xml:space="preserve"> Endoglucanase (</w:t>
      </w:r>
      <w:proofErr w:type="spellStart"/>
      <w:r w:rsidRPr="00AF4D6F">
        <w:rPr>
          <w:rFonts w:ascii="Times New Roman" w:hAnsi="Times New Roman"/>
          <w:color w:val="auto"/>
          <w:sz w:val="24"/>
          <w:szCs w:val="24"/>
        </w:rPr>
        <w:t>CMCase</w:t>
      </w:r>
      <w:proofErr w:type="spellEnd"/>
      <w:r w:rsidRPr="00AF4D6F">
        <w:rPr>
          <w:rFonts w:ascii="Times New Roman" w:hAnsi="Times New Roman"/>
          <w:color w:val="auto"/>
          <w:sz w:val="24"/>
          <w:szCs w:val="24"/>
        </w:rPr>
        <w:t>) Assay</w:t>
      </w:r>
    </w:p>
    <w:p w14:paraId="707B9818"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500 µL of 1% (w/v) carboxymethyl cellulose (CMC) prepared in 50 mM citrate buffer (pH 4.8) was added to a 2 mL microcentrifuge tube, followed by 500 µL of crude enzyme extract. The mixture was incubated in a water bath at 50 °C for 30 minutes.</w:t>
      </w:r>
    </w:p>
    <w:p w14:paraId="5086B4F9"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After incubation, 700 µL of DNS reagent was added to terminate the reaction, and the tubes were boiled at 100 °C for 5 minutes to allow </w:t>
      </w:r>
      <w:proofErr w:type="spellStart"/>
      <w:r w:rsidRPr="00AF4D6F">
        <w:rPr>
          <w:rFonts w:ascii="Times New Roman" w:hAnsi="Times New Roman"/>
          <w:sz w:val="24"/>
          <w:szCs w:val="24"/>
        </w:rPr>
        <w:t>colour</w:t>
      </w:r>
      <w:proofErr w:type="spellEnd"/>
      <w:r w:rsidRPr="00AF4D6F">
        <w:rPr>
          <w:rFonts w:ascii="Times New Roman" w:hAnsi="Times New Roman"/>
          <w:sz w:val="24"/>
          <w:szCs w:val="24"/>
        </w:rPr>
        <w:t xml:space="preserve"> development. After cooling under running water, 300 µL of potassium sodium tartrate was added to stabilize the orange-brown color complex. The absorbance was measured at 540 nm using a UV–</w:t>
      </w:r>
      <w:proofErr w:type="gramStart"/>
      <w:r w:rsidRPr="00AF4D6F">
        <w:rPr>
          <w:rFonts w:ascii="Times New Roman" w:hAnsi="Times New Roman"/>
          <w:sz w:val="24"/>
          <w:szCs w:val="24"/>
        </w:rPr>
        <w:t>Vis</w:t>
      </w:r>
      <w:proofErr w:type="gramEnd"/>
      <w:r w:rsidRPr="00AF4D6F">
        <w:rPr>
          <w:rFonts w:ascii="Times New Roman" w:hAnsi="Times New Roman"/>
          <w:sz w:val="24"/>
          <w:szCs w:val="24"/>
        </w:rPr>
        <w:t xml:space="preserve"> spectrophotometer against a reagent blank containing buffer and substrate without enzyme (Gautam </w:t>
      </w:r>
      <w:r w:rsidRPr="00AF4D6F">
        <w:rPr>
          <w:rFonts w:ascii="Times New Roman" w:hAnsi="Times New Roman"/>
          <w:i/>
          <w:iCs/>
          <w:sz w:val="24"/>
          <w:szCs w:val="24"/>
        </w:rPr>
        <w:t>et al</w:t>
      </w:r>
      <w:r w:rsidRPr="00AF4D6F">
        <w:rPr>
          <w:rFonts w:ascii="Times New Roman" w:hAnsi="Times New Roman"/>
          <w:sz w:val="24"/>
          <w:szCs w:val="24"/>
        </w:rPr>
        <w:t>., 2012; Miller, 1959).</w:t>
      </w:r>
    </w:p>
    <w:p w14:paraId="5AD98FCB" w14:textId="04E1A1E7"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t>2.4.3</w:t>
      </w:r>
      <w:r w:rsidRPr="00AF4D6F">
        <w:rPr>
          <w:rFonts w:ascii="Times New Roman" w:hAnsi="Times New Roman"/>
          <w:color w:val="auto"/>
          <w:sz w:val="24"/>
          <w:szCs w:val="24"/>
        </w:rPr>
        <w:t xml:space="preserve"> </w:t>
      </w:r>
      <w:proofErr w:type="spellStart"/>
      <w:r w:rsidRPr="00AF4D6F">
        <w:rPr>
          <w:rFonts w:ascii="Times New Roman" w:hAnsi="Times New Roman"/>
          <w:color w:val="auto"/>
          <w:sz w:val="24"/>
          <w:szCs w:val="24"/>
        </w:rPr>
        <w:t>Exoglucanase</w:t>
      </w:r>
      <w:proofErr w:type="spellEnd"/>
      <w:r w:rsidRPr="00AF4D6F">
        <w:rPr>
          <w:rFonts w:ascii="Times New Roman" w:hAnsi="Times New Roman"/>
          <w:color w:val="auto"/>
          <w:sz w:val="24"/>
          <w:szCs w:val="24"/>
        </w:rPr>
        <w:t xml:space="preserve"> (</w:t>
      </w:r>
      <w:proofErr w:type="spellStart"/>
      <w:r w:rsidRPr="00AF4D6F">
        <w:rPr>
          <w:rFonts w:ascii="Times New Roman" w:hAnsi="Times New Roman"/>
          <w:color w:val="auto"/>
          <w:sz w:val="24"/>
          <w:szCs w:val="24"/>
        </w:rPr>
        <w:t>Avicelase</w:t>
      </w:r>
      <w:proofErr w:type="spellEnd"/>
      <w:r w:rsidRPr="00AF4D6F">
        <w:rPr>
          <w:rFonts w:ascii="Times New Roman" w:hAnsi="Times New Roman"/>
          <w:color w:val="auto"/>
          <w:sz w:val="24"/>
          <w:szCs w:val="24"/>
        </w:rPr>
        <w:t>) Assay</w:t>
      </w:r>
    </w:p>
    <w:p w14:paraId="676E48B1"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For </w:t>
      </w:r>
      <w:proofErr w:type="spellStart"/>
      <w:r w:rsidRPr="00AF4D6F">
        <w:rPr>
          <w:rFonts w:ascii="Times New Roman" w:hAnsi="Times New Roman"/>
          <w:sz w:val="24"/>
          <w:szCs w:val="24"/>
        </w:rPr>
        <w:t>exoglucanase</w:t>
      </w:r>
      <w:proofErr w:type="spellEnd"/>
      <w:r w:rsidRPr="00AF4D6F">
        <w:rPr>
          <w:rFonts w:ascii="Times New Roman" w:hAnsi="Times New Roman"/>
          <w:sz w:val="24"/>
          <w:szCs w:val="24"/>
        </w:rPr>
        <w:t xml:space="preserve"> activity, 500 µL of 1% Avicel suspension in 50 mM citrate buffer (pH 4.8) was dispensed into a labeled 2 mL microcentrifuge tube. Then, 500 µL of appropriately diluted crude enzyme was added, mixed gently, and incubated at 50 °C for 120 minutes.</w:t>
      </w:r>
    </w:p>
    <w:p w14:paraId="0CE7A85D"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The reaction was stopped by adding 700 µL of DNS reagent, followed by heating at 100 °C for 5 minutes to develop color (Alemu, 2012). After cooling under running water, 300 µL of potassium sodium tartrate was added to stabilize the colored complex. Absorbance was read at 540 nm using a UV–</w:t>
      </w:r>
      <w:proofErr w:type="gramStart"/>
      <w:r w:rsidRPr="00AF4D6F">
        <w:rPr>
          <w:rFonts w:ascii="Times New Roman" w:hAnsi="Times New Roman"/>
          <w:sz w:val="24"/>
          <w:szCs w:val="24"/>
        </w:rPr>
        <w:t>Vis</w:t>
      </w:r>
      <w:proofErr w:type="gramEnd"/>
      <w:r w:rsidRPr="00AF4D6F">
        <w:rPr>
          <w:rFonts w:ascii="Times New Roman" w:hAnsi="Times New Roman"/>
          <w:sz w:val="24"/>
          <w:szCs w:val="24"/>
        </w:rPr>
        <w:t xml:space="preserve"> spectrophotometer (Wood &amp; Bhat, 1988). </w:t>
      </w:r>
    </w:p>
    <w:p w14:paraId="2E32A724"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All assays were conducted in triplicate to ensure reproducibility and accuracy, and control reactions without enzyme were included to correct for background absorbance. Enzyme activities were expressed in International Units (IU/mL), where one unit corresponds to the amount of enzyme releasing 1 µmol of glucose per minute under assay conditions (Hasanin et al., 2020).</w:t>
      </w:r>
    </w:p>
    <w:p w14:paraId="6842E21F" w14:textId="60DE3C9F" w:rsidR="005372E5" w:rsidRPr="00AF4D6F" w:rsidRDefault="006B022B">
      <w:pPr>
        <w:spacing w:line="360" w:lineRule="auto"/>
        <w:jc w:val="both"/>
        <w:rPr>
          <w:rFonts w:ascii="Times New Roman" w:hAnsi="Times New Roman"/>
          <w:sz w:val="24"/>
          <w:szCs w:val="24"/>
        </w:rPr>
      </w:pPr>
      <w:r w:rsidRPr="00AF4D6F">
        <w:rPr>
          <w:rFonts w:ascii="Times New Roman" w:hAnsi="Times New Roman"/>
          <w:b/>
          <w:bCs/>
          <w:sz w:val="24"/>
          <w:szCs w:val="24"/>
        </w:rPr>
        <w:t xml:space="preserve">2.4 Data </w:t>
      </w:r>
      <w:r w:rsidR="00AF4D6F">
        <w:rPr>
          <w:rFonts w:ascii="Times New Roman" w:hAnsi="Times New Roman"/>
          <w:b/>
          <w:bCs/>
          <w:sz w:val="24"/>
          <w:szCs w:val="24"/>
        </w:rPr>
        <w:t>Collection</w:t>
      </w:r>
      <w:r w:rsidRPr="00AF4D6F">
        <w:rPr>
          <w:rFonts w:ascii="Times New Roman" w:hAnsi="Times New Roman"/>
          <w:b/>
          <w:bCs/>
          <w:sz w:val="24"/>
          <w:szCs w:val="24"/>
        </w:rPr>
        <w:t xml:space="preserve"> and Analysis Procedure </w:t>
      </w:r>
    </w:p>
    <w:p w14:paraId="68E9BB7E"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Absorbance values obtained from enzyme assays were recorded in Microsoft Excel and used to calculate cellulase activities, expressed in International Units (IU/mL).</w:t>
      </w:r>
    </w:p>
    <w:p w14:paraId="69CAB0C1"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A glucose standard curve (Figure 1) was prepared using known concentrations of glucose reacted with DNS reagent, and absorbance was measured spectrophotometrically at 540 nm. The resulting </w:t>
      </w:r>
      <w:r w:rsidRPr="00AF4D6F">
        <w:rPr>
          <w:rFonts w:ascii="Times New Roman" w:hAnsi="Times New Roman"/>
          <w:sz w:val="24"/>
          <w:szCs w:val="24"/>
        </w:rPr>
        <w:lastRenderedPageBreak/>
        <w:t>linear calibration curve was used to determine glucose concentrations in the enzyme assay samples. Each absorbance reading was converted to an equivalent glucose concentration using the equation:</w:t>
      </w:r>
    </w:p>
    <w:p w14:paraId="1FEBD01B"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Y = 0.3975x + 0.04058 </w:t>
      </w:r>
    </w:p>
    <w:p w14:paraId="349B562E"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 R^2 = 0.9925</w:t>
      </w:r>
    </w:p>
    <w:p w14:paraId="4645E94B" w14:textId="48D4E352"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where Y is absorbance, x is glucose concentration, and R^2 is the coefficient of </w:t>
      </w:r>
      <w:r w:rsidR="00AF4D6F" w:rsidRPr="00AF4D6F">
        <w:rPr>
          <w:rFonts w:ascii="Times New Roman" w:hAnsi="Times New Roman"/>
          <w:sz w:val="24"/>
          <w:szCs w:val="24"/>
        </w:rPr>
        <w:t>determination.</w:t>
      </w:r>
    </w:p>
    <w:p w14:paraId="21F149D0" w14:textId="24606DE7" w:rsidR="00AF4D6F" w:rsidRDefault="00AF4D6F">
      <w:pPr>
        <w:spacing w:line="360" w:lineRule="auto"/>
        <w:jc w:val="both"/>
        <w:rPr>
          <w:rFonts w:ascii="Times New Roman" w:hAnsi="Times New Roman"/>
          <w:sz w:val="24"/>
          <w:szCs w:val="24"/>
        </w:rPr>
      </w:pPr>
      <w:r w:rsidRPr="00AF4D6F">
        <w:rPr>
          <w:rFonts w:ascii="Times New Roman" w:hAnsi="Times New Roman"/>
          <w:noProof/>
          <w:sz w:val="24"/>
          <w:szCs w:val="24"/>
        </w:rPr>
        <w:drawing>
          <wp:inline distT="0" distB="0" distL="0" distR="0" wp14:anchorId="226503DF" wp14:editId="18524A65">
            <wp:extent cx="2971800" cy="1799253"/>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2971800" cy="1799253"/>
                    </a:xfrm>
                    <a:prstGeom prst="rect">
                      <a:avLst/>
                    </a:prstGeom>
                  </pic:spPr>
                </pic:pic>
              </a:graphicData>
            </a:graphic>
          </wp:inline>
        </w:drawing>
      </w:r>
    </w:p>
    <w:p w14:paraId="3E8C3880" w14:textId="77777777" w:rsidR="00AF4D6F" w:rsidRPr="00AF4D6F" w:rsidRDefault="00AF4D6F">
      <w:pPr>
        <w:spacing w:line="360" w:lineRule="auto"/>
        <w:jc w:val="both"/>
        <w:rPr>
          <w:rFonts w:ascii="Times New Roman" w:hAnsi="Times New Roman"/>
          <w:b/>
          <w:bCs/>
          <w:sz w:val="24"/>
          <w:szCs w:val="24"/>
        </w:rPr>
      </w:pPr>
    </w:p>
    <w:p w14:paraId="0313C023" w14:textId="40A96B75" w:rsidR="005372E5" w:rsidRPr="00AF4D6F" w:rsidRDefault="006B022B">
      <w:pPr>
        <w:spacing w:line="360" w:lineRule="auto"/>
        <w:jc w:val="both"/>
        <w:rPr>
          <w:rFonts w:ascii="Times New Roman" w:hAnsi="Times New Roman"/>
          <w:b/>
          <w:bCs/>
          <w:sz w:val="24"/>
          <w:szCs w:val="24"/>
        </w:rPr>
      </w:pPr>
      <w:r w:rsidRPr="00AF4D6F">
        <w:rPr>
          <w:rFonts w:ascii="Times New Roman" w:hAnsi="Times New Roman"/>
          <w:b/>
          <w:bCs/>
          <w:sz w:val="24"/>
          <w:szCs w:val="24"/>
        </w:rPr>
        <w:t>Figure 1: Glucose standard curve</w:t>
      </w:r>
    </w:p>
    <w:p w14:paraId="27BEA2AF"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The corresponding enzyme activities were then computed from these glucose concentrations and expressed as IU/mL (Hasanin et al., 2020).</w:t>
      </w:r>
    </w:p>
    <w:p w14:paraId="5773CE3F"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Data were entered into Microsoft Excel and analyzed using R software (v4.5.0). A one-way ANOVA tested the effects of incubation time and substrate type on enzyme activity, and Tukey’s HSD test separated the means at a significance level of p ≤ 0.05. Results were expressed as mean ± standard error of the mean (SEM) for each substrate and sampling day to ensure accuracy and comparability.</w:t>
      </w:r>
    </w:p>
    <w:p w14:paraId="10BC19FC" w14:textId="26F41D62"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t>3.1</w:t>
      </w:r>
      <w:r w:rsidRPr="00AF4D6F">
        <w:rPr>
          <w:rFonts w:ascii="Times New Roman" w:hAnsi="Times New Roman"/>
          <w:color w:val="auto"/>
          <w:sz w:val="24"/>
          <w:szCs w:val="24"/>
        </w:rPr>
        <w:t xml:space="preserve"> Results</w:t>
      </w:r>
    </w:p>
    <w:p w14:paraId="1B3D9CE2" w14:textId="20C9804A"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t>3</w:t>
      </w:r>
      <w:r w:rsidRPr="00AF4D6F">
        <w:rPr>
          <w:rFonts w:ascii="Times New Roman" w:hAnsi="Times New Roman"/>
          <w:color w:val="auto"/>
          <w:sz w:val="24"/>
          <w:szCs w:val="24"/>
        </w:rPr>
        <w:t xml:space="preserve">.1 </w:t>
      </w:r>
      <w:proofErr w:type="spellStart"/>
      <w:r w:rsidRPr="00AF4D6F">
        <w:rPr>
          <w:rFonts w:ascii="Times New Roman" w:hAnsi="Times New Roman"/>
          <w:color w:val="auto"/>
          <w:sz w:val="24"/>
          <w:szCs w:val="24"/>
        </w:rPr>
        <w:t>FPase</w:t>
      </w:r>
      <w:proofErr w:type="spellEnd"/>
      <w:r w:rsidRPr="00AF4D6F">
        <w:rPr>
          <w:rFonts w:ascii="Times New Roman" w:hAnsi="Times New Roman"/>
          <w:color w:val="auto"/>
          <w:sz w:val="24"/>
          <w:szCs w:val="24"/>
        </w:rPr>
        <w:t xml:space="preserve"> Activity</w:t>
      </w:r>
    </w:p>
    <w:p w14:paraId="25B856C1" w14:textId="77777777" w:rsidR="005372E5" w:rsidRPr="00AF4D6F" w:rsidRDefault="006B022B">
      <w:pPr>
        <w:spacing w:line="360" w:lineRule="auto"/>
        <w:jc w:val="both"/>
        <w:rPr>
          <w:rFonts w:ascii="Times New Roman" w:hAnsi="Times New Roman"/>
          <w:b/>
          <w:bCs/>
          <w:sz w:val="24"/>
          <w:szCs w:val="24"/>
        </w:rPr>
      </w:pPr>
      <w:r w:rsidRPr="00AF4D6F">
        <w:rPr>
          <w:rFonts w:ascii="Times New Roman" w:hAnsi="Times New Roman"/>
          <w:sz w:val="24"/>
          <w:szCs w:val="24"/>
        </w:rPr>
        <w:t xml:space="preserve">The results indicated that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activity increased significantly from day 2 to a peak between and 8, depending on the substrate. Rice husks yielded the highest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activity (2.41 ± 0.08 IU/mL, </w:t>
      </w:r>
      <w:r w:rsidRPr="00AF4D6F">
        <w:rPr>
          <w:rFonts w:ascii="Times New Roman" w:hAnsi="Times New Roman"/>
          <w:sz w:val="24"/>
          <w:szCs w:val="24"/>
        </w:rPr>
        <w:lastRenderedPageBreak/>
        <w:t>day 6), followed by sugarcane bagasse (2.04 ± 0.04 IU/mL, day 8) and eucalyptus sawdust (0.99 ± 0.10 IU/mL, day 8). Differences were statistically significant (p ≤0.05).</w:t>
      </w:r>
    </w:p>
    <w:p w14:paraId="2BE4FCFC" w14:textId="77777777" w:rsidR="005372E5" w:rsidRPr="00AF4D6F" w:rsidRDefault="006B022B">
      <w:pPr>
        <w:spacing w:line="360" w:lineRule="auto"/>
        <w:jc w:val="both"/>
        <w:rPr>
          <w:rFonts w:ascii="Times New Roman" w:hAnsi="Times New Roman"/>
          <w:b/>
          <w:bCs/>
          <w:sz w:val="24"/>
          <w:szCs w:val="24"/>
        </w:rPr>
      </w:pPr>
      <w:bookmarkStart w:id="2" w:name="_Hlk212547127"/>
      <w:r w:rsidRPr="00AF4D6F">
        <w:rPr>
          <w:rFonts w:ascii="Times New Roman" w:hAnsi="Times New Roman"/>
          <w:b/>
          <w:bCs/>
          <w:sz w:val="24"/>
          <w:szCs w:val="24"/>
        </w:rPr>
        <w:t xml:space="preserve">Table 1. Mean ± SEM of </w:t>
      </w:r>
      <w:proofErr w:type="spellStart"/>
      <w:r w:rsidRPr="00AF4D6F">
        <w:rPr>
          <w:rFonts w:ascii="Times New Roman" w:hAnsi="Times New Roman"/>
          <w:b/>
          <w:bCs/>
          <w:sz w:val="24"/>
          <w:szCs w:val="24"/>
        </w:rPr>
        <w:t>FPase</w:t>
      </w:r>
      <w:proofErr w:type="spellEnd"/>
      <w:r w:rsidRPr="00AF4D6F">
        <w:rPr>
          <w:rFonts w:ascii="Times New Roman" w:hAnsi="Times New Roman"/>
          <w:b/>
          <w:bCs/>
          <w:sz w:val="24"/>
          <w:szCs w:val="24"/>
        </w:rPr>
        <w:t xml:space="preserve"> Activities of </w:t>
      </w:r>
      <w:proofErr w:type="spellStart"/>
      <w:r w:rsidRPr="00AF4D6F">
        <w:rPr>
          <w:rFonts w:ascii="Times New Roman" w:hAnsi="Times New Roman"/>
          <w:b/>
          <w:bCs/>
          <w:i/>
          <w:iCs/>
          <w:sz w:val="24"/>
          <w:szCs w:val="24"/>
        </w:rPr>
        <w:t>Daldinia</w:t>
      </w:r>
      <w:proofErr w:type="spellEnd"/>
      <w:r w:rsidRPr="00AF4D6F">
        <w:rPr>
          <w:rFonts w:ascii="Times New Roman" w:hAnsi="Times New Roman"/>
          <w:b/>
          <w:bCs/>
          <w:i/>
          <w:iCs/>
          <w:sz w:val="24"/>
          <w:szCs w:val="24"/>
        </w:rPr>
        <w:t xml:space="preserve"> </w:t>
      </w:r>
      <w:proofErr w:type="spellStart"/>
      <w:r w:rsidRPr="00AF4D6F">
        <w:rPr>
          <w:rFonts w:ascii="Times New Roman" w:hAnsi="Times New Roman"/>
          <w:b/>
          <w:bCs/>
          <w:i/>
          <w:iCs/>
          <w:sz w:val="24"/>
          <w:szCs w:val="24"/>
        </w:rPr>
        <w:t>concentrica</w:t>
      </w:r>
      <w:proofErr w:type="spellEnd"/>
      <w:r w:rsidRPr="00AF4D6F">
        <w:rPr>
          <w:rFonts w:ascii="Times New Roman" w:hAnsi="Times New Roman"/>
          <w:b/>
          <w:bCs/>
          <w:sz w:val="24"/>
          <w:szCs w:val="24"/>
        </w:rPr>
        <w:t xml:space="preserve"> cultured on </w:t>
      </w:r>
      <w:bookmarkEnd w:id="2"/>
      <w:r w:rsidRPr="00AF4D6F">
        <w:rPr>
          <w:rFonts w:ascii="Times New Roman" w:hAnsi="Times New Roman"/>
          <w:b/>
          <w:bCs/>
          <w:sz w:val="24"/>
          <w:szCs w:val="24"/>
        </w:rPr>
        <w:t>different lignocellulosic substrates</w:t>
      </w:r>
    </w:p>
    <w:tbl>
      <w:tblPr>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440"/>
        <w:gridCol w:w="1350"/>
        <w:gridCol w:w="1440"/>
        <w:gridCol w:w="1440"/>
        <w:gridCol w:w="1530"/>
      </w:tblGrid>
      <w:tr w:rsidR="00AF4D6F" w:rsidRPr="00AF4D6F" w14:paraId="080753A0" w14:textId="77777777">
        <w:trPr>
          <w:trHeight w:val="234"/>
        </w:trPr>
        <w:tc>
          <w:tcPr>
            <w:tcW w:w="9445" w:type="dxa"/>
            <w:gridSpan w:val="6"/>
            <w:tcBorders>
              <w:top w:val="single" w:sz="18" w:space="0" w:color="auto"/>
              <w:left w:val="nil"/>
              <w:bottom w:val="single" w:sz="18" w:space="0" w:color="auto"/>
              <w:right w:val="nil"/>
            </w:tcBorders>
          </w:tcPr>
          <w:p w14:paraId="0ACA2558" w14:textId="77777777" w:rsidR="005372E5" w:rsidRPr="00AF4D6F" w:rsidRDefault="006B022B">
            <w:pPr>
              <w:spacing w:before="240" w:after="0"/>
              <w:jc w:val="center"/>
              <w:rPr>
                <w:rFonts w:ascii="Times New Roman" w:hAnsi="Times New Roman"/>
                <w:b/>
                <w:bCs/>
                <w:sz w:val="24"/>
                <w:szCs w:val="24"/>
              </w:rPr>
            </w:pPr>
            <w:bookmarkStart w:id="3" w:name="_Hlk212563937"/>
            <w:r w:rsidRPr="00AF4D6F">
              <w:rPr>
                <w:rFonts w:ascii="Times New Roman" w:hAnsi="Times New Roman"/>
                <w:b/>
                <w:bCs/>
                <w:sz w:val="24"/>
                <w:szCs w:val="24"/>
              </w:rPr>
              <w:t>Incubation time (Days)</w:t>
            </w:r>
          </w:p>
        </w:tc>
      </w:tr>
      <w:tr w:rsidR="00AF4D6F" w:rsidRPr="00AF4D6F" w14:paraId="06ECDA9B" w14:textId="77777777">
        <w:trPr>
          <w:trHeight w:val="243"/>
        </w:trPr>
        <w:tc>
          <w:tcPr>
            <w:tcW w:w="2245" w:type="dxa"/>
            <w:tcBorders>
              <w:top w:val="single" w:sz="18" w:space="0" w:color="auto"/>
              <w:left w:val="nil"/>
              <w:bottom w:val="single" w:sz="18" w:space="0" w:color="auto"/>
              <w:right w:val="nil"/>
            </w:tcBorders>
          </w:tcPr>
          <w:p w14:paraId="1C1FCC83" w14:textId="77777777" w:rsidR="005372E5" w:rsidRPr="00AF4D6F" w:rsidRDefault="006B022B">
            <w:pPr>
              <w:spacing w:before="240" w:after="0"/>
              <w:jc w:val="both"/>
              <w:rPr>
                <w:rFonts w:ascii="Times New Roman" w:hAnsi="Times New Roman"/>
                <w:b/>
                <w:bCs/>
                <w:sz w:val="24"/>
                <w:szCs w:val="24"/>
              </w:rPr>
            </w:pPr>
            <w:r w:rsidRPr="00AF4D6F">
              <w:rPr>
                <w:rFonts w:ascii="Times New Roman" w:hAnsi="Times New Roman"/>
                <w:b/>
                <w:bCs/>
                <w:sz w:val="24"/>
                <w:szCs w:val="24"/>
              </w:rPr>
              <w:t>Substrate</w:t>
            </w:r>
          </w:p>
        </w:tc>
        <w:tc>
          <w:tcPr>
            <w:tcW w:w="1440" w:type="dxa"/>
            <w:tcBorders>
              <w:top w:val="single" w:sz="18" w:space="0" w:color="auto"/>
              <w:left w:val="nil"/>
              <w:bottom w:val="single" w:sz="18" w:space="0" w:color="auto"/>
              <w:right w:val="nil"/>
            </w:tcBorders>
          </w:tcPr>
          <w:p w14:paraId="0AF57797" w14:textId="77777777" w:rsidR="005372E5" w:rsidRPr="00AF4D6F" w:rsidRDefault="006B022B">
            <w:pPr>
              <w:spacing w:before="240" w:after="0"/>
              <w:jc w:val="center"/>
              <w:rPr>
                <w:rFonts w:ascii="Times New Roman" w:hAnsi="Times New Roman"/>
                <w:b/>
                <w:bCs/>
                <w:sz w:val="24"/>
                <w:szCs w:val="24"/>
              </w:rPr>
            </w:pPr>
            <w:r w:rsidRPr="00AF4D6F">
              <w:rPr>
                <w:rFonts w:ascii="Times New Roman" w:hAnsi="Times New Roman"/>
                <w:b/>
                <w:bCs/>
                <w:sz w:val="24"/>
                <w:szCs w:val="24"/>
              </w:rPr>
              <w:t>2</w:t>
            </w:r>
          </w:p>
        </w:tc>
        <w:tc>
          <w:tcPr>
            <w:tcW w:w="1350" w:type="dxa"/>
            <w:tcBorders>
              <w:top w:val="single" w:sz="18" w:space="0" w:color="auto"/>
              <w:left w:val="nil"/>
              <w:bottom w:val="single" w:sz="18" w:space="0" w:color="auto"/>
              <w:right w:val="nil"/>
            </w:tcBorders>
          </w:tcPr>
          <w:p w14:paraId="05F97F9A" w14:textId="77777777" w:rsidR="005372E5" w:rsidRPr="00AF4D6F" w:rsidRDefault="006B022B">
            <w:pPr>
              <w:spacing w:before="240" w:after="0"/>
              <w:jc w:val="center"/>
              <w:rPr>
                <w:rFonts w:ascii="Times New Roman" w:hAnsi="Times New Roman"/>
                <w:b/>
                <w:bCs/>
                <w:sz w:val="24"/>
                <w:szCs w:val="24"/>
              </w:rPr>
            </w:pPr>
            <w:r w:rsidRPr="00AF4D6F">
              <w:rPr>
                <w:rFonts w:ascii="Times New Roman" w:hAnsi="Times New Roman"/>
                <w:b/>
                <w:bCs/>
                <w:sz w:val="24"/>
                <w:szCs w:val="24"/>
              </w:rPr>
              <w:t>4</w:t>
            </w:r>
          </w:p>
        </w:tc>
        <w:tc>
          <w:tcPr>
            <w:tcW w:w="1440" w:type="dxa"/>
            <w:tcBorders>
              <w:top w:val="single" w:sz="18" w:space="0" w:color="auto"/>
              <w:left w:val="nil"/>
              <w:bottom w:val="single" w:sz="18" w:space="0" w:color="auto"/>
              <w:right w:val="nil"/>
            </w:tcBorders>
          </w:tcPr>
          <w:p w14:paraId="4FA0DCB5" w14:textId="77777777" w:rsidR="005372E5" w:rsidRPr="00AF4D6F" w:rsidRDefault="006B022B">
            <w:pPr>
              <w:spacing w:before="240" w:after="0"/>
              <w:jc w:val="center"/>
              <w:rPr>
                <w:rFonts w:ascii="Times New Roman" w:hAnsi="Times New Roman"/>
                <w:b/>
                <w:bCs/>
                <w:sz w:val="24"/>
                <w:szCs w:val="24"/>
              </w:rPr>
            </w:pPr>
            <w:r w:rsidRPr="00AF4D6F">
              <w:rPr>
                <w:rFonts w:ascii="Times New Roman" w:hAnsi="Times New Roman"/>
                <w:b/>
                <w:bCs/>
                <w:sz w:val="24"/>
                <w:szCs w:val="24"/>
              </w:rPr>
              <w:t>6</w:t>
            </w:r>
          </w:p>
        </w:tc>
        <w:tc>
          <w:tcPr>
            <w:tcW w:w="1440" w:type="dxa"/>
            <w:tcBorders>
              <w:top w:val="single" w:sz="18" w:space="0" w:color="auto"/>
              <w:left w:val="nil"/>
              <w:bottom w:val="single" w:sz="18" w:space="0" w:color="auto"/>
              <w:right w:val="nil"/>
            </w:tcBorders>
          </w:tcPr>
          <w:p w14:paraId="693FFA92" w14:textId="77777777" w:rsidR="005372E5" w:rsidRPr="00AF4D6F" w:rsidRDefault="006B022B">
            <w:pPr>
              <w:spacing w:before="240" w:after="0"/>
              <w:jc w:val="center"/>
              <w:rPr>
                <w:rFonts w:ascii="Times New Roman" w:hAnsi="Times New Roman"/>
                <w:b/>
                <w:bCs/>
                <w:sz w:val="24"/>
                <w:szCs w:val="24"/>
              </w:rPr>
            </w:pPr>
            <w:r w:rsidRPr="00AF4D6F">
              <w:rPr>
                <w:rFonts w:ascii="Times New Roman" w:hAnsi="Times New Roman"/>
                <w:b/>
                <w:bCs/>
                <w:sz w:val="24"/>
                <w:szCs w:val="24"/>
              </w:rPr>
              <w:t>8</w:t>
            </w:r>
          </w:p>
        </w:tc>
        <w:tc>
          <w:tcPr>
            <w:tcW w:w="1530" w:type="dxa"/>
            <w:tcBorders>
              <w:top w:val="single" w:sz="18" w:space="0" w:color="auto"/>
              <w:left w:val="nil"/>
              <w:bottom w:val="single" w:sz="18" w:space="0" w:color="auto"/>
              <w:right w:val="nil"/>
            </w:tcBorders>
          </w:tcPr>
          <w:p w14:paraId="567CA5AE" w14:textId="77777777" w:rsidR="005372E5" w:rsidRPr="00AF4D6F" w:rsidRDefault="006B022B">
            <w:pPr>
              <w:spacing w:before="240" w:after="0"/>
              <w:jc w:val="center"/>
              <w:rPr>
                <w:rFonts w:ascii="Times New Roman" w:hAnsi="Times New Roman"/>
                <w:b/>
                <w:bCs/>
                <w:sz w:val="24"/>
                <w:szCs w:val="24"/>
              </w:rPr>
            </w:pPr>
            <w:r w:rsidRPr="00AF4D6F">
              <w:rPr>
                <w:rFonts w:ascii="Times New Roman" w:hAnsi="Times New Roman"/>
                <w:b/>
                <w:bCs/>
                <w:sz w:val="24"/>
                <w:szCs w:val="24"/>
              </w:rPr>
              <w:t>10</w:t>
            </w:r>
          </w:p>
        </w:tc>
      </w:tr>
      <w:bookmarkEnd w:id="3"/>
      <w:tr w:rsidR="00AF4D6F" w:rsidRPr="00AF4D6F" w14:paraId="22935516" w14:textId="77777777">
        <w:trPr>
          <w:trHeight w:val="432"/>
        </w:trPr>
        <w:tc>
          <w:tcPr>
            <w:tcW w:w="2245" w:type="dxa"/>
            <w:tcBorders>
              <w:top w:val="single" w:sz="18" w:space="0" w:color="auto"/>
              <w:left w:val="nil"/>
              <w:bottom w:val="nil"/>
              <w:right w:val="nil"/>
            </w:tcBorders>
          </w:tcPr>
          <w:p w14:paraId="478B3058"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b/>
                <w:bCs/>
                <w:sz w:val="24"/>
                <w:szCs w:val="24"/>
              </w:rPr>
              <w:t>S</w:t>
            </w:r>
            <w:r w:rsidRPr="00AF4D6F">
              <w:rPr>
                <w:rFonts w:ascii="Times New Roman" w:hAnsi="Times New Roman"/>
                <w:sz w:val="24"/>
                <w:szCs w:val="24"/>
              </w:rPr>
              <w:t>ugarcane Bagasse</w:t>
            </w:r>
          </w:p>
        </w:tc>
        <w:tc>
          <w:tcPr>
            <w:tcW w:w="1440" w:type="dxa"/>
            <w:tcBorders>
              <w:top w:val="single" w:sz="18" w:space="0" w:color="auto"/>
              <w:left w:val="nil"/>
              <w:bottom w:val="nil"/>
              <w:right w:val="nil"/>
            </w:tcBorders>
          </w:tcPr>
          <w:p w14:paraId="41CA771C"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1.54±0.07</w:t>
            </w:r>
            <w:r w:rsidRPr="00AF4D6F">
              <w:rPr>
                <w:rFonts w:ascii="Times New Roman" w:hAnsi="Times New Roman"/>
                <w:b/>
                <w:bCs/>
                <w:sz w:val="24"/>
                <w:szCs w:val="24"/>
                <w:vertAlign w:val="superscript"/>
              </w:rPr>
              <w:t>b</w:t>
            </w:r>
          </w:p>
        </w:tc>
        <w:tc>
          <w:tcPr>
            <w:tcW w:w="1350" w:type="dxa"/>
            <w:tcBorders>
              <w:top w:val="single" w:sz="18" w:space="0" w:color="auto"/>
              <w:left w:val="nil"/>
              <w:bottom w:val="nil"/>
              <w:right w:val="nil"/>
            </w:tcBorders>
          </w:tcPr>
          <w:p w14:paraId="0F485088"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1.44±0.03</w:t>
            </w:r>
            <w:r w:rsidRPr="00AF4D6F">
              <w:rPr>
                <w:rFonts w:ascii="Times New Roman" w:hAnsi="Times New Roman"/>
                <w:b/>
                <w:bCs/>
                <w:sz w:val="24"/>
                <w:szCs w:val="24"/>
                <w:vertAlign w:val="superscript"/>
              </w:rPr>
              <w:t>b</w:t>
            </w:r>
          </w:p>
        </w:tc>
        <w:tc>
          <w:tcPr>
            <w:tcW w:w="1440" w:type="dxa"/>
            <w:tcBorders>
              <w:top w:val="single" w:sz="18" w:space="0" w:color="auto"/>
              <w:left w:val="nil"/>
              <w:bottom w:val="nil"/>
              <w:right w:val="nil"/>
            </w:tcBorders>
          </w:tcPr>
          <w:p w14:paraId="64461F56"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1.88±0.07</w:t>
            </w:r>
            <w:r w:rsidRPr="00AF4D6F">
              <w:rPr>
                <w:rFonts w:ascii="Times New Roman" w:hAnsi="Times New Roman"/>
                <w:b/>
                <w:bCs/>
                <w:sz w:val="24"/>
                <w:szCs w:val="24"/>
                <w:vertAlign w:val="superscript"/>
              </w:rPr>
              <w:t>a</w:t>
            </w:r>
          </w:p>
        </w:tc>
        <w:tc>
          <w:tcPr>
            <w:tcW w:w="1440" w:type="dxa"/>
            <w:tcBorders>
              <w:top w:val="single" w:sz="18" w:space="0" w:color="auto"/>
              <w:left w:val="nil"/>
              <w:bottom w:val="nil"/>
              <w:right w:val="nil"/>
            </w:tcBorders>
          </w:tcPr>
          <w:p w14:paraId="712D0D57"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2.04±0.04</w:t>
            </w:r>
            <w:r w:rsidRPr="00AF4D6F">
              <w:rPr>
                <w:rFonts w:ascii="Times New Roman" w:hAnsi="Times New Roman"/>
                <w:b/>
                <w:bCs/>
                <w:sz w:val="24"/>
                <w:szCs w:val="24"/>
                <w:vertAlign w:val="superscript"/>
              </w:rPr>
              <w:t>a</w:t>
            </w:r>
          </w:p>
        </w:tc>
        <w:tc>
          <w:tcPr>
            <w:tcW w:w="1530" w:type="dxa"/>
            <w:tcBorders>
              <w:top w:val="single" w:sz="18" w:space="0" w:color="auto"/>
              <w:left w:val="nil"/>
              <w:bottom w:val="nil"/>
              <w:right w:val="nil"/>
            </w:tcBorders>
          </w:tcPr>
          <w:p w14:paraId="6865C068"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1.40±0.04</w:t>
            </w:r>
            <w:r w:rsidRPr="00AF4D6F">
              <w:rPr>
                <w:rFonts w:ascii="Times New Roman" w:hAnsi="Times New Roman"/>
                <w:b/>
                <w:bCs/>
                <w:sz w:val="24"/>
                <w:szCs w:val="24"/>
                <w:vertAlign w:val="superscript"/>
              </w:rPr>
              <w:t>b</w:t>
            </w:r>
          </w:p>
        </w:tc>
      </w:tr>
      <w:tr w:rsidR="00AF4D6F" w:rsidRPr="00AF4D6F" w14:paraId="7CD2E3FF" w14:textId="77777777">
        <w:trPr>
          <w:trHeight w:val="378"/>
        </w:trPr>
        <w:tc>
          <w:tcPr>
            <w:tcW w:w="2245" w:type="dxa"/>
            <w:tcBorders>
              <w:top w:val="nil"/>
              <w:left w:val="nil"/>
              <w:bottom w:val="nil"/>
              <w:right w:val="nil"/>
            </w:tcBorders>
          </w:tcPr>
          <w:p w14:paraId="0933F7C6"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Rice Husks</w:t>
            </w:r>
          </w:p>
        </w:tc>
        <w:tc>
          <w:tcPr>
            <w:tcW w:w="1440" w:type="dxa"/>
            <w:tcBorders>
              <w:top w:val="nil"/>
              <w:left w:val="nil"/>
              <w:bottom w:val="nil"/>
              <w:right w:val="nil"/>
            </w:tcBorders>
          </w:tcPr>
          <w:p w14:paraId="29B5250C"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1.28±0.05</w:t>
            </w:r>
            <w:r w:rsidRPr="00AF4D6F">
              <w:rPr>
                <w:rFonts w:ascii="Times New Roman" w:hAnsi="Times New Roman"/>
                <w:b/>
                <w:bCs/>
                <w:sz w:val="24"/>
                <w:szCs w:val="24"/>
                <w:vertAlign w:val="superscript"/>
              </w:rPr>
              <w:t>c</w:t>
            </w:r>
          </w:p>
        </w:tc>
        <w:tc>
          <w:tcPr>
            <w:tcW w:w="1350" w:type="dxa"/>
            <w:tcBorders>
              <w:top w:val="nil"/>
              <w:left w:val="nil"/>
              <w:bottom w:val="nil"/>
              <w:right w:val="nil"/>
            </w:tcBorders>
          </w:tcPr>
          <w:p w14:paraId="255B0717"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0.33±0.01</w:t>
            </w:r>
            <w:r w:rsidRPr="00AF4D6F">
              <w:rPr>
                <w:rFonts w:ascii="Times New Roman" w:hAnsi="Times New Roman"/>
                <w:b/>
                <w:bCs/>
                <w:sz w:val="24"/>
                <w:szCs w:val="24"/>
                <w:vertAlign w:val="superscript"/>
              </w:rPr>
              <w:t>e</w:t>
            </w:r>
          </w:p>
        </w:tc>
        <w:tc>
          <w:tcPr>
            <w:tcW w:w="1440" w:type="dxa"/>
            <w:tcBorders>
              <w:top w:val="nil"/>
              <w:left w:val="nil"/>
              <w:bottom w:val="nil"/>
              <w:right w:val="nil"/>
            </w:tcBorders>
          </w:tcPr>
          <w:p w14:paraId="302BCD01"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2.41±0.08</w:t>
            </w:r>
            <w:r w:rsidRPr="00AF4D6F">
              <w:rPr>
                <w:rFonts w:ascii="Times New Roman" w:hAnsi="Times New Roman"/>
                <w:b/>
                <w:bCs/>
                <w:sz w:val="24"/>
                <w:szCs w:val="24"/>
                <w:vertAlign w:val="superscript"/>
              </w:rPr>
              <w:t>a</w:t>
            </w:r>
          </w:p>
        </w:tc>
        <w:tc>
          <w:tcPr>
            <w:tcW w:w="1440" w:type="dxa"/>
            <w:tcBorders>
              <w:top w:val="nil"/>
              <w:left w:val="nil"/>
              <w:bottom w:val="nil"/>
              <w:right w:val="nil"/>
            </w:tcBorders>
          </w:tcPr>
          <w:p w14:paraId="1B647C6D"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1.84±0.04</w:t>
            </w:r>
            <w:r w:rsidRPr="00AF4D6F">
              <w:rPr>
                <w:rFonts w:ascii="Times New Roman" w:hAnsi="Times New Roman"/>
                <w:b/>
                <w:bCs/>
                <w:sz w:val="24"/>
                <w:szCs w:val="24"/>
                <w:vertAlign w:val="superscript"/>
              </w:rPr>
              <w:t>b</w:t>
            </w:r>
          </w:p>
        </w:tc>
        <w:tc>
          <w:tcPr>
            <w:tcW w:w="1530" w:type="dxa"/>
            <w:tcBorders>
              <w:top w:val="nil"/>
              <w:left w:val="nil"/>
              <w:bottom w:val="nil"/>
              <w:right w:val="nil"/>
            </w:tcBorders>
          </w:tcPr>
          <w:p w14:paraId="79062C00"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0.89±0.05</w:t>
            </w:r>
            <w:r w:rsidRPr="00AF4D6F">
              <w:rPr>
                <w:rFonts w:ascii="Times New Roman" w:hAnsi="Times New Roman"/>
                <w:b/>
                <w:bCs/>
                <w:sz w:val="24"/>
                <w:szCs w:val="24"/>
                <w:vertAlign w:val="superscript"/>
              </w:rPr>
              <w:t>d</w:t>
            </w:r>
          </w:p>
        </w:tc>
      </w:tr>
      <w:tr w:rsidR="00AF4D6F" w:rsidRPr="00AF4D6F" w14:paraId="34B1FE6B" w14:textId="77777777">
        <w:trPr>
          <w:trHeight w:val="297"/>
        </w:trPr>
        <w:tc>
          <w:tcPr>
            <w:tcW w:w="2245" w:type="dxa"/>
            <w:tcBorders>
              <w:top w:val="nil"/>
              <w:left w:val="nil"/>
              <w:bottom w:val="single" w:sz="4" w:space="0" w:color="auto"/>
              <w:right w:val="nil"/>
            </w:tcBorders>
          </w:tcPr>
          <w:p w14:paraId="4181B256"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Eucalyptus sawdust</w:t>
            </w:r>
          </w:p>
        </w:tc>
        <w:tc>
          <w:tcPr>
            <w:tcW w:w="1440" w:type="dxa"/>
            <w:tcBorders>
              <w:top w:val="nil"/>
              <w:left w:val="nil"/>
              <w:bottom w:val="single" w:sz="4" w:space="0" w:color="auto"/>
              <w:right w:val="nil"/>
            </w:tcBorders>
          </w:tcPr>
          <w:p w14:paraId="27A35B18"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0.86±0.03</w:t>
            </w:r>
            <w:r w:rsidRPr="00AF4D6F">
              <w:rPr>
                <w:rFonts w:ascii="Times New Roman" w:hAnsi="Times New Roman"/>
                <w:b/>
                <w:bCs/>
                <w:sz w:val="24"/>
                <w:szCs w:val="24"/>
                <w:vertAlign w:val="superscript"/>
              </w:rPr>
              <w:t>ab</w:t>
            </w:r>
          </w:p>
        </w:tc>
        <w:tc>
          <w:tcPr>
            <w:tcW w:w="1350" w:type="dxa"/>
            <w:tcBorders>
              <w:top w:val="nil"/>
              <w:left w:val="nil"/>
              <w:bottom w:val="single" w:sz="4" w:space="0" w:color="auto"/>
              <w:right w:val="nil"/>
            </w:tcBorders>
          </w:tcPr>
          <w:p w14:paraId="40EA76FE"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0.69±0.01</w:t>
            </w:r>
            <w:r w:rsidRPr="00AF4D6F">
              <w:rPr>
                <w:rFonts w:ascii="Times New Roman" w:hAnsi="Times New Roman"/>
                <w:b/>
                <w:bCs/>
                <w:sz w:val="24"/>
                <w:szCs w:val="24"/>
                <w:vertAlign w:val="superscript"/>
              </w:rPr>
              <w:t>b</w:t>
            </w:r>
          </w:p>
        </w:tc>
        <w:tc>
          <w:tcPr>
            <w:tcW w:w="1440" w:type="dxa"/>
            <w:tcBorders>
              <w:top w:val="nil"/>
              <w:left w:val="nil"/>
              <w:bottom w:val="single" w:sz="4" w:space="0" w:color="auto"/>
              <w:right w:val="nil"/>
            </w:tcBorders>
          </w:tcPr>
          <w:p w14:paraId="7DE3CEDA"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0.96±0.05</w:t>
            </w:r>
            <w:r w:rsidRPr="00AF4D6F">
              <w:rPr>
                <w:rFonts w:ascii="Times New Roman" w:hAnsi="Times New Roman"/>
                <w:b/>
                <w:bCs/>
                <w:sz w:val="24"/>
                <w:szCs w:val="24"/>
                <w:vertAlign w:val="superscript"/>
              </w:rPr>
              <w:t>ab</w:t>
            </w:r>
          </w:p>
        </w:tc>
        <w:tc>
          <w:tcPr>
            <w:tcW w:w="1440" w:type="dxa"/>
            <w:tcBorders>
              <w:top w:val="nil"/>
              <w:left w:val="nil"/>
              <w:bottom w:val="single" w:sz="4" w:space="0" w:color="auto"/>
              <w:right w:val="nil"/>
            </w:tcBorders>
          </w:tcPr>
          <w:p w14:paraId="27838692"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0.99±0.10</w:t>
            </w:r>
            <w:r w:rsidRPr="00AF4D6F">
              <w:rPr>
                <w:rFonts w:ascii="Times New Roman" w:hAnsi="Times New Roman"/>
                <w:b/>
                <w:bCs/>
                <w:sz w:val="24"/>
                <w:szCs w:val="24"/>
                <w:vertAlign w:val="superscript"/>
              </w:rPr>
              <w:t>a</w:t>
            </w:r>
          </w:p>
        </w:tc>
        <w:tc>
          <w:tcPr>
            <w:tcW w:w="1530" w:type="dxa"/>
            <w:tcBorders>
              <w:top w:val="nil"/>
              <w:left w:val="nil"/>
              <w:bottom w:val="single" w:sz="4" w:space="0" w:color="auto"/>
              <w:right w:val="nil"/>
            </w:tcBorders>
          </w:tcPr>
          <w:p w14:paraId="7BCE4ECD"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0.85±0.07</w:t>
            </w:r>
            <w:r w:rsidRPr="00AF4D6F">
              <w:rPr>
                <w:rFonts w:ascii="Times New Roman" w:hAnsi="Times New Roman"/>
                <w:b/>
                <w:bCs/>
                <w:sz w:val="24"/>
                <w:szCs w:val="24"/>
                <w:vertAlign w:val="superscript"/>
              </w:rPr>
              <w:t>ab</w:t>
            </w:r>
          </w:p>
        </w:tc>
      </w:tr>
      <w:tr w:rsidR="00AF4D6F" w:rsidRPr="00AF4D6F" w14:paraId="0072B0BF" w14:textId="77777777">
        <w:trPr>
          <w:trHeight w:val="50"/>
        </w:trPr>
        <w:tc>
          <w:tcPr>
            <w:tcW w:w="2245" w:type="dxa"/>
            <w:tcBorders>
              <w:left w:val="nil"/>
              <w:right w:val="nil"/>
            </w:tcBorders>
          </w:tcPr>
          <w:p w14:paraId="2B7A10BC"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P value</w:t>
            </w:r>
          </w:p>
        </w:tc>
        <w:tc>
          <w:tcPr>
            <w:tcW w:w="1440" w:type="dxa"/>
            <w:tcBorders>
              <w:left w:val="nil"/>
              <w:right w:val="nil"/>
            </w:tcBorders>
          </w:tcPr>
          <w:p w14:paraId="04E0C92D"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&lt;0.001</w:t>
            </w:r>
          </w:p>
        </w:tc>
        <w:tc>
          <w:tcPr>
            <w:tcW w:w="1350" w:type="dxa"/>
            <w:tcBorders>
              <w:left w:val="nil"/>
              <w:right w:val="nil"/>
            </w:tcBorders>
          </w:tcPr>
          <w:p w14:paraId="3E9284C3"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&lt;0.001</w:t>
            </w:r>
          </w:p>
        </w:tc>
        <w:tc>
          <w:tcPr>
            <w:tcW w:w="1440" w:type="dxa"/>
            <w:tcBorders>
              <w:left w:val="nil"/>
              <w:right w:val="nil"/>
            </w:tcBorders>
          </w:tcPr>
          <w:p w14:paraId="15FBF646" w14:textId="77777777" w:rsidR="005372E5" w:rsidRPr="00AF4D6F" w:rsidRDefault="006B022B">
            <w:pPr>
              <w:jc w:val="both"/>
              <w:rPr>
                <w:rFonts w:ascii="Times New Roman" w:hAnsi="Times New Roman"/>
                <w:sz w:val="24"/>
                <w:szCs w:val="24"/>
              </w:rPr>
            </w:pPr>
            <w:r w:rsidRPr="00AF4D6F">
              <w:rPr>
                <w:rFonts w:ascii="Times New Roman" w:hAnsi="Times New Roman"/>
                <w:sz w:val="24"/>
                <w:szCs w:val="24"/>
              </w:rPr>
              <w:t>&lt;0.001</w:t>
            </w:r>
          </w:p>
        </w:tc>
        <w:tc>
          <w:tcPr>
            <w:tcW w:w="1440" w:type="dxa"/>
            <w:tcBorders>
              <w:left w:val="nil"/>
              <w:right w:val="nil"/>
            </w:tcBorders>
          </w:tcPr>
          <w:p w14:paraId="7E238F34"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&lt;0.001</w:t>
            </w:r>
          </w:p>
        </w:tc>
        <w:tc>
          <w:tcPr>
            <w:tcW w:w="1530" w:type="dxa"/>
            <w:tcBorders>
              <w:left w:val="nil"/>
              <w:right w:val="nil"/>
            </w:tcBorders>
          </w:tcPr>
          <w:p w14:paraId="3539AB70"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&lt;0.001</w:t>
            </w:r>
          </w:p>
        </w:tc>
      </w:tr>
    </w:tbl>
    <w:p w14:paraId="4AF346AF"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b/>
          <w:sz w:val="24"/>
          <w:szCs w:val="24"/>
          <w:shd w:val="clear" w:color="auto" w:fill="FFFFFF"/>
        </w:rPr>
        <w:t>In the same column, means with the same letter superscripts are not significantly different</w:t>
      </w:r>
    </w:p>
    <w:p w14:paraId="71EB835C" w14:textId="0013D332"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t>3</w:t>
      </w:r>
      <w:r w:rsidRPr="00AF4D6F">
        <w:rPr>
          <w:rFonts w:ascii="Times New Roman" w:hAnsi="Times New Roman"/>
          <w:color w:val="auto"/>
          <w:sz w:val="24"/>
          <w:szCs w:val="24"/>
        </w:rPr>
        <w:t>.2 Endoglucanase (</w:t>
      </w:r>
      <w:proofErr w:type="spellStart"/>
      <w:r w:rsidRPr="00AF4D6F">
        <w:rPr>
          <w:rFonts w:ascii="Times New Roman" w:hAnsi="Times New Roman"/>
          <w:color w:val="auto"/>
          <w:sz w:val="24"/>
          <w:szCs w:val="24"/>
        </w:rPr>
        <w:t>CMCase</w:t>
      </w:r>
      <w:proofErr w:type="spellEnd"/>
      <w:r w:rsidRPr="00AF4D6F">
        <w:rPr>
          <w:rFonts w:ascii="Times New Roman" w:hAnsi="Times New Roman"/>
          <w:color w:val="auto"/>
          <w:sz w:val="24"/>
          <w:szCs w:val="24"/>
        </w:rPr>
        <w:t>) Activity</w:t>
      </w:r>
    </w:p>
    <w:p w14:paraId="731B5947"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Maximum endoglucanase activity was recorded on day 8 for sugarcane bagasse (4.77 ± 0.11 IU/mL) and day 6 for both eucalyptus sawdust (4.57 ± 0.11 IU/mL) and rice husks (4.00 ± 0.13 IU/mL). Variations in enzyme activity between days and substrates were statistically significant (p ≤ 0.05).</w:t>
      </w:r>
    </w:p>
    <w:p w14:paraId="7B3CF88B" w14:textId="77777777" w:rsidR="005372E5" w:rsidRPr="00AF4D6F" w:rsidRDefault="006B022B">
      <w:pPr>
        <w:spacing w:line="360" w:lineRule="auto"/>
        <w:jc w:val="both"/>
        <w:rPr>
          <w:rFonts w:ascii="Times New Roman" w:hAnsi="Times New Roman"/>
          <w:b/>
          <w:bCs/>
          <w:sz w:val="24"/>
          <w:szCs w:val="24"/>
        </w:rPr>
      </w:pPr>
      <w:r w:rsidRPr="00AF4D6F">
        <w:rPr>
          <w:rFonts w:ascii="Times New Roman" w:hAnsi="Times New Roman"/>
          <w:b/>
          <w:bCs/>
          <w:sz w:val="24"/>
          <w:szCs w:val="24"/>
        </w:rPr>
        <w:t xml:space="preserve">Table 2. Mean ± SEM of Endoglucanase Activity of </w:t>
      </w:r>
      <w:proofErr w:type="spellStart"/>
      <w:r w:rsidRPr="00AF4D6F">
        <w:rPr>
          <w:rFonts w:ascii="Times New Roman" w:hAnsi="Times New Roman"/>
          <w:b/>
          <w:bCs/>
          <w:i/>
          <w:iCs/>
          <w:sz w:val="24"/>
          <w:szCs w:val="24"/>
        </w:rPr>
        <w:t>Daldinia</w:t>
      </w:r>
      <w:proofErr w:type="spellEnd"/>
      <w:r w:rsidRPr="00AF4D6F">
        <w:rPr>
          <w:rFonts w:ascii="Times New Roman" w:hAnsi="Times New Roman"/>
          <w:b/>
          <w:bCs/>
          <w:i/>
          <w:iCs/>
          <w:sz w:val="24"/>
          <w:szCs w:val="24"/>
        </w:rPr>
        <w:t xml:space="preserve"> </w:t>
      </w:r>
      <w:proofErr w:type="spellStart"/>
      <w:r w:rsidRPr="00AF4D6F">
        <w:rPr>
          <w:rFonts w:ascii="Times New Roman" w:hAnsi="Times New Roman"/>
          <w:b/>
          <w:bCs/>
          <w:i/>
          <w:iCs/>
          <w:sz w:val="24"/>
          <w:szCs w:val="24"/>
        </w:rPr>
        <w:t>concentrica</w:t>
      </w:r>
      <w:proofErr w:type="spellEnd"/>
      <w:r w:rsidRPr="00AF4D6F">
        <w:rPr>
          <w:rFonts w:ascii="Times New Roman" w:hAnsi="Times New Roman"/>
          <w:b/>
          <w:bCs/>
          <w:sz w:val="24"/>
          <w:szCs w:val="24"/>
        </w:rPr>
        <w:t xml:space="preserve"> cultured on different lignocellulosic</w:t>
      </w:r>
      <w:r w:rsidRPr="00AF4D6F">
        <w:rPr>
          <w:rFonts w:ascii="Times New Roman" w:hAnsi="Times New Roman"/>
          <w:sz w:val="24"/>
          <w:szCs w:val="24"/>
        </w:rPr>
        <w:t xml:space="preserve"> </w:t>
      </w:r>
      <w:r w:rsidRPr="00AF4D6F">
        <w:rPr>
          <w:rFonts w:ascii="Times New Roman" w:hAnsi="Times New Roman"/>
          <w:b/>
          <w:bCs/>
          <w:sz w:val="24"/>
          <w:szCs w:val="24"/>
        </w:rPr>
        <w:t>substrates.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530"/>
        <w:gridCol w:w="1350"/>
        <w:gridCol w:w="1350"/>
        <w:gridCol w:w="1440"/>
        <w:gridCol w:w="1530"/>
      </w:tblGrid>
      <w:tr w:rsidR="00AF4D6F" w:rsidRPr="00AF4D6F" w14:paraId="4825B4B1" w14:textId="77777777">
        <w:trPr>
          <w:trHeight w:val="278"/>
        </w:trPr>
        <w:tc>
          <w:tcPr>
            <w:tcW w:w="9355" w:type="dxa"/>
            <w:gridSpan w:val="6"/>
            <w:tcBorders>
              <w:top w:val="single" w:sz="18" w:space="0" w:color="auto"/>
              <w:left w:val="nil"/>
              <w:bottom w:val="single" w:sz="18" w:space="0" w:color="auto"/>
              <w:right w:val="nil"/>
            </w:tcBorders>
          </w:tcPr>
          <w:p w14:paraId="6D17E128" w14:textId="77777777" w:rsidR="005372E5" w:rsidRPr="00AF4D6F" w:rsidRDefault="006B022B">
            <w:pPr>
              <w:spacing w:after="0" w:line="360" w:lineRule="auto"/>
              <w:jc w:val="center"/>
              <w:rPr>
                <w:rFonts w:ascii="Times New Roman" w:hAnsi="Times New Roman"/>
                <w:b/>
                <w:bCs/>
                <w:sz w:val="24"/>
                <w:szCs w:val="24"/>
              </w:rPr>
            </w:pPr>
            <w:r w:rsidRPr="00AF4D6F">
              <w:rPr>
                <w:rFonts w:ascii="Times New Roman" w:hAnsi="Times New Roman"/>
                <w:b/>
                <w:bCs/>
                <w:sz w:val="24"/>
                <w:szCs w:val="24"/>
              </w:rPr>
              <w:t>Incubation time (Days)</w:t>
            </w:r>
          </w:p>
        </w:tc>
      </w:tr>
      <w:tr w:rsidR="00AF4D6F" w:rsidRPr="00AF4D6F" w14:paraId="2BD7ACFE" w14:textId="77777777">
        <w:trPr>
          <w:trHeight w:val="333"/>
        </w:trPr>
        <w:tc>
          <w:tcPr>
            <w:tcW w:w="2155" w:type="dxa"/>
            <w:tcBorders>
              <w:top w:val="single" w:sz="18" w:space="0" w:color="auto"/>
              <w:left w:val="nil"/>
              <w:bottom w:val="single" w:sz="18" w:space="0" w:color="auto"/>
              <w:right w:val="nil"/>
            </w:tcBorders>
          </w:tcPr>
          <w:p w14:paraId="6991B933" w14:textId="77777777" w:rsidR="005372E5" w:rsidRPr="00AF4D6F" w:rsidRDefault="006B022B">
            <w:pPr>
              <w:spacing w:line="240" w:lineRule="auto"/>
              <w:rPr>
                <w:rFonts w:ascii="Times New Roman" w:hAnsi="Times New Roman"/>
                <w:b/>
                <w:bCs/>
                <w:sz w:val="24"/>
                <w:szCs w:val="24"/>
              </w:rPr>
            </w:pPr>
            <w:r w:rsidRPr="00AF4D6F">
              <w:rPr>
                <w:rFonts w:ascii="Times New Roman" w:hAnsi="Times New Roman"/>
                <w:b/>
                <w:bCs/>
                <w:sz w:val="24"/>
                <w:szCs w:val="24"/>
              </w:rPr>
              <w:t>Substrate</w:t>
            </w:r>
          </w:p>
        </w:tc>
        <w:tc>
          <w:tcPr>
            <w:tcW w:w="1530" w:type="dxa"/>
            <w:tcBorders>
              <w:top w:val="single" w:sz="18" w:space="0" w:color="auto"/>
              <w:left w:val="nil"/>
              <w:bottom w:val="single" w:sz="18" w:space="0" w:color="auto"/>
              <w:right w:val="nil"/>
            </w:tcBorders>
          </w:tcPr>
          <w:p w14:paraId="167ABDA2" w14:textId="77777777" w:rsidR="005372E5" w:rsidRPr="00AF4D6F" w:rsidRDefault="006B022B">
            <w:pPr>
              <w:spacing w:after="0" w:line="240" w:lineRule="auto"/>
              <w:jc w:val="center"/>
              <w:rPr>
                <w:rFonts w:ascii="Times New Roman" w:hAnsi="Times New Roman"/>
                <w:b/>
                <w:bCs/>
                <w:sz w:val="24"/>
                <w:szCs w:val="24"/>
              </w:rPr>
            </w:pPr>
            <w:r w:rsidRPr="00AF4D6F">
              <w:rPr>
                <w:rFonts w:ascii="Times New Roman" w:hAnsi="Times New Roman"/>
                <w:b/>
                <w:bCs/>
                <w:sz w:val="24"/>
                <w:szCs w:val="24"/>
              </w:rPr>
              <w:t>2</w:t>
            </w:r>
          </w:p>
        </w:tc>
        <w:tc>
          <w:tcPr>
            <w:tcW w:w="1350" w:type="dxa"/>
            <w:tcBorders>
              <w:top w:val="single" w:sz="18" w:space="0" w:color="auto"/>
              <w:left w:val="nil"/>
              <w:bottom w:val="single" w:sz="18" w:space="0" w:color="auto"/>
              <w:right w:val="nil"/>
            </w:tcBorders>
          </w:tcPr>
          <w:p w14:paraId="7DC9BD19" w14:textId="77777777" w:rsidR="005372E5" w:rsidRPr="00AF4D6F" w:rsidRDefault="006B022B">
            <w:pPr>
              <w:spacing w:after="0" w:line="240" w:lineRule="auto"/>
              <w:jc w:val="center"/>
              <w:rPr>
                <w:rFonts w:ascii="Times New Roman" w:hAnsi="Times New Roman"/>
                <w:b/>
                <w:bCs/>
                <w:sz w:val="24"/>
                <w:szCs w:val="24"/>
              </w:rPr>
            </w:pPr>
            <w:r w:rsidRPr="00AF4D6F">
              <w:rPr>
                <w:rFonts w:ascii="Times New Roman" w:hAnsi="Times New Roman"/>
                <w:b/>
                <w:bCs/>
                <w:sz w:val="24"/>
                <w:szCs w:val="24"/>
              </w:rPr>
              <w:t>4</w:t>
            </w:r>
          </w:p>
        </w:tc>
        <w:tc>
          <w:tcPr>
            <w:tcW w:w="1350" w:type="dxa"/>
            <w:tcBorders>
              <w:top w:val="single" w:sz="18" w:space="0" w:color="auto"/>
              <w:left w:val="nil"/>
              <w:bottom w:val="single" w:sz="18" w:space="0" w:color="auto"/>
              <w:right w:val="nil"/>
            </w:tcBorders>
          </w:tcPr>
          <w:p w14:paraId="3F6872B3" w14:textId="77777777" w:rsidR="005372E5" w:rsidRPr="00AF4D6F" w:rsidRDefault="006B022B">
            <w:pPr>
              <w:spacing w:after="0" w:line="240" w:lineRule="auto"/>
              <w:jc w:val="center"/>
              <w:rPr>
                <w:rFonts w:ascii="Times New Roman" w:hAnsi="Times New Roman"/>
                <w:b/>
                <w:bCs/>
                <w:sz w:val="24"/>
                <w:szCs w:val="24"/>
              </w:rPr>
            </w:pPr>
            <w:r w:rsidRPr="00AF4D6F">
              <w:rPr>
                <w:rFonts w:ascii="Times New Roman" w:hAnsi="Times New Roman"/>
                <w:b/>
                <w:bCs/>
                <w:sz w:val="24"/>
                <w:szCs w:val="24"/>
              </w:rPr>
              <w:t>6</w:t>
            </w:r>
          </w:p>
        </w:tc>
        <w:tc>
          <w:tcPr>
            <w:tcW w:w="1440" w:type="dxa"/>
            <w:tcBorders>
              <w:top w:val="single" w:sz="18" w:space="0" w:color="auto"/>
              <w:left w:val="nil"/>
              <w:bottom w:val="single" w:sz="18" w:space="0" w:color="auto"/>
              <w:right w:val="nil"/>
            </w:tcBorders>
          </w:tcPr>
          <w:p w14:paraId="2505185E" w14:textId="77777777" w:rsidR="005372E5" w:rsidRPr="00AF4D6F" w:rsidRDefault="006B022B">
            <w:pPr>
              <w:spacing w:after="0" w:line="240" w:lineRule="auto"/>
              <w:jc w:val="center"/>
              <w:rPr>
                <w:rFonts w:ascii="Times New Roman" w:hAnsi="Times New Roman"/>
                <w:b/>
                <w:bCs/>
                <w:sz w:val="24"/>
                <w:szCs w:val="24"/>
              </w:rPr>
            </w:pPr>
            <w:r w:rsidRPr="00AF4D6F">
              <w:rPr>
                <w:rFonts w:ascii="Times New Roman" w:hAnsi="Times New Roman"/>
                <w:b/>
                <w:bCs/>
                <w:sz w:val="24"/>
                <w:szCs w:val="24"/>
              </w:rPr>
              <w:t>8</w:t>
            </w:r>
          </w:p>
        </w:tc>
        <w:tc>
          <w:tcPr>
            <w:tcW w:w="1530" w:type="dxa"/>
            <w:tcBorders>
              <w:top w:val="single" w:sz="18" w:space="0" w:color="auto"/>
              <w:left w:val="nil"/>
              <w:bottom w:val="single" w:sz="18" w:space="0" w:color="auto"/>
              <w:right w:val="nil"/>
            </w:tcBorders>
          </w:tcPr>
          <w:p w14:paraId="4F8491BC" w14:textId="77777777" w:rsidR="005372E5" w:rsidRPr="00AF4D6F" w:rsidRDefault="006B022B">
            <w:pPr>
              <w:spacing w:after="0" w:line="240" w:lineRule="auto"/>
              <w:jc w:val="center"/>
              <w:rPr>
                <w:rFonts w:ascii="Times New Roman" w:hAnsi="Times New Roman"/>
                <w:b/>
                <w:bCs/>
                <w:sz w:val="24"/>
                <w:szCs w:val="24"/>
              </w:rPr>
            </w:pPr>
            <w:r w:rsidRPr="00AF4D6F">
              <w:rPr>
                <w:rFonts w:ascii="Times New Roman" w:hAnsi="Times New Roman"/>
                <w:b/>
                <w:bCs/>
                <w:sz w:val="24"/>
                <w:szCs w:val="24"/>
              </w:rPr>
              <w:t>10</w:t>
            </w:r>
          </w:p>
        </w:tc>
      </w:tr>
      <w:tr w:rsidR="00AF4D6F" w:rsidRPr="00AF4D6F" w14:paraId="12AAB27A" w14:textId="77777777">
        <w:trPr>
          <w:trHeight w:val="467"/>
        </w:trPr>
        <w:tc>
          <w:tcPr>
            <w:tcW w:w="2155" w:type="dxa"/>
            <w:tcBorders>
              <w:top w:val="single" w:sz="18" w:space="0" w:color="auto"/>
              <w:left w:val="nil"/>
              <w:bottom w:val="nil"/>
              <w:right w:val="nil"/>
            </w:tcBorders>
          </w:tcPr>
          <w:p w14:paraId="0C1461FF"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Sugarcane Bagasse</w:t>
            </w:r>
          </w:p>
        </w:tc>
        <w:tc>
          <w:tcPr>
            <w:tcW w:w="1530" w:type="dxa"/>
            <w:tcBorders>
              <w:top w:val="single" w:sz="18" w:space="0" w:color="auto"/>
              <w:left w:val="nil"/>
              <w:bottom w:val="nil"/>
              <w:right w:val="nil"/>
            </w:tcBorders>
          </w:tcPr>
          <w:p w14:paraId="05001F53"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1.91±0.17</w:t>
            </w:r>
            <w:r w:rsidRPr="00AF4D6F">
              <w:rPr>
                <w:rFonts w:ascii="Times New Roman" w:hAnsi="Times New Roman"/>
                <w:b/>
                <w:bCs/>
                <w:sz w:val="24"/>
                <w:szCs w:val="24"/>
                <w:vertAlign w:val="superscript"/>
              </w:rPr>
              <w:t>c</w:t>
            </w:r>
          </w:p>
        </w:tc>
        <w:tc>
          <w:tcPr>
            <w:tcW w:w="1350" w:type="dxa"/>
            <w:tcBorders>
              <w:top w:val="single" w:sz="18" w:space="0" w:color="auto"/>
              <w:left w:val="nil"/>
              <w:bottom w:val="nil"/>
              <w:right w:val="nil"/>
            </w:tcBorders>
          </w:tcPr>
          <w:p w14:paraId="70BE62A7"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2.18±0.16</w:t>
            </w:r>
            <w:r w:rsidRPr="00AF4D6F">
              <w:rPr>
                <w:rFonts w:ascii="Times New Roman" w:hAnsi="Times New Roman"/>
                <w:b/>
                <w:bCs/>
                <w:sz w:val="24"/>
                <w:szCs w:val="24"/>
                <w:vertAlign w:val="superscript"/>
              </w:rPr>
              <w:t>c</w:t>
            </w:r>
          </w:p>
        </w:tc>
        <w:tc>
          <w:tcPr>
            <w:tcW w:w="1350" w:type="dxa"/>
            <w:tcBorders>
              <w:top w:val="single" w:sz="18" w:space="0" w:color="auto"/>
              <w:left w:val="nil"/>
              <w:bottom w:val="nil"/>
              <w:right w:val="nil"/>
            </w:tcBorders>
          </w:tcPr>
          <w:p w14:paraId="52DBA703"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3.89±0.17</w:t>
            </w:r>
            <w:r w:rsidRPr="00AF4D6F">
              <w:rPr>
                <w:rFonts w:ascii="Times New Roman" w:hAnsi="Times New Roman"/>
                <w:b/>
                <w:bCs/>
                <w:sz w:val="24"/>
                <w:szCs w:val="24"/>
                <w:vertAlign w:val="superscript"/>
              </w:rPr>
              <w:t>b</w:t>
            </w:r>
          </w:p>
        </w:tc>
        <w:tc>
          <w:tcPr>
            <w:tcW w:w="1440" w:type="dxa"/>
            <w:tcBorders>
              <w:top w:val="single" w:sz="18" w:space="0" w:color="auto"/>
              <w:left w:val="nil"/>
              <w:bottom w:val="nil"/>
              <w:right w:val="nil"/>
            </w:tcBorders>
          </w:tcPr>
          <w:p w14:paraId="4FA31227" w14:textId="77777777" w:rsidR="005372E5" w:rsidRPr="00AF4D6F" w:rsidRDefault="006B022B">
            <w:pPr>
              <w:spacing w:after="0" w:line="240" w:lineRule="auto"/>
              <w:jc w:val="both"/>
              <w:rPr>
                <w:rFonts w:ascii="Times New Roman" w:hAnsi="Times New Roman"/>
                <w:b/>
                <w:bCs/>
                <w:sz w:val="24"/>
                <w:szCs w:val="24"/>
              </w:rPr>
            </w:pPr>
            <w:r w:rsidRPr="00AF4D6F">
              <w:rPr>
                <w:rFonts w:ascii="Times New Roman" w:hAnsi="Times New Roman"/>
                <w:sz w:val="24"/>
                <w:szCs w:val="24"/>
              </w:rPr>
              <w:t>4.77±0.11</w:t>
            </w:r>
            <w:r w:rsidRPr="00AF4D6F">
              <w:rPr>
                <w:rFonts w:ascii="Times New Roman" w:hAnsi="Times New Roman"/>
                <w:b/>
                <w:bCs/>
                <w:sz w:val="24"/>
                <w:szCs w:val="24"/>
                <w:vertAlign w:val="superscript"/>
              </w:rPr>
              <w:t>a</w:t>
            </w:r>
          </w:p>
        </w:tc>
        <w:tc>
          <w:tcPr>
            <w:tcW w:w="1530" w:type="dxa"/>
            <w:tcBorders>
              <w:top w:val="single" w:sz="18" w:space="0" w:color="auto"/>
              <w:left w:val="nil"/>
              <w:bottom w:val="nil"/>
              <w:right w:val="nil"/>
            </w:tcBorders>
          </w:tcPr>
          <w:p w14:paraId="3DFC49DF" w14:textId="77777777" w:rsidR="005372E5" w:rsidRPr="00AF4D6F" w:rsidRDefault="006B022B">
            <w:pPr>
              <w:spacing w:after="0" w:line="240" w:lineRule="auto"/>
              <w:jc w:val="both"/>
              <w:rPr>
                <w:rFonts w:ascii="Times New Roman" w:hAnsi="Times New Roman"/>
                <w:b/>
                <w:bCs/>
                <w:sz w:val="24"/>
                <w:szCs w:val="24"/>
              </w:rPr>
            </w:pPr>
            <w:r w:rsidRPr="00AF4D6F">
              <w:rPr>
                <w:rFonts w:ascii="Times New Roman" w:hAnsi="Times New Roman"/>
                <w:sz w:val="24"/>
                <w:szCs w:val="24"/>
              </w:rPr>
              <w:t>1.58±0.01</w:t>
            </w:r>
            <w:r w:rsidRPr="00AF4D6F">
              <w:rPr>
                <w:rFonts w:ascii="Times New Roman" w:hAnsi="Times New Roman"/>
                <w:b/>
                <w:bCs/>
                <w:sz w:val="24"/>
                <w:szCs w:val="24"/>
                <w:vertAlign w:val="superscript"/>
              </w:rPr>
              <w:t>b</w:t>
            </w:r>
          </w:p>
        </w:tc>
      </w:tr>
      <w:tr w:rsidR="00AF4D6F" w:rsidRPr="00AF4D6F" w14:paraId="72224247" w14:textId="77777777">
        <w:trPr>
          <w:trHeight w:val="431"/>
        </w:trPr>
        <w:tc>
          <w:tcPr>
            <w:tcW w:w="2155" w:type="dxa"/>
            <w:tcBorders>
              <w:top w:val="nil"/>
              <w:left w:val="nil"/>
              <w:bottom w:val="nil"/>
              <w:right w:val="nil"/>
            </w:tcBorders>
          </w:tcPr>
          <w:p w14:paraId="398DAA38"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Rice Husks</w:t>
            </w:r>
          </w:p>
        </w:tc>
        <w:tc>
          <w:tcPr>
            <w:tcW w:w="1530" w:type="dxa"/>
            <w:tcBorders>
              <w:top w:val="nil"/>
              <w:left w:val="nil"/>
              <w:bottom w:val="nil"/>
              <w:right w:val="nil"/>
            </w:tcBorders>
          </w:tcPr>
          <w:p w14:paraId="0AC7ED28"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1.78±0.18</w:t>
            </w:r>
            <w:r w:rsidRPr="00AF4D6F">
              <w:rPr>
                <w:rFonts w:ascii="Times New Roman" w:hAnsi="Times New Roman"/>
                <w:b/>
                <w:bCs/>
                <w:sz w:val="24"/>
                <w:szCs w:val="24"/>
                <w:vertAlign w:val="superscript"/>
              </w:rPr>
              <w:t>b</w:t>
            </w:r>
          </w:p>
        </w:tc>
        <w:tc>
          <w:tcPr>
            <w:tcW w:w="1350" w:type="dxa"/>
            <w:tcBorders>
              <w:top w:val="nil"/>
              <w:left w:val="nil"/>
              <w:bottom w:val="nil"/>
              <w:right w:val="nil"/>
            </w:tcBorders>
          </w:tcPr>
          <w:p w14:paraId="32E1BD99"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3.78±0.16</w:t>
            </w:r>
            <w:r w:rsidRPr="00AF4D6F">
              <w:rPr>
                <w:rFonts w:ascii="Times New Roman" w:hAnsi="Times New Roman"/>
                <w:b/>
                <w:bCs/>
                <w:sz w:val="24"/>
                <w:szCs w:val="24"/>
                <w:vertAlign w:val="superscript"/>
              </w:rPr>
              <w:t>a</w:t>
            </w:r>
          </w:p>
        </w:tc>
        <w:tc>
          <w:tcPr>
            <w:tcW w:w="1350" w:type="dxa"/>
            <w:tcBorders>
              <w:top w:val="nil"/>
              <w:left w:val="nil"/>
              <w:bottom w:val="nil"/>
              <w:right w:val="nil"/>
            </w:tcBorders>
          </w:tcPr>
          <w:p w14:paraId="1933548D"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4.00±0.13</w:t>
            </w:r>
            <w:r w:rsidRPr="00AF4D6F">
              <w:rPr>
                <w:rFonts w:ascii="Times New Roman" w:hAnsi="Times New Roman"/>
                <w:b/>
                <w:bCs/>
                <w:sz w:val="24"/>
                <w:szCs w:val="24"/>
                <w:vertAlign w:val="superscript"/>
              </w:rPr>
              <w:t>a</w:t>
            </w:r>
          </w:p>
        </w:tc>
        <w:tc>
          <w:tcPr>
            <w:tcW w:w="1440" w:type="dxa"/>
            <w:tcBorders>
              <w:top w:val="nil"/>
              <w:left w:val="nil"/>
              <w:bottom w:val="nil"/>
              <w:right w:val="nil"/>
            </w:tcBorders>
          </w:tcPr>
          <w:p w14:paraId="613F6104" w14:textId="77777777" w:rsidR="005372E5" w:rsidRPr="00AF4D6F" w:rsidRDefault="006B022B">
            <w:pPr>
              <w:spacing w:after="0" w:line="240" w:lineRule="auto"/>
              <w:jc w:val="both"/>
              <w:rPr>
                <w:rFonts w:ascii="Times New Roman" w:hAnsi="Times New Roman"/>
                <w:b/>
                <w:bCs/>
                <w:sz w:val="24"/>
                <w:szCs w:val="24"/>
              </w:rPr>
            </w:pPr>
            <w:r w:rsidRPr="00AF4D6F">
              <w:rPr>
                <w:rFonts w:ascii="Times New Roman" w:hAnsi="Times New Roman"/>
                <w:sz w:val="24"/>
                <w:szCs w:val="24"/>
              </w:rPr>
              <w:t>1.64±0.04</w:t>
            </w:r>
            <w:r w:rsidRPr="00AF4D6F">
              <w:rPr>
                <w:rFonts w:ascii="Times New Roman" w:hAnsi="Times New Roman"/>
                <w:b/>
                <w:bCs/>
                <w:sz w:val="24"/>
                <w:szCs w:val="24"/>
                <w:vertAlign w:val="superscript"/>
              </w:rPr>
              <w:t>b</w:t>
            </w:r>
          </w:p>
        </w:tc>
        <w:tc>
          <w:tcPr>
            <w:tcW w:w="1530" w:type="dxa"/>
            <w:tcBorders>
              <w:top w:val="nil"/>
              <w:left w:val="nil"/>
              <w:bottom w:val="nil"/>
              <w:right w:val="nil"/>
            </w:tcBorders>
          </w:tcPr>
          <w:p w14:paraId="5779AE58" w14:textId="77777777" w:rsidR="005372E5" w:rsidRPr="00AF4D6F" w:rsidRDefault="006B022B">
            <w:pPr>
              <w:spacing w:after="0" w:line="240" w:lineRule="auto"/>
              <w:jc w:val="both"/>
              <w:rPr>
                <w:rFonts w:ascii="Times New Roman" w:hAnsi="Times New Roman"/>
                <w:b/>
                <w:bCs/>
                <w:sz w:val="24"/>
                <w:szCs w:val="24"/>
              </w:rPr>
            </w:pPr>
            <w:r w:rsidRPr="00AF4D6F">
              <w:rPr>
                <w:rFonts w:ascii="Times New Roman" w:hAnsi="Times New Roman"/>
                <w:sz w:val="24"/>
                <w:szCs w:val="24"/>
              </w:rPr>
              <w:t>0.74±0.07</w:t>
            </w:r>
            <w:r w:rsidRPr="00AF4D6F">
              <w:rPr>
                <w:rFonts w:ascii="Times New Roman" w:hAnsi="Times New Roman"/>
                <w:b/>
                <w:bCs/>
                <w:sz w:val="24"/>
                <w:szCs w:val="24"/>
                <w:vertAlign w:val="superscript"/>
              </w:rPr>
              <w:t>b</w:t>
            </w:r>
          </w:p>
        </w:tc>
      </w:tr>
      <w:tr w:rsidR="00AF4D6F" w:rsidRPr="00AF4D6F" w14:paraId="4C5BD7D4" w14:textId="77777777">
        <w:trPr>
          <w:trHeight w:val="494"/>
        </w:trPr>
        <w:tc>
          <w:tcPr>
            <w:tcW w:w="2155" w:type="dxa"/>
            <w:tcBorders>
              <w:top w:val="nil"/>
              <w:left w:val="nil"/>
              <w:bottom w:val="single" w:sz="4" w:space="0" w:color="auto"/>
              <w:right w:val="nil"/>
            </w:tcBorders>
          </w:tcPr>
          <w:p w14:paraId="2755959B"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Eucalyptus</w:t>
            </w:r>
          </w:p>
        </w:tc>
        <w:tc>
          <w:tcPr>
            <w:tcW w:w="1530" w:type="dxa"/>
            <w:tcBorders>
              <w:top w:val="nil"/>
              <w:left w:val="nil"/>
              <w:bottom w:val="single" w:sz="4" w:space="0" w:color="auto"/>
              <w:right w:val="nil"/>
            </w:tcBorders>
          </w:tcPr>
          <w:p w14:paraId="19591FDF"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1.21±0.05</w:t>
            </w:r>
            <w:r w:rsidRPr="00AF4D6F">
              <w:rPr>
                <w:rFonts w:ascii="Times New Roman" w:hAnsi="Times New Roman"/>
                <w:b/>
                <w:bCs/>
                <w:sz w:val="24"/>
                <w:szCs w:val="24"/>
                <w:vertAlign w:val="superscript"/>
              </w:rPr>
              <w:t>d</w:t>
            </w:r>
          </w:p>
        </w:tc>
        <w:tc>
          <w:tcPr>
            <w:tcW w:w="1350" w:type="dxa"/>
            <w:tcBorders>
              <w:top w:val="nil"/>
              <w:left w:val="nil"/>
              <w:bottom w:val="single" w:sz="4" w:space="0" w:color="auto"/>
              <w:right w:val="nil"/>
            </w:tcBorders>
          </w:tcPr>
          <w:p w14:paraId="0B286935" w14:textId="77777777" w:rsidR="005372E5" w:rsidRPr="00AF4D6F" w:rsidRDefault="006B022B">
            <w:pPr>
              <w:spacing w:line="240" w:lineRule="auto"/>
              <w:jc w:val="both"/>
              <w:rPr>
                <w:rFonts w:ascii="Times New Roman" w:hAnsi="Times New Roman"/>
                <w:b/>
                <w:bCs/>
                <w:sz w:val="24"/>
                <w:szCs w:val="24"/>
                <w:vertAlign w:val="superscript"/>
              </w:rPr>
            </w:pPr>
            <w:r w:rsidRPr="00AF4D6F">
              <w:rPr>
                <w:rFonts w:ascii="Times New Roman" w:hAnsi="Times New Roman"/>
                <w:sz w:val="24"/>
                <w:szCs w:val="24"/>
              </w:rPr>
              <w:t>3.69±0.16</w:t>
            </w:r>
            <w:r w:rsidRPr="00AF4D6F">
              <w:rPr>
                <w:rFonts w:ascii="Times New Roman" w:hAnsi="Times New Roman"/>
                <w:b/>
                <w:bCs/>
                <w:sz w:val="24"/>
                <w:szCs w:val="24"/>
                <w:vertAlign w:val="superscript"/>
              </w:rPr>
              <w:t>b</w:t>
            </w:r>
          </w:p>
        </w:tc>
        <w:tc>
          <w:tcPr>
            <w:tcW w:w="1350" w:type="dxa"/>
            <w:tcBorders>
              <w:top w:val="nil"/>
              <w:left w:val="nil"/>
              <w:bottom w:val="single" w:sz="4" w:space="0" w:color="auto"/>
              <w:right w:val="nil"/>
            </w:tcBorders>
          </w:tcPr>
          <w:p w14:paraId="2858DCC3"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4.57±0.11</w:t>
            </w:r>
            <w:r w:rsidRPr="00AF4D6F">
              <w:rPr>
                <w:rFonts w:ascii="Times New Roman" w:hAnsi="Times New Roman"/>
                <w:b/>
                <w:bCs/>
                <w:sz w:val="24"/>
                <w:szCs w:val="24"/>
                <w:vertAlign w:val="superscript"/>
              </w:rPr>
              <w:t>a</w:t>
            </w:r>
          </w:p>
        </w:tc>
        <w:tc>
          <w:tcPr>
            <w:tcW w:w="1440" w:type="dxa"/>
            <w:tcBorders>
              <w:top w:val="nil"/>
              <w:left w:val="nil"/>
              <w:bottom w:val="single" w:sz="4" w:space="0" w:color="auto"/>
              <w:right w:val="nil"/>
            </w:tcBorders>
          </w:tcPr>
          <w:p w14:paraId="7419FBC1" w14:textId="77777777" w:rsidR="005372E5" w:rsidRPr="00AF4D6F" w:rsidRDefault="006B022B">
            <w:pPr>
              <w:spacing w:after="0" w:line="240" w:lineRule="auto"/>
              <w:jc w:val="both"/>
              <w:rPr>
                <w:rFonts w:ascii="Times New Roman" w:hAnsi="Times New Roman"/>
                <w:b/>
                <w:bCs/>
                <w:sz w:val="24"/>
                <w:szCs w:val="24"/>
              </w:rPr>
            </w:pPr>
            <w:r w:rsidRPr="00AF4D6F">
              <w:rPr>
                <w:rFonts w:ascii="Times New Roman" w:hAnsi="Times New Roman"/>
                <w:sz w:val="24"/>
                <w:szCs w:val="24"/>
              </w:rPr>
              <w:t>2.66±0.09</w:t>
            </w:r>
            <w:r w:rsidRPr="00AF4D6F">
              <w:rPr>
                <w:rFonts w:ascii="Times New Roman" w:hAnsi="Times New Roman"/>
                <w:b/>
                <w:bCs/>
                <w:sz w:val="24"/>
                <w:szCs w:val="24"/>
                <w:vertAlign w:val="superscript"/>
              </w:rPr>
              <w:t>c</w:t>
            </w:r>
          </w:p>
        </w:tc>
        <w:tc>
          <w:tcPr>
            <w:tcW w:w="1530" w:type="dxa"/>
            <w:tcBorders>
              <w:top w:val="nil"/>
              <w:left w:val="nil"/>
              <w:bottom w:val="single" w:sz="4" w:space="0" w:color="auto"/>
              <w:right w:val="nil"/>
            </w:tcBorders>
          </w:tcPr>
          <w:p w14:paraId="23DC0FEE" w14:textId="77777777" w:rsidR="005372E5" w:rsidRPr="00AF4D6F" w:rsidRDefault="006B022B">
            <w:pPr>
              <w:spacing w:after="0" w:line="240" w:lineRule="auto"/>
              <w:jc w:val="both"/>
              <w:rPr>
                <w:rFonts w:ascii="Times New Roman" w:hAnsi="Times New Roman"/>
                <w:b/>
                <w:bCs/>
                <w:sz w:val="24"/>
                <w:szCs w:val="24"/>
              </w:rPr>
            </w:pPr>
            <w:r w:rsidRPr="00AF4D6F">
              <w:rPr>
                <w:rFonts w:ascii="Times New Roman" w:hAnsi="Times New Roman"/>
                <w:sz w:val="24"/>
                <w:szCs w:val="24"/>
              </w:rPr>
              <w:t>3.40±0.05</w:t>
            </w:r>
            <w:r w:rsidRPr="00AF4D6F">
              <w:rPr>
                <w:rFonts w:ascii="Times New Roman" w:hAnsi="Times New Roman"/>
                <w:b/>
                <w:bCs/>
                <w:sz w:val="24"/>
                <w:szCs w:val="24"/>
                <w:vertAlign w:val="superscript"/>
              </w:rPr>
              <w:t>a</w:t>
            </w:r>
          </w:p>
        </w:tc>
      </w:tr>
      <w:tr w:rsidR="00AF4D6F" w:rsidRPr="00AF4D6F" w14:paraId="5B355D63" w14:textId="77777777">
        <w:trPr>
          <w:trHeight w:val="422"/>
        </w:trPr>
        <w:tc>
          <w:tcPr>
            <w:tcW w:w="2155" w:type="dxa"/>
            <w:tcBorders>
              <w:left w:val="nil"/>
              <w:right w:val="nil"/>
            </w:tcBorders>
          </w:tcPr>
          <w:p w14:paraId="7A73CCF5"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P value</w:t>
            </w:r>
          </w:p>
        </w:tc>
        <w:tc>
          <w:tcPr>
            <w:tcW w:w="1530" w:type="dxa"/>
            <w:tcBorders>
              <w:left w:val="nil"/>
              <w:right w:val="nil"/>
            </w:tcBorders>
          </w:tcPr>
          <w:p w14:paraId="478AD741"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&lt;0.001</w:t>
            </w:r>
          </w:p>
        </w:tc>
        <w:tc>
          <w:tcPr>
            <w:tcW w:w="1350" w:type="dxa"/>
            <w:tcBorders>
              <w:left w:val="nil"/>
              <w:right w:val="nil"/>
            </w:tcBorders>
          </w:tcPr>
          <w:p w14:paraId="3470A305"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&lt;0.001</w:t>
            </w:r>
          </w:p>
        </w:tc>
        <w:tc>
          <w:tcPr>
            <w:tcW w:w="1350" w:type="dxa"/>
            <w:tcBorders>
              <w:left w:val="nil"/>
              <w:right w:val="nil"/>
            </w:tcBorders>
          </w:tcPr>
          <w:p w14:paraId="602AB874" w14:textId="77777777" w:rsidR="005372E5" w:rsidRPr="00AF4D6F" w:rsidRDefault="006B022B">
            <w:pPr>
              <w:spacing w:line="240" w:lineRule="auto"/>
              <w:jc w:val="both"/>
              <w:rPr>
                <w:rFonts w:ascii="Times New Roman" w:hAnsi="Times New Roman"/>
                <w:sz w:val="24"/>
                <w:szCs w:val="24"/>
              </w:rPr>
            </w:pPr>
            <w:r w:rsidRPr="00AF4D6F">
              <w:rPr>
                <w:rFonts w:ascii="Times New Roman" w:hAnsi="Times New Roman"/>
                <w:sz w:val="24"/>
                <w:szCs w:val="24"/>
              </w:rPr>
              <w:t>&lt;0.001</w:t>
            </w:r>
          </w:p>
        </w:tc>
        <w:tc>
          <w:tcPr>
            <w:tcW w:w="1440" w:type="dxa"/>
            <w:tcBorders>
              <w:left w:val="nil"/>
              <w:right w:val="nil"/>
            </w:tcBorders>
          </w:tcPr>
          <w:p w14:paraId="61F31879" w14:textId="77777777" w:rsidR="005372E5" w:rsidRPr="00AF4D6F" w:rsidRDefault="006B022B">
            <w:pPr>
              <w:spacing w:after="0" w:line="240" w:lineRule="auto"/>
              <w:jc w:val="both"/>
              <w:rPr>
                <w:rFonts w:ascii="Times New Roman" w:hAnsi="Times New Roman"/>
                <w:sz w:val="24"/>
                <w:szCs w:val="24"/>
              </w:rPr>
            </w:pPr>
            <w:r w:rsidRPr="00AF4D6F">
              <w:rPr>
                <w:rFonts w:ascii="Times New Roman" w:hAnsi="Times New Roman"/>
                <w:sz w:val="24"/>
                <w:szCs w:val="24"/>
              </w:rPr>
              <w:t>&lt;0.001</w:t>
            </w:r>
          </w:p>
        </w:tc>
        <w:tc>
          <w:tcPr>
            <w:tcW w:w="1530" w:type="dxa"/>
            <w:tcBorders>
              <w:left w:val="nil"/>
              <w:right w:val="nil"/>
            </w:tcBorders>
          </w:tcPr>
          <w:p w14:paraId="45FECE19" w14:textId="77777777" w:rsidR="005372E5" w:rsidRPr="00AF4D6F" w:rsidRDefault="006B022B">
            <w:pPr>
              <w:spacing w:after="0" w:line="240" w:lineRule="auto"/>
              <w:jc w:val="both"/>
              <w:rPr>
                <w:rFonts w:ascii="Times New Roman" w:hAnsi="Times New Roman"/>
                <w:sz w:val="24"/>
                <w:szCs w:val="24"/>
              </w:rPr>
            </w:pPr>
            <w:r w:rsidRPr="00AF4D6F">
              <w:rPr>
                <w:rFonts w:ascii="Times New Roman" w:hAnsi="Times New Roman"/>
                <w:sz w:val="24"/>
                <w:szCs w:val="24"/>
              </w:rPr>
              <w:t>&lt;0.001</w:t>
            </w:r>
          </w:p>
        </w:tc>
      </w:tr>
    </w:tbl>
    <w:p w14:paraId="294C83AC"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b/>
          <w:sz w:val="24"/>
          <w:szCs w:val="24"/>
          <w:shd w:val="clear" w:color="auto" w:fill="FFFFFF"/>
        </w:rPr>
        <w:t>In the same column, means with the same letter superscripts are not significantly different</w:t>
      </w:r>
    </w:p>
    <w:p w14:paraId="776415C1" w14:textId="112CD0D7"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lastRenderedPageBreak/>
        <w:t>3</w:t>
      </w:r>
      <w:r w:rsidRPr="00AF4D6F">
        <w:rPr>
          <w:rFonts w:ascii="Times New Roman" w:hAnsi="Times New Roman"/>
          <w:color w:val="auto"/>
          <w:sz w:val="24"/>
          <w:szCs w:val="24"/>
        </w:rPr>
        <w:t xml:space="preserve">.3 </w:t>
      </w:r>
      <w:proofErr w:type="spellStart"/>
      <w:r w:rsidRPr="00AF4D6F">
        <w:rPr>
          <w:rFonts w:ascii="Times New Roman" w:hAnsi="Times New Roman"/>
          <w:color w:val="auto"/>
          <w:sz w:val="24"/>
          <w:szCs w:val="24"/>
        </w:rPr>
        <w:t>Exoglucanase</w:t>
      </w:r>
      <w:proofErr w:type="spellEnd"/>
      <w:r w:rsidRPr="00AF4D6F">
        <w:rPr>
          <w:rFonts w:ascii="Times New Roman" w:hAnsi="Times New Roman"/>
          <w:color w:val="auto"/>
          <w:sz w:val="24"/>
          <w:szCs w:val="24"/>
        </w:rPr>
        <w:t xml:space="preserve"> (</w:t>
      </w:r>
      <w:proofErr w:type="spellStart"/>
      <w:r w:rsidRPr="00AF4D6F">
        <w:rPr>
          <w:rFonts w:ascii="Times New Roman" w:hAnsi="Times New Roman"/>
          <w:color w:val="auto"/>
          <w:sz w:val="24"/>
          <w:szCs w:val="24"/>
        </w:rPr>
        <w:t>Avicelase</w:t>
      </w:r>
      <w:proofErr w:type="spellEnd"/>
      <w:r w:rsidRPr="00AF4D6F">
        <w:rPr>
          <w:rFonts w:ascii="Times New Roman" w:hAnsi="Times New Roman"/>
          <w:color w:val="auto"/>
          <w:sz w:val="24"/>
          <w:szCs w:val="24"/>
        </w:rPr>
        <w:t>) Activity</w:t>
      </w:r>
    </w:p>
    <w:p w14:paraId="55A376C3"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The highest </w:t>
      </w:r>
      <w:proofErr w:type="spellStart"/>
      <w:r w:rsidRPr="00AF4D6F">
        <w:rPr>
          <w:rFonts w:ascii="Times New Roman" w:hAnsi="Times New Roman"/>
          <w:sz w:val="24"/>
          <w:szCs w:val="24"/>
        </w:rPr>
        <w:t>exoglucanase</w:t>
      </w:r>
      <w:proofErr w:type="spellEnd"/>
      <w:r w:rsidRPr="00AF4D6F">
        <w:rPr>
          <w:rFonts w:ascii="Times New Roman" w:hAnsi="Times New Roman"/>
          <w:sz w:val="24"/>
          <w:szCs w:val="24"/>
        </w:rPr>
        <w:t xml:space="preserve"> activity occurred on day 8 for eucalyptus sawdust (1.43 ± 0.04 IU/mL), followed by sugarcane bagasse (1.26 ± 0.00 IU/mL) and rice husks (0.98 ± 0.03 IU/mL, day 6). A decline in activity was observed after day 8 across all substrates, with statistically significant differences (p ≤ 0.05).</w:t>
      </w:r>
    </w:p>
    <w:p w14:paraId="7B0FF52C" w14:textId="77777777" w:rsidR="005372E5" w:rsidRPr="00AF4D6F" w:rsidRDefault="006B022B">
      <w:pPr>
        <w:spacing w:line="360" w:lineRule="auto"/>
        <w:jc w:val="both"/>
        <w:rPr>
          <w:rFonts w:ascii="Times New Roman" w:hAnsi="Times New Roman"/>
          <w:b/>
          <w:bCs/>
          <w:sz w:val="24"/>
          <w:szCs w:val="24"/>
        </w:rPr>
      </w:pPr>
      <w:r w:rsidRPr="00AF4D6F">
        <w:rPr>
          <w:rFonts w:ascii="Times New Roman" w:hAnsi="Times New Roman"/>
          <w:b/>
          <w:bCs/>
          <w:sz w:val="24"/>
          <w:szCs w:val="24"/>
        </w:rPr>
        <w:t xml:space="preserve">Table 3. Mean ± SEM of </w:t>
      </w:r>
      <w:proofErr w:type="spellStart"/>
      <w:r w:rsidRPr="00AF4D6F">
        <w:rPr>
          <w:rFonts w:ascii="Times New Roman" w:hAnsi="Times New Roman"/>
          <w:b/>
          <w:bCs/>
          <w:sz w:val="24"/>
          <w:szCs w:val="24"/>
        </w:rPr>
        <w:t>Exoglucanase</w:t>
      </w:r>
      <w:proofErr w:type="spellEnd"/>
      <w:r w:rsidRPr="00AF4D6F">
        <w:rPr>
          <w:rFonts w:ascii="Times New Roman" w:hAnsi="Times New Roman"/>
          <w:b/>
          <w:bCs/>
          <w:sz w:val="24"/>
          <w:szCs w:val="24"/>
        </w:rPr>
        <w:t xml:space="preserve"> Activity of </w:t>
      </w:r>
      <w:proofErr w:type="spellStart"/>
      <w:r w:rsidRPr="00AF4D6F">
        <w:rPr>
          <w:rFonts w:ascii="Times New Roman" w:hAnsi="Times New Roman"/>
          <w:b/>
          <w:bCs/>
          <w:i/>
          <w:iCs/>
          <w:sz w:val="24"/>
          <w:szCs w:val="24"/>
        </w:rPr>
        <w:t>Daldinia</w:t>
      </w:r>
      <w:proofErr w:type="spellEnd"/>
      <w:r w:rsidRPr="00AF4D6F">
        <w:rPr>
          <w:rFonts w:ascii="Times New Roman" w:hAnsi="Times New Roman"/>
          <w:b/>
          <w:bCs/>
          <w:i/>
          <w:iCs/>
          <w:sz w:val="24"/>
          <w:szCs w:val="24"/>
        </w:rPr>
        <w:t xml:space="preserve"> </w:t>
      </w:r>
      <w:proofErr w:type="spellStart"/>
      <w:r w:rsidRPr="00AF4D6F">
        <w:rPr>
          <w:rFonts w:ascii="Times New Roman" w:hAnsi="Times New Roman"/>
          <w:b/>
          <w:bCs/>
          <w:i/>
          <w:iCs/>
          <w:sz w:val="24"/>
          <w:szCs w:val="24"/>
        </w:rPr>
        <w:t>concentrica</w:t>
      </w:r>
      <w:proofErr w:type="spellEnd"/>
      <w:r w:rsidRPr="00AF4D6F">
        <w:rPr>
          <w:rFonts w:ascii="Times New Roman" w:hAnsi="Times New Roman"/>
          <w:b/>
          <w:bCs/>
          <w:sz w:val="24"/>
          <w:szCs w:val="24"/>
        </w:rPr>
        <w:t xml:space="preserve"> cultured on various lignocellulosic substrates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419"/>
        <w:gridCol w:w="1350"/>
        <w:gridCol w:w="1350"/>
        <w:gridCol w:w="1440"/>
        <w:gridCol w:w="1530"/>
      </w:tblGrid>
      <w:tr w:rsidR="00AF4D6F" w:rsidRPr="00AF4D6F" w14:paraId="0A5BCD16" w14:textId="77777777">
        <w:trPr>
          <w:trHeight w:val="438"/>
        </w:trPr>
        <w:tc>
          <w:tcPr>
            <w:tcW w:w="9540" w:type="dxa"/>
            <w:gridSpan w:val="6"/>
            <w:tcBorders>
              <w:top w:val="single" w:sz="18" w:space="0" w:color="auto"/>
              <w:left w:val="nil"/>
              <w:bottom w:val="single" w:sz="18" w:space="0" w:color="auto"/>
              <w:right w:val="nil"/>
            </w:tcBorders>
          </w:tcPr>
          <w:p w14:paraId="2E3D8D20" w14:textId="77777777" w:rsidR="005372E5" w:rsidRPr="00AF4D6F" w:rsidRDefault="006B022B">
            <w:pPr>
              <w:spacing w:after="0"/>
              <w:jc w:val="center"/>
              <w:rPr>
                <w:rFonts w:ascii="Times New Roman" w:hAnsi="Times New Roman"/>
                <w:b/>
                <w:bCs/>
                <w:sz w:val="24"/>
                <w:szCs w:val="24"/>
              </w:rPr>
            </w:pPr>
            <w:r w:rsidRPr="00AF4D6F">
              <w:rPr>
                <w:rFonts w:ascii="Times New Roman" w:hAnsi="Times New Roman"/>
                <w:b/>
                <w:bCs/>
                <w:sz w:val="24"/>
                <w:szCs w:val="24"/>
              </w:rPr>
              <w:t>Incubation time (Days)</w:t>
            </w:r>
          </w:p>
        </w:tc>
      </w:tr>
      <w:tr w:rsidR="00AF4D6F" w:rsidRPr="00AF4D6F" w14:paraId="580C4760" w14:textId="77777777">
        <w:trPr>
          <w:trHeight w:val="438"/>
        </w:trPr>
        <w:tc>
          <w:tcPr>
            <w:tcW w:w="2451" w:type="dxa"/>
            <w:tcBorders>
              <w:top w:val="single" w:sz="18" w:space="0" w:color="auto"/>
              <w:left w:val="nil"/>
              <w:bottom w:val="single" w:sz="18" w:space="0" w:color="auto"/>
              <w:right w:val="nil"/>
            </w:tcBorders>
          </w:tcPr>
          <w:p w14:paraId="7ED76AE7" w14:textId="77777777" w:rsidR="005372E5" w:rsidRPr="00AF4D6F" w:rsidRDefault="006B022B">
            <w:pPr>
              <w:spacing w:after="0"/>
              <w:rPr>
                <w:rFonts w:ascii="Times New Roman" w:hAnsi="Times New Roman"/>
                <w:b/>
                <w:bCs/>
                <w:sz w:val="24"/>
                <w:szCs w:val="24"/>
              </w:rPr>
            </w:pPr>
            <w:r w:rsidRPr="00AF4D6F">
              <w:rPr>
                <w:rFonts w:ascii="Times New Roman" w:hAnsi="Times New Roman"/>
                <w:b/>
                <w:bCs/>
                <w:sz w:val="24"/>
                <w:szCs w:val="24"/>
              </w:rPr>
              <w:t>Substrate</w:t>
            </w:r>
          </w:p>
        </w:tc>
        <w:tc>
          <w:tcPr>
            <w:tcW w:w="1419" w:type="dxa"/>
            <w:tcBorders>
              <w:top w:val="single" w:sz="18" w:space="0" w:color="auto"/>
              <w:left w:val="nil"/>
              <w:bottom w:val="single" w:sz="18" w:space="0" w:color="auto"/>
              <w:right w:val="nil"/>
            </w:tcBorders>
          </w:tcPr>
          <w:p w14:paraId="292D1CAD" w14:textId="77777777" w:rsidR="005372E5" w:rsidRPr="00AF4D6F" w:rsidRDefault="006B022B">
            <w:pPr>
              <w:spacing w:after="0"/>
              <w:jc w:val="center"/>
              <w:rPr>
                <w:rFonts w:ascii="Times New Roman" w:hAnsi="Times New Roman"/>
                <w:b/>
                <w:bCs/>
                <w:sz w:val="24"/>
                <w:szCs w:val="24"/>
              </w:rPr>
            </w:pPr>
            <w:r w:rsidRPr="00AF4D6F">
              <w:rPr>
                <w:rFonts w:ascii="Times New Roman" w:hAnsi="Times New Roman"/>
                <w:b/>
                <w:bCs/>
                <w:sz w:val="24"/>
                <w:szCs w:val="24"/>
              </w:rPr>
              <w:t>2</w:t>
            </w:r>
          </w:p>
        </w:tc>
        <w:tc>
          <w:tcPr>
            <w:tcW w:w="1350" w:type="dxa"/>
            <w:tcBorders>
              <w:top w:val="single" w:sz="18" w:space="0" w:color="auto"/>
              <w:left w:val="nil"/>
              <w:bottom w:val="single" w:sz="18" w:space="0" w:color="auto"/>
              <w:right w:val="nil"/>
            </w:tcBorders>
          </w:tcPr>
          <w:p w14:paraId="42B1DCF5" w14:textId="77777777" w:rsidR="005372E5" w:rsidRPr="00AF4D6F" w:rsidRDefault="006B022B">
            <w:pPr>
              <w:spacing w:after="0"/>
              <w:jc w:val="center"/>
              <w:rPr>
                <w:rFonts w:ascii="Times New Roman" w:hAnsi="Times New Roman"/>
                <w:b/>
                <w:bCs/>
                <w:sz w:val="24"/>
                <w:szCs w:val="24"/>
              </w:rPr>
            </w:pPr>
            <w:r w:rsidRPr="00AF4D6F">
              <w:rPr>
                <w:rFonts w:ascii="Times New Roman" w:hAnsi="Times New Roman"/>
                <w:b/>
                <w:bCs/>
                <w:sz w:val="24"/>
                <w:szCs w:val="24"/>
              </w:rPr>
              <w:t>4</w:t>
            </w:r>
          </w:p>
        </w:tc>
        <w:tc>
          <w:tcPr>
            <w:tcW w:w="1350" w:type="dxa"/>
            <w:tcBorders>
              <w:top w:val="single" w:sz="18" w:space="0" w:color="auto"/>
              <w:left w:val="nil"/>
              <w:bottom w:val="single" w:sz="18" w:space="0" w:color="auto"/>
              <w:right w:val="nil"/>
            </w:tcBorders>
          </w:tcPr>
          <w:p w14:paraId="3C76811D" w14:textId="77777777" w:rsidR="005372E5" w:rsidRPr="00AF4D6F" w:rsidRDefault="006B022B">
            <w:pPr>
              <w:spacing w:after="0"/>
              <w:jc w:val="center"/>
              <w:rPr>
                <w:rFonts w:ascii="Times New Roman" w:hAnsi="Times New Roman"/>
                <w:b/>
                <w:bCs/>
                <w:sz w:val="24"/>
                <w:szCs w:val="24"/>
              </w:rPr>
            </w:pPr>
            <w:r w:rsidRPr="00AF4D6F">
              <w:rPr>
                <w:rFonts w:ascii="Times New Roman" w:hAnsi="Times New Roman"/>
                <w:b/>
                <w:bCs/>
                <w:sz w:val="24"/>
                <w:szCs w:val="24"/>
              </w:rPr>
              <w:t>6</w:t>
            </w:r>
          </w:p>
        </w:tc>
        <w:tc>
          <w:tcPr>
            <w:tcW w:w="1440" w:type="dxa"/>
            <w:tcBorders>
              <w:top w:val="single" w:sz="18" w:space="0" w:color="auto"/>
              <w:left w:val="nil"/>
              <w:bottom w:val="single" w:sz="18" w:space="0" w:color="auto"/>
              <w:right w:val="nil"/>
            </w:tcBorders>
          </w:tcPr>
          <w:p w14:paraId="294414C5" w14:textId="77777777" w:rsidR="005372E5" w:rsidRPr="00AF4D6F" w:rsidRDefault="006B022B">
            <w:pPr>
              <w:spacing w:after="0"/>
              <w:jc w:val="center"/>
              <w:rPr>
                <w:rFonts w:ascii="Times New Roman" w:hAnsi="Times New Roman"/>
                <w:b/>
                <w:bCs/>
                <w:sz w:val="24"/>
                <w:szCs w:val="24"/>
              </w:rPr>
            </w:pPr>
            <w:r w:rsidRPr="00AF4D6F">
              <w:rPr>
                <w:rFonts w:ascii="Times New Roman" w:hAnsi="Times New Roman"/>
                <w:b/>
                <w:bCs/>
                <w:sz w:val="24"/>
                <w:szCs w:val="24"/>
              </w:rPr>
              <w:t>8</w:t>
            </w:r>
          </w:p>
        </w:tc>
        <w:tc>
          <w:tcPr>
            <w:tcW w:w="1530" w:type="dxa"/>
            <w:tcBorders>
              <w:top w:val="single" w:sz="18" w:space="0" w:color="auto"/>
              <w:left w:val="nil"/>
              <w:bottom w:val="single" w:sz="18" w:space="0" w:color="auto"/>
              <w:right w:val="nil"/>
            </w:tcBorders>
          </w:tcPr>
          <w:p w14:paraId="33DD9E3D" w14:textId="77777777" w:rsidR="005372E5" w:rsidRPr="00AF4D6F" w:rsidRDefault="006B022B">
            <w:pPr>
              <w:spacing w:after="0"/>
              <w:jc w:val="center"/>
              <w:rPr>
                <w:rFonts w:ascii="Times New Roman" w:hAnsi="Times New Roman"/>
                <w:b/>
                <w:bCs/>
                <w:sz w:val="24"/>
                <w:szCs w:val="24"/>
              </w:rPr>
            </w:pPr>
            <w:r w:rsidRPr="00AF4D6F">
              <w:rPr>
                <w:rFonts w:ascii="Times New Roman" w:hAnsi="Times New Roman"/>
                <w:b/>
                <w:bCs/>
                <w:sz w:val="24"/>
                <w:szCs w:val="24"/>
              </w:rPr>
              <w:t>10</w:t>
            </w:r>
          </w:p>
        </w:tc>
      </w:tr>
      <w:tr w:rsidR="00AF4D6F" w:rsidRPr="00AF4D6F" w14:paraId="646C58C7" w14:textId="77777777">
        <w:trPr>
          <w:trHeight w:val="368"/>
        </w:trPr>
        <w:tc>
          <w:tcPr>
            <w:tcW w:w="2451" w:type="dxa"/>
            <w:tcBorders>
              <w:top w:val="single" w:sz="18" w:space="0" w:color="auto"/>
              <w:left w:val="nil"/>
              <w:bottom w:val="nil"/>
              <w:right w:val="nil"/>
            </w:tcBorders>
          </w:tcPr>
          <w:p w14:paraId="6A1B1712"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Sugarcane Bagasse</w:t>
            </w:r>
          </w:p>
        </w:tc>
        <w:tc>
          <w:tcPr>
            <w:tcW w:w="1419" w:type="dxa"/>
            <w:tcBorders>
              <w:top w:val="single" w:sz="18" w:space="0" w:color="auto"/>
              <w:left w:val="nil"/>
              <w:bottom w:val="nil"/>
              <w:right w:val="nil"/>
            </w:tcBorders>
          </w:tcPr>
          <w:p w14:paraId="2C510EA4"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0.55±0.03</w:t>
            </w:r>
            <w:r w:rsidRPr="00AF4D6F">
              <w:rPr>
                <w:rFonts w:ascii="Times New Roman" w:hAnsi="Times New Roman"/>
                <w:b/>
                <w:bCs/>
                <w:sz w:val="24"/>
                <w:szCs w:val="24"/>
                <w:vertAlign w:val="superscript"/>
              </w:rPr>
              <w:t>c</w:t>
            </w:r>
          </w:p>
        </w:tc>
        <w:tc>
          <w:tcPr>
            <w:tcW w:w="1350" w:type="dxa"/>
            <w:tcBorders>
              <w:top w:val="single" w:sz="18" w:space="0" w:color="auto"/>
              <w:left w:val="nil"/>
              <w:bottom w:val="nil"/>
              <w:right w:val="nil"/>
            </w:tcBorders>
          </w:tcPr>
          <w:p w14:paraId="3CAB8225"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0.55±0.04</w:t>
            </w:r>
            <w:r w:rsidRPr="00AF4D6F">
              <w:rPr>
                <w:rFonts w:ascii="Times New Roman" w:hAnsi="Times New Roman"/>
                <w:b/>
                <w:bCs/>
                <w:sz w:val="24"/>
                <w:szCs w:val="24"/>
                <w:vertAlign w:val="superscript"/>
              </w:rPr>
              <w:t>c</w:t>
            </w:r>
          </w:p>
        </w:tc>
        <w:tc>
          <w:tcPr>
            <w:tcW w:w="1350" w:type="dxa"/>
            <w:tcBorders>
              <w:top w:val="single" w:sz="18" w:space="0" w:color="auto"/>
              <w:left w:val="nil"/>
              <w:bottom w:val="nil"/>
              <w:right w:val="nil"/>
            </w:tcBorders>
          </w:tcPr>
          <w:p w14:paraId="1AAC93BE"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1.03±0.02</w:t>
            </w:r>
            <w:r w:rsidRPr="00AF4D6F">
              <w:rPr>
                <w:rFonts w:ascii="Times New Roman" w:hAnsi="Times New Roman"/>
                <w:b/>
                <w:bCs/>
                <w:sz w:val="24"/>
                <w:szCs w:val="24"/>
                <w:vertAlign w:val="superscript"/>
              </w:rPr>
              <w:t>b</w:t>
            </w:r>
          </w:p>
        </w:tc>
        <w:tc>
          <w:tcPr>
            <w:tcW w:w="1440" w:type="dxa"/>
            <w:tcBorders>
              <w:top w:val="single" w:sz="18" w:space="0" w:color="auto"/>
              <w:left w:val="nil"/>
              <w:bottom w:val="nil"/>
              <w:right w:val="nil"/>
            </w:tcBorders>
          </w:tcPr>
          <w:p w14:paraId="69ACB2BE"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1.26±0.00</w:t>
            </w:r>
            <w:r w:rsidRPr="00AF4D6F">
              <w:rPr>
                <w:rFonts w:ascii="Times New Roman" w:hAnsi="Times New Roman"/>
                <w:b/>
                <w:bCs/>
                <w:sz w:val="24"/>
                <w:szCs w:val="24"/>
                <w:vertAlign w:val="superscript"/>
              </w:rPr>
              <w:t>a</w:t>
            </w:r>
          </w:p>
        </w:tc>
        <w:tc>
          <w:tcPr>
            <w:tcW w:w="1530" w:type="dxa"/>
            <w:tcBorders>
              <w:top w:val="single" w:sz="18" w:space="0" w:color="auto"/>
              <w:left w:val="nil"/>
              <w:bottom w:val="nil"/>
              <w:right w:val="nil"/>
            </w:tcBorders>
          </w:tcPr>
          <w:p w14:paraId="2152113F"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0.39±0.00</w:t>
            </w:r>
            <w:r w:rsidRPr="00AF4D6F">
              <w:rPr>
                <w:rFonts w:ascii="Times New Roman" w:hAnsi="Times New Roman"/>
                <w:b/>
                <w:bCs/>
                <w:sz w:val="24"/>
                <w:szCs w:val="24"/>
                <w:vertAlign w:val="superscript"/>
              </w:rPr>
              <w:t>d</w:t>
            </w:r>
          </w:p>
        </w:tc>
      </w:tr>
      <w:tr w:rsidR="00AF4D6F" w:rsidRPr="00AF4D6F" w14:paraId="1E7E6C6D" w14:textId="77777777">
        <w:trPr>
          <w:trHeight w:val="388"/>
        </w:trPr>
        <w:tc>
          <w:tcPr>
            <w:tcW w:w="2451" w:type="dxa"/>
            <w:tcBorders>
              <w:top w:val="nil"/>
              <w:left w:val="nil"/>
              <w:bottom w:val="nil"/>
              <w:right w:val="nil"/>
            </w:tcBorders>
          </w:tcPr>
          <w:p w14:paraId="2B96C1A8"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Rice Husks</w:t>
            </w:r>
          </w:p>
        </w:tc>
        <w:tc>
          <w:tcPr>
            <w:tcW w:w="1419" w:type="dxa"/>
            <w:tcBorders>
              <w:top w:val="nil"/>
              <w:left w:val="nil"/>
              <w:bottom w:val="nil"/>
              <w:right w:val="nil"/>
            </w:tcBorders>
          </w:tcPr>
          <w:p w14:paraId="51900B11"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0.41±0.01</w:t>
            </w:r>
            <w:r w:rsidRPr="00AF4D6F">
              <w:rPr>
                <w:rFonts w:ascii="Times New Roman" w:hAnsi="Times New Roman"/>
                <w:b/>
                <w:bCs/>
                <w:sz w:val="24"/>
                <w:szCs w:val="24"/>
                <w:vertAlign w:val="superscript"/>
              </w:rPr>
              <w:t>b</w:t>
            </w:r>
          </w:p>
        </w:tc>
        <w:tc>
          <w:tcPr>
            <w:tcW w:w="1350" w:type="dxa"/>
            <w:tcBorders>
              <w:top w:val="nil"/>
              <w:left w:val="nil"/>
              <w:bottom w:val="nil"/>
              <w:right w:val="nil"/>
            </w:tcBorders>
          </w:tcPr>
          <w:p w14:paraId="1E057E7E"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0.93±0.05</w:t>
            </w:r>
            <w:r w:rsidRPr="00AF4D6F">
              <w:rPr>
                <w:rFonts w:ascii="Times New Roman" w:hAnsi="Times New Roman"/>
                <w:b/>
                <w:bCs/>
                <w:sz w:val="24"/>
                <w:szCs w:val="24"/>
                <w:vertAlign w:val="superscript"/>
              </w:rPr>
              <w:t>a</w:t>
            </w:r>
          </w:p>
        </w:tc>
        <w:tc>
          <w:tcPr>
            <w:tcW w:w="1350" w:type="dxa"/>
            <w:tcBorders>
              <w:top w:val="nil"/>
              <w:left w:val="nil"/>
              <w:bottom w:val="nil"/>
              <w:right w:val="nil"/>
            </w:tcBorders>
          </w:tcPr>
          <w:p w14:paraId="53D27027"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0.98±0.03</w:t>
            </w:r>
            <w:r w:rsidRPr="00AF4D6F">
              <w:rPr>
                <w:rFonts w:ascii="Times New Roman" w:hAnsi="Times New Roman"/>
                <w:b/>
                <w:bCs/>
                <w:sz w:val="24"/>
                <w:szCs w:val="24"/>
                <w:vertAlign w:val="superscript"/>
              </w:rPr>
              <w:t>a</w:t>
            </w:r>
          </w:p>
        </w:tc>
        <w:tc>
          <w:tcPr>
            <w:tcW w:w="1440" w:type="dxa"/>
            <w:tcBorders>
              <w:top w:val="nil"/>
              <w:left w:val="nil"/>
              <w:bottom w:val="nil"/>
              <w:right w:val="nil"/>
            </w:tcBorders>
          </w:tcPr>
          <w:p w14:paraId="4B2573D7"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0.41±0.01</w:t>
            </w:r>
            <w:r w:rsidRPr="00AF4D6F">
              <w:rPr>
                <w:rFonts w:ascii="Times New Roman" w:hAnsi="Times New Roman"/>
                <w:b/>
                <w:bCs/>
                <w:sz w:val="24"/>
                <w:szCs w:val="24"/>
                <w:vertAlign w:val="superscript"/>
              </w:rPr>
              <w:t>b</w:t>
            </w:r>
          </w:p>
        </w:tc>
        <w:tc>
          <w:tcPr>
            <w:tcW w:w="1530" w:type="dxa"/>
            <w:tcBorders>
              <w:top w:val="nil"/>
              <w:left w:val="nil"/>
              <w:bottom w:val="nil"/>
              <w:right w:val="nil"/>
            </w:tcBorders>
          </w:tcPr>
          <w:p w14:paraId="76D9D99E"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0.19±0.02</w:t>
            </w:r>
            <w:r w:rsidRPr="00AF4D6F">
              <w:rPr>
                <w:rFonts w:ascii="Times New Roman" w:hAnsi="Times New Roman"/>
                <w:b/>
                <w:bCs/>
                <w:sz w:val="24"/>
                <w:szCs w:val="24"/>
                <w:vertAlign w:val="superscript"/>
              </w:rPr>
              <w:t>c</w:t>
            </w:r>
          </w:p>
        </w:tc>
      </w:tr>
      <w:tr w:rsidR="00AF4D6F" w:rsidRPr="00AF4D6F" w14:paraId="19D4E7B2" w14:textId="77777777">
        <w:trPr>
          <w:trHeight w:val="398"/>
        </w:trPr>
        <w:tc>
          <w:tcPr>
            <w:tcW w:w="2451" w:type="dxa"/>
            <w:tcBorders>
              <w:top w:val="nil"/>
              <w:left w:val="nil"/>
              <w:bottom w:val="single" w:sz="4" w:space="0" w:color="auto"/>
              <w:right w:val="nil"/>
            </w:tcBorders>
          </w:tcPr>
          <w:p w14:paraId="731245F8"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Eucalyptus sawdust</w:t>
            </w:r>
          </w:p>
        </w:tc>
        <w:tc>
          <w:tcPr>
            <w:tcW w:w="1419" w:type="dxa"/>
            <w:tcBorders>
              <w:top w:val="nil"/>
              <w:left w:val="nil"/>
              <w:bottom w:val="single" w:sz="4" w:space="0" w:color="auto"/>
              <w:right w:val="nil"/>
            </w:tcBorders>
          </w:tcPr>
          <w:p w14:paraId="1F133A06"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0.10±0.02</w:t>
            </w:r>
            <w:r w:rsidRPr="00AF4D6F">
              <w:rPr>
                <w:rFonts w:ascii="Times New Roman" w:hAnsi="Times New Roman"/>
                <w:b/>
                <w:bCs/>
                <w:sz w:val="24"/>
                <w:szCs w:val="24"/>
                <w:vertAlign w:val="superscript"/>
              </w:rPr>
              <w:t>e</w:t>
            </w:r>
          </w:p>
        </w:tc>
        <w:tc>
          <w:tcPr>
            <w:tcW w:w="1350" w:type="dxa"/>
            <w:tcBorders>
              <w:top w:val="nil"/>
              <w:left w:val="nil"/>
              <w:bottom w:val="single" w:sz="4" w:space="0" w:color="auto"/>
              <w:right w:val="nil"/>
            </w:tcBorders>
          </w:tcPr>
          <w:p w14:paraId="3FA5C6A1"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0.48±0.00</w:t>
            </w:r>
            <w:r w:rsidRPr="00AF4D6F">
              <w:rPr>
                <w:rFonts w:ascii="Times New Roman" w:hAnsi="Times New Roman"/>
                <w:b/>
                <w:bCs/>
                <w:sz w:val="24"/>
                <w:szCs w:val="24"/>
                <w:vertAlign w:val="superscript"/>
              </w:rPr>
              <w:t>d</w:t>
            </w:r>
          </w:p>
        </w:tc>
        <w:tc>
          <w:tcPr>
            <w:tcW w:w="1350" w:type="dxa"/>
            <w:tcBorders>
              <w:top w:val="nil"/>
              <w:left w:val="nil"/>
              <w:bottom w:val="single" w:sz="4" w:space="0" w:color="auto"/>
              <w:right w:val="nil"/>
            </w:tcBorders>
          </w:tcPr>
          <w:p w14:paraId="55C1EF25"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0.99±0.04</w:t>
            </w:r>
            <w:r w:rsidRPr="00AF4D6F">
              <w:rPr>
                <w:rFonts w:ascii="Times New Roman" w:hAnsi="Times New Roman"/>
                <w:b/>
                <w:bCs/>
                <w:sz w:val="24"/>
                <w:szCs w:val="24"/>
                <w:vertAlign w:val="superscript"/>
              </w:rPr>
              <w:t>b</w:t>
            </w:r>
          </w:p>
        </w:tc>
        <w:tc>
          <w:tcPr>
            <w:tcW w:w="1440" w:type="dxa"/>
            <w:tcBorders>
              <w:top w:val="nil"/>
              <w:left w:val="nil"/>
              <w:bottom w:val="single" w:sz="4" w:space="0" w:color="auto"/>
              <w:right w:val="nil"/>
            </w:tcBorders>
          </w:tcPr>
          <w:p w14:paraId="0C00446C"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1.43±0.04</w:t>
            </w:r>
            <w:r w:rsidRPr="00AF4D6F">
              <w:rPr>
                <w:rFonts w:ascii="Times New Roman" w:hAnsi="Times New Roman"/>
                <w:b/>
                <w:bCs/>
                <w:sz w:val="24"/>
                <w:szCs w:val="24"/>
                <w:vertAlign w:val="superscript"/>
              </w:rPr>
              <w:t>a</w:t>
            </w:r>
          </w:p>
        </w:tc>
        <w:tc>
          <w:tcPr>
            <w:tcW w:w="1530" w:type="dxa"/>
            <w:tcBorders>
              <w:top w:val="nil"/>
              <w:left w:val="nil"/>
              <w:bottom w:val="single" w:sz="4" w:space="0" w:color="auto"/>
              <w:right w:val="nil"/>
            </w:tcBorders>
          </w:tcPr>
          <w:p w14:paraId="014D9EE2" w14:textId="77777777" w:rsidR="005372E5" w:rsidRPr="00AF4D6F" w:rsidRDefault="006B022B">
            <w:pPr>
              <w:spacing w:after="0"/>
              <w:jc w:val="both"/>
              <w:rPr>
                <w:rFonts w:ascii="Times New Roman" w:hAnsi="Times New Roman"/>
                <w:b/>
                <w:bCs/>
                <w:sz w:val="24"/>
                <w:szCs w:val="24"/>
              </w:rPr>
            </w:pPr>
            <w:r w:rsidRPr="00AF4D6F">
              <w:rPr>
                <w:rFonts w:ascii="Times New Roman" w:hAnsi="Times New Roman"/>
                <w:sz w:val="24"/>
                <w:szCs w:val="24"/>
              </w:rPr>
              <w:t>0.74±0.04</w:t>
            </w:r>
            <w:r w:rsidRPr="00AF4D6F">
              <w:rPr>
                <w:rFonts w:ascii="Times New Roman" w:hAnsi="Times New Roman"/>
                <w:b/>
                <w:bCs/>
                <w:sz w:val="24"/>
                <w:szCs w:val="24"/>
                <w:vertAlign w:val="superscript"/>
              </w:rPr>
              <w:t>c</w:t>
            </w:r>
          </w:p>
        </w:tc>
      </w:tr>
      <w:tr w:rsidR="00AF4D6F" w:rsidRPr="00AF4D6F" w14:paraId="148EB1D4" w14:textId="77777777">
        <w:trPr>
          <w:trHeight w:val="407"/>
        </w:trPr>
        <w:tc>
          <w:tcPr>
            <w:tcW w:w="2451" w:type="dxa"/>
            <w:tcBorders>
              <w:left w:val="nil"/>
              <w:right w:val="nil"/>
            </w:tcBorders>
          </w:tcPr>
          <w:p w14:paraId="17C955DC"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P value</w:t>
            </w:r>
          </w:p>
        </w:tc>
        <w:tc>
          <w:tcPr>
            <w:tcW w:w="1419" w:type="dxa"/>
            <w:tcBorders>
              <w:left w:val="nil"/>
              <w:right w:val="nil"/>
            </w:tcBorders>
          </w:tcPr>
          <w:p w14:paraId="21EF8EC3"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&lt;0.001</w:t>
            </w:r>
          </w:p>
        </w:tc>
        <w:tc>
          <w:tcPr>
            <w:tcW w:w="1350" w:type="dxa"/>
            <w:tcBorders>
              <w:left w:val="nil"/>
              <w:right w:val="nil"/>
            </w:tcBorders>
          </w:tcPr>
          <w:p w14:paraId="7E4482A6"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&lt;0.001</w:t>
            </w:r>
          </w:p>
        </w:tc>
        <w:tc>
          <w:tcPr>
            <w:tcW w:w="1350" w:type="dxa"/>
            <w:tcBorders>
              <w:left w:val="nil"/>
              <w:right w:val="nil"/>
            </w:tcBorders>
          </w:tcPr>
          <w:p w14:paraId="25551E85"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&lt;0.001</w:t>
            </w:r>
          </w:p>
        </w:tc>
        <w:tc>
          <w:tcPr>
            <w:tcW w:w="1440" w:type="dxa"/>
            <w:tcBorders>
              <w:left w:val="nil"/>
              <w:right w:val="nil"/>
            </w:tcBorders>
          </w:tcPr>
          <w:p w14:paraId="4D808817"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&lt;0.001</w:t>
            </w:r>
          </w:p>
        </w:tc>
        <w:tc>
          <w:tcPr>
            <w:tcW w:w="1530" w:type="dxa"/>
            <w:tcBorders>
              <w:left w:val="nil"/>
              <w:right w:val="nil"/>
            </w:tcBorders>
          </w:tcPr>
          <w:p w14:paraId="56F1C7E6" w14:textId="77777777" w:rsidR="005372E5" w:rsidRPr="00AF4D6F" w:rsidRDefault="006B022B">
            <w:pPr>
              <w:spacing w:after="0"/>
              <w:jc w:val="both"/>
              <w:rPr>
                <w:rFonts w:ascii="Times New Roman" w:hAnsi="Times New Roman"/>
                <w:sz w:val="24"/>
                <w:szCs w:val="24"/>
              </w:rPr>
            </w:pPr>
            <w:r w:rsidRPr="00AF4D6F">
              <w:rPr>
                <w:rFonts w:ascii="Times New Roman" w:hAnsi="Times New Roman"/>
                <w:sz w:val="24"/>
                <w:szCs w:val="24"/>
              </w:rPr>
              <w:t>&lt;0.001</w:t>
            </w:r>
          </w:p>
        </w:tc>
      </w:tr>
    </w:tbl>
    <w:p w14:paraId="4148BB60"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b/>
          <w:sz w:val="24"/>
          <w:szCs w:val="24"/>
          <w:shd w:val="clear" w:color="auto" w:fill="FFFFFF"/>
        </w:rPr>
        <w:t>In the same column, means with the same letter superscripts are not significantly different</w:t>
      </w:r>
    </w:p>
    <w:p w14:paraId="1E4935E8" w14:textId="00CC2C95"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t>4</w:t>
      </w:r>
      <w:r w:rsidRPr="00AF4D6F">
        <w:rPr>
          <w:rFonts w:ascii="Times New Roman" w:hAnsi="Times New Roman"/>
          <w:color w:val="auto"/>
          <w:sz w:val="24"/>
          <w:szCs w:val="24"/>
        </w:rPr>
        <w:t>.</w:t>
      </w:r>
      <w:r>
        <w:rPr>
          <w:rFonts w:ascii="Times New Roman" w:hAnsi="Times New Roman"/>
          <w:color w:val="auto"/>
          <w:sz w:val="24"/>
          <w:szCs w:val="24"/>
        </w:rPr>
        <w:t>1</w:t>
      </w:r>
      <w:r w:rsidRPr="00AF4D6F">
        <w:rPr>
          <w:rFonts w:ascii="Times New Roman" w:hAnsi="Times New Roman"/>
          <w:color w:val="auto"/>
          <w:sz w:val="24"/>
          <w:szCs w:val="24"/>
        </w:rPr>
        <w:t xml:space="preserve"> Discussion</w:t>
      </w:r>
    </w:p>
    <w:p w14:paraId="79A5CB90"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Cellulase production by </w:t>
      </w:r>
      <w:proofErr w:type="spellStart"/>
      <w:r w:rsidRPr="00AF4D6F">
        <w:rPr>
          <w:rFonts w:ascii="Times New Roman" w:hAnsi="Times New Roman"/>
          <w:sz w:val="24"/>
          <w:szCs w:val="24"/>
        </w:rPr>
        <w:t>Daldinia</w:t>
      </w:r>
      <w:proofErr w:type="spellEnd"/>
      <w:r w:rsidRPr="00AF4D6F">
        <w:rPr>
          <w:rFonts w:ascii="Times New Roman" w:hAnsi="Times New Roman"/>
          <w:sz w:val="24"/>
          <w:szCs w:val="24"/>
        </w:rPr>
        <w:t xml:space="preserve"> </w:t>
      </w:r>
      <w:proofErr w:type="spellStart"/>
      <w:r w:rsidRPr="00AF4D6F">
        <w:rPr>
          <w:rFonts w:ascii="Times New Roman" w:hAnsi="Times New Roman"/>
          <w:sz w:val="24"/>
          <w:szCs w:val="24"/>
        </w:rPr>
        <w:t>concentrica</w:t>
      </w:r>
      <w:proofErr w:type="spellEnd"/>
      <w:r w:rsidRPr="00AF4D6F">
        <w:rPr>
          <w:rFonts w:ascii="Times New Roman" w:hAnsi="Times New Roman"/>
          <w:sz w:val="24"/>
          <w:szCs w:val="24"/>
        </w:rPr>
        <w:t xml:space="preserve"> followed a bell-shaped temporal profile, with low activity during early growth (days 2 - 4), peaks between days 6 - 8, and a decline by day 10. This temporal pattern agrees with reports from other microbial systems where enzyme synthesis is linked to growth phase and substrate availability (</w:t>
      </w:r>
      <w:proofErr w:type="spellStart"/>
      <w:r w:rsidRPr="00AF4D6F">
        <w:rPr>
          <w:rFonts w:ascii="Times New Roman" w:hAnsi="Times New Roman"/>
          <w:sz w:val="24"/>
          <w:szCs w:val="24"/>
        </w:rPr>
        <w:t>Rajmane</w:t>
      </w:r>
      <w:proofErr w:type="spellEnd"/>
      <w:r w:rsidRPr="00AF4D6F">
        <w:rPr>
          <w:rFonts w:ascii="Times New Roman" w:hAnsi="Times New Roman"/>
          <w:sz w:val="24"/>
          <w:szCs w:val="24"/>
        </w:rPr>
        <w:t xml:space="preserve"> &amp; </w:t>
      </w:r>
      <w:proofErr w:type="spellStart"/>
      <w:r w:rsidRPr="00AF4D6F">
        <w:rPr>
          <w:rFonts w:ascii="Times New Roman" w:hAnsi="Times New Roman"/>
          <w:sz w:val="24"/>
          <w:szCs w:val="24"/>
        </w:rPr>
        <w:t>Korelar</w:t>
      </w:r>
      <w:proofErr w:type="spellEnd"/>
      <w:r w:rsidRPr="00AF4D6F">
        <w:rPr>
          <w:rFonts w:ascii="Times New Roman" w:hAnsi="Times New Roman"/>
          <w:sz w:val="24"/>
          <w:szCs w:val="24"/>
        </w:rPr>
        <w:t xml:space="preserve">, 2017; Naher et al., 2021). The post-peak decline observed here is likely multifactorial: progressive substrate depletion, accumulation of inhibitory sugars (glucose or cellobiose) that repress cellulase expression, and possible enzyme instability at prolonged incubation, mechanisms previously noted in cellulase kinetics studies (Zhang &amp; Lynd, 2004). Differences in the exact timing of peaks between studies may reflect strain-specific regulation, inoculum load, moisture content, and the physical nature of the substrate, which all influence growth rate and induction timing (Naher et al., 2021; </w:t>
      </w:r>
      <w:proofErr w:type="spellStart"/>
      <w:r w:rsidRPr="00AF4D6F">
        <w:rPr>
          <w:rFonts w:ascii="Times New Roman" w:hAnsi="Times New Roman"/>
          <w:sz w:val="24"/>
          <w:szCs w:val="24"/>
        </w:rPr>
        <w:t>Kadoguchi</w:t>
      </w:r>
      <w:proofErr w:type="spellEnd"/>
      <w:r w:rsidRPr="00AF4D6F">
        <w:rPr>
          <w:rFonts w:ascii="Times New Roman" w:hAnsi="Times New Roman"/>
          <w:sz w:val="24"/>
          <w:szCs w:val="24"/>
        </w:rPr>
        <w:t xml:space="preserve"> et al., 2024).</w:t>
      </w:r>
    </w:p>
    <w:p w14:paraId="687F3BAF"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Comparative analysis of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(total cellulase) activity shows our </w:t>
      </w:r>
      <w:proofErr w:type="spellStart"/>
      <w:r w:rsidRPr="00AF4D6F">
        <w:rPr>
          <w:rFonts w:ascii="Times New Roman" w:hAnsi="Times New Roman"/>
          <w:sz w:val="24"/>
          <w:szCs w:val="24"/>
        </w:rPr>
        <w:t>Daldinia</w:t>
      </w:r>
      <w:proofErr w:type="spellEnd"/>
      <w:r w:rsidRPr="00AF4D6F">
        <w:rPr>
          <w:rFonts w:ascii="Times New Roman" w:hAnsi="Times New Roman"/>
          <w:sz w:val="24"/>
          <w:szCs w:val="24"/>
        </w:rPr>
        <w:t xml:space="preserve"> </w:t>
      </w:r>
      <w:proofErr w:type="spellStart"/>
      <w:r w:rsidRPr="00AF4D6F">
        <w:rPr>
          <w:rFonts w:ascii="Times New Roman" w:hAnsi="Times New Roman"/>
          <w:sz w:val="24"/>
          <w:szCs w:val="24"/>
        </w:rPr>
        <w:t>concentrica</w:t>
      </w:r>
      <w:proofErr w:type="spellEnd"/>
      <w:r w:rsidRPr="00AF4D6F">
        <w:rPr>
          <w:rFonts w:ascii="Times New Roman" w:hAnsi="Times New Roman"/>
          <w:sz w:val="24"/>
          <w:szCs w:val="24"/>
        </w:rPr>
        <w:t xml:space="preserve"> performed comparably to some reported fungal systems under certain conditions: we measured a maximum </w:t>
      </w:r>
      <w:proofErr w:type="spellStart"/>
      <w:r w:rsidRPr="00AF4D6F">
        <w:rPr>
          <w:rFonts w:ascii="Times New Roman" w:hAnsi="Times New Roman"/>
          <w:sz w:val="24"/>
          <w:szCs w:val="24"/>
        </w:rPr>
        <w:lastRenderedPageBreak/>
        <w:t>FPase</w:t>
      </w:r>
      <w:proofErr w:type="spellEnd"/>
      <w:r w:rsidRPr="00AF4D6F">
        <w:rPr>
          <w:rFonts w:ascii="Times New Roman" w:hAnsi="Times New Roman"/>
          <w:sz w:val="24"/>
          <w:szCs w:val="24"/>
        </w:rPr>
        <w:t xml:space="preserve"> of 2.41 ± 0.08 IU/mL on rice husks (day 6), while Aspergillus </w:t>
      </w:r>
      <w:proofErr w:type="spellStart"/>
      <w:r w:rsidRPr="00AF4D6F">
        <w:rPr>
          <w:rFonts w:ascii="Times New Roman" w:hAnsi="Times New Roman"/>
          <w:sz w:val="24"/>
          <w:szCs w:val="24"/>
        </w:rPr>
        <w:t>terreus</w:t>
      </w:r>
      <w:proofErr w:type="spellEnd"/>
      <w:r w:rsidRPr="00AF4D6F">
        <w:rPr>
          <w:rFonts w:ascii="Times New Roman" w:hAnsi="Times New Roman"/>
          <w:sz w:val="24"/>
          <w:szCs w:val="24"/>
        </w:rPr>
        <w:t xml:space="preserve"> NIH2624 produced 3.35 U/mL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under submerged fermentation (</w:t>
      </w:r>
      <w:proofErr w:type="spellStart"/>
      <w:r w:rsidRPr="00AF4D6F">
        <w:rPr>
          <w:rFonts w:ascii="Times New Roman" w:hAnsi="Times New Roman"/>
          <w:sz w:val="24"/>
          <w:szCs w:val="24"/>
        </w:rPr>
        <w:t>Kadoguchi</w:t>
      </w:r>
      <w:proofErr w:type="spellEnd"/>
      <w:r w:rsidRPr="00AF4D6F">
        <w:rPr>
          <w:rFonts w:ascii="Times New Roman" w:hAnsi="Times New Roman"/>
          <w:sz w:val="24"/>
          <w:szCs w:val="24"/>
        </w:rPr>
        <w:t xml:space="preserve"> et al., 2024). The somewhat lower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here likely reflects differences between solid-state fermentation (SSF) and submerged fermentation (</w:t>
      </w:r>
      <w:proofErr w:type="spellStart"/>
      <w:r w:rsidRPr="00AF4D6F">
        <w:rPr>
          <w:rFonts w:ascii="Times New Roman" w:hAnsi="Times New Roman"/>
          <w:sz w:val="24"/>
          <w:szCs w:val="24"/>
        </w:rPr>
        <w:t>SmF</w:t>
      </w:r>
      <w:proofErr w:type="spellEnd"/>
      <w:r w:rsidRPr="00AF4D6F">
        <w:rPr>
          <w:rFonts w:ascii="Times New Roman" w:hAnsi="Times New Roman"/>
          <w:sz w:val="24"/>
          <w:szCs w:val="24"/>
        </w:rPr>
        <w:t>). Solid-state fermentation (SSF) generally concentrates microbial metabolism on solid particles and can enhance some enzyme yields per unit substrate but also imposes mass-transfer limitations (oxygen, moisture) that modulate total soluble enzyme recovery (Singhania et al., 2021; Krishna et al., 1999). Methodological differences in assay conditions, substrate pretreatment, and units reported (IU vs U) further complicate direct numerical comparisons (</w:t>
      </w:r>
      <w:proofErr w:type="spellStart"/>
      <w:r w:rsidRPr="00AF4D6F">
        <w:rPr>
          <w:rFonts w:ascii="Times New Roman" w:hAnsi="Times New Roman"/>
          <w:sz w:val="24"/>
          <w:szCs w:val="24"/>
        </w:rPr>
        <w:t>Kadoguchi</w:t>
      </w:r>
      <w:proofErr w:type="spellEnd"/>
      <w:r w:rsidRPr="00AF4D6F">
        <w:rPr>
          <w:rFonts w:ascii="Times New Roman" w:hAnsi="Times New Roman"/>
          <w:sz w:val="24"/>
          <w:szCs w:val="24"/>
        </w:rPr>
        <w:t xml:space="preserve"> et al., 2024).</w:t>
      </w:r>
    </w:p>
    <w:p w14:paraId="7421A9D3"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Endoglucanase (</w:t>
      </w:r>
      <w:proofErr w:type="spellStart"/>
      <w:r w:rsidRPr="00AF4D6F">
        <w:rPr>
          <w:rFonts w:ascii="Times New Roman" w:hAnsi="Times New Roman"/>
          <w:sz w:val="24"/>
          <w:szCs w:val="24"/>
        </w:rPr>
        <w:t>CMCase</w:t>
      </w:r>
      <w:proofErr w:type="spellEnd"/>
      <w:r w:rsidRPr="00AF4D6F">
        <w:rPr>
          <w:rFonts w:ascii="Times New Roman" w:hAnsi="Times New Roman"/>
          <w:sz w:val="24"/>
          <w:szCs w:val="24"/>
        </w:rPr>
        <w:t xml:space="preserve">) peaked at different times and magnitudes across substrates, highest on sugarcane bagasse (4.77 ± 0.11 IU/mL, day 8), consistent with the idea that substrate chemical composition strongly influences specific enzyme induction. Sugarcane bagasse’s balanced cellulose–hemicellulose matrix may present more accessible amorphous regions that preferentially induce endoglucanases, explaining the elevated </w:t>
      </w:r>
      <w:proofErr w:type="spellStart"/>
      <w:r w:rsidRPr="00AF4D6F">
        <w:rPr>
          <w:rFonts w:ascii="Times New Roman" w:hAnsi="Times New Roman"/>
          <w:sz w:val="24"/>
          <w:szCs w:val="24"/>
        </w:rPr>
        <w:t>CMCase</w:t>
      </w:r>
      <w:proofErr w:type="spellEnd"/>
      <w:r w:rsidRPr="00AF4D6F">
        <w:rPr>
          <w:rFonts w:ascii="Times New Roman" w:hAnsi="Times New Roman"/>
          <w:sz w:val="24"/>
          <w:szCs w:val="24"/>
        </w:rPr>
        <w:t xml:space="preserve"> (</w:t>
      </w:r>
      <w:proofErr w:type="spellStart"/>
      <w:r w:rsidRPr="00AF4D6F">
        <w:rPr>
          <w:rFonts w:ascii="Times New Roman" w:hAnsi="Times New Roman"/>
          <w:sz w:val="24"/>
          <w:szCs w:val="24"/>
        </w:rPr>
        <w:t>Kadoguchi</w:t>
      </w:r>
      <w:proofErr w:type="spellEnd"/>
      <w:r w:rsidRPr="00AF4D6F">
        <w:rPr>
          <w:rFonts w:ascii="Times New Roman" w:hAnsi="Times New Roman"/>
          <w:sz w:val="24"/>
          <w:szCs w:val="24"/>
        </w:rPr>
        <w:t xml:space="preserve"> et al., 2024). Other studies using Trichoderma spp. or Aspergillus have reported optimal </w:t>
      </w:r>
      <w:proofErr w:type="spellStart"/>
      <w:r w:rsidRPr="00AF4D6F">
        <w:rPr>
          <w:rFonts w:ascii="Times New Roman" w:hAnsi="Times New Roman"/>
          <w:sz w:val="24"/>
          <w:szCs w:val="24"/>
        </w:rPr>
        <w:t>CMCase</w:t>
      </w:r>
      <w:proofErr w:type="spellEnd"/>
      <w:r w:rsidRPr="00AF4D6F">
        <w:rPr>
          <w:rFonts w:ascii="Times New Roman" w:hAnsi="Times New Roman"/>
          <w:sz w:val="24"/>
          <w:szCs w:val="24"/>
        </w:rPr>
        <w:t xml:space="preserve"> production in mid-incubation windows (days 5–8), which aligns with our findings and supports a conserved induction pattern for endo-acting enzymes across fungal taxa (Naher et al., 2021).</w:t>
      </w:r>
    </w:p>
    <w:p w14:paraId="4A7CEA27" w14:textId="77777777" w:rsidR="005372E5" w:rsidRPr="00AF4D6F" w:rsidRDefault="006B022B">
      <w:pPr>
        <w:spacing w:line="360" w:lineRule="auto"/>
        <w:jc w:val="both"/>
        <w:rPr>
          <w:rFonts w:ascii="Times New Roman" w:hAnsi="Times New Roman"/>
          <w:sz w:val="24"/>
          <w:szCs w:val="24"/>
        </w:rPr>
      </w:pPr>
      <w:proofErr w:type="spellStart"/>
      <w:r w:rsidRPr="00AF4D6F">
        <w:rPr>
          <w:rFonts w:ascii="Times New Roman" w:hAnsi="Times New Roman"/>
          <w:sz w:val="24"/>
          <w:szCs w:val="24"/>
        </w:rPr>
        <w:t>Exoglucanase</w:t>
      </w:r>
      <w:proofErr w:type="spellEnd"/>
      <w:r w:rsidRPr="00AF4D6F">
        <w:rPr>
          <w:rFonts w:ascii="Times New Roman" w:hAnsi="Times New Roman"/>
          <w:sz w:val="24"/>
          <w:szCs w:val="24"/>
        </w:rPr>
        <w:t xml:space="preserve"> (</w:t>
      </w:r>
      <w:proofErr w:type="spellStart"/>
      <w:r w:rsidRPr="00AF4D6F">
        <w:rPr>
          <w:rFonts w:ascii="Times New Roman" w:hAnsi="Times New Roman"/>
          <w:sz w:val="24"/>
          <w:szCs w:val="24"/>
        </w:rPr>
        <w:t>Avicelase</w:t>
      </w:r>
      <w:proofErr w:type="spellEnd"/>
      <w:r w:rsidRPr="00AF4D6F">
        <w:rPr>
          <w:rFonts w:ascii="Times New Roman" w:hAnsi="Times New Roman"/>
          <w:sz w:val="24"/>
          <w:szCs w:val="24"/>
        </w:rPr>
        <w:t xml:space="preserve">) activity showed the highest values on eucalyptus sawdust (1.43 ± 0.04 IU/mL, day 8). That substrate-specific dominance for </w:t>
      </w:r>
      <w:proofErr w:type="spellStart"/>
      <w:r w:rsidRPr="00AF4D6F">
        <w:rPr>
          <w:rFonts w:ascii="Times New Roman" w:hAnsi="Times New Roman"/>
          <w:sz w:val="24"/>
          <w:szCs w:val="24"/>
        </w:rPr>
        <w:t>exoglucanase</w:t>
      </w:r>
      <w:proofErr w:type="spellEnd"/>
      <w:r w:rsidRPr="00AF4D6F">
        <w:rPr>
          <w:rFonts w:ascii="Times New Roman" w:hAnsi="Times New Roman"/>
          <w:sz w:val="24"/>
          <w:szCs w:val="24"/>
        </w:rPr>
        <w:t xml:space="preserve"> may be explained by particle size, lignin content and surface properties: eucalyptus sawdust’s finer particles and higher lignin proportion can favor surface-associated enzyme secretion and localization of </w:t>
      </w:r>
      <w:proofErr w:type="spellStart"/>
      <w:r w:rsidRPr="00AF4D6F">
        <w:rPr>
          <w:rFonts w:ascii="Times New Roman" w:hAnsi="Times New Roman"/>
          <w:sz w:val="24"/>
          <w:szCs w:val="24"/>
        </w:rPr>
        <w:t>exo</w:t>
      </w:r>
      <w:proofErr w:type="spellEnd"/>
      <w:r w:rsidRPr="00AF4D6F">
        <w:rPr>
          <w:rFonts w:ascii="Times New Roman" w:hAnsi="Times New Roman"/>
          <w:sz w:val="24"/>
          <w:szCs w:val="24"/>
        </w:rPr>
        <w:t xml:space="preserve">-acting enzymes that attack chain ends (Soni et al., 2024; Ravindran et al., 2018). By contrast, rice husks, with higher silica and crystalline cellulose content, yielded the highest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but lower </w:t>
      </w:r>
      <w:proofErr w:type="spellStart"/>
      <w:r w:rsidRPr="00AF4D6F">
        <w:rPr>
          <w:rFonts w:ascii="Times New Roman" w:hAnsi="Times New Roman"/>
          <w:sz w:val="24"/>
          <w:szCs w:val="24"/>
        </w:rPr>
        <w:t>exoglucanase</w:t>
      </w:r>
      <w:proofErr w:type="spellEnd"/>
      <w:r w:rsidRPr="00AF4D6F">
        <w:rPr>
          <w:rFonts w:ascii="Times New Roman" w:hAnsi="Times New Roman"/>
          <w:sz w:val="24"/>
          <w:szCs w:val="24"/>
        </w:rPr>
        <w:t xml:space="preserve"> than eucalyptus, suggesting that substrate crystallinity and mineral content can differentially influence the relative activity profile of cellulase components (Ravindran et al., 2018).</w:t>
      </w:r>
    </w:p>
    <w:p w14:paraId="352FC697" w14:textId="77777777" w:rsidR="005372E5" w:rsidRPr="00AF4D6F" w:rsidRDefault="005372E5">
      <w:pPr>
        <w:spacing w:line="360" w:lineRule="auto"/>
        <w:jc w:val="both"/>
        <w:rPr>
          <w:rFonts w:ascii="Times New Roman" w:hAnsi="Times New Roman"/>
          <w:sz w:val="24"/>
          <w:szCs w:val="24"/>
        </w:rPr>
      </w:pPr>
    </w:p>
    <w:p w14:paraId="04E26254"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Where our results differ from some published reports, several technical and biological reasons can be invoked. First, inter-strain differences are important: </w:t>
      </w:r>
      <w:proofErr w:type="spellStart"/>
      <w:r w:rsidRPr="00AF4D6F">
        <w:rPr>
          <w:rFonts w:ascii="Times New Roman" w:hAnsi="Times New Roman"/>
          <w:sz w:val="24"/>
          <w:szCs w:val="24"/>
        </w:rPr>
        <w:t>Daldinia</w:t>
      </w:r>
      <w:proofErr w:type="spellEnd"/>
      <w:r w:rsidRPr="00AF4D6F">
        <w:rPr>
          <w:rFonts w:ascii="Times New Roman" w:hAnsi="Times New Roman"/>
          <w:sz w:val="24"/>
          <w:szCs w:val="24"/>
        </w:rPr>
        <w:t xml:space="preserve"> </w:t>
      </w:r>
      <w:proofErr w:type="spellStart"/>
      <w:r w:rsidRPr="00AF4D6F">
        <w:rPr>
          <w:rFonts w:ascii="Times New Roman" w:hAnsi="Times New Roman"/>
          <w:sz w:val="24"/>
          <w:szCs w:val="24"/>
        </w:rPr>
        <w:t>concentrica</w:t>
      </w:r>
      <w:proofErr w:type="spellEnd"/>
      <w:r w:rsidRPr="00AF4D6F">
        <w:rPr>
          <w:rFonts w:ascii="Times New Roman" w:hAnsi="Times New Roman"/>
          <w:sz w:val="24"/>
          <w:szCs w:val="24"/>
        </w:rPr>
        <w:t xml:space="preserve"> likely possesses a distinct complement and regulation of cellulase genes compared with model producers such as </w:t>
      </w:r>
      <w:r w:rsidRPr="00AF4D6F">
        <w:rPr>
          <w:rFonts w:ascii="Times New Roman" w:hAnsi="Times New Roman"/>
          <w:sz w:val="24"/>
          <w:szCs w:val="24"/>
        </w:rPr>
        <w:lastRenderedPageBreak/>
        <w:t xml:space="preserve">Trichoderma </w:t>
      </w:r>
      <w:proofErr w:type="spellStart"/>
      <w:r w:rsidRPr="00AF4D6F">
        <w:rPr>
          <w:rFonts w:ascii="Times New Roman" w:hAnsi="Times New Roman"/>
          <w:sz w:val="24"/>
          <w:szCs w:val="24"/>
        </w:rPr>
        <w:t>reesei</w:t>
      </w:r>
      <w:proofErr w:type="spellEnd"/>
      <w:r w:rsidRPr="00AF4D6F">
        <w:rPr>
          <w:rFonts w:ascii="Times New Roman" w:hAnsi="Times New Roman"/>
          <w:sz w:val="24"/>
          <w:szCs w:val="24"/>
        </w:rPr>
        <w:t xml:space="preserve"> or Aspergillus spp., producing a different balance of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w:t>
      </w:r>
      <w:proofErr w:type="spellStart"/>
      <w:r w:rsidRPr="00AF4D6F">
        <w:rPr>
          <w:rFonts w:ascii="Times New Roman" w:hAnsi="Times New Roman"/>
          <w:sz w:val="24"/>
          <w:szCs w:val="24"/>
        </w:rPr>
        <w:t>CMCase</w:t>
      </w:r>
      <w:proofErr w:type="spellEnd"/>
      <w:r w:rsidRPr="00AF4D6F">
        <w:rPr>
          <w:rFonts w:ascii="Times New Roman" w:hAnsi="Times New Roman"/>
          <w:sz w:val="24"/>
          <w:szCs w:val="24"/>
        </w:rPr>
        <w:t xml:space="preserve"> and </w:t>
      </w:r>
      <w:proofErr w:type="spellStart"/>
      <w:r w:rsidRPr="00AF4D6F">
        <w:rPr>
          <w:rFonts w:ascii="Times New Roman" w:hAnsi="Times New Roman"/>
          <w:sz w:val="24"/>
          <w:szCs w:val="24"/>
        </w:rPr>
        <w:t>Avicelase</w:t>
      </w:r>
      <w:proofErr w:type="spellEnd"/>
      <w:r w:rsidRPr="00AF4D6F">
        <w:rPr>
          <w:rFonts w:ascii="Times New Roman" w:hAnsi="Times New Roman"/>
          <w:sz w:val="24"/>
          <w:szCs w:val="24"/>
        </w:rPr>
        <w:t xml:space="preserve"> activities (Soni et al., 2010). Second, the use of untreated </w:t>
      </w:r>
      <w:proofErr w:type="spellStart"/>
      <w:r w:rsidRPr="00AF4D6F">
        <w:rPr>
          <w:rFonts w:ascii="Times New Roman" w:hAnsi="Times New Roman"/>
          <w:sz w:val="24"/>
          <w:szCs w:val="24"/>
        </w:rPr>
        <w:t>agro</w:t>
      </w:r>
      <w:proofErr w:type="spellEnd"/>
      <w:r w:rsidRPr="00AF4D6F">
        <w:rPr>
          <w:rFonts w:ascii="Times New Roman" w:hAnsi="Times New Roman"/>
          <w:sz w:val="24"/>
          <w:szCs w:val="24"/>
        </w:rPr>
        <w:t xml:space="preserve">-wastes (no chemical or physical pretreatment) preserves structural barriers that change enzyme accessibility and induction patterns compared with studies that use pretreated substrates; untreated substrates often require longer induction times but can still yield useful enzymes for low-cost solid-state fermentation (SSF) processes (Naher et al., 2021; Singhania et al., 2021). Third, operational parameters, inoculum density (1 × 10⁶ spores/mL here), moisture/binding medium (Bushnell Haas), incubation temperature, and static solid-state fermentation (SSF) conditions, all interact to shape enzyme kinetics and can differ across laboratories (Hasanin et al., 2020; </w:t>
      </w:r>
      <w:proofErr w:type="spellStart"/>
      <w:r w:rsidRPr="00AF4D6F">
        <w:rPr>
          <w:rFonts w:ascii="Times New Roman" w:hAnsi="Times New Roman"/>
          <w:sz w:val="24"/>
          <w:szCs w:val="24"/>
        </w:rPr>
        <w:t>Brijwani</w:t>
      </w:r>
      <w:proofErr w:type="spellEnd"/>
      <w:r w:rsidRPr="00AF4D6F">
        <w:rPr>
          <w:rFonts w:ascii="Times New Roman" w:hAnsi="Times New Roman"/>
          <w:sz w:val="24"/>
          <w:szCs w:val="24"/>
        </w:rPr>
        <w:t xml:space="preserve"> &amp; </w:t>
      </w:r>
      <w:proofErr w:type="spellStart"/>
      <w:r w:rsidRPr="00AF4D6F">
        <w:rPr>
          <w:rFonts w:ascii="Times New Roman" w:hAnsi="Times New Roman"/>
          <w:sz w:val="24"/>
          <w:szCs w:val="24"/>
        </w:rPr>
        <w:t>Vadlani</w:t>
      </w:r>
      <w:proofErr w:type="spellEnd"/>
      <w:r w:rsidRPr="00AF4D6F">
        <w:rPr>
          <w:rFonts w:ascii="Times New Roman" w:hAnsi="Times New Roman"/>
          <w:sz w:val="24"/>
          <w:szCs w:val="24"/>
        </w:rPr>
        <w:t>, 2011). Finally, assay protocols, standard curves and units (IU/mL) vary across studies and can create apparent differences even when biological performance is similar.</w:t>
      </w:r>
    </w:p>
    <w:p w14:paraId="197DD273" w14:textId="7D2BDF96" w:rsidR="00AF4D6F" w:rsidRPr="008619BC" w:rsidRDefault="006B022B">
      <w:pPr>
        <w:spacing w:line="360" w:lineRule="auto"/>
        <w:jc w:val="both"/>
        <w:rPr>
          <w:rFonts w:ascii="Times New Roman" w:hAnsi="Times New Roman"/>
          <w:sz w:val="24"/>
          <w:szCs w:val="24"/>
        </w:rPr>
      </w:pPr>
      <w:r w:rsidRPr="00AF4D6F">
        <w:rPr>
          <w:rFonts w:ascii="Times New Roman" w:hAnsi="Times New Roman"/>
          <w:sz w:val="24"/>
          <w:szCs w:val="24"/>
        </w:rPr>
        <w:t>Taken together, the similarities between our temporal patterns and those reported for other fungi (mid-incubation peaks, bell-shaped curves) increase confidence that the observed dynamics are biologically robust (</w:t>
      </w:r>
      <w:proofErr w:type="spellStart"/>
      <w:r w:rsidRPr="00AF4D6F">
        <w:rPr>
          <w:rFonts w:ascii="Times New Roman" w:hAnsi="Times New Roman"/>
          <w:sz w:val="24"/>
          <w:szCs w:val="24"/>
        </w:rPr>
        <w:t>Rajmane</w:t>
      </w:r>
      <w:proofErr w:type="spellEnd"/>
      <w:r w:rsidRPr="00AF4D6F">
        <w:rPr>
          <w:rFonts w:ascii="Times New Roman" w:hAnsi="Times New Roman"/>
          <w:sz w:val="24"/>
          <w:szCs w:val="24"/>
        </w:rPr>
        <w:t xml:space="preserve"> &amp; </w:t>
      </w:r>
      <w:proofErr w:type="spellStart"/>
      <w:r w:rsidRPr="00AF4D6F">
        <w:rPr>
          <w:rFonts w:ascii="Times New Roman" w:hAnsi="Times New Roman"/>
          <w:sz w:val="24"/>
          <w:szCs w:val="24"/>
        </w:rPr>
        <w:t>Korelar</w:t>
      </w:r>
      <w:proofErr w:type="spellEnd"/>
      <w:r w:rsidRPr="00AF4D6F">
        <w:rPr>
          <w:rFonts w:ascii="Times New Roman" w:hAnsi="Times New Roman"/>
          <w:sz w:val="24"/>
          <w:szCs w:val="24"/>
        </w:rPr>
        <w:t xml:space="preserve">, 2017; Naher et al., 2021). The substrate-specific differences we observed, rice husks </w:t>
      </w:r>
      <w:proofErr w:type="spellStart"/>
      <w:r w:rsidRPr="00AF4D6F">
        <w:rPr>
          <w:rFonts w:ascii="Times New Roman" w:hAnsi="Times New Roman"/>
          <w:sz w:val="24"/>
          <w:szCs w:val="24"/>
        </w:rPr>
        <w:t>favouring</w:t>
      </w:r>
      <w:proofErr w:type="spellEnd"/>
      <w:r w:rsidRPr="00AF4D6F">
        <w:rPr>
          <w:rFonts w:ascii="Times New Roman" w:hAnsi="Times New Roman"/>
          <w:sz w:val="24"/>
          <w:szCs w:val="24"/>
        </w:rPr>
        <w:t xml:space="preserve"> maximum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sugarcane bagasse yielding the highest </w:t>
      </w:r>
      <w:proofErr w:type="spellStart"/>
      <w:r w:rsidRPr="00AF4D6F">
        <w:rPr>
          <w:rFonts w:ascii="Times New Roman" w:hAnsi="Times New Roman"/>
          <w:sz w:val="24"/>
          <w:szCs w:val="24"/>
        </w:rPr>
        <w:t>CMCase</w:t>
      </w:r>
      <w:proofErr w:type="spellEnd"/>
      <w:r w:rsidRPr="00AF4D6F">
        <w:rPr>
          <w:rFonts w:ascii="Times New Roman" w:hAnsi="Times New Roman"/>
          <w:sz w:val="24"/>
          <w:szCs w:val="24"/>
        </w:rPr>
        <w:t xml:space="preserve">; eucalyptus promoting peak </w:t>
      </w:r>
      <w:proofErr w:type="spellStart"/>
      <w:r w:rsidRPr="00AF4D6F">
        <w:rPr>
          <w:rFonts w:ascii="Times New Roman" w:hAnsi="Times New Roman"/>
          <w:sz w:val="24"/>
          <w:szCs w:val="24"/>
        </w:rPr>
        <w:t>Avicelase</w:t>
      </w:r>
      <w:proofErr w:type="spellEnd"/>
      <w:r w:rsidRPr="00AF4D6F">
        <w:rPr>
          <w:rFonts w:ascii="Times New Roman" w:hAnsi="Times New Roman"/>
          <w:sz w:val="24"/>
          <w:szCs w:val="24"/>
        </w:rPr>
        <w:t xml:space="preserve">, are consistent with known links between substrate chemistry/physicality and enzyme induction, and they highlight the importance of matching fungal strains to locally available </w:t>
      </w:r>
      <w:proofErr w:type="spellStart"/>
      <w:r w:rsidRPr="00AF4D6F">
        <w:rPr>
          <w:rFonts w:ascii="Times New Roman" w:hAnsi="Times New Roman"/>
          <w:sz w:val="24"/>
          <w:szCs w:val="24"/>
        </w:rPr>
        <w:t>agro</w:t>
      </w:r>
      <w:proofErr w:type="spellEnd"/>
      <w:r w:rsidRPr="00AF4D6F">
        <w:rPr>
          <w:rFonts w:ascii="Times New Roman" w:hAnsi="Times New Roman"/>
          <w:sz w:val="24"/>
          <w:szCs w:val="24"/>
        </w:rPr>
        <w:t xml:space="preserve">-residues for cost-effective enzyme production (Ravindran et al., 2018; </w:t>
      </w:r>
      <w:proofErr w:type="spellStart"/>
      <w:r w:rsidRPr="00AF4D6F">
        <w:rPr>
          <w:rFonts w:ascii="Times New Roman" w:hAnsi="Times New Roman"/>
          <w:sz w:val="24"/>
          <w:szCs w:val="24"/>
        </w:rPr>
        <w:t>Kadoguchi</w:t>
      </w:r>
      <w:proofErr w:type="spellEnd"/>
      <w:r w:rsidRPr="00AF4D6F">
        <w:rPr>
          <w:rFonts w:ascii="Times New Roman" w:hAnsi="Times New Roman"/>
          <w:sz w:val="24"/>
          <w:szCs w:val="24"/>
        </w:rPr>
        <w:t xml:space="preserve"> et al., 2024; Son et al., 2024).</w:t>
      </w:r>
    </w:p>
    <w:p w14:paraId="4C5101ED" w14:textId="31A4C748" w:rsidR="005372E5" w:rsidRPr="00AF4D6F" w:rsidRDefault="006B022B">
      <w:pPr>
        <w:spacing w:line="360" w:lineRule="auto"/>
        <w:jc w:val="both"/>
        <w:rPr>
          <w:rFonts w:ascii="Times New Roman" w:hAnsi="Times New Roman"/>
          <w:b/>
          <w:bCs/>
          <w:sz w:val="24"/>
          <w:szCs w:val="24"/>
        </w:rPr>
      </w:pPr>
      <w:r w:rsidRPr="00AF4D6F">
        <w:rPr>
          <w:rFonts w:ascii="Times New Roman" w:hAnsi="Times New Roman"/>
          <w:b/>
          <w:bCs/>
          <w:sz w:val="24"/>
          <w:szCs w:val="24"/>
        </w:rPr>
        <w:t xml:space="preserve">Conclusion </w:t>
      </w:r>
    </w:p>
    <w:p w14:paraId="5AC3B5D7"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This study demonstrated that </w:t>
      </w:r>
      <w:proofErr w:type="spellStart"/>
      <w:r w:rsidRPr="00AF4D6F">
        <w:rPr>
          <w:rFonts w:ascii="Times New Roman" w:hAnsi="Times New Roman"/>
          <w:sz w:val="24"/>
          <w:szCs w:val="24"/>
        </w:rPr>
        <w:t>Daldinia</w:t>
      </w:r>
      <w:proofErr w:type="spellEnd"/>
      <w:r w:rsidRPr="00AF4D6F">
        <w:rPr>
          <w:rFonts w:ascii="Times New Roman" w:hAnsi="Times New Roman"/>
          <w:sz w:val="24"/>
          <w:szCs w:val="24"/>
        </w:rPr>
        <w:t xml:space="preserve"> </w:t>
      </w:r>
      <w:proofErr w:type="spellStart"/>
      <w:r w:rsidRPr="00AF4D6F">
        <w:rPr>
          <w:rFonts w:ascii="Times New Roman" w:hAnsi="Times New Roman"/>
          <w:sz w:val="24"/>
          <w:szCs w:val="24"/>
        </w:rPr>
        <w:t>concentrica</w:t>
      </w:r>
      <w:proofErr w:type="spellEnd"/>
      <w:r w:rsidRPr="00AF4D6F">
        <w:rPr>
          <w:rFonts w:ascii="Times New Roman" w:hAnsi="Times New Roman"/>
          <w:sz w:val="24"/>
          <w:szCs w:val="24"/>
        </w:rPr>
        <w:t xml:space="preserve"> effectively produces cellulases using untreated </w:t>
      </w:r>
      <w:proofErr w:type="spellStart"/>
      <w:r w:rsidRPr="00AF4D6F">
        <w:rPr>
          <w:rFonts w:ascii="Times New Roman" w:hAnsi="Times New Roman"/>
          <w:sz w:val="24"/>
          <w:szCs w:val="24"/>
        </w:rPr>
        <w:t>agro</w:t>
      </w:r>
      <w:proofErr w:type="spellEnd"/>
      <w:r w:rsidRPr="00AF4D6F">
        <w:rPr>
          <w:rFonts w:ascii="Times New Roman" w:hAnsi="Times New Roman"/>
          <w:sz w:val="24"/>
          <w:szCs w:val="24"/>
        </w:rPr>
        <w:t xml:space="preserve">-wastes under solid-state fermentation. Enzyme activity followed a bell-shaped pattern, with peak yields occurring between days 6 and 8, representing the optimal harvest window for maximizing productivity and cost-efficiency. Rice husks favored </w:t>
      </w:r>
      <w:proofErr w:type="spellStart"/>
      <w:r w:rsidRPr="00AF4D6F">
        <w:rPr>
          <w:rFonts w:ascii="Times New Roman" w:hAnsi="Times New Roman"/>
          <w:sz w:val="24"/>
          <w:szCs w:val="24"/>
        </w:rPr>
        <w:t>FPase</w:t>
      </w:r>
      <w:proofErr w:type="spellEnd"/>
      <w:r w:rsidRPr="00AF4D6F">
        <w:rPr>
          <w:rFonts w:ascii="Times New Roman" w:hAnsi="Times New Roman"/>
          <w:sz w:val="24"/>
          <w:szCs w:val="24"/>
        </w:rPr>
        <w:t xml:space="preserve">, sugarcane bagasse enhanced endoglucanase, and eucalyptus sawdust promoted </w:t>
      </w:r>
      <w:proofErr w:type="spellStart"/>
      <w:r w:rsidRPr="00AF4D6F">
        <w:rPr>
          <w:rFonts w:ascii="Times New Roman" w:hAnsi="Times New Roman"/>
          <w:sz w:val="24"/>
          <w:szCs w:val="24"/>
        </w:rPr>
        <w:t>exoglucanase</w:t>
      </w:r>
      <w:proofErr w:type="spellEnd"/>
      <w:r w:rsidRPr="00AF4D6F">
        <w:rPr>
          <w:rFonts w:ascii="Times New Roman" w:hAnsi="Times New Roman"/>
          <w:sz w:val="24"/>
          <w:szCs w:val="24"/>
        </w:rPr>
        <w:t xml:space="preserve"> activity, underscoring the influence of substrate composition on enzyme induction. These findings highlight </w:t>
      </w:r>
      <w:proofErr w:type="spellStart"/>
      <w:r w:rsidRPr="00AF4D6F">
        <w:rPr>
          <w:rFonts w:ascii="Times New Roman" w:hAnsi="Times New Roman"/>
          <w:sz w:val="24"/>
          <w:szCs w:val="24"/>
        </w:rPr>
        <w:t>Daldinia</w:t>
      </w:r>
      <w:proofErr w:type="spellEnd"/>
      <w:r w:rsidRPr="00AF4D6F">
        <w:rPr>
          <w:rFonts w:ascii="Times New Roman" w:hAnsi="Times New Roman"/>
          <w:sz w:val="24"/>
          <w:szCs w:val="24"/>
        </w:rPr>
        <w:t xml:space="preserve"> </w:t>
      </w:r>
      <w:proofErr w:type="spellStart"/>
      <w:r w:rsidRPr="00AF4D6F">
        <w:rPr>
          <w:rFonts w:ascii="Times New Roman" w:hAnsi="Times New Roman"/>
          <w:sz w:val="24"/>
          <w:szCs w:val="24"/>
        </w:rPr>
        <w:t>concentrica</w:t>
      </w:r>
      <w:proofErr w:type="spellEnd"/>
      <w:r w:rsidRPr="00AF4D6F">
        <w:rPr>
          <w:rFonts w:ascii="Times New Roman" w:hAnsi="Times New Roman"/>
          <w:sz w:val="24"/>
          <w:szCs w:val="24"/>
        </w:rPr>
        <w:t xml:space="preserve"> as a promising, low-cost cellulase source for sustainable bioresource utilization. Employing solid-state fermentation on untreated </w:t>
      </w:r>
      <w:proofErr w:type="spellStart"/>
      <w:r w:rsidRPr="00AF4D6F">
        <w:rPr>
          <w:rFonts w:ascii="Times New Roman" w:hAnsi="Times New Roman"/>
          <w:sz w:val="24"/>
          <w:szCs w:val="24"/>
        </w:rPr>
        <w:t>agro</w:t>
      </w:r>
      <w:proofErr w:type="spellEnd"/>
      <w:r w:rsidRPr="00AF4D6F">
        <w:rPr>
          <w:rFonts w:ascii="Times New Roman" w:hAnsi="Times New Roman"/>
          <w:sz w:val="24"/>
          <w:szCs w:val="24"/>
        </w:rPr>
        <w:t>-wastes not only reduces production costs but also supports circular bioeconomy initiatives by converting agricultural residues into invaluable bioproducts (</w:t>
      </w:r>
      <w:proofErr w:type="spellStart"/>
      <w:r w:rsidRPr="00AF4D6F">
        <w:rPr>
          <w:rFonts w:ascii="Times New Roman" w:hAnsi="Times New Roman"/>
          <w:sz w:val="24"/>
          <w:szCs w:val="24"/>
        </w:rPr>
        <w:t>Korsa</w:t>
      </w:r>
      <w:proofErr w:type="spellEnd"/>
      <w:r w:rsidRPr="00AF4D6F">
        <w:rPr>
          <w:rFonts w:ascii="Times New Roman" w:hAnsi="Times New Roman"/>
          <w:sz w:val="24"/>
          <w:szCs w:val="24"/>
        </w:rPr>
        <w:t xml:space="preserve"> et al., 2023; Singhania et al., 2021). The enzymes produced can be </w:t>
      </w:r>
      <w:r w:rsidRPr="00AF4D6F">
        <w:rPr>
          <w:rFonts w:ascii="Times New Roman" w:hAnsi="Times New Roman"/>
          <w:sz w:val="24"/>
          <w:szCs w:val="24"/>
        </w:rPr>
        <w:lastRenderedPageBreak/>
        <w:t xml:space="preserve">applied in bioethanol production, composting, paper pulping, and textile processing, demonstrating the industrial potential of </w:t>
      </w:r>
      <w:proofErr w:type="spellStart"/>
      <w:r w:rsidRPr="00AF4D6F">
        <w:rPr>
          <w:rFonts w:ascii="Times New Roman" w:hAnsi="Times New Roman"/>
          <w:sz w:val="24"/>
          <w:szCs w:val="24"/>
        </w:rPr>
        <w:t>Daldinia</w:t>
      </w:r>
      <w:proofErr w:type="spellEnd"/>
      <w:r w:rsidRPr="00AF4D6F">
        <w:rPr>
          <w:rFonts w:ascii="Times New Roman" w:hAnsi="Times New Roman"/>
          <w:sz w:val="24"/>
          <w:szCs w:val="24"/>
        </w:rPr>
        <w:t xml:space="preserve"> </w:t>
      </w:r>
      <w:proofErr w:type="spellStart"/>
      <w:r w:rsidRPr="00AF4D6F">
        <w:rPr>
          <w:rFonts w:ascii="Times New Roman" w:hAnsi="Times New Roman"/>
          <w:sz w:val="24"/>
          <w:szCs w:val="24"/>
        </w:rPr>
        <w:t>concentrica</w:t>
      </w:r>
      <w:proofErr w:type="spellEnd"/>
      <w:r w:rsidRPr="00AF4D6F">
        <w:rPr>
          <w:rFonts w:ascii="Times New Roman" w:hAnsi="Times New Roman"/>
          <w:sz w:val="24"/>
          <w:szCs w:val="24"/>
        </w:rPr>
        <w:t xml:space="preserve"> in advancing environmentally friendly bioprocesses.</w:t>
      </w:r>
    </w:p>
    <w:p w14:paraId="2123E3A8" w14:textId="69AC36E6" w:rsidR="005372E5" w:rsidRPr="00AF4D6F" w:rsidRDefault="00E244E9">
      <w:pPr>
        <w:pStyle w:val="Heading1"/>
        <w:spacing w:line="360" w:lineRule="auto"/>
        <w:jc w:val="both"/>
        <w:rPr>
          <w:rFonts w:ascii="Times New Roman" w:hAnsi="Times New Roman"/>
          <w:color w:val="auto"/>
          <w:sz w:val="24"/>
          <w:szCs w:val="24"/>
        </w:rPr>
      </w:pPr>
      <w:r>
        <w:rPr>
          <w:rFonts w:ascii="Times New Roman" w:hAnsi="Times New Roman"/>
          <w:color w:val="auto"/>
          <w:sz w:val="24"/>
          <w:szCs w:val="24"/>
        </w:rPr>
        <w:t>5</w:t>
      </w:r>
      <w:r w:rsidRPr="00AF4D6F">
        <w:rPr>
          <w:rFonts w:ascii="Times New Roman" w:hAnsi="Times New Roman"/>
          <w:color w:val="auto"/>
          <w:sz w:val="24"/>
          <w:szCs w:val="24"/>
        </w:rPr>
        <w:t>.</w:t>
      </w:r>
      <w:r>
        <w:rPr>
          <w:rFonts w:ascii="Times New Roman" w:hAnsi="Times New Roman"/>
          <w:color w:val="auto"/>
          <w:sz w:val="24"/>
          <w:szCs w:val="24"/>
        </w:rPr>
        <w:t>1</w:t>
      </w:r>
      <w:r w:rsidRPr="00AF4D6F">
        <w:rPr>
          <w:rFonts w:ascii="Times New Roman" w:hAnsi="Times New Roman"/>
          <w:color w:val="auto"/>
          <w:sz w:val="24"/>
          <w:szCs w:val="24"/>
        </w:rPr>
        <w:t xml:space="preserve"> Limitations and Future Work</w:t>
      </w:r>
    </w:p>
    <w:p w14:paraId="78E162BE"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 xml:space="preserve">This study utilized a morphologically identified </w:t>
      </w:r>
      <w:proofErr w:type="spellStart"/>
      <w:r w:rsidRPr="00AF4D6F">
        <w:rPr>
          <w:rFonts w:ascii="Times New Roman" w:hAnsi="Times New Roman"/>
          <w:i/>
          <w:iCs/>
          <w:sz w:val="24"/>
          <w:szCs w:val="24"/>
        </w:rPr>
        <w:t>Daldinia</w:t>
      </w:r>
      <w:proofErr w:type="spellEnd"/>
      <w:r w:rsidRPr="00AF4D6F">
        <w:rPr>
          <w:rFonts w:ascii="Times New Roman" w:hAnsi="Times New Roman"/>
          <w:i/>
          <w:iCs/>
          <w:sz w:val="24"/>
          <w:szCs w:val="24"/>
        </w:rPr>
        <w:t xml:space="preserve"> </w:t>
      </w:r>
      <w:proofErr w:type="spellStart"/>
      <w:r w:rsidRPr="00AF4D6F">
        <w:rPr>
          <w:rFonts w:ascii="Times New Roman" w:hAnsi="Times New Roman"/>
          <w:i/>
          <w:iCs/>
          <w:sz w:val="24"/>
          <w:szCs w:val="24"/>
        </w:rPr>
        <w:t>concentrica</w:t>
      </w:r>
      <w:proofErr w:type="spellEnd"/>
      <w:r w:rsidRPr="00AF4D6F">
        <w:rPr>
          <w:rFonts w:ascii="Times New Roman" w:hAnsi="Times New Roman"/>
          <w:sz w:val="24"/>
          <w:szCs w:val="24"/>
        </w:rPr>
        <w:t xml:space="preserve"> isolate without molecular verification, which may limit taxonomic precision. Future research should incorporate ITS-based molecular identification, optimize environmental parameters (pH, temperature), and purify enzymes to characterize isoforms. Additionally, substrate pretreatment could be tested to enhance enzyme yield and activity stability.</w:t>
      </w:r>
    </w:p>
    <w:p w14:paraId="65CE7FA1" w14:textId="259C6FAC" w:rsidR="005372E5" w:rsidRPr="00AF4D6F" w:rsidRDefault="006B022B">
      <w:pPr>
        <w:spacing w:line="360" w:lineRule="auto"/>
        <w:jc w:val="both"/>
        <w:rPr>
          <w:rFonts w:ascii="Times New Roman" w:hAnsi="Times New Roman"/>
          <w:b/>
          <w:bCs/>
          <w:sz w:val="24"/>
          <w:szCs w:val="24"/>
        </w:rPr>
      </w:pPr>
      <w:r w:rsidRPr="00AF4D6F">
        <w:rPr>
          <w:rFonts w:ascii="Times New Roman" w:hAnsi="Times New Roman"/>
          <w:b/>
          <w:bCs/>
          <w:sz w:val="24"/>
          <w:szCs w:val="24"/>
        </w:rPr>
        <w:t>D</w:t>
      </w:r>
      <w:r w:rsidR="00AF4D6F" w:rsidRPr="00AF4D6F">
        <w:rPr>
          <w:rFonts w:ascii="Times New Roman" w:hAnsi="Times New Roman"/>
          <w:b/>
          <w:bCs/>
          <w:sz w:val="24"/>
          <w:szCs w:val="24"/>
        </w:rPr>
        <w:t>isclaimer</w:t>
      </w:r>
      <w:r w:rsidRPr="00AF4D6F">
        <w:rPr>
          <w:rFonts w:ascii="Times New Roman" w:hAnsi="Times New Roman"/>
          <w:b/>
          <w:bCs/>
          <w:sz w:val="24"/>
          <w:szCs w:val="24"/>
        </w:rPr>
        <w:t xml:space="preserve"> (A</w:t>
      </w:r>
      <w:r w:rsidR="00AF4D6F" w:rsidRPr="00AF4D6F">
        <w:rPr>
          <w:rFonts w:ascii="Times New Roman" w:hAnsi="Times New Roman"/>
          <w:b/>
          <w:bCs/>
          <w:sz w:val="24"/>
          <w:szCs w:val="24"/>
        </w:rPr>
        <w:t xml:space="preserve">rtificial </w:t>
      </w:r>
      <w:r w:rsidR="00AF4D6F">
        <w:rPr>
          <w:rFonts w:ascii="Times New Roman" w:hAnsi="Times New Roman"/>
          <w:b/>
          <w:bCs/>
          <w:sz w:val="24"/>
          <w:szCs w:val="24"/>
        </w:rPr>
        <w:t>I</w:t>
      </w:r>
      <w:r w:rsidR="00AF4D6F" w:rsidRPr="00AF4D6F">
        <w:rPr>
          <w:rFonts w:ascii="Times New Roman" w:hAnsi="Times New Roman"/>
          <w:b/>
          <w:bCs/>
          <w:sz w:val="24"/>
          <w:szCs w:val="24"/>
        </w:rPr>
        <w:t>ntelligence</w:t>
      </w:r>
      <w:r w:rsidRPr="00AF4D6F">
        <w:rPr>
          <w:rFonts w:ascii="Times New Roman" w:hAnsi="Times New Roman"/>
          <w:b/>
          <w:bCs/>
          <w:sz w:val="24"/>
          <w:szCs w:val="24"/>
        </w:rPr>
        <w:t xml:space="preserve">) </w:t>
      </w:r>
    </w:p>
    <w:p w14:paraId="3E031F0D" w14:textId="77777777" w:rsidR="005372E5" w:rsidRPr="00AF4D6F" w:rsidRDefault="006B022B">
      <w:pPr>
        <w:spacing w:line="360" w:lineRule="auto"/>
        <w:jc w:val="both"/>
        <w:rPr>
          <w:rFonts w:ascii="Times New Roman" w:hAnsi="Times New Roman"/>
          <w:sz w:val="24"/>
          <w:szCs w:val="24"/>
        </w:rPr>
      </w:pPr>
      <w:r w:rsidRPr="00AF4D6F">
        <w:rPr>
          <w:rFonts w:ascii="Times New Roman" w:hAnsi="Times New Roman"/>
          <w:sz w:val="24"/>
          <w:szCs w:val="24"/>
        </w:rPr>
        <w:t>All authors hereby declare that NO generative AI technologies such as Large Language Models (ChatGPT, COPILOT, etc.) and text-to-image generators have been used during the writing or editing of this manuscript.</w:t>
      </w:r>
    </w:p>
    <w:p w14:paraId="18CB0E37" w14:textId="42FC9D1A" w:rsidR="005372E5" w:rsidRPr="00AF4D6F" w:rsidRDefault="006B022B" w:rsidP="00E244E9">
      <w:pPr>
        <w:pStyle w:val="Heading1"/>
        <w:spacing w:before="0" w:line="360" w:lineRule="auto"/>
        <w:jc w:val="both"/>
        <w:rPr>
          <w:rFonts w:ascii="Times New Roman" w:hAnsi="Times New Roman"/>
          <w:color w:val="auto"/>
          <w:sz w:val="24"/>
          <w:szCs w:val="24"/>
        </w:rPr>
      </w:pPr>
      <w:r w:rsidRPr="00AF4D6F">
        <w:rPr>
          <w:rFonts w:ascii="Times New Roman" w:hAnsi="Times New Roman"/>
          <w:color w:val="auto"/>
          <w:sz w:val="24"/>
          <w:szCs w:val="24"/>
        </w:rPr>
        <w:t>Conflict of Interest</w:t>
      </w:r>
    </w:p>
    <w:p w14:paraId="633DA2E7" w14:textId="717D6DD2" w:rsidR="005372E5" w:rsidRPr="00AF4D6F" w:rsidRDefault="006B022B" w:rsidP="00E244E9">
      <w:pPr>
        <w:spacing w:after="0" w:line="360" w:lineRule="auto"/>
        <w:jc w:val="both"/>
        <w:rPr>
          <w:rFonts w:ascii="Times New Roman" w:hAnsi="Times New Roman"/>
          <w:sz w:val="24"/>
          <w:szCs w:val="24"/>
        </w:rPr>
      </w:pPr>
      <w:r w:rsidRPr="00AF4D6F">
        <w:rPr>
          <w:rFonts w:ascii="Times New Roman" w:hAnsi="Times New Roman"/>
          <w:sz w:val="24"/>
          <w:szCs w:val="24"/>
        </w:rPr>
        <w:t>The authors declare no conflicts of interest in conducting or publishing this work.</w:t>
      </w:r>
    </w:p>
    <w:p w14:paraId="4E9F65C3" w14:textId="77777777" w:rsidR="005372E5" w:rsidRPr="00AF4D6F" w:rsidRDefault="006B022B">
      <w:pPr>
        <w:pStyle w:val="Heading1"/>
        <w:spacing w:line="360" w:lineRule="auto"/>
        <w:jc w:val="both"/>
        <w:rPr>
          <w:rFonts w:ascii="Times New Roman" w:hAnsi="Times New Roman"/>
          <w:color w:val="auto"/>
          <w:sz w:val="24"/>
          <w:szCs w:val="24"/>
        </w:rPr>
      </w:pPr>
      <w:r w:rsidRPr="00AF4D6F">
        <w:rPr>
          <w:rFonts w:ascii="Times New Roman" w:hAnsi="Times New Roman"/>
          <w:color w:val="auto"/>
          <w:sz w:val="24"/>
          <w:szCs w:val="24"/>
        </w:rPr>
        <w:t>References</w:t>
      </w:r>
    </w:p>
    <w:p w14:paraId="30DD9310"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 xml:space="preserve">Abdullah, R., Akhtar, A., Nisar, K., Kaleem, A., </w:t>
      </w:r>
      <w:proofErr w:type="spellStart"/>
      <w:r w:rsidRPr="00AF4D6F">
        <w:rPr>
          <w:rFonts w:ascii="Times New Roman" w:hAnsi="Times New Roman"/>
          <w:sz w:val="24"/>
          <w:szCs w:val="24"/>
        </w:rPr>
        <w:t>Iqtedar</w:t>
      </w:r>
      <w:proofErr w:type="spellEnd"/>
      <w:r w:rsidRPr="00AF4D6F">
        <w:rPr>
          <w:rFonts w:ascii="Times New Roman" w:hAnsi="Times New Roman"/>
          <w:sz w:val="24"/>
          <w:szCs w:val="24"/>
        </w:rPr>
        <w:t xml:space="preserve">, M., Iftikhar, T., Saleem, F., &amp; Aslam, F. (2021). Process optimization for enhanced production of cellulases </w:t>
      </w:r>
      <w:r>
        <w:rPr>
          <w:rFonts w:ascii="Times New Roman" w:hAnsi="Times New Roman"/>
          <w:sz w:val="24"/>
          <w:szCs w:val="24"/>
        </w:rPr>
        <w:t>from</w:t>
      </w:r>
      <w:r w:rsidRPr="00AF4D6F">
        <w:rPr>
          <w:rFonts w:ascii="Times New Roman" w:hAnsi="Times New Roman"/>
          <w:sz w:val="24"/>
          <w:szCs w:val="24"/>
        </w:rPr>
        <w:t xml:space="preserve"> </w:t>
      </w:r>
      <w:r>
        <w:rPr>
          <w:rFonts w:ascii="Times New Roman" w:hAnsi="Times New Roman"/>
          <w:sz w:val="24"/>
          <w:szCs w:val="24"/>
        </w:rPr>
        <w:t xml:space="preserve">a </w:t>
      </w:r>
      <w:r w:rsidRPr="00AF4D6F">
        <w:rPr>
          <w:rFonts w:ascii="Times New Roman" w:hAnsi="Times New Roman"/>
          <w:sz w:val="24"/>
          <w:szCs w:val="24"/>
        </w:rPr>
        <w:t>locally isolated fungal strain by submerged fermentation. https://doi.org/10.14393/BJ-v37n0a2021-53815</w:t>
      </w:r>
    </w:p>
    <w:p w14:paraId="3F5F87C8"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nn-NO"/>
        </w:rPr>
        <w:t xml:space="preserve">Akia, M., Yazdani, F., Motaee, E., Han, D., &amp; Arandiyan, H. (2014). </w:t>
      </w:r>
      <w:r w:rsidRPr="00AF4D6F">
        <w:rPr>
          <w:rFonts w:ascii="Times New Roman" w:hAnsi="Times New Roman"/>
          <w:sz w:val="24"/>
          <w:szCs w:val="24"/>
        </w:rPr>
        <w:t xml:space="preserve">A review on </w:t>
      </w:r>
      <w:r>
        <w:rPr>
          <w:rFonts w:ascii="Times New Roman" w:hAnsi="Times New Roman"/>
          <w:sz w:val="24"/>
          <w:szCs w:val="24"/>
        </w:rPr>
        <w:t xml:space="preserve">the </w:t>
      </w:r>
      <w:r w:rsidRPr="00AF4D6F">
        <w:rPr>
          <w:rFonts w:ascii="Times New Roman" w:hAnsi="Times New Roman"/>
          <w:sz w:val="24"/>
          <w:szCs w:val="24"/>
        </w:rPr>
        <w:t xml:space="preserve">conversion of biomass to biofuel by </w:t>
      </w:r>
      <w:proofErr w:type="spellStart"/>
      <w:r w:rsidRPr="00AF4D6F">
        <w:rPr>
          <w:rFonts w:ascii="Times New Roman" w:hAnsi="Times New Roman"/>
          <w:sz w:val="24"/>
          <w:szCs w:val="24"/>
        </w:rPr>
        <w:t>nanocatalysts</w:t>
      </w:r>
      <w:proofErr w:type="spellEnd"/>
      <w:r w:rsidRPr="00AF4D6F">
        <w:rPr>
          <w:rFonts w:ascii="Times New Roman" w:hAnsi="Times New Roman"/>
          <w:sz w:val="24"/>
          <w:szCs w:val="24"/>
        </w:rPr>
        <w:t>. Biofuel Research Journal, 1, 16–25.</w:t>
      </w:r>
    </w:p>
    <w:p w14:paraId="4EE8DB9F"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Alemu, R. K. (2021). Reducing sugar recovery from water hyacinth for bioethanol production and parametric optimization. https://nadre.ethernet.edu.et/record/132/files/f1037921832.</w:t>
      </w:r>
    </w:p>
    <w:p w14:paraId="563E460A"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Atlas, R. M. (2010). Handbook of microbiological media (4th ed.). CRC Press.</w:t>
      </w:r>
    </w:p>
    <w:p w14:paraId="2E11E153"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lastRenderedPageBreak/>
        <w:t>Badoni, V., Rana, G. S., Dubey, A., &amp; Verma, A. K. (2025). β-Glucosidase production and its applications. In D. Yadav, P. Chowdhary, G. Anand, &amp; R. K. Gaur (Eds.), Microbial enzymes: Production, purification and industrial applications. https://doi.org/10.1002/9783527844340.ch21</w:t>
      </w:r>
    </w:p>
    <w:p w14:paraId="7EFDF202"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 xml:space="preserve">Benocci, T., Aguilar-Pontes, M. V., Zhou, M., </w:t>
      </w:r>
      <w:proofErr w:type="spellStart"/>
      <w:r w:rsidRPr="00AF4D6F">
        <w:rPr>
          <w:rFonts w:ascii="Times New Roman" w:hAnsi="Times New Roman"/>
          <w:sz w:val="24"/>
          <w:szCs w:val="24"/>
        </w:rPr>
        <w:t>Seiboth</w:t>
      </w:r>
      <w:proofErr w:type="spellEnd"/>
      <w:r w:rsidRPr="00AF4D6F">
        <w:rPr>
          <w:rFonts w:ascii="Times New Roman" w:hAnsi="Times New Roman"/>
          <w:sz w:val="24"/>
          <w:szCs w:val="24"/>
        </w:rPr>
        <w:t>, B., &amp; De-Vries, R. P. (2017). Regulators of plant biomass degradation in ascomycetous fungi. Biotechnology for Biofuels, 10, 152. https://doi.org/10.1186/s13068-017-0841-x</w:t>
      </w:r>
    </w:p>
    <w:p w14:paraId="6F3A3427"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Bokinsky, G., Peralta-Yahya, P. P., George, A., Holmes, B. M., Steen, E. J., Dietrich, J., Lee, T. S., Tullman-Ercek, D., Voigt, C. A., Simmons, B. A., &amp; Keasling, J. D. (2011). Synthesis of three advanced biofuels from ionic liquid-pretreated switchgrass using engineered Escherichia coli. Proceedings of the National Academy of Sciences of the United States of America, 108, 19949–19954. https://doi.org/10.1073/pnas.1106958108</w:t>
      </w:r>
    </w:p>
    <w:p w14:paraId="26EFBF12"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it-IT"/>
        </w:rPr>
        <w:t xml:space="preserve">Brijwani, K., &amp; Vadlani, P. V. (2011). </w:t>
      </w:r>
      <w:r w:rsidRPr="00AF4D6F">
        <w:rPr>
          <w:rFonts w:ascii="Times New Roman" w:hAnsi="Times New Roman"/>
          <w:sz w:val="24"/>
          <w:szCs w:val="24"/>
        </w:rPr>
        <w:t>Cellulolytic enzymes production via solid state fermentation: Effect of pretreatment methods on physiochemical characteristics of substrate. Enzyme Research, 2011, 860134. https://doi.org/10.4061/2011/860134</w:t>
      </w:r>
    </w:p>
    <w:p w14:paraId="5681D59A"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David, P. (2019). Utilization of rice husk ash in sustainable construction materials in Kenya. Journal of Civil and Environmental Engineering, 9(2), 45–52. https://www.davidpublisher.com/Public/uploads/Contribute/5d394e325b8d8.pdf</w:t>
      </w:r>
    </w:p>
    <w:p w14:paraId="4DEC5A66"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shd w:val="clear" w:color="auto" w:fill="FFFFFF"/>
          <w:lang w:val="de-DE"/>
        </w:rPr>
        <w:t xml:space="preserve">Dessie, W., Zhu, J., Xin, F., Zhang, W., Jiang, Y., Wu, H., ... </w:t>
      </w:r>
      <w:r w:rsidRPr="00AF4D6F">
        <w:rPr>
          <w:rFonts w:ascii="Times New Roman" w:hAnsi="Times New Roman"/>
          <w:sz w:val="24"/>
          <w:szCs w:val="24"/>
          <w:shd w:val="clear" w:color="auto" w:fill="FFFFFF"/>
        </w:rPr>
        <w:t>&amp; Jiang, M. (2018). Bio-succinic acid production from coffee husk treated with thermochemical and fungal hydrolysis. </w:t>
      </w:r>
      <w:r w:rsidRPr="00AF4D6F">
        <w:rPr>
          <w:rFonts w:ascii="Times New Roman" w:hAnsi="Times New Roman"/>
          <w:i/>
          <w:iCs/>
          <w:sz w:val="24"/>
          <w:szCs w:val="24"/>
          <w:shd w:val="clear" w:color="auto" w:fill="FFFFFF"/>
        </w:rPr>
        <w:t>Bioprocess and biosystems engineering</w:t>
      </w:r>
      <w:r w:rsidRPr="00AF4D6F">
        <w:rPr>
          <w:rFonts w:ascii="Times New Roman" w:hAnsi="Times New Roman"/>
          <w:sz w:val="24"/>
          <w:szCs w:val="24"/>
          <w:shd w:val="clear" w:color="auto" w:fill="FFFFFF"/>
        </w:rPr>
        <w:t>, </w:t>
      </w:r>
      <w:r w:rsidRPr="00AF4D6F">
        <w:rPr>
          <w:rFonts w:ascii="Times New Roman" w:hAnsi="Times New Roman"/>
          <w:i/>
          <w:iCs/>
          <w:sz w:val="24"/>
          <w:szCs w:val="24"/>
          <w:shd w:val="clear" w:color="auto" w:fill="FFFFFF"/>
        </w:rPr>
        <w:t>41</w:t>
      </w:r>
      <w:r w:rsidRPr="00AF4D6F">
        <w:rPr>
          <w:rFonts w:ascii="Times New Roman" w:hAnsi="Times New Roman"/>
          <w:sz w:val="24"/>
          <w:szCs w:val="24"/>
          <w:shd w:val="clear" w:color="auto" w:fill="FFFFFF"/>
        </w:rPr>
        <w:t>(10), 1461-1470.</w:t>
      </w:r>
    </w:p>
    <w:p w14:paraId="7F54D2A4"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it-IT"/>
        </w:rPr>
        <w:t xml:space="preserve">Ferrand, L., Vasco, F., &amp; Gamboa-Santos, J. (2020). </w:t>
      </w:r>
      <w:r w:rsidRPr="00AF4D6F">
        <w:rPr>
          <w:rFonts w:ascii="Times New Roman" w:hAnsi="Times New Roman"/>
          <w:sz w:val="24"/>
          <w:szCs w:val="24"/>
        </w:rPr>
        <w:t>Bulk and specialty chemicals from plant cell wall chemistry. In Lignocellulosic biorefining technologies (Chapter 2). Wiley. https://doi.org/10.1002/9781119568858.ch2</w:t>
      </w:r>
    </w:p>
    <w:p w14:paraId="7421EABD"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 xml:space="preserve">Gautam, S. P., Bundela, P. S., Pandey, A. K., Jamaluddin, Awasthi, M. K., &amp; </w:t>
      </w:r>
      <w:proofErr w:type="spellStart"/>
      <w:r w:rsidRPr="00AF4D6F">
        <w:rPr>
          <w:rFonts w:ascii="Times New Roman" w:hAnsi="Times New Roman"/>
          <w:sz w:val="24"/>
          <w:szCs w:val="24"/>
        </w:rPr>
        <w:t>Sarsaiya</w:t>
      </w:r>
      <w:proofErr w:type="spellEnd"/>
      <w:r w:rsidRPr="00AF4D6F">
        <w:rPr>
          <w:rFonts w:ascii="Times New Roman" w:hAnsi="Times New Roman"/>
          <w:sz w:val="24"/>
          <w:szCs w:val="24"/>
        </w:rPr>
        <w:t>, S. (2012). Diversity of cellulolytic microbes and the biodegradation of municipal solid waste by a potential strain. International Journal of Microbiology, 2012, 325907. https://doi.org/10.1155/2012/325907</w:t>
      </w:r>
    </w:p>
    <w:p w14:paraId="54375CF4"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lastRenderedPageBreak/>
        <w:t>Ghose, T. K. (1987). Measurement of cellulase activities. Pure and Applied Chemistry, 59(2), 257–268. https://doi.org/10.1351/pac198759020257</w:t>
      </w:r>
    </w:p>
    <w:p w14:paraId="6AF5E610"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Hasanin, M. S., &amp; Hashem, A. H. (2020). Eco-friendly, economic fungal universal medium from watermelon peel waste. Journal of Microbiological Methods, 168, 105802. https://doi.org/10.1016/j.mimet.2019.105802</w:t>
      </w:r>
    </w:p>
    <w:p w14:paraId="7687E374" w14:textId="77777777" w:rsidR="00AF4D6F" w:rsidRPr="00AF4D6F" w:rsidRDefault="00AF4D6F" w:rsidP="00AF4D6F">
      <w:pPr>
        <w:spacing w:line="360" w:lineRule="auto"/>
        <w:ind w:left="720" w:hanging="720"/>
        <w:jc w:val="both"/>
        <w:rPr>
          <w:rFonts w:ascii="Times New Roman" w:hAnsi="Times New Roman"/>
          <w:sz w:val="24"/>
          <w:szCs w:val="24"/>
        </w:rPr>
      </w:pPr>
      <w:proofErr w:type="spellStart"/>
      <w:r w:rsidRPr="00AF4D6F">
        <w:rPr>
          <w:rFonts w:ascii="Times New Roman" w:hAnsi="Times New Roman"/>
          <w:sz w:val="24"/>
          <w:szCs w:val="24"/>
        </w:rPr>
        <w:t>InfoNile</w:t>
      </w:r>
      <w:proofErr w:type="spellEnd"/>
      <w:r w:rsidRPr="00AF4D6F">
        <w:rPr>
          <w:rFonts w:ascii="Times New Roman" w:hAnsi="Times New Roman"/>
          <w:sz w:val="24"/>
          <w:szCs w:val="24"/>
        </w:rPr>
        <w:t xml:space="preserve">. (2022, March 15). Sugar firms in Kenya infringe on communities’ right to a healthy environment. </w:t>
      </w:r>
      <w:hyperlink r:id="rId8" w:history="1">
        <w:r w:rsidRPr="00AF4D6F">
          <w:rPr>
            <w:rStyle w:val="Hyperlink"/>
            <w:rFonts w:ascii="Times New Roman" w:hAnsi="Times New Roman"/>
            <w:color w:val="auto"/>
            <w:sz w:val="24"/>
            <w:szCs w:val="24"/>
          </w:rPr>
          <w:t>https://infonile.org/en/2022/03/sugar-firms-in-kenya-infringe-on-communities-right-to-a-healthy-environment/</w:t>
        </w:r>
      </w:hyperlink>
    </w:p>
    <w:p w14:paraId="562DCBDB" w14:textId="77777777" w:rsidR="00AF4D6F" w:rsidRPr="00AF4D6F" w:rsidRDefault="00AF4D6F" w:rsidP="00AF4D6F">
      <w:pPr>
        <w:spacing w:line="360" w:lineRule="auto"/>
        <w:ind w:left="720" w:hanging="720"/>
        <w:jc w:val="both"/>
        <w:rPr>
          <w:rFonts w:ascii="Times New Roman" w:hAnsi="Times New Roman"/>
          <w:sz w:val="24"/>
          <w:szCs w:val="24"/>
          <w:lang w:val="it-IT"/>
        </w:rPr>
      </w:pPr>
      <w:r w:rsidRPr="00AF4D6F">
        <w:rPr>
          <w:rFonts w:ascii="Times New Roman" w:hAnsi="Times New Roman"/>
          <w:sz w:val="24"/>
          <w:szCs w:val="24"/>
          <w:lang w:val="nn-NO"/>
        </w:rPr>
        <w:t xml:space="preserve">Jobita, C. I., Omwenga, G., Kioko, E., &amp; Oduor, R. (2025). </w:t>
      </w:r>
      <w:r w:rsidRPr="00AF4D6F">
        <w:rPr>
          <w:rFonts w:ascii="Times New Roman" w:hAnsi="Times New Roman"/>
          <w:sz w:val="24"/>
          <w:szCs w:val="24"/>
        </w:rPr>
        <w:t xml:space="preserve">Production of cellulase enzymes by </w:t>
      </w:r>
      <w:proofErr w:type="spellStart"/>
      <w:r w:rsidRPr="00AF4D6F">
        <w:rPr>
          <w:rFonts w:ascii="Times New Roman" w:hAnsi="Times New Roman"/>
          <w:sz w:val="24"/>
          <w:szCs w:val="24"/>
        </w:rPr>
        <w:t>Phlebiopsis</w:t>
      </w:r>
      <w:proofErr w:type="spellEnd"/>
      <w:r w:rsidRPr="00AF4D6F">
        <w:rPr>
          <w:rFonts w:ascii="Times New Roman" w:hAnsi="Times New Roman"/>
          <w:sz w:val="24"/>
          <w:szCs w:val="24"/>
        </w:rPr>
        <w:t xml:space="preserve"> sp. cultured on untreated and pretreated sugarcane bagasse, maize cobs, and rice husks. </w:t>
      </w:r>
      <w:r w:rsidRPr="00AF4D6F">
        <w:rPr>
          <w:rFonts w:ascii="Times New Roman" w:hAnsi="Times New Roman"/>
          <w:sz w:val="24"/>
          <w:szCs w:val="24"/>
          <w:lang w:val="it-IT"/>
        </w:rPr>
        <w:t>Open Biotechnology Journal, 19, e18740707384763. https://doi.org/10.2174/0118740707384763250506060604</w:t>
      </w:r>
    </w:p>
    <w:p w14:paraId="35F26DFF"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it-IT"/>
        </w:rPr>
        <w:t xml:space="preserve">Kadoguchi, E. A., Velasco, J., da Silva, S. S., Ingle, A. P., Segato, F., &amp; Chandel, A. K. (2024). </w:t>
      </w:r>
      <w:r w:rsidRPr="00AF4D6F">
        <w:rPr>
          <w:rFonts w:ascii="Times New Roman" w:hAnsi="Times New Roman"/>
          <w:sz w:val="24"/>
          <w:szCs w:val="24"/>
        </w:rPr>
        <w:t xml:space="preserve">Optimization of cellulase production from </w:t>
      </w:r>
      <w:proofErr w:type="spellStart"/>
      <w:r w:rsidRPr="00AF4D6F">
        <w:rPr>
          <w:rFonts w:ascii="Times New Roman" w:hAnsi="Times New Roman"/>
          <w:sz w:val="24"/>
          <w:szCs w:val="24"/>
        </w:rPr>
        <w:t>agri</w:t>
      </w:r>
      <w:proofErr w:type="spellEnd"/>
      <w:r w:rsidRPr="00AF4D6F">
        <w:rPr>
          <w:rFonts w:ascii="Times New Roman" w:hAnsi="Times New Roman"/>
          <w:sz w:val="24"/>
          <w:szCs w:val="24"/>
        </w:rPr>
        <w:t xml:space="preserve">-industrial residues by Aspergillus </w:t>
      </w:r>
      <w:proofErr w:type="spellStart"/>
      <w:r w:rsidRPr="00AF4D6F">
        <w:rPr>
          <w:rFonts w:ascii="Times New Roman" w:hAnsi="Times New Roman"/>
          <w:sz w:val="24"/>
          <w:szCs w:val="24"/>
        </w:rPr>
        <w:t>terreus</w:t>
      </w:r>
      <w:proofErr w:type="spellEnd"/>
      <w:r w:rsidRPr="00AF4D6F">
        <w:rPr>
          <w:rFonts w:ascii="Times New Roman" w:hAnsi="Times New Roman"/>
          <w:sz w:val="24"/>
          <w:szCs w:val="24"/>
        </w:rPr>
        <w:t xml:space="preserve"> NIH2624. Processes, 12(10), 2169. https://doi.org/10.3390/pr12102169</w:t>
      </w:r>
    </w:p>
    <w:p w14:paraId="30729685"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Kenya Biochar Initiative. (2023). Sugarcane bagasse to biochar in Kenya. https://kenyabiochar.com/sugarcane-bagasse-to-biochar-in-kenya/</w:t>
      </w:r>
    </w:p>
    <w:p w14:paraId="37053FB6"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Kirinyaga County Government. (2022). Kirinyaga makes major step towards rice husk factory launch. https://kirinyaga.go.ke/kirinyaga-makes-major-step-towards-rice-husk-factory-launch/</w:t>
      </w:r>
    </w:p>
    <w:p w14:paraId="5F6A0953" w14:textId="77777777" w:rsidR="00AF4D6F" w:rsidRPr="00AF4D6F" w:rsidRDefault="00AF4D6F" w:rsidP="00AF4D6F">
      <w:pPr>
        <w:spacing w:line="360" w:lineRule="auto"/>
        <w:ind w:left="720" w:hanging="720"/>
        <w:jc w:val="both"/>
        <w:rPr>
          <w:rFonts w:ascii="Times New Roman" w:hAnsi="Times New Roman"/>
          <w:sz w:val="24"/>
          <w:szCs w:val="24"/>
        </w:rPr>
      </w:pPr>
      <w:proofErr w:type="spellStart"/>
      <w:r w:rsidRPr="00AF4D6F">
        <w:rPr>
          <w:rFonts w:ascii="Times New Roman" w:hAnsi="Times New Roman"/>
          <w:sz w:val="24"/>
          <w:szCs w:val="24"/>
        </w:rPr>
        <w:t>Korsa</w:t>
      </w:r>
      <w:proofErr w:type="spellEnd"/>
      <w:r w:rsidRPr="00AF4D6F">
        <w:rPr>
          <w:rFonts w:ascii="Times New Roman" w:hAnsi="Times New Roman"/>
          <w:sz w:val="24"/>
          <w:szCs w:val="24"/>
        </w:rPr>
        <w:t xml:space="preserve">, G., </w:t>
      </w:r>
      <w:proofErr w:type="spellStart"/>
      <w:r w:rsidRPr="00AF4D6F">
        <w:rPr>
          <w:rFonts w:ascii="Times New Roman" w:hAnsi="Times New Roman"/>
          <w:sz w:val="24"/>
          <w:szCs w:val="24"/>
        </w:rPr>
        <w:t>Konwarh</w:t>
      </w:r>
      <w:proofErr w:type="spellEnd"/>
      <w:r w:rsidRPr="00AF4D6F">
        <w:rPr>
          <w:rFonts w:ascii="Times New Roman" w:hAnsi="Times New Roman"/>
          <w:sz w:val="24"/>
          <w:szCs w:val="24"/>
        </w:rPr>
        <w:t>, R., Masi, C., Ayele, A., &amp; Haile, S. (2023). Microbial cellulase production and its potential application for textile industries. Annals of Microbiology, 73(1). https://doi.org/10.1186/s13213-023-01715-w</w:t>
      </w:r>
    </w:p>
    <w:p w14:paraId="01F497B0"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Krishna, C. (1999). Production of bacterial cellulases by solid state bioprocessing of banana wastes. Bioresource Technology, 69(3), 231–239. https://doi.org/10.1016/S0960-8524(98)00188-3</w:t>
      </w:r>
    </w:p>
    <w:p w14:paraId="1F6BE8F2" w14:textId="77777777" w:rsidR="00AF4D6F" w:rsidRPr="00AF4D6F" w:rsidRDefault="00AF4D6F" w:rsidP="00AF4D6F">
      <w:pPr>
        <w:spacing w:line="360" w:lineRule="auto"/>
        <w:ind w:left="720" w:hanging="720"/>
        <w:jc w:val="both"/>
        <w:rPr>
          <w:rFonts w:ascii="Times New Roman" w:hAnsi="Times New Roman"/>
          <w:sz w:val="24"/>
          <w:szCs w:val="24"/>
        </w:rPr>
      </w:pPr>
      <w:proofErr w:type="spellStart"/>
      <w:r w:rsidRPr="00AF4D6F">
        <w:rPr>
          <w:rFonts w:ascii="Times New Roman" w:hAnsi="Times New Roman"/>
          <w:sz w:val="24"/>
          <w:szCs w:val="24"/>
        </w:rPr>
        <w:lastRenderedPageBreak/>
        <w:t>Kuhad</w:t>
      </w:r>
      <w:proofErr w:type="spellEnd"/>
      <w:r w:rsidRPr="00AF4D6F">
        <w:rPr>
          <w:rFonts w:ascii="Times New Roman" w:hAnsi="Times New Roman"/>
          <w:sz w:val="24"/>
          <w:szCs w:val="24"/>
        </w:rPr>
        <w:t>, R. C., Gupta, R., &amp; Singh, A. (2011). Microbial cellulases and their industrial applications. Enzyme Research, 2011, Article 280696. https://doi.org/10.4061/2011/280696</w:t>
      </w:r>
    </w:p>
    <w:p w14:paraId="09D453A0"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it-IT"/>
        </w:rPr>
        <w:t xml:space="preserve">Legodi, L. M., La Grange, D., Van Rensburg, E. L., &amp; Ncube, I. (2019). </w:t>
      </w:r>
      <w:r w:rsidRPr="00AF4D6F">
        <w:rPr>
          <w:rFonts w:ascii="Times New Roman" w:hAnsi="Times New Roman"/>
          <w:sz w:val="24"/>
          <w:szCs w:val="24"/>
        </w:rPr>
        <w:t xml:space="preserve">Isolation of cellulose degrading fungi from decaying banana </w:t>
      </w:r>
      <w:proofErr w:type="spellStart"/>
      <w:r w:rsidRPr="00AF4D6F">
        <w:rPr>
          <w:rFonts w:ascii="Times New Roman" w:hAnsi="Times New Roman"/>
          <w:sz w:val="24"/>
          <w:szCs w:val="24"/>
        </w:rPr>
        <w:t>pseudostem</w:t>
      </w:r>
      <w:proofErr w:type="spellEnd"/>
      <w:r w:rsidRPr="00AF4D6F">
        <w:rPr>
          <w:rFonts w:ascii="Times New Roman" w:hAnsi="Times New Roman"/>
          <w:sz w:val="24"/>
          <w:szCs w:val="24"/>
        </w:rPr>
        <w:t xml:space="preserve"> and Strelitzia alba. Enzyme Research, 2019, Article 1390890. https://doi.org/10.1155/2019/1390890</w:t>
      </w:r>
    </w:p>
    <w:p w14:paraId="3198E516"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de-DE"/>
        </w:rPr>
        <w:t xml:space="preserve">Lin, M. C., Kuo, H. W., Kao, M. R., Lin, W. D., Li, C. W., Hung, K. S., ... </w:t>
      </w:r>
      <w:r w:rsidRPr="00AF4D6F">
        <w:rPr>
          <w:rFonts w:ascii="Times New Roman" w:hAnsi="Times New Roman"/>
          <w:sz w:val="24"/>
          <w:szCs w:val="24"/>
        </w:rPr>
        <w:t xml:space="preserve">&amp; Ho, T. H. D. (2021). From simple and specific zymographic detections to the annotation of a fungus </w:t>
      </w:r>
      <w:proofErr w:type="spellStart"/>
      <w:r w:rsidRPr="00AF4D6F">
        <w:rPr>
          <w:rFonts w:ascii="Times New Roman" w:hAnsi="Times New Roman"/>
          <w:sz w:val="24"/>
          <w:szCs w:val="24"/>
        </w:rPr>
        <w:t>Daldinia</w:t>
      </w:r>
      <w:proofErr w:type="spellEnd"/>
      <w:r w:rsidRPr="00AF4D6F">
        <w:rPr>
          <w:rFonts w:ascii="Times New Roman" w:hAnsi="Times New Roman"/>
          <w:sz w:val="24"/>
          <w:szCs w:val="24"/>
        </w:rPr>
        <w:t xml:space="preserve"> </w:t>
      </w:r>
      <w:proofErr w:type="spellStart"/>
      <w:r w:rsidRPr="00AF4D6F">
        <w:rPr>
          <w:rFonts w:ascii="Times New Roman" w:hAnsi="Times New Roman"/>
          <w:sz w:val="24"/>
          <w:szCs w:val="24"/>
        </w:rPr>
        <w:t>caldariorum</w:t>
      </w:r>
      <w:proofErr w:type="spellEnd"/>
      <w:r w:rsidRPr="00AF4D6F">
        <w:rPr>
          <w:rFonts w:ascii="Times New Roman" w:hAnsi="Times New Roman"/>
          <w:sz w:val="24"/>
          <w:szCs w:val="24"/>
        </w:rPr>
        <w:t xml:space="preserve"> D263 that encodes a wide range of highly bioactive cellulolytic enzymes. Biotechnology for Biofuels, 14(1), 120.</w:t>
      </w:r>
    </w:p>
    <w:p w14:paraId="51994D2A" w14:textId="77777777" w:rsidR="00AF4D6F" w:rsidRPr="00AF4D6F" w:rsidRDefault="00AF4D6F" w:rsidP="00AF4D6F">
      <w:pPr>
        <w:spacing w:line="360" w:lineRule="auto"/>
        <w:ind w:left="720" w:hanging="720"/>
        <w:jc w:val="both"/>
        <w:rPr>
          <w:rFonts w:ascii="Times New Roman" w:hAnsi="Times New Roman"/>
          <w:sz w:val="24"/>
          <w:szCs w:val="24"/>
        </w:rPr>
      </w:pPr>
      <w:proofErr w:type="spellStart"/>
      <w:r w:rsidRPr="00AF4D6F">
        <w:rPr>
          <w:rFonts w:ascii="Times New Roman" w:hAnsi="Times New Roman"/>
          <w:sz w:val="24"/>
          <w:szCs w:val="24"/>
        </w:rPr>
        <w:t>Mandels</w:t>
      </w:r>
      <w:proofErr w:type="spellEnd"/>
      <w:r w:rsidRPr="00AF4D6F">
        <w:rPr>
          <w:rFonts w:ascii="Times New Roman" w:hAnsi="Times New Roman"/>
          <w:sz w:val="24"/>
          <w:szCs w:val="24"/>
        </w:rPr>
        <w:t>, M., &amp; Weber, J. (1969). The production of cellulases. Advances in Chemistry Series, 95, 391–414. https://doi.org/10.1021/ba-1969-0095.ch023</w:t>
      </w:r>
    </w:p>
    <w:p w14:paraId="01322BBD" w14:textId="77777777" w:rsidR="00AF4D6F" w:rsidRPr="00AF4D6F" w:rsidRDefault="00AF4D6F" w:rsidP="00AF4D6F">
      <w:pPr>
        <w:spacing w:line="360" w:lineRule="auto"/>
        <w:ind w:left="720" w:hanging="720"/>
        <w:jc w:val="both"/>
        <w:rPr>
          <w:rFonts w:ascii="Times New Roman" w:hAnsi="Times New Roman"/>
          <w:sz w:val="24"/>
          <w:szCs w:val="24"/>
        </w:rPr>
      </w:pPr>
      <w:proofErr w:type="spellStart"/>
      <w:r w:rsidRPr="00AF4D6F">
        <w:rPr>
          <w:rFonts w:ascii="Times New Roman" w:hAnsi="Times New Roman"/>
          <w:sz w:val="24"/>
          <w:szCs w:val="24"/>
        </w:rPr>
        <w:t>Mandels</w:t>
      </w:r>
      <w:proofErr w:type="spellEnd"/>
      <w:r w:rsidRPr="00AF4D6F">
        <w:rPr>
          <w:rFonts w:ascii="Times New Roman" w:hAnsi="Times New Roman"/>
          <w:sz w:val="24"/>
          <w:szCs w:val="24"/>
        </w:rPr>
        <w:t>, M., Andreotti, R., &amp; Roche, C. (1976). Measurement of saccharifying cellulase. Biotechnology and Bioengineering Symposium, (6), 21–33.</w:t>
      </w:r>
    </w:p>
    <w:p w14:paraId="7CC49F37"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 xml:space="preserve">Miller, G. L. (1959). Use of </w:t>
      </w:r>
      <w:proofErr w:type="spellStart"/>
      <w:r w:rsidRPr="00AF4D6F">
        <w:rPr>
          <w:rFonts w:ascii="Times New Roman" w:hAnsi="Times New Roman"/>
          <w:sz w:val="24"/>
          <w:szCs w:val="24"/>
        </w:rPr>
        <w:t>dinitrosalicylic</w:t>
      </w:r>
      <w:proofErr w:type="spellEnd"/>
      <w:r w:rsidRPr="00AF4D6F">
        <w:rPr>
          <w:rFonts w:ascii="Times New Roman" w:hAnsi="Times New Roman"/>
          <w:sz w:val="24"/>
          <w:szCs w:val="24"/>
        </w:rPr>
        <w:t xml:space="preserve"> acid reagent for determination of reducing sugar. Analytical Chemistry, 31(3), 426–428. https://doi.org/10.1021/ac60147a030</w:t>
      </w:r>
    </w:p>
    <w:p w14:paraId="1E1CEB9B"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 xml:space="preserve">Mohana, S., Shah, A., Divecha, J., &amp; </w:t>
      </w:r>
      <w:proofErr w:type="spellStart"/>
      <w:r w:rsidRPr="00AF4D6F">
        <w:rPr>
          <w:rFonts w:ascii="Times New Roman" w:hAnsi="Times New Roman"/>
          <w:sz w:val="24"/>
          <w:szCs w:val="24"/>
        </w:rPr>
        <w:t>Madamwar</w:t>
      </w:r>
      <w:proofErr w:type="spellEnd"/>
      <w:r w:rsidRPr="00AF4D6F">
        <w:rPr>
          <w:rFonts w:ascii="Times New Roman" w:hAnsi="Times New Roman"/>
          <w:sz w:val="24"/>
          <w:szCs w:val="24"/>
        </w:rPr>
        <w:t>, D. (2008). Xylanase production by Burkholderia sp. DMAX strain under solid state fermentation using distillery spent wash. Bioresource Technology, 99(16), 7553–7564. https://doi.org/10.1016/j.biortech.2008.02.009</w:t>
      </w:r>
    </w:p>
    <w:p w14:paraId="56876A9B"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it-IT"/>
        </w:rPr>
        <w:t xml:space="preserve">Munyasi, K. M., Omwenga, G. I., &amp; Mwamburi, F. M. (2024). </w:t>
      </w:r>
      <w:r w:rsidRPr="00AF4D6F">
        <w:rPr>
          <w:rFonts w:ascii="Times New Roman" w:hAnsi="Times New Roman"/>
          <w:sz w:val="24"/>
          <w:szCs w:val="24"/>
        </w:rPr>
        <w:t xml:space="preserve">Production and characterization of cellulolytic enzymes by Chaetomium </w:t>
      </w:r>
      <w:proofErr w:type="spellStart"/>
      <w:r w:rsidRPr="00AF4D6F">
        <w:rPr>
          <w:rFonts w:ascii="Times New Roman" w:hAnsi="Times New Roman"/>
          <w:sz w:val="24"/>
          <w:szCs w:val="24"/>
        </w:rPr>
        <w:t>globosum</w:t>
      </w:r>
      <w:proofErr w:type="spellEnd"/>
      <w:r w:rsidRPr="00AF4D6F">
        <w:rPr>
          <w:rFonts w:ascii="Times New Roman" w:hAnsi="Times New Roman"/>
          <w:sz w:val="24"/>
          <w:szCs w:val="24"/>
        </w:rPr>
        <w:t xml:space="preserve"> for biomass saccharification and ethanol production. Discovery, 60(334), Article e14d1425. https://doi.org/10.54905/disssi.v60i334.e14d1425</w:t>
      </w:r>
    </w:p>
    <w:p w14:paraId="24119939"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 xml:space="preserve">Naher, L., Fatin, S. N., </w:t>
      </w:r>
      <w:proofErr w:type="spellStart"/>
      <w:r w:rsidRPr="00AF4D6F">
        <w:rPr>
          <w:rFonts w:ascii="Times New Roman" w:hAnsi="Times New Roman"/>
          <w:sz w:val="24"/>
          <w:szCs w:val="24"/>
        </w:rPr>
        <w:t>Siddiquee</w:t>
      </w:r>
      <w:proofErr w:type="spellEnd"/>
      <w:r w:rsidRPr="00AF4D6F">
        <w:rPr>
          <w:rFonts w:ascii="Times New Roman" w:hAnsi="Times New Roman"/>
          <w:sz w:val="24"/>
          <w:szCs w:val="24"/>
        </w:rPr>
        <w:t xml:space="preserve">, S., &amp; Karim, S. M. R. (2021). Cellulase enzyme production from filamentous fungi Trichoderma </w:t>
      </w:r>
      <w:proofErr w:type="spellStart"/>
      <w:r w:rsidRPr="00AF4D6F">
        <w:rPr>
          <w:rFonts w:ascii="Times New Roman" w:hAnsi="Times New Roman"/>
          <w:sz w:val="24"/>
          <w:szCs w:val="24"/>
        </w:rPr>
        <w:t>reesei</w:t>
      </w:r>
      <w:proofErr w:type="spellEnd"/>
      <w:r w:rsidRPr="00AF4D6F">
        <w:rPr>
          <w:rFonts w:ascii="Times New Roman" w:hAnsi="Times New Roman"/>
          <w:sz w:val="24"/>
          <w:szCs w:val="24"/>
        </w:rPr>
        <w:t xml:space="preserve"> and Aspergillus awamori in submerged fermentation with rice straw. Journal of Fungi, 7(10), 868. https://doi.org/10.3390/jof7100868</w:t>
      </w:r>
    </w:p>
    <w:p w14:paraId="522FDC2C"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lastRenderedPageBreak/>
        <w:t xml:space="preserve">Peng, Z. Q., Li, C., Lin, Y., et al. (2021). Cellulase production and efficient saccharification of biomass by a new mutant Trichoderma </w:t>
      </w:r>
      <w:proofErr w:type="spellStart"/>
      <w:r w:rsidRPr="00AF4D6F">
        <w:rPr>
          <w:rFonts w:ascii="Times New Roman" w:hAnsi="Times New Roman"/>
          <w:sz w:val="24"/>
          <w:szCs w:val="24"/>
        </w:rPr>
        <w:t>afroharzianum</w:t>
      </w:r>
      <w:proofErr w:type="spellEnd"/>
      <w:r w:rsidRPr="00AF4D6F">
        <w:rPr>
          <w:rFonts w:ascii="Times New Roman" w:hAnsi="Times New Roman"/>
          <w:sz w:val="24"/>
          <w:szCs w:val="24"/>
        </w:rPr>
        <w:t xml:space="preserve"> MEA-12. Biotechnology for Biofuels &amp; Bioproducts, 14, 219. https://doi.org/10.1186/s13068-021-02072-z</w:t>
      </w:r>
    </w:p>
    <w:p w14:paraId="111E743B"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shd w:val="clear" w:color="auto" w:fill="FFFFFF"/>
        </w:rPr>
        <w:t xml:space="preserve">Pitt, J. I., &amp; Hocking, A. D. (2009). Fungi and food spoilage (3rd ed.). Springer. https://doi.org/10.1007/978-0-387-92207-2 </w:t>
      </w:r>
    </w:p>
    <w:p w14:paraId="585DB2A8" w14:textId="77777777" w:rsidR="00AF4D6F" w:rsidRPr="00AF4D6F" w:rsidRDefault="00AF4D6F" w:rsidP="00AF4D6F">
      <w:pPr>
        <w:spacing w:line="360" w:lineRule="auto"/>
        <w:ind w:left="720" w:hanging="720"/>
        <w:jc w:val="both"/>
        <w:rPr>
          <w:rFonts w:ascii="Times New Roman" w:hAnsi="Times New Roman"/>
          <w:sz w:val="24"/>
          <w:szCs w:val="24"/>
        </w:rPr>
      </w:pPr>
      <w:proofErr w:type="spellStart"/>
      <w:r w:rsidRPr="00AF4D6F">
        <w:rPr>
          <w:rFonts w:ascii="Times New Roman" w:hAnsi="Times New Roman"/>
          <w:sz w:val="24"/>
          <w:szCs w:val="24"/>
        </w:rPr>
        <w:t>Rajmane</w:t>
      </w:r>
      <w:proofErr w:type="spellEnd"/>
      <w:r w:rsidRPr="00AF4D6F">
        <w:rPr>
          <w:rFonts w:ascii="Times New Roman" w:hAnsi="Times New Roman"/>
          <w:sz w:val="24"/>
          <w:szCs w:val="24"/>
        </w:rPr>
        <w:t xml:space="preserve">, S., &amp; </w:t>
      </w:r>
      <w:proofErr w:type="spellStart"/>
      <w:r w:rsidRPr="00AF4D6F">
        <w:rPr>
          <w:rFonts w:ascii="Times New Roman" w:hAnsi="Times New Roman"/>
          <w:sz w:val="24"/>
          <w:szCs w:val="24"/>
        </w:rPr>
        <w:t>Korelar</w:t>
      </w:r>
      <w:proofErr w:type="spellEnd"/>
      <w:r w:rsidRPr="00AF4D6F">
        <w:rPr>
          <w:rFonts w:ascii="Times New Roman" w:hAnsi="Times New Roman"/>
          <w:sz w:val="24"/>
          <w:szCs w:val="24"/>
        </w:rPr>
        <w:t>, S. (2017). Characterization of a thermophilic cellulase from Geobacillus sp. HTA426. Frontiers in Microbiology, 8, Article 5390992.</w:t>
      </w:r>
    </w:p>
    <w:p w14:paraId="1D9BABDA"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nn-NO"/>
        </w:rPr>
        <w:t xml:space="preserve">Ravindran, R., &amp; Jaiswal, A. K. (2016). </w:t>
      </w:r>
      <w:r w:rsidRPr="00AF4D6F">
        <w:rPr>
          <w:rFonts w:ascii="Times New Roman" w:hAnsi="Times New Roman"/>
          <w:sz w:val="24"/>
          <w:szCs w:val="24"/>
        </w:rPr>
        <w:t>Microbial enzyme production using lignocellulosic food industry wastes as feedstock: A review. Bioengineering, 3(4), 30. https://doi.org/10.3390/bioengineering3040030</w:t>
      </w:r>
    </w:p>
    <w:p w14:paraId="781C9558"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Ravindran, R., Hassan, S. S., Williams, G. A., &amp; Jaiswal, A. K. (2018). A review on bioconversion of agro-industrial wastes to industrially important enzymes. Bioengineering, 5(4), 93. https://doi.org/10.3390/bioengineering5040093</w:t>
      </w:r>
    </w:p>
    <w:p w14:paraId="7B9A5849"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shd w:val="clear" w:color="auto" w:fill="FFFFFF"/>
          <w:lang w:val="nn-NO"/>
        </w:rPr>
        <w:t xml:space="preserve">Sazci, A., Radford, A., &amp; Erenler, K. (1986). </w:t>
      </w:r>
      <w:r w:rsidRPr="00AF4D6F">
        <w:rPr>
          <w:rFonts w:ascii="Times New Roman" w:hAnsi="Times New Roman"/>
          <w:sz w:val="24"/>
          <w:szCs w:val="24"/>
          <w:shd w:val="clear" w:color="auto" w:fill="FFFFFF"/>
        </w:rPr>
        <w:t xml:space="preserve">Detection of cellulolytic fungi by using Congo red as an indicator: A comparative study with the </w:t>
      </w:r>
      <w:proofErr w:type="spellStart"/>
      <w:r w:rsidRPr="00AF4D6F">
        <w:rPr>
          <w:rFonts w:ascii="Times New Roman" w:hAnsi="Times New Roman"/>
          <w:sz w:val="24"/>
          <w:szCs w:val="24"/>
          <w:shd w:val="clear" w:color="auto" w:fill="FFFFFF"/>
        </w:rPr>
        <w:t>dinitrosalicylic</w:t>
      </w:r>
      <w:proofErr w:type="spellEnd"/>
      <w:r w:rsidRPr="00AF4D6F">
        <w:rPr>
          <w:rFonts w:ascii="Times New Roman" w:hAnsi="Times New Roman"/>
          <w:sz w:val="24"/>
          <w:szCs w:val="24"/>
          <w:shd w:val="clear" w:color="auto" w:fill="FFFFFF"/>
        </w:rPr>
        <w:t xml:space="preserve"> acid reagent method. Journal of Applied Bacteriology, 61(6), 559-562. https://doi.org/10.1111/j.1365-2672.1986.tb01729.x</w:t>
      </w:r>
    </w:p>
    <w:p w14:paraId="6B39EA85"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Sikiru, S., Abioye, K. J., Adedayo, H. B., Adebukola, S. Y., Soleimani, H., &amp; Anar, M. (2024). Technology projection in biofuel production using agricultural waste materials as a source of energy sustainability: A comprehensive review. Renewable and Sustainable Energy Reviews, 200, 114535. https://doi.org/10.1016/j.rser.2024.114535</w:t>
      </w:r>
    </w:p>
    <w:p w14:paraId="27E6CFDA"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shd w:val="clear" w:color="auto" w:fill="FFFFFF"/>
        </w:rPr>
        <w:t>Singh, N., Singhania, R. R., Nigam, P. S., Dong, C. D., Patel, A. K., &amp; Puri, M. (2022). Global status of lignocellulosic biorefinery: Challenges and perspectives. </w:t>
      </w:r>
      <w:r w:rsidRPr="00AF4D6F">
        <w:rPr>
          <w:rFonts w:ascii="Times New Roman" w:hAnsi="Times New Roman"/>
          <w:i/>
          <w:iCs/>
          <w:sz w:val="24"/>
          <w:szCs w:val="24"/>
          <w:shd w:val="clear" w:color="auto" w:fill="FFFFFF"/>
        </w:rPr>
        <w:t>Bioresource Technology</w:t>
      </w:r>
      <w:r w:rsidRPr="00AF4D6F">
        <w:rPr>
          <w:rFonts w:ascii="Times New Roman" w:hAnsi="Times New Roman"/>
          <w:sz w:val="24"/>
          <w:szCs w:val="24"/>
          <w:shd w:val="clear" w:color="auto" w:fill="FFFFFF"/>
        </w:rPr>
        <w:t>, </w:t>
      </w:r>
      <w:r w:rsidRPr="00AF4D6F">
        <w:rPr>
          <w:rFonts w:ascii="Times New Roman" w:hAnsi="Times New Roman"/>
          <w:i/>
          <w:iCs/>
          <w:sz w:val="24"/>
          <w:szCs w:val="24"/>
          <w:shd w:val="clear" w:color="auto" w:fill="FFFFFF"/>
        </w:rPr>
        <w:t>344</w:t>
      </w:r>
      <w:r w:rsidRPr="00AF4D6F">
        <w:rPr>
          <w:rFonts w:ascii="Times New Roman" w:hAnsi="Times New Roman"/>
          <w:sz w:val="24"/>
          <w:szCs w:val="24"/>
          <w:shd w:val="clear" w:color="auto" w:fill="FFFFFF"/>
        </w:rPr>
        <w:t>, 126415.</w:t>
      </w:r>
    </w:p>
    <w:p w14:paraId="5CC0A873"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nn-NO"/>
        </w:rPr>
        <w:t xml:space="preserve">Singhvi, M. S., &amp; Gokhale, D. V. (2019). </w:t>
      </w:r>
      <w:r w:rsidRPr="00AF4D6F">
        <w:rPr>
          <w:rFonts w:ascii="Times New Roman" w:hAnsi="Times New Roman"/>
          <w:sz w:val="24"/>
          <w:szCs w:val="24"/>
        </w:rPr>
        <w:t>Lignocellulosic biomass: Hurdles and challenges in its valorization. Applied Microbiology and Biotechnology, 103(23-24), 9305–9320. https://doi.org/10.1007/s00253-019-10212-7</w:t>
      </w:r>
    </w:p>
    <w:p w14:paraId="660B1DD7"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it-IT"/>
        </w:rPr>
        <w:lastRenderedPageBreak/>
        <w:t xml:space="preserve">Soni, R., Nazir, A., &amp; Chadha, B. S. (2010). </w:t>
      </w:r>
      <w:r w:rsidRPr="00AF4D6F">
        <w:rPr>
          <w:rFonts w:ascii="Times New Roman" w:hAnsi="Times New Roman"/>
          <w:sz w:val="24"/>
          <w:szCs w:val="24"/>
        </w:rPr>
        <w:t>Optimization of cellulase production by a versatile Aspergillus fumigatus Fresenius strain (AMA) capable of efficient deinking and enzymatic hydrolysis of Solka-floc and bagasse. Industrial Crops and Products, 31(2), 277–283. https://doi.org/10.1016/j.indcrop.2009.11.007</w:t>
      </w:r>
    </w:p>
    <w:p w14:paraId="5384A7AE" w14:textId="77777777" w:rsidR="00AF4D6F" w:rsidRPr="00AF4D6F" w:rsidRDefault="00AF4D6F" w:rsidP="00AF4D6F">
      <w:pPr>
        <w:spacing w:line="360" w:lineRule="auto"/>
        <w:ind w:left="720" w:hanging="720"/>
        <w:jc w:val="both"/>
        <w:rPr>
          <w:rFonts w:ascii="Times New Roman" w:hAnsi="Times New Roman"/>
          <w:sz w:val="24"/>
          <w:szCs w:val="24"/>
          <w:lang w:val="de-DE"/>
        </w:rPr>
      </w:pPr>
      <w:r w:rsidRPr="00AF4D6F">
        <w:rPr>
          <w:rFonts w:ascii="Times New Roman" w:hAnsi="Times New Roman"/>
          <w:sz w:val="24"/>
          <w:szCs w:val="24"/>
          <w:lang w:val="it-IT"/>
        </w:rPr>
        <w:t xml:space="preserve">Srivastava, N., Rawat, R., Oberoi, H., &amp; Pramod, W. R. (2015). </w:t>
      </w:r>
      <w:r w:rsidRPr="00AF4D6F">
        <w:rPr>
          <w:rFonts w:ascii="Times New Roman" w:hAnsi="Times New Roman"/>
          <w:sz w:val="24"/>
          <w:szCs w:val="24"/>
        </w:rPr>
        <w:t xml:space="preserve">A review on fuel ethanol production from lignocellulosic biomass. </w:t>
      </w:r>
      <w:r w:rsidRPr="00AF4D6F">
        <w:rPr>
          <w:rFonts w:ascii="Times New Roman" w:hAnsi="Times New Roman"/>
          <w:sz w:val="24"/>
          <w:szCs w:val="24"/>
          <w:lang w:val="de-DE"/>
        </w:rPr>
        <w:t>International Journal of Green Energy, 1–12. https://doi.org/10.1080/15435075.2014.890104</w:t>
      </w:r>
    </w:p>
    <w:p w14:paraId="2321B19A"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de-DE"/>
        </w:rPr>
        <w:t xml:space="preserve">Ungureanu, N., Vlăduț, V., &amp; Biriș, S. Ș. </w:t>
      </w:r>
      <w:r w:rsidRPr="00AF4D6F">
        <w:rPr>
          <w:rFonts w:ascii="Times New Roman" w:hAnsi="Times New Roman"/>
          <w:sz w:val="24"/>
          <w:szCs w:val="24"/>
        </w:rPr>
        <w:t>(2022). Sustainable valorization of waste and by-products from sugarcane processing. Sustainability, 14(17), 11089.</w:t>
      </w:r>
    </w:p>
    <w:p w14:paraId="5EA7304B"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de-DE"/>
        </w:rPr>
        <w:t xml:space="preserve">Westphal, K. R., Heidelbach, S., Zeuner, E. J., Riisgaard-Jensen, M., Nielsen, M. E., Vestergaard, S. Z., ... </w:t>
      </w:r>
      <w:r w:rsidRPr="00AF4D6F">
        <w:rPr>
          <w:rFonts w:ascii="Times New Roman" w:hAnsi="Times New Roman"/>
          <w:sz w:val="24"/>
          <w:szCs w:val="24"/>
        </w:rPr>
        <w:t>&amp; Sondergaard, T. E. (2021). The effects of different potato dextrose agar media on secondary metabolite production in Fusarium. International Journal of Food Microbiology, 347, 109171.</w:t>
      </w:r>
    </w:p>
    <w:p w14:paraId="4EF494CC"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rPr>
        <w:t>Wood, T. M., &amp; Bhat, K. M. (1988). Methods for measuring cellulase activities. In Methods in Enzymology (Vol. 160, pp. 87–117). https://doi.org/10.1016/0076-6879(88)60109-1</w:t>
      </w:r>
    </w:p>
    <w:p w14:paraId="17FD3100" w14:textId="77777777" w:rsidR="00AF4D6F" w:rsidRPr="00AF4D6F" w:rsidRDefault="00AF4D6F" w:rsidP="00AF4D6F">
      <w:pPr>
        <w:spacing w:line="360" w:lineRule="auto"/>
        <w:ind w:left="720" w:hanging="720"/>
        <w:jc w:val="both"/>
        <w:rPr>
          <w:rFonts w:ascii="Times New Roman" w:hAnsi="Times New Roman"/>
          <w:sz w:val="24"/>
          <w:szCs w:val="24"/>
        </w:rPr>
      </w:pPr>
      <w:r w:rsidRPr="00AF4D6F">
        <w:rPr>
          <w:rFonts w:ascii="Times New Roman" w:hAnsi="Times New Roman"/>
          <w:sz w:val="24"/>
          <w:szCs w:val="24"/>
          <w:lang w:val="nn-NO"/>
        </w:rPr>
        <w:t xml:space="preserve">Zhang, Y. H. P., &amp; Lynd, L. R. (2004). </w:t>
      </w:r>
      <w:r w:rsidRPr="00AF4D6F">
        <w:rPr>
          <w:rFonts w:ascii="Times New Roman" w:hAnsi="Times New Roman"/>
          <w:sz w:val="24"/>
          <w:szCs w:val="24"/>
        </w:rPr>
        <w:t>Toward an aggregated understanding of enzymatic hydrolysis of cellulose: Noncomplexed cellulase systems. Biotechnology and Bioengineering, 88(7), 797–824. https://doi.org/10.1002/bit.20282</w:t>
      </w:r>
    </w:p>
    <w:p w14:paraId="216F8E71" w14:textId="77777777" w:rsidR="005372E5" w:rsidRPr="00AF4D6F" w:rsidRDefault="005372E5" w:rsidP="00AF4D6F">
      <w:pPr>
        <w:spacing w:line="360" w:lineRule="auto"/>
        <w:ind w:left="720" w:hanging="720"/>
        <w:jc w:val="both"/>
        <w:rPr>
          <w:rFonts w:ascii="Times New Roman" w:hAnsi="Times New Roman"/>
          <w:sz w:val="24"/>
          <w:szCs w:val="24"/>
        </w:rPr>
      </w:pPr>
    </w:p>
    <w:p w14:paraId="4FB856A6" w14:textId="77777777" w:rsidR="005372E5" w:rsidRPr="00AF4D6F" w:rsidRDefault="005372E5">
      <w:pPr>
        <w:spacing w:line="360" w:lineRule="auto"/>
        <w:jc w:val="both"/>
        <w:rPr>
          <w:rFonts w:ascii="Times New Roman" w:hAnsi="Times New Roman"/>
          <w:sz w:val="24"/>
          <w:szCs w:val="24"/>
        </w:rPr>
      </w:pPr>
    </w:p>
    <w:p w14:paraId="6DE0F0B9" w14:textId="77777777" w:rsidR="005372E5" w:rsidRPr="00AF4D6F" w:rsidRDefault="005372E5">
      <w:pPr>
        <w:spacing w:line="360" w:lineRule="auto"/>
        <w:jc w:val="both"/>
        <w:rPr>
          <w:rFonts w:ascii="Times New Roman" w:hAnsi="Times New Roman"/>
          <w:sz w:val="24"/>
          <w:szCs w:val="24"/>
        </w:rPr>
      </w:pPr>
    </w:p>
    <w:sectPr w:rsidR="005372E5" w:rsidRPr="00AF4D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1981" w14:textId="77777777" w:rsidR="00730D75" w:rsidRDefault="00730D75" w:rsidP="00730D75">
      <w:pPr>
        <w:spacing w:after="0" w:line="240" w:lineRule="auto"/>
      </w:pPr>
      <w:r>
        <w:separator/>
      </w:r>
    </w:p>
  </w:endnote>
  <w:endnote w:type="continuationSeparator" w:id="0">
    <w:p w14:paraId="54D22062" w14:textId="77777777" w:rsidR="00730D75" w:rsidRDefault="00730D75" w:rsidP="0073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Mono">
    <w:altName w:val="Times New Roman"/>
    <w:charset w:val="00"/>
    <w:family w:val="roman"/>
    <w:pitch w:val="variable"/>
    <w:sig w:usb0="20007A87" w:usb1="80000000" w:usb2="00000008" w:usb3="00000000" w:csb0="000001FF" w:csb1="00000000"/>
  </w:font>
  <w:font w:name="Noto Sans Mono CJK SC">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8632" w14:textId="77777777" w:rsidR="00730D75" w:rsidRDefault="00730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D625" w14:textId="77777777" w:rsidR="00730D75" w:rsidRDefault="00730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6D0" w14:textId="77777777" w:rsidR="00730D75" w:rsidRDefault="00730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14F6" w14:textId="77777777" w:rsidR="00730D75" w:rsidRDefault="00730D75" w:rsidP="00730D75">
      <w:pPr>
        <w:spacing w:after="0" w:line="240" w:lineRule="auto"/>
      </w:pPr>
      <w:r>
        <w:separator/>
      </w:r>
    </w:p>
  </w:footnote>
  <w:footnote w:type="continuationSeparator" w:id="0">
    <w:p w14:paraId="015A573C" w14:textId="77777777" w:rsidR="00730D75" w:rsidRDefault="00730D75" w:rsidP="00730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14D7" w14:textId="61F22104" w:rsidR="00730D75" w:rsidRDefault="00730D75">
    <w:pPr>
      <w:pStyle w:val="Header"/>
    </w:pPr>
    <w:r>
      <w:rPr>
        <w:noProof/>
      </w:rPr>
      <w:pict w14:anchorId="31D8B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9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6B9C" w14:textId="2E93EE99" w:rsidR="00730D75" w:rsidRDefault="00730D75">
    <w:pPr>
      <w:pStyle w:val="Header"/>
    </w:pPr>
    <w:r>
      <w:rPr>
        <w:noProof/>
      </w:rPr>
      <w:pict w14:anchorId="6DBAB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9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9630" w14:textId="3C9C1E9E" w:rsidR="00730D75" w:rsidRDefault="00730D75">
    <w:pPr>
      <w:pStyle w:val="Header"/>
    </w:pPr>
    <w:r>
      <w:rPr>
        <w:noProof/>
      </w:rPr>
      <w:pict w14:anchorId="0EF73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9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E5"/>
    <w:rsid w:val="001A3874"/>
    <w:rsid w:val="001B249C"/>
    <w:rsid w:val="0022320F"/>
    <w:rsid w:val="00291FAA"/>
    <w:rsid w:val="005372E5"/>
    <w:rsid w:val="00612A9E"/>
    <w:rsid w:val="00665094"/>
    <w:rsid w:val="006B022B"/>
    <w:rsid w:val="00730D75"/>
    <w:rsid w:val="008619BC"/>
    <w:rsid w:val="008E56D1"/>
    <w:rsid w:val="00930744"/>
    <w:rsid w:val="00956662"/>
    <w:rsid w:val="00A13213"/>
    <w:rsid w:val="00AF4D6F"/>
    <w:rsid w:val="00B766C3"/>
    <w:rsid w:val="00C81EA2"/>
    <w:rsid w:val="00E24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53CDBF1"/>
  <w15:docId w15:val="{E804BDC6-8A10-412A-87EB-3DE6ADDA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keepLines/>
      <w:spacing w:before="480" w:after="0"/>
      <w:outlineLvl w:val="0"/>
    </w:pPr>
    <w:rPr>
      <w:b/>
      <w:bCs/>
      <w:color w:val="365F91"/>
      <w:sz w:val="28"/>
      <w:szCs w:val="28"/>
    </w:rPr>
  </w:style>
  <w:style w:type="paragraph" w:styleId="Heading2">
    <w:name w:val="heading 2"/>
    <w:basedOn w:val="Normal"/>
    <w:uiPriority w:val="9"/>
    <w:semiHidden/>
    <w:unhideWhenUsed/>
    <w:qFormat/>
    <w:pPr>
      <w:keepNext/>
      <w:keepLines/>
      <w:widowControl w:val="0"/>
      <w:spacing w:before="200" w:after="0"/>
      <w:outlineLvl w:val="1"/>
    </w:pPr>
    <w:rPr>
      <w:rFonts w:ascii="Times New Roman" w:hAnsi="Times New Roman"/>
      <w:b/>
      <w:color w:val="4F81BD"/>
      <w:sz w:val="26"/>
      <w:szCs w:val="26"/>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bCs/>
      <w:color w:val="365F91"/>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character" w:customStyle="1" w:styleId="Heading3Char">
    <w:name w:val="Heading 3 Char"/>
    <w:link w:val="Heading3"/>
    <w:uiPriority w:val="9"/>
    <w:rPr>
      <w:rFonts w:ascii="Cambria" w:eastAsia="SimSun" w:hAnsi="Cambria" w:cs="Times New Roman"/>
      <w:b/>
      <w:bCs/>
      <w:sz w:val="26"/>
      <w:szCs w:val="26"/>
      <w:lang w:val="en-US"/>
    </w:rPr>
  </w:style>
  <w:style w:type="character" w:styleId="Emphasis">
    <w:name w:val="Emphasis"/>
    <w:basedOn w:val="DefaultParagraphFont"/>
    <w:uiPriority w:val="20"/>
    <w:qFormat/>
    <w:rPr>
      <w:i/>
      <w:iCs/>
    </w:rPr>
  </w:style>
  <w:style w:type="character" w:customStyle="1" w:styleId="UnresolvedMention2">
    <w:name w:val="Unresolved Mention2"/>
    <w:basedOn w:val="DefaultParagraphFont"/>
    <w:uiPriority w:val="99"/>
    <w:rPr>
      <w:color w:val="605E5C"/>
      <w:shd w:val="clear" w:color="auto" w:fill="E1DFDD"/>
    </w:rPr>
  </w:style>
  <w:style w:type="paragraph" w:customStyle="1" w:styleId="Heading20">
    <w:name w:val="&quot;Heading 2&quot;"/>
    <w:basedOn w:val="Normal"/>
    <w:qFormat/>
    <w:pPr>
      <w:keepNext/>
      <w:keepLines/>
      <w:spacing w:before="200" w:after="0"/>
      <w:outlineLvl w:val="1"/>
    </w:pPr>
    <w:rPr>
      <w:b/>
      <w:bCs/>
      <w:color w:val="4F81BD"/>
      <w:sz w:val="26"/>
      <w:szCs w:val="26"/>
    </w:rPr>
  </w:style>
  <w:style w:type="paragraph" w:customStyle="1" w:styleId="Heading10">
    <w:name w:val="&quot;Heading 1&quot;"/>
    <w:basedOn w:val="Normal"/>
    <w:qFormat/>
    <w:pPr>
      <w:keepNext/>
      <w:keepLines/>
      <w:spacing w:before="480" w:after="0"/>
      <w:outlineLvl w:val="0"/>
    </w:pPr>
    <w:rPr>
      <w:b/>
      <w:bCs/>
      <w:color w:val="365F91"/>
      <w:sz w:val="28"/>
      <w:szCs w:val="28"/>
    </w:rPr>
  </w:style>
  <w:style w:type="paragraph" w:customStyle="1" w:styleId="PreformattedText">
    <w:name w:val="&quot;Preformatted Text&quot;"/>
    <w:basedOn w:val="Normal"/>
    <w:qFormat/>
    <w:pPr>
      <w:spacing w:after="0"/>
    </w:pPr>
    <w:rPr>
      <w:rFonts w:ascii="Liberation Mono" w:eastAsia="Noto Sans Mono CJK SC" w:hAnsi="Liberation Mono" w:cs="Liberation Mono"/>
      <w:sz w:val="20"/>
      <w:szCs w:val="20"/>
    </w:rPr>
  </w:style>
  <w:style w:type="character" w:styleId="UnresolvedMention">
    <w:name w:val="Unresolved Mention"/>
    <w:basedOn w:val="DefaultParagraphFont"/>
    <w:uiPriority w:val="99"/>
    <w:semiHidden/>
    <w:unhideWhenUsed/>
    <w:rsid w:val="00B766C3"/>
    <w:rPr>
      <w:color w:val="605E5C"/>
      <w:shd w:val="clear" w:color="auto" w:fill="E1DFDD"/>
    </w:rPr>
  </w:style>
  <w:style w:type="paragraph" w:styleId="ListParagraph">
    <w:name w:val="List Paragraph"/>
    <w:basedOn w:val="Normal"/>
    <w:uiPriority w:val="34"/>
    <w:qFormat/>
    <w:rsid w:val="008E56D1"/>
    <w:pPr>
      <w:ind w:left="720"/>
      <w:contextualSpacing/>
    </w:pPr>
  </w:style>
  <w:style w:type="paragraph" w:styleId="Header">
    <w:name w:val="header"/>
    <w:basedOn w:val="Normal"/>
    <w:link w:val="HeaderChar"/>
    <w:uiPriority w:val="99"/>
    <w:unhideWhenUsed/>
    <w:rsid w:val="00730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D75"/>
    <w:rPr>
      <w:sz w:val="22"/>
      <w:szCs w:val="22"/>
      <w:lang w:eastAsia="zh-CN"/>
    </w:rPr>
  </w:style>
  <w:style w:type="paragraph" w:styleId="Footer">
    <w:name w:val="footer"/>
    <w:basedOn w:val="Normal"/>
    <w:link w:val="FooterChar"/>
    <w:uiPriority w:val="99"/>
    <w:unhideWhenUsed/>
    <w:rsid w:val="00730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D75"/>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fonile.org/en/2022/03/sugar-firms-in-kenya-infringe-on-communities-right-to-a-healthy-environ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B8BA277B-53E6-4D3F-888B-58D01EFF126A}"/>
</file>

<file path=docProps/app.xml><?xml version="1.0" encoding="utf-8"?>
<Properties xmlns="http://schemas.openxmlformats.org/officeDocument/2006/extended-properties" xmlns:vt="http://schemas.openxmlformats.org/officeDocument/2006/docPropsVTypes">
  <Template>Normal</Template>
  <TotalTime>342</TotalTime>
  <Pages>18</Pages>
  <Words>5091</Words>
  <Characters>31810</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X657C</dc:creator>
  <cp:lastModifiedBy>SDI 1137</cp:lastModifiedBy>
  <cp:revision>23</cp:revision>
  <dcterms:created xsi:type="dcterms:W3CDTF">2025-10-30T12:44:00Z</dcterms:created>
  <dcterms:modified xsi:type="dcterms:W3CDTF">2025-11-06T06:23:00Z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adbe2874917c4460961fe01e96bc22fe</vt:lpwstr>
  </property>
  <property fmtid="{D5CDD505-2E9C-101B-9397-08002B2CF9AE}" pid="3" name="GrammarlyDocumentId">
    <vt:lpwstr>1bf9b33f-c780-40b3-b62b-62b391d0ec6f</vt:lpwstr>
  </property>
</Properties>
</file>