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76B71" w14:textId="77777777" w:rsidR="004112D2" w:rsidRPr="00A3627C" w:rsidRDefault="004112D2" w:rsidP="006A6E13">
      <w:pPr>
        <w:pStyle w:val="Heading2"/>
        <w:jc w:val="both"/>
        <w:rPr>
          <w:sz w:val="24"/>
          <w:szCs w:val="24"/>
        </w:rPr>
      </w:pPr>
    </w:p>
    <w:p w14:paraId="283E25D2" w14:textId="00AD2BCD" w:rsidR="00980ACD" w:rsidRPr="00A3627C" w:rsidRDefault="00980ACD" w:rsidP="006A6E13">
      <w:pPr>
        <w:pStyle w:val="Heading2"/>
        <w:jc w:val="both"/>
        <w:rPr>
          <w:sz w:val="24"/>
          <w:szCs w:val="24"/>
        </w:rPr>
      </w:pPr>
      <w:r w:rsidRPr="00A3627C">
        <w:rPr>
          <w:sz w:val="24"/>
          <w:szCs w:val="24"/>
        </w:rPr>
        <w:t xml:space="preserve">Nutrient Enrichment and Eutrophication Potential of Agricultural Runoff in </w:t>
      </w:r>
      <w:proofErr w:type="spellStart"/>
      <w:r w:rsidRPr="00A3627C">
        <w:rPr>
          <w:sz w:val="24"/>
          <w:szCs w:val="24"/>
        </w:rPr>
        <w:t>Otuoke</w:t>
      </w:r>
      <w:proofErr w:type="spellEnd"/>
      <w:r w:rsidRPr="00A3627C">
        <w:rPr>
          <w:sz w:val="24"/>
          <w:szCs w:val="24"/>
        </w:rPr>
        <w:t>, Bayelsa State</w:t>
      </w:r>
    </w:p>
    <w:p w14:paraId="720652F3" w14:textId="77777777" w:rsidR="00FC5141" w:rsidRPr="00A3627C" w:rsidRDefault="00FC5141" w:rsidP="00A3627C">
      <w:pPr>
        <w:pStyle w:val="Heading2"/>
        <w:jc w:val="both"/>
        <w:rPr>
          <w:sz w:val="24"/>
          <w:szCs w:val="24"/>
        </w:rPr>
      </w:pPr>
    </w:p>
    <w:p w14:paraId="733DACDF" w14:textId="77777777" w:rsidR="00980ACD" w:rsidRPr="00A3627C" w:rsidRDefault="00980ACD" w:rsidP="006A6E13">
      <w:pPr>
        <w:pStyle w:val="Heading2"/>
        <w:jc w:val="both"/>
        <w:rPr>
          <w:rStyle w:val="15"/>
          <w:rFonts w:ascii="Times New Roman" w:hAnsi="Times New Roman" w:cs="Times New Roman"/>
          <w:b/>
          <w:bCs/>
          <w:sz w:val="24"/>
          <w:szCs w:val="24"/>
        </w:rPr>
      </w:pPr>
      <w:r w:rsidRPr="00A3627C">
        <w:rPr>
          <w:rStyle w:val="15"/>
          <w:rFonts w:ascii="Times New Roman" w:hAnsi="Times New Roman" w:cs="Times New Roman"/>
          <w:b/>
          <w:bCs/>
          <w:sz w:val="24"/>
          <w:szCs w:val="24"/>
        </w:rPr>
        <w:t xml:space="preserve">Abstract </w:t>
      </w:r>
    </w:p>
    <w:p w14:paraId="0638C905" w14:textId="667CDA0F" w:rsidR="00980ACD" w:rsidRPr="00A3627C" w:rsidRDefault="00980ACD" w:rsidP="006A6E13">
      <w:pPr>
        <w:pStyle w:val="NormalWeb"/>
        <w:jc w:val="both"/>
      </w:pPr>
      <w:r w:rsidRPr="00A3627C">
        <w:t xml:space="preserve">The present study assessed the extent of nutrient enrichment and eutrophication potential of the </w:t>
      </w:r>
      <w:proofErr w:type="spellStart"/>
      <w:r w:rsidRPr="00A3627C">
        <w:t>Otuoke</w:t>
      </w:r>
      <w:proofErr w:type="spellEnd"/>
      <w:r w:rsidRPr="00A3627C">
        <w:t xml:space="preserve"> River in Bayelsa State as influenced by agricultural runoff. Nine surface water samples were collected from three monitoring stations located upstream, midstream and downstream during the 2025 wet season and analysed according to the APHA (2017) standard method. Selected physicochemical parameters - pH, dissolved oxygen (DO), biological oxygen demand (BOD₅), nitrate, phosphate, ammonium and chlorophyll-a were determined using Hanna HI98194 multi-parameter probe and Shimadzu UV-1800 spectrophotometer. Results showed a decrease in DO, which reduced from 6.8 mg/L at the upstream site to 4.1 mg/L at the downstream site, with a concurrent increase in BOD₅, which increased from 2.8 to 5.4 mg/L, which implies organic enrichment occurred. MW of the nutr</w:t>
      </w:r>
      <w:bookmarkStart w:id="0" w:name="_GoBack"/>
      <w:bookmarkEnd w:id="0"/>
      <w:r w:rsidRPr="00A3627C">
        <w:t>ient concentrations showed downstream increases of: nitrate</w:t>
      </w:r>
      <w:r w:rsidR="006A6E13" w:rsidRPr="00A3627C">
        <w:t>,</w:t>
      </w:r>
      <w:r w:rsidRPr="00A3627C">
        <w:t xml:space="preserve"> ranging from 1.84–5.46 mg/L and phosphate</w:t>
      </w:r>
      <w:r w:rsidR="006A6E13" w:rsidRPr="00A3627C">
        <w:t>,</w:t>
      </w:r>
      <w:r w:rsidRPr="00A3627C">
        <w:t xml:space="preserve"> ranging from 0.45–1.22 mg/L. For ammonium, indicators of runoff and fertiliser also showed an increase from 0.31–0.68 mg/L. For chlorophyll-a concentration ranged from 8.4 to 23.5 µg/L, while the Secchi depth reduced from 1.8 to 0.7 m. The Trophic State Index (TSI) recorded values ranged from 45.2 to 67.5, which classified the river from mesotrophic to eutrophic. The study revealed that strong positive correlations between nutrient concentration and chlorophyll-a (r ≥ 0.88) indicate nutrient loading was the main control on algal productivity and consequently reduced oxygen levels of the </w:t>
      </w:r>
      <w:proofErr w:type="spellStart"/>
      <w:r w:rsidRPr="00A3627C">
        <w:t>Otuoke</w:t>
      </w:r>
      <w:proofErr w:type="spellEnd"/>
      <w:r w:rsidRPr="00A3627C">
        <w:t xml:space="preserve"> River. The study concluded that agricultural practices are significant contributors to the trophic status of the </w:t>
      </w:r>
      <w:proofErr w:type="spellStart"/>
      <w:r w:rsidRPr="00A3627C">
        <w:t>Otuoke</w:t>
      </w:r>
      <w:proofErr w:type="spellEnd"/>
      <w:r w:rsidRPr="00A3627C">
        <w:t xml:space="preserve"> River. </w:t>
      </w:r>
    </w:p>
    <w:p w14:paraId="35504555" w14:textId="74C0097C" w:rsidR="00980ACD" w:rsidRPr="00A3627C" w:rsidRDefault="00980ACD" w:rsidP="006A6E13">
      <w:pPr>
        <w:pStyle w:val="NormalWeb"/>
        <w:jc w:val="both"/>
      </w:pPr>
      <w:r w:rsidRPr="00A3627C">
        <w:rPr>
          <w:rStyle w:val="15"/>
          <w:rFonts w:ascii="Times New Roman" w:hAnsi="Times New Roman" w:cs="Times New Roman"/>
          <w:i/>
          <w:iCs/>
        </w:rPr>
        <w:t>Keywords:</w:t>
      </w:r>
      <w:r w:rsidRPr="00A3627C">
        <w:t xml:space="preserve"> nutrient enrichment; eutrophication; agricultural runoff; </w:t>
      </w:r>
      <w:proofErr w:type="spellStart"/>
      <w:r w:rsidRPr="00A3627C">
        <w:t>Otuoke</w:t>
      </w:r>
      <w:proofErr w:type="spellEnd"/>
      <w:r w:rsidRPr="00A3627C">
        <w:t xml:space="preserve"> River; Bayelsa State</w:t>
      </w:r>
    </w:p>
    <w:p w14:paraId="6380A6E4" w14:textId="77777777" w:rsidR="00980ACD" w:rsidRPr="00A3627C" w:rsidRDefault="00980ACD" w:rsidP="006A6E13">
      <w:pPr>
        <w:pStyle w:val="NormalWeb"/>
        <w:jc w:val="both"/>
        <w:rPr>
          <w:b/>
          <w:bCs/>
        </w:rPr>
      </w:pPr>
      <w:r w:rsidRPr="00A3627C">
        <w:rPr>
          <w:b/>
          <w:bCs/>
        </w:rPr>
        <w:t>1.0 Introduction</w:t>
      </w:r>
    </w:p>
    <w:p w14:paraId="70B61AB1" w14:textId="4B29DC8F" w:rsidR="00980ACD" w:rsidRPr="00A3627C" w:rsidRDefault="00980ACD" w:rsidP="006A6E13">
      <w:pPr>
        <w:pStyle w:val="NormalWeb"/>
        <w:jc w:val="both"/>
      </w:pPr>
      <w:r w:rsidRPr="00A3627C">
        <w:t xml:space="preserve">The enrichment of nutrients and eutrophication are critical issues that are affecting aquatic ecosystems worldwide, particularly in the developing world, where agricultural intensification, human population growth, and weak enforcement of regulations are driving nutrient loading to aquatic ecosystems. Eutrophication is the process whereby higher concentrations of nitrogen (N) and phosphorus (P) stimulate algal productivity, leading to hypoxia, habitat alteration, and reduced aquatic biodiversity (Chapman, 1996; WHO, 2008). These two dynamics of eutrophication will have direct implications for water quality, fishery productivity, and stability of aquatic ecosystems, which will serve as an ecological and socio-economic issue. This is especially true in the tropics, including Nigeria's Niger Delta region, due to seasonal flooding and high annual precipitation patterns contributing to runoff laden with nutrients in addition to the agricultural practice of applying large doses of fertilisers rich in nitrates and phosphates to improve crop yields. </w:t>
      </w:r>
    </w:p>
    <w:p w14:paraId="44ADC21F" w14:textId="24912E9E" w:rsidR="00980ACD" w:rsidRPr="00A3627C" w:rsidRDefault="00980ACD" w:rsidP="006A6E13">
      <w:pPr>
        <w:pStyle w:val="NormalWeb"/>
        <w:jc w:val="both"/>
      </w:pPr>
      <w:r w:rsidRPr="00A3627C">
        <w:t xml:space="preserve">The over-application of fertilisers is problematic in that crop yield improvements lead to nutrient loss through surface runoff and leaching in ephemeral streams into the nearest river, creek, or drainage system (Ma et al., 2016; Ekpe et al., 2025). Once nutrients are in waterways, </w:t>
      </w:r>
      <w:r w:rsidRPr="00A3627C">
        <w:lastRenderedPageBreak/>
        <w:t>they disrupt previously stable and natural nutrient balances, leading to increased algal productivity and decomposition processes that consume oxygen. This nutrient loading is only made worse by domestic effluents, livestock waste, and improper land management practices (</w:t>
      </w:r>
      <w:proofErr w:type="spellStart"/>
      <w:r w:rsidRPr="00A3627C">
        <w:t>Nriagu</w:t>
      </w:r>
      <w:proofErr w:type="spellEnd"/>
      <w:r w:rsidRPr="00A3627C">
        <w:t xml:space="preserve"> et al., 2016; </w:t>
      </w:r>
      <w:proofErr w:type="spellStart"/>
      <w:r w:rsidRPr="00A3627C">
        <w:t>Okpoji</w:t>
      </w:r>
      <w:proofErr w:type="spellEnd"/>
      <w:r w:rsidRPr="00A3627C">
        <w:t xml:space="preserve"> et al., 2025a).</w:t>
      </w:r>
    </w:p>
    <w:p w14:paraId="400507CA" w14:textId="77777777" w:rsidR="00980ACD" w:rsidRPr="00A3627C" w:rsidRDefault="00980ACD" w:rsidP="006A6E13">
      <w:pPr>
        <w:pStyle w:val="NormalWeb"/>
        <w:jc w:val="both"/>
      </w:pPr>
      <w:r w:rsidRPr="00A3627C">
        <w:t xml:space="preserve">Phosphorus is typically known as the limiting nutrient in freshwater ecosystems because even a slight increase can induce a rapid eutrophic response (Zhu &amp; Ma, 2020). The United States Environmental Protection Agency (USEPA, 2015) suggests that total phosphorus concentrations below 0.1 mg/L can prevent ecological degradation, although tropical waters often reflect phosphorus concentrations well above this recommendation. Similar indicators of anthropogenic input can be seen when reflecting upon elevated nitrate and ammonium concentrations due to agricultural, organic waste or microbially mineralised nutrients (Ikpe et al., 2023; Dada et al., 2025). Each of these forms of nutrients promotes not only increased primary productivity but also increased frequency of harmful algal blooms or hypoxic events that may jeopardise aquatic life and water usability.  </w:t>
      </w:r>
    </w:p>
    <w:p w14:paraId="25D59E6F" w14:textId="6E61FBC8" w:rsidR="00980ACD" w:rsidRPr="00A3627C" w:rsidRDefault="00980ACD" w:rsidP="006A6E13">
      <w:pPr>
        <w:pStyle w:val="NormalWeb"/>
        <w:jc w:val="both"/>
      </w:pPr>
      <w:r w:rsidRPr="00A3627C">
        <w:t>The Niger Delta, as one of the world's largest wetland systems, apparently represents a unique and amenable environment for nutrient pollution and the chances of eutrophication. The hydrology of the region comprises and dynamic of interconnected rivers, creeks, and flood plains for nutrient accumulation and redistribution during the wet season (</w:t>
      </w:r>
      <w:proofErr w:type="spellStart"/>
      <w:r w:rsidRPr="00A3627C">
        <w:t>Nwilo</w:t>
      </w:r>
      <w:proofErr w:type="spellEnd"/>
      <w:r w:rsidRPr="00A3627C">
        <w:t xml:space="preserve"> &amp; </w:t>
      </w:r>
      <w:proofErr w:type="spellStart"/>
      <w:r w:rsidRPr="00A3627C">
        <w:t>Badejo</w:t>
      </w:r>
      <w:proofErr w:type="spellEnd"/>
      <w:r w:rsidRPr="00A3627C">
        <w:t xml:space="preserve">, 2005). Agricultural expansion, casual open defecation and poor waste management contribute to nutrient enrichment while oil activities provide further stress to already beleaguered aquatic ecosystems (Ugochukwu &amp; </w:t>
      </w:r>
      <w:proofErr w:type="spellStart"/>
      <w:r w:rsidRPr="00A3627C">
        <w:t>Ertel</w:t>
      </w:r>
      <w:proofErr w:type="spellEnd"/>
      <w:r w:rsidRPr="00A3627C">
        <w:t xml:space="preserve">, 2008; </w:t>
      </w:r>
      <w:proofErr w:type="spellStart"/>
      <w:r w:rsidRPr="00A3627C">
        <w:t>Nriagu</w:t>
      </w:r>
      <w:proofErr w:type="spellEnd"/>
      <w:r w:rsidRPr="00A3627C">
        <w:t xml:space="preserve"> et al., 2016). There have been multiple studies in the region describing symptoms of eutrophication such as algal blooms, fish kill events and anoxic conditions, providing evidence that a growing threat of loss of aquatic biodiversity and ecosystem function and services will accompany growing nutrient input (Ikpe et al., 2020; Dada et al., 2025).</w:t>
      </w:r>
    </w:p>
    <w:p w14:paraId="7D9D7205" w14:textId="61D3FBE9" w:rsidR="00980ACD" w:rsidRPr="00A3627C" w:rsidRDefault="00980ACD" w:rsidP="006A6E13">
      <w:pPr>
        <w:pStyle w:val="NormalWeb"/>
        <w:jc w:val="both"/>
      </w:pPr>
      <w:r w:rsidRPr="00A3627C">
        <w:t xml:space="preserve">The </w:t>
      </w:r>
      <w:proofErr w:type="spellStart"/>
      <w:r w:rsidRPr="00A3627C">
        <w:t>Otuoke</w:t>
      </w:r>
      <w:proofErr w:type="spellEnd"/>
      <w:r w:rsidRPr="00A3627C">
        <w:t xml:space="preserve"> River in Bayelsa State illustrates these issues. It flows through a landscape dependent on agriculture, where fertiliser use, organic waste disposal, and periodic high-flow flood events impact its water chemistry. Although the river’s ecological and socio-economic importance to the surrounding communities has been established, limited studies have examined the river's nutrient dynamics and eutrophication status. It is critical to know the nutrient status of the river to develop management strategies for maintaining water quality and healthy aquatic ecosystem conditions. Therefore, this study was conducted to evaluate nutrient enrichment and potential for eutrophication in the </w:t>
      </w:r>
      <w:proofErr w:type="spellStart"/>
      <w:r w:rsidRPr="00A3627C">
        <w:t>Otuoke</w:t>
      </w:r>
      <w:proofErr w:type="spellEnd"/>
      <w:r w:rsidRPr="00A3627C">
        <w:t xml:space="preserve"> River to establish concentrations of key nutrients (nitrate, phosphate, and ammonium), measure algal productivity indicators (chlorophyll-a and Secchi depth), and then determine trophic status using the Carlson Trophic State Index (TSI). The findings of this work contribute scientific evidence that will support sustainable nutrient management, best practices in agriculture and monitoring of the quality of publicly-owned water in the Niger Delta.</w:t>
      </w:r>
    </w:p>
    <w:p w14:paraId="271AAB5F" w14:textId="219FA320" w:rsidR="00980ACD" w:rsidRPr="00A3627C" w:rsidRDefault="007422BE" w:rsidP="006A6E13">
      <w:pPr>
        <w:pStyle w:val="Heading2"/>
        <w:jc w:val="both"/>
        <w:rPr>
          <w:sz w:val="24"/>
          <w:szCs w:val="24"/>
        </w:rPr>
      </w:pPr>
      <w:r>
        <w:rPr>
          <w:rStyle w:val="15"/>
          <w:rFonts w:ascii="Times New Roman" w:hAnsi="Times New Roman" w:cs="Times New Roman"/>
          <w:b/>
          <w:bCs/>
          <w:sz w:val="24"/>
          <w:szCs w:val="24"/>
        </w:rPr>
        <w:t>2</w:t>
      </w:r>
      <w:r w:rsidR="00980ACD" w:rsidRPr="00A3627C">
        <w:rPr>
          <w:rStyle w:val="15"/>
          <w:rFonts w:ascii="Times New Roman" w:hAnsi="Times New Roman" w:cs="Times New Roman"/>
          <w:b/>
          <w:bCs/>
          <w:sz w:val="24"/>
          <w:szCs w:val="24"/>
        </w:rPr>
        <w:t>.0 Materials and Methods</w:t>
      </w:r>
    </w:p>
    <w:p w14:paraId="452D2803" w14:textId="6AA2D635" w:rsidR="00980ACD" w:rsidRPr="00A3627C" w:rsidRDefault="007422BE" w:rsidP="006A6E13">
      <w:pPr>
        <w:pStyle w:val="NormalWeb"/>
        <w:jc w:val="both"/>
        <w:rPr>
          <w:rStyle w:val="15"/>
          <w:rFonts w:ascii="Times New Roman" w:hAnsi="Times New Roman" w:cs="Times New Roman"/>
        </w:rPr>
      </w:pPr>
      <w:r>
        <w:rPr>
          <w:rStyle w:val="15"/>
          <w:rFonts w:ascii="Times New Roman" w:hAnsi="Times New Roman" w:cs="Times New Roman"/>
        </w:rPr>
        <w:t>2</w:t>
      </w:r>
      <w:r w:rsidR="00980ACD" w:rsidRPr="00A3627C">
        <w:rPr>
          <w:rStyle w:val="15"/>
          <w:rFonts w:ascii="Times New Roman" w:hAnsi="Times New Roman" w:cs="Times New Roman"/>
        </w:rPr>
        <w:t>.1 Study Area</w:t>
      </w:r>
    </w:p>
    <w:p w14:paraId="3A6D75CB" w14:textId="3CE8B5F1" w:rsidR="006A6E13" w:rsidRPr="00A3627C" w:rsidRDefault="006A6E13" w:rsidP="006A6E13">
      <w:pPr>
        <w:pStyle w:val="NormalWeb"/>
        <w:jc w:val="both"/>
      </w:pPr>
      <w:r w:rsidRPr="00A3627C">
        <w:t xml:space="preserve">The research was carried out in </w:t>
      </w:r>
      <w:proofErr w:type="spellStart"/>
      <w:r w:rsidRPr="00A3627C">
        <w:t>Otuoke</w:t>
      </w:r>
      <w:proofErr w:type="spellEnd"/>
      <w:r w:rsidRPr="00A3627C">
        <w:t xml:space="preserve"> in the </w:t>
      </w:r>
      <w:proofErr w:type="spellStart"/>
      <w:r w:rsidRPr="00A3627C">
        <w:t>Ogbia</w:t>
      </w:r>
      <w:proofErr w:type="spellEnd"/>
      <w:r w:rsidRPr="00A3627C">
        <w:t xml:space="preserve"> Local Government Area of Bayelsa State, Nigeria, located in the central Niger Delta area at a latitude of 4°48′N and a longitude of 6°18′E. The </w:t>
      </w:r>
      <w:proofErr w:type="spellStart"/>
      <w:r w:rsidRPr="00A3627C">
        <w:t>Otuoke</w:t>
      </w:r>
      <w:proofErr w:type="spellEnd"/>
      <w:r w:rsidRPr="00A3627C">
        <w:t xml:space="preserve"> River is a tributary of the Nun River and runs through an agricultural setting, having freshwater swamp forest and riparian grasses. Subsistence agriculture, especially crops </w:t>
      </w:r>
      <w:r w:rsidRPr="00A3627C">
        <w:lastRenderedPageBreak/>
        <w:t>such as cassava, plantain and vegetables, is widely practised on the floodplains. Water and nutrient runoff caused by rainfall, coupled with low topography and extensive agriculture, sends pollutants into the river. The climate is classified as humid tropical, and the region has both a wet season (March–October) and a dry season (November–February). The average annual rainfall is between 2,500 and 3,000 mm, while the average temperature is between 26 °C and 30°C</w:t>
      </w:r>
    </w:p>
    <w:p w14:paraId="2C899E10" w14:textId="77777777" w:rsidR="006A6E13" w:rsidRPr="00A3627C" w:rsidRDefault="006A6E13" w:rsidP="006A6E13">
      <w:pPr>
        <w:pStyle w:val="NormalWeb"/>
        <w:jc w:val="both"/>
      </w:pPr>
    </w:p>
    <w:p w14:paraId="69E741FF" w14:textId="104FF5FE" w:rsidR="00980ACD" w:rsidRPr="00A3627C" w:rsidRDefault="006A6E13" w:rsidP="006A6E13">
      <w:pPr>
        <w:pStyle w:val="NormalWeb"/>
        <w:jc w:val="both"/>
      </w:pPr>
      <w:r w:rsidRPr="00A3627C">
        <w:t>.</w:t>
      </w:r>
      <w:r w:rsidR="00980ACD" w:rsidRPr="00A3627C">
        <w:rPr>
          <w:noProof/>
        </w:rPr>
        <w:drawing>
          <wp:inline distT="0" distB="0" distL="0" distR="0" wp14:anchorId="049376B8" wp14:editId="4F2700B0">
            <wp:extent cx="4007485" cy="23152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7485" cy="2315210"/>
                    </a:xfrm>
                    <a:prstGeom prst="rect">
                      <a:avLst/>
                    </a:prstGeom>
                    <a:noFill/>
                    <a:ln>
                      <a:noFill/>
                    </a:ln>
                  </pic:spPr>
                </pic:pic>
              </a:graphicData>
            </a:graphic>
          </wp:inline>
        </w:drawing>
      </w:r>
      <w:r w:rsidR="00980ACD" w:rsidRPr="00A3627C">
        <w:t xml:space="preserve"> </w:t>
      </w:r>
    </w:p>
    <w:p w14:paraId="67DBD257" w14:textId="77777777" w:rsidR="00980ACD" w:rsidRPr="00A3627C" w:rsidRDefault="00980ACD" w:rsidP="006A6E13">
      <w:pPr>
        <w:spacing w:after="0"/>
        <w:jc w:val="both"/>
        <w:rPr>
          <w:rFonts w:ascii="Times New Roman" w:eastAsia="Calibri" w:hAnsi="Times New Roman"/>
          <w:b/>
          <w:sz w:val="24"/>
          <w:szCs w:val="24"/>
        </w:rPr>
      </w:pPr>
      <w:r w:rsidRPr="00A3627C">
        <w:rPr>
          <w:rStyle w:val="15"/>
          <w:rFonts w:ascii="Times New Roman" w:eastAsia="Calibri" w:hAnsi="Times New Roman" w:cs="Times New Roman"/>
          <w:sz w:val="24"/>
          <w:szCs w:val="24"/>
        </w:rPr>
        <w:t xml:space="preserve">Figure 1: Map </w:t>
      </w:r>
      <w:r w:rsidRPr="00A3627C">
        <w:rPr>
          <w:rFonts w:ascii="Times New Roman" w:eastAsia="Calibri" w:hAnsi="Times New Roman"/>
          <w:b/>
          <w:sz w:val="24"/>
          <w:szCs w:val="24"/>
        </w:rPr>
        <w:t xml:space="preserve">of the Study Area indicating </w:t>
      </w:r>
      <w:proofErr w:type="spellStart"/>
      <w:r w:rsidRPr="00A3627C">
        <w:rPr>
          <w:rFonts w:ascii="Times New Roman" w:eastAsia="Calibri" w:hAnsi="Times New Roman"/>
          <w:b/>
          <w:sz w:val="24"/>
          <w:szCs w:val="24"/>
        </w:rPr>
        <w:t>Otuoke</w:t>
      </w:r>
      <w:proofErr w:type="spellEnd"/>
      <w:r w:rsidRPr="00A3627C">
        <w:rPr>
          <w:rFonts w:ascii="Times New Roman" w:eastAsia="Calibri" w:hAnsi="Times New Roman"/>
          <w:b/>
          <w:sz w:val="24"/>
          <w:szCs w:val="24"/>
        </w:rPr>
        <w:t xml:space="preserve"> and the sample stations</w:t>
      </w:r>
    </w:p>
    <w:p w14:paraId="7721335C" w14:textId="2566FA92" w:rsidR="00980ACD" w:rsidRPr="00A3627C" w:rsidRDefault="007422BE" w:rsidP="006A6E13">
      <w:pPr>
        <w:pStyle w:val="NormalWeb"/>
        <w:jc w:val="both"/>
        <w:rPr>
          <w:b/>
          <w:bCs/>
        </w:rPr>
      </w:pPr>
      <w:r>
        <w:rPr>
          <w:b/>
          <w:bCs/>
        </w:rPr>
        <w:t>2</w:t>
      </w:r>
      <w:r w:rsidR="00980ACD" w:rsidRPr="00A3627C">
        <w:rPr>
          <w:b/>
          <w:bCs/>
        </w:rPr>
        <w:t>.2 Sampling Design and Collection</w:t>
      </w:r>
    </w:p>
    <w:p w14:paraId="4FBC55DE" w14:textId="77777777" w:rsidR="00980ACD" w:rsidRPr="00A3627C" w:rsidRDefault="00980ACD" w:rsidP="006A6E13">
      <w:pPr>
        <w:pStyle w:val="NormalWeb"/>
        <w:jc w:val="both"/>
      </w:pPr>
      <w:r w:rsidRPr="00A3627C">
        <w:t>Three sampling stations were established along the river course to represent the upstream, midstream, and downstream sections. Sampling was carried out during the peak of the wet season (July–August 2025) to capture maximum nutrient runoff. At each station, triplicate surface water samples were collected at a depth of about 30 cm using pre-cleaned 1 L polyethene bottles. The bottles were rinsed with the river water before sampling to prevent contamination. Samples were stored in ice chests at 4 °C and transported to the laboratory within 24 hours. Field duplicates and blanks were collected to ensure quality control.</w:t>
      </w:r>
    </w:p>
    <w:p w14:paraId="073712D3" w14:textId="071119B8" w:rsidR="00980ACD" w:rsidRPr="00A3627C" w:rsidRDefault="007422BE" w:rsidP="006A6E13">
      <w:pPr>
        <w:pStyle w:val="NormalWeb"/>
        <w:jc w:val="both"/>
        <w:rPr>
          <w:b/>
          <w:bCs/>
        </w:rPr>
      </w:pPr>
      <w:r>
        <w:rPr>
          <w:b/>
          <w:bCs/>
        </w:rPr>
        <w:t>2</w:t>
      </w:r>
      <w:r w:rsidR="00980ACD" w:rsidRPr="00A3627C">
        <w:rPr>
          <w:b/>
          <w:bCs/>
        </w:rPr>
        <w:t>.3 In-situ Measurement of Physicochemical Parameters</w:t>
      </w:r>
    </w:p>
    <w:p w14:paraId="26148711" w14:textId="77777777" w:rsidR="006A6E13" w:rsidRPr="00A3627C" w:rsidRDefault="006A6E13" w:rsidP="006A6E13">
      <w:pPr>
        <w:pStyle w:val="NormalWeb"/>
        <w:jc w:val="both"/>
      </w:pPr>
      <w:r w:rsidRPr="00A3627C">
        <w:t>Temperature, pH, electrical conductivity (EC), and dissolved oxygen (DO) were measured in situ with a calibrated Hanna multiparameter probe (model HI98194). Daily calibration was conducted using standard buffers and conductivity solutions. Biological oxygen demand (BOD₅) was determined by the Winkler titrimetric method after dark incubation at 20 °C for five days in accordance with APHA (2017) procedures. Triplicate measurements were taken, and mean values were reported.</w:t>
      </w:r>
    </w:p>
    <w:p w14:paraId="7D5951BA" w14:textId="452B7408" w:rsidR="006A6E13" w:rsidRPr="00A3627C" w:rsidRDefault="007422BE" w:rsidP="006A6E13">
      <w:pPr>
        <w:pStyle w:val="NormalWeb"/>
        <w:jc w:val="both"/>
        <w:rPr>
          <w:b/>
          <w:bCs/>
        </w:rPr>
      </w:pPr>
      <w:r>
        <w:rPr>
          <w:b/>
          <w:bCs/>
        </w:rPr>
        <w:t>2</w:t>
      </w:r>
      <w:r w:rsidR="006A6E13" w:rsidRPr="00A3627C">
        <w:rPr>
          <w:b/>
          <w:bCs/>
        </w:rPr>
        <w:t>.4 Laboratory Analysis of Nutrients</w:t>
      </w:r>
    </w:p>
    <w:p w14:paraId="02337BC7" w14:textId="22062C50" w:rsidR="006A6E13" w:rsidRPr="00A3627C" w:rsidRDefault="006A6E13" w:rsidP="006A6E13">
      <w:pPr>
        <w:pStyle w:val="NormalWeb"/>
        <w:jc w:val="both"/>
      </w:pPr>
      <w:r w:rsidRPr="00A3627C">
        <w:t xml:space="preserve">Nutrient parameters included nitrate (NO₃⁻), phosphate (PO₄³⁻), ammonium (NH₄⁺), total nitrogen (TN), and total phosphorus (TP), which were analysed according to standard methods published by APHA (2017). Nitrate was determined using the cadmium reduction method </w:t>
      </w:r>
      <w:r w:rsidRPr="00A3627C">
        <w:lastRenderedPageBreak/>
        <w:t xml:space="preserve">(APHA 4500-NO₃⁻ E) and read at 543 nm using a Shimadzu UV-1800 spectrophotometer. Phosphate was analysed through the ascorbic acid (molybdenum blue) method (APHA 4500-P E) and measured using a spectrophotometer at 880 nm. Ammonium was measured by the </w:t>
      </w:r>
      <w:proofErr w:type="spellStart"/>
      <w:r w:rsidRPr="00A3627C">
        <w:t>Nesslerisation</w:t>
      </w:r>
      <w:proofErr w:type="spellEnd"/>
      <w:r w:rsidRPr="00A3627C">
        <w:t xml:space="preserve"> method (APHA 4500-NH₃ B) and read at 425 nm. Total nitrogen and total phosphorus were measured using spectrophotometric detection following persulphate digestion. All reagents were analytical grade, and calibration standards were made from certified stock solutions. Triplicate measurements were conducted and expressed in milligrams per litre (mg L⁻¹).</w:t>
      </w:r>
    </w:p>
    <w:p w14:paraId="72A2334D" w14:textId="7471E532" w:rsidR="00980ACD" w:rsidRPr="00A3627C" w:rsidRDefault="007422BE" w:rsidP="006A6E13">
      <w:pPr>
        <w:pStyle w:val="NormalWeb"/>
        <w:jc w:val="both"/>
        <w:rPr>
          <w:b/>
          <w:bCs/>
        </w:rPr>
      </w:pPr>
      <w:r>
        <w:rPr>
          <w:b/>
          <w:bCs/>
        </w:rPr>
        <w:t>2</w:t>
      </w:r>
      <w:r w:rsidR="00980ACD" w:rsidRPr="00A3627C">
        <w:rPr>
          <w:b/>
          <w:bCs/>
        </w:rPr>
        <w:t>.5 Determination of Algal Productivity Indicators</w:t>
      </w:r>
    </w:p>
    <w:p w14:paraId="533515F2" w14:textId="79867F8F" w:rsidR="006A6E13" w:rsidRPr="00A3627C" w:rsidRDefault="006A6E13" w:rsidP="006A6E13">
      <w:pPr>
        <w:spacing w:after="100" w:afterAutospacing="1"/>
        <w:jc w:val="both"/>
        <w:outlineLvl w:val="1"/>
        <w:rPr>
          <w:rFonts w:ascii="Times New Roman" w:hAnsi="Times New Roman"/>
          <w:sz w:val="24"/>
          <w:szCs w:val="24"/>
        </w:rPr>
      </w:pPr>
      <w:r w:rsidRPr="00A3627C">
        <w:rPr>
          <w:rFonts w:ascii="Times New Roman" w:hAnsi="Times New Roman"/>
          <w:sz w:val="24"/>
          <w:szCs w:val="24"/>
        </w:rPr>
        <w:t>Indicators of algal biomass were assessed by measuring chlorophyll-a concentration and water transparency. Chlorophyll-a was obtained according to the USEPA (2015) protocol using 90% acetone. Water samples (500 mL) were filtered using Whatman GF/C filters, and pigments were extracted in 90% acetone at 4 °C for 24 h. Absorbance was measured with a UV-Vis spectrophotometer at wavelengths of 664 nm and 750 nm, and chlorophyll-a concentrations were expressed in µg L⁻¹. Water transparency was evaluated using a 20 cm Secchi disc that was lowered into the river until it was no longer visible. The mean of three observations was used as the Secchi depth for that site. The Carlson Trophic State Index was calculated using chlorophyll-a and Secchi depth values to determine the trophic state of the river: oligotrophic (&lt;40), mesotrophic (40–50), eutrophic (50–70), and hypereutrophic (&gt;70).</w:t>
      </w:r>
    </w:p>
    <w:p w14:paraId="555B0AF7" w14:textId="577160EA" w:rsidR="006A6E13" w:rsidRPr="00A3627C" w:rsidRDefault="007422BE" w:rsidP="006A6E13">
      <w:pPr>
        <w:spacing w:after="100" w:afterAutospacing="1"/>
        <w:jc w:val="both"/>
        <w:outlineLvl w:val="1"/>
        <w:rPr>
          <w:rFonts w:ascii="Times New Roman" w:hAnsi="Times New Roman"/>
          <w:b/>
          <w:bCs/>
          <w:sz w:val="24"/>
          <w:szCs w:val="24"/>
        </w:rPr>
      </w:pPr>
      <w:r>
        <w:rPr>
          <w:rFonts w:ascii="Times New Roman" w:hAnsi="Times New Roman"/>
          <w:b/>
          <w:bCs/>
          <w:sz w:val="24"/>
          <w:szCs w:val="24"/>
        </w:rPr>
        <w:t>2</w:t>
      </w:r>
      <w:r w:rsidR="006A6E13" w:rsidRPr="00A3627C">
        <w:rPr>
          <w:rFonts w:ascii="Times New Roman" w:hAnsi="Times New Roman"/>
          <w:b/>
          <w:bCs/>
          <w:sz w:val="24"/>
          <w:szCs w:val="24"/>
        </w:rPr>
        <w:t xml:space="preserve">.6 Quality Assurance and Quality Control (QA/QC) </w:t>
      </w:r>
    </w:p>
    <w:p w14:paraId="20C099F2" w14:textId="02C0B64B" w:rsidR="006A6E13" w:rsidRPr="00A3627C" w:rsidRDefault="006A6E13" w:rsidP="006A6E13">
      <w:pPr>
        <w:spacing w:after="100" w:afterAutospacing="1"/>
        <w:jc w:val="both"/>
        <w:outlineLvl w:val="1"/>
        <w:rPr>
          <w:rFonts w:ascii="Times New Roman" w:hAnsi="Times New Roman"/>
          <w:sz w:val="24"/>
          <w:szCs w:val="24"/>
        </w:rPr>
      </w:pPr>
      <w:r w:rsidRPr="00A3627C">
        <w:rPr>
          <w:rFonts w:ascii="Times New Roman" w:hAnsi="Times New Roman"/>
          <w:sz w:val="24"/>
          <w:szCs w:val="24"/>
        </w:rPr>
        <w:t xml:space="preserve">Comprehensive QA/QC protocols were implemented for field and laboratory methodologies. Instruments were calibrated daily with certified standards. Reagent blanks, field blanks, and duplicates were included in all analytical batches. Reported replicate analyses were within ±5%, relative percent difference (RPD), and calibration curves were maintained, with a correlation coefficient (R²) of ≥0.995. The method detection limits (MDLs) were 0.01 mg L⁻¹ for nitrate, 0.005 mg L⁻¹ for phosphate, and 0.01 mg L⁻¹ for ammonium. Acid-washed glassware and deionised water were used to limit contamination. </w:t>
      </w:r>
    </w:p>
    <w:p w14:paraId="6119463C" w14:textId="188866B7" w:rsidR="006A6E13" w:rsidRPr="00A3627C" w:rsidRDefault="007422BE" w:rsidP="006A6E13">
      <w:pPr>
        <w:spacing w:after="100" w:afterAutospacing="1"/>
        <w:jc w:val="both"/>
        <w:outlineLvl w:val="1"/>
        <w:rPr>
          <w:rFonts w:ascii="Times New Roman" w:hAnsi="Times New Roman"/>
          <w:b/>
          <w:bCs/>
          <w:sz w:val="24"/>
          <w:szCs w:val="24"/>
        </w:rPr>
      </w:pPr>
      <w:r>
        <w:rPr>
          <w:rFonts w:ascii="Times New Roman" w:hAnsi="Times New Roman"/>
          <w:b/>
          <w:bCs/>
          <w:sz w:val="24"/>
          <w:szCs w:val="24"/>
        </w:rPr>
        <w:t>2</w:t>
      </w:r>
      <w:r w:rsidR="006A6E13" w:rsidRPr="00A3627C">
        <w:rPr>
          <w:rFonts w:ascii="Times New Roman" w:hAnsi="Times New Roman"/>
          <w:b/>
          <w:bCs/>
          <w:sz w:val="24"/>
          <w:szCs w:val="24"/>
        </w:rPr>
        <w:t xml:space="preserve">.7 Statistical Analysis </w:t>
      </w:r>
    </w:p>
    <w:p w14:paraId="63DE10D3" w14:textId="4FE059E7" w:rsidR="006A6E13" w:rsidRDefault="006A6E13" w:rsidP="006A6E13">
      <w:pPr>
        <w:spacing w:after="100" w:afterAutospacing="1"/>
        <w:jc w:val="both"/>
        <w:outlineLvl w:val="1"/>
        <w:rPr>
          <w:rFonts w:ascii="Times New Roman" w:hAnsi="Times New Roman"/>
          <w:sz w:val="24"/>
          <w:szCs w:val="24"/>
        </w:rPr>
      </w:pPr>
      <w:r w:rsidRPr="00A3627C">
        <w:rPr>
          <w:rFonts w:ascii="Times New Roman" w:hAnsi="Times New Roman"/>
          <w:sz w:val="24"/>
          <w:szCs w:val="24"/>
        </w:rPr>
        <w:t xml:space="preserve">Descriptive statistics were calculated for all parameters (mean and standard deviation). Pearson correlation analysis was performed utilising SPSS version 25, in order to describe relationships between nutrients, chlorophyll-a, biological oxygen demand (BOD₅), and dissolved oxygen (DO). A statistical significance of p &lt; 0.05 was used in the analysis. Results were interpreted against WHO (2008) and USEPA (2015) guidelines, and ecological thresholds for eutrophication were used to assess the </w:t>
      </w:r>
      <w:proofErr w:type="spellStart"/>
      <w:r w:rsidRPr="00A3627C">
        <w:rPr>
          <w:rFonts w:ascii="Times New Roman" w:hAnsi="Times New Roman"/>
          <w:sz w:val="24"/>
          <w:szCs w:val="24"/>
        </w:rPr>
        <w:t>Otuoke</w:t>
      </w:r>
      <w:proofErr w:type="spellEnd"/>
      <w:r w:rsidRPr="00A3627C">
        <w:rPr>
          <w:rFonts w:ascii="Times New Roman" w:hAnsi="Times New Roman"/>
          <w:sz w:val="24"/>
          <w:szCs w:val="24"/>
        </w:rPr>
        <w:t xml:space="preserve"> River's trophic status.</w:t>
      </w:r>
    </w:p>
    <w:p w14:paraId="6CE5E136" w14:textId="77777777" w:rsidR="007422BE" w:rsidRPr="00A3627C" w:rsidRDefault="007422BE" w:rsidP="006A6E13">
      <w:pPr>
        <w:spacing w:after="100" w:afterAutospacing="1"/>
        <w:jc w:val="both"/>
        <w:outlineLvl w:val="1"/>
        <w:rPr>
          <w:rFonts w:ascii="Times New Roman" w:hAnsi="Times New Roman"/>
          <w:sz w:val="24"/>
          <w:szCs w:val="24"/>
        </w:rPr>
      </w:pPr>
    </w:p>
    <w:p w14:paraId="3DD5FA03" w14:textId="4097A85C" w:rsidR="00980ACD" w:rsidRDefault="007422BE" w:rsidP="006A6E13">
      <w:pPr>
        <w:spacing w:after="100" w:afterAutospacing="1"/>
        <w:jc w:val="both"/>
        <w:outlineLvl w:val="1"/>
        <w:rPr>
          <w:rFonts w:ascii="Times New Roman" w:hAnsi="Times New Roman"/>
          <w:b/>
          <w:bCs/>
          <w:sz w:val="24"/>
          <w:szCs w:val="24"/>
        </w:rPr>
      </w:pPr>
      <w:r>
        <w:rPr>
          <w:rFonts w:ascii="Times New Roman" w:hAnsi="Times New Roman"/>
          <w:b/>
          <w:bCs/>
          <w:sz w:val="24"/>
          <w:szCs w:val="24"/>
        </w:rPr>
        <w:t>3</w:t>
      </w:r>
      <w:r w:rsidR="00980ACD" w:rsidRPr="00A3627C">
        <w:rPr>
          <w:rFonts w:ascii="Times New Roman" w:hAnsi="Times New Roman"/>
          <w:b/>
          <w:bCs/>
          <w:sz w:val="24"/>
          <w:szCs w:val="24"/>
        </w:rPr>
        <w:t>.0 Results</w:t>
      </w:r>
      <w:r>
        <w:rPr>
          <w:rFonts w:ascii="Times New Roman" w:hAnsi="Times New Roman"/>
          <w:b/>
          <w:bCs/>
          <w:sz w:val="24"/>
          <w:szCs w:val="24"/>
        </w:rPr>
        <w:t xml:space="preserve"> and Discussion </w:t>
      </w:r>
    </w:p>
    <w:p w14:paraId="15229815" w14:textId="40F2439F" w:rsidR="007422BE" w:rsidRPr="00A3627C" w:rsidRDefault="007422BE" w:rsidP="006A6E13">
      <w:pPr>
        <w:spacing w:after="100" w:afterAutospacing="1"/>
        <w:jc w:val="both"/>
        <w:outlineLvl w:val="1"/>
        <w:rPr>
          <w:rFonts w:ascii="Times New Roman" w:hAnsi="Times New Roman"/>
          <w:b/>
          <w:bCs/>
          <w:sz w:val="24"/>
          <w:szCs w:val="24"/>
        </w:rPr>
      </w:pPr>
      <w:r>
        <w:rPr>
          <w:rFonts w:ascii="Times New Roman" w:hAnsi="Times New Roman"/>
          <w:b/>
          <w:bCs/>
          <w:sz w:val="24"/>
          <w:szCs w:val="24"/>
        </w:rPr>
        <w:t>3.1 Results</w:t>
      </w:r>
    </w:p>
    <w:p w14:paraId="54E52931" w14:textId="38F47BAD" w:rsidR="00980ACD" w:rsidRPr="00A3627C" w:rsidRDefault="00980ACD" w:rsidP="006A6E13">
      <w:pPr>
        <w:spacing w:after="100" w:afterAutospacing="1"/>
        <w:jc w:val="both"/>
        <w:rPr>
          <w:rFonts w:ascii="Times New Roman" w:hAnsi="Times New Roman"/>
          <w:sz w:val="24"/>
          <w:szCs w:val="24"/>
        </w:rPr>
      </w:pPr>
      <w:r w:rsidRPr="00A3627C">
        <w:rPr>
          <w:rFonts w:ascii="Times New Roman" w:hAnsi="Times New Roman"/>
          <w:sz w:val="24"/>
          <w:szCs w:val="24"/>
        </w:rPr>
        <w:lastRenderedPageBreak/>
        <w:t xml:space="preserve">The physicochemical characteristics of surface water in the </w:t>
      </w:r>
      <w:proofErr w:type="spellStart"/>
      <w:r w:rsidRPr="00A3627C">
        <w:rPr>
          <w:rFonts w:ascii="Times New Roman" w:hAnsi="Times New Roman"/>
          <w:sz w:val="24"/>
          <w:szCs w:val="24"/>
        </w:rPr>
        <w:t>Otuoke</w:t>
      </w:r>
      <w:proofErr w:type="spellEnd"/>
      <w:r w:rsidRPr="00A3627C">
        <w:rPr>
          <w:rFonts w:ascii="Times New Roman" w:hAnsi="Times New Roman"/>
          <w:sz w:val="24"/>
          <w:szCs w:val="24"/>
        </w:rPr>
        <w:t xml:space="preserve"> River exhibited notable spatial variation across the three sampling stations (upstream, midstream, and downstream) (Table </w:t>
      </w:r>
      <w:r w:rsidR="007422BE">
        <w:rPr>
          <w:rFonts w:ascii="Times New Roman" w:hAnsi="Times New Roman"/>
          <w:sz w:val="24"/>
          <w:szCs w:val="24"/>
        </w:rPr>
        <w:t>1</w:t>
      </w:r>
      <w:r w:rsidRPr="00A3627C">
        <w:rPr>
          <w:rFonts w:ascii="Times New Roman" w:hAnsi="Times New Roman"/>
          <w:sz w:val="24"/>
          <w:szCs w:val="24"/>
        </w:rPr>
        <w:t>). Temperature values increased gradually from 27.2 °C upstream to 29.1 °C downstream, reflecting the influence of direct solar radiation and reduced vegetative cover at lower reaches. The pH ranged from 6.45 to 6.89, indicating slightly acidic to near-neutral conditions that fall within the permissible range (6.5–8.5) recommended by WHO (2008) for aquatic life. Electrical conductivity (EC) values rose from 112.5 µS cm⁻¹ upstream to 194.3 µS cm⁻¹ downstream, signifying increased ionic strength and the accumulation of dissolved solids likely derived from fertiliser residues and eroded soil materials transported by surface runoff.</w:t>
      </w:r>
    </w:p>
    <w:p w14:paraId="766A306A" w14:textId="77777777" w:rsidR="00980ACD" w:rsidRPr="00A3627C" w:rsidRDefault="00980ACD" w:rsidP="006A6E13">
      <w:pPr>
        <w:spacing w:after="100" w:afterAutospacing="1"/>
        <w:jc w:val="both"/>
        <w:rPr>
          <w:rFonts w:ascii="Times New Roman" w:hAnsi="Times New Roman"/>
          <w:sz w:val="24"/>
          <w:szCs w:val="24"/>
        </w:rPr>
      </w:pPr>
      <w:r w:rsidRPr="00A3627C">
        <w:rPr>
          <w:rFonts w:ascii="Times New Roman" w:hAnsi="Times New Roman"/>
          <w:sz w:val="24"/>
          <w:szCs w:val="24"/>
        </w:rPr>
        <w:t>Dissolved oxygen (DO) concentration decreased markedly from 6.8 mg L⁻¹ upstream to 4.1 mg L⁻¹ downstream, whereas biological oxygen demand (BOD₅) increased from 2.8 to 5.4 mg L⁻¹. These inverse trends indicate that organic matter decomposition and microbial respiration intensified downstream, leading to moderate oxygen depletion. BOD₅ values approaching 6 mg L⁻¹ suggest moderate organic pollution associated with nutrient and organic waste inflows from adjacent farmlands and settlements.</w:t>
      </w:r>
    </w:p>
    <w:p w14:paraId="62D036C3" w14:textId="5EEC329D" w:rsidR="00980ACD" w:rsidRPr="00A3627C" w:rsidRDefault="00980ACD" w:rsidP="006A6E13">
      <w:pPr>
        <w:spacing w:after="100" w:afterAutospacing="1"/>
        <w:jc w:val="both"/>
        <w:rPr>
          <w:rFonts w:ascii="Times New Roman" w:hAnsi="Times New Roman"/>
          <w:sz w:val="24"/>
          <w:szCs w:val="24"/>
        </w:rPr>
      </w:pPr>
      <w:r w:rsidRPr="00A3627C">
        <w:rPr>
          <w:rFonts w:ascii="Times New Roman" w:hAnsi="Times New Roman"/>
          <w:b/>
          <w:bCs/>
          <w:sz w:val="24"/>
          <w:szCs w:val="24"/>
        </w:rPr>
        <w:t>Table 1</w:t>
      </w:r>
      <w:r w:rsidR="007422BE">
        <w:rPr>
          <w:rFonts w:ascii="Times New Roman" w:hAnsi="Times New Roman"/>
          <w:b/>
          <w:bCs/>
          <w:sz w:val="24"/>
          <w:szCs w:val="24"/>
        </w:rPr>
        <w:t>:</w:t>
      </w:r>
      <w:r w:rsidRPr="00A3627C">
        <w:rPr>
          <w:rFonts w:ascii="Times New Roman" w:hAnsi="Times New Roman"/>
          <w:b/>
          <w:bCs/>
          <w:sz w:val="24"/>
          <w:szCs w:val="24"/>
        </w:rPr>
        <w:t xml:space="preserve"> Physicochemical parameters of surface water in </w:t>
      </w:r>
      <w:proofErr w:type="spellStart"/>
      <w:r w:rsidRPr="00A3627C">
        <w:rPr>
          <w:rFonts w:ascii="Times New Roman" w:hAnsi="Times New Roman"/>
          <w:b/>
          <w:bCs/>
          <w:sz w:val="24"/>
          <w:szCs w:val="24"/>
        </w:rPr>
        <w:t>Otuoke</w:t>
      </w:r>
      <w:proofErr w:type="spellEnd"/>
      <w:r w:rsidRPr="00A3627C">
        <w:rPr>
          <w:rFonts w:ascii="Times New Roman" w:hAnsi="Times New Roman"/>
          <w:b/>
          <w:bCs/>
          <w:sz w:val="24"/>
          <w:szCs w:val="24"/>
        </w:rPr>
        <w:t xml:space="preserve"> River (mean ± SD)</w:t>
      </w:r>
    </w:p>
    <w:tbl>
      <w:tblPr>
        <w:tblW w:w="0" w:type="auto"/>
        <w:tblCellSpacing w:w="15" w:type="dxa"/>
        <w:tblInd w:w="63" w:type="dxa"/>
        <w:tblCellMar>
          <w:top w:w="15" w:type="dxa"/>
          <w:left w:w="15" w:type="dxa"/>
          <w:bottom w:w="15" w:type="dxa"/>
          <w:right w:w="15" w:type="dxa"/>
        </w:tblCellMar>
        <w:tblLook w:val="04A0" w:firstRow="1" w:lastRow="0" w:firstColumn="1" w:lastColumn="0" w:noHBand="0" w:noVBand="1"/>
      </w:tblPr>
      <w:tblGrid>
        <w:gridCol w:w="1777"/>
        <w:gridCol w:w="1562"/>
        <w:gridCol w:w="1418"/>
        <w:gridCol w:w="1701"/>
        <w:gridCol w:w="2268"/>
      </w:tblGrid>
      <w:tr w:rsidR="00980ACD" w:rsidRPr="00A3627C" w14:paraId="517D8838" w14:textId="77777777" w:rsidTr="006A6E13">
        <w:trPr>
          <w:tblCellSpacing w:w="15" w:type="dxa"/>
        </w:trPr>
        <w:tc>
          <w:tcPr>
            <w:tcW w:w="0" w:type="auto"/>
            <w:tcBorders>
              <w:top w:val="nil"/>
              <w:left w:val="nil"/>
              <w:bottom w:val="nil"/>
              <w:right w:val="nil"/>
            </w:tcBorders>
            <w:vAlign w:val="center"/>
            <w:hideMark/>
          </w:tcPr>
          <w:p w14:paraId="68D1B22D"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Parameter</w:t>
            </w:r>
          </w:p>
        </w:tc>
        <w:tc>
          <w:tcPr>
            <w:tcW w:w="1532" w:type="dxa"/>
            <w:tcBorders>
              <w:top w:val="nil"/>
              <w:left w:val="nil"/>
              <w:bottom w:val="nil"/>
              <w:right w:val="nil"/>
            </w:tcBorders>
            <w:vAlign w:val="center"/>
            <w:hideMark/>
          </w:tcPr>
          <w:p w14:paraId="4FAD524C"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Upstream</w:t>
            </w:r>
          </w:p>
        </w:tc>
        <w:tc>
          <w:tcPr>
            <w:tcW w:w="1388" w:type="dxa"/>
            <w:tcBorders>
              <w:top w:val="nil"/>
              <w:left w:val="nil"/>
              <w:bottom w:val="nil"/>
              <w:right w:val="nil"/>
            </w:tcBorders>
            <w:vAlign w:val="center"/>
            <w:hideMark/>
          </w:tcPr>
          <w:p w14:paraId="473B014E"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Midstream</w:t>
            </w:r>
          </w:p>
        </w:tc>
        <w:tc>
          <w:tcPr>
            <w:tcW w:w="1671" w:type="dxa"/>
            <w:tcBorders>
              <w:top w:val="nil"/>
              <w:left w:val="nil"/>
              <w:bottom w:val="nil"/>
              <w:right w:val="nil"/>
            </w:tcBorders>
            <w:vAlign w:val="center"/>
            <w:hideMark/>
          </w:tcPr>
          <w:p w14:paraId="3DADE30E"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Downstream</w:t>
            </w:r>
          </w:p>
        </w:tc>
        <w:tc>
          <w:tcPr>
            <w:tcW w:w="2223" w:type="dxa"/>
            <w:tcBorders>
              <w:top w:val="nil"/>
              <w:left w:val="nil"/>
              <w:bottom w:val="nil"/>
              <w:right w:val="nil"/>
            </w:tcBorders>
            <w:vAlign w:val="center"/>
            <w:hideMark/>
          </w:tcPr>
          <w:p w14:paraId="52EC6222"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WHO (2008) limit</w:t>
            </w:r>
          </w:p>
        </w:tc>
      </w:tr>
      <w:tr w:rsidR="00980ACD" w:rsidRPr="00A3627C" w14:paraId="0926C0DA" w14:textId="77777777" w:rsidTr="006A6E13">
        <w:trPr>
          <w:tblCellSpacing w:w="15" w:type="dxa"/>
        </w:trPr>
        <w:tc>
          <w:tcPr>
            <w:tcW w:w="0" w:type="auto"/>
            <w:tcBorders>
              <w:top w:val="nil"/>
              <w:left w:val="nil"/>
              <w:bottom w:val="nil"/>
              <w:right w:val="nil"/>
            </w:tcBorders>
            <w:vAlign w:val="center"/>
            <w:hideMark/>
          </w:tcPr>
          <w:p w14:paraId="57DFAC53"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Temperature (°C)</w:t>
            </w:r>
          </w:p>
        </w:tc>
        <w:tc>
          <w:tcPr>
            <w:tcW w:w="1532" w:type="dxa"/>
            <w:tcBorders>
              <w:top w:val="nil"/>
              <w:left w:val="nil"/>
              <w:bottom w:val="nil"/>
              <w:right w:val="nil"/>
            </w:tcBorders>
            <w:vAlign w:val="center"/>
            <w:hideMark/>
          </w:tcPr>
          <w:p w14:paraId="3AE2E024"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27.2 ± 0.4</w:t>
            </w:r>
          </w:p>
        </w:tc>
        <w:tc>
          <w:tcPr>
            <w:tcW w:w="1388" w:type="dxa"/>
            <w:tcBorders>
              <w:top w:val="nil"/>
              <w:left w:val="nil"/>
              <w:bottom w:val="nil"/>
              <w:right w:val="nil"/>
            </w:tcBorders>
            <w:vAlign w:val="center"/>
            <w:hideMark/>
          </w:tcPr>
          <w:p w14:paraId="2CBDA5D0"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28.4 ± 0.3</w:t>
            </w:r>
          </w:p>
        </w:tc>
        <w:tc>
          <w:tcPr>
            <w:tcW w:w="1671" w:type="dxa"/>
            <w:tcBorders>
              <w:top w:val="nil"/>
              <w:left w:val="nil"/>
              <w:bottom w:val="nil"/>
              <w:right w:val="nil"/>
            </w:tcBorders>
            <w:vAlign w:val="center"/>
            <w:hideMark/>
          </w:tcPr>
          <w:p w14:paraId="028EE326"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29.1 ± 0.2</w:t>
            </w:r>
          </w:p>
        </w:tc>
        <w:tc>
          <w:tcPr>
            <w:tcW w:w="2223" w:type="dxa"/>
            <w:tcBorders>
              <w:top w:val="nil"/>
              <w:left w:val="nil"/>
              <w:bottom w:val="nil"/>
              <w:right w:val="nil"/>
            </w:tcBorders>
            <w:vAlign w:val="center"/>
            <w:hideMark/>
          </w:tcPr>
          <w:p w14:paraId="3EACE054"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w:t>
            </w:r>
          </w:p>
        </w:tc>
      </w:tr>
      <w:tr w:rsidR="00980ACD" w:rsidRPr="00A3627C" w14:paraId="2A092D70" w14:textId="77777777" w:rsidTr="006A6E13">
        <w:trPr>
          <w:tblCellSpacing w:w="15" w:type="dxa"/>
        </w:trPr>
        <w:tc>
          <w:tcPr>
            <w:tcW w:w="0" w:type="auto"/>
            <w:tcBorders>
              <w:top w:val="nil"/>
              <w:left w:val="nil"/>
              <w:bottom w:val="nil"/>
              <w:right w:val="nil"/>
            </w:tcBorders>
            <w:vAlign w:val="center"/>
            <w:hideMark/>
          </w:tcPr>
          <w:p w14:paraId="2EC11681"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pH</w:t>
            </w:r>
          </w:p>
        </w:tc>
        <w:tc>
          <w:tcPr>
            <w:tcW w:w="1532" w:type="dxa"/>
            <w:tcBorders>
              <w:top w:val="nil"/>
              <w:left w:val="nil"/>
              <w:bottom w:val="nil"/>
              <w:right w:val="nil"/>
            </w:tcBorders>
            <w:vAlign w:val="center"/>
            <w:hideMark/>
          </w:tcPr>
          <w:p w14:paraId="40892C41"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6.45 ± 0.11</w:t>
            </w:r>
          </w:p>
        </w:tc>
        <w:tc>
          <w:tcPr>
            <w:tcW w:w="1388" w:type="dxa"/>
            <w:tcBorders>
              <w:top w:val="nil"/>
              <w:left w:val="nil"/>
              <w:bottom w:val="nil"/>
              <w:right w:val="nil"/>
            </w:tcBorders>
            <w:vAlign w:val="center"/>
            <w:hideMark/>
          </w:tcPr>
          <w:p w14:paraId="697387D6"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6.72 ± 0.08</w:t>
            </w:r>
          </w:p>
        </w:tc>
        <w:tc>
          <w:tcPr>
            <w:tcW w:w="1671" w:type="dxa"/>
            <w:tcBorders>
              <w:top w:val="nil"/>
              <w:left w:val="nil"/>
              <w:bottom w:val="nil"/>
              <w:right w:val="nil"/>
            </w:tcBorders>
            <w:vAlign w:val="center"/>
            <w:hideMark/>
          </w:tcPr>
          <w:p w14:paraId="102F0EDC"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6.89 ± 0.10</w:t>
            </w:r>
          </w:p>
        </w:tc>
        <w:tc>
          <w:tcPr>
            <w:tcW w:w="2223" w:type="dxa"/>
            <w:tcBorders>
              <w:top w:val="nil"/>
              <w:left w:val="nil"/>
              <w:bottom w:val="nil"/>
              <w:right w:val="nil"/>
            </w:tcBorders>
            <w:vAlign w:val="center"/>
            <w:hideMark/>
          </w:tcPr>
          <w:p w14:paraId="7859D9E5"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6.5–8.5</w:t>
            </w:r>
          </w:p>
        </w:tc>
      </w:tr>
      <w:tr w:rsidR="00980ACD" w:rsidRPr="00A3627C" w14:paraId="1E67A989" w14:textId="77777777" w:rsidTr="006A6E13">
        <w:trPr>
          <w:tblCellSpacing w:w="15" w:type="dxa"/>
        </w:trPr>
        <w:tc>
          <w:tcPr>
            <w:tcW w:w="0" w:type="auto"/>
            <w:tcBorders>
              <w:top w:val="nil"/>
              <w:left w:val="nil"/>
              <w:bottom w:val="nil"/>
              <w:right w:val="nil"/>
            </w:tcBorders>
            <w:vAlign w:val="center"/>
            <w:hideMark/>
          </w:tcPr>
          <w:p w14:paraId="3D20F648"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EC (µS cm⁻¹)</w:t>
            </w:r>
          </w:p>
        </w:tc>
        <w:tc>
          <w:tcPr>
            <w:tcW w:w="1532" w:type="dxa"/>
            <w:tcBorders>
              <w:top w:val="nil"/>
              <w:left w:val="nil"/>
              <w:bottom w:val="nil"/>
              <w:right w:val="nil"/>
            </w:tcBorders>
            <w:vAlign w:val="center"/>
            <w:hideMark/>
          </w:tcPr>
          <w:p w14:paraId="349504C5"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112.5 ± 5.6</w:t>
            </w:r>
          </w:p>
        </w:tc>
        <w:tc>
          <w:tcPr>
            <w:tcW w:w="1388" w:type="dxa"/>
            <w:tcBorders>
              <w:top w:val="nil"/>
              <w:left w:val="nil"/>
              <w:bottom w:val="nil"/>
              <w:right w:val="nil"/>
            </w:tcBorders>
            <w:vAlign w:val="center"/>
            <w:hideMark/>
          </w:tcPr>
          <w:p w14:paraId="53E4C086"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156.8 ± 8.2</w:t>
            </w:r>
          </w:p>
        </w:tc>
        <w:tc>
          <w:tcPr>
            <w:tcW w:w="1671" w:type="dxa"/>
            <w:tcBorders>
              <w:top w:val="nil"/>
              <w:left w:val="nil"/>
              <w:bottom w:val="nil"/>
              <w:right w:val="nil"/>
            </w:tcBorders>
            <w:vAlign w:val="center"/>
            <w:hideMark/>
          </w:tcPr>
          <w:p w14:paraId="09BAAF0C"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194.3 ± 9.1</w:t>
            </w:r>
          </w:p>
        </w:tc>
        <w:tc>
          <w:tcPr>
            <w:tcW w:w="2223" w:type="dxa"/>
            <w:tcBorders>
              <w:top w:val="nil"/>
              <w:left w:val="nil"/>
              <w:bottom w:val="nil"/>
              <w:right w:val="nil"/>
            </w:tcBorders>
            <w:vAlign w:val="center"/>
            <w:hideMark/>
          </w:tcPr>
          <w:p w14:paraId="59DA1515"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1000</w:t>
            </w:r>
          </w:p>
        </w:tc>
      </w:tr>
      <w:tr w:rsidR="00980ACD" w:rsidRPr="00A3627C" w14:paraId="017A06A8" w14:textId="77777777" w:rsidTr="006A6E13">
        <w:trPr>
          <w:tblCellSpacing w:w="15" w:type="dxa"/>
        </w:trPr>
        <w:tc>
          <w:tcPr>
            <w:tcW w:w="0" w:type="auto"/>
            <w:tcBorders>
              <w:top w:val="nil"/>
              <w:left w:val="nil"/>
              <w:bottom w:val="nil"/>
              <w:right w:val="nil"/>
            </w:tcBorders>
            <w:vAlign w:val="center"/>
            <w:hideMark/>
          </w:tcPr>
          <w:p w14:paraId="09DFBD9F"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DO (mg L⁻¹)</w:t>
            </w:r>
          </w:p>
        </w:tc>
        <w:tc>
          <w:tcPr>
            <w:tcW w:w="1532" w:type="dxa"/>
            <w:tcBorders>
              <w:top w:val="nil"/>
              <w:left w:val="nil"/>
              <w:bottom w:val="nil"/>
              <w:right w:val="nil"/>
            </w:tcBorders>
            <w:vAlign w:val="center"/>
            <w:hideMark/>
          </w:tcPr>
          <w:p w14:paraId="677A2FDC"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6.8 ± 0.3</w:t>
            </w:r>
          </w:p>
        </w:tc>
        <w:tc>
          <w:tcPr>
            <w:tcW w:w="1388" w:type="dxa"/>
            <w:tcBorders>
              <w:top w:val="nil"/>
              <w:left w:val="nil"/>
              <w:bottom w:val="nil"/>
              <w:right w:val="nil"/>
            </w:tcBorders>
            <w:vAlign w:val="center"/>
            <w:hideMark/>
          </w:tcPr>
          <w:p w14:paraId="558B067A"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5.2 ± 0.2</w:t>
            </w:r>
          </w:p>
        </w:tc>
        <w:tc>
          <w:tcPr>
            <w:tcW w:w="1671" w:type="dxa"/>
            <w:tcBorders>
              <w:top w:val="nil"/>
              <w:left w:val="nil"/>
              <w:bottom w:val="nil"/>
              <w:right w:val="nil"/>
            </w:tcBorders>
            <w:vAlign w:val="center"/>
            <w:hideMark/>
          </w:tcPr>
          <w:p w14:paraId="51846450"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4.1 ± 0.4</w:t>
            </w:r>
          </w:p>
        </w:tc>
        <w:tc>
          <w:tcPr>
            <w:tcW w:w="2223" w:type="dxa"/>
            <w:tcBorders>
              <w:top w:val="nil"/>
              <w:left w:val="nil"/>
              <w:bottom w:val="nil"/>
              <w:right w:val="nil"/>
            </w:tcBorders>
            <w:vAlign w:val="center"/>
            <w:hideMark/>
          </w:tcPr>
          <w:p w14:paraId="5F0943C7"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≥5</w:t>
            </w:r>
          </w:p>
        </w:tc>
      </w:tr>
      <w:tr w:rsidR="00980ACD" w:rsidRPr="00A3627C" w14:paraId="3D610CB8" w14:textId="77777777" w:rsidTr="006A6E13">
        <w:trPr>
          <w:tblCellSpacing w:w="15" w:type="dxa"/>
        </w:trPr>
        <w:tc>
          <w:tcPr>
            <w:tcW w:w="0" w:type="auto"/>
            <w:tcBorders>
              <w:top w:val="nil"/>
              <w:left w:val="nil"/>
              <w:bottom w:val="nil"/>
              <w:right w:val="nil"/>
            </w:tcBorders>
            <w:vAlign w:val="center"/>
            <w:hideMark/>
          </w:tcPr>
          <w:p w14:paraId="415E1AF2"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BOD₅ (mg L⁻¹)</w:t>
            </w:r>
          </w:p>
        </w:tc>
        <w:tc>
          <w:tcPr>
            <w:tcW w:w="1532" w:type="dxa"/>
            <w:tcBorders>
              <w:top w:val="nil"/>
              <w:left w:val="nil"/>
              <w:bottom w:val="nil"/>
              <w:right w:val="nil"/>
            </w:tcBorders>
            <w:vAlign w:val="center"/>
            <w:hideMark/>
          </w:tcPr>
          <w:p w14:paraId="523C8D6E"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2.8 ± 0.2</w:t>
            </w:r>
          </w:p>
        </w:tc>
        <w:tc>
          <w:tcPr>
            <w:tcW w:w="1388" w:type="dxa"/>
            <w:tcBorders>
              <w:top w:val="nil"/>
              <w:left w:val="nil"/>
              <w:bottom w:val="nil"/>
              <w:right w:val="nil"/>
            </w:tcBorders>
            <w:vAlign w:val="center"/>
            <w:hideMark/>
          </w:tcPr>
          <w:p w14:paraId="780AA041"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3.9 ± 0.3</w:t>
            </w:r>
          </w:p>
        </w:tc>
        <w:tc>
          <w:tcPr>
            <w:tcW w:w="1671" w:type="dxa"/>
            <w:tcBorders>
              <w:top w:val="nil"/>
              <w:left w:val="nil"/>
              <w:bottom w:val="nil"/>
              <w:right w:val="nil"/>
            </w:tcBorders>
            <w:vAlign w:val="center"/>
            <w:hideMark/>
          </w:tcPr>
          <w:p w14:paraId="4AB2E203"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5.4 ± 0.5</w:t>
            </w:r>
          </w:p>
        </w:tc>
        <w:tc>
          <w:tcPr>
            <w:tcW w:w="2223" w:type="dxa"/>
            <w:tcBorders>
              <w:top w:val="nil"/>
              <w:left w:val="nil"/>
              <w:bottom w:val="nil"/>
              <w:right w:val="nil"/>
            </w:tcBorders>
            <w:vAlign w:val="center"/>
            <w:hideMark/>
          </w:tcPr>
          <w:p w14:paraId="4B95656E"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6</w:t>
            </w:r>
          </w:p>
        </w:tc>
      </w:tr>
    </w:tbl>
    <w:p w14:paraId="4F31CDED" w14:textId="36E0218A" w:rsidR="00980ACD" w:rsidRPr="00A3627C" w:rsidRDefault="00980ACD" w:rsidP="006A6E13">
      <w:pPr>
        <w:spacing w:after="100" w:afterAutospacing="1"/>
        <w:jc w:val="both"/>
        <w:rPr>
          <w:rFonts w:ascii="Times New Roman" w:hAnsi="Times New Roman"/>
          <w:sz w:val="24"/>
          <w:szCs w:val="24"/>
        </w:rPr>
      </w:pPr>
      <w:r w:rsidRPr="00A3627C">
        <w:rPr>
          <w:rFonts w:ascii="Times New Roman" w:hAnsi="Times New Roman"/>
          <w:sz w:val="24"/>
          <w:szCs w:val="24"/>
        </w:rPr>
        <w:t>Nutrient concentrations increased progressively downstream (Table 2). Nitrate (NO₃⁻) concentrations ranged from 1.84 mg L⁻¹ upstream to 5.46 mg L⁻¹ downstream, while phosphate (PO₄³⁻) increased from 0.45 to 1.22 mg L⁻¹. Ammonium (NH₄⁺) levels varied between 0.31 and 0.68 mg L⁻¹, exceeding the recommended threshold of 0.5 mg L⁻¹ at the lower reach. Total nitrogen (TN) and total phosphorus (TP) similarly rose from 1.95 to 5.71 mg L⁻¹ and 0.51 to 1.18 mg L⁻¹, respectively. These increasing trends reflect nutrient enrichment through agricultural runoff, soil erosion, and possible domestic discharges. Although the measured nitrate and phosphate values were below WHO drinking-water limits, they exceeded ecological thresholds typically associated with eutrophic conditions (TP &gt; 0.1 mg L⁻¹, NO₃⁻ &gt; 1 mg L⁻¹).</w:t>
      </w:r>
    </w:p>
    <w:p w14:paraId="44B5EA31" w14:textId="72EC0964" w:rsidR="00980ACD" w:rsidRPr="00A3627C" w:rsidRDefault="00980ACD" w:rsidP="006A6E13">
      <w:pPr>
        <w:spacing w:after="100" w:afterAutospacing="1"/>
        <w:jc w:val="both"/>
        <w:rPr>
          <w:rFonts w:ascii="Times New Roman" w:hAnsi="Times New Roman"/>
          <w:sz w:val="24"/>
          <w:szCs w:val="24"/>
        </w:rPr>
      </w:pPr>
      <w:r w:rsidRPr="00A3627C">
        <w:rPr>
          <w:rFonts w:ascii="Times New Roman" w:hAnsi="Times New Roman"/>
          <w:b/>
          <w:bCs/>
          <w:sz w:val="24"/>
          <w:szCs w:val="24"/>
        </w:rPr>
        <w:t xml:space="preserve">Table </w:t>
      </w:r>
      <w:r w:rsidR="007422BE">
        <w:rPr>
          <w:rFonts w:ascii="Times New Roman" w:hAnsi="Times New Roman"/>
          <w:b/>
          <w:bCs/>
          <w:sz w:val="24"/>
          <w:szCs w:val="24"/>
        </w:rPr>
        <w:t>2:</w:t>
      </w:r>
      <w:r w:rsidRPr="00A3627C">
        <w:rPr>
          <w:rFonts w:ascii="Times New Roman" w:hAnsi="Times New Roman"/>
          <w:b/>
          <w:bCs/>
          <w:sz w:val="24"/>
          <w:szCs w:val="24"/>
        </w:rPr>
        <w:t xml:space="preserve"> Nutrient concentrations in surface water (mg L⁻¹)</w:t>
      </w:r>
    </w:p>
    <w:tbl>
      <w:tblPr>
        <w:tblW w:w="9718" w:type="dxa"/>
        <w:tblCellSpacing w:w="15" w:type="dxa"/>
        <w:tblInd w:w="63" w:type="dxa"/>
        <w:tblCellMar>
          <w:top w:w="15" w:type="dxa"/>
          <w:left w:w="15" w:type="dxa"/>
          <w:bottom w:w="15" w:type="dxa"/>
          <w:right w:w="15" w:type="dxa"/>
        </w:tblCellMar>
        <w:tblLook w:val="04A0" w:firstRow="1" w:lastRow="0" w:firstColumn="1" w:lastColumn="0" w:noHBand="0" w:noVBand="1"/>
      </w:tblPr>
      <w:tblGrid>
        <w:gridCol w:w="1955"/>
        <w:gridCol w:w="1526"/>
        <w:gridCol w:w="1559"/>
        <w:gridCol w:w="1560"/>
        <w:gridCol w:w="3118"/>
      </w:tblGrid>
      <w:tr w:rsidR="00980ACD" w:rsidRPr="00A3627C" w14:paraId="1ABCED62" w14:textId="77777777" w:rsidTr="006A6E13">
        <w:trPr>
          <w:tblCellSpacing w:w="15" w:type="dxa"/>
        </w:trPr>
        <w:tc>
          <w:tcPr>
            <w:tcW w:w="0" w:type="auto"/>
            <w:tcBorders>
              <w:top w:val="nil"/>
              <w:left w:val="nil"/>
              <w:bottom w:val="nil"/>
              <w:right w:val="nil"/>
            </w:tcBorders>
            <w:vAlign w:val="center"/>
            <w:hideMark/>
          </w:tcPr>
          <w:p w14:paraId="11E645A0"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Parameter</w:t>
            </w:r>
          </w:p>
        </w:tc>
        <w:tc>
          <w:tcPr>
            <w:tcW w:w="1496" w:type="dxa"/>
            <w:tcBorders>
              <w:top w:val="nil"/>
              <w:left w:val="nil"/>
              <w:bottom w:val="nil"/>
              <w:right w:val="nil"/>
            </w:tcBorders>
            <w:vAlign w:val="center"/>
            <w:hideMark/>
          </w:tcPr>
          <w:p w14:paraId="4A09CD36"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Upstream</w:t>
            </w:r>
          </w:p>
        </w:tc>
        <w:tc>
          <w:tcPr>
            <w:tcW w:w="1529" w:type="dxa"/>
            <w:tcBorders>
              <w:top w:val="nil"/>
              <w:left w:val="nil"/>
              <w:bottom w:val="nil"/>
              <w:right w:val="nil"/>
            </w:tcBorders>
            <w:vAlign w:val="center"/>
            <w:hideMark/>
          </w:tcPr>
          <w:p w14:paraId="75127265"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Midstream</w:t>
            </w:r>
          </w:p>
        </w:tc>
        <w:tc>
          <w:tcPr>
            <w:tcW w:w="1530" w:type="dxa"/>
            <w:tcBorders>
              <w:top w:val="nil"/>
              <w:left w:val="nil"/>
              <w:bottom w:val="nil"/>
              <w:right w:val="nil"/>
            </w:tcBorders>
            <w:vAlign w:val="center"/>
            <w:hideMark/>
          </w:tcPr>
          <w:p w14:paraId="5FBB8E77"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Downstream</w:t>
            </w:r>
          </w:p>
        </w:tc>
        <w:tc>
          <w:tcPr>
            <w:tcW w:w="3073" w:type="dxa"/>
            <w:tcBorders>
              <w:top w:val="nil"/>
              <w:left w:val="nil"/>
              <w:bottom w:val="nil"/>
              <w:right w:val="nil"/>
            </w:tcBorders>
            <w:vAlign w:val="center"/>
            <w:hideMark/>
          </w:tcPr>
          <w:p w14:paraId="39555C26"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Guideline limit</w:t>
            </w:r>
          </w:p>
        </w:tc>
      </w:tr>
      <w:tr w:rsidR="00980ACD" w:rsidRPr="00A3627C" w14:paraId="181B7233" w14:textId="77777777" w:rsidTr="006A6E13">
        <w:trPr>
          <w:tblCellSpacing w:w="15" w:type="dxa"/>
        </w:trPr>
        <w:tc>
          <w:tcPr>
            <w:tcW w:w="0" w:type="auto"/>
            <w:tcBorders>
              <w:top w:val="nil"/>
              <w:left w:val="nil"/>
              <w:bottom w:val="nil"/>
              <w:right w:val="nil"/>
            </w:tcBorders>
            <w:vAlign w:val="center"/>
            <w:hideMark/>
          </w:tcPr>
          <w:p w14:paraId="5CEB7854"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Nitrate (NO₃⁻)</w:t>
            </w:r>
          </w:p>
        </w:tc>
        <w:tc>
          <w:tcPr>
            <w:tcW w:w="1496" w:type="dxa"/>
            <w:tcBorders>
              <w:top w:val="nil"/>
              <w:left w:val="nil"/>
              <w:bottom w:val="nil"/>
              <w:right w:val="nil"/>
            </w:tcBorders>
            <w:vAlign w:val="center"/>
            <w:hideMark/>
          </w:tcPr>
          <w:p w14:paraId="50742367"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1.84 ± 0.20</w:t>
            </w:r>
          </w:p>
        </w:tc>
        <w:tc>
          <w:tcPr>
            <w:tcW w:w="1529" w:type="dxa"/>
            <w:tcBorders>
              <w:top w:val="nil"/>
              <w:left w:val="nil"/>
              <w:bottom w:val="nil"/>
              <w:right w:val="nil"/>
            </w:tcBorders>
            <w:vAlign w:val="center"/>
            <w:hideMark/>
          </w:tcPr>
          <w:p w14:paraId="127F0E0C"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3.21 ± 0.30</w:t>
            </w:r>
          </w:p>
        </w:tc>
        <w:tc>
          <w:tcPr>
            <w:tcW w:w="1530" w:type="dxa"/>
            <w:tcBorders>
              <w:top w:val="nil"/>
              <w:left w:val="nil"/>
              <w:bottom w:val="nil"/>
              <w:right w:val="nil"/>
            </w:tcBorders>
            <w:vAlign w:val="center"/>
            <w:hideMark/>
          </w:tcPr>
          <w:p w14:paraId="2F4A9DDB"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5.46 ± 0.40</w:t>
            </w:r>
          </w:p>
        </w:tc>
        <w:tc>
          <w:tcPr>
            <w:tcW w:w="3073" w:type="dxa"/>
            <w:tcBorders>
              <w:top w:val="nil"/>
              <w:left w:val="nil"/>
              <w:bottom w:val="nil"/>
              <w:right w:val="nil"/>
            </w:tcBorders>
            <w:vAlign w:val="center"/>
            <w:hideMark/>
          </w:tcPr>
          <w:p w14:paraId="5C969693"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50 (WHO, 2008)</w:t>
            </w:r>
          </w:p>
        </w:tc>
      </w:tr>
      <w:tr w:rsidR="00980ACD" w:rsidRPr="00A3627C" w14:paraId="51323CC8" w14:textId="77777777" w:rsidTr="006A6E13">
        <w:trPr>
          <w:tblCellSpacing w:w="15" w:type="dxa"/>
        </w:trPr>
        <w:tc>
          <w:tcPr>
            <w:tcW w:w="0" w:type="auto"/>
            <w:tcBorders>
              <w:top w:val="nil"/>
              <w:left w:val="nil"/>
              <w:bottom w:val="nil"/>
              <w:right w:val="nil"/>
            </w:tcBorders>
            <w:vAlign w:val="center"/>
            <w:hideMark/>
          </w:tcPr>
          <w:p w14:paraId="6FF8DE79"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Phosphate (PO₄³⁻)</w:t>
            </w:r>
          </w:p>
        </w:tc>
        <w:tc>
          <w:tcPr>
            <w:tcW w:w="1496" w:type="dxa"/>
            <w:tcBorders>
              <w:top w:val="nil"/>
              <w:left w:val="nil"/>
              <w:bottom w:val="nil"/>
              <w:right w:val="nil"/>
            </w:tcBorders>
            <w:vAlign w:val="center"/>
            <w:hideMark/>
          </w:tcPr>
          <w:p w14:paraId="397BC0E4"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0.45 ± 0.05</w:t>
            </w:r>
          </w:p>
        </w:tc>
        <w:tc>
          <w:tcPr>
            <w:tcW w:w="1529" w:type="dxa"/>
            <w:tcBorders>
              <w:top w:val="nil"/>
              <w:left w:val="nil"/>
              <w:bottom w:val="nil"/>
              <w:right w:val="nil"/>
            </w:tcBorders>
            <w:vAlign w:val="center"/>
            <w:hideMark/>
          </w:tcPr>
          <w:p w14:paraId="5BA3CB42"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0.79 ± 0.08</w:t>
            </w:r>
          </w:p>
        </w:tc>
        <w:tc>
          <w:tcPr>
            <w:tcW w:w="1530" w:type="dxa"/>
            <w:tcBorders>
              <w:top w:val="nil"/>
              <w:left w:val="nil"/>
              <w:bottom w:val="nil"/>
              <w:right w:val="nil"/>
            </w:tcBorders>
            <w:vAlign w:val="center"/>
            <w:hideMark/>
          </w:tcPr>
          <w:p w14:paraId="35B99A6A"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1.22 ± 0.10</w:t>
            </w:r>
          </w:p>
        </w:tc>
        <w:tc>
          <w:tcPr>
            <w:tcW w:w="3073" w:type="dxa"/>
            <w:tcBorders>
              <w:top w:val="nil"/>
              <w:left w:val="nil"/>
              <w:bottom w:val="nil"/>
              <w:right w:val="nil"/>
            </w:tcBorders>
            <w:vAlign w:val="center"/>
            <w:hideMark/>
          </w:tcPr>
          <w:p w14:paraId="2C659C84"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0.10 (USEPA, 2015 ecological)</w:t>
            </w:r>
          </w:p>
        </w:tc>
      </w:tr>
      <w:tr w:rsidR="00980ACD" w:rsidRPr="00A3627C" w14:paraId="724B77D7" w14:textId="77777777" w:rsidTr="006A6E13">
        <w:trPr>
          <w:tblCellSpacing w:w="15" w:type="dxa"/>
        </w:trPr>
        <w:tc>
          <w:tcPr>
            <w:tcW w:w="0" w:type="auto"/>
            <w:tcBorders>
              <w:top w:val="nil"/>
              <w:left w:val="nil"/>
              <w:bottom w:val="nil"/>
              <w:right w:val="nil"/>
            </w:tcBorders>
            <w:vAlign w:val="center"/>
            <w:hideMark/>
          </w:tcPr>
          <w:p w14:paraId="0F52B3C7"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Ammonium (NH₄⁺)</w:t>
            </w:r>
          </w:p>
        </w:tc>
        <w:tc>
          <w:tcPr>
            <w:tcW w:w="1496" w:type="dxa"/>
            <w:tcBorders>
              <w:top w:val="nil"/>
              <w:left w:val="nil"/>
              <w:bottom w:val="nil"/>
              <w:right w:val="nil"/>
            </w:tcBorders>
            <w:vAlign w:val="center"/>
            <w:hideMark/>
          </w:tcPr>
          <w:p w14:paraId="72C79B14"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0.31 ± 0.03</w:t>
            </w:r>
          </w:p>
        </w:tc>
        <w:tc>
          <w:tcPr>
            <w:tcW w:w="1529" w:type="dxa"/>
            <w:tcBorders>
              <w:top w:val="nil"/>
              <w:left w:val="nil"/>
              <w:bottom w:val="nil"/>
              <w:right w:val="nil"/>
            </w:tcBorders>
            <w:vAlign w:val="center"/>
            <w:hideMark/>
          </w:tcPr>
          <w:p w14:paraId="6E953A89"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0.47 ± 0.05</w:t>
            </w:r>
          </w:p>
        </w:tc>
        <w:tc>
          <w:tcPr>
            <w:tcW w:w="1530" w:type="dxa"/>
            <w:tcBorders>
              <w:top w:val="nil"/>
              <w:left w:val="nil"/>
              <w:bottom w:val="nil"/>
              <w:right w:val="nil"/>
            </w:tcBorders>
            <w:vAlign w:val="center"/>
            <w:hideMark/>
          </w:tcPr>
          <w:p w14:paraId="6DF385BD"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0.68 ± 0.06</w:t>
            </w:r>
          </w:p>
        </w:tc>
        <w:tc>
          <w:tcPr>
            <w:tcW w:w="3073" w:type="dxa"/>
            <w:tcBorders>
              <w:top w:val="nil"/>
              <w:left w:val="nil"/>
              <w:bottom w:val="nil"/>
              <w:right w:val="nil"/>
            </w:tcBorders>
            <w:vAlign w:val="center"/>
            <w:hideMark/>
          </w:tcPr>
          <w:p w14:paraId="325E9A1F"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0.50 (WHO, 2008)</w:t>
            </w:r>
          </w:p>
        </w:tc>
      </w:tr>
      <w:tr w:rsidR="00980ACD" w:rsidRPr="00A3627C" w14:paraId="3D709578" w14:textId="77777777" w:rsidTr="006A6E13">
        <w:trPr>
          <w:tblCellSpacing w:w="15" w:type="dxa"/>
        </w:trPr>
        <w:tc>
          <w:tcPr>
            <w:tcW w:w="0" w:type="auto"/>
            <w:tcBorders>
              <w:top w:val="nil"/>
              <w:left w:val="nil"/>
              <w:bottom w:val="nil"/>
              <w:right w:val="nil"/>
            </w:tcBorders>
            <w:vAlign w:val="center"/>
            <w:hideMark/>
          </w:tcPr>
          <w:p w14:paraId="5441787A"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Total N (TN)</w:t>
            </w:r>
          </w:p>
        </w:tc>
        <w:tc>
          <w:tcPr>
            <w:tcW w:w="1496" w:type="dxa"/>
            <w:tcBorders>
              <w:top w:val="nil"/>
              <w:left w:val="nil"/>
              <w:bottom w:val="nil"/>
              <w:right w:val="nil"/>
            </w:tcBorders>
            <w:vAlign w:val="center"/>
            <w:hideMark/>
          </w:tcPr>
          <w:p w14:paraId="6EB7C672"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1.95 ± 0.20</w:t>
            </w:r>
          </w:p>
        </w:tc>
        <w:tc>
          <w:tcPr>
            <w:tcW w:w="1529" w:type="dxa"/>
            <w:tcBorders>
              <w:top w:val="nil"/>
              <w:left w:val="nil"/>
              <w:bottom w:val="nil"/>
              <w:right w:val="nil"/>
            </w:tcBorders>
            <w:vAlign w:val="center"/>
            <w:hideMark/>
          </w:tcPr>
          <w:p w14:paraId="1B44F35C"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3.42 ± 0.30</w:t>
            </w:r>
          </w:p>
        </w:tc>
        <w:tc>
          <w:tcPr>
            <w:tcW w:w="1530" w:type="dxa"/>
            <w:tcBorders>
              <w:top w:val="nil"/>
              <w:left w:val="nil"/>
              <w:bottom w:val="nil"/>
              <w:right w:val="nil"/>
            </w:tcBorders>
            <w:vAlign w:val="center"/>
            <w:hideMark/>
          </w:tcPr>
          <w:p w14:paraId="3F38D249"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5.71 ± 0.40</w:t>
            </w:r>
          </w:p>
        </w:tc>
        <w:tc>
          <w:tcPr>
            <w:tcW w:w="3073" w:type="dxa"/>
            <w:tcBorders>
              <w:top w:val="nil"/>
              <w:left w:val="nil"/>
              <w:bottom w:val="nil"/>
              <w:right w:val="nil"/>
            </w:tcBorders>
            <w:vAlign w:val="center"/>
            <w:hideMark/>
          </w:tcPr>
          <w:p w14:paraId="01E80766"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w:t>
            </w:r>
          </w:p>
        </w:tc>
      </w:tr>
      <w:tr w:rsidR="00980ACD" w:rsidRPr="00A3627C" w14:paraId="438CA78A" w14:textId="77777777" w:rsidTr="006A6E13">
        <w:trPr>
          <w:tblCellSpacing w:w="15" w:type="dxa"/>
        </w:trPr>
        <w:tc>
          <w:tcPr>
            <w:tcW w:w="0" w:type="auto"/>
            <w:tcBorders>
              <w:top w:val="nil"/>
              <w:left w:val="nil"/>
              <w:bottom w:val="nil"/>
              <w:right w:val="nil"/>
            </w:tcBorders>
            <w:vAlign w:val="center"/>
            <w:hideMark/>
          </w:tcPr>
          <w:p w14:paraId="2322E607"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Total P (TP)</w:t>
            </w:r>
          </w:p>
        </w:tc>
        <w:tc>
          <w:tcPr>
            <w:tcW w:w="1496" w:type="dxa"/>
            <w:tcBorders>
              <w:top w:val="nil"/>
              <w:left w:val="nil"/>
              <w:bottom w:val="nil"/>
              <w:right w:val="nil"/>
            </w:tcBorders>
            <w:vAlign w:val="center"/>
            <w:hideMark/>
          </w:tcPr>
          <w:p w14:paraId="0CDF6553"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0.51 ± 0.06</w:t>
            </w:r>
          </w:p>
        </w:tc>
        <w:tc>
          <w:tcPr>
            <w:tcW w:w="1529" w:type="dxa"/>
            <w:tcBorders>
              <w:top w:val="nil"/>
              <w:left w:val="nil"/>
              <w:bottom w:val="nil"/>
              <w:right w:val="nil"/>
            </w:tcBorders>
            <w:vAlign w:val="center"/>
            <w:hideMark/>
          </w:tcPr>
          <w:p w14:paraId="713EDF44"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0.84 ± 0.07</w:t>
            </w:r>
          </w:p>
        </w:tc>
        <w:tc>
          <w:tcPr>
            <w:tcW w:w="1530" w:type="dxa"/>
            <w:tcBorders>
              <w:top w:val="nil"/>
              <w:left w:val="nil"/>
              <w:bottom w:val="nil"/>
              <w:right w:val="nil"/>
            </w:tcBorders>
            <w:vAlign w:val="center"/>
            <w:hideMark/>
          </w:tcPr>
          <w:p w14:paraId="140823CD"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1.18 ± 0.09</w:t>
            </w:r>
          </w:p>
        </w:tc>
        <w:tc>
          <w:tcPr>
            <w:tcW w:w="3073" w:type="dxa"/>
            <w:tcBorders>
              <w:top w:val="nil"/>
              <w:left w:val="nil"/>
              <w:bottom w:val="nil"/>
              <w:right w:val="nil"/>
            </w:tcBorders>
            <w:vAlign w:val="center"/>
            <w:hideMark/>
          </w:tcPr>
          <w:p w14:paraId="175218C3"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w:t>
            </w:r>
          </w:p>
        </w:tc>
      </w:tr>
    </w:tbl>
    <w:p w14:paraId="0604238A" w14:textId="1CA762CE" w:rsidR="00980ACD" w:rsidRPr="00A3627C" w:rsidRDefault="00980ACD" w:rsidP="006A6E13">
      <w:pPr>
        <w:spacing w:after="100" w:afterAutospacing="1"/>
        <w:jc w:val="both"/>
        <w:rPr>
          <w:rFonts w:ascii="Times New Roman" w:hAnsi="Times New Roman"/>
          <w:sz w:val="24"/>
          <w:szCs w:val="24"/>
        </w:rPr>
      </w:pPr>
      <w:r w:rsidRPr="00A3627C">
        <w:rPr>
          <w:rFonts w:ascii="Times New Roman" w:hAnsi="Times New Roman"/>
          <w:sz w:val="24"/>
          <w:szCs w:val="24"/>
        </w:rPr>
        <w:lastRenderedPageBreak/>
        <w:t>Algal productivity indicators corroborated the nutrient data (Table 3). Chlorophyll-a, an index of phytoplankton biomass, increased sharply from 8.4 µg L⁻¹ upstream to 23.5 µg L⁻¹ downstream, exceeding the oligotrophic benchmark of ≤10 µg L⁻¹ (USEPA, 2015). Secchi depth declined from 1.8 m to 0.7 m, indicating reduced transparency and higher turbidity from phytoplankton proliferation. Calculated Carlson’s Trophic State Index (TSI) values ranged from 45.2 (mesotrophic) to 67.5 (eutrophic), confirming a downstream shift toward eutrophic status driven by nutrient enrichment and organic loading.</w:t>
      </w:r>
    </w:p>
    <w:p w14:paraId="67D426C5" w14:textId="3368BF3E" w:rsidR="00980ACD" w:rsidRPr="00A3627C" w:rsidRDefault="00980ACD" w:rsidP="006A6E13">
      <w:pPr>
        <w:spacing w:after="100" w:afterAutospacing="1"/>
        <w:jc w:val="both"/>
        <w:rPr>
          <w:rFonts w:ascii="Times New Roman" w:hAnsi="Times New Roman"/>
          <w:sz w:val="24"/>
          <w:szCs w:val="24"/>
        </w:rPr>
      </w:pPr>
      <w:r w:rsidRPr="00A3627C">
        <w:rPr>
          <w:rFonts w:ascii="Times New Roman" w:hAnsi="Times New Roman"/>
          <w:b/>
          <w:bCs/>
          <w:sz w:val="24"/>
          <w:szCs w:val="24"/>
        </w:rPr>
        <w:t>Table 3</w:t>
      </w:r>
      <w:r w:rsidR="007422BE">
        <w:rPr>
          <w:rFonts w:ascii="Times New Roman" w:hAnsi="Times New Roman"/>
          <w:b/>
          <w:bCs/>
          <w:sz w:val="24"/>
          <w:szCs w:val="24"/>
        </w:rPr>
        <w:t>:</w:t>
      </w:r>
      <w:r w:rsidRPr="00A3627C">
        <w:rPr>
          <w:rFonts w:ascii="Times New Roman" w:hAnsi="Times New Roman"/>
          <w:b/>
          <w:bCs/>
          <w:sz w:val="24"/>
          <w:szCs w:val="24"/>
        </w:rPr>
        <w:t xml:space="preserve"> Algal productivity indicators</w:t>
      </w:r>
    </w:p>
    <w:tbl>
      <w:tblPr>
        <w:tblW w:w="0" w:type="auto"/>
        <w:tblCellSpacing w:w="15" w:type="dxa"/>
        <w:tblInd w:w="63" w:type="dxa"/>
        <w:tblCellMar>
          <w:top w:w="15" w:type="dxa"/>
          <w:left w:w="15" w:type="dxa"/>
          <w:bottom w:w="15" w:type="dxa"/>
          <w:right w:w="15" w:type="dxa"/>
        </w:tblCellMar>
        <w:tblLook w:val="04A0" w:firstRow="1" w:lastRow="0" w:firstColumn="1" w:lastColumn="0" w:noHBand="0" w:noVBand="1"/>
      </w:tblPr>
      <w:tblGrid>
        <w:gridCol w:w="2260"/>
        <w:gridCol w:w="1074"/>
        <w:gridCol w:w="1193"/>
        <w:gridCol w:w="1367"/>
        <w:gridCol w:w="2582"/>
      </w:tblGrid>
      <w:tr w:rsidR="00980ACD" w:rsidRPr="00A3627C" w14:paraId="1AE60CAD" w14:textId="77777777" w:rsidTr="00980ACD">
        <w:trPr>
          <w:tblCellSpacing w:w="15" w:type="dxa"/>
        </w:trPr>
        <w:tc>
          <w:tcPr>
            <w:tcW w:w="0" w:type="auto"/>
            <w:tcBorders>
              <w:top w:val="nil"/>
              <w:left w:val="nil"/>
              <w:bottom w:val="nil"/>
              <w:right w:val="nil"/>
            </w:tcBorders>
            <w:vAlign w:val="center"/>
            <w:hideMark/>
          </w:tcPr>
          <w:p w14:paraId="50E031E7"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Parameter</w:t>
            </w:r>
          </w:p>
        </w:tc>
        <w:tc>
          <w:tcPr>
            <w:tcW w:w="0" w:type="auto"/>
            <w:tcBorders>
              <w:top w:val="nil"/>
              <w:left w:val="nil"/>
              <w:bottom w:val="nil"/>
              <w:right w:val="nil"/>
            </w:tcBorders>
            <w:vAlign w:val="center"/>
            <w:hideMark/>
          </w:tcPr>
          <w:p w14:paraId="43E738B2"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Upstream</w:t>
            </w:r>
          </w:p>
        </w:tc>
        <w:tc>
          <w:tcPr>
            <w:tcW w:w="0" w:type="auto"/>
            <w:tcBorders>
              <w:top w:val="nil"/>
              <w:left w:val="nil"/>
              <w:bottom w:val="nil"/>
              <w:right w:val="nil"/>
            </w:tcBorders>
            <w:vAlign w:val="center"/>
            <w:hideMark/>
          </w:tcPr>
          <w:p w14:paraId="1876CCF9"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Midstream</w:t>
            </w:r>
          </w:p>
        </w:tc>
        <w:tc>
          <w:tcPr>
            <w:tcW w:w="0" w:type="auto"/>
            <w:tcBorders>
              <w:top w:val="nil"/>
              <w:left w:val="nil"/>
              <w:bottom w:val="nil"/>
              <w:right w:val="nil"/>
            </w:tcBorders>
            <w:vAlign w:val="center"/>
            <w:hideMark/>
          </w:tcPr>
          <w:p w14:paraId="20A22ACD"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Downstream</w:t>
            </w:r>
          </w:p>
        </w:tc>
        <w:tc>
          <w:tcPr>
            <w:tcW w:w="0" w:type="auto"/>
            <w:tcBorders>
              <w:top w:val="nil"/>
              <w:left w:val="nil"/>
              <w:bottom w:val="nil"/>
              <w:right w:val="nil"/>
            </w:tcBorders>
            <w:vAlign w:val="center"/>
            <w:hideMark/>
          </w:tcPr>
          <w:p w14:paraId="0850B2BF"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Standard (USEPA 2015)</w:t>
            </w:r>
          </w:p>
        </w:tc>
      </w:tr>
      <w:tr w:rsidR="00980ACD" w:rsidRPr="00A3627C" w14:paraId="16A7AA6C" w14:textId="77777777" w:rsidTr="00980ACD">
        <w:trPr>
          <w:tblCellSpacing w:w="15" w:type="dxa"/>
        </w:trPr>
        <w:tc>
          <w:tcPr>
            <w:tcW w:w="0" w:type="auto"/>
            <w:tcBorders>
              <w:top w:val="nil"/>
              <w:left w:val="nil"/>
              <w:bottom w:val="nil"/>
              <w:right w:val="nil"/>
            </w:tcBorders>
            <w:vAlign w:val="center"/>
            <w:hideMark/>
          </w:tcPr>
          <w:p w14:paraId="068100AC"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Chlorophyll-a (µg L⁻¹)</w:t>
            </w:r>
          </w:p>
        </w:tc>
        <w:tc>
          <w:tcPr>
            <w:tcW w:w="0" w:type="auto"/>
            <w:tcBorders>
              <w:top w:val="nil"/>
              <w:left w:val="nil"/>
              <w:bottom w:val="nil"/>
              <w:right w:val="nil"/>
            </w:tcBorders>
            <w:vAlign w:val="center"/>
            <w:hideMark/>
          </w:tcPr>
          <w:p w14:paraId="1E038653"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8.4 ± 0.6</w:t>
            </w:r>
          </w:p>
        </w:tc>
        <w:tc>
          <w:tcPr>
            <w:tcW w:w="0" w:type="auto"/>
            <w:tcBorders>
              <w:top w:val="nil"/>
              <w:left w:val="nil"/>
              <w:bottom w:val="nil"/>
              <w:right w:val="nil"/>
            </w:tcBorders>
            <w:vAlign w:val="center"/>
            <w:hideMark/>
          </w:tcPr>
          <w:p w14:paraId="0844EEB4"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14.9 ± 1.2</w:t>
            </w:r>
          </w:p>
        </w:tc>
        <w:tc>
          <w:tcPr>
            <w:tcW w:w="0" w:type="auto"/>
            <w:tcBorders>
              <w:top w:val="nil"/>
              <w:left w:val="nil"/>
              <w:bottom w:val="nil"/>
              <w:right w:val="nil"/>
            </w:tcBorders>
            <w:vAlign w:val="center"/>
            <w:hideMark/>
          </w:tcPr>
          <w:p w14:paraId="57862CFB"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23.5 ± 1.8</w:t>
            </w:r>
          </w:p>
        </w:tc>
        <w:tc>
          <w:tcPr>
            <w:tcW w:w="0" w:type="auto"/>
            <w:tcBorders>
              <w:top w:val="nil"/>
              <w:left w:val="nil"/>
              <w:bottom w:val="nil"/>
              <w:right w:val="nil"/>
            </w:tcBorders>
            <w:vAlign w:val="center"/>
            <w:hideMark/>
          </w:tcPr>
          <w:p w14:paraId="51787EDC"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≤10 (oligotrophic)</w:t>
            </w:r>
          </w:p>
        </w:tc>
      </w:tr>
      <w:tr w:rsidR="00980ACD" w:rsidRPr="00A3627C" w14:paraId="00FD30C1" w14:textId="77777777" w:rsidTr="00980ACD">
        <w:trPr>
          <w:tblCellSpacing w:w="15" w:type="dxa"/>
        </w:trPr>
        <w:tc>
          <w:tcPr>
            <w:tcW w:w="0" w:type="auto"/>
            <w:tcBorders>
              <w:top w:val="nil"/>
              <w:left w:val="nil"/>
              <w:bottom w:val="nil"/>
              <w:right w:val="nil"/>
            </w:tcBorders>
            <w:vAlign w:val="center"/>
            <w:hideMark/>
          </w:tcPr>
          <w:p w14:paraId="3941A54F"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Secchi depth (m)</w:t>
            </w:r>
          </w:p>
        </w:tc>
        <w:tc>
          <w:tcPr>
            <w:tcW w:w="0" w:type="auto"/>
            <w:tcBorders>
              <w:top w:val="nil"/>
              <w:left w:val="nil"/>
              <w:bottom w:val="nil"/>
              <w:right w:val="nil"/>
            </w:tcBorders>
            <w:vAlign w:val="center"/>
            <w:hideMark/>
          </w:tcPr>
          <w:p w14:paraId="266FAAC2"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1.8 ± 0.1</w:t>
            </w:r>
          </w:p>
        </w:tc>
        <w:tc>
          <w:tcPr>
            <w:tcW w:w="0" w:type="auto"/>
            <w:tcBorders>
              <w:top w:val="nil"/>
              <w:left w:val="nil"/>
              <w:bottom w:val="nil"/>
              <w:right w:val="nil"/>
            </w:tcBorders>
            <w:vAlign w:val="center"/>
            <w:hideMark/>
          </w:tcPr>
          <w:p w14:paraId="24F68CE6"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1.2 ± 0.1</w:t>
            </w:r>
          </w:p>
        </w:tc>
        <w:tc>
          <w:tcPr>
            <w:tcW w:w="0" w:type="auto"/>
            <w:tcBorders>
              <w:top w:val="nil"/>
              <w:left w:val="nil"/>
              <w:bottom w:val="nil"/>
              <w:right w:val="nil"/>
            </w:tcBorders>
            <w:vAlign w:val="center"/>
            <w:hideMark/>
          </w:tcPr>
          <w:p w14:paraId="218824C7"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0.7 ± 0.1</w:t>
            </w:r>
          </w:p>
        </w:tc>
        <w:tc>
          <w:tcPr>
            <w:tcW w:w="0" w:type="auto"/>
            <w:tcBorders>
              <w:top w:val="nil"/>
              <w:left w:val="nil"/>
              <w:bottom w:val="nil"/>
              <w:right w:val="nil"/>
            </w:tcBorders>
            <w:vAlign w:val="center"/>
            <w:hideMark/>
          </w:tcPr>
          <w:p w14:paraId="7EF7BC3B"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≥1.0</w:t>
            </w:r>
          </w:p>
        </w:tc>
      </w:tr>
      <w:tr w:rsidR="00980ACD" w:rsidRPr="00A3627C" w14:paraId="476B7B32" w14:textId="77777777" w:rsidTr="00980ACD">
        <w:trPr>
          <w:tblCellSpacing w:w="15" w:type="dxa"/>
        </w:trPr>
        <w:tc>
          <w:tcPr>
            <w:tcW w:w="0" w:type="auto"/>
            <w:tcBorders>
              <w:top w:val="nil"/>
              <w:left w:val="nil"/>
              <w:bottom w:val="nil"/>
              <w:right w:val="nil"/>
            </w:tcBorders>
            <w:vAlign w:val="center"/>
            <w:hideMark/>
          </w:tcPr>
          <w:p w14:paraId="0C43FF68"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TSI</w:t>
            </w:r>
          </w:p>
        </w:tc>
        <w:tc>
          <w:tcPr>
            <w:tcW w:w="0" w:type="auto"/>
            <w:tcBorders>
              <w:top w:val="nil"/>
              <w:left w:val="nil"/>
              <w:bottom w:val="nil"/>
              <w:right w:val="nil"/>
            </w:tcBorders>
            <w:vAlign w:val="center"/>
            <w:hideMark/>
          </w:tcPr>
          <w:p w14:paraId="27AA0177"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45.2</w:t>
            </w:r>
          </w:p>
        </w:tc>
        <w:tc>
          <w:tcPr>
            <w:tcW w:w="0" w:type="auto"/>
            <w:tcBorders>
              <w:top w:val="nil"/>
              <w:left w:val="nil"/>
              <w:bottom w:val="nil"/>
              <w:right w:val="nil"/>
            </w:tcBorders>
            <w:vAlign w:val="center"/>
            <w:hideMark/>
          </w:tcPr>
          <w:p w14:paraId="4006F88D"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56.8</w:t>
            </w:r>
          </w:p>
        </w:tc>
        <w:tc>
          <w:tcPr>
            <w:tcW w:w="0" w:type="auto"/>
            <w:tcBorders>
              <w:top w:val="nil"/>
              <w:left w:val="nil"/>
              <w:bottom w:val="nil"/>
              <w:right w:val="nil"/>
            </w:tcBorders>
            <w:vAlign w:val="center"/>
            <w:hideMark/>
          </w:tcPr>
          <w:p w14:paraId="667A11E6"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67.5</w:t>
            </w:r>
          </w:p>
        </w:tc>
        <w:tc>
          <w:tcPr>
            <w:tcW w:w="0" w:type="auto"/>
            <w:tcBorders>
              <w:top w:val="nil"/>
              <w:left w:val="nil"/>
              <w:bottom w:val="nil"/>
              <w:right w:val="nil"/>
            </w:tcBorders>
            <w:vAlign w:val="center"/>
            <w:hideMark/>
          </w:tcPr>
          <w:p w14:paraId="740D9073"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&lt;50 (mesotrophic)</w:t>
            </w:r>
          </w:p>
        </w:tc>
      </w:tr>
    </w:tbl>
    <w:p w14:paraId="01620AE7" w14:textId="240D4EB2" w:rsidR="00980ACD" w:rsidRPr="00A3627C" w:rsidRDefault="00980ACD" w:rsidP="006A6E13">
      <w:pPr>
        <w:spacing w:after="100" w:afterAutospacing="1"/>
        <w:jc w:val="both"/>
        <w:rPr>
          <w:rFonts w:ascii="Times New Roman" w:hAnsi="Times New Roman"/>
          <w:sz w:val="24"/>
          <w:szCs w:val="24"/>
        </w:rPr>
      </w:pPr>
      <w:r w:rsidRPr="00A3627C">
        <w:rPr>
          <w:rFonts w:ascii="Times New Roman" w:hAnsi="Times New Roman"/>
          <w:sz w:val="24"/>
          <w:szCs w:val="24"/>
        </w:rPr>
        <w:t xml:space="preserve">Correlation analysis (Table </w:t>
      </w:r>
      <w:r w:rsidR="007422BE">
        <w:rPr>
          <w:rFonts w:ascii="Times New Roman" w:hAnsi="Times New Roman"/>
          <w:sz w:val="24"/>
          <w:szCs w:val="24"/>
        </w:rPr>
        <w:t>3</w:t>
      </w:r>
      <w:r w:rsidRPr="00A3627C">
        <w:rPr>
          <w:rFonts w:ascii="Times New Roman" w:hAnsi="Times New Roman"/>
          <w:sz w:val="24"/>
          <w:szCs w:val="24"/>
        </w:rPr>
        <w:t>) revealed strong positive relationships between nutrients and biological indicators. Nitrate (r = 0.91) and phosphate (r = 0.88) were highly correlated with chlorophyll-a, demonstrating that increased nutrient availability directly enhanced algal biomass. BOD₅ also showed positive correlations with nitrate (r = 0.83) and chlorophyll-a (r = 0.84), while DO exhibited a significant negative correlation with both parameters (r = –0.88 to –0.92), indicating oxygen depletion linked to high biological activity.</w:t>
      </w:r>
    </w:p>
    <w:p w14:paraId="2948FC50" w14:textId="104AF320" w:rsidR="00980ACD" w:rsidRPr="00A3627C" w:rsidRDefault="00980ACD" w:rsidP="006A6E13">
      <w:pPr>
        <w:spacing w:after="100" w:afterAutospacing="1"/>
        <w:jc w:val="both"/>
        <w:rPr>
          <w:rFonts w:ascii="Times New Roman" w:hAnsi="Times New Roman"/>
          <w:sz w:val="24"/>
          <w:szCs w:val="24"/>
        </w:rPr>
      </w:pPr>
      <w:r w:rsidRPr="00A3627C">
        <w:rPr>
          <w:rFonts w:ascii="Times New Roman" w:hAnsi="Times New Roman"/>
          <w:b/>
          <w:bCs/>
          <w:sz w:val="24"/>
          <w:szCs w:val="24"/>
        </w:rPr>
        <w:t>Table 4</w:t>
      </w:r>
      <w:r w:rsidR="007422BE">
        <w:rPr>
          <w:rFonts w:ascii="Times New Roman" w:hAnsi="Times New Roman"/>
          <w:b/>
          <w:bCs/>
          <w:sz w:val="24"/>
          <w:szCs w:val="24"/>
        </w:rPr>
        <w:t>:</w:t>
      </w:r>
      <w:r w:rsidRPr="00A3627C">
        <w:rPr>
          <w:rFonts w:ascii="Times New Roman" w:hAnsi="Times New Roman"/>
          <w:b/>
          <w:bCs/>
          <w:sz w:val="24"/>
          <w:szCs w:val="24"/>
        </w:rPr>
        <w:t xml:space="preserve"> Correlation matrix of selected water-quality parameters</w:t>
      </w:r>
    </w:p>
    <w:tbl>
      <w:tblPr>
        <w:tblW w:w="0" w:type="auto"/>
        <w:tblCellSpacing w:w="15" w:type="dxa"/>
        <w:tblInd w:w="63" w:type="dxa"/>
        <w:tblCellMar>
          <w:top w:w="15" w:type="dxa"/>
          <w:left w:w="15" w:type="dxa"/>
          <w:bottom w:w="15" w:type="dxa"/>
          <w:right w:w="15" w:type="dxa"/>
        </w:tblCellMar>
        <w:tblLook w:val="04A0" w:firstRow="1" w:lastRow="0" w:firstColumn="1" w:lastColumn="0" w:noHBand="0" w:noVBand="1"/>
      </w:tblPr>
      <w:tblGrid>
        <w:gridCol w:w="2347"/>
        <w:gridCol w:w="1843"/>
        <w:gridCol w:w="2126"/>
      </w:tblGrid>
      <w:tr w:rsidR="00980ACD" w:rsidRPr="00A3627C" w14:paraId="79EEB24A" w14:textId="77777777" w:rsidTr="006A6E13">
        <w:trPr>
          <w:tblCellSpacing w:w="15" w:type="dxa"/>
        </w:trPr>
        <w:tc>
          <w:tcPr>
            <w:tcW w:w="2302" w:type="dxa"/>
            <w:tcBorders>
              <w:top w:val="nil"/>
              <w:left w:val="nil"/>
              <w:bottom w:val="nil"/>
              <w:right w:val="nil"/>
            </w:tcBorders>
            <w:vAlign w:val="center"/>
            <w:hideMark/>
          </w:tcPr>
          <w:p w14:paraId="70044BF9"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Parameter pairs</w:t>
            </w:r>
          </w:p>
        </w:tc>
        <w:tc>
          <w:tcPr>
            <w:tcW w:w="1813" w:type="dxa"/>
            <w:tcBorders>
              <w:top w:val="nil"/>
              <w:left w:val="nil"/>
              <w:bottom w:val="nil"/>
              <w:right w:val="nil"/>
            </w:tcBorders>
            <w:vAlign w:val="center"/>
            <w:hideMark/>
          </w:tcPr>
          <w:p w14:paraId="6FE37CAA"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r - value</w:t>
            </w:r>
          </w:p>
        </w:tc>
        <w:tc>
          <w:tcPr>
            <w:tcW w:w="2081" w:type="dxa"/>
            <w:tcBorders>
              <w:top w:val="nil"/>
              <w:left w:val="nil"/>
              <w:bottom w:val="nil"/>
              <w:right w:val="nil"/>
            </w:tcBorders>
            <w:vAlign w:val="center"/>
            <w:hideMark/>
          </w:tcPr>
          <w:p w14:paraId="053268E4" w14:textId="77777777" w:rsidR="00980ACD" w:rsidRPr="00A3627C" w:rsidRDefault="00980ACD" w:rsidP="006A6E13">
            <w:pPr>
              <w:spacing w:after="0"/>
              <w:jc w:val="both"/>
              <w:rPr>
                <w:rFonts w:ascii="Times New Roman" w:hAnsi="Times New Roman"/>
                <w:b/>
                <w:bCs/>
                <w:sz w:val="24"/>
                <w:szCs w:val="24"/>
              </w:rPr>
            </w:pPr>
            <w:r w:rsidRPr="00A3627C">
              <w:rPr>
                <w:rFonts w:ascii="Times New Roman" w:hAnsi="Times New Roman"/>
                <w:b/>
                <w:bCs/>
                <w:sz w:val="24"/>
                <w:szCs w:val="24"/>
              </w:rPr>
              <w:t>Relationship</w:t>
            </w:r>
          </w:p>
        </w:tc>
      </w:tr>
      <w:tr w:rsidR="00980ACD" w:rsidRPr="00A3627C" w14:paraId="72E6E532" w14:textId="77777777" w:rsidTr="006A6E13">
        <w:trPr>
          <w:tblCellSpacing w:w="15" w:type="dxa"/>
        </w:trPr>
        <w:tc>
          <w:tcPr>
            <w:tcW w:w="2302" w:type="dxa"/>
            <w:tcBorders>
              <w:top w:val="nil"/>
              <w:left w:val="nil"/>
              <w:bottom w:val="nil"/>
              <w:right w:val="nil"/>
            </w:tcBorders>
            <w:vAlign w:val="center"/>
            <w:hideMark/>
          </w:tcPr>
          <w:p w14:paraId="553ABB51"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NO₃⁻ – PO₄³⁻</w:t>
            </w:r>
          </w:p>
        </w:tc>
        <w:tc>
          <w:tcPr>
            <w:tcW w:w="1813" w:type="dxa"/>
            <w:tcBorders>
              <w:top w:val="nil"/>
              <w:left w:val="nil"/>
              <w:bottom w:val="nil"/>
              <w:right w:val="nil"/>
            </w:tcBorders>
            <w:vAlign w:val="center"/>
            <w:hideMark/>
          </w:tcPr>
          <w:p w14:paraId="4930E4C6"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0.89</w:t>
            </w:r>
          </w:p>
        </w:tc>
        <w:tc>
          <w:tcPr>
            <w:tcW w:w="2081" w:type="dxa"/>
            <w:tcBorders>
              <w:top w:val="nil"/>
              <w:left w:val="nil"/>
              <w:bottom w:val="nil"/>
              <w:right w:val="nil"/>
            </w:tcBorders>
            <w:vAlign w:val="center"/>
            <w:hideMark/>
          </w:tcPr>
          <w:p w14:paraId="73C54B4E"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Strong positive</w:t>
            </w:r>
          </w:p>
        </w:tc>
      </w:tr>
      <w:tr w:rsidR="00980ACD" w:rsidRPr="00A3627C" w14:paraId="5E5D0588" w14:textId="77777777" w:rsidTr="006A6E13">
        <w:trPr>
          <w:tblCellSpacing w:w="15" w:type="dxa"/>
        </w:trPr>
        <w:tc>
          <w:tcPr>
            <w:tcW w:w="2302" w:type="dxa"/>
            <w:tcBorders>
              <w:top w:val="nil"/>
              <w:left w:val="nil"/>
              <w:bottom w:val="nil"/>
              <w:right w:val="nil"/>
            </w:tcBorders>
            <w:vAlign w:val="center"/>
            <w:hideMark/>
          </w:tcPr>
          <w:p w14:paraId="1EF3A4BB"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 xml:space="preserve">NO₃⁻ – </w:t>
            </w:r>
            <w:proofErr w:type="spellStart"/>
            <w:r w:rsidRPr="00A3627C">
              <w:rPr>
                <w:rFonts w:ascii="Times New Roman" w:hAnsi="Times New Roman"/>
                <w:sz w:val="24"/>
                <w:szCs w:val="24"/>
              </w:rPr>
              <w:t>Chl</w:t>
            </w:r>
            <w:proofErr w:type="spellEnd"/>
            <w:r w:rsidRPr="00A3627C">
              <w:rPr>
                <w:rFonts w:ascii="Times New Roman" w:hAnsi="Times New Roman"/>
                <w:sz w:val="24"/>
                <w:szCs w:val="24"/>
              </w:rPr>
              <w:t>-a</w:t>
            </w:r>
          </w:p>
        </w:tc>
        <w:tc>
          <w:tcPr>
            <w:tcW w:w="1813" w:type="dxa"/>
            <w:tcBorders>
              <w:top w:val="nil"/>
              <w:left w:val="nil"/>
              <w:bottom w:val="nil"/>
              <w:right w:val="nil"/>
            </w:tcBorders>
            <w:vAlign w:val="center"/>
            <w:hideMark/>
          </w:tcPr>
          <w:p w14:paraId="04034D43"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0.91</w:t>
            </w:r>
          </w:p>
        </w:tc>
        <w:tc>
          <w:tcPr>
            <w:tcW w:w="2081" w:type="dxa"/>
            <w:tcBorders>
              <w:top w:val="nil"/>
              <w:left w:val="nil"/>
              <w:bottom w:val="nil"/>
              <w:right w:val="nil"/>
            </w:tcBorders>
            <w:vAlign w:val="center"/>
            <w:hideMark/>
          </w:tcPr>
          <w:p w14:paraId="0DB7C714"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Strong positive</w:t>
            </w:r>
          </w:p>
        </w:tc>
      </w:tr>
      <w:tr w:rsidR="00980ACD" w:rsidRPr="00A3627C" w14:paraId="2C6E6731" w14:textId="77777777" w:rsidTr="006A6E13">
        <w:trPr>
          <w:tblCellSpacing w:w="15" w:type="dxa"/>
        </w:trPr>
        <w:tc>
          <w:tcPr>
            <w:tcW w:w="2302" w:type="dxa"/>
            <w:tcBorders>
              <w:top w:val="nil"/>
              <w:left w:val="nil"/>
              <w:bottom w:val="nil"/>
              <w:right w:val="nil"/>
            </w:tcBorders>
            <w:vAlign w:val="center"/>
            <w:hideMark/>
          </w:tcPr>
          <w:p w14:paraId="31AA263F"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 xml:space="preserve">PO₄³⁻ – </w:t>
            </w:r>
            <w:proofErr w:type="spellStart"/>
            <w:r w:rsidRPr="00A3627C">
              <w:rPr>
                <w:rFonts w:ascii="Times New Roman" w:hAnsi="Times New Roman"/>
                <w:sz w:val="24"/>
                <w:szCs w:val="24"/>
              </w:rPr>
              <w:t>Chl</w:t>
            </w:r>
            <w:proofErr w:type="spellEnd"/>
            <w:r w:rsidRPr="00A3627C">
              <w:rPr>
                <w:rFonts w:ascii="Times New Roman" w:hAnsi="Times New Roman"/>
                <w:sz w:val="24"/>
                <w:szCs w:val="24"/>
              </w:rPr>
              <w:t>-a</w:t>
            </w:r>
          </w:p>
        </w:tc>
        <w:tc>
          <w:tcPr>
            <w:tcW w:w="1813" w:type="dxa"/>
            <w:tcBorders>
              <w:top w:val="nil"/>
              <w:left w:val="nil"/>
              <w:bottom w:val="nil"/>
              <w:right w:val="nil"/>
            </w:tcBorders>
            <w:vAlign w:val="center"/>
            <w:hideMark/>
          </w:tcPr>
          <w:p w14:paraId="678A11AE"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0.88</w:t>
            </w:r>
          </w:p>
        </w:tc>
        <w:tc>
          <w:tcPr>
            <w:tcW w:w="2081" w:type="dxa"/>
            <w:tcBorders>
              <w:top w:val="nil"/>
              <w:left w:val="nil"/>
              <w:bottom w:val="nil"/>
              <w:right w:val="nil"/>
            </w:tcBorders>
            <w:vAlign w:val="center"/>
            <w:hideMark/>
          </w:tcPr>
          <w:p w14:paraId="36D53566"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Strong positive</w:t>
            </w:r>
          </w:p>
        </w:tc>
      </w:tr>
      <w:tr w:rsidR="00980ACD" w:rsidRPr="00A3627C" w14:paraId="5B6A03E4" w14:textId="77777777" w:rsidTr="006A6E13">
        <w:trPr>
          <w:tblCellSpacing w:w="15" w:type="dxa"/>
        </w:trPr>
        <w:tc>
          <w:tcPr>
            <w:tcW w:w="2302" w:type="dxa"/>
            <w:tcBorders>
              <w:top w:val="nil"/>
              <w:left w:val="nil"/>
              <w:bottom w:val="nil"/>
              <w:right w:val="nil"/>
            </w:tcBorders>
            <w:vAlign w:val="center"/>
            <w:hideMark/>
          </w:tcPr>
          <w:p w14:paraId="2279942D"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BOD₅ – NO₃⁻</w:t>
            </w:r>
          </w:p>
        </w:tc>
        <w:tc>
          <w:tcPr>
            <w:tcW w:w="1813" w:type="dxa"/>
            <w:tcBorders>
              <w:top w:val="nil"/>
              <w:left w:val="nil"/>
              <w:bottom w:val="nil"/>
              <w:right w:val="nil"/>
            </w:tcBorders>
            <w:vAlign w:val="center"/>
            <w:hideMark/>
          </w:tcPr>
          <w:p w14:paraId="2D363FDE"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0.83</w:t>
            </w:r>
          </w:p>
        </w:tc>
        <w:tc>
          <w:tcPr>
            <w:tcW w:w="2081" w:type="dxa"/>
            <w:tcBorders>
              <w:top w:val="nil"/>
              <w:left w:val="nil"/>
              <w:bottom w:val="nil"/>
              <w:right w:val="nil"/>
            </w:tcBorders>
            <w:vAlign w:val="center"/>
            <w:hideMark/>
          </w:tcPr>
          <w:p w14:paraId="153CDFFF"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Positive</w:t>
            </w:r>
          </w:p>
        </w:tc>
      </w:tr>
      <w:tr w:rsidR="00980ACD" w:rsidRPr="00A3627C" w14:paraId="29554E8D" w14:textId="77777777" w:rsidTr="006A6E13">
        <w:trPr>
          <w:tblCellSpacing w:w="15" w:type="dxa"/>
        </w:trPr>
        <w:tc>
          <w:tcPr>
            <w:tcW w:w="2302" w:type="dxa"/>
            <w:tcBorders>
              <w:top w:val="nil"/>
              <w:left w:val="nil"/>
              <w:bottom w:val="nil"/>
              <w:right w:val="nil"/>
            </w:tcBorders>
            <w:vAlign w:val="center"/>
            <w:hideMark/>
          </w:tcPr>
          <w:p w14:paraId="0D241BE5"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 xml:space="preserve">BOD₅ – </w:t>
            </w:r>
            <w:proofErr w:type="spellStart"/>
            <w:r w:rsidRPr="00A3627C">
              <w:rPr>
                <w:rFonts w:ascii="Times New Roman" w:hAnsi="Times New Roman"/>
                <w:sz w:val="24"/>
                <w:szCs w:val="24"/>
              </w:rPr>
              <w:t>Chl</w:t>
            </w:r>
            <w:proofErr w:type="spellEnd"/>
            <w:r w:rsidRPr="00A3627C">
              <w:rPr>
                <w:rFonts w:ascii="Times New Roman" w:hAnsi="Times New Roman"/>
                <w:sz w:val="24"/>
                <w:szCs w:val="24"/>
              </w:rPr>
              <w:t>-a</w:t>
            </w:r>
          </w:p>
        </w:tc>
        <w:tc>
          <w:tcPr>
            <w:tcW w:w="1813" w:type="dxa"/>
            <w:tcBorders>
              <w:top w:val="nil"/>
              <w:left w:val="nil"/>
              <w:bottom w:val="nil"/>
              <w:right w:val="nil"/>
            </w:tcBorders>
            <w:vAlign w:val="center"/>
            <w:hideMark/>
          </w:tcPr>
          <w:p w14:paraId="3D4EE068"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0.84</w:t>
            </w:r>
          </w:p>
        </w:tc>
        <w:tc>
          <w:tcPr>
            <w:tcW w:w="2081" w:type="dxa"/>
            <w:tcBorders>
              <w:top w:val="nil"/>
              <w:left w:val="nil"/>
              <w:bottom w:val="nil"/>
              <w:right w:val="nil"/>
            </w:tcBorders>
            <w:vAlign w:val="center"/>
            <w:hideMark/>
          </w:tcPr>
          <w:p w14:paraId="1603C2CF"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Positive</w:t>
            </w:r>
          </w:p>
        </w:tc>
      </w:tr>
      <w:tr w:rsidR="00980ACD" w:rsidRPr="00A3627C" w14:paraId="2C1F3E34" w14:textId="77777777" w:rsidTr="006A6E13">
        <w:trPr>
          <w:tblCellSpacing w:w="15" w:type="dxa"/>
        </w:trPr>
        <w:tc>
          <w:tcPr>
            <w:tcW w:w="2302" w:type="dxa"/>
            <w:tcBorders>
              <w:top w:val="nil"/>
              <w:left w:val="nil"/>
              <w:bottom w:val="nil"/>
              <w:right w:val="nil"/>
            </w:tcBorders>
            <w:vAlign w:val="center"/>
            <w:hideMark/>
          </w:tcPr>
          <w:p w14:paraId="48B33869"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 xml:space="preserve">DO – </w:t>
            </w:r>
            <w:proofErr w:type="spellStart"/>
            <w:r w:rsidRPr="00A3627C">
              <w:rPr>
                <w:rFonts w:ascii="Times New Roman" w:hAnsi="Times New Roman"/>
                <w:sz w:val="24"/>
                <w:szCs w:val="24"/>
              </w:rPr>
              <w:t>Chl</w:t>
            </w:r>
            <w:proofErr w:type="spellEnd"/>
            <w:r w:rsidRPr="00A3627C">
              <w:rPr>
                <w:rFonts w:ascii="Times New Roman" w:hAnsi="Times New Roman"/>
                <w:sz w:val="24"/>
                <w:szCs w:val="24"/>
              </w:rPr>
              <w:t>-a</w:t>
            </w:r>
          </w:p>
        </w:tc>
        <w:tc>
          <w:tcPr>
            <w:tcW w:w="1813" w:type="dxa"/>
            <w:tcBorders>
              <w:top w:val="nil"/>
              <w:left w:val="nil"/>
              <w:bottom w:val="nil"/>
              <w:right w:val="nil"/>
            </w:tcBorders>
            <w:vAlign w:val="center"/>
            <w:hideMark/>
          </w:tcPr>
          <w:p w14:paraId="1E87EF09"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–0.88</w:t>
            </w:r>
          </w:p>
        </w:tc>
        <w:tc>
          <w:tcPr>
            <w:tcW w:w="2081" w:type="dxa"/>
            <w:tcBorders>
              <w:top w:val="nil"/>
              <w:left w:val="nil"/>
              <w:bottom w:val="nil"/>
              <w:right w:val="nil"/>
            </w:tcBorders>
            <w:vAlign w:val="center"/>
            <w:hideMark/>
          </w:tcPr>
          <w:p w14:paraId="5FE9EC68"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Strong negative</w:t>
            </w:r>
          </w:p>
        </w:tc>
      </w:tr>
      <w:tr w:rsidR="00980ACD" w:rsidRPr="00A3627C" w14:paraId="47848804" w14:textId="77777777" w:rsidTr="006A6E13">
        <w:trPr>
          <w:tblCellSpacing w:w="15" w:type="dxa"/>
        </w:trPr>
        <w:tc>
          <w:tcPr>
            <w:tcW w:w="2302" w:type="dxa"/>
            <w:tcBorders>
              <w:top w:val="nil"/>
              <w:left w:val="nil"/>
              <w:bottom w:val="nil"/>
              <w:right w:val="nil"/>
            </w:tcBorders>
            <w:vAlign w:val="center"/>
            <w:hideMark/>
          </w:tcPr>
          <w:p w14:paraId="45A2245C"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DO – BOD₅</w:t>
            </w:r>
          </w:p>
        </w:tc>
        <w:tc>
          <w:tcPr>
            <w:tcW w:w="1813" w:type="dxa"/>
            <w:tcBorders>
              <w:top w:val="nil"/>
              <w:left w:val="nil"/>
              <w:bottom w:val="nil"/>
              <w:right w:val="nil"/>
            </w:tcBorders>
            <w:vAlign w:val="center"/>
            <w:hideMark/>
          </w:tcPr>
          <w:p w14:paraId="7859C498"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–0.92</w:t>
            </w:r>
          </w:p>
        </w:tc>
        <w:tc>
          <w:tcPr>
            <w:tcW w:w="2081" w:type="dxa"/>
            <w:tcBorders>
              <w:top w:val="nil"/>
              <w:left w:val="nil"/>
              <w:bottom w:val="nil"/>
              <w:right w:val="nil"/>
            </w:tcBorders>
            <w:vAlign w:val="center"/>
            <w:hideMark/>
          </w:tcPr>
          <w:p w14:paraId="26D7FFFE" w14:textId="77777777" w:rsidR="00980ACD" w:rsidRPr="00A3627C" w:rsidRDefault="00980ACD" w:rsidP="006A6E13">
            <w:pPr>
              <w:spacing w:after="0"/>
              <w:jc w:val="both"/>
              <w:rPr>
                <w:rFonts w:ascii="Times New Roman" w:hAnsi="Times New Roman"/>
                <w:sz w:val="24"/>
                <w:szCs w:val="24"/>
              </w:rPr>
            </w:pPr>
            <w:r w:rsidRPr="00A3627C">
              <w:rPr>
                <w:rFonts w:ascii="Times New Roman" w:hAnsi="Times New Roman"/>
                <w:sz w:val="24"/>
                <w:szCs w:val="24"/>
              </w:rPr>
              <w:t>Strong negative</w:t>
            </w:r>
          </w:p>
        </w:tc>
      </w:tr>
    </w:tbl>
    <w:p w14:paraId="4262EC00" w14:textId="77777777" w:rsidR="00980ACD" w:rsidRPr="00A3627C" w:rsidRDefault="00980ACD" w:rsidP="006A6E13">
      <w:pPr>
        <w:jc w:val="both"/>
        <w:rPr>
          <w:rFonts w:ascii="Times New Roman" w:eastAsia="Calibri" w:hAnsi="Times New Roman"/>
          <w:sz w:val="24"/>
          <w:szCs w:val="24"/>
        </w:rPr>
      </w:pPr>
      <w:r w:rsidRPr="00A3627C">
        <w:rPr>
          <w:rFonts w:ascii="Times New Roman" w:eastAsia="Calibri" w:hAnsi="Times New Roman"/>
          <w:sz w:val="24"/>
          <w:szCs w:val="24"/>
        </w:rPr>
        <w:t xml:space="preserve"> </w:t>
      </w:r>
    </w:p>
    <w:p w14:paraId="6804A113" w14:textId="6C9C3B31" w:rsidR="00980ACD" w:rsidRPr="00A3627C" w:rsidRDefault="007422BE" w:rsidP="006A6E13">
      <w:pPr>
        <w:pStyle w:val="NormalWeb"/>
        <w:jc w:val="both"/>
        <w:rPr>
          <w:b/>
          <w:bCs/>
        </w:rPr>
      </w:pPr>
      <w:r>
        <w:rPr>
          <w:b/>
          <w:bCs/>
        </w:rPr>
        <w:t xml:space="preserve">3.2 </w:t>
      </w:r>
      <w:r w:rsidR="00980ACD" w:rsidRPr="00A3627C">
        <w:rPr>
          <w:b/>
          <w:bCs/>
        </w:rPr>
        <w:t>Discussion</w:t>
      </w:r>
    </w:p>
    <w:p w14:paraId="76401F36" w14:textId="2EB11A74" w:rsidR="00980ACD" w:rsidRPr="00A3627C" w:rsidRDefault="006E6F76" w:rsidP="006A6E13">
      <w:pPr>
        <w:pStyle w:val="NormalWeb"/>
        <w:jc w:val="both"/>
      </w:pPr>
      <w:r w:rsidRPr="00A3627C">
        <w:t xml:space="preserve">This research's results suggest that the </w:t>
      </w:r>
      <w:proofErr w:type="spellStart"/>
      <w:r w:rsidRPr="00A3627C">
        <w:t>Otuoke</w:t>
      </w:r>
      <w:proofErr w:type="spellEnd"/>
      <w:r w:rsidRPr="00A3627C">
        <w:t xml:space="preserve"> River experiences substantial nutrient enrichment and ongoing eutrophication, mainly from agricultural runoff and associated organic materials. The differing physicochemical and nutrient factors reflect the growing influence of human activities downstream, mirroring trends seen in lowland tropical rivers affected by agricultural and domestic activities (Dada et al., 2025; Ekpe et al., 2025). The temperature values of 27.2 – 29.1 °C reflect the usual range found in tropical aquatic systems and support increased metabolic activity of microbes and biogeochemical processes such as nitrification and mineralisation of organic matter (Chapman, 1996). Warm temperatures promote </w:t>
      </w:r>
      <w:r w:rsidRPr="00A3627C">
        <w:lastRenderedPageBreak/>
        <w:t xml:space="preserve">biochemical oxygen demand and nutrient turnover processes, thereby catalysing indirect eutrophication processes. The pH measured between 6.45 – 6.89 reflects soft acidic to neutral water, favourable for aquatic life and nutrient bioavailability. The observed slight acidification is attributed to microbial decomposition of organic residues and the consequent production of carbonic acids, as noted by Ikpe et al. (2023) in the Qua </w:t>
      </w:r>
      <w:proofErr w:type="spellStart"/>
      <w:r w:rsidRPr="00A3627C">
        <w:t>Iboe</w:t>
      </w:r>
      <w:proofErr w:type="spellEnd"/>
      <w:r w:rsidRPr="00A3627C">
        <w:t xml:space="preserve"> River. Electrical conductivity overall progressively increased moving downstream (112.5 – 194.3 µS cm⁻¹), reflecting greater quantities of dissolved ions, largely as a result of fertiliser residues, eroded soil particles, and leachates from organic matter and sediment. An increase in EC downstream has previously been associated with runoff and sediment–nutrient dynamics, an observation noted within agricultural watersheds (</w:t>
      </w:r>
      <w:proofErr w:type="spellStart"/>
      <w:r w:rsidRPr="00A3627C">
        <w:t>Nienie</w:t>
      </w:r>
      <w:proofErr w:type="spellEnd"/>
      <w:r w:rsidRPr="00A3627C">
        <w:t xml:space="preserve"> et al., 2017; Ma et al., 2016). </w:t>
      </w:r>
      <w:r w:rsidR="00980ACD" w:rsidRPr="00A3627C">
        <w:t>Such ionic enrichment serves as an indicator of diffuse nutrient pollution rather than point-source discharges.</w:t>
      </w:r>
    </w:p>
    <w:p w14:paraId="62B784D4" w14:textId="2F4E655B" w:rsidR="00980ACD" w:rsidRPr="00A3627C" w:rsidRDefault="006E6F76" w:rsidP="006A6E13">
      <w:pPr>
        <w:pStyle w:val="NormalWeb"/>
        <w:jc w:val="both"/>
      </w:pPr>
      <w:r w:rsidRPr="00A3627C">
        <w:t>The inverse association between dissolved oxygen (DO) and biological oxygen demand (BOD₅) also supports the notion of organic enrichment resulting in eutrophic stress. DO decreased from 6.8 mg L⁻¹ upstream to 4.1 mg L⁻¹ downstream, whereas BOD₅ increased from 2.8 mg L⁻¹ to 5.4 mg L⁻¹, indicating increased microbial respiration from decomposing organic matter. Waters with BOD₅&gt;3 mg L⁻¹ are considered moderately polluted (APHA, 2017). This finding is similar to Dada et al. (2025)</w:t>
      </w:r>
      <w:r w:rsidR="006A6E13" w:rsidRPr="00A3627C">
        <w:t>,</w:t>
      </w:r>
      <w:r w:rsidRPr="00A3627C">
        <w:t xml:space="preserve"> </w:t>
      </w:r>
      <w:r w:rsidR="006A6E13" w:rsidRPr="00A3627C">
        <w:t>who</w:t>
      </w:r>
      <w:r w:rsidRPr="00A3627C">
        <w:t xml:space="preserve"> similarly reported oxygen depletion from nutrient enrichment in the Douglas Creek system. Degradation of dissolved oxygen can have negative impacts on aquatic biodiversity, fish production, and benthic community composition. Nutrient enrichment in the </w:t>
      </w:r>
      <w:proofErr w:type="spellStart"/>
      <w:r w:rsidRPr="00A3627C">
        <w:t>Otuoke</w:t>
      </w:r>
      <w:proofErr w:type="spellEnd"/>
      <w:r w:rsidRPr="00A3627C">
        <w:t xml:space="preserve"> River was apparent with downstream accumulation of nitrate (1.84–5.46 mg L⁻¹), phosphate (0.45–1.22 mg L⁻¹), and ammonium (0.31–0.68 mg L⁻¹). Although nitrate levels were below the WHO (2008) drinking-water guideline of 50 mg L⁻¹, they exceeded ecological thresholds (&gt;1 mg L⁻¹) associated with algal blooms (USEPA, 2015). Phosphate concentrations far exceeded the 0.10 mg L⁻¹ ecological criterion, demonstrating substantial enrichment. Elevated levels of ammonium at the lower reach (&gt;0.5 mg L⁻¹) </w:t>
      </w:r>
      <w:r w:rsidR="006A6E13" w:rsidRPr="00A3627C">
        <w:t>are</w:t>
      </w:r>
      <w:r w:rsidRPr="00A3627C">
        <w:t xml:space="preserve"> a clear indicator of continued decomposition, and likely nitrogenous organic matter from fertilisers and livestock waste, which can contribute to eutrophication. </w:t>
      </w:r>
      <w:r w:rsidR="00980ACD" w:rsidRPr="00A3627C">
        <w:t xml:space="preserve">These observations agree with the results of Ekpe et al. (2025) and </w:t>
      </w:r>
      <w:proofErr w:type="spellStart"/>
      <w:r w:rsidR="00980ACD" w:rsidRPr="00A3627C">
        <w:t>Nienie</w:t>
      </w:r>
      <w:proofErr w:type="spellEnd"/>
      <w:r w:rsidR="00980ACD" w:rsidRPr="00A3627C">
        <w:t xml:space="preserve"> et al. (2017), who identified agricultural leachates and sewage inflows as major nutrient sources in </w:t>
      </w:r>
      <w:r w:rsidR="004112D2" w:rsidRPr="00A3627C">
        <w:t xml:space="preserve">the </w:t>
      </w:r>
      <w:r w:rsidR="00980ACD" w:rsidRPr="00A3627C">
        <w:t>Niger Delta rivers.</w:t>
      </w:r>
    </w:p>
    <w:p w14:paraId="63B1DAFE" w14:textId="67113A62" w:rsidR="006E6F76" w:rsidRPr="00A3627C" w:rsidRDefault="006E6F76" w:rsidP="006A6E13">
      <w:pPr>
        <w:pStyle w:val="NormalWeb"/>
        <w:jc w:val="both"/>
      </w:pPr>
      <w:r w:rsidRPr="00A3627C">
        <w:t xml:space="preserve">The elevated total nitrogen (TN = 1.95–5.71 mg L⁻¹) and total phosphorus (TP = 0.51–1.18 mg L⁻¹) concentrations confirm the river's nutrient-rich status. An average TN/TP ratio of about 5:1 indicates </w:t>
      </w:r>
      <w:r w:rsidR="006A6E13" w:rsidRPr="00A3627C">
        <w:t>phosphorus</w:t>
      </w:r>
      <w:r w:rsidRPr="00A3627C">
        <w:t xml:space="preserve"> limitation</w:t>
      </w:r>
      <w:r w:rsidR="006A6E13" w:rsidRPr="00A3627C">
        <w:t>;</w:t>
      </w:r>
      <w:r w:rsidRPr="00A3627C">
        <w:t xml:space="preserve"> however, both nutrients are available at concentrations likely to support eutrophic conditions (Chapman, 1996). This low ratio also suggests that modest additional phosphorus inputs would exacerbate algal blooms. Ratios such as this have also been observed in </w:t>
      </w:r>
      <w:r w:rsidR="006A6E13" w:rsidRPr="00A3627C">
        <w:t>sediment-dominated</w:t>
      </w:r>
      <w:r w:rsidRPr="00A3627C">
        <w:t xml:space="preserve"> tropical streams where P-release under anoxic conditions sustains eutrophic cycling (</w:t>
      </w:r>
      <w:proofErr w:type="spellStart"/>
      <w:r w:rsidRPr="00A3627C">
        <w:t>Ekwere</w:t>
      </w:r>
      <w:proofErr w:type="spellEnd"/>
      <w:r w:rsidRPr="00A3627C">
        <w:t xml:space="preserve"> et al., 2025). Chlorophyll-a concentrations (8.4–23.5 µg L⁻¹) increased downstream with nutrient concentrations</w:t>
      </w:r>
      <w:r w:rsidR="006A6E13" w:rsidRPr="00A3627C">
        <w:t>,</w:t>
      </w:r>
      <w:r w:rsidRPr="00A3627C">
        <w:t xml:space="preserve"> indicating </w:t>
      </w:r>
      <w:r w:rsidR="006A6E13" w:rsidRPr="00A3627C">
        <w:t>nutrient-stimulated</w:t>
      </w:r>
      <w:r w:rsidRPr="00A3627C">
        <w:t xml:space="preserve"> primary productivity. Carlson’s (1977) threshold of 20 µg L⁻¹ for eutrophic conditions was reached. Similarly, the Trophic State Index (TSI = 45.2–67.5) confirmed that </w:t>
      </w:r>
      <w:r w:rsidR="006A6E13" w:rsidRPr="00A3627C">
        <w:t xml:space="preserve">the </w:t>
      </w:r>
      <w:proofErr w:type="spellStart"/>
      <w:r w:rsidRPr="00A3627C">
        <w:t>Otuoke</w:t>
      </w:r>
      <w:proofErr w:type="spellEnd"/>
      <w:r w:rsidRPr="00A3627C">
        <w:t xml:space="preserve"> River lies in the mesotrophic to eutrophic class. Other studies have also documented transitions to eutrophic states in other Niger Delta rivers receiving nutrient loads from farmlands and settlements (Ikpe et al., 2020; </w:t>
      </w:r>
      <w:proofErr w:type="spellStart"/>
      <w:r w:rsidRPr="00A3627C">
        <w:t>Okpoji</w:t>
      </w:r>
      <w:proofErr w:type="spellEnd"/>
      <w:r w:rsidRPr="00A3627C">
        <w:t xml:space="preserve"> et al., 2025a). Secchi depth declined from 1.8 m to 0.7 m</w:t>
      </w:r>
      <w:r w:rsidR="006A6E13" w:rsidRPr="00A3627C">
        <w:t>,</w:t>
      </w:r>
      <w:r w:rsidRPr="00A3627C">
        <w:t xml:space="preserve"> confirming decreased transparency and increased turbidity due to </w:t>
      </w:r>
      <w:r w:rsidR="006A6E13" w:rsidRPr="00A3627C">
        <w:t xml:space="preserve">an </w:t>
      </w:r>
      <w:r w:rsidRPr="00A3627C">
        <w:t>algal bloom and suspended particulate matter.</w:t>
      </w:r>
    </w:p>
    <w:p w14:paraId="61FB4021" w14:textId="3B47A721" w:rsidR="006E6F76" w:rsidRPr="00A3627C" w:rsidRDefault="006E6F76" w:rsidP="006A6E13">
      <w:pPr>
        <w:pStyle w:val="NormalWeb"/>
        <w:jc w:val="both"/>
      </w:pPr>
      <w:r w:rsidRPr="00A3627C">
        <w:t xml:space="preserve">Correlation analysis further confirms the relationship between nutrient enrichment and eutrophication. Strong positive correlations between nitrate, phosphate, and chlorophyll-a (r ≥ 0.88) illustrate that the availability of nutrients directly drives the accumulation of algal </w:t>
      </w:r>
      <w:r w:rsidRPr="00A3627C">
        <w:lastRenderedPageBreak/>
        <w:t xml:space="preserve">biomass. In contrast, the strong negative correlation between DO and BOD₅ (r = -0.92) indicates oxygen stress due to excessive biological activity and microbial decay. These patterns are indicative of a eutrophic system experiencing oxygen depletion due to excessive loading of organic materials (Ma et al., 2016; </w:t>
      </w:r>
      <w:proofErr w:type="spellStart"/>
      <w:r w:rsidRPr="00A3627C">
        <w:t>Nriagu</w:t>
      </w:r>
      <w:proofErr w:type="spellEnd"/>
      <w:r w:rsidRPr="00A3627C">
        <w:t xml:space="preserve"> et al., 2016). The study affirms that agricultural land use within close proximity to </w:t>
      </w:r>
      <w:proofErr w:type="spellStart"/>
      <w:r w:rsidRPr="00A3627C">
        <w:t>Otuoke</w:t>
      </w:r>
      <w:proofErr w:type="spellEnd"/>
      <w:r w:rsidRPr="00A3627C">
        <w:t xml:space="preserve"> really impacts water quality in a riverine setting. The effect of excess </w:t>
      </w:r>
      <w:r w:rsidR="006A6E13" w:rsidRPr="00A3627C">
        <w:t>fertiliser</w:t>
      </w:r>
      <w:r w:rsidRPr="00A3627C">
        <w:t xml:space="preserve"> application</w:t>
      </w:r>
      <w:r w:rsidR="006A6E13" w:rsidRPr="00A3627C">
        <w:t>,</w:t>
      </w:r>
      <w:r w:rsidRPr="00A3627C">
        <w:t xml:space="preserve"> together with surface runoff and waste management</w:t>
      </w:r>
      <w:r w:rsidR="006A6E13" w:rsidRPr="00A3627C">
        <w:t>,</w:t>
      </w:r>
      <w:r w:rsidRPr="00A3627C">
        <w:t xml:space="preserve"> has compounded both detrimental nutrient accumulation and resultant biological productivity, leading to the transition toward eutrophic conditions. </w:t>
      </w:r>
    </w:p>
    <w:p w14:paraId="41EE6E51" w14:textId="229DC592" w:rsidR="006E6F76" w:rsidRPr="00A3627C" w:rsidRDefault="006E6F76" w:rsidP="006A6E13">
      <w:pPr>
        <w:pStyle w:val="NormalWeb"/>
        <w:jc w:val="both"/>
      </w:pPr>
      <w:r w:rsidRPr="00A3627C">
        <w:t>The impacts of this trophic transfer pose ecological threats</w:t>
      </w:r>
      <w:r w:rsidR="006A6E13" w:rsidRPr="00A3627C">
        <w:t>,</w:t>
      </w:r>
      <w:r w:rsidRPr="00A3627C">
        <w:t xml:space="preserve"> including hypoxia, reduced biodiversity, and habitat loss, to the point that fisheries and </w:t>
      </w:r>
      <w:r w:rsidR="006A6E13" w:rsidRPr="00A3627C">
        <w:t xml:space="preserve">the </w:t>
      </w:r>
      <w:r w:rsidRPr="00A3627C">
        <w:t xml:space="preserve">surrounding community livelihoods could be </w:t>
      </w:r>
      <w:r w:rsidR="006A6E13" w:rsidRPr="00A3627C">
        <w:t>depleted</w:t>
      </w:r>
      <w:r w:rsidRPr="00A3627C">
        <w:t>. Furthermore, alga proliferation could also be sustained in systemic situations as a result of internal loading process mechanisms. Under low oxygen conditions, phosphorus bound to metal oxides in the sediment can be remobilised into the water column above</w:t>
      </w:r>
      <w:r w:rsidR="006A6E13" w:rsidRPr="00A3627C">
        <w:t>,</w:t>
      </w:r>
      <w:r w:rsidRPr="00A3627C">
        <w:t xml:space="preserve"> providing additional opportunity for algal growth even in low conditions of surface inputs (</w:t>
      </w:r>
      <w:proofErr w:type="spellStart"/>
      <w:r w:rsidRPr="00A3627C">
        <w:t>Ekwere</w:t>
      </w:r>
      <w:proofErr w:type="spellEnd"/>
      <w:r w:rsidRPr="00A3627C">
        <w:t xml:space="preserve"> et al., 2025). Feedback loops such as these constitute complexity in a potential remediation and imply an integrated watershed management approach that considers both control of nutrient sources along </w:t>
      </w:r>
      <w:r w:rsidR="006A6E13" w:rsidRPr="00A3627C">
        <w:t xml:space="preserve">the </w:t>
      </w:r>
      <w:r w:rsidRPr="00A3627C">
        <w:t>process to restore habitat.</w:t>
      </w:r>
    </w:p>
    <w:p w14:paraId="6A6B402A" w14:textId="7ED81018" w:rsidR="00980ACD" w:rsidRPr="00A3627C" w:rsidRDefault="00980ACD" w:rsidP="006A6E13">
      <w:pPr>
        <w:pStyle w:val="NormalWeb"/>
        <w:jc w:val="both"/>
      </w:pPr>
      <w:r w:rsidRPr="00A3627C">
        <w:rPr>
          <w:rStyle w:val="15"/>
          <w:rFonts w:ascii="Times New Roman" w:hAnsi="Times New Roman" w:cs="Times New Roman"/>
        </w:rPr>
        <w:t>Conclusion</w:t>
      </w:r>
    </w:p>
    <w:p w14:paraId="41366FBA" w14:textId="4FC32033" w:rsidR="006E6F76" w:rsidRPr="00A3627C" w:rsidRDefault="006A6E13" w:rsidP="006A6E13">
      <w:pPr>
        <w:jc w:val="both"/>
        <w:rPr>
          <w:rFonts w:ascii="Times New Roman" w:eastAsia="Calibri" w:hAnsi="Times New Roman"/>
          <w:sz w:val="24"/>
          <w:szCs w:val="24"/>
        </w:rPr>
      </w:pPr>
      <w:r w:rsidRPr="00A3627C">
        <w:rPr>
          <w:rFonts w:ascii="Times New Roman" w:eastAsia="Calibri" w:hAnsi="Times New Roman"/>
          <w:sz w:val="24"/>
          <w:szCs w:val="24"/>
        </w:rPr>
        <w:t xml:space="preserve">The findings of this study suggest that agricultural activities near the community of </w:t>
      </w:r>
      <w:proofErr w:type="spellStart"/>
      <w:r w:rsidRPr="00A3627C">
        <w:rPr>
          <w:rFonts w:ascii="Times New Roman" w:eastAsia="Calibri" w:hAnsi="Times New Roman"/>
          <w:sz w:val="24"/>
          <w:szCs w:val="24"/>
        </w:rPr>
        <w:t>Otuoke</w:t>
      </w:r>
      <w:proofErr w:type="spellEnd"/>
      <w:r w:rsidRPr="00A3627C">
        <w:rPr>
          <w:rFonts w:ascii="Times New Roman" w:eastAsia="Calibri" w:hAnsi="Times New Roman"/>
          <w:sz w:val="24"/>
          <w:szCs w:val="24"/>
        </w:rPr>
        <w:t xml:space="preserve"> have played an ongoing role in nutrient enrichment and the resulting eutrophication of the </w:t>
      </w:r>
      <w:proofErr w:type="spellStart"/>
      <w:r w:rsidRPr="00A3627C">
        <w:rPr>
          <w:rFonts w:ascii="Times New Roman" w:eastAsia="Calibri" w:hAnsi="Times New Roman"/>
          <w:sz w:val="24"/>
          <w:szCs w:val="24"/>
        </w:rPr>
        <w:t>Otuoke</w:t>
      </w:r>
      <w:proofErr w:type="spellEnd"/>
      <w:r w:rsidRPr="00A3627C">
        <w:rPr>
          <w:rFonts w:ascii="Times New Roman" w:eastAsia="Calibri" w:hAnsi="Times New Roman"/>
          <w:sz w:val="24"/>
          <w:szCs w:val="24"/>
        </w:rPr>
        <w:t xml:space="preserve"> River (Note that there is also information in the TSI that must be considered). The increases in nitrate, phosphate, and ammonium concentrations downstream, along with rising chlorophyll-a levels and decreasing dissolved oxygen, indicate a strong influence of agriculture and organic waste on the water quality of the </w:t>
      </w:r>
      <w:proofErr w:type="spellStart"/>
      <w:r w:rsidRPr="00A3627C">
        <w:rPr>
          <w:rFonts w:ascii="Times New Roman" w:eastAsia="Calibri" w:hAnsi="Times New Roman"/>
          <w:sz w:val="24"/>
          <w:szCs w:val="24"/>
        </w:rPr>
        <w:t>Otuoke</w:t>
      </w:r>
      <w:proofErr w:type="spellEnd"/>
      <w:r w:rsidRPr="00A3627C">
        <w:rPr>
          <w:rFonts w:ascii="Times New Roman" w:eastAsia="Calibri" w:hAnsi="Times New Roman"/>
          <w:sz w:val="24"/>
          <w:szCs w:val="24"/>
        </w:rPr>
        <w:t xml:space="preserve"> River. The Trophic State Index (TSI) values calculated characterise the river as mesotrophic to eutrophic (indicating moderate to high biological productivity and declining ecological health), while the association of nutrients, chlorophyll-a, and BOD5 values clearly shows that the primary cause of the eutrophication is nutrient loading into the river system. Based on these findings, sustainable agriculture practices within the catchment should be studied, including proper fertiliser use, timing of application, and vegetative buffer strips to reduce nutrient inflow. Regular water-quality monitoring should be conducted to assess seasonal changes and detect any emerging eutrophic conditions. Public awareness and community involvement in watershed management are also essential to protect the river from degradation.</w:t>
      </w:r>
    </w:p>
    <w:p w14:paraId="4756C677" w14:textId="29A88657" w:rsidR="00980ACD" w:rsidRPr="00A3627C" w:rsidRDefault="00980ACD" w:rsidP="006A6E13">
      <w:pPr>
        <w:ind w:left="720" w:hanging="720"/>
        <w:jc w:val="both"/>
        <w:rPr>
          <w:rFonts w:ascii="Times New Roman" w:eastAsia="Calibri" w:hAnsi="Times New Roman"/>
          <w:b/>
          <w:bCs/>
          <w:sz w:val="24"/>
          <w:szCs w:val="24"/>
        </w:rPr>
      </w:pPr>
      <w:r w:rsidRPr="00A3627C">
        <w:rPr>
          <w:rFonts w:ascii="Times New Roman" w:eastAsia="Calibri" w:hAnsi="Times New Roman"/>
          <w:b/>
          <w:bCs/>
          <w:sz w:val="24"/>
          <w:szCs w:val="24"/>
        </w:rPr>
        <w:t xml:space="preserve">References </w:t>
      </w:r>
    </w:p>
    <w:p w14:paraId="6708A96E" w14:textId="77777777" w:rsidR="00980ACD" w:rsidRPr="00A3627C" w:rsidRDefault="00980ACD" w:rsidP="006A6E13">
      <w:pPr>
        <w:pStyle w:val="NormalWeb"/>
        <w:ind w:left="720" w:hanging="720"/>
        <w:jc w:val="both"/>
      </w:pPr>
      <w:r w:rsidRPr="00A3627C">
        <w:t xml:space="preserve">American Public Health Association. (1995). </w:t>
      </w:r>
      <w:r w:rsidRPr="00A3627C">
        <w:rPr>
          <w:rStyle w:val="18"/>
          <w:rFonts w:ascii="Times New Roman" w:hAnsi="Times New Roman" w:cs="Times New Roman"/>
        </w:rPr>
        <w:t>Standard methods for the examination of water and wastewater</w:t>
      </w:r>
      <w:r w:rsidRPr="00A3627C">
        <w:t xml:space="preserve"> (19th ed.). APHA.</w:t>
      </w:r>
      <w:r w:rsidRPr="00A3627C">
        <w:br/>
        <w:t>https://www.scirp.org/reference/referencespapers?referenceid=1916575</w:t>
      </w:r>
    </w:p>
    <w:p w14:paraId="5258D7DF" w14:textId="77777777" w:rsidR="00980ACD" w:rsidRPr="00A3627C" w:rsidRDefault="00980ACD" w:rsidP="006A6E13">
      <w:pPr>
        <w:pStyle w:val="NormalWeb"/>
        <w:ind w:left="720" w:hanging="720"/>
        <w:jc w:val="both"/>
      </w:pPr>
      <w:proofErr w:type="spellStart"/>
      <w:r w:rsidRPr="00A3627C">
        <w:t>Anarado</w:t>
      </w:r>
      <w:proofErr w:type="spellEnd"/>
      <w:r w:rsidRPr="00A3627C">
        <w:t xml:space="preserve">, C. J. O., </w:t>
      </w:r>
      <w:proofErr w:type="spellStart"/>
      <w:r w:rsidRPr="00A3627C">
        <w:t>Okpoji</w:t>
      </w:r>
      <w:proofErr w:type="spellEnd"/>
      <w:r w:rsidRPr="00A3627C">
        <w:t xml:space="preserve">, A. U., &amp; </w:t>
      </w:r>
      <w:proofErr w:type="spellStart"/>
      <w:r w:rsidRPr="00A3627C">
        <w:t>Anarado</w:t>
      </w:r>
      <w:proofErr w:type="spellEnd"/>
      <w:r w:rsidRPr="00A3627C">
        <w:t xml:space="preserve">, C. E. (2023). Bioaccumulation and health risk assessment of lead, cadmium, arsenic, and mercury in blue crabs found in creeks in Bayelsa State of the Niger Delta region of Nigeria. </w:t>
      </w:r>
      <w:r w:rsidRPr="00A3627C">
        <w:rPr>
          <w:rStyle w:val="18"/>
          <w:rFonts w:ascii="Times New Roman" w:hAnsi="Times New Roman" w:cs="Times New Roman"/>
        </w:rPr>
        <w:t>Asian Journal of Environmental &amp; Ecology, 21</w:t>
      </w:r>
      <w:r w:rsidRPr="00A3627C">
        <w:t>(4), 46–59.</w:t>
      </w:r>
      <w:r w:rsidRPr="00A3627C">
        <w:br/>
      </w:r>
      <w:hyperlink r:id="rId7" w:history="1">
        <w:r w:rsidRPr="00A3627C">
          <w:rPr>
            <w:rStyle w:val="16"/>
            <w:rFonts w:ascii="Times New Roman" w:hAnsi="Times New Roman" w:cs="Times New Roman"/>
          </w:rPr>
          <w:t>http://95.179.195.156:8080/handle/123456789/853</w:t>
        </w:r>
      </w:hyperlink>
    </w:p>
    <w:p w14:paraId="355E69F8" w14:textId="77777777" w:rsidR="00980ACD" w:rsidRPr="00A3627C" w:rsidRDefault="00980ACD" w:rsidP="006A6E13">
      <w:pPr>
        <w:pStyle w:val="NormalWeb"/>
        <w:ind w:left="720" w:hanging="720"/>
        <w:jc w:val="both"/>
      </w:pPr>
      <w:r w:rsidRPr="00A3627C">
        <w:lastRenderedPageBreak/>
        <w:t xml:space="preserve">Benson, R., Conerly, O. D., Sander, W., Batt, A. L., Boone, J. S., Furlong, E. T., Glassmeyer, S. T., Kolpin, D. W., Mash, H. E., Schenck, K. M., &amp; Simmons, J. E. (2017). Human health screening and public health significance of contaminants of emerging concern detected in public water supplies. </w:t>
      </w:r>
      <w:r w:rsidRPr="00A3627C">
        <w:rPr>
          <w:rStyle w:val="18"/>
          <w:rFonts w:ascii="Times New Roman" w:hAnsi="Times New Roman" w:cs="Times New Roman"/>
        </w:rPr>
        <w:t>Science of the Total Environment, 579,</w:t>
      </w:r>
      <w:r w:rsidRPr="00A3627C">
        <w:t xml:space="preserve"> 1643–1648.</w:t>
      </w:r>
      <w:r w:rsidRPr="00A3627C">
        <w:br/>
      </w:r>
      <w:hyperlink r:id="rId8" w:history="1">
        <w:r w:rsidRPr="00A3627C">
          <w:rPr>
            <w:rStyle w:val="16"/>
            <w:rFonts w:ascii="Times New Roman" w:hAnsi="Times New Roman" w:cs="Times New Roman"/>
          </w:rPr>
          <w:t>https://doi.org/10.1016/j.scitotenv.2016.03.146</w:t>
        </w:r>
      </w:hyperlink>
    </w:p>
    <w:p w14:paraId="02140E6A" w14:textId="77777777" w:rsidR="00980ACD" w:rsidRPr="00A3627C" w:rsidRDefault="00980ACD" w:rsidP="006A6E13">
      <w:pPr>
        <w:pStyle w:val="NormalWeb"/>
        <w:ind w:left="720" w:hanging="720"/>
        <w:jc w:val="both"/>
      </w:pPr>
      <w:r w:rsidRPr="00A3627C">
        <w:t xml:space="preserve">Chapman, D. (1996). </w:t>
      </w:r>
      <w:r w:rsidRPr="00A3627C">
        <w:rPr>
          <w:rStyle w:val="18"/>
          <w:rFonts w:ascii="Times New Roman" w:hAnsi="Times New Roman" w:cs="Times New Roman"/>
        </w:rPr>
        <w:t>Water quality assessments: A guide to the use of biota, sediments, and water in environmental monitoring</w:t>
      </w:r>
      <w:r w:rsidRPr="00A3627C">
        <w:t xml:space="preserve"> (2nd ed.). UNESCO/WHO/UNEP.</w:t>
      </w:r>
      <w:r w:rsidRPr="00A3627C">
        <w:br/>
      </w:r>
      <w:hyperlink r:id="rId9" w:history="1">
        <w:r w:rsidRPr="00A3627C">
          <w:rPr>
            <w:rStyle w:val="16"/>
            <w:rFonts w:ascii="Times New Roman" w:hAnsi="Times New Roman" w:cs="Times New Roman"/>
          </w:rPr>
          <w:t>https://www.taylorfrancis.com/books/mono/10.1201/9781003062103/water-quality-assessments-deborah-chapman</w:t>
        </w:r>
      </w:hyperlink>
    </w:p>
    <w:p w14:paraId="56799847" w14:textId="77777777" w:rsidR="00980ACD" w:rsidRPr="00A3627C" w:rsidRDefault="00980ACD" w:rsidP="006A6E13">
      <w:pPr>
        <w:pStyle w:val="NormalWeb"/>
        <w:ind w:left="720" w:hanging="720"/>
        <w:jc w:val="both"/>
      </w:pPr>
      <w:r w:rsidRPr="00A3627C">
        <w:t xml:space="preserve">Dada, O. J., </w:t>
      </w:r>
      <w:proofErr w:type="spellStart"/>
      <w:r w:rsidRPr="00A3627C">
        <w:t>Obadimu</w:t>
      </w:r>
      <w:proofErr w:type="spellEnd"/>
      <w:r w:rsidRPr="00A3627C">
        <w:t xml:space="preserve">, C. O., </w:t>
      </w:r>
      <w:proofErr w:type="spellStart"/>
      <w:r w:rsidRPr="00A3627C">
        <w:t>Ubuo</w:t>
      </w:r>
      <w:proofErr w:type="spellEnd"/>
      <w:r w:rsidRPr="00A3627C">
        <w:t xml:space="preserve">, E. E., &amp; </w:t>
      </w:r>
      <w:proofErr w:type="spellStart"/>
      <w:r w:rsidRPr="00A3627C">
        <w:t>Ekwere</w:t>
      </w:r>
      <w:proofErr w:type="spellEnd"/>
      <w:r w:rsidRPr="00A3627C">
        <w:t xml:space="preserve">, I. O. (2025). Seasonal variation in some physicochemical parameters of water from Douglas Creek, </w:t>
      </w:r>
      <w:proofErr w:type="spellStart"/>
      <w:r w:rsidRPr="00A3627C">
        <w:t>Ibeno</w:t>
      </w:r>
      <w:proofErr w:type="spellEnd"/>
      <w:r w:rsidRPr="00A3627C">
        <w:t xml:space="preserve"> LGA, </w:t>
      </w:r>
      <w:proofErr w:type="spellStart"/>
      <w:r w:rsidRPr="00A3627C">
        <w:t>Akwa</w:t>
      </w:r>
      <w:proofErr w:type="spellEnd"/>
      <w:r w:rsidRPr="00A3627C">
        <w:t xml:space="preserve"> Ibom State. </w:t>
      </w:r>
      <w:r w:rsidRPr="00A3627C">
        <w:rPr>
          <w:rStyle w:val="18"/>
          <w:rFonts w:ascii="Times New Roman" w:hAnsi="Times New Roman" w:cs="Times New Roman"/>
        </w:rPr>
        <w:t>Journal of Environment, Climate, and Ecology, 2</w:t>
      </w:r>
      <w:r w:rsidRPr="00A3627C">
        <w:t>(2), 44–55.</w:t>
      </w:r>
      <w:r w:rsidRPr="00A3627C">
        <w:br/>
      </w:r>
      <w:hyperlink r:id="rId10" w:history="1">
        <w:r w:rsidRPr="00A3627C">
          <w:rPr>
            <w:rStyle w:val="16"/>
            <w:rFonts w:ascii="Times New Roman" w:hAnsi="Times New Roman" w:cs="Times New Roman"/>
          </w:rPr>
          <w:t>https://doi.org/10.69739/jece.v2i2.976</w:t>
        </w:r>
      </w:hyperlink>
    </w:p>
    <w:p w14:paraId="11D3B63D" w14:textId="77777777" w:rsidR="00980ACD" w:rsidRPr="00A3627C" w:rsidRDefault="00980ACD" w:rsidP="006A6E13">
      <w:pPr>
        <w:spacing w:after="100" w:afterAutospacing="1"/>
        <w:ind w:left="720" w:hanging="720"/>
        <w:jc w:val="both"/>
        <w:rPr>
          <w:rFonts w:ascii="Times New Roman" w:eastAsia="Calibri" w:hAnsi="Times New Roman"/>
          <w:sz w:val="24"/>
          <w:szCs w:val="24"/>
        </w:rPr>
      </w:pPr>
      <w:r w:rsidRPr="00A3627C">
        <w:rPr>
          <w:rFonts w:ascii="Times New Roman" w:eastAsia="Calibri" w:hAnsi="Times New Roman"/>
          <w:sz w:val="24"/>
          <w:szCs w:val="24"/>
        </w:rPr>
        <w:t xml:space="preserve">Ekpe, J. E., </w:t>
      </w:r>
      <w:proofErr w:type="spellStart"/>
      <w:r w:rsidRPr="00A3627C">
        <w:rPr>
          <w:rFonts w:ascii="Times New Roman" w:eastAsia="Calibri" w:hAnsi="Times New Roman"/>
          <w:sz w:val="24"/>
          <w:szCs w:val="24"/>
        </w:rPr>
        <w:t>Okpoji</w:t>
      </w:r>
      <w:proofErr w:type="spellEnd"/>
      <w:r w:rsidRPr="00A3627C">
        <w:rPr>
          <w:rFonts w:ascii="Times New Roman" w:eastAsia="Calibri" w:hAnsi="Times New Roman"/>
          <w:sz w:val="24"/>
          <w:szCs w:val="24"/>
        </w:rPr>
        <w:t xml:space="preserve">, A. U., </w:t>
      </w:r>
      <w:proofErr w:type="spellStart"/>
      <w:r w:rsidRPr="00A3627C">
        <w:rPr>
          <w:rFonts w:ascii="Times New Roman" w:eastAsia="Calibri" w:hAnsi="Times New Roman"/>
          <w:sz w:val="24"/>
          <w:szCs w:val="24"/>
        </w:rPr>
        <w:t>Ekwere</w:t>
      </w:r>
      <w:proofErr w:type="spellEnd"/>
      <w:r w:rsidRPr="00A3627C">
        <w:rPr>
          <w:rFonts w:ascii="Times New Roman" w:eastAsia="Calibri" w:hAnsi="Times New Roman"/>
          <w:sz w:val="24"/>
          <w:szCs w:val="24"/>
        </w:rPr>
        <w:t xml:space="preserve">, I. O., </w:t>
      </w:r>
      <w:proofErr w:type="spellStart"/>
      <w:r w:rsidRPr="00A3627C">
        <w:rPr>
          <w:rFonts w:ascii="Times New Roman" w:eastAsia="Calibri" w:hAnsi="Times New Roman"/>
          <w:sz w:val="24"/>
          <w:szCs w:val="24"/>
        </w:rPr>
        <w:t>Anarada</w:t>
      </w:r>
      <w:proofErr w:type="spellEnd"/>
      <w:r w:rsidRPr="00A3627C">
        <w:rPr>
          <w:rFonts w:ascii="Times New Roman" w:eastAsia="Calibri" w:hAnsi="Times New Roman"/>
          <w:sz w:val="24"/>
          <w:szCs w:val="24"/>
        </w:rPr>
        <w:t xml:space="preserve">, C. J., </w:t>
      </w:r>
      <w:proofErr w:type="spellStart"/>
      <w:r w:rsidRPr="00A3627C">
        <w:rPr>
          <w:rFonts w:ascii="Times New Roman" w:eastAsia="Calibri" w:hAnsi="Times New Roman"/>
          <w:sz w:val="24"/>
          <w:szCs w:val="24"/>
        </w:rPr>
        <w:t>Ewuola</w:t>
      </w:r>
      <w:proofErr w:type="spellEnd"/>
      <w:r w:rsidRPr="00A3627C">
        <w:rPr>
          <w:rFonts w:ascii="Times New Roman" w:eastAsia="Calibri" w:hAnsi="Times New Roman"/>
          <w:sz w:val="24"/>
          <w:szCs w:val="24"/>
        </w:rPr>
        <w:t xml:space="preserve">, A. A., Ufuoma, V. O., </w:t>
      </w:r>
      <w:proofErr w:type="spellStart"/>
      <w:r w:rsidRPr="00A3627C">
        <w:rPr>
          <w:rFonts w:ascii="Times New Roman" w:eastAsia="Calibri" w:hAnsi="Times New Roman"/>
          <w:sz w:val="24"/>
          <w:szCs w:val="24"/>
        </w:rPr>
        <w:t>Okpanachi</w:t>
      </w:r>
      <w:proofErr w:type="spellEnd"/>
      <w:r w:rsidRPr="00A3627C">
        <w:rPr>
          <w:rFonts w:ascii="Times New Roman" w:eastAsia="Calibri" w:hAnsi="Times New Roman"/>
          <w:sz w:val="24"/>
          <w:szCs w:val="24"/>
        </w:rPr>
        <w:t xml:space="preserve">, C. B., Okonkwo, C. O., &amp; </w:t>
      </w:r>
      <w:proofErr w:type="spellStart"/>
      <w:r w:rsidRPr="00A3627C">
        <w:rPr>
          <w:rFonts w:ascii="Times New Roman" w:eastAsia="Calibri" w:hAnsi="Times New Roman"/>
          <w:sz w:val="24"/>
          <w:szCs w:val="24"/>
        </w:rPr>
        <w:t>Obunezi</w:t>
      </w:r>
      <w:proofErr w:type="spellEnd"/>
      <w:r w:rsidRPr="00A3627C">
        <w:rPr>
          <w:rFonts w:ascii="Times New Roman" w:eastAsia="Calibri" w:hAnsi="Times New Roman"/>
          <w:sz w:val="24"/>
          <w:szCs w:val="24"/>
        </w:rPr>
        <w:t xml:space="preserve">, O. A. (2025). </w:t>
      </w:r>
      <w:proofErr w:type="spellStart"/>
      <w:r w:rsidRPr="00A3627C">
        <w:rPr>
          <w:rFonts w:ascii="Times New Roman" w:eastAsia="Calibri" w:hAnsi="Times New Roman"/>
          <w:sz w:val="24"/>
          <w:szCs w:val="24"/>
        </w:rPr>
        <w:t>Physico</w:t>
      </w:r>
      <w:proofErr w:type="spellEnd"/>
      <w:r w:rsidRPr="00A3627C">
        <w:rPr>
          <w:rFonts w:ascii="Times New Roman" w:eastAsia="Calibri" w:hAnsi="Times New Roman"/>
          <w:sz w:val="24"/>
          <w:szCs w:val="24"/>
        </w:rPr>
        <w:t xml:space="preserve">-chemical transport of pesticides and nutrients in irrigation water and their fate in </w:t>
      </w:r>
      <w:proofErr w:type="spellStart"/>
      <w:r w:rsidRPr="00A3627C">
        <w:rPr>
          <w:rFonts w:ascii="Times New Roman" w:eastAsia="Calibri" w:hAnsi="Times New Roman"/>
          <w:sz w:val="24"/>
          <w:szCs w:val="24"/>
        </w:rPr>
        <w:t>agro</w:t>
      </w:r>
      <w:proofErr w:type="spellEnd"/>
      <w:r w:rsidRPr="00A3627C">
        <w:rPr>
          <w:rFonts w:ascii="Times New Roman" w:eastAsia="Calibri" w:hAnsi="Times New Roman"/>
          <w:sz w:val="24"/>
          <w:szCs w:val="24"/>
        </w:rPr>
        <w:t xml:space="preserve">-ecosystems of Rivers State, Nigeria. </w:t>
      </w:r>
      <w:proofErr w:type="spellStart"/>
      <w:r w:rsidRPr="00A3627C">
        <w:rPr>
          <w:rFonts w:ascii="Times New Roman" w:eastAsia="Calibri" w:hAnsi="Times New Roman"/>
          <w:i/>
          <w:iCs/>
          <w:sz w:val="24"/>
          <w:szCs w:val="24"/>
        </w:rPr>
        <w:t>Palgo</w:t>
      </w:r>
      <w:proofErr w:type="spellEnd"/>
      <w:r w:rsidRPr="00A3627C">
        <w:rPr>
          <w:rFonts w:ascii="Times New Roman" w:eastAsia="Calibri" w:hAnsi="Times New Roman"/>
          <w:i/>
          <w:iCs/>
          <w:sz w:val="24"/>
          <w:szCs w:val="24"/>
        </w:rPr>
        <w:t xml:space="preserve"> Journal of Agriculture, 9</w:t>
      </w:r>
      <w:r w:rsidRPr="00A3627C">
        <w:rPr>
          <w:rFonts w:ascii="Times New Roman" w:eastAsia="Calibri" w:hAnsi="Times New Roman"/>
          <w:sz w:val="24"/>
          <w:szCs w:val="24"/>
        </w:rPr>
        <w:t xml:space="preserve">(2), 30–37. </w:t>
      </w:r>
      <w:r w:rsidRPr="00A3627C">
        <w:rPr>
          <w:rFonts w:ascii="Times New Roman" w:eastAsia="Calibri" w:hAnsi="Times New Roman"/>
          <w:sz w:val="24"/>
          <w:szCs w:val="24"/>
        </w:rPr>
        <w:br/>
      </w:r>
      <w:hyperlink r:id="rId11" w:history="1">
        <w:r w:rsidRPr="00A3627C">
          <w:rPr>
            <w:rStyle w:val="19"/>
            <w:rFonts w:ascii="Times New Roman" w:eastAsia="Calibri" w:hAnsi="Times New Roman" w:cs="Times New Roman"/>
            <w:sz w:val="24"/>
            <w:szCs w:val="24"/>
            <w:shd w:val="clear" w:color="auto" w:fill="FFFFFF"/>
          </w:rPr>
          <w:t>https://doi.org/10.5281/zenodo.17148360</w:t>
        </w:r>
      </w:hyperlink>
    </w:p>
    <w:p w14:paraId="0202EF7F" w14:textId="77777777" w:rsidR="00980ACD" w:rsidRPr="00A3627C" w:rsidRDefault="00980ACD" w:rsidP="006A6E13">
      <w:pPr>
        <w:spacing w:after="100" w:afterAutospacing="1"/>
        <w:ind w:left="720" w:hanging="720"/>
        <w:jc w:val="both"/>
        <w:rPr>
          <w:rFonts w:ascii="Times New Roman" w:eastAsia="Calibri" w:hAnsi="Times New Roman"/>
          <w:sz w:val="24"/>
          <w:szCs w:val="24"/>
        </w:rPr>
      </w:pPr>
      <w:proofErr w:type="spellStart"/>
      <w:r w:rsidRPr="00A3627C">
        <w:rPr>
          <w:rFonts w:ascii="Times New Roman" w:eastAsia="Calibri" w:hAnsi="Times New Roman"/>
          <w:sz w:val="24"/>
          <w:szCs w:val="24"/>
        </w:rPr>
        <w:t>Ekwere</w:t>
      </w:r>
      <w:proofErr w:type="spellEnd"/>
      <w:r w:rsidRPr="00A3627C">
        <w:rPr>
          <w:rFonts w:ascii="Times New Roman" w:eastAsia="Calibri" w:hAnsi="Times New Roman"/>
          <w:sz w:val="24"/>
          <w:szCs w:val="24"/>
        </w:rPr>
        <w:t xml:space="preserve">, I. O., </w:t>
      </w:r>
      <w:proofErr w:type="spellStart"/>
      <w:r w:rsidRPr="00A3627C">
        <w:rPr>
          <w:rFonts w:ascii="Times New Roman" w:eastAsia="Calibri" w:hAnsi="Times New Roman"/>
          <w:sz w:val="24"/>
          <w:szCs w:val="24"/>
        </w:rPr>
        <w:t>Okpoji</w:t>
      </w:r>
      <w:proofErr w:type="spellEnd"/>
      <w:r w:rsidRPr="00A3627C">
        <w:rPr>
          <w:rFonts w:ascii="Times New Roman" w:eastAsia="Calibri" w:hAnsi="Times New Roman"/>
          <w:sz w:val="24"/>
          <w:szCs w:val="24"/>
        </w:rPr>
        <w:t xml:space="preserve">, A. U., </w:t>
      </w:r>
      <w:proofErr w:type="spellStart"/>
      <w:r w:rsidRPr="00A3627C">
        <w:rPr>
          <w:rFonts w:ascii="Times New Roman" w:eastAsia="Calibri" w:hAnsi="Times New Roman"/>
          <w:sz w:val="24"/>
          <w:szCs w:val="24"/>
        </w:rPr>
        <w:t>Igwegbe</w:t>
      </w:r>
      <w:proofErr w:type="spellEnd"/>
      <w:r w:rsidRPr="00A3627C">
        <w:rPr>
          <w:rFonts w:ascii="Times New Roman" w:eastAsia="Calibri" w:hAnsi="Times New Roman"/>
          <w:sz w:val="24"/>
          <w:szCs w:val="24"/>
        </w:rPr>
        <w:t xml:space="preserve">, K. C., Okonkwo, C. O., </w:t>
      </w:r>
      <w:proofErr w:type="spellStart"/>
      <w:r w:rsidRPr="00A3627C">
        <w:rPr>
          <w:rFonts w:ascii="Times New Roman" w:eastAsia="Calibri" w:hAnsi="Times New Roman"/>
          <w:sz w:val="24"/>
          <w:szCs w:val="24"/>
        </w:rPr>
        <w:t>Yekeen</w:t>
      </w:r>
      <w:proofErr w:type="spellEnd"/>
      <w:r w:rsidRPr="00A3627C">
        <w:rPr>
          <w:rFonts w:ascii="Times New Roman" w:eastAsia="Calibri" w:hAnsi="Times New Roman"/>
          <w:sz w:val="24"/>
          <w:szCs w:val="24"/>
        </w:rPr>
        <w:t xml:space="preserve">, A. A., </w:t>
      </w:r>
      <w:proofErr w:type="spellStart"/>
      <w:r w:rsidRPr="00A3627C">
        <w:rPr>
          <w:rFonts w:ascii="Times New Roman" w:eastAsia="Calibri" w:hAnsi="Times New Roman"/>
          <w:sz w:val="24"/>
          <w:szCs w:val="24"/>
        </w:rPr>
        <w:t>Obunezi</w:t>
      </w:r>
      <w:proofErr w:type="spellEnd"/>
      <w:r w:rsidRPr="00A3627C">
        <w:rPr>
          <w:rFonts w:ascii="Times New Roman" w:eastAsia="Calibri" w:hAnsi="Times New Roman"/>
          <w:sz w:val="24"/>
          <w:szCs w:val="24"/>
        </w:rPr>
        <w:t xml:space="preserve">, O. C., </w:t>
      </w:r>
      <w:proofErr w:type="spellStart"/>
      <w:r w:rsidRPr="00A3627C">
        <w:rPr>
          <w:rFonts w:ascii="Times New Roman" w:eastAsia="Calibri" w:hAnsi="Times New Roman"/>
          <w:sz w:val="24"/>
          <w:szCs w:val="24"/>
        </w:rPr>
        <w:t>Okpanachi</w:t>
      </w:r>
      <w:proofErr w:type="spellEnd"/>
      <w:r w:rsidRPr="00A3627C">
        <w:rPr>
          <w:rFonts w:ascii="Times New Roman" w:eastAsia="Calibri" w:hAnsi="Times New Roman"/>
          <w:sz w:val="24"/>
          <w:szCs w:val="24"/>
        </w:rPr>
        <w:t xml:space="preserve">, C. B., Garuba, M. H., </w:t>
      </w:r>
      <w:proofErr w:type="spellStart"/>
      <w:r w:rsidRPr="00A3627C">
        <w:rPr>
          <w:rFonts w:ascii="Times New Roman" w:eastAsia="Calibri" w:hAnsi="Times New Roman"/>
          <w:sz w:val="24"/>
          <w:szCs w:val="24"/>
        </w:rPr>
        <w:t>Ogini</w:t>
      </w:r>
      <w:proofErr w:type="spellEnd"/>
      <w:r w:rsidRPr="00A3627C">
        <w:rPr>
          <w:rFonts w:ascii="Times New Roman" w:eastAsia="Calibri" w:hAnsi="Times New Roman"/>
          <w:sz w:val="24"/>
          <w:szCs w:val="24"/>
        </w:rPr>
        <w:t xml:space="preserve">, O. R., &amp; </w:t>
      </w:r>
      <w:proofErr w:type="spellStart"/>
      <w:r w:rsidRPr="00A3627C">
        <w:rPr>
          <w:rFonts w:ascii="Times New Roman" w:eastAsia="Calibri" w:hAnsi="Times New Roman"/>
          <w:sz w:val="24"/>
          <w:szCs w:val="24"/>
        </w:rPr>
        <w:t>Odibo</w:t>
      </w:r>
      <w:proofErr w:type="spellEnd"/>
      <w:r w:rsidRPr="00A3627C">
        <w:rPr>
          <w:rFonts w:ascii="Times New Roman" w:eastAsia="Calibri" w:hAnsi="Times New Roman"/>
          <w:sz w:val="24"/>
          <w:szCs w:val="24"/>
        </w:rPr>
        <w:t>, U. E. (2025). Nutritional–Toxicological Trade-Off: Comparative Study of Polycyclic Aromatic Hydrocarbons in Smoked and Oven-Dried Nile Tilapia (Oreochromis niloticus). Journal of Environment, Climate, and Ecology, 2(2), 90-97. https://doi.org/10.69739/jece.v2i2.952</w:t>
      </w:r>
    </w:p>
    <w:p w14:paraId="45AA8A7E" w14:textId="77777777" w:rsidR="00980ACD" w:rsidRPr="00A3627C" w:rsidRDefault="00980ACD" w:rsidP="006A6E13">
      <w:pPr>
        <w:spacing w:after="100" w:afterAutospacing="1"/>
        <w:ind w:left="720" w:hanging="720"/>
        <w:jc w:val="both"/>
        <w:rPr>
          <w:rFonts w:ascii="Times New Roman" w:eastAsia="Calibri" w:hAnsi="Times New Roman"/>
          <w:sz w:val="24"/>
          <w:szCs w:val="24"/>
        </w:rPr>
      </w:pPr>
      <w:proofErr w:type="spellStart"/>
      <w:r w:rsidRPr="00A3627C">
        <w:rPr>
          <w:rFonts w:ascii="Times New Roman" w:eastAsia="Calibri" w:hAnsi="Times New Roman"/>
          <w:sz w:val="24"/>
          <w:szCs w:val="24"/>
        </w:rPr>
        <w:t>Ekwere</w:t>
      </w:r>
      <w:proofErr w:type="spellEnd"/>
      <w:r w:rsidRPr="00A3627C">
        <w:rPr>
          <w:rFonts w:ascii="Times New Roman" w:eastAsia="Calibri" w:hAnsi="Times New Roman"/>
          <w:sz w:val="24"/>
          <w:szCs w:val="24"/>
        </w:rPr>
        <w:t xml:space="preserve">, I. O., </w:t>
      </w:r>
      <w:proofErr w:type="spellStart"/>
      <w:r w:rsidRPr="00A3627C">
        <w:rPr>
          <w:rFonts w:ascii="Times New Roman" w:eastAsia="Calibri" w:hAnsi="Times New Roman"/>
          <w:sz w:val="24"/>
          <w:szCs w:val="24"/>
        </w:rPr>
        <w:t>Okpoji</w:t>
      </w:r>
      <w:proofErr w:type="spellEnd"/>
      <w:r w:rsidRPr="00A3627C">
        <w:rPr>
          <w:rFonts w:ascii="Times New Roman" w:eastAsia="Calibri" w:hAnsi="Times New Roman"/>
          <w:sz w:val="24"/>
          <w:szCs w:val="24"/>
        </w:rPr>
        <w:t xml:space="preserve">, A. U., Ufuoma, V. O., Akinola, A. E., Raymond, C. A., Clement, R. O., </w:t>
      </w:r>
      <w:proofErr w:type="spellStart"/>
      <w:r w:rsidRPr="00A3627C">
        <w:rPr>
          <w:rFonts w:ascii="Times New Roman" w:eastAsia="Calibri" w:hAnsi="Times New Roman"/>
          <w:sz w:val="24"/>
          <w:szCs w:val="24"/>
        </w:rPr>
        <w:t>Alaekwe</w:t>
      </w:r>
      <w:proofErr w:type="spellEnd"/>
      <w:r w:rsidRPr="00A3627C">
        <w:rPr>
          <w:rFonts w:ascii="Times New Roman" w:eastAsia="Calibri" w:hAnsi="Times New Roman"/>
          <w:sz w:val="24"/>
          <w:szCs w:val="24"/>
        </w:rPr>
        <w:t xml:space="preserve">, I. O., </w:t>
      </w:r>
      <w:proofErr w:type="spellStart"/>
      <w:r w:rsidRPr="00A3627C">
        <w:rPr>
          <w:rFonts w:ascii="Times New Roman" w:eastAsia="Calibri" w:hAnsi="Times New Roman"/>
          <w:sz w:val="24"/>
          <w:szCs w:val="24"/>
        </w:rPr>
        <w:t>Etesin</w:t>
      </w:r>
      <w:proofErr w:type="spellEnd"/>
      <w:r w:rsidRPr="00A3627C">
        <w:rPr>
          <w:rFonts w:ascii="Times New Roman" w:eastAsia="Calibri" w:hAnsi="Times New Roman"/>
          <w:sz w:val="24"/>
          <w:szCs w:val="24"/>
        </w:rPr>
        <w:t xml:space="preserve">, M. O., &amp; </w:t>
      </w:r>
      <w:proofErr w:type="spellStart"/>
      <w:r w:rsidRPr="00A3627C">
        <w:rPr>
          <w:rFonts w:ascii="Times New Roman" w:eastAsia="Calibri" w:hAnsi="Times New Roman"/>
          <w:sz w:val="24"/>
          <w:szCs w:val="24"/>
        </w:rPr>
        <w:t>Edodi</w:t>
      </w:r>
      <w:proofErr w:type="spellEnd"/>
      <w:r w:rsidRPr="00A3627C">
        <w:rPr>
          <w:rFonts w:ascii="Times New Roman" w:eastAsia="Calibri" w:hAnsi="Times New Roman"/>
          <w:sz w:val="24"/>
          <w:szCs w:val="24"/>
        </w:rPr>
        <w:t xml:space="preserve">, I. O. (2025). </w:t>
      </w:r>
      <w:r w:rsidRPr="00A3627C">
        <w:rPr>
          <w:rStyle w:val="17"/>
          <w:rFonts w:ascii="Times New Roman" w:eastAsia="Calibri" w:hAnsi="Times New Roman" w:cs="Times New Roman"/>
          <w:sz w:val="24"/>
          <w:szCs w:val="24"/>
        </w:rPr>
        <w:t>Nutritional evaluation of Nile tilapia (Oreochromis niloticus) processed by different drying methods in Akwa Ibom State, Nigeria.</w:t>
      </w:r>
      <w:r w:rsidRPr="00A3627C">
        <w:rPr>
          <w:rFonts w:ascii="Times New Roman" w:eastAsia="Calibri" w:hAnsi="Times New Roman"/>
          <w:sz w:val="24"/>
          <w:szCs w:val="24"/>
        </w:rPr>
        <w:t xml:space="preserve"> </w:t>
      </w:r>
      <w:r w:rsidRPr="00A3627C">
        <w:rPr>
          <w:rStyle w:val="17"/>
          <w:rFonts w:ascii="Times New Roman" w:eastAsia="Calibri" w:hAnsi="Times New Roman" w:cs="Times New Roman"/>
          <w:sz w:val="24"/>
          <w:szCs w:val="24"/>
        </w:rPr>
        <w:t>Journal of Sustainable Research and Development, 1</w:t>
      </w:r>
      <w:r w:rsidRPr="00A3627C">
        <w:rPr>
          <w:rFonts w:ascii="Times New Roman" w:eastAsia="Calibri" w:hAnsi="Times New Roman"/>
          <w:sz w:val="24"/>
          <w:szCs w:val="24"/>
        </w:rPr>
        <w:t xml:space="preserve">(2), 11–17. </w:t>
      </w:r>
      <w:hyperlink r:id="rId12" w:history="1">
        <w:r w:rsidRPr="00A3627C">
          <w:rPr>
            <w:rStyle w:val="19"/>
            <w:rFonts w:ascii="Times New Roman" w:eastAsia="Calibri" w:hAnsi="Times New Roman" w:cs="Times New Roman"/>
            <w:sz w:val="24"/>
            <w:szCs w:val="24"/>
          </w:rPr>
          <w:t>https://doi.org/10.69739/jsrd.v1i2.1033</w:t>
        </w:r>
      </w:hyperlink>
    </w:p>
    <w:p w14:paraId="3A8FD5D3" w14:textId="77777777" w:rsidR="00980ACD" w:rsidRPr="00A3627C" w:rsidRDefault="00980ACD" w:rsidP="006A6E13">
      <w:pPr>
        <w:pStyle w:val="NormalWeb"/>
        <w:ind w:left="720" w:hanging="720"/>
        <w:jc w:val="both"/>
      </w:pPr>
      <w:r w:rsidRPr="00A3627C">
        <w:t xml:space="preserve">Ikpe, E. E., </w:t>
      </w:r>
      <w:proofErr w:type="spellStart"/>
      <w:r w:rsidRPr="00A3627C">
        <w:t>Ekwere</w:t>
      </w:r>
      <w:proofErr w:type="spellEnd"/>
      <w:r w:rsidRPr="00A3627C">
        <w:t xml:space="preserve">, I. O., Ukpong, E. G., Effiong, J. O., &amp; Okon, O. E. (2020). Assessment of heavy metals and hydrocarbons in </w:t>
      </w:r>
      <w:r w:rsidRPr="00A3627C">
        <w:rPr>
          <w:rStyle w:val="18"/>
          <w:rFonts w:ascii="Times New Roman" w:hAnsi="Times New Roman" w:cs="Times New Roman"/>
        </w:rPr>
        <w:t>Rhizophora mangle</w:t>
      </w:r>
      <w:r w:rsidRPr="00A3627C">
        <w:t xml:space="preserve">, </w:t>
      </w:r>
      <w:r w:rsidRPr="00A3627C">
        <w:rPr>
          <w:rStyle w:val="18"/>
          <w:rFonts w:ascii="Times New Roman" w:hAnsi="Times New Roman" w:cs="Times New Roman"/>
        </w:rPr>
        <w:t>Callinectes sapidus</w:t>
      </w:r>
      <w:r w:rsidRPr="00A3627C">
        <w:t>, &amp; sediment in Qua-</w:t>
      </w:r>
      <w:proofErr w:type="spellStart"/>
      <w:r w:rsidRPr="00A3627C">
        <w:t>Iboe</w:t>
      </w:r>
      <w:proofErr w:type="spellEnd"/>
      <w:r w:rsidRPr="00A3627C">
        <w:t xml:space="preserve"> River, </w:t>
      </w:r>
      <w:proofErr w:type="spellStart"/>
      <w:r w:rsidRPr="00A3627C">
        <w:t>Akwa</w:t>
      </w:r>
      <w:proofErr w:type="spellEnd"/>
      <w:r w:rsidRPr="00A3627C">
        <w:t xml:space="preserve"> Ibom State, Nigeria (wet and dry seasons). </w:t>
      </w:r>
      <w:r w:rsidRPr="00A3627C">
        <w:rPr>
          <w:rStyle w:val="18"/>
          <w:rFonts w:ascii="Times New Roman" w:hAnsi="Times New Roman" w:cs="Times New Roman"/>
        </w:rPr>
        <w:t>Global Journal of Advanced Engineering Technology and Sciences, 7</w:t>
      </w:r>
      <w:r w:rsidRPr="00A3627C">
        <w:t>(3).</w:t>
      </w:r>
      <w:r w:rsidRPr="00A3627C">
        <w:br/>
      </w:r>
      <w:hyperlink r:id="rId13" w:history="1">
        <w:r w:rsidRPr="00A3627C">
          <w:rPr>
            <w:rStyle w:val="16"/>
            <w:rFonts w:ascii="Times New Roman" w:hAnsi="Times New Roman" w:cs="Times New Roman"/>
          </w:rPr>
          <w:t>https://gjaets.com/index.php/gjaets/article/view/23</w:t>
        </w:r>
      </w:hyperlink>
    </w:p>
    <w:p w14:paraId="3B0AC629" w14:textId="77777777" w:rsidR="00980ACD" w:rsidRPr="00A3627C" w:rsidRDefault="00980ACD" w:rsidP="006A6E13">
      <w:pPr>
        <w:pStyle w:val="NormalWeb"/>
        <w:ind w:left="720" w:hanging="720"/>
        <w:jc w:val="both"/>
      </w:pPr>
      <w:r w:rsidRPr="00A3627C">
        <w:t xml:space="preserve">Ikpe, E. E., </w:t>
      </w:r>
      <w:proofErr w:type="spellStart"/>
      <w:r w:rsidRPr="00A3627C">
        <w:t>Ekwere</w:t>
      </w:r>
      <w:proofErr w:type="spellEnd"/>
      <w:r w:rsidRPr="00A3627C">
        <w:t xml:space="preserve">, I. O., Ukpong, E. G., Effiong, J. O., &amp; Okon, O. E. (2019). Evaluation of the levels of heavy metals, total petroleum hydrocarbon and total hydrocarbon content in </w:t>
      </w:r>
      <w:proofErr w:type="spellStart"/>
      <w:r w:rsidRPr="00A3627C">
        <w:rPr>
          <w:rStyle w:val="18"/>
          <w:rFonts w:ascii="Times New Roman" w:hAnsi="Times New Roman" w:cs="Times New Roman"/>
        </w:rPr>
        <w:t>Tympanotonus</w:t>
      </w:r>
      <w:proofErr w:type="spellEnd"/>
      <w:r w:rsidRPr="00A3627C">
        <w:rPr>
          <w:rStyle w:val="18"/>
          <w:rFonts w:ascii="Times New Roman" w:hAnsi="Times New Roman" w:cs="Times New Roman"/>
        </w:rPr>
        <w:t xml:space="preserve"> </w:t>
      </w:r>
      <w:proofErr w:type="spellStart"/>
      <w:r w:rsidRPr="00A3627C">
        <w:rPr>
          <w:rStyle w:val="18"/>
          <w:rFonts w:ascii="Times New Roman" w:hAnsi="Times New Roman" w:cs="Times New Roman"/>
        </w:rPr>
        <w:t>fuscatus</w:t>
      </w:r>
      <w:proofErr w:type="spellEnd"/>
      <w:r w:rsidRPr="00A3627C">
        <w:t xml:space="preserve"> and sediment, Qua </w:t>
      </w:r>
      <w:proofErr w:type="spellStart"/>
      <w:r w:rsidRPr="00A3627C">
        <w:t>Iboe</w:t>
      </w:r>
      <w:proofErr w:type="spellEnd"/>
      <w:r w:rsidRPr="00A3627C">
        <w:t xml:space="preserve"> River, </w:t>
      </w:r>
      <w:proofErr w:type="spellStart"/>
      <w:r w:rsidRPr="00A3627C">
        <w:t>Akwa</w:t>
      </w:r>
      <w:proofErr w:type="spellEnd"/>
      <w:r w:rsidRPr="00A3627C">
        <w:t xml:space="preserve"> Ibom State, Nigeria (dry vs. wet season comparison). </w:t>
      </w:r>
      <w:r w:rsidRPr="00A3627C">
        <w:rPr>
          <w:rStyle w:val="18"/>
          <w:rFonts w:ascii="Times New Roman" w:hAnsi="Times New Roman" w:cs="Times New Roman"/>
        </w:rPr>
        <w:t>Chemical Science International Journal, 27</w:t>
      </w:r>
      <w:r w:rsidRPr="00A3627C">
        <w:t>(4), 1–17.</w:t>
      </w:r>
      <w:r w:rsidRPr="00A3627C">
        <w:br/>
      </w:r>
      <w:hyperlink r:id="rId14" w:history="1">
        <w:r w:rsidRPr="00A3627C">
          <w:rPr>
            <w:rStyle w:val="16"/>
            <w:rFonts w:ascii="Times New Roman" w:hAnsi="Times New Roman" w:cs="Times New Roman"/>
          </w:rPr>
          <w:t>https://doi.org/10.9734/CSJI/2019/v27i430121</w:t>
        </w:r>
      </w:hyperlink>
    </w:p>
    <w:p w14:paraId="2760E9D0" w14:textId="77777777" w:rsidR="00980ACD" w:rsidRPr="00A3627C" w:rsidRDefault="00980ACD" w:rsidP="006A6E13">
      <w:pPr>
        <w:pStyle w:val="NormalWeb"/>
        <w:ind w:left="720" w:hanging="720"/>
        <w:jc w:val="both"/>
      </w:pPr>
      <w:r w:rsidRPr="00A3627C">
        <w:t xml:space="preserve">Ikpe, E. E., </w:t>
      </w:r>
      <w:proofErr w:type="spellStart"/>
      <w:r w:rsidRPr="00A3627C">
        <w:t>Etesin</w:t>
      </w:r>
      <w:proofErr w:type="spellEnd"/>
      <w:r w:rsidRPr="00A3627C">
        <w:t xml:space="preserve">, U. M., </w:t>
      </w:r>
      <w:proofErr w:type="spellStart"/>
      <w:r w:rsidRPr="00A3627C">
        <w:t>Ubuo</w:t>
      </w:r>
      <w:proofErr w:type="spellEnd"/>
      <w:r w:rsidRPr="00A3627C">
        <w:t xml:space="preserve">, E. E., &amp; </w:t>
      </w:r>
      <w:proofErr w:type="spellStart"/>
      <w:r w:rsidRPr="00A3627C">
        <w:t>Ekwere</w:t>
      </w:r>
      <w:proofErr w:type="spellEnd"/>
      <w:r w:rsidRPr="00A3627C">
        <w:t>, I. O. (2023). Bioaccumulation of heavy metals and hydrocarbons in sediment, shell and flesh of the fauna in Qua-</w:t>
      </w:r>
      <w:proofErr w:type="spellStart"/>
      <w:r w:rsidRPr="00A3627C">
        <w:t>Iboe</w:t>
      </w:r>
      <w:proofErr w:type="spellEnd"/>
      <w:r w:rsidRPr="00A3627C">
        <w:t xml:space="preserve"> River at </w:t>
      </w:r>
      <w:proofErr w:type="spellStart"/>
      <w:r w:rsidRPr="00A3627C">
        <w:t>Ibeno</w:t>
      </w:r>
      <w:proofErr w:type="spellEnd"/>
      <w:r w:rsidRPr="00A3627C">
        <w:t xml:space="preserve">, Akwa Ibom State, Nigeria (samples collected in dry and wet seasons). </w:t>
      </w:r>
      <w:r w:rsidRPr="00A3627C">
        <w:rPr>
          <w:rStyle w:val="18"/>
          <w:rFonts w:ascii="Times New Roman" w:hAnsi="Times New Roman" w:cs="Times New Roman"/>
        </w:rPr>
        <w:t xml:space="preserve">Asian </w:t>
      </w:r>
      <w:r w:rsidRPr="00A3627C">
        <w:rPr>
          <w:rStyle w:val="18"/>
          <w:rFonts w:ascii="Times New Roman" w:hAnsi="Times New Roman" w:cs="Times New Roman"/>
        </w:rPr>
        <w:lastRenderedPageBreak/>
        <w:t>Journal of Chemical Sciences, 13</w:t>
      </w:r>
      <w:r w:rsidRPr="00A3627C">
        <w:t>(6), 71–93.</w:t>
      </w:r>
      <w:r w:rsidRPr="00A3627C">
        <w:br/>
      </w:r>
      <w:hyperlink r:id="rId15" w:history="1">
        <w:r w:rsidRPr="00A3627C">
          <w:rPr>
            <w:rStyle w:val="16"/>
            <w:rFonts w:ascii="Times New Roman" w:hAnsi="Times New Roman" w:cs="Times New Roman"/>
          </w:rPr>
          <w:t>https://doi.org/10.9734/ajocs/2023/v13i6264</w:t>
        </w:r>
      </w:hyperlink>
    </w:p>
    <w:p w14:paraId="4BF69F03" w14:textId="77777777" w:rsidR="00980ACD" w:rsidRPr="00A3627C" w:rsidRDefault="00980ACD" w:rsidP="006A6E13">
      <w:pPr>
        <w:pStyle w:val="NormalWeb"/>
        <w:ind w:left="720" w:hanging="720"/>
        <w:jc w:val="both"/>
      </w:pPr>
      <w:r w:rsidRPr="00A3627C">
        <w:t xml:space="preserve">Ite, A. E., Harry, T. A., </w:t>
      </w:r>
      <w:proofErr w:type="spellStart"/>
      <w:r w:rsidRPr="00A3627C">
        <w:t>Obadimu</w:t>
      </w:r>
      <w:proofErr w:type="spellEnd"/>
      <w:r w:rsidRPr="00A3627C">
        <w:t xml:space="preserve">, C. O., &amp; </w:t>
      </w:r>
      <w:proofErr w:type="spellStart"/>
      <w:r w:rsidRPr="00A3627C">
        <w:t>Ekwere</w:t>
      </w:r>
      <w:proofErr w:type="spellEnd"/>
      <w:r w:rsidRPr="00A3627C">
        <w:t xml:space="preserve">, I. O. (2019). Comparison of indoor air quality in schools: Urban vs. industrial “oil &amp; gas” zones in Akwa Ibom State – Nigeria (rainy vs. dry seasons). </w:t>
      </w:r>
      <w:r w:rsidRPr="00A3627C">
        <w:rPr>
          <w:rStyle w:val="18"/>
          <w:rFonts w:ascii="Times New Roman" w:hAnsi="Times New Roman" w:cs="Times New Roman"/>
        </w:rPr>
        <w:t>Journal of Environment Pollution and Human Health, 7</w:t>
      </w:r>
      <w:r w:rsidRPr="00A3627C">
        <w:t>(1), 15–26.</w:t>
      </w:r>
      <w:r w:rsidRPr="00A3627C">
        <w:br/>
      </w:r>
      <w:hyperlink r:id="rId16" w:history="1">
        <w:r w:rsidRPr="00A3627C">
          <w:rPr>
            <w:rStyle w:val="16"/>
            <w:rFonts w:ascii="Times New Roman" w:hAnsi="Times New Roman" w:cs="Times New Roman"/>
          </w:rPr>
          <w:t>https://doi.org/10.12691/jephh-7-1-3</w:t>
        </w:r>
      </w:hyperlink>
    </w:p>
    <w:p w14:paraId="4F3F16BF" w14:textId="77777777" w:rsidR="00980ACD" w:rsidRPr="00A3627C" w:rsidRDefault="00980ACD" w:rsidP="006A6E13">
      <w:pPr>
        <w:spacing w:after="0"/>
        <w:ind w:left="720" w:hanging="720"/>
        <w:jc w:val="both"/>
        <w:rPr>
          <w:rFonts w:ascii="Times New Roman" w:eastAsia="Calibri" w:hAnsi="Times New Roman"/>
          <w:sz w:val="24"/>
          <w:szCs w:val="24"/>
        </w:rPr>
      </w:pPr>
      <w:r w:rsidRPr="00A3627C">
        <w:rPr>
          <w:rFonts w:ascii="Times New Roman" w:eastAsia="Calibri" w:hAnsi="Times New Roman"/>
          <w:sz w:val="24"/>
          <w:szCs w:val="24"/>
          <w:shd w:val="clear" w:color="auto" w:fill="F8F8F8"/>
        </w:rPr>
        <w:t xml:space="preserve">John E., E., Emah O., A., Ifiok O., E., </w:t>
      </w:r>
      <w:proofErr w:type="spellStart"/>
      <w:r w:rsidRPr="00A3627C">
        <w:rPr>
          <w:rFonts w:ascii="Times New Roman" w:eastAsia="Calibri" w:hAnsi="Times New Roman"/>
          <w:sz w:val="24"/>
          <w:szCs w:val="24"/>
          <w:shd w:val="clear" w:color="auto" w:fill="F8F8F8"/>
        </w:rPr>
        <w:t>Okpoji</w:t>
      </w:r>
      <w:proofErr w:type="spellEnd"/>
      <w:r w:rsidRPr="00A3627C">
        <w:rPr>
          <w:rFonts w:ascii="Times New Roman" w:eastAsia="Calibri" w:hAnsi="Times New Roman"/>
          <w:sz w:val="24"/>
          <w:szCs w:val="24"/>
          <w:shd w:val="clear" w:color="auto" w:fill="F8F8F8"/>
        </w:rPr>
        <w:t xml:space="preserve">, A. U., Iyam O., E., Henderson O., O., Akinola A., E., Gloria N., A., &amp; Charles N., O. (2025). Health Risk Implications of Polycyclic Aromatic Hydrocarbons in Smoked and Dried Fish Consumed in Nigeria. </w:t>
      </w:r>
      <w:r w:rsidRPr="00A3627C">
        <w:rPr>
          <w:rFonts w:ascii="Times New Roman" w:eastAsia="Calibri" w:hAnsi="Times New Roman"/>
          <w:i/>
          <w:iCs/>
          <w:sz w:val="24"/>
          <w:szCs w:val="24"/>
          <w:shd w:val="clear" w:color="auto" w:fill="F8F8F8"/>
        </w:rPr>
        <w:t>Journal of Medical Science, Biology, and Chemistry</w:t>
      </w:r>
      <w:r w:rsidRPr="00A3627C">
        <w:rPr>
          <w:rFonts w:ascii="Times New Roman" w:eastAsia="Calibri" w:hAnsi="Times New Roman"/>
          <w:sz w:val="24"/>
          <w:szCs w:val="24"/>
          <w:shd w:val="clear" w:color="auto" w:fill="F8F8F8"/>
        </w:rPr>
        <w:t xml:space="preserve">, </w:t>
      </w:r>
      <w:r w:rsidRPr="00A3627C">
        <w:rPr>
          <w:rFonts w:ascii="Times New Roman" w:eastAsia="Calibri" w:hAnsi="Times New Roman"/>
          <w:i/>
          <w:iCs/>
          <w:sz w:val="24"/>
          <w:szCs w:val="24"/>
          <w:shd w:val="clear" w:color="auto" w:fill="F8F8F8"/>
        </w:rPr>
        <w:t>2</w:t>
      </w:r>
      <w:r w:rsidRPr="00A3627C">
        <w:rPr>
          <w:rFonts w:ascii="Times New Roman" w:eastAsia="Calibri" w:hAnsi="Times New Roman"/>
          <w:sz w:val="24"/>
          <w:szCs w:val="24"/>
          <w:shd w:val="clear" w:color="auto" w:fill="F8F8F8"/>
        </w:rPr>
        <w:t xml:space="preserve">(2), 192-199. </w:t>
      </w:r>
      <w:hyperlink r:id="rId17" w:history="1">
        <w:r w:rsidRPr="00A3627C">
          <w:rPr>
            <w:rStyle w:val="19"/>
            <w:rFonts w:ascii="Times New Roman" w:eastAsia="Calibri" w:hAnsi="Times New Roman" w:cs="Times New Roman"/>
            <w:color w:val="006798"/>
            <w:sz w:val="24"/>
            <w:szCs w:val="24"/>
            <w:shd w:val="clear" w:color="auto" w:fill="F8F8F8"/>
          </w:rPr>
          <w:t>https://doi.org/10.69739/jmsbc.v2i2.1045</w:t>
        </w:r>
      </w:hyperlink>
    </w:p>
    <w:p w14:paraId="4258835D" w14:textId="77777777" w:rsidR="00980ACD" w:rsidRPr="00A3627C" w:rsidRDefault="00980ACD" w:rsidP="006A6E13">
      <w:pPr>
        <w:pStyle w:val="NormalWeb"/>
        <w:ind w:left="720" w:hanging="720"/>
        <w:jc w:val="both"/>
      </w:pPr>
      <w:r w:rsidRPr="00A3627C">
        <w:t xml:space="preserve">Ma, Y. H., Su, C. L., Liu, W. J., Zhu, Y. P., &amp; Li, J. X. (2016). Identification of </w:t>
      </w:r>
      <w:proofErr w:type="spellStart"/>
      <w:r w:rsidRPr="00A3627C">
        <w:t>sulfate</w:t>
      </w:r>
      <w:proofErr w:type="spellEnd"/>
      <w:r w:rsidRPr="00A3627C">
        <w:t xml:space="preserve"> sources in the groundwater system of </w:t>
      </w:r>
      <w:proofErr w:type="spellStart"/>
      <w:r w:rsidRPr="00A3627C">
        <w:t>Zaozhuang</w:t>
      </w:r>
      <w:proofErr w:type="spellEnd"/>
      <w:r w:rsidRPr="00A3627C">
        <w:t xml:space="preserve">: Isotopic and </w:t>
      </w:r>
      <w:proofErr w:type="spellStart"/>
      <w:r w:rsidRPr="00A3627C">
        <w:t>hydrochemical</w:t>
      </w:r>
      <w:proofErr w:type="spellEnd"/>
      <w:r w:rsidRPr="00A3627C">
        <w:t xml:space="preserve"> evidence. </w:t>
      </w:r>
      <w:r w:rsidRPr="00A3627C">
        <w:rPr>
          <w:rStyle w:val="18"/>
          <w:rFonts w:ascii="Times New Roman" w:hAnsi="Times New Roman" w:cs="Times New Roman"/>
        </w:rPr>
        <w:t>Environmental Science, 37,</w:t>
      </w:r>
      <w:r w:rsidRPr="00A3627C">
        <w:t xml:space="preserve"> 4690–4699.</w:t>
      </w:r>
      <w:r w:rsidRPr="00A3627C">
        <w:br/>
      </w:r>
      <w:hyperlink r:id="rId18" w:history="1">
        <w:r w:rsidRPr="00A3627C">
          <w:rPr>
            <w:rStyle w:val="16"/>
            <w:rFonts w:ascii="Times New Roman" w:hAnsi="Times New Roman" w:cs="Times New Roman"/>
          </w:rPr>
          <w:t>https://europepmc.org/article/med/29965309</w:t>
        </w:r>
      </w:hyperlink>
    </w:p>
    <w:p w14:paraId="58B468CA" w14:textId="77777777" w:rsidR="00980ACD" w:rsidRPr="00A3627C" w:rsidRDefault="00980ACD" w:rsidP="006A6E13">
      <w:pPr>
        <w:pStyle w:val="NormalWeb"/>
        <w:ind w:left="720" w:hanging="720"/>
        <w:jc w:val="both"/>
      </w:pPr>
      <w:r w:rsidRPr="00A3627C">
        <w:t xml:space="preserve">Nienie, A. B., Sivalingam, P., Laffite, A., </w:t>
      </w:r>
      <w:proofErr w:type="spellStart"/>
      <w:r w:rsidRPr="00A3627C">
        <w:t>Ngelinkoto</w:t>
      </w:r>
      <w:proofErr w:type="spellEnd"/>
      <w:r w:rsidRPr="00A3627C">
        <w:t xml:space="preserve">, P., </w:t>
      </w:r>
      <w:proofErr w:type="spellStart"/>
      <w:r w:rsidRPr="00A3627C">
        <w:t>Otamonga</w:t>
      </w:r>
      <w:proofErr w:type="spellEnd"/>
      <w:r w:rsidRPr="00A3627C">
        <w:t xml:space="preserve">, J. P., </w:t>
      </w:r>
      <w:proofErr w:type="spellStart"/>
      <w:r w:rsidRPr="00A3627C">
        <w:t>Matand</w:t>
      </w:r>
      <w:proofErr w:type="spellEnd"/>
      <w:r w:rsidRPr="00A3627C">
        <w:t xml:space="preserve">, A., Mulaji, C. K., </w:t>
      </w:r>
      <w:proofErr w:type="spellStart"/>
      <w:r w:rsidRPr="00A3627C">
        <w:t>Mubedi</w:t>
      </w:r>
      <w:proofErr w:type="spellEnd"/>
      <w:r w:rsidRPr="00A3627C">
        <w:t xml:space="preserve">, J. I., Mpiana, P. T., &amp; </w:t>
      </w:r>
      <w:proofErr w:type="spellStart"/>
      <w:r w:rsidRPr="00A3627C">
        <w:t>Poté</w:t>
      </w:r>
      <w:proofErr w:type="spellEnd"/>
      <w:r w:rsidRPr="00A3627C">
        <w:t xml:space="preserve">, J. (2017). Seasonal variability of water quality by physicochemical indexes and traceable metals in a suburban area in </w:t>
      </w:r>
      <w:proofErr w:type="spellStart"/>
      <w:r w:rsidRPr="00A3627C">
        <w:t>Kikwit</w:t>
      </w:r>
      <w:proofErr w:type="spellEnd"/>
      <w:r w:rsidRPr="00A3627C">
        <w:t xml:space="preserve">, DRC. </w:t>
      </w:r>
      <w:r w:rsidRPr="00A3627C">
        <w:rPr>
          <w:rStyle w:val="18"/>
          <w:rFonts w:ascii="Times New Roman" w:hAnsi="Times New Roman" w:cs="Times New Roman"/>
        </w:rPr>
        <w:t>International Soil and Water Conservation Research, 5</w:t>
      </w:r>
      <w:r w:rsidRPr="00A3627C">
        <w:t>(2), 158–165.</w:t>
      </w:r>
      <w:r w:rsidRPr="00A3627C">
        <w:br/>
      </w:r>
      <w:hyperlink r:id="rId19" w:history="1">
        <w:r w:rsidRPr="00A3627C">
          <w:rPr>
            <w:rStyle w:val="16"/>
            <w:rFonts w:ascii="Times New Roman" w:hAnsi="Times New Roman" w:cs="Times New Roman"/>
          </w:rPr>
          <w:t>https://doi.org/10.1016/j.iswcr.2017.02.002</w:t>
        </w:r>
      </w:hyperlink>
    </w:p>
    <w:p w14:paraId="1C24FDB4" w14:textId="77777777" w:rsidR="00980ACD" w:rsidRPr="00A3627C" w:rsidRDefault="00980ACD" w:rsidP="006A6E13">
      <w:pPr>
        <w:pStyle w:val="NormalWeb"/>
        <w:ind w:left="720" w:hanging="720"/>
        <w:jc w:val="both"/>
      </w:pPr>
      <w:proofErr w:type="spellStart"/>
      <w:r w:rsidRPr="00A3627C">
        <w:t>Nriagu</w:t>
      </w:r>
      <w:proofErr w:type="spellEnd"/>
      <w:r w:rsidRPr="00A3627C">
        <w:t xml:space="preserve">, J. O., Udofia, E. A., Ekong, I., &amp; </w:t>
      </w:r>
      <w:proofErr w:type="spellStart"/>
      <w:r w:rsidRPr="00A3627C">
        <w:t>Ebuk</w:t>
      </w:r>
      <w:proofErr w:type="spellEnd"/>
      <w:r w:rsidRPr="00A3627C">
        <w:t xml:space="preserve">, G. (2016). Health risks associated with oil pollution in the Niger Delta, Nigeria. </w:t>
      </w:r>
      <w:r w:rsidRPr="00A3627C">
        <w:rPr>
          <w:rStyle w:val="18"/>
          <w:rFonts w:ascii="Times New Roman" w:hAnsi="Times New Roman" w:cs="Times New Roman"/>
        </w:rPr>
        <w:t>International Journal of Environmental Research and Public Health, 13</w:t>
      </w:r>
      <w:r w:rsidRPr="00A3627C">
        <w:t>(3), 346.</w:t>
      </w:r>
      <w:r w:rsidRPr="00A3627C">
        <w:br/>
      </w:r>
      <w:hyperlink r:id="rId20" w:history="1">
        <w:r w:rsidRPr="00A3627C">
          <w:rPr>
            <w:rStyle w:val="16"/>
            <w:rFonts w:ascii="Times New Roman" w:hAnsi="Times New Roman" w:cs="Times New Roman"/>
          </w:rPr>
          <w:t>https://doi.org/10.3390/ijerph13030346</w:t>
        </w:r>
      </w:hyperlink>
    </w:p>
    <w:p w14:paraId="5225A095" w14:textId="77777777" w:rsidR="00980ACD" w:rsidRPr="00A3627C" w:rsidRDefault="00980ACD" w:rsidP="006A6E13">
      <w:pPr>
        <w:pStyle w:val="NormalWeb"/>
        <w:ind w:left="720" w:hanging="720"/>
        <w:jc w:val="both"/>
      </w:pPr>
      <w:proofErr w:type="spellStart"/>
      <w:r w:rsidRPr="00A3627C">
        <w:t>Nwilo</w:t>
      </w:r>
      <w:proofErr w:type="spellEnd"/>
      <w:r w:rsidRPr="00A3627C">
        <w:t xml:space="preserve">, P. C., &amp; Badejo, O. T. (2005). Oil spill problems and management in the Niger Delta. </w:t>
      </w:r>
      <w:r w:rsidRPr="00A3627C">
        <w:rPr>
          <w:rStyle w:val="18"/>
          <w:rFonts w:ascii="Times New Roman" w:hAnsi="Times New Roman" w:cs="Times New Roman"/>
        </w:rPr>
        <w:t>Proceedings of the International Oil Spill Conference, 2005</w:t>
      </w:r>
      <w:r w:rsidRPr="00A3627C">
        <w:t>(1), 567–573.</w:t>
      </w:r>
      <w:r w:rsidRPr="00A3627C">
        <w:br/>
      </w:r>
      <w:hyperlink r:id="rId21" w:history="1">
        <w:r w:rsidRPr="00A3627C">
          <w:rPr>
            <w:rStyle w:val="16"/>
            <w:rFonts w:ascii="Times New Roman" w:hAnsi="Times New Roman" w:cs="Times New Roman"/>
          </w:rPr>
          <w:t>https://doi.org/10.7901/2169-3358-2005-1-567</w:t>
        </w:r>
      </w:hyperlink>
    </w:p>
    <w:p w14:paraId="088E44D5" w14:textId="77777777" w:rsidR="00980ACD" w:rsidRPr="00A3627C" w:rsidRDefault="00980ACD" w:rsidP="006A6E13">
      <w:pPr>
        <w:pStyle w:val="NormalWeb"/>
        <w:ind w:left="720" w:hanging="720"/>
        <w:jc w:val="both"/>
      </w:pPr>
      <w:proofErr w:type="spellStart"/>
      <w:r w:rsidRPr="00A3627C">
        <w:t>Okpoji</w:t>
      </w:r>
      <w:proofErr w:type="spellEnd"/>
      <w:r w:rsidRPr="00A3627C">
        <w:t xml:space="preserve">, A. U., </w:t>
      </w:r>
      <w:proofErr w:type="spellStart"/>
      <w:r w:rsidRPr="00A3627C">
        <w:t>Anarado</w:t>
      </w:r>
      <w:proofErr w:type="spellEnd"/>
      <w:r w:rsidRPr="00A3627C">
        <w:t xml:space="preserve">, C. O., </w:t>
      </w:r>
      <w:proofErr w:type="spellStart"/>
      <w:r w:rsidRPr="00A3627C">
        <w:t>Mmuta</w:t>
      </w:r>
      <w:proofErr w:type="spellEnd"/>
      <w:r w:rsidRPr="00A3627C">
        <w:t xml:space="preserve">, E. C., </w:t>
      </w:r>
      <w:proofErr w:type="spellStart"/>
      <w:r w:rsidRPr="00A3627C">
        <w:t>Ekwere</w:t>
      </w:r>
      <w:proofErr w:type="spellEnd"/>
      <w:r w:rsidRPr="00A3627C">
        <w:t xml:space="preserve">, I. O., </w:t>
      </w:r>
      <w:proofErr w:type="spellStart"/>
      <w:r w:rsidRPr="00A3627C">
        <w:t>Alaekwe</w:t>
      </w:r>
      <w:proofErr w:type="spellEnd"/>
      <w:r w:rsidRPr="00A3627C">
        <w:t xml:space="preserve">, I. O., </w:t>
      </w:r>
      <w:proofErr w:type="spellStart"/>
      <w:r w:rsidRPr="00A3627C">
        <w:t>Odibo</w:t>
      </w:r>
      <w:proofErr w:type="spellEnd"/>
      <w:r w:rsidRPr="00A3627C">
        <w:t xml:space="preserve">, U. E., </w:t>
      </w:r>
      <w:proofErr w:type="spellStart"/>
      <w:r w:rsidRPr="00A3627C">
        <w:t>Igwegbe</w:t>
      </w:r>
      <w:proofErr w:type="spellEnd"/>
      <w:r w:rsidRPr="00A3627C">
        <w:t xml:space="preserve">, K. C., </w:t>
      </w:r>
      <w:proofErr w:type="spellStart"/>
      <w:r w:rsidRPr="00A3627C">
        <w:t>Eboj-Ajoku</w:t>
      </w:r>
      <w:proofErr w:type="spellEnd"/>
      <w:r w:rsidRPr="00A3627C">
        <w:t xml:space="preserve">, I. O., &amp; </w:t>
      </w:r>
      <w:proofErr w:type="spellStart"/>
      <w:r w:rsidRPr="00A3627C">
        <w:t>Obunezi</w:t>
      </w:r>
      <w:proofErr w:type="spellEnd"/>
      <w:r w:rsidRPr="00A3627C">
        <w:t xml:space="preserve">, O. C. (2025). Toxicological evaluation of Pb, Cd, As, and Hg in blue crab from oil-polluted creeks in the Niger Delta. </w:t>
      </w:r>
      <w:r w:rsidRPr="00A3627C">
        <w:rPr>
          <w:rStyle w:val="18"/>
          <w:rFonts w:ascii="Times New Roman" w:hAnsi="Times New Roman" w:cs="Times New Roman"/>
        </w:rPr>
        <w:t>Journal of Life Science and Public Health, 1</w:t>
      </w:r>
      <w:r w:rsidRPr="00A3627C">
        <w:t>(1), 24–31.</w:t>
      </w:r>
      <w:r w:rsidRPr="00A3627C">
        <w:br/>
      </w:r>
      <w:hyperlink r:id="rId22" w:history="1">
        <w:r w:rsidRPr="00A3627C">
          <w:rPr>
            <w:rStyle w:val="16"/>
            <w:rFonts w:ascii="Times New Roman" w:hAnsi="Times New Roman" w:cs="Times New Roman"/>
          </w:rPr>
          <w:t>https://doi.org/10.69739/jlsph.v1i1.879</w:t>
        </w:r>
      </w:hyperlink>
    </w:p>
    <w:p w14:paraId="54F3448B" w14:textId="77777777" w:rsidR="00980ACD" w:rsidRPr="00A3627C" w:rsidRDefault="00980ACD" w:rsidP="006A6E13">
      <w:pPr>
        <w:pStyle w:val="NormalWeb"/>
        <w:ind w:left="720" w:hanging="720"/>
        <w:jc w:val="both"/>
      </w:pPr>
      <w:proofErr w:type="spellStart"/>
      <w:r w:rsidRPr="00A3627C">
        <w:t>Okpoji</w:t>
      </w:r>
      <w:proofErr w:type="spellEnd"/>
      <w:r w:rsidRPr="00A3627C">
        <w:t xml:space="preserve">, A. U., Chinyere, U. E., </w:t>
      </w:r>
      <w:proofErr w:type="spellStart"/>
      <w:r w:rsidRPr="00A3627C">
        <w:t>Nwokoye</w:t>
      </w:r>
      <w:proofErr w:type="spellEnd"/>
      <w:r w:rsidRPr="00A3627C">
        <w:t xml:space="preserve">, J. N., </w:t>
      </w:r>
      <w:proofErr w:type="spellStart"/>
      <w:r w:rsidRPr="00A3627C">
        <w:t>Ezekwuemen</w:t>
      </w:r>
      <w:proofErr w:type="spellEnd"/>
      <w:r w:rsidRPr="00A3627C">
        <w:t xml:space="preserve">, O. I., </w:t>
      </w:r>
      <w:proofErr w:type="spellStart"/>
      <w:r w:rsidRPr="00A3627C">
        <w:t>Alaekwe</w:t>
      </w:r>
      <w:proofErr w:type="spellEnd"/>
      <w:r w:rsidRPr="00A3627C">
        <w:t xml:space="preserve">, I. O., </w:t>
      </w:r>
      <w:proofErr w:type="spellStart"/>
      <w:r w:rsidRPr="00A3627C">
        <w:t>Odidika</w:t>
      </w:r>
      <w:proofErr w:type="spellEnd"/>
      <w:r w:rsidRPr="00A3627C">
        <w:t xml:space="preserve">, C. C., </w:t>
      </w:r>
      <w:proofErr w:type="spellStart"/>
      <w:r w:rsidRPr="00A3627C">
        <w:t>Owughara</w:t>
      </w:r>
      <w:proofErr w:type="spellEnd"/>
      <w:r w:rsidRPr="00A3627C">
        <w:t xml:space="preserve">, C. N., Enyi, C. M., &amp; Kolawole, O. O. (2025). Environmental assessment of heavy metals and hydrocarbon pollution in surface waters of oil-bearing communities in Andoni, Rivers State, Nigeria. </w:t>
      </w:r>
      <w:r w:rsidRPr="00A3627C">
        <w:rPr>
          <w:rStyle w:val="18"/>
          <w:rFonts w:ascii="Times New Roman" w:hAnsi="Times New Roman" w:cs="Times New Roman"/>
        </w:rPr>
        <w:t>International Journal of Modern Science and Research Technology, 3</w:t>
      </w:r>
      <w:r w:rsidRPr="00A3627C">
        <w:t>(8), 22–30.</w:t>
      </w:r>
      <w:r w:rsidRPr="00A3627C">
        <w:br/>
      </w:r>
      <w:hyperlink r:id="rId23" w:history="1">
        <w:r w:rsidRPr="00A3627C">
          <w:rPr>
            <w:rStyle w:val="16"/>
            <w:rFonts w:ascii="Times New Roman" w:hAnsi="Times New Roman" w:cs="Times New Roman"/>
          </w:rPr>
          <w:t>http://www.ijmsrt.com</w:t>
        </w:r>
      </w:hyperlink>
    </w:p>
    <w:p w14:paraId="139965EF" w14:textId="77777777" w:rsidR="00980ACD" w:rsidRPr="00A3627C" w:rsidRDefault="00980ACD" w:rsidP="006A6E13">
      <w:pPr>
        <w:spacing w:after="100" w:afterAutospacing="1"/>
        <w:ind w:left="720" w:hanging="720"/>
        <w:jc w:val="both"/>
        <w:rPr>
          <w:rFonts w:ascii="Times New Roman" w:eastAsia="Calibri" w:hAnsi="Times New Roman"/>
          <w:sz w:val="24"/>
          <w:szCs w:val="24"/>
        </w:rPr>
      </w:pPr>
      <w:proofErr w:type="spellStart"/>
      <w:r w:rsidRPr="00A3627C">
        <w:rPr>
          <w:rFonts w:ascii="Times New Roman" w:eastAsia="Calibri" w:hAnsi="Times New Roman"/>
          <w:sz w:val="24"/>
          <w:szCs w:val="24"/>
        </w:rPr>
        <w:t>Okpoji</w:t>
      </w:r>
      <w:proofErr w:type="spellEnd"/>
      <w:r w:rsidRPr="00A3627C">
        <w:rPr>
          <w:rFonts w:ascii="Times New Roman" w:eastAsia="Calibri" w:hAnsi="Times New Roman"/>
          <w:sz w:val="24"/>
          <w:szCs w:val="24"/>
        </w:rPr>
        <w:t xml:space="preserve">, A. U., Eboh-Ajoku, I. O., </w:t>
      </w:r>
      <w:proofErr w:type="spellStart"/>
      <w:r w:rsidRPr="00A3627C">
        <w:rPr>
          <w:rFonts w:ascii="Times New Roman" w:eastAsia="Calibri" w:hAnsi="Times New Roman"/>
          <w:sz w:val="24"/>
          <w:szCs w:val="24"/>
        </w:rPr>
        <w:t>Mmuta</w:t>
      </w:r>
      <w:proofErr w:type="spellEnd"/>
      <w:r w:rsidRPr="00A3627C">
        <w:rPr>
          <w:rFonts w:ascii="Times New Roman" w:eastAsia="Calibri" w:hAnsi="Times New Roman"/>
          <w:sz w:val="24"/>
          <w:szCs w:val="24"/>
        </w:rPr>
        <w:t xml:space="preserve">, E. C., Ndubuisi, J. O., </w:t>
      </w:r>
      <w:proofErr w:type="spellStart"/>
      <w:r w:rsidRPr="00A3627C">
        <w:rPr>
          <w:rFonts w:ascii="Times New Roman" w:eastAsia="Calibri" w:hAnsi="Times New Roman"/>
          <w:sz w:val="24"/>
          <w:szCs w:val="24"/>
        </w:rPr>
        <w:t>Alaekwe</w:t>
      </w:r>
      <w:proofErr w:type="spellEnd"/>
      <w:r w:rsidRPr="00A3627C">
        <w:rPr>
          <w:rFonts w:ascii="Times New Roman" w:eastAsia="Calibri" w:hAnsi="Times New Roman"/>
          <w:sz w:val="24"/>
          <w:szCs w:val="24"/>
        </w:rPr>
        <w:t xml:space="preserve">, I. O., </w:t>
      </w:r>
      <w:proofErr w:type="spellStart"/>
      <w:r w:rsidRPr="00A3627C">
        <w:rPr>
          <w:rFonts w:ascii="Times New Roman" w:eastAsia="Calibri" w:hAnsi="Times New Roman"/>
          <w:sz w:val="24"/>
          <w:szCs w:val="24"/>
        </w:rPr>
        <w:t>Odibo</w:t>
      </w:r>
      <w:proofErr w:type="spellEnd"/>
      <w:r w:rsidRPr="00A3627C">
        <w:rPr>
          <w:rFonts w:ascii="Times New Roman" w:eastAsia="Calibri" w:hAnsi="Times New Roman"/>
          <w:sz w:val="24"/>
          <w:szCs w:val="24"/>
        </w:rPr>
        <w:t xml:space="preserve">, U. E., </w:t>
      </w:r>
      <w:proofErr w:type="spellStart"/>
      <w:r w:rsidRPr="00A3627C">
        <w:rPr>
          <w:rFonts w:ascii="Times New Roman" w:eastAsia="Calibri" w:hAnsi="Times New Roman"/>
          <w:sz w:val="24"/>
          <w:szCs w:val="24"/>
        </w:rPr>
        <w:t>Nwoka</w:t>
      </w:r>
      <w:proofErr w:type="spellEnd"/>
      <w:r w:rsidRPr="00A3627C">
        <w:rPr>
          <w:rFonts w:ascii="Times New Roman" w:eastAsia="Calibri" w:hAnsi="Times New Roman"/>
          <w:sz w:val="24"/>
          <w:szCs w:val="24"/>
        </w:rPr>
        <w:t xml:space="preserve">, N. G., Okafor, C. A., &amp; </w:t>
      </w:r>
      <w:proofErr w:type="spellStart"/>
      <w:r w:rsidRPr="00A3627C">
        <w:rPr>
          <w:rFonts w:ascii="Times New Roman" w:eastAsia="Calibri" w:hAnsi="Times New Roman"/>
          <w:sz w:val="24"/>
          <w:szCs w:val="24"/>
        </w:rPr>
        <w:t>Obunezi</w:t>
      </w:r>
      <w:proofErr w:type="spellEnd"/>
      <w:r w:rsidRPr="00A3627C">
        <w:rPr>
          <w:rFonts w:ascii="Times New Roman" w:eastAsia="Calibri" w:hAnsi="Times New Roman"/>
          <w:sz w:val="24"/>
          <w:szCs w:val="24"/>
        </w:rPr>
        <w:t xml:space="preserve">, O. C. (2025). Integrated environmental risk </w:t>
      </w:r>
      <w:r w:rsidRPr="00A3627C">
        <w:rPr>
          <w:rFonts w:ascii="Times New Roman" w:eastAsia="Calibri" w:hAnsi="Times New Roman"/>
          <w:sz w:val="24"/>
          <w:szCs w:val="24"/>
        </w:rPr>
        <w:lastRenderedPageBreak/>
        <w:t xml:space="preserve">assessment of BTEX and PAHs in water and sediment samples from the Bonny River, Nigeria. </w:t>
      </w:r>
      <w:r w:rsidRPr="00A3627C">
        <w:rPr>
          <w:rFonts w:ascii="Times New Roman" w:eastAsia="Calibri" w:hAnsi="Times New Roman"/>
          <w:i/>
          <w:iCs/>
          <w:sz w:val="24"/>
          <w:szCs w:val="24"/>
        </w:rPr>
        <w:t>ISA Journal of Multidisciplinary (ISAJM), 2</w:t>
      </w:r>
      <w:r w:rsidRPr="00A3627C">
        <w:rPr>
          <w:rFonts w:ascii="Times New Roman" w:eastAsia="Calibri" w:hAnsi="Times New Roman"/>
          <w:sz w:val="24"/>
          <w:szCs w:val="24"/>
        </w:rPr>
        <w:t>(4), 14–21.</w:t>
      </w:r>
    </w:p>
    <w:p w14:paraId="7EE848B4" w14:textId="77777777" w:rsidR="00980ACD" w:rsidRPr="00A3627C" w:rsidRDefault="00980ACD" w:rsidP="006A6E13">
      <w:pPr>
        <w:spacing w:after="100" w:afterAutospacing="1"/>
        <w:ind w:left="720" w:hanging="720"/>
        <w:jc w:val="both"/>
        <w:rPr>
          <w:rFonts w:ascii="Times New Roman" w:eastAsia="Calibri" w:hAnsi="Times New Roman"/>
          <w:sz w:val="24"/>
          <w:szCs w:val="24"/>
        </w:rPr>
      </w:pPr>
      <w:proofErr w:type="spellStart"/>
      <w:r w:rsidRPr="00A3627C">
        <w:rPr>
          <w:rFonts w:ascii="Times New Roman" w:eastAsia="Calibri" w:hAnsi="Times New Roman"/>
          <w:sz w:val="24"/>
          <w:szCs w:val="24"/>
        </w:rPr>
        <w:t>Okpoji</w:t>
      </w:r>
      <w:proofErr w:type="spellEnd"/>
      <w:r w:rsidRPr="00A3627C">
        <w:rPr>
          <w:rFonts w:ascii="Times New Roman" w:eastAsia="Calibri" w:hAnsi="Times New Roman"/>
          <w:sz w:val="24"/>
          <w:szCs w:val="24"/>
        </w:rPr>
        <w:t xml:space="preserve">, A. U., </w:t>
      </w:r>
      <w:proofErr w:type="spellStart"/>
      <w:r w:rsidRPr="00A3627C">
        <w:rPr>
          <w:rFonts w:ascii="Times New Roman" w:eastAsia="Calibri" w:hAnsi="Times New Roman"/>
          <w:sz w:val="24"/>
          <w:szCs w:val="24"/>
        </w:rPr>
        <w:t>Ekwere</w:t>
      </w:r>
      <w:proofErr w:type="spellEnd"/>
      <w:r w:rsidRPr="00A3627C">
        <w:rPr>
          <w:rFonts w:ascii="Times New Roman" w:eastAsia="Calibri" w:hAnsi="Times New Roman"/>
          <w:sz w:val="24"/>
          <w:szCs w:val="24"/>
        </w:rPr>
        <w:t xml:space="preserve">, I. O., </w:t>
      </w:r>
      <w:proofErr w:type="spellStart"/>
      <w:r w:rsidRPr="00A3627C">
        <w:rPr>
          <w:rFonts w:ascii="Times New Roman" w:eastAsia="Calibri" w:hAnsi="Times New Roman"/>
          <w:sz w:val="24"/>
          <w:szCs w:val="24"/>
        </w:rPr>
        <w:t>Igwegbe</w:t>
      </w:r>
      <w:proofErr w:type="spellEnd"/>
      <w:r w:rsidRPr="00A3627C">
        <w:rPr>
          <w:rFonts w:ascii="Times New Roman" w:eastAsia="Calibri" w:hAnsi="Times New Roman"/>
          <w:sz w:val="24"/>
          <w:szCs w:val="24"/>
        </w:rPr>
        <w:t xml:space="preserve">, K. C., </w:t>
      </w:r>
      <w:proofErr w:type="spellStart"/>
      <w:r w:rsidRPr="00A3627C">
        <w:rPr>
          <w:rFonts w:ascii="Times New Roman" w:eastAsia="Calibri" w:hAnsi="Times New Roman"/>
          <w:sz w:val="24"/>
          <w:szCs w:val="24"/>
        </w:rPr>
        <w:t>Anarado</w:t>
      </w:r>
      <w:proofErr w:type="spellEnd"/>
      <w:r w:rsidRPr="00A3627C">
        <w:rPr>
          <w:rFonts w:ascii="Times New Roman" w:eastAsia="Calibri" w:hAnsi="Times New Roman"/>
          <w:sz w:val="24"/>
          <w:szCs w:val="24"/>
        </w:rPr>
        <w:t xml:space="preserve">, C. J. O., Ogbonna, C., </w:t>
      </w:r>
      <w:proofErr w:type="spellStart"/>
      <w:r w:rsidRPr="00A3627C">
        <w:rPr>
          <w:rFonts w:ascii="Times New Roman" w:eastAsia="Calibri" w:hAnsi="Times New Roman"/>
          <w:sz w:val="24"/>
          <w:szCs w:val="24"/>
        </w:rPr>
        <w:t>Ewuola</w:t>
      </w:r>
      <w:proofErr w:type="spellEnd"/>
      <w:r w:rsidRPr="00A3627C">
        <w:rPr>
          <w:rFonts w:ascii="Times New Roman" w:eastAsia="Calibri" w:hAnsi="Times New Roman"/>
          <w:sz w:val="24"/>
          <w:szCs w:val="24"/>
        </w:rPr>
        <w:t xml:space="preserve">, A. A., </w:t>
      </w:r>
      <w:proofErr w:type="spellStart"/>
      <w:r w:rsidRPr="00A3627C">
        <w:rPr>
          <w:rFonts w:ascii="Times New Roman" w:eastAsia="Calibri" w:hAnsi="Times New Roman"/>
          <w:sz w:val="24"/>
          <w:szCs w:val="24"/>
        </w:rPr>
        <w:t>Odibo</w:t>
      </w:r>
      <w:proofErr w:type="spellEnd"/>
      <w:r w:rsidRPr="00A3627C">
        <w:rPr>
          <w:rFonts w:ascii="Times New Roman" w:eastAsia="Calibri" w:hAnsi="Times New Roman"/>
          <w:sz w:val="24"/>
          <w:szCs w:val="24"/>
        </w:rPr>
        <w:t xml:space="preserve">, U. E., &amp; Garuba, M. H. (2025). Volatile organic compounds from gas flaring and their atmospheric implications in the Niger Delta. </w:t>
      </w:r>
      <w:r w:rsidRPr="00A3627C">
        <w:rPr>
          <w:rFonts w:ascii="Times New Roman" w:eastAsia="Calibri" w:hAnsi="Times New Roman"/>
          <w:i/>
          <w:iCs/>
          <w:sz w:val="24"/>
          <w:szCs w:val="24"/>
        </w:rPr>
        <w:t>Journal of Life Science and Public Health, 1</w:t>
      </w:r>
      <w:r w:rsidRPr="00A3627C">
        <w:rPr>
          <w:rFonts w:ascii="Times New Roman" w:eastAsia="Calibri" w:hAnsi="Times New Roman"/>
          <w:sz w:val="24"/>
          <w:szCs w:val="24"/>
        </w:rPr>
        <w:t xml:space="preserve">(1), 32–39. </w:t>
      </w:r>
      <w:hyperlink r:id="rId24" w:history="1">
        <w:r w:rsidRPr="00A3627C">
          <w:rPr>
            <w:rStyle w:val="16"/>
            <w:rFonts w:ascii="Times New Roman" w:eastAsia="Calibri" w:hAnsi="Times New Roman" w:cs="Times New Roman"/>
            <w:sz w:val="24"/>
            <w:szCs w:val="24"/>
          </w:rPr>
          <w:t>https://doi.org/10.69739/jlsph.v1i1.962</w:t>
        </w:r>
      </w:hyperlink>
    </w:p>
    <w:p w14:paraId="303A1B27" w14:textId="77777777" w:rsidR="00980ACD" w:rsidRPr="00A3627C" w:rsidRDefault="00980ACD" w:rsidP="006A6E13">
      <w:pPr>
        <w:spacing w:after="100" w:afterAutospacing="1"/>
        <w:ind w:left="720" w:hanging="720"/>
        <w:jc w:val="both"/>
        <w:rPr>
          <w:rFonts w:ascii="Times New Roman" w:eastAsia="Calibri" w:hAnsi="Times New Roman"/>
          <w:sz w:val="24"/>
          <w:szCs w:val="24"/>
        </w:rPr>
      </w:pPr>
      <w:proofErr w:type="spellStart"/>
      <w:r w:rsidRPr="00A3627C">
        <w:rPr>
          <w:rFonts w:ascii="Times New Roman" w:eastAsia="Calibri" w:hAnsi="Times New Roman"/>
          <w:sz w:val="24"/>
          <w:szCs w:val="24"/>
        </w:rPr>
        <w:t>Okpoji</w:t>
      </w:r>
      <w:proofErr w:type="spellEnd"/>
      <w:r w:rsidRPr="00A3627C">
        <w:rPr>
          <w:rFonts w:ascii="Times New Roman" w:eastAsia="Calibri" w:hAnsi="Times New Roman"/>
          <w:sz w:val="24"/>
          <w:szCs w:val="24"/>
        </w:rPr>
        <w:t xml:space="preserve">, A. U., </w:t>
      </w:r>
      <w:proofErr w:type="spellStart"/>
      <w:r w:rsidRPr="00A3627C">
        <w:rPr>
          <w:rFonts w:ascii="Times New Roman" w:eastAsia="Calibri" w:hAnsi="Times New Roman"/>
          <w:sz w:val="24"/>
          <w:szCs w:val="24"/>
        </w:rPr>
        <w:t>Ekwere</w:t>
      </w:r>
      <w:proofErr w:type="spellEnd"/>
      <w:r w:rsidRPr="00A3627C">
        <w:rPr>
          <w:rFonts w:ascii="Times New Roman" w:eastAsia="Calibri" w:hAnsi="Times New Roman"/>
          <w:sz w:val="24"/>
          <w:szCs w:val="24"/>
        </w:rPr>
        <w:t xml:space="preserve">, I. O., </w:t>
      </w:r>
      <w:proofErr w:type="spellStart"/>
      <w:r w:rsidRPr="00A3627C">
        <w:rPr>
          <w:rFonts w:ascii="Times New Roman" w:eastAsia="Calibri" w:hAnsi="Times New Roman"/>
          <w:sz w:val="24"/>
          <w:szCs w:val="24"/>
        </w:rPr>
        <w:t>Igwegbe</w:t>
      </w:r>
      <w:proofErr w:type="spellEnd"/>
      <w:r w:rsidRPr="00A3627C">
        <w:rPr>
          <w:rFonts w:ascii="Times New Roman" w:eastAsia="Calibri" w:hAnsi="Times New Roman"/>
          <w:sz w:val="24"/>
          <w:szCs w:val="24"/>
        </w:rPr>
        <w:t xml:space="preserve">, K. C., </w:t>
      </w:r>
      <w:proofErr w:type="spellStart"/>
      <w:r w:rsidRPr="00A3627C">
        <w:rPr>
          <w:rFonts w:ascii="Times New Roman" w:eastAsia="Calibri" w:hAnsi="Times New Roman"/>
          <w:sz w:val="24"/>
          <w:szCs w:val="24"/>
        </w:rPr>
        <w:t>Etesin</w:t>
      </w:r>
      <w:proofErr w:type="spellEnd"/>
      <w:r w:rsidRPr="00A3627C">
        <w:rPr>
          <w:rFonts w:ascii="Times New Roman" w:eastAsia="Calibri" w:hAnsi="Times New Roman"/>
          <w:sz w:val="24"/>
          <w:szCs w:val="24"/>
        </w:rPr>
        <w:t xml:space="preserve">, U. M., Ugwuanyi, G. C., </w:t>
      </w:r>
      <w:proofErr w:type="spellStart"/>
      <w:r w:rsidRPr="00A3627C">
        <w:rPr>
          <w:rFonts w:ascii="Times New Roman" w:eastAsia="Calibri" w:hAnsi="Times New Roman"/>
          <w:sz w:val="24"/>
          <w:szCs w:val="24"/>
        </w:rPr>
        <w:t>Okpanachi</w:t>
      </w:r>
      <w:proofErr w:type="spellEnd"/>
      <w:r w:rsidRPr="00A3627C">
        <w:rPr>
          <w:rFonts w:ascii="Times New Roman" w:eastAsia="Calibri" w:hAnsi="Times New Roman"/>
          <w:sz w:val="24"/>
          <w:szCs w:val="24"/>
        </w:rPr>
        <w:t xml:space="preserve">, C. B., </w:t>
      </w:r>
      <w:proofErr w:type="spellStart"/>
      <w:r w:rsidRPr="00A3627C">
        <w:rPr>
          <w:rFonts w:ascii="Times New Roman" w:eastAsia="Calibri" w:hAnsi="Times New Roman"/>
          <w:sz w:val="24"/>
          <w:szCs w:val="24"/>
        </w:rPr>
        <w:t>Ewuola</w:t>
      </w:r>
      <w:proofErr w:type="spellEnd"/>
      <w:r w:rsidRPr="00A3627C">
        <w:rPr>
          <w:rFonts w:ascii="Times New Roman" w:eastAsia="Calibri" w:hAnsi="Times New Roman"/>
          <w:sz w:val="24"/>
          <w:szCs w:val="24"/>
        </w:rPr>
        <w:t xml:space="preserve">, A. A., Mojisola, K. M., &amp; </w:t>
      </w:r>
      <w:proofErr w:type="spellStart"/>
      <w:r w:rsidRPr="00A3627C">
        <w:rPr>
          <w:rFonts w:ascii="Times New Roman" w:eastAsia="Calibri" w:hAnsi="Times New Roman"/>
          <w:sz w:val="24"/>
          <w:szCs w:val="24"/>
        </w:rPr>
        <w:t>Ezekwueme</w:t>
      </w:r>
      <w:proofErr w:type="spellEnd"/>
      <w:r w:rsidRPr="00A3627C">
        <w:rPr>
          <w:rFonts w:ascii="Times New Roman" w:eastAsia="Calibri" w:hAnsi="Times New Roman"/>
          <w:sz w:val="24"/>
          <w:szCs w:val="24"/>
        </w:rPr>
        <w:t xml:space="preserve">, O. I. (2025). Solar-enhanced photocatalytic degradation of pharmaceutical residues in wastewater using Fe-, Cu-, and Zn-doped </w:t>
      </w:r>
      <w:proofErr w:type="spellStart"/>
      <w:r w:rsidRPr="00A3627C">
        <w:rPr>
          <w:rFonts w:ascii="Times New Roman" w:eastAsia="Calibri" w:hAnsi="Times New Roman"/>
          <w:sz w:val="24"/>
          <w:szCs w:val="24"/>
        </w:rPr>
        <w:t>TiO</w:t>
      </w:r>
      <w:proofErr w:type="spellEnd"/>
      <w:r w:rsidRPr="00A3627C">
        <w:rPr>
          <w:rFonts w:ascii="Times New Roman" w:eastAsia="Calibri" w:hAnsi="Times New Roman"/>
          <w:sz w:val="24"/>
          <w:szCs w:val="24"/>
        </w:rPr>
        <w:t xml:space="preserve">₂ nanomaterials. </w:t>
      </w:r>
      <w:r w:rsidRPr="00A3627C">
        <w:rPr>
          <w:rFonts w:ascii="Times New Roman" w:eastAsia="Calibri" w:hAnsi="Times New Roman"/>
          <w:i/>
          <w:iCs/>
          <w:sz w:val="24"/>
          <w:szCs w:val="24"/>
        </w:rPr>
        <w:t>Journal of Environment, Climate, and Ecology, 2</w:t>
      </w:r>
      <w:r w:rsidRPr="00A3627C">
        <w:rPr>
          <w:rFonts w:ascii="Times New Roman" w:eastAsia="Calibri" w:hAnsi="Times New Roman"/>
          <w:sz w:val="24"/>
          <w:szCs w:val="24"/>
        </w:rPr>
        <w:t xml:space="preserve">(2), 56–62. </w:t>
      </w:r>
      <w:hyperlink r:id="rId25" w:history="1">
        <w:r w:rsidRPr="00A3627C">
          <w:rPr>
            <w:rStyle w:val="16"/>
            <w:rFonts w:ascii="Times New Roman" w:eastAsia="Calibri" w:hAnsi="Times New Roman" w:cs="Times New Roman"/>
            <w:sz w:val="24"/>
            <w:szCs w:val="24"/>
          </w:rPr>
          <w:t>https://doi.org/10.69739/jece.v2i2.961</w:t>
        </w:r>
      </w:hyperlink>
    </w:p>
    <w:p w14:paraId="40306116" w14:textId="77777777" w:rsidR="00980ACD" w:rsidRPr="00A3627C" w:rsidRDefault="00980ACD" w:rsidP="006A6E13">
      <w:pPr>
        <w:pStyle w:val="NormalWeb"/>
        <w:ind w:left="720" w:hanging="720"/>
        <w:jc w:val="both"/>
      </w:pPr>
      <w:proofErr w:type="spellStart"/>
      <w:r w:rsidRPr="00A3627C">
        <w:t>Okpoji</w:t>
      </w:r>
      <w:proofErr w:type="spellEnd"/>
      <w:r w:rsidRPr="00A3627C">
        <w:t xml:space="preserve">, A. U., Emem, J. A., </w:t>
      </w:r>
      <w:proofErr w:type="spellStart"/>
      <w:r w:rsidRPr="00A3627C">
        <w:t>Ekwere</w:t>
      </w:r>
      <w:proofErr w:type="spellEnd"/>
      <w:r w:rsidRPr="00A3627C">
        <w:t xml:space="preserve">, I. O., </w:t>
      </w:r>
      <w:proofErr w:type="spellStart"/>
      <w:r w:rsidRPr="00A3627C">
        <w:t>Odibo</w:t>
      </w:r>
      <w:proofErr w:type="spellEnd"/>
      <w:r w:rsidRPr="00A3627C">
        <w:t xml:space="preserve">, U. E., </w:t>
      </w:r>
      <w:proofErr w:type="spellStart"/>
      <w:r w:rsidRPr="00A3627C">
        <w:t>Alaekwe</w:t>
      </w:r>
      <w:proofErr w:type="spellEnd"/>
      <w:r w:rsidRPr="00A3627C">
        <w:t xml:space="preserve">, I. O., Warder, A. B., &amp; </w:t>
      </w:r>
      <w:proofErr w:type="spellStart"/>
      <w:r w:rsidRPr="00A3627C">
        <w:t>Eboj-Ajoku</w:t>
      </w:r>
      <w:proofErr w:type="spellEnd"/>
      <w:r w:rsidRPr="00A3627C">
        <w:t xml:space="preserve">, O. I. (2025). Bioaccumulation of nickel, lead, and cadmium in tissues of </w:t>
      </w:r>
      <w:r w:rsidRPr="00A3627C">
        <w:rPr>
          <w:rStyle w:val="18"/>
          <w:rFonts w:ascii="Times New Roman" w:hAnsi="Times New Roman" w:cs="Times New Roman"/>
        </w:rPr>
        <w:t>Callinectes sapidus</w:t>
      </w:r>
      <w:r w:rsidRPr="00A3627C">
        <w:t xml:space="preserve"> from the Iko River, Nigeria: Implications for human health risk and environmental safety. </w:t>
      </w:r>
      <w:r w:rsidRPr="00A3627C">
        <w:rPr>
          <w:rStyle w:val="18"/>
          <w:rFonts w:ascii="Times New Roman" w:hAnsi="Times New Roman" w:cs="Times New Roman"/>
        </w:rPr>
        <w:t>Journal of Environment, Climate, and Ecology, 2</w:t>
      </w:r>
      <w:r w:rsidRPr="00A3627C">
        <w:t>(2), 29–37.</w:t>
      </w:r>
      <w:r w:rsidRPr="00A3627C">
        <w:br/>
      </w:r>
      <w:hyperlink r:id="rId26" w:history="1">
        <w:r w:rsidRPr="00A3627C">
          <w:rPr>
            <w:rStyle w:val="16"/>
            <w:rFonts w:ascii="Times New Roman" w:hAnsi="Times New Roman" w:cs="Times New Roman"/>
          </w:rPr>
          <w:t>https://doi.org/10.69739/jece.v2i2.844</w:t>
        </w:r>
      </w:hyperlink>
    </w:p>
    <w:p w14:paraId="1B09727E" w14:textId="77777777" w:rsidR="00980ACD" w:rsidRPr="00A3627C" w:rsidRDefault="00980ACD" w:rsidP="006A6E13">
      <w:pPr>
        <w:pStyle w:val="NormalWeb"/>
        <w:ind w:left="720" w:hanging="720"/>
        <w:jc w:val="both"/>
      </w:pPr>
      <w:proofErr w:type="spellStart"/>
      <w:r w:rsidRPr="00A3627C">
        <w:t>Okpoji</w:t>
      </w:r>
      <w:proofErr w:type="spellEnd"/>
      <w:r w:rsidRPr="00A3627C">
        <w:t xml:space="preserve">, A. U., Ndubuisi, J. O., Eboh-Ajoku, I. O., Emem, J. A., </w:t>
      </w:r>
      <w:proofErr w:type="spellStart"/>
      <w:r w:rsidRPr="00A3627C">
        <w:t>Ekwere</w:t>
      </w:r>
      <w:proofErr w:type="spellEnd"/>
      <w:r w:rsidRPr="00A3627C">
        <w:t xml:space="preserve">, I. O., </w:t>
      </w:r>
      <w:proofErr w:type="spellStart"/>
      <w:r w:rsidRPr="00A3627C">
        <w:t>Alaekwe</w:t>
      </w:r>
      <w:proofErr w:type="spellEnd"/>
      <w:r w:rsidRPr="00A3627C">
        <w:t xml:space="preserve">, I. O., </w:t>
      </w:r>
      <w:proofErr w:type="spellStart"/>
      <w:r w:rsidRPr="00A3627C">
        <w:t>Odibo</w:t>
      </w:r>
      <w:proofErr w:type="spellEnd"/>
      <w:r w:rsidRPr="00A3627C">
        <w:t xml:space="preserve">, U. E., </w:t>
      </w:r>
      <w:proofErr w:type="spellStart"/>
      <w:r w:rsidRPr="00A3627C">
        <w:t>Igwegbe</w:t>
      </w:r>
      <w:proofErr w:type="spellEnd"/>
      <w:r w:rsidRPr="00A3627C">
        <w:t xml:space="preserve">, K. C., Onoja, C. R., Warder, A. B., &amp; </w:t>
      </w:r>
      <w:proofErr w:type="spellStart"/>
      <w:r w:rsidRPr="00A3627C">
        <w:t>InyangAbia</w:t>
      </w:r>
      <w:proofErr w:type="spellEnd"/>
      <w:r w:rsidRPr="00A3627C">
        <w:t xml:space="preserve">, A. J. (2025). Trematode infections and histopathological effects in </w:t>
      </w:r>
      <w:proofErr w:type="spellStart"/>
      <w:r w:rsidRPr="00A3627C">
        <w:rPr>
          <w:rStyle w:val="18"/>
          <w:rFonts w:ascii="Times New Roman" w:hAnsi="Times New Roman" w:cs="Times New Roman"/>
        </w:rPr>
        <w:t>Chrysichthys</w:t>
      </w:r>
      <w:proofErr w:type="spellEnd"/>
      <w:r w:rsidRPr="00A3627C">
        <w:rPr>
          <w:rStyle w:val="18"/>
          <w:rFonts w:ascii="Times New Roman" w:hAnsi="Times New Roman" w:cs="Times New Roman"/>
        </w:rPr>
        <w:t xml:space="preserve"> </w:t>
      </w:r>
      <w:proofErr w:type="spellStart"/>
      <w:r w:rsidRPr="00A3627C">
        <w:rPr>
          <w:rStyle w:val="18"/>
          <w:rFonts w:ascii="Times New Roman" w:hAnsi="Times New Roman" w:cs="Times New Roman"/>
        </w:rPr>
        <w:t>nigrodigitatus</w:t>
      </w:r>
      <w:proofErr w:type="spellEnd"/>
      <w:r w:rsidRPr="00A3627C">
        <w:t xml:space="preserve"> from the polluted Andoni River, Niger Delta, Nigeria. </w:t>
      </w:r>
      <w:r w:rsidRPr="00A3627C">
        <w:rPr>
          <w:rStyle w:val="18"/>
          <w:rFonts w:ascii="Times New Roman" w:hAnsi="Times New Roman" w:cs="Times New Roman"/>
        </w:rPr>
        <w:t>Journal of Agriculture, Aquaculture, and Animal Science, 2</w:t>
      </w:r>
      <w:r w:rsidRPr="00A3627C">
        <w:t>(2), 66–72.</w:t>
      </w:r>
      <w:r w:rsidRPr="00A3627C">
        <w:br/>
      </w:r>
      <w:hyperlink r:id="rId27" w:history="1">
        <w:r w:rsidRPr="00A3627C">
          <w:rPr>
            <w:rStyle w:val="16"/>
            <w:rFonts w:ascii="Times New Roman" w:hAnsi="Times New Roman" w:cs="Times New Roman"/>
          </w:rPr>
          <w:t>https://doi.org/10.69739/jaaas.v2i2.882</w:t>
        </w:r>
      </w:hyperlink>
    </w:p>
    <w:p w14:paraId="547A1C05" w14:textId="77777777" w:rsidR="00980ACD" w:rsidRPr="00A3627C" w:rsidRDefault="00980ACD" w:rsidP="006A6E13">
      <w:pPr>
        <w:pStyle w:val="NormalWeb"/>
        <w:ind w:left="720" w:hanging="720"/>
        <w:jc w:val="both"/>
      </w:pPr>
      <w:proofErr w:type="spellStart"/>
      <w:r w:rsidRPr="00A3627C">
        <w:t>Okpoji</w:t>
      </w:r>
      <w:proofErr w:type="spellEnd"/>
      <w:r w:rsidRPr="00A3627C">
        <w:t xml:space="preserve">, A. U., </w:t>
      </w:r>
      <w:proofErr w:type="spellStart"/>
      <w:r w:rsidRPr="00A3627C">
        <w:t>Nwoka</w:t>
      </w:r>
      <w:proofErr w:type="spellEnd"/>
      <w:r w:rsidRPr="00A3627C">
        <w:t xml:space="preserve">, N. G., </w:t>
      </w:r>
      <w:proofErr w:type="spellStart"/>
      <w:r w:rsidRPr="00A3627C">
        <w:t>Odibo</w:t>
      </w:r>
      <w:proofErr w:type="spellEnd"/>
      <w:r w:rsidRPr="00A3627C">
        <w:t xml:space="preserve">, U. E., </w:t>
      </w:r>
      <w:proofErr w:type="spellStart"/>
      <w:r w:rsidRPr="00A3627C">
        <w:t>Alaekwe</w:t>
      </w:r>
      <w:proofErr w:type="spellEnd"/>
      <w:r w:rsidRPr="00A3627C">
        <w:t xml:space="preserve">, I. O., Okafor, C. A., </w:t>
      </w:r>
      <w:proofErr w:type="spellStart"/>
      <w:r w:rsidRPr="00A3627C">
        <w:t>Ogwu</w:t>
      </w:r>
      <w:proofErr w:type="spellEnd"/>
      <w:r w:rsidRPr="00A3627C">
        <w:t xml:space="preserve">, N. G., &amp; </w:t>
      </w:r>
      <w:proofErr w:type="spellStart"/>
      <w:r w:rsidRPr="00A3627C">
        <w:t>Akatakpo</w:t>
      </w:r>
      <w:proofErr w:type="spellEnd"/>
      <w:r w:rsidRPr="00A3627C">
        <w:t xml:space="preserve">, C. U. (2025). Seasonal variation in </w:t>
      </w:r>
      <w:proofErr w:type="spellStart"/>
      <w:r w:rsidRPr="00A3627C">
        <w:t>hydrochemical</w:t>
      </w:r>
      <w:proofErr w:type="spellEnd"/>
      <w:r w:rsidRPr="00A3627C">
        <w:t xml:space="preserve"> characteristics and heavy metal risk assessment of groundwater in </w:t>
      </w:r>
      <w:proofErr w:type="spellStart"/>
      <w:r w:rsidRPr="00A3627C">
        <w:t>Andoni-Isiokwan</w:t>
      </w:r>
      <w:proofErr w:type="spellEnd"/>
      <w:r w:rsidRPr="00A3627C">
        <w:t xml:space="preserve"> District, Niger Delta, Nigeria. </w:t>
      </w:r>
      <w:r w:rsidRPr="00A3627C">
        <w:rPr>
          <w:rStyle w:val="18"/>
          <w:rFonts w:ascii="Times New Roman" w:hAnsi="Times New Roman" w:cs="Times New Roman"/>
        </w:rPr>
        <w:t>International Journal of Modern Science and Research Technology, 3</w:t>
      </w:r>
      <w:r w:rsidRPr="00A3627C">
        <w:t>(8), 44–51.</w:t>
      </w:r>
      <w:r w:rsidRPr="00A3627C">
        <w:br/>
      </w:r>
      <w:hyperlink r:id="rId28" w:history="1">
        <w:r w:rsidRPr="00A3627C">
          <w:rPr>
            <w:rStyle w:val="16"/>
            <w:rFonts w:ascii="Times New Roman" w:hAnsi="Times New Roman" w:cs="Times New Roman"/>
          </w:rPr>
          <w:t>http://www.ijmsrt.com</w:t>
        </w:r>
      </w:hyperlink>
    </w:p>
    <w:p w14:paraId="6B91DA42" w14:textId="77777777" w:rsidR="00980ACD" w:rsidRPr="00A3627C" w:rsidRDefault="00980ACD" w:rsidP="006A6E13">
      <w:pPr>
        <w:spacing w:after="100" w:afterAutospacing="1"/>
        <w:ind w:left="720" w:hanging="720"/>
        <w:jc w:val="both"/>
        <w:rPr>
          <w:rFonts w:ascii="Times New Roman" w:eastAsia="Calibri" w:hAnsi="Times New Roman"/>
          <w:sz w:val="24"/>
          <w:szCs w:val="24"/>
        </w:rPr>
      </w:pPr>
      <w:r w:rsidRPr="00A3627C">
        <w:rPr>
          <w:rFonts w:ascii="Times New Roman" w:eastAsia="Calibri" w:hAnsi="Times New Roman"/>
          <w:sz w:val="24"/>
          <w:szCs w:val="24"/>
        </w:rPr>
        <w:t xml:space="preserve">Onoja, C. R., Ogbaji, H. O., Edodi, I. O., </w:t>
      </w:r>
      <w:proofErr w:type="spellStart"/>
      <w:r w:rsidRPr="00A3627C">
        <w:rPr>
          <w:rFonts w:ascii="Times New Roman" w:eastAsia="Calibri" w:hAnsi="Times New Roman"/>
          <w:sz w:val="24"/>
          <w:szCs w:val="24"/>
        </w:rPr>
        <w:t>Mmuta</w:t>
      </w:r>
      <w:proofErr w:type="spellEnd"/>
      <w:r w:rsidRPr="00A3627C">
        <w:rPr>
          <w:rFonts w:ascii="Times New Roman" w:eastAsia="Calibri" w:hAnsi="Times New Roman"/>
          <w:sz w:val="24"/>
          <w:szCs w:val="24"/>
        </w:rPr>
        <w:t xml:space="preserve">, E. C., </w:t>
      </w:r>
      <w:proofErr w:type="spellStart"/>
      <w:r w:rsidRPr="00A3627C">
        <w:rPr>
          <w:rFonts w:ascii="Times New Roman" w:eastAsia="Calibri" w:hAnsi="Times New Roman"/>
          <w:sz w:val="24"/>
          <w:szCs w:val="24"/>
        </w:rPr>
        <w:t>Igwegbe</w:t>
      </w:r>
      <w:proofErr w:type="spellEnd"/>
      <w:r w:rsidRPr="00A3627C">
        <w:rPr>
          <w:rFonts w:ascii="Times New Roman" w:eastAsia="Calibri" w:hAnsi="Times New Roman"/>
          <w:sz w:val="24"/>
          <w:szCs w:val="24"/>
        </w:rPr>
        <w:t xml:space="preserve">, K. C., Ogini, O. R., </w:t>
      </w:r>
      <w:proofErr w:type="spellStart"/>
      <w:r w:rsidRPr="00A3627C">
        <w:rPr>
          <w:rFonts w:ascii="Times New Roman" w:eastAsia="Calibri" w:hAnsi="Times New Roman"/>
          <w:sz w:val="24"/>
          <w:szCs w:val="24"/>
        </w:rPr>
        <w:t>Odibo</w:t>
      </w:r>
      <w:proofErr w:type="spellEnd"/>
      <w:r w:rsidRPr="00A3627C">
        <w:rPr>
          <w:rFonts w:ascii="Times New Roman" w:eastAsia="Calibri" w:hAnsi="Times New Roman"/>
          <w:sz w:val="24"/>
          <w:szCs w:val="24"/>
        </w:rPr>
        <w:t xml:space="preserve">, U. E., </w:t>
      </w:r>
      <w:proofErr w:type="spellStart"/>
      <w:r w:rsidRPr="00A3627C">
        <w:rPr>
          <w:rFonts w:ascii="Times New Roman" w:eastAsia="Calibri" w:hAnsi="Times New Roman"/>
          <w:sz w:val="24"/>
          <w:szCs w:val="24"/>
        </w:rPr>
        <w:t>Ewuola</w:t>
      </w:r>
      <w:proofErr w:type="spellEnd"/>
      <w:r w:rsidRPr="00A3627C">
        <w:rPr>
          <w:rFonts w:ascii="Times New Roman" w:eastAsia="Calibri" w:hAnsi="Times New Roman"/>
          <w:sz w:val="24"/>
          <w:szCs w:val="24"/>
        </w:rPr>
        <w:t xml:space="preserve">, A. A., Mahmoud, A. B., &amp; </w:t>
      </w:r>
      <w:proofErr w:type="spellStart"/>
      <w:r w:rsidRPr="00A3627C">
        <w:rPr>
          <w:rFonts w:ascii="Times New Roman" w:eastAsia="Calibri" w:hAnsi="Times New Roman"/>
          <w:sz w:val="24"/>
          <w:szCs w:val="24"/>
        </w:rPr>
        <w:t>Okpoji</w:t>
      </w:r>
      <w:proofErr w:type="spellEnd"/>
      <w:r w:rsidRPr="00A3627C">
        <w:rPr>
          <w:rFonts w:ascii="Times New Roman" w:eastAsia="Calibri" w:hAnsi="Times New Roman"/>
          <w:sz w:val="24"/>
          <w:szCs w:val="24"/>
        </w:rPr>
        <w:t xml:space="preserve">, A. U. (2025). </w:t>
      </w:r>
      <w:r w:rsidRPr="00A3627C">
        <w:rPr>
          <w:rStyle w:val="17"/>
          <w:rFonts w:ascii="Times New Roman" w:eastAsia="Calibri" w:hAnsi="Times New Roman" w:cs="Times New Roman"/>
          <w:sz w:val="24"/>
          <w:szCs w:val="24"/>
        </w:rPr>
        <w:t>Heavy Metal Contamination and Health Risk Assessment of Smoked-Dried Fish Sold in Eke-</w:t>
      </w:r>
      <w:proofErr w:type="spellStart"/>
      <w:r w:rsidRPr="00A3627C">
        <w:rPr>
          <w:rStyle w:val="17"/>
          <w:rFonts w:ascii="Times New Roman" w:eastAsia="Calibri" w:hAnsi="Times New Roman" w:cs="Times New Roman"/>
          <w:sz w:val="24"/>
          <w:szCs w:val="24"/>
        </w:rPr>
        <w:t>Awka</w:t>
      </w:r>
      <w:proofErr w:type="spellEnd"/>
      <w:r w:rsidRPr="00A3627C">
        <w:rPr>
          <w:rStyle w:val="17"/>
          <w:rFonts w:ascii="Times New Roman" w:eastAsia="Calibri" w:hAnsi="Times New Roman" w:cs="Times New Roman"/>
          <w:sz w:val="24"/>
          <w:szCs w:val="24"/>
        </w:rPr>
        <w:t xml:space="preserve"> Market, Anambra State, Nigeria.</w:t>
      </w:r>
      <w:r w:rsidRPr="00A3627C">
        <w:rPr>
          <w:rFonts w:ascii="Times New Roman" w:eastAsia="Calibri" w:hAnsi="Times New Roman"/>
          <w:sz w:val="24"/>
          <w:szCs w:val="24"/>
        </w:rPr>
        <w:t xml:space="preserve"> Journal of Sustainable Research and Development, 1(2), 18-25. </w:t>
      </w:r>
      <w:hyperlink r:id="rId29" w:history="1">
        <w:r w:rsidRPr="00A3627C">
          <w:rPr>
            <w:rStyle w:val="19"/>
            <w:rFonts w:ascii="Times New Roman" w:eastAsia="Calibri" w:hAnsi="Times New Roman" w:cs="Times New Roman"/>
            <w:sz w:val="24"/>
            <w:szCs w:val="24"/>
          </w:rPr>
          <w:t>https://doi.org/10.69739/jsrd.v1i2.1044</w:t>
        </w:r>
      </w:hyperlink>
    </w:p>
    <w:p w14:paraId="556F0C23" w14:textId="77777777" w:rsidR="00980ACD" w:rsidRPr="00A3627C" w:rsidRDefault="00980ACD" w:rsidP="006A6E13">
      <w:pPr>
        <w:pStyle w:val="NormalWeb"/>
        <w:ind w:left="720" w:hanging="720"/>
        <w:jc w:val="both"/>
      </w:pPr>
      <w:r w:rsidRPr="00A3627C">
        <w:t xml:space="preserve">Ugochukwu, C. N. C., &amp; Ertel, J. (2008). Negative impacts of oil exploration on biodiversity management in the Niger Delta area of Nigeria. </w:t>
      </w:r>
      <w:r w:rsidRPr="00A3627C">
        <w:rPr>
          <w:rStyle w:val="18"/>
          <w:rFonts w:ascii="Times New Roman" w:hAnsi="Times New Roman" w:cs="Times New Roman"/>
        </w:rPr>
        <w:t>Impact Assessment and Project Appraisal, 26</w:t>
      </w:r>
      <w:r w:rsidRPr="00A3627C">
        <w:t>(2), 139–147.</w:t>
      </w:r>
      <w:r w:rsidRPr="00A3627C">
        <w:br/>
      </w:r>
      <w:hyperlink r:id="rId30" w:history="1">
        <w:r w:rsidRPr="00A3627C">
          <w:rPr>
            <w:rStyle w:val="16"/>
            <w:rFonts w:ascii="Times New Roman" w:hAnsi="Times New Roman" w:cs="Times New Roman"/>
          </w:rPr>
          <w:t>https://doi.org/10.3152/146155108X316397</w:t>
        </w:r>
      </w:hyperlink>
    </w:p>
    <w:p w14:paraId="203185CA" w14:textId="77777777" w:rsidR="00980ACD" w:rsidRPr="00A3627C" w:rsidRDefault="00980ACD" w:rsidP="006A6E13">
      <w:pPr>
        <w:pStyle w:val="NormalWeb"/>
        <w:ind w:left="720" w:hanging="720"/>
        <w:jc w:val="both"/>
      </w:pPr>
      <w:r w:rsidRPr="00A3627C">
        <w:t xml:space="preserve">Zhu, X., &amp; Ma, J. (2020). Recent advances in the determination of phosphate in environmental water samples: Insights from practical perspectives. </w:t>
      </w:r>
      <w:proofErr w:type="spellStart"/>
      <w:r w:rsidRPr="00A3627C">
        <w:rPr>
          <w:rStyle w:val="18"/>
          <w:rFonts w:ascii="Times New Roman" w:hAnsi="Times New Roman" w:cs="Times New Roman"/>
        </w:rPr>
        <w:t>TrAC</w:t>
      </w:r>
      <w:proofErr w:type="spellEnd"/>
      <w:r w:rsidRPr="00A3627C">
        <w:rPr>
          <w:rStyle w:val="18"/>
          <w:rFonts w:ascii="Times New Roman" w:hAnsi="Times New Roman" w:cs="Times New Roman"/>
        </w:rPr>
        <w:t xml:space="preserve"> Trends in Analytical Chemistry, 127,</w:t>
      </w:r>
      <w:r w:rsidRPr="00A3627C">
        <w:t xml:space="preserve"> 115908.</w:t>
      </w:r>
      <w:r w:rsidRPr="00A3627C">
        <w:br/>
      </w:r>
      <w:hyperlink r:id="rId31" w:history="1">
        <w:r w:rsidRPr="00A3627C">
          <w:rPr>
            <w:rStyle w:val="16"/>
            <w:rFonts w:ascii="Times New Roman" w:hAnsi="Times New Roman" w:cs="Times New Roman"/>
          </w:rPr>
          <w:t>https://doi.org/10.1016/j.trac.2020.115908</w:t>
        </w:r>
      </w:hyperlink>
    </w:p>
    <w:p w14:paraId="26E65F84" w14:textId="77777777" w:rsidR="00980ACD" w:rsidRPr="00A3627C" w:rsidRDefault="00980ACD" w:rsidP="006A6E13">
      <w:pPr>
        <w:jc w:val="both"/>
        <w:rPr>
          <w:rFonts w:ascii="Times New Roman" w:eastAsia="Calibri" w:hAnsi="Times New Roman"/>
          <w:sz w:val="24"/>
          <w:szCs w:val="24"/>
        </w:rPr>
      </w:pPr>
      <w:r w:rsidRPr="00A3627C">
        <w:rPr>
          <w:rFonts w:ascii="Times New Roman" w:eastAsia="Calibri" w:hAnsi="Times New Roman"/>
          <w:sz w:val="24"/>
          <w:szCs w:val="24"/>
        </w:rPr>
        <w:lastRenderedPageBreak/>
        <w:t xml:space="preserve"> </w:t>
      </w:r>
    </w:p>
    <w:p w14:paraId="0945CEF4" w14:textId="77777777" w:rsidR="00F315B0" w:rsidRPr="00A3627C" w:rsidRDefault="00F315B0" w:rsidP="006A6E13">
      <w:pPr>
        <w:jc w:val="both"/>
        <w:rPr>
          <w:rFonts w:ascii="Times New Roman" w:hAnsi="Times New Roman"/>
          <w:sz w:val="24"/>
          <w:szCs w:val="24"/>
        </w:rPr>
      </w:pPr>
    </w:p>
    <w:sectPr w:rsidR="00F315B0" w:rsidRPr="00A3627C">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6D90E" w14:textId="77777777" w:rsidR="000B3283" w:rsidRDefault="000B3283" w:rsidP="00D519EB">
      <w:pPr>
        <w:spacing w:before="0" w:after="0" w:line="240" w:lineRule="auto"/>
      </w:pPr>
      <w:r>
        <w:separator/>
      </w:r>
    </w:p>
  </w:endnote>
  <w:endnote w:type="continuationSeparator" w:id="0">
    <w:p w14:paraId="12A0890D" w14:textId="77777777" w:rsidR="000B3283" w:rsidRDefault="000B3283" w:rsidP="00D519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242C7" w14:textId="77777777" w:rsidR="00D519EB" w:rsidRDefault="00D51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60CC7" w14:textId="77777777" w:rsidR="00D519EB" w:rsidRDefault="00D519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1A78C" w14:textId="77777777" w:rsidR="00D519EB" w:rsidRDefault="00D51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B9CF9" w14:textId="77777777" w:rsidR="000B3283" w:rsidRDefault="000B3283" w:rsidP="00D519EB">
      <w:pPr>
        <w:spacing w:before="0" w:after="0" w:line="240" w:lineRule="auto"/>
      </w:pPr>
      <w:r>
        <w:separator/>
      </w:r>
    </w:p>
  </w:footnote>
  <w:footnote w:type="continuationSeparator" w:id="0">
    <w:p w14:paraId="2DF0BD50" w14:textId="77777777" w:rsidR="000B3283" w:rsidRDefault="000B3283" w:rsidP="00D519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7059D" w14:textId="320B5086" w:rsidR="00D519EB" w:rsidRDefault="00D519EB">
    <w:pPr>
      <w:pStyle w:val="Header"/>
    </w:pPr>
    <w:r>
      <w:rPr>
        <w:noProof/>
      </w:rPr>
      <w:pict w14:anchorId="1EAEC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17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FBD0A" w14:textId="2A5228F9" w:rsidR="00D519EB" w:rsidRDefault="00D519EB">
    <w:pPr>
      <w:pStyle w:val="Header"/>
    </w:pPr>
    <w:r>
      <w:rPr>
        <w:noProof/>
      </w:rPr>
      <w:pict w14:anchorId="166E8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17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08443" w14:textId="05842902" w:rsidR="00D519EB" w:rsidRDefault="00D519EB">
    <w:pPr>
      <w:pStyle w:val="Header"/>
    </w:pPr>
    <w:r>
      <w:rPr>
        <w:noProof/>
      </w:rPr>
      <w:pict w14:anchorId="5470C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17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CD"/>
    <w:rsid w:val="0006442A"/>
    <w:rsid w:val="000B3283"/>
    <w:rsid w:val="003B6D93"/>
    <w:rsid w:val="004112D2"/>
    <w:rsid w:val="006676C2"/>
    <w:rsid w:val="006A6E13"/>
    <w:rsid w:val="006E6F76"/>
    <w:rsid w:val="007422BE"/>
    <w:rsid w:val="00813C27"/>
    <w:rsid w:val="00980ACD"/>
    <w:rsid w:val="00A3627C"/>
    <w:rsid w:val="00B06227"/>
    <w:rsid w:val="00D519EB"/>
    <w:rsid w:val="00F01DDA"/>
    <w:rsid w:val="00F315B0"/>
    <w:rsid w:val="00FC5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64348C"/>
  <w15:chartTrackingRefBased/>
  <w15:docId w15:val="{4AFA1D46-7A24-4851-A66E-3537E79D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ACD"/>
    <w:pPr>
      <w:spacing w:before="100" w:beforeAutospacing="1" w:line="256" w:lineRule="auto"/>
    </w:pPr>
    <w:rPr>
      <w:rFonts w:ascii="Calibri" w:eastAsia="Times New Roman" w:hAnsi="Calibri" w:cs="Times New Roman"/>
      <w:lang w:eastAsia="en-GB"/>
    </w:rPr>
  </w:style>
  <w:style w:type="paragraph" w:styleId="Heading2">
    <w:name w:val="heading 2"/>
    <w:basedOn w:val="Normal"/>
    <w:link w:val="Heading2Char"/>
    <w:uiPriority w:val="9"/>
    <w:qFormat/>
    <w:rsid w:val="00980ACD"/>
    <w:pPr>
      <w:spacing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0ACD"/>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980ACD"/>
    <w:pPr>
      <w:spacing w:after="100" w:afterAutospacing="1" w:line="240" w:lineRule="auto"/>
    </w:pPr>
    <w:rPr>
      <w:rFonts w:ascii="Times New Roman" w:hAnsi="Times New Roman"/>
      <w:sz w:val="24"/>
      <w:szCs w:val="24"/>
    </w:rPr>
  </w:style>
  <w:style w:type="character" w:customStyle="1" w:styleId="15">
    <w:name w:val="15"/>
    <w:basedOn w:val="DefaultParagraphFont"/>
    <w:rsid w:val="00980ACD"/>
    <w:rPr>
      <w:rFonts w:ascii="Calibri" w:hAnsi="Calibri" w:cs="Calibri" w:hint="default"/>
      <w:b/>
      <w:bCs/>
    </w:rPr>
  </w:style>
  <w:style w:type="character" w:customStyle="1" w:styleId="16">
    <w:name w:val="16"/>
    <w:basedOn w:val="DefaultParagraphFont"/>
    <w:rsid w:val="00980ACD"/>
    <w:rPr>
      <w:rFonts w:ascii="Calibri" w:hAnsi="Calibri" w:cs="Calibri" w:hint="default"/>
      <w:color w:val="0000FF"/>
      <w:u w:val="single"/>
    </w:rPr>
  </w:style>
  <w:style w:type="character" w:customStyle="1" w:styleId="17">
    <w:name w:val="17"/>
    <w:basedOn w:val="DefaultParagraphFont"/>
    <w:rsid w:val="00980ACD"/>
    <w:rPr>
      <w:rFonts w:ascii="Calibri" w:hAnsi="Calibri" w:cs="Calibri" w:hint="default"/>
      <w:i/>
      <w:iCs/>
    </w:rPr>
  </w:style>
  <w:style w:type="character" w:customStyle="1" w:styleId="18">
    <w:name w:val="18"/>
    <w:basedOn w:val="DefaultParagraphFont"/>
    <w:rsid w:val="00980ACD"/>
    <w:rPr>
      <w:rFonts w:ascii="Calibri" w:hAnsi="Calibri" w:cs="Calibri" w:hint="default"/>
      <w:i/>
      <w:iCs/>
    </w:rPr>
  </w:style>
  <w:style w:type="character" w:customStyle="1" w:styleId="19">
    <w:name w:val="19"/>
    <w:basedOn w:val="DefaultParagraphFont"/>
    <w:rsid w:val="00980ACD"/>
    <w:rPr>
      <w:rFonts w:ascii="Calibri" w:hAnsi="Calibri" w:cs="Calibri" w:hint="default"/>
      <w:color w:val="0000FF"/>
      <w:u w:val="single"/>
    </w:rPr>
  </w:style>
  <w:style w:type="character" w:styleId="Hyperlink">
    <w:name w:val="Hyperlink"/>
    <w:basedOn w:val="DefaultParagraphFont"/>
    <w:uiPriority w:val="99"/>
    <w:unhideWhenUsed/>
    <w:rsid w:val="00FC5141"/>
    <w:rPr>
      <w:color w:val="0563C1" w:themeColor="hyperlink"/>
      <w:u w:val="single"/>
    </w:rPr>
  </w:style>
  <w:style w:type="character" w:styleId="UnresolvedMention">
    <w:name w:val="Unresolved Mention"/>
    <w:basedOn w:val="DefaultParagraphFont"/>
    <w:uiPriority w:val="99"/>
    <w:semiHidden/>
    <w:unhideWhenUsed/>
    <w:rsid w:val="00FC5141"/>
    <w:rPr>
      <w:color w:val="605E5C"/>
      <w:shd w:val="clear" w:color="auto" w:fill="E1DFDD"/>
    </w:rPr>
  </w:style>
  <w:style w:type="paragraph" w:styleId="Header">
    <w:name w:val="header"/>
    <w:basedOn w:val="Normal"/>
    <w:link w:val="HeaderChar"/>
    <w:uiPriority w:val="99"/>
    <w:unhideWhenUsed/>
    <w:rsid w:val="00D519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519EB"/>
    <w:rPr>
      <w:rFonts w:ascii="Calibri" w:eastAsia="Times New Roman" w:hAnsi="Calibri" w:cs="Times New Roman"/>
      <w:lang w:eastAsia="en-GB"/>
    </w:rPr>
  </w:style>
  <w:style w:type="paragraph" w:styleId="Footer">
    <w:name w:val="footer"/>
    <w:basedOn w:val="Normal"/>
    <w:link w:val="FooterChar"/>
    <w:uiPriority w:val="99"/>
    <w:unhideWhenUsed/>
    <w:rsid w:val="00D519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519EB"/>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73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jaets.com/index.php/gjaets/article/view/23" TargetMode="External"/><Relationship Id="rId18" Type="http://schemas.openxmlformats.org/officeDocument/2006/relationships/hyperlink" Target="https://europepmc.org/article/med/29965309" TargetMode="External"/><Relationship Id="rId26" Type="http://schemas.openxmlformats.org/officeDocument/2006/relationships/hyperlink" Target="https://doi.org/10.69739/jece.v2i2.844" TargetMode="External"/><Relationship Id="rId39" Type="http://schemas.openxmlformats.org/officeDocument/2006/relationships/theme" Target="theme/theme1.xml"/><Relationship Id="rId21" Type="http://schemas.openxmlformats.org/officeDocument/2006/relationships/hyperlink" Target="https://doi.org/10.7901/2169-3358-2005-1-567" TargetMode="External"/><Relationship Id="rId34" Type="http://schemas.openxmlformats.org/officeDocument/2006/relationships/footer" Target="footer1.xml"/><Relationship Id="rId7" Type="http://schemas.openxmlformats.org/officeDocument/2006/relationships/hyperlink" Target="http://95.179.195.156:8080/handle/123456789/853" TargetMode="External"/><Relationship Id="rId12" Type="http://schemas.openxmlformats.org/officeDocument/2006/relationships/hyperlink" Target="https://doi.org/10.69739/jsrd.v1i2.1033" TargetMode="External"/><Relationship Id="rId17" Type="http://schemas.openxmlformats.org/officeDocument/2006/relationships/hyperlink" Target="https://doi.org/10.69739/jmsbc.v2i2.1045" TargetMode="External"/><Relationship Id="rId25" Type="http://schemas.openxmlformats.org/officeDocument/2006/relationships/hyperlink" Target="https://doi.org/10.69739/jece.v2i2.961"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2691/jephh-7-1-3" TargetMode="External"/><Relationship Id="rId20" Type="http://schemas.openxmlformats.org/officeDocument/2006/relationships/hyperlink" Target="https://doi.org/10.3390/ijerph13030346" TargetMode="External"/><Relationship Id="rId29" Type="http://schemas.openxmlformats.org/officeDocument/2006/relationships/hyperlink" Target="https://doi.org/10.69739/jsrd.v1i2.1044"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5281/zenodo.17148360" TargetMode="External"/><Relationship Id="rId24" Type="http://schemas.openxmlformats.org/officeDocument/2006/relationships/hyperlink" Target="https://doi.org/10.69739/jlsph.v1i1.962"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9734/ajocs/2023/v13i6264" TargetMode="External"/><Relationship Id="rId23" Type="http://schemas.openxmlformats.org/officeDocument/2006/relationships/hyperlink" Target="http://www.ijmsrt.com" TargetMode="External"/><Relationship Id="rId28" Type="http://schemas.openxmlformats.org/officeDocument/2006/relationships/hyperlink" Target="http://www.ijmsrt.com" TargetMode="External"/><Relationship Id="rId36" Type="http://schemas.openxmlformats.org/officeDocument/2006/relationships/header" Target="header3.xml"/><Relationship Id="rId10" Type="http://schemas.openxmlformats.org/officeDocument/2006/relationships/hyperlink" Target="https://doi.org/10.69739/jece.v2i2.976" TargetMode="External"/><Relationship Id="rId19" Type="http://schemas.openxmlformats.org/officeDocument/2006/relationships/hyperlink" Target="https://doi.org/10.1016/j.iswcr.2017.02.002" TargetMode="External"/><Relationship Id="rId31" Type="http://schemas.openxmlformats.org/officeDocument/2006/relationships/hyperlink" Target="https://doi.org/10.1016/j.trac.2020.115908" TargetMode="External"/><Relationship Id="rId4" Type="http://schemas.openxmlformats.org/officeDocument/2006/relationships/footnotes" Target="footnotes.xml"/><Relationship Id="rId9" Type="http://schemas.openxmlformats.org/officeDocument/2006/relationships/hyperlink" Target="https://www.taylorfrancis.com/books/mono/10.1201/9781003062103/water-quality-assessments-deborah-chapman" TargetMode="External"/><Relationship Id="rId14" Type="http://schemas.openxmlformats.org/officeDocument/2006/relationships/hyperlink" Target="https://doi.org/10.9734/CSJI/2019/v27i430121" TargetMode="External"/><Relationship Id="rId22" Type="http://schemas.openxmlformats.org/officeDocument/2006/relationships/hyperlink" Target="https://doi.org/10.69739/jlsph.v1i1.879" TargetMode="External"/><Relationship Id="rId27" Type="http://schemas.openxmlformats.org/officeDocument/2006/relationships/hyperlink" Target="https://doi.org/10.69739/jaaas.v2i2.882" TargetMode="External"/><Relationship Id="rId30" Type="http://schemas.openxmlformats.org/officeDocument/2006/relationships/hyperlink" Target="https://doi.org/10.3152/146155108X316397" TargetMode="External"/><Relationship Id="rId35" Type="http://schemas.openxmlformats.org/officeDocument/2006/relationships/footer" Target="footer2.xml"/><Relationship Id="rId8" Type="http://schemas.openxmlformats.org/officeDocument/2006/relationships/hyperlink" Target="https://doi.org/10.1016/j.scitotenv.2016.03.146"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12</Pages>
  <Words>5240</Words>
  <Characters>29872</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1180</cp:lastModifiedBy>
  <cp:revision>14</cp:revision>
  <dcterms:created xsi:type="dcterms:W3CDTF">2025-10-24T20:03:00Z</dcterms:created>
  <dcterms:modified xsi:type="dcterms:W3CDTF">2025-10-29T12:30:00Z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515c4d59-72be-4a40-8cdf-b87f989b7050</vt:lpwstr>
  </property>
</Properties>
</file>