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66136" w14:textId="7C21E777" w:rsidR="00980EB0" w:rsidRPr="0065366F" w:rsidRDefault="0010536B" w:rsidP="0065366F">
      <w:pPr>
        <w:spacing w:after="240"/>
        <w:ind w:right="26"/>
        <w:jc w:val="right"/>
        <w:rPr>
          <w:rFonts w:ascii="Arial" w:hAnsi="Arial" w:cs="Arial"/>
          <w:b/>
          <w:bCs/>
          <w:sz w:val="36"/>
          <w:szCs w:val="36"/>
        </w:rPr>
      </w:pPr>
      <w:bookmarkStart w:id="0" w:name="_Hlk202169129"/>
      <w:bookmarkEnd w:id="0"/>
      <w:r w:rsidRPr="0065366F">
        <w:rPr>
          <w:rFonts w:ascii="Arial" w:hAnsi="Arial" w:cs="Arial"/>
          <w:b/>
          <w:bCs/>
          <w:sz w:val="40"/>
          <w:szCs w:val="40"/>
        </w:rPr>
        <w:t xml:space="preserve"> </w:t>
      </w:r>
      <w:r w:rsidR="00980EB0" w:rsidRPr="0065366F">
        <w:rPr>
          <w:rFonts w:ascii="Arial" w:hAnsi="Arial" w:cs="Arial"/>
          <w:b/>
          <w:bCs/>
          <w:sz w:val="36"/>
          <w:szCs w:val="36"/>
        </w:rPr>
        <w:t xml:space="preserve">An Analysis of Performance Drivers in the Food MSME Sector: Evidence from Nay </w:t>
      </w:r>
      <w:proofErr w:type="spellStart"/>
      <w:r w:rsidR="00980EB0" w:rsidRPr="0065366F">
        <w:rPr>
          <w:rFonts w:ascii="Arial" w:hAnsi="Arial" w:cs="Arial"/>
          <w:b/>
          <w:bCs/>
          <w:sz w:val="36"/>
          <w:szCs w:val="36"/>
        </w:rPr>
        <w:t>Pyi</w:t>
      </w:r>
      <w:proofErr w:type="spellEnd"/>
      <w:r w:rsidR="00980EB0" w:rsidRPr="0065366F">
        <w:rPr>
          <w:rFonts w:ascii="Arial" w:hAnsi="Arial" w:cs="Arial"/>
          <w:b/>
          <w:bCs/>
          <w:sz w:val="36"/>
          <w:szCs w:val="36"/>
        </w:rPr>
        <w:t xml:space="preserve"> Taw</w:t>
      </w:r>
    </w:p>
    <w:p w14:paraId="54D4F630" w14:textId="2D4E84AB" w:rsidR="00A344E8" w:rsidRPr="0065366F" w:rsidRDefault="00F46F20" w:rsidP="0065366F">
      <w:pPr>
        <w:spacing w:line="312" w:lineRule="auto"/>
        <w:ind w:left="810" w:right="26" w:hanging="810"/>
        <w:jc w:val="right"/>
        <w:outlineLvl w:val="0"/>
        <w:rPr>
          <w:rFonts w:ascii="Arial" w:hAnsi="Arial" w:cs="Arial"/>
          <w:bCs/>
          <w:sz w:val="16"/>
          <w:szCs w:val="16"/>
        </w:rPr>
      </w:pPr>
      <w:r>
        <w:rPr>
          <w:rFonts w:ascii="Arial" w:hAnsi="Arial" w:cs="Arial"/>
          <w:bCs/>
        </w:rPr>
        <w:t>\</w:t>
      </w:r>
      <w:hyperlink r:id="rId9" w:tgtFrame="_blank" w:history="1"/>
    </w:p>
    <w:p w14:paraId="00000005" w14:textId="77777777" w:rsidR="003A6A82" w:rsidRPr="0065366F" w:rsidRDefault="002B0F19" w:rsidP="00F21042">
      <w:pPr>
        <w:pStyle w:val="Heading1"/>
        <w:spacing w:before="0"/>
        <w:ind w:right="26"/>
        <w:rPr>
          <w:rFonts w:cs="Arial"/>
          <w:color w:val="auto"/>
          <w:sz w:val="22"/>
          <w:szCs w:val="22"/>
        </w:rPr>
      </w:pPr>
      <w:r w:rsidRPr="0065366F">
        <w:rPr>
          <w:rFonts w:cs="Arial"/>
          <w:color w:val="auto"/>
          <w:sz w:val="22"/>
          <w:szCs w:val="22"/>
        </w:rPr>
        <w:t>Abstract</w:t>
      </w:r>
    </w:p>
    <w:p w14:paraId="4C0F02E3" w14:textId="39350326" w:rsidR="004D5521" w:rsidRPr="0065366F" w:rsidRDefault="002C7B02" w:rsidP="00F21042">
      <w:pPr>
        <w:ind w:right="26"/>
        <w:jc w:val="both"/>
        <w:rPr>
          <w:rFonts w:ascii="Arial" w:hAnsi="Arial" w:cs="Arial"/>
          <w:bCs/>
          <w:sz w:val="20"/>
          <w:szCs w:val="20"/>
        </w:rPr>
      </w:pPr>
      <w:r w:rsidRPr="0065366F">
        <w:rPr>
          <w:rFonts w:ascii="Arial" w:hAnsi="Arial" w:cs="Arial"/>
          <w:bCs/>
        </w:rPr>
        <w:tab/>
      </w:r>
      <w:r w:rsidRPr="0065366F">
        <w:rPr>
          <w:rFonts w:ascii="Arial" w:hAnsi="Arial" w:cs="Arial"/>
          <w:bCs/>
          <w:sz w:val="20"/>
          <w:szCs w:val="20"/>
        </w:rPr>
        <w:t>Food Micro, Small, and Medium Enterprises (</w:t>
      </w:r>
      <w:r w:rsidR="00C5303F" w:rsidRPr="0065366F">
        <w:rPr>
          <w:rFonts w:ascii="Arial" w:hAnsi="Arial" w:cs="Arial"/>
          <w:bCs/>
          <w:sz w:val="20"/>
          <w:szCs w:val="20"/>
        </w:rPr>
        <w:t>Food MSMEs</w:t>
      </w:r>
      <w:r w:rsidRPr="0065366F">
        <w:rPr>
          <w:rFonts w:ascii="Arial" w:hAnsi="Arial" w:cs="Arial"/>
          <w:bCs/>
          <w:sz w:val="20"/>
          <w:szCs w:val="20"/>
        </w:rPr>
        <w:t xml:space="preserve">) constitute a vital sector of Myanmar’s economy by generating employment and supporting household incomes. Despite their importance, the growth of these enterprises is often constrained by owner demographics, business characteristics, and institutional factors. This study employed multiple regression analysis using survey data from 158 </w:t>
      </w:r>
      <w:r w:rsidR="00C5303F" w:rsidRPr="0065366F">
        <w:rPr>
          <w:rFonts w:ascii="Arial" w:hAnsi="Arial" w:cs="Arial"/>
          <w:bCs/>
          <w:sz w:val="20"/>
          <w:szCs w:val="20"/>
        </w:rPr>
        <w:t>Food MSMEs</w:t>
      </w:r>
      <w:r w:rsidRPr="0065366F">
        <w:rPr>
          <w:rFonts w:ascii="Arial" w:hAnsi="Arial" w:cs="Arial"/>
          <w:bCs/>
          <w:sz w:val="20"/>
          <w:szCs w:val="20"/>
        </w:rPr>
        <w:t xml:space="preserve"> in the Nay </w:t>
      </w:r>
      <w:proofErr w:type="spellStart"/>
      <w:r w:rsidRPr="0065366F">
        <w:rPr>
          <w:rFonts w:ascii="Arial" w:hAnsi="Arial" w:cs="Arial"/>
          <w:bCs/>
          <w:sz w:val="20"/>
          <w:szCs w:val="20"/>
        </w:rPr>
        <w:t>Pyi</w:t>
      </w:r>
      <w:proofErr w:type="spellEnd"/>
      <w:r w:rsidRPr="0065366F">
        <w:rPr>
          <w:rFonts w:ascii="Arial" w:hAnsi="Arial" w:cs="Arial"/>
          <w:bCs/>
          <w:sz w:val="20"/>
          <w:szCs w:val="20"/>
        </w:rPr>
        <w:t xml:space="preserve"> Taw region to examin</w:t>
      </w:r>
      <w:bookmarkStart w:id="1" w:name="_GoBack"/>
      <w:bookmarkEnd w:id="1"/>
      <w:r w:rsidRPr="0065366F">
        <w:rPr>
          <w:rFonts w:ascii="Arial" w:hAnsi="Arial" w:cs="Arial"/>
          <w:bCs/>
          <w:sz w:val="20"/>
          <w:szCs w:val="20"/>
        </w:rPr>
        <w:t xml:space="preserve">e determinants of </w:t>
      </w:r>
      <w:r w:rsidR="00356C28" w:rsidRPr="0065366F">
        <w:rPr>
          <w:rFonts w:ascii="Arial" w:hAnsi="Arial" w:cs="Arial"/>
          <w:bCs/>
          <w:sz w:val="20"/>
          <w:szCs w:val="20"/>
        </w:rPr>
        <w:t>their</w:t>
      </w:r>
      <w:r w:rsidRPr="0065366F">
        <w:rPr>
          <w:rFonts w:ascii="Arial" w:hAnsi="Arial" w:cs="Arial"/>
          <w:bCs/>
          <w:sz w:val="20"/>
          <w:szCs w:val="20"/>
        </w:rPr>
        <w:t xml:space="preserve"> performance, measured as sales revenue. The findings reveal that firm size, firm age, current capital, fixed assets, enterprise type, and geographical distribution significantly and positively influence sales revenue. Conversely, owner</w:t>
      </w:r>
      <w:r w:rsidR="003310F2" w:rsidRPr="0065366F">
        <w:rPr>
          <w:rFonts w:ascii="Arial" w:hAnsi="Arial" w:cs="Arial"/>
          <w:bCs/>
          <w:sz w:val="20"/>
          <w:szCs w:val="20"/>
        </w:rPr>
        <w:t xml:space="preserve"> and manager</w:t>
      </w:r>
      <w:r w:rsidRPr="0065366F">
        <w:rPr>
          <w:rFonts w:ascii="Arial" w:hAnsi="Arial" w:cs="Arial"/>
          <w:bCs/>
          <w:sz w:val="20"/>
          <w:szCs w:val="20"/>
        </w:rPr>
        <w:t xml:space="preserve"> characteristics (age and education) </w:t>
      </w:r>
      <w:r w:rsidR="002050FB" w:rsidRPr="0065366F">
        <w:rPr>
          <w:rFonts w:ascii="Arial" w:hAnsi="Arial" w:cs="Arial"/>
          <w:bCs/>
          <w:sz w:val="20"/>
          <w:szCs w:val="20"/>
        </w:rPr>
        <w:t xml:space="preserve">are negatively </w:t>
      </w:r>
      <w:r w:rsidR="009C10DB" w:rsidRPr="0065366F">
        <w:rPr>
          <w:rFonts w:ascii="Arial" w:hAnsi="Arial" w:cs="Arial"/>
          <w:bCs/>
          <w:sz w:val="20"/>
          <w:szCs w:val="20"/>
        </w:rPr>
        <w:t xml:space="preserve">and marginally </w:t>
      </w:r>
      <w:r w:rsidR="002050FB" w:rsidRPr="0065366F">
        <w:rPr>
          <w:rFonts w:ascii="Arial" w:hAnsi="Arial" w:cs="Arial"/>
          <w:bCs/>
          <w:sz w:val="20"/>
          <w:szCs w:val="20"/>
        </w:rPr>
        <w:t>significant</w:t>
      </w:r>
      <w:r w:rsidR="007E7FB5" w:rsidRPr="0065366F">
        <w:rPr>
          <w:rFonts w:ascii="Arial" w:hAnsi="Arial" w:cs="Arial"/>
          <w:bCs/>
          <w:sz w:val="20"/>
          <w:szCs w:val="20"/>
        </w:rPr>
        <w:t>,</w:t>
      </w:r>
      <w:r w:rsidR="002050FB" w:rsidRPr="0065366F">
        <w:rPr>
          <w:rFonts w:ascii="Arial" w:hAnsi="Arial" w:cs="Arial"/>
          <w:bCs/>
          <w:sz w:val="20"/>
          <w:szCs w:val="20"/>
        </w:rPr>
        <w:t xml:space="preserve"> </w:t>
      </w:r>
      <w:r w:rsidRPr="0065366F">
        <w:rPr>
          <w:rFonts w:ascii="Arial" w:hAnsi="Arial" w:cs="Arial"/>
          <w:bCs/>
          <w:sz w:val="20"/>
          <w:szCs w:val="20"/>
        </w:rPr>
        <w:t xml:space="preserve">and external support factors (training participation and access to business information) were not statistically significant, although some showed positive directional effects. These results highlight the limited effectiveness of current support initiatives and indicate the need for better-targeted interventions. Policy implications include strengthening access to capital, promoting market expansion strategies, and tailoring training programs to address the practical needs of </w:t>
      </w:r>
      <w:r w:rsidR="00C5303F" w:rsidRPr="0065366F">
        <w:rPr>
          <w:rFonts w:ascii="Arial" w:hAnsi="Arial" w:cs="Arial"/>
          <w:bCs/>
          <w:sz w:val="20"/>
          <w:szCs w:val="20"/>
        </w:rPr>
        <w:t>Food MSMEs</w:t>
      </w:r>
      <w:r w:rsidRPr="0065366F">
        <w:rPr>
          <w:rFonts w:ascii="Arial" w:hAnsi="Arial" w:cs="Arial"/>
          <w:bCs/>
          <w:sz w:val="20"/>
          <w:szCs w:val="20"/>
        </w:rPr>
        <w:t>. Such measures are essential for enhancing competitiveness and ensuring the sustainable development of the</w:t>
      </w:r>
      <w:r w:rsidR="001A777B" w:rsidRPr="0065366F">
        <w:rPr>
          <w:rFonts w:ascii="Arial" w:hAnsi="Arial" w:cs="Arial"/>
          <w:bCs/>
          <w:sz w:val="20"/>
          <w:szCs w:val="20"/>
        </w:rPr>
        <w:t xml:space="preserve"> </w:t>
      </w:r>
      <w:r w:rsidR="00584212" w:rsidRPr="0065366F">
        <w:rPr>
          <w:rFonts w:ascii="Arial" w:hAnsi="Arial" w:cs="Arial"/>
          <w:bCs/>
          <w:sz w:val="20"/>
          <w:szCs w:val="20"/>
        </w:rPr>
        <w:t xml:space="preserve">food </w:t>
      </w:r>
      <w:r w:rsidRPr="0065366F">
        <w:rPr>
          <w:rFonts w:ascii="Arial" w:hAnsi="Arial" w:cs="Arial"/>
          <w:bCs/>
          <w:sz w:val="20"/>
          <w:szCs w:val="20"/>
        </w:rPr>
        <w:t>sector.</w:t>
      </w:r>
    </w:p>
    <w:p w14:paraId="14778457" w14:textId="77777777" w:rsidR="004D4FF0" w:rsidRPr="0065366F" w:rsidRDefault="00A344E8" w:rsidP="004D4FF0">
      <w:pPr>
        <w:spacing w:before="80" w:line="360" w:lineRule="auto"/>
        <w:ind w:right="26"/>
        <w:jc w:val="both"/>
        <w:rPr>
          <w:rFonts w:ascii="Arial" w:hAnsi="Arial" w:cs="Arial"/>
          <w:sz w:val="20"/>
          <w:szCs w:val="20"/>
        </w:rPr>
      </w:pPr>
      <w:r w:rsidRPr="0065366F">
        <w:rPr>
          <w:rFonts w:ascii="Arial" w:hAnsi="Arial" w:cs="Arial"/>
          <w:b/>
          <w:bCs/>
          <w:sz w:val="20"/>
          <w:szCs w:val="20"/>
        </w:rPr>
        <w:t xml:space="preserve">Keywords: </w:t>
      </w:r>
      <w:r w:rsidR="00C5303F" w:rsidRPr="0065366F">
        <w:rPr>
          <w:rFonts w:ascii="Arial" w:hAnsi="Arial" w:cs="Arial"/>
          <w:sz w:val="20"/>
          <w:szCs w:val="20"/>
        </w:rPr>
        <w:t>Food MSMEs</w:t>
      </w:r>
      <w:r w:rsidRPr="0065366F">
        <w:rPr>
          <w:rFonts w:ascii="Arial" w:hAnsi="Arial" w:cs="Arial"/>
          <w:sz w:val="20"/>
          <w:szCs w:val="20"/>
        </w:rPr>
        <w:t xml:space="preserve">, Performance, </w:t>
      </w:r>
      <w:r w:rsidR="00C13503" w:rsidRPr="0065366F">
        <w:rPr>
          <w:rFonts w:ascii="Arial" w:hAnsi="Arial" w:cs="Arial"/>
          <w:sz w:val="20"/>
          <w:szCs w:val="20"/>
        </w:rPr>
        <w:t>Demographic, Business</w:t>
      </w:r>
      <w:r w:rsidR="00AD6380" w:rsidRPr="0065366F">
        <w:rPr>
          <w:rFonts w:ascii="Arial" w:hAnsi="Arial" w:cs="Arial"/>
          <w:sz w:val="20"/>
          <w:szCs w:val="20"/>
        </w:rPr>
        <w:t>,</w:t>
      </w:r>
      <w:r w:rsidR="00C13503" w:rsidRPr="0065366F">
        <w:rPr>
          <w:rFonts w:ascii="Arial" w:hAnsi="Arial" w:cs="Arial"/>
          <w:sz w:val="20"/>
          <w:szCs w:val="20"/>
        </w:rPr>
        <w:t xml:space="preserve"> and Institutional Factors</w:t>
      </w:r>
      <w:r w:rsidR="004D4FF0" w:rsidRPr="0065366F">
        <w:rPr>
          <w:rFonts w:ascii="Arial" w:hAnsi="Arial" w:cs="Arial"/>
          <w:sz w:val="20"/>
          <w:szCs w:val="20"/>
        </w:rPr>
        <w:t xml:space="preserve"> </w:t>
      </w:r>
    </w:p>
    <w:p w14:paraId="0000000E" w14:textId="43FA45E1" w:rsidR="003A6A82" w:rsidRPr="0065366F" w:rsidRDefault="0065366F" w:rsidP="004D4FF0">
      <w:pPr>
        <w:spacing w:before="80" w:line="360" w:lineRule="auto"/>
        <w:ind w:right="26"/>
        <w:jc w:val="both"/>
        <w:rPr>
          <w:rFonts w:ascii="Arial" w:hAnsi="Arial" w:cs="Arial"/>
          <w:b/>
          <w:bCs/>
          <w:sz w:val="22"/>
          <w:szCs w:val="22"/>
        </w:rPr>
      </w:pPr>
      <w:r>
        <w:rPr>
          <w:rFonts w:ascii="Arial" w:hAnsi="Arial" w:cs="Arial"/>
          <w:b/>
          <w:bCs/>
          <w:sz w:val="22"/>
          <w:szCs w:val="22"/>
        </w:rPr>
        <w:t xml:space="preserve">1. </w:t>
      </w:r>
      <w:r w:rsidR="002B0F19" w:rsidRPr="0065366F">
        <w:rPr>
          <w:rFonts w:ascii="Arial" w:hAnsi="Arial" w:cs="Arial"/>
          <w:b/>
          <w:bCs/>
          <w:sz w:val="22"/>
          <w:szCs w:val="22"/>
        </w:rPr>
        <w:t>I</w:t>
      </w:r>
      <w:r>
        <w:rPr>
          <w:rFonts w:ascii="Arial" w:hAnsi="Arial" w:cs="Arial"/>
          <w:b/>
          <w:bCs/>
          <w:sz w:val="22"/>
          <w:szCs w:val="22"/>
        </w:rPr>
        <w:t>NTRODUCTION</w:t>
      </w:r>
    </w:p>
    <w:p w14:paraId="57A47ECF" w14:textId="7DF4FEA0" w:rsidR="004B5E8B" w:rsidRPr="0065366F" w:rsidRDefault="00C5303F" w:rsidP="00E50BA2">
      <w:pPr>
        <w:spacing w:line="360" w:lineRule="auto"/>
        <w:ind w:right="26" w:firstLine="720"/>
        <w:jc w:val="both"/>
        <w:rPr>
          <w:rFonts w:ascii="Arial" w:hAnsi="Arial" w:cs="Arial"/>
          <w:sz w:val="20"/>
          <w:szCs w:val="20"/>
        </w:rPr>
      </w:pPr>
      <w:r w:rsidRPr="0065366F">
        <w:rPr>
          <w:rFonts w:ascii="Arial" w:hAnsi="Arial" w:cs="Arial"/>
          <w:sz w:val="20"/>
          <w:szCs w:val="20"/>
          <w:lang w:val="en-US"/>
        </w:rPr>
        <w:t>Food MSMEs</w:t>
      </w:r>
      <w:r w:rsidR="00E90DA3" w:rsidRPr="0065366F">
        <w:rPr>
          <w:rFonts w:ascii="Arial" w:hAnsi="Arial" w:cs="Arial"/>
          <w:sz w:val="20"/>
          <w:szCs w:val="20"/>
          <w:lang w:val="en-US"/>
        </w:rPr>
        <w:t xml:space="preserve"> are widely recognized as the backbone of economic growth and development. They contribute significantly to employment generation, poverty reduction, production expansion, and export promotion</w:t>
      </w:r>
      <w:r w:rsidR="00AE0F63" w:rsidRPr="0065366F">
        <w:rPr>
          <w:rFonts w:ascii="Arial" w:hAnsi="Arial" w:cs="Arial"/>
          <w:sz w:val="20"/>
          <w:szCs w:val="20"/>
          <w:lang w:val="en-US"/>
        </w:rPr>
        <w:t xml:space="preserve"> of a country</w:t>
      </w:r>
      <w:r w:rsidR="00E90DA3" w:rsidRPr="0065366F">
        <w:rPr>
          <w:rFonts w:ascii="Arial" w:hAnsi="Arial" w:cs="Arial"/>
          <w:sz w:val="20"/>
          <w:szCs w:val="20"/>
          <w:lang w:val="en-US"/>
        </w:rPr>
        <w:t xml:space="preserve">. In developing countries like Myanmar, </w:t>
      </w:r>
      <w:r w:rsidRPr="0065366F">
        <w:rPr>
          <w:rFonts w:ascii="Arial" w:hAnsi="Arial" w:cs="Arial"/>
          <w:sz w:val="20"/>
          <w:szCs w:val="20"/>
          <w:lang w:val="en-US"/>
        </w:rPr>
        <w:t>Food MSMEs</w:t>
      </w:r>
      <w:r w:rsidR="00E90DA3" w:rsidRPr="0065366F">
        <w:rPr>
          <w:rFonts w:ascii="Arial" w:hAnsi="Arial" w:cs="Arial"/>
          <w:sz w:val="20"/>
          <w:szCs w:val="20"/>
          <w:lang w:val="en-US"/>
        </w:rPr>
        <w:t xml:space="preserve"> are vital to achieving food security, local economic development, and industrialization.</w:t>
      </w:r>
      <w:r w:rsidR="00EC50C3" w:rsidRPr="0065366F">
        <w:rPr>
          <w:rFonts w:ascii="Arial" w:hAnsi="Arial" w:cs="Arial"/>
          <w:sz w:val="20"/>
          <w:szCs w:val="20"/>
          <w:lang w:val="en-US"/>
        </w:rPr>
        <w:t xml:space="preserve"> </w:t>
      </w:r>
      <w:r w:rsidR="004B5E8B" w:rsidRPr="0065366F">
        <w:rPr>
          <w:rFonts w:ascii="Arial" w:hAnsi="Arial" w:cs="Arial"/>
          <w:sz w:val="20"/>
          <w:szCs w:val="20"/>
          <w:lang w:val="en-US"/>
        </w:rPr>
        <w:t>The country’s rich natural and human resources, favorable geographic location, and support from international entities collectively form a solid foundation for investment and economic advancement</w:t>
      </w:r>
      <w:r w:rsidR="00AE0F63" w:rsidRPr="0065366F">
        <w:rPr>
          <w:rFonts w:ascii="Arial" w:hAnsi="Arial" w:cs="Arial"/>
          <w:sz w:val="20"/>
          <w:szCs w:val="20"/>
          <w:lang w:val="en-US"/>
        </w:rPr>
        <w:t xml:space="preserve"> in Myanmar</w:t>
      </w:r>
      <w:r w:rsidR="004B5E8B" w:rsidRPr="0065366F">
        <w:rPr>
          <w:rFonts w:ascii="Arial" w:hAnsi="Arial" w:cs="Arial"/>
          <w:sz w:val="20"/>
          <w:szCs w:val="20"/>
          <w:lang w:val="en-US"/>
        </w:rPr>
        <w:t xml:space="preserve">. Notably, Myanmar's strategic integration into the Association of Southeast Asian Nations presents promising avenues for </w:t>
      </w:r>
      <w:r w:rsidRPr="0065366F">
        <w:rPr>
          <w:rFonts w:ascii="Arial" w:hAnsi="Arial" w:cs="Arial"/>
          <w:sz w:val="20"/>
          <w:szCs w:val="20"/>
          <w:lang w:val="en-US"/>
        </w:rPr>
        <w:t>Food MSMEs</w:t>
      </w:r>
      <w:r w:rsidR="004B5E8B" w:rsidRPr="0065366F">
        <w:rPr>
          <w:rFonts w:ascii="Arial" w:hAnsi="Arial" w:cs="Arial"/>
          <w:sz w:val="20"/>
          <w:szCs w:val="20"/>
          <w:lang w:val="en-US"/>
        </w:rPr>
        <w:t xml:space="preserve"> to engage in increased export activities and gain better access to international markets. Additionally, the availability of abundant local raw materials enables these enterprises to maintain cost-effective production. Moreover, a relatively low-cost yet </w:t>
      </w:r>
      <w:r w:rsidR="00500627" w:rsidRPr="0065366F">
        <w:rPr>
          <w:rFonts w:ascii="Arial" w:hAnsi="Arial" w:cs="Arial"/>
          <w:sz w:val="20"/>
          <w:szCs w:val="20"/>
          <w:lang w:val="en-US"/>
        </w:rPr>
        <w:t xml:space="preserve">skilled </w:t>
      </w:r>
      <w:r w:rsidR="004B5E8B" w:rsidRPr="0065366F">
        <w:rPr>
          <w:rFonts w:ascii="Arial" w:hAnsi="Arial" w:cs="Arial"/>
          <w:sz w:val="20"/>
          <w:szCs w:val="20"/>
          <w:lang w:val="en-US"/>
        </w:rPr>
        <w:t xml:space="preserve">workforce offers a competitive edge in the manufacturing sector, enhancing the operational capabilities of </w:t>
      </w:r>
      <w:r w:rsidRPr="0065366F">
        <w:rPr>
          <w:rFonts w:ascii="Arial" w:hAnsi="Arial" w:cs="Arial"/>
          <w:sz w:val="20"/>
          <w:szCs w:val="20"/>
          <w:lang w:val="en-US"/>
        </w:rPr>
        <w:t>Food MSMEs</w:t>
      </w:r>
      <w:r w:rsidR="004B5E8B" w:rsidRPr="0065366F">
        <w:rPr>
          <w:rFonts w:ascii="Arial" w:hAnsi="Arial" w:cs="Arial"/>
          <w:sz w:val="20"/>
          <w:szCs w:val="20"/>
          <w:lang w:val="en-US"/>
        </w:rPr>
        <w:t xml:space="preserve">. Despite these favorable conditions, </w:t>
      </w:r>
      <w:r w:rsidRPr="0065366F">
        <w:rPr>
          <w:rFonts w:ascii="Arial" w:hAnsi="Arial" w:cs="Arial"/>
          <w:sz w:val="20"/>
          <w:szCs w:val="20"/>
          <w:lang w:val="en-US"/>
        </w:rPr>
        <w:t>Food MSMEs</w:t>
      </w:r>
      <w:r w:rsidR="004B5E8B" w:rsidRPr="0065366F">
        <w:rPr>
          <w:rFonts w:ascii="Arial" w:hAnsi="Arial" w:cs="Arial"/>
          <w:sz w:val="20"/>
          <w:szCs w:val="20"/>
          <w:lang w:val="en-US"/>
        </w:rPr>
        <w:t xml:space="preserve"> in Myanmar encounter significant challenges that impede their growth and sustainability. Government initiatives and non-governmental efforts aimed at promoting MSME development have made strides, yet many enterprises still struggle to achieve enduring progress</w:t>
      </w:r>
      <w:r w:rsidR="00C8600C" w:rsidRPr="0065366F">
        <w:rPr>
          <w:rFonts w:ascii="Arial" w:hAnsi="Arial" w:cs="Arial"/>
          <w:sz w:val="20"/>
          <w:szCs w:val="20"/>
          <w:lang w:val="en-US"/>
        </w:rPr>
        <w:t xml:space="preserve"> (ADB, 2020)</w:t>
      </w:r>
      <w:r w:rsidR="004B5E8B" w:rsidRPr="0065366F">
        <w:rPr>
          <w:rFonts w:ascii="Arial" w:hAnsi="Arial" w:cs="Arial"/>
          <w:sz w:val="20"/>
          <w:szCs w:val="20"/>
          <w:lang w:val="en-US"/>
        </w:rPr>
        <w:t>. A comprehensive understanding of their characteristics that influence their performance is crucial for supporting them.</w:t>
      </w:r>
    </w:p>
    <w:p w14:paraId="18BB1262" w14:textId="77B5222B" w:rsidR="004644ED" w:rsidRPr="0065366F" w:rsidRDefault="00AE0F63" w:rsidP="00E50BA2">
      <w:pPr>
        <w:spacing w:line="360" w:lineRule="auto"/>
        <w:ind w:right="26" w:firstLine="720"/>
        <w:jc w:val="both"/>
        <w:rPr>
          <w:rFonts w:ascii="Arial" w:hAnsi="Arial" w:cs="Arial"/>
          <w:sz w:val="20"/>
          <w:szCs w:val="20"/>
          <w:lang w:val="en-US"/>
        </w:rPr>
      </w:pPr>
      <w:r w:rsidRPr="0065366F">
        <w:rPr>
          <w:rFonts w:ascii="Arial" w:hAnsi="Arial" w:cs="Arial"/>
          <w:sz w:val="20"/>
          <w:szCs w:val="20"/>
          <w:lang w:val="en-US"/>
        </w:rPr>
        <w:t xml:space="preserve">Performance is a broad concept that is used in various areas to measure the success of an organization. It includes both financial and nonfinancial indicators that assist in achieving the desired objective and result. </w:t>
      </w:r>
      <w:proofErr w:type="spellStart"/>
      <w:r w:rsidRPr="0065366F">
        <w:rPr>
          <w:rFonts w:ascii="Arial" w:hAnsi="Arial" w:cs="Arial"/>
          <w:sz w:val="20"/>
          <w:szCs w:val="20"/>
          <w:lang w:val="en-US"/>
        </w:rPr>
        <w:t>Trkman</w:t>
      </w:r>
      <w:proofErr w:type="spellEnd"/>
      <w:r w:rsidRPr="0065366F">
        <w:rPr>
          <w:rFonts w:ascii="Arial" w:hAnsi="Arial" w:cs="Arial"/>
          <w:sz w:val="20"/>
          <w:szCs w:val="20"/>
          <w:lang w:val="en-US"/>
        </w:rPr>
        <w:t xml:space="preserve"> (2010) emphasizes the importance of evaluating firm performance, regardless of the size of the organization, to monitor its success or failure and take appropriate actions to ensure a competitive advantage. </w:t>
      </w:r>
      <w:r w:rsidR="00FA0D7F" w:rsidRPr="0065366F">
        <w:rPr>
          <w:rFonts w:ascii="Arial" w:hAnsi="Arial" w:cs="Arial"/>
          <w:sz w:val="20"/>
          <w:szCs w:val="20"/>
          <w:lang w:val="en-US"/>
        </w:rPr>
        <w:t xml:space="preserve">For small businesses, sales revenue is the most common and reliable metric, capturing the firm’s ability to generate favorable outcomes (Vesper, 1990). </w:t>
      </w:r>
      <w:r w:rsidR="00D93FA6" w:rsidRPr="0065366F">
        <w:rPr>
          <w:rFonts w:ascii="Arial" w:hAnsi="Arial" w:cs="Arial"/>
          <w:sz w:val="20"/>
          <w:szCs w:val="20"/>
          <w:lang w:val="en-US"/>
        </w:rPr>
        <w:t xml:space="preserve">Several </w:t>
      </w:r>
      <w:r w:rsidR="00D93FA6" w:rsidRPr="0065366F">
        <w:rPr>
          <w:rFonts w:ascii="Arial" w:hAnsi="Arial" w:cs="Arial"/>
          <w:sz w:val="20"/>
          <w:szCs w:val="20"/>
          <w:lang w:val="en-US"/>
        </w:rPr>
        <w:lastRenderedPageBreak/>
        <w:t>internal and external barriers constrain MSME performance. Internally, challenges include inadequate capital, weak managerial and technical skills, and limited access to market information. Administrative inefficiencies, poor record-keeping, and insufficient planning contribute to business failure (</w:t>
      </w:r>
      <w:proofErr w:type="spellStart"/>
      <w:r w:rsidR="00D93FA6" w:rsidRPr="0065366F">
        <w:rPr>
          <w:rFonts w:ascii="Arial" w:hAnsi="Arial" w:cs="Arial"/>
          <w:sz w:val="20"/>
          <w:szCs w:val="20"/>
          <w:lang w:val="en-US"/>
        </w:rPr>
        <w:t>Kazooba</w:t>
      </w:r>
      <w:proofErr w:type="spellEnd"/>
      <w:r w:rsidR="00D93FA6" w:rsidRPr="0065366F">
        <w:rPr>
          <w:rFonts w:ascii="Arial" w:hAnsi="Arial" w:cs="Arial"/>
          <w:sz w:val="20"/>
          <w:szCs w:val="20"/>
          <w:lang w:val="en-US"/>
        </w:rPr>
        <w:t xml:space="preserve">, 2006). Inexperience, lack of market research, and weak business acumen further hinder growth (Lussier, 1996; </w:t>
      </w:r>
      <w:proofErr w:type="spellStart"/>
      <w:r w:rsidR="00D93FA6" w:rsidRPr="0065366F">
        <w:rPr>
          <w:rFonts w:ascii="Arial" w:hAnsi="Arial" w:cs="Arial"/>
          <w:sz w:val="20"/>
          <w:szCs w:val="20"/>
          <w:lang w:val="en-US"/>
        </w:rPr>
        <w:t>Mahadea</w:t>
      </w:r>
      <w:proofErr w:type="spellEnd"/>
      <w:r w:rsidR="00D93FA6" w:rsidRPr="0065366F">
        <w:rPr>
          <w:rFonts w:ascii="Arial" w:hAnsi="Arial" w:cs="Arial"/>
          <w:sz w:val="20"/>
          <w:szCs w:val="20"/>
          <w:lang w:val="en-US"/>
        </w:rPr>
        <w:t xml:space="preserve"> &amp; Murphy, </w:t>
      </w:r>
      <w:r w:rsidR="0041367F" w:rsidRPr="0065366F">
        <w:rPr>
          <w:rFonts w:ascii="Arial" w:hAnsi="Arial" w:cs="Arial"/>
          <w:sz w:val="20"/>
          <w:szCs w:val="20"/>
          <w:lang w:val="en-US"/>
        </w:rPr>
        <w:t>2008</w:t>
      </w:r>
      <w:r w:rsidR="00D93FA6" w:rsidRPr="0065366F">
        <w:rPr>
          <w:rFonts w:ascii="Arial" w:hAnsi="Arial" w:cs="Arial"/>
          <w:sz w:val="20"/>
          <w:szCs w:val="20"/>
          <w:lang w:val="en-US"/>
        </w:rPr>
        <w:t xml:space="preserve">). </w:t>
      </w:r>
      <w:r w:rsidR="00C4059E" w:rsidRPr="0065366F">
        <w:rPr>
          <w:rFonts w:ascii="Arial" w:hAnsi="Arial" w:cs="Arial"/>
          <w:sz w:val="20"/>
          <w:szCs w:val="20"/>
          <w:lang w:val="en-US"/>
        </w:rPr>
        <w:t xml:space="preserve">Factors such as firm size, availability of capital, and market access are widely acknowledged as critical determinants of business success. However, empirical evidence about Myanmar remains limited and, at times, contradictory. Additionally, the effectiveness of support services, including business training and access to information, has not been comprehensively evaluated. Consequently, it is </w:t>
      </w:r>
      <w:r w:rsidR="008C0EFB">
        <w:rPr>
          <w:rFonts w:ascii="Arial" w:hAnsi="Arial" w:cs="Arial"/>
          <w:sz w:val="20"/>
          <w:szCs w:val="20"/>
          <w:lang w:val="en-US"/>
        </w:rPr>
        <w:t>crucial to understand the factors that influence the performance of Food MSMEs to</w:t>
      </w:r>
      <w:r w:rsidR="00C4059E" w:rsidRPr="0065366F">
        <w:rPr>
          <w:rFonts w:ascii="Arial" w:hAnsi="Arial" w:cs="Arial"/>
          <w:sz w:val="20"/>
          <w:szCs w:val="20"/>
          <w:lang w:val="en-US"/>
        </w:rPr>
        <w:t xml:space="preserve"> enhance their productivity, competitiveness, and long-term sustainability. Nevertheless, there is a significant deficiency in research within Myanmar that assesses MSME performance through rigorous statistical analysis. This study aims to identify the demographic, business, and institutional characteristics of </w:t>
      </w:r>
      <w:r w:rsidR="00C5303F" w:rsidRPr="0065366F">
        <w:rPr>
          <w:rFonts w:ascii="Arial" w:hAnsi="Arial" w:cs="Arial"/>
          <w:sz w:val="20"/>
          <w:szCs w:val="20"/>
          <w:lang w:val="en-US"/>
        </w:rPr>
        <w:t>Food MSMEs</w:t>
      </w:r>
      <w:r w:rsidR="00C4059E" w:rsidRPr="0065366F">
        <w:rPr>
          <w:rFonts w:ascii="Arial" w:hAnsi="Arial" w:cs="Arial"/>
          <w:sz w:val="20"/>
          <w:szCs w:val="20"/>
          <w:lang w:val="en-US"/>
        </w:rPr>
        <w:t xml:space="preserve"> in Nay </w:t>
      </w:r>
      <w:proofErr w:type="spellStart"/>
      <w:r w:rsidR="00C4059E" w:rsidRPr="0065366F">
        <w:rPr>
          <w:rFonts w:ascii="Arial" w:hAnsi="Arial" w:cs="Arial"/>
          <w:sz w:val="20"/>
          <w:szCs w:val="20"/>
          <w:lang w:val="en-US"/>
        </w:rPr>
        <w:t>Pyi</w:t>
      </w:r>
      <w:proofErr w:type="spellEnd"/>
      <w:r w:rsidR="00C4059E" w:rsidRPr="0065366F">
        <w:rPr>
          <w:rFonts w:ascii="Arial" w:hAnsi="Arial" w:cs="Arial"/>
          <w:sz w:val="20"/>
          <w:szCs w:val="20"/>
          <w:lang w:val="en-US"/>
        </w:rPr>
        <w:t xml:space="preserve"> Taw, as well as to determine the factors influencing their performance. By applying multiple regression analysis, this research </w:t>
      </w:r>
      <w:r w:rsidR="008C0EFB">
        <w:rPr>
          <w:rFonts w:ascii="Arial" w:hAnsi="Arial" w:cs="Arial"/>
          <w:sz w:val="20"/>
          <w:szCs w:val="20"/>
          <w:lang w:val="en-US"/>
        </w:rPr>
        <w:t xml:space="preserve">aims to address the existing gap and explore the drivers of performance for Food MSMEs in Nay </w:t>
      </w:r>
      <w:proofErr w:type="spellStart"/>
      <w:r w:rsidR="008C0EFB">
        <w:rPr>
          <w:rFonts w:ascii="Arial" w:hAnsi="Arial" w:cs="Arial"/>
          <w:sz w:val="20"/>
          <w:szCs w:val="20"/>
          <w:lang w:val="en-US"/>
        </w:rPr>
        <w:t>Pyi</w:t>
      </w:r>
      <w:proofErr w:type="spellEnd"/>
      <w:r w:rsidR="008C0EFB">
        <w:rPr>
          <w:rFonts w:ascii="Arial" w:hAnsi="Arial" w:cs="Arial"/>
          <w:sz w:val="20"/>
          <w:szCs w:val="20"/>
          <w:lang w:val="en-US"/>
        </w:rPr>
        <w:t xml:space="preserve"> Taw, within the context of demographic, business, and institutional factors</w:t>
      </w:r>
      <w:r w:rsidR="00D93E93" w:rsidRPr="0065366F">
        <w:rPr>
          <w:rFonts w:ascii="Arial" w:hAnsi="Arial" w:cs="Arial"/>
          <w:sz w:val="20"/>
          <w:szCs w:val="20"/>
          <w:lang w:val="en-US"/>
        </w:rPr>
        <w:t>.</w:t>
      </w:r>
    </w:p>
    <w:p w14:paraId="5BB14216" w14:textId="0513A8C8" w:rsidR="00492F6A" w:rsidRPr="0065366F" w:rsidRDefault="0065366F" w:rsidP="00E50BA2">
      <w:pPr>
        <w:spacing w:before="240" w:after="240" w:line="360" w:lineRule="auto"/>
        <w:ind w:right="26"/>
        <w:jc w:val="both"/>
        <w:rPr>
          <w:rFonts w:ascii="Arial" w:hAnsi="Arial" w:cs="Arial"/>
          <w:b/>
          <w:bCs/>
          <w:sz w:val="22"/>
          <w:szCs w:val="22"/>
        </w:rPr>
      </w:pPr>
      <w:bookmarkStart w:id="2" w:name="_Hlk202174621"/>
      <w:r>
        <w:rPr>
          <w:rFonts w:ascii="Arial" w:hAnsi="Arial" w:cs="Arial"/>
          <w:b/>
          <w:bCs/>
          <w:sz w:val="22"/>
          <w:szCs w:val="22"/>
        </w:rPr>
        <w:t>2. DATA COLLECTION AND RESEARCH METHODOLOGY</w:t>
      </w:r>
      <w:r w:rsidR="005C71D5" w:rsidRPr="0065366F">
        <w:rPr>
          <w:rFonts w:ascii="Arial" w:hAnsi="Arial" w:cs="Arial"/>
          <w:b/>
          <w:bCs/>
          <w:sz w:val="22"/>
          <w:szCs w:val="22"/>
        </w:rPr>
        <w:t xml:space="preserve"> </w:t>
      </w:r>
    </w:p>
    <w:p w14:paraId="64B08763" w14:textId="19587659" w:rsidR="00532D3A" w:rsidRPr="0065366F" w:rsidRDefault="00532D3A" w:rsidP="00E50BA2">
      <w:pPr>
        <w:spacing w:line="360" w:lineRule="auto"/>
        <w:ind w:right="26" w:firstLine="720"/>
        <w:jc w:val="both"/>
        <w:rPr>
          <w:rFonts w:ascii="Arial" w:hAnsi="Arial" w:cs="Arial"/>
          <w:sz w:val="20"/>
          <w:szCs w:val="20"/>
          <w:lang w:val="en-US"/>
        </w:rPr>
      </w:pPr>
      <w:r w:rsidRPr="0065366F">
        <w:rPr>
          <w:rFonts w:ascii="Arial" w:hAnsi="Arial" w:cs="Arial"/>
          <w:sz w:val="20"/>
          <w:szCs w:val="20"/>
          <w:lang w:val="en-US"/>
        </w:rPr>
        <w:t xml:space="preserve">The research was conducted among </w:t>
      </w:r>
      <w:r w:rsidR="00C5303F" w:rsidRPr="0065366F">
        <w:rPr>
          <w:rFonts w:ascii="Arial" w:hAnsi="Arial" w:cs="Arial"/>
          <w:sz w:val="20"/>
          <w:szCs w:val="20"/>
          <w:lang w:val="en-US"/>
        </w:rPr>
        <w:t>Food MSMEs</w:t>
      </w:r>
      <w:r w:rsidRPr="0065366F">
        <w:rPr>
          <w:rFonts w:ascii="Arial" w:hAnsi="Arial" w:cs="Arial"/>
          <w:sz w:val="20"/>
          <w:szCs w:val="20"/>
          <w:lang w:val="en-US"/>
        </w:rPr>
        <w:t xml:space="preserve"> located in the </w:t>
      </w:r>
      <w:proofErr w:type="spellStart"/>
      <w:r w:rsidRPr="0065366F">
        <w:rPr>
          <w:rFonts w:ascii="Arial" w:hAnsi="Arial" w:cs="Arial"/>
          <w:sz w:val="20"/>
          <w:szCs w:val="20"/>
          <w:lang w:val="en-US"/>
        </w:rPr>
        <w:t>Pyinmana</w:t>
      </w:r>
      <w:proofErr w:type="spellEnd"/>
      <w:r w:rsidRPr="0065366F">
        <w:rPr>
          <w:rFonts w:ascii="Arial" w:hAnsi="Arial" w:cs="Arial"/>
          <w:sz w:val="20"/>
          <w:szCs w:val="20"/>
          <w:lang w:val="en-US"/>
        </w:rPr>
        <w:t xml:space="preserve">, </w:t>
      </w:r>
      <w:proofErr w:type="spellStart"/>
      <w:r w:rsidRPr="0065366F">
        <w:rPr>
          <w:rFonts w:ascii="Arial" w:hAnsi="Arial" w:cs="Arial"/>
          <w:sz w:val="20"/>
          <w:szCs w:val="20"/>
          <w:lang w:val="en-US"/>
        </w:rPr>
        <w:t>Lewe</w:t>
      </w:r>
      <w:proofErr w:type="spellEnd"/>
      <w:r w:rsidRPr="0065366F">
        <w:rPr>
          <w:rFonts w:ascii="Arial" w:hAnsi="Arial" w:cs="Arial"/>
          <w:sz w:val="20"/>
          <w:szCs w:val="20"/>
          <w:lang w:val="en-US"/>
        </w:rPr>
        <w:t xml:space="preserve">, and </w:t>
      </w:r>
      <w:proofErr w:type="spellStart"/>
      <w:r w:rsidRPr="0065366F">
        <w:rPr>
          <w:rFonts w:ascii="Arial" w:hAnsi="Arial" w:cs="Arial"/>
          <w:sz w:val="20"/>
          <w:szCs w:val="20"/>
          <w:lang w:val="en-US"/>
        </w:rPr>
        <w:t>Tatkon</w:t>
      </w:r>
      <w:proofErr w:type="spellEnd"/>
      <w:r w:rsidRPr="0065366F">
        <w:rPr>
          <w:rFonts w:ascii="Arial" w:hAnsi="Arial" w:cs="Arial"/>
          <w:sz w:val="20"/>
          <w:szCs w:val="20"/>
          <w:lang w:val="en-US"/>
        </w:rPr>
        <w:t xml:space="preserve"> townships </w:t>
      </w:r>
      <w:r w:rsidR="00B26DC2" w:rsidRPr="0065366F">
        <w:rPr>
          <w:rFonts w:ascii="Arial" w:hAnsi="Arial" w:cs="Arial"/>
          <w:sz w:val="20"/>
          <w:szCs w:val="20"/>
          <w:lang w:val="en-US"/>
        </w:rPr>
        <w:t xml:space="preserve">within Nay </w:t>
      </w:r>
      <w:proofErr w:type="spellStart"/>
      <w:r w:rsidR="00B26DC2" w:rsidRPr="0065366F">
        <w:rPr>
          <w:rFonts w:ascii="Arial" w:hAnsi="Arial" w:cs="Arial"/>
          <w:sz w:val="20"/>
          <w:szCs w:val="20"/>
          <w:lang w:val="en-US"/>
        </w:rPr>
        <w:t>Pyi</w:t>
      </w:r>
      <w:proofErr w:type="spellEnd"/>
      <w:r w:rsidR="00B26DC2" w:rsidRPr="0065366F">
        <w:rPr>
          <w:rFonts w:ascii="Arial" w:hAnsi="Arial" w:cs="Arial"/>
          <w:sz w:val="20"/>
          <w:szCs w:val="20"/>
          <w:lang w:val="en-US"/>
        </w:rPr>
        <w:t xml:space="preserve"> Taw,</w:t>
      </w:r>
      <w:r w:rsidRPr="0065366F">
        <w:rPr>
          <w:rFonts w:ascii="Arial" w:hAnsi="Arial" w:cs="Arial"/>
          <w:sz w:val="20"/>
          <w:szCs w:val="20"/>
          <w:lang w:val="en-US"/>
        </w:rPr>
        <w:t xml:space="preserve"> </w:t>
      </w:r>
      <w:r w:rsidR="00B26DC2" w:rsidRPr="0065366F">
        <w:rPr>
          <w:rFonts w:ascii="Arial" w:hAnsi="Arial" w:cs="Arial"/>
          <w:sz w:val="20"/>
          <w:szCs w:val="20"/>
          <w:lang w:val="en-US"/>
        </w:rPr>
        <w:t xml:space="preserve">the capital region of Myanmar. </w:t>
      </w:r>
      <w:r w:rsidRPr="0065366F">
        <w:rPr>
          <w:rFonts w:ascii="Arial" w:hAnsi="Arial" w:cs="Arial"/>
          <w:sz w:val="20"/>
          <w:szCs w:val="20"/>
          <w:lang w:val="en-US"/>
        </w:rPr>
        <w:t xml:space="preserve">The target population comprised 73 micro enterprises, 47 small enterprises, and 38 medium enterprises, totaling 158 </w:t>
      </w:r>
      <w:r w:rsidR="00C5303F" w:rsidRPr="0065366F">
        <w:rPr>
          <w:rFonts w:ascii="Arial" w:hAnsi="Arial" w:cs="Arial"/>
          <w:sz w:val="20"/>
          <w:szCs w:val="20"/>
          <w:lang w:val="en-US"/>
        </w:rPr>
        <w:t>Food MSMEs</w:t>
      </w:r>
      <w:r w:rsidRPr="0065366F">
        <w:rPr>
          <w:rFonts w:ascii="Arial" w:hAnsi="Arial" w:cs="Arial"/>
          <w:sz w:val="20"/>
          <w:szCs w:val="20"/>
          <w:lang w:val="en-US"/>
        </w:rPr>
        <w:t xml:space="preserve">. These enterprises were selected based on official registration records from the Department of Small-Scale Industries and the Department of Industrial Supervision and Inspection. The sample size was determined using Yamane’s (1967) formula, applied proportionally to each category </w:t>
      </w:r>
      <w:r w:rsidR="00B26DC2" w:rsidRPr="0065366F">
        <w:rPr>
          <w:rFonts w:ascii="Arial" w:hAnsi="Arial" w:cs="Arial"/>
          <w:sz w:val="20"/>
          <w:szCs w:val="20"/>
          <w:lang w:val="en-US"/>
        </w:rPr>
        <w:t>based on</w:t>
      </w:r>
      <w:r w:rsidRPr="0065366F">
        <w:rPr>
          <w:rFonts w:ascii="Arial" w:hAnsi="Arial" w:cs="Arial"/>
          <w:sz w:val="20"/>
          <w:szCs w:val="20"/>
          <w:lang w:val="en-US"/>
        </w:rPr>
        <w:t xml:space="preserve"> registered </w:t>
      </w:r>
      <w:r w:rsidR="00C5303F" w:rsidRPr="0065366F">
        <w:rPr>
          <w:rFonts w:ascii="Arial" w:hAnsi="Arial" w:cs="Arial"/>
          <w:sz w:val="20"/>
          <w:szCs w:val="20"/>
          <w:lang w:val="en-US"/>
        </w:rPr>
        <w:t>Food MSMEs</w:t>
      </w:r>
      <w:r w:rsidR="00B26DC2" w:rsidRPr="0065366F">
        <w:rPr>
          <w:rFonts w:ascii="Arial" w:hAnsi="Arial" w:cs="Arial"/>
          <w:sz w:val="20"/>
          <w:szCs w:val="20"/>
          <w:lang w:val="en-US"/>
        </w:rPr>
        <w:t xml:space="preserve"> in Nay </w:t>
      </w:r>
      <w:proofErr w:type="spellStart"/>
      <w:r w:rsidR="00B26DC2" w:rsidRPr="0065366F">
        <w:rPr>
          <w:rFonts w:ascii="Arial" w:hAnsi="Arial" w:cs="Arial"/>
          <w:sz w:val="20"/>
          <w:szCs w:val="20"/>
          <w:lang w:val="en-US"/>
        </w:rPr>
        <w:t>Pyi</w:t>
      </w:r>
      <w:proofErr w:type="spellEnd"/>
      <w:r w:rsidR="00B26DC2" w:rsidRPr="0065366F">
        <w:rPr>
          <w:rFonts w:ascii="Arial" w:hAnsi="Arial" w:cs="Arial"/>
          <w:sz w:val="20"/>
          <w:szCs w:val="20"/>
          <w:lang w:val="en-US"/>
        </w:rPr>
        <w:t xml:space="preserve"> Taw</w:t>
      </w:r>
      <w:r w:rsidRPr="0065366F">
        <w:rPr>
          <w:rFonts w:ascii="Arial" w:hAnsi="Arial" w:cs="Arial"/>
          <w:sz w:val="20"/>
          <w:szCs w:val="20"/>
          <w:lang w:val="en-US"/>
        </w:rPr>
        <w:t>.</w:t>
      </w:r>
    </w:p>
    <w:p w14:paraId="6346BCC0" w14:textId="14FEEE88" w:rsidR="00532D3A" w:rsidRPr="0065366F" w:rsidRDefault="00532D3A" w:rsidP="00E50BA2">
      <w:pPr>
        <w:spacing w:line="360" w:lineRule="auto"/>
        <w:ind w:right="26" w:firstLine="720"/>
        <w:jc w:val="both"/>
        <w:rPr>
          <w:rFonts w:ascii="Arial" w:hAnsi="Arial" w:cs="Arial"/>
          <w:sz w:val="20"/>
          <w:szCs w:val="20"/>
          <w:lang w:val="en-US"/>
        </w:rPr>
      </w:pPr>
      <w:r w:rsidRPr="0065366F">
        <w:rPr>
          <w:rFonts w:ascii="Arial" w:hAnsi="Arial" w:cs="Arial"/>
          <w:sz w:val="20"/>
          <w:szCs w:val="20"/>
          <w:lang w:val="en-US"/>
        </w:rPr>
        <w:t xml:space="preserve">Primary data were collected through a structured questionnaire, which included the demographic characteristics of owners and managers, as well as business and institutional characteristics of the </w:t>
      </w:r>
      <w:r w:rsidR="00C5303F" w:rsidRPr="0065366F">
        <w:rPr>
          <w:rFonts w:ascii="Arial" w:hAnsi="Arial" w:cs="Arial"/>
          <w:sz w:val="20"/>
          <w:szCs w:val="20"/>
          <w:lang w:val="en-US"/>
        </w:rPr>
        <w:t>Food MSMEs</w:t>
      </w:r>
      <w:r w:rsidRPr="0065366F">
        <w:rPr>
          <w:rFonts w:ascii="Arial" w:hAnsi="Arial" w:cs="Arial"/>
          <w:sz w:val="20"/>
          <w:szCs w:val="20"/>
          <w:lang w:val="en-US"/>
        </w:rPr>
        <w:t xml:space="preserve">. </w:t>
      </w:r>
      <w:r w:rsidR="00B14F99" w:rsidRPr="0065366F">
        <w:rPr>
          <w:rFonts w:ascii="Arial" w:hAnsi="Arial" w:cs="Arial"/>
          <w:sz w:val="20"/>
          <w:szCs w:val="20"/>
          <w:lang w:val="en-US"/>
        </w:rPr>
        <w:t>Before</w:t>
      </w:r>
      <w:r w:rsidRPr="0065366F">
        <w:rPr>
          <w:rFonts w:ascii="Arial" w:hAnsi="Arial" w:cs="Arial"/>
          <w:sz w:val="20"/>
          <w:szCs w:val="20"/>
          <w:lang w:val="en-US"/>
        </w:rPr>
        <w:t xml:space="preserve"> the main survey, a pilot test was conducted to ensure the reliability and validity of the instrument, and revisions were made accordingly. Data collection was carried out between April and October 2024.</w:t>
      </w:r>
    </w:p>
    <w:p w14:paraId="7A40780A" w14:textId="2503BB04" w:rsidR="001A04BE" w:rsidRPr="0065366F" w:rsidRDefault="004D1AC1" w:rsidP="00E50BA2">
      <w:pPr>
        <w:spacing w:line="360" w:lineRule="auto"/>
        <w:ind w:right="26" w:firstLine="720"/>
        <w:jc w:val="both"/>
        <w:rPr>
          <w:rFonts w:ascii="Arial" w:hAnsi="Arial" w:cs="Arial"/>
          <w:sz w:val="20"/>
          <w:szCs w:val="20"/>
          <w:lang w:val="en-US"/>
        </w:rPr>
      </w:pPr>
      <w:r w:rsidRPr="0065366F">
        <w:rPr>
          <w:rFonts w:ascii="Arial" w:hAnsi="Arial" w:cs="Arial"/>
          <w:sz w:val="20"/>
          <w:szCs w:val="20"/>
          <w:lang w:val="en-US"/>
        </w:rPr>
        <w:t xml:space="preserve">In this study, </w:t>
      </w:r>
      <w:r w:rsidR="00D93E93" w:rsidRPr="0065366F">
        <w:rPr>
          <w:rFonts w:ascii="Arial" w:hAnsi="Arial" w:cs="Arial"/>
          <w:sz w:val="20"/>
          <w:szCs w:val="20"/>
          <w:lang w:val="en-US"/>
        </w:rPr>
        <w:t xml:space="preserve">the </w:t>
      </w:r>
      <w:r w:rsidR="006E79AD" w:rsidRPr="0065366F">
        <w:rPr>
          <w:rFonts w:ascii="Arial" w:hAnsi="Arial" w:cs="Arial"/>
          <w:sz w:val="20"/>
          <w:szCs w:val="20"/>
          <w:lang w:val="en-US"/>
        </w:rPr>
        <w:t xml:space="preserve">three characteristics of the </w:t>
      </w:r>
      <w:r w:rsidR="00C5303F" w:rsidRPr="0065366F">
        <w:rPr>
          <w:rFonts w:ascii="Arial" w:hAnsi="Arial" w:cs="Arial"/>
          <w:sz w:val="20"/>
          <w:szCs w:val="20"/>
          <w:lang w:val="en-US"/>
        </w:rPr>
        <w:t>Food MSMEs</w:t>
      </w:r>
      <w:r w:rsidR="006E79AD" w:rsidRPr="0065366F">
        <w:rPr>
          <w:rFonts w:ascii="Arial" w:hAnsi="Arial" w:cs="Arial"/>
          <w:sz w:val="20"/>
          <w:szCs w:val="20"/>
          <w:lang w:val="en-US"/>
        </w:rPr>
        <w:t xml:space="preserve"> are analyzed as descriptive statistics such as mean, range, standard deviation</w:t>
      </w:r>
      <w:r w:rsidR="00B14F99" w:rsidRPr="0065366F">
        <w:rPr>
          <w:rFonts w:ascii="Arial" w:hAnsi="Arial" w:cs="Arial"/>
          <w:sz w:val="20"/>
          <w:szCs w:val="20"/>
          <w:lang w:val="en-US"/>
        </w:rPr>
        <w:t>,</w:t>
      </w:r>
      <w:r w:rsidR="006E79AD" w:rsidRPr="0065366F">
        <w:rPr>
          <w:rFonts w:ascii="Arial" w:hAnsi="Arial" w:cs="Arial"/>
          <w:sz w:val="20"/>
          <w:szCs w:val="20"/>
          <w:lang w:val="en-US"/>
        </w:rPr>
        <w:t xml:space="preserve"> and percentage, and their </w:t>
      </w:r>
      <w:r w:rsidR="00D93E93" w:rsidRPr="0065366F">
        <w:rPr>
          <w:rFonts w:ascii="Arial" w:hAnsi="Arial" w:cs="Arial"/>
          <w:sz w:val="20"/>
          <w:szCs w:val="20"/>
          <w:lang w:val="en-US"/>
        </w:rPr>
        <w:t xml:space="preserve">performance </w:t>
      </w:r>
      <w:r w:rsidR="00532D3A" w:rsidRPr="0065366F">
        <w:rPr>
          <w:rFonts w:ascii="Arial" w:hAnsi="Arial" w:cs="Arial"/>
          <w:sz w:val="20"/>
          <w:szCs w:val="20"/>
          <w:lang w:val="en-US"/>
        </w:rPr>
        <w:t xml:space="preserve">was </w:t>
      </w:r>
      <w:r w:rsidRPr="0065366F">
        <w:rPr>
          <w:rFonts w:ascii="Arial" w:hAnsi="Arial" w:cs="Arial"/>
          <w:sz w:val="20"/>
          <w:szCs w:val="20"/>
          <w:lang w:val="en-US"/>
        </w:rPr>
        <w:t xml:space="preserve">examined by applying multiple regression. </w:t>
      </w:r>
      <w:r w:rsidR="003747CF" w:rsidRPr="0065366F">
        <w:rPr>
          <w:rFonts w:ascii="Arial" w:hAnsi="Arial" w:cs="Arial"/>
          <w:sz w:val="20"/>
          <w:szCs w:val="20"/>
          <w:lang w:val="en-US"/>
        </w:rPr>
        <w:t xml:space="preserve">Independent variables were chosen based on theoretical frameworks and empirical evidence from the literature, which are identified in the objectives as factors relevant to </w:t>
      </w:r>
      <w:r w:rsidR="006E79AD" w:rsidRPr="0065366F">
        <w:rPr>
          <w:rFonts w:ascii="Arial" w:hAnsi="Arial" w:cs="Arial"/>
          <w:sz w:val="20"/>
          <w:szCs w:val="20"/>
          <w:lang w:val="en-US"/>
        </w:rPr>
        <w:t xml:space="preserve">Food </w:t>
      </w:r>
      <w:r w:rsidR="003747CF" w:rsidRPr="0065366F">
        <w:rPr>
          <w:rFonts w:ascii="Arial" w:hAnsi="Arial" w:cs="Arial"/>
          <w:sz w:val="20"/>
          <w:szCs w:val="20"/>
          <w:lang w:val="en-US"/>
        </w:rPr>
        <w:t>MSME performance.</w:t>
      </w:r>
      <w:r w:rsidRPr="0065366F">
        <w:rPr>
          <w:rFonts w:ascii="Arial" w:hAnsi="Arial" w:cs="Arial"/>
          <w:sz w:val="20"/>
          <w:szCs w:val="20"/>
          <w:lang w:val="en-US"/>
        </w:rPr>
        <w:t xml:space="preserve"> </w:t>
      </w:r>
      <w:r w:rsidR="005A70AA" w:rsidRPr="0065366F">
        <w:rPr>
          <w:rFonts w:ascii="Arial" w:hAnsi="Arial" w:cs="Arial"/>
          <w:sz w:val="20"/>
          <w:szCs w:val="20"/>
          <w:lang w:val="en-US"/>
        </w:rPr>
        <w:t>The</w:t>
      </w:r>
      <w:r w:rsidR="001A04BE" w:rsidRPr="0065366F">
        <w:rPr>
          <w:rFonts w:ascii="Arial" w:hAnsi="Arial" w:cs="Arial"/>
          <w:sz w:val="20"/>
          <w:szCs w:val="20"/>
          <w:lang w:val="en-US"/>
        </w:rPr>
        <w:t xml:space="preserve"> regression equation for this study was </w:t>
      </w:r>
    </w:p>
    <w:p w14:paraId="24A88CB8" w14:textId="77777777" w:rsidR="008C0EFB" w:rsidRDefault="008C0EFB" w:rsidP="00E50BA2">
      <w:pPr>
        <w:spacing w:line="360" w:lineRule="auto"/>
        <w:ind w:right="26" w:firstLine="720"/>
        <w:jc w:val="both"/>
        <w:rPr>
          <w:rFonts w:ascii="Arial" w:eastAsia="Calibri" w:hAnsi="Arial" w:cs="Arial"/>
          <w:kern w:val="2"/>
          <w:sz w:val="20"/>
          <w:szCs w:val="20"/>
          <w:lang w:val="en-US"/>
          <w14:ligatures w14:val="standardContextual"/>
        </w:rPr>
      </w:pPr>
    </w:p>
    <w:p w14:paraId="4F0B2CC0" w14:textId="74EC348A" w:rsidR="0088300A" w:rsidRPr="0065366F" w:rsidRDefault="0088300A" w:rsidP="00E50BA2">
      <w:pPr>
        <w:spacing w:line="360" w:lineRule="auto"/>
        <w:ind w:right="26" w:firstLine="720"/>
        <w:jc w:val="both"/>
        <w:rPr>
          <w:rFonts w:ascii="Arial" w:eastAsia="Calibri" w:hAnsi="Arial" w:cs="Arial"/>
          <w:kern w:val="2"/>
          <w:sz w:val="20"/>
          <w:szCs w:val="20"/>
          <w:lang w:val="en-US"/>
          <w14:ligatures w14:val="standardContextual"/>
        </w:rPr>
      </w:pPr>
      <w:r w:rsidRPr="0065366F">
        <w:rPr>
          <w:rFonts w:ascii="Arial" w:eastAsia="Calibri" w:hAnsi="Arial" w:cs="Arial"/>
          <w:kern w:val="2"/>
          <w:sz w:val="20"/>
          <w:szCs w:val="20"/>
          <w:lang w:val="en-US"/>
          <w14:ligatures w14:val="standardContextual"/>
        </w:rPr>
        <w:t>Y</w:t>
      </w:r>
      <w:r w:rsidR="00D02D65" w:rsidRPr="0065366F">
        <w:rPr>
          <w:rFonts w:ascii="Arial" w:eastAsia="Calibri" w:hAnsi="Arial" w:cs="Arial"/>
          <w:kern w:val="2"/>
          <w:sz w:val="20"/>
          <w:szCs w:val="20"/>
          <w:lang w:val="en-US"/>
          <w14:ligatures w14:val="standardContextual"/>
        </w:rPr>
        <w:t xml:space="preserve"> </w:t>
      </w:r>
      <w:r w:rsidRPr="0065366F">
        <w:rPr>
          <w:rFonts w:ascii="Arial" w:eastAsia="Calibri" w:hAnsi="Arial" w:cs="Arial"/>
          <w:kern w:val="2"/>
          <w:sz w:val="20"/>
          <w:szCs w:val="20"/>
          <w:lang w:val="en-US"/>
          <w14:ligatures w14:val="standardContextual"/>
        </w:rPr>
        <w:t>= β</w:t>
      </w:r>
      <w:r w:rsidRPr="0065366F">
        <w:rPr>
          <w:rFonts w:ascii="Arial" w:eastAsia="Calibri" w:hAnsi="Arial" w:cs="Arial"/>
          <w:kern w:val="2"/>
          <w:sz w:val="20"/>
          <w:szCs w:val="20"/>
          <w:vertAlign w:val="subscript"/>
          <w:lang w:val="en-US"/>
          <w14:ligatures w14:val="standardContextual"/>
        </w:rPr>
        <w:t>0</w:t>
      </w:r>
      <w:r w:rsidRPr="0065366F">
        <w:rPr>
          <w:rFonts w:ascii="Arial" w:eastAsia="Calibri" w:hAnsi="Arial" w:cs="Arial"/>
          <w:kern w:val="2"/>
          <w:sz w:val="20"/>
          <w:szCs w:val="20"/>
          <w:lang w:val="en-US"/>
          <w14:ligatures w14:val="standardContextual"/>
        </w:rPr>
        <w:t xml:space="preserve"> + β</w:t>
      </w:r>
      <w:r w:rsidRPr="0065366F">
        <w:rPr>
          <w:rFonts w:ascii="Arial" w:eastAsia="Calibri" w:hAnsi="Arial" w:cs="Arial"/>
          <w:kern w:val="2"/>
          <w:sz w:val="20"/>
          <w:szCs w:val="20"/>
          <w:vertAlign w:val="subscript"/>
          <w:lang w:val="en-US"/>
          <w14:ligatures w14:val="standardContextual"/>
        </w:rPr>
        <w:t>1</w:t>
      </w:r>
      <w:r w:rsidRPr="0065366F">
        <w:rPr>
          <w:rFonts w:ascii="Arial" w:eastAsia="Calibri" w:hAnsi="Arial" w:cs="Arial"/>
          <w:kern w:val="2"/>
          <w:sz w:val="20"/>
          <w:szCs w:val="20"/>
          <w:lang w:val="en-US"/>
          <w14:ligatures w14:val="standardContextual"/>
        </w:rPr>
        <w:t xml:space="preserve"> Χ</w:t>
      </w:r>
      <w:r w:rsidRPr="0065366F">
        <w:rPr>
          <w:rFonts w:ascii="Arial" w:eastAsia="Calibri" w:hAnsi="Arial" w:cs="Arial"/>
          <w:kern w:val="2"/>
          <w:sz w:val="20"/>
          <w:szCs w:val="20"/>
          <w:vertAlign w:val="subscript"/>
          <w:lang w:val="en-US"/>
          <w14:ligatures w14:val="standardContextual"/>
        </w:rPr>
        <w:t>1</w:t>
      </w:r>
      <w:r w:rsidRPr="0065366F">
        <w:rPr>
          <w:rFonts w:ascii="Arial" w:eastAsia="Calibri" w:hAnsi="Arial" w:cs="Arial"/>
          <w:kern w:val="2"/>
          <w:sz w:val="20"/>
          <w:szCs w:val="20"/>
          <w:lang w:val="en-US"/>
          <w14:ligatures w14:val="standardContextual"/>
        </w:rPr>
        <w:t xml:space="preserve"> + β</w:t>
      </w:r>
      <w:r w:rsidRPr="0065366F">
        <w:rPr>
          <w:rFonts w:ascii="Arial" w:eastAsia="Calibri" w:hAnsi="Arial" w:cs="Arial"/>
          <w:kern w:val="2"/>
          <w:sz w:val="20"/>
          <w:szCs w:val="20"/>
          <w:vertAlign w:val="subscript"/>
          <w:lang w:val="en-US"/>
          <w14:ligatures w14:val="standardContextual"/>
        </w:rPr>
        <w:t>2</w:t>
      </w:r>
      <w:r w:rsidRPr="0065366F">
        <w:rPr>
          <w:rFonts w:ascii="Arial" w:eastAsia="Calibri" w:hAnsi="Arial" w:cs="Arial"/>
          <w:kern w:val="2"/>
          <w:sz w:val="20"/>
          <w:szCs w:val="20"/>
          <w:lang w:val="en-US"/>
          <w14:ligatures w14:val="standardContextual"/>
        </w:rPr>
        <w:t xml:space="preserve"> Χ</w:t>
      </w:r>
      <w:r w:rsidRPr="0065366F">
        <w:rPr>
          <w:rFonts w:ascii="Arial" w:eastAsia="Calibri" w:hAnsi="Arial" w:cs="Arial"/>
          <w:kern w:val="2"/>
          <w:sz w:val="20"/>
          <w:szCs w:val="20"/>
          <w:vertAlign w:val="subscript"/>
          <w:lang w:val="en-US"/>
          <w14:ligatures w14:val="standardContextual"/>
        </w:rPr>
        <w:t>2</w:t>
      </w:r>
      <w:r w:rsidRPr="0065366F">
        <w:rPr>
          <w:rFonts w:ascii="Arial" w:eastAsia="Calibri" w:hAnsi="Arial" w:cs="Arial"/>
          <w:kern w:val="2"/>
          <w:sz w:val="20"/>
          <w:szCs w:val="20"/>
          <w:lang w:val="en-US"/>
          <w14:ligatures w14:val="standardContextual"/>
        </w:rPr>
        <w:t xml:space="preserve"> + β</w:t>
      </w:r>
      <w:r w:rsidRPr="0065366F">
        <w:rPr>
          <w:rFonts w:ascii="Arial" w:eastAsia="Calibri" w:hAnsi="Arial" w:cs="Arial"/>
          <w:kern w:val="2"/>
          <w:sz w:val="20"/>
          <w:szCs w:val="20"/>
          <w:vertAlign w:val="subscript"/>
          <w:lang w:val="en-US"/>
          <w14:ligatures w14:val="standardContextual"/>
        </w:rPr>
        <w:t>3</w:t>
      </w:r>
      <w:r w:rsidRPr="0065366F">
        <w:rPr>
          <w:rFonts w:ascii="Arial" w:eastAsia="Calibri" w:hAnsi="Arial" w:cs="Arial"/>
          <w:kern w:val="2"/>
          <w:sz w:val="20"/>
          <w:szCs w:val="20"/>
          <w:lang w:val="en-US"/>
          <w14:ligatures w14:val="standardContextual"/>
        </w:rPr>
        <w:t xml:space="preserve"> Χ</w:t>
      </w:r>
      <w:r w:rsidRPr="0065366F">
        <w:rPr>
          <w:rFonts w:ascii="Arial" w:eastAsia="Calibri" w:hAnsi="Arial" w:cs="Arial"/>
          <w:kern w:val="2"/>
          <w:sz w:val="20"/>
          <w:szCs w:val="20"/>
          <w:vertAlign w:val="subscript"/>
          <w:lang w:val="en-US"/>
          <w14:ligatures w14:val="standardContextual"/>
        </w:rPr>
        <w:t>3</w:t>
      </w:r>
      <w:r w:rsidRPr="0065366F">
        <w:rPr>
          <w:rFonts w:ascii="Arial" w:eastAsia="Calibri" w:hAnsi="Arial" w:cs="Arial"/>
          <w:kern w:val="2"/>
          <w:sz w:val="20"/>
          <w:szCs w:val="20"/>
          <w:lang w:val="en-US"/>
          <w14:ligatures w14:val="standardContextual"/>
        </w:rPr>
        <w:t xml:space="preserve"> + β</w:t>
      </w:r>
      <w:r w:rsidRPr="0065366F">
        <w:rPr>
          <w:rFonts w:ascii="Arial" w:eastAsia="Calibri" w:hAnsi="Arial" w:cs="Arial"/>
          <w:kern w:val="2"/>
          <w:sz w:val="20"/>
          <w:szCs w:val="20"/>
          <w:vertAlign w:val="subscript"/>
          <w:lang w:val="en-US"/>
          <w14:ligatures w14:val="standardContextual"/>
        </w:rPr>
        <w:t>4</w:t>
      </w:r>
      <w:r w:rsidR="00EF061D" w:rsidRPr="0065366F">
        <w:rPr>
          <w:rFonts w:ascii="Arial" w:eastAsia="Calibri" w:hAnsi="Arial" w:cs="Arial"/>
          <w:kern w:val="2"/>
          <w:sz w:val="20"/>
          <w:szCs w:val="20"/>
          <w:vertAlign w:val="subscript"/>
          <w:lang w:val="en-US"/>
          <w14:ligatures w14:val="standardContextual"/>
        </w:rPr>
        <w:t xml:space="preserve"> </w:t>
      </w:r>
      <w:r w:rsidRPr="0065366F">
        <w:rPr>
          <w:rFonts w:ascii="Arial" w:eastAsia="Calibri" w:hAnsi="Arial" w:cs="Arial"/>
          <w:kern w:val="2"/>
          <w:sz w:val="20"/>
          <w:szCs w:val="20"/>
          <w:lang w:val="en-US"/>
          <w14:ligatures w14:val="standardContextual"/>
        </w:rPr>
        <w:t>Χ</w:t>
      </w:r>
      <w:r w:rsidRPr="0065366F">
        <w:rPr>
          <w:rFonts w:ascii="Arial" w:eastAsia="Calibri" w:hAnsi="Arial" w:cs="Arial"/>
          <w:kern w:val="2"/>
          <w:sz w:val="20"/>
          <w:szCs w:val="20"/>
          <w:vertAlign w:val="subscript"/>
          <w:lang w:val="en-US"/>
          <w14:ligatures w14:val="standardContextual"/>
        </w:rPr>
        <w:t>4</w:t>
      </w:r>
      <w:r w:rsidRPr="0065366F">
        <w:rPr>
          <w:rFonts w:ascii="Arial" w:eastAsia="Calibri" w:hAnsi="Arial" w:cs="Arial"/>
          <w:kern w:val="2"/>
          <w:sz w:val="20"/>
          <w:szCs w:val="20"/>
          <w:lang w:val="en-US"/>
          <w14:ligatures w14:val="standardContextual"/>
        </w:rPr>
        <w:t xml:space="preserve"> + … + β</w:t>
      </w:r>
      <w:r w:rsidRPr="0065366F">
        <w:rPr>
          <w:rFonts w:ascii="Arial" w:eastAsia="Calibri" w:hAnsi="Arial" w:cs="Arial"/>
          <w:kern w:val="2"/>
          <w:sz w:val="20"/>
          <w:szCs w:val="20"/>
          <w:vertAlign w:val="subscript"/>
          <w:lang w:val="en-US"/>
          <w14:ligatures w14:val="standardContextual"/>
        </w:rPr>
        <w:t>12</w:t>
      </w:r>
      <w:r w:rsidR="00EF061D" w:rsidRPr="0065366F">
        <w:rPr>
          <w:rFonts w:ascii="Arial" w:eastAsia="Calibri" w:hAnsi="Arial" w:cs="Arial"/>
          <w:kern w:val="2"/>
          <w:sz w:val="20"/>
          <w:szCs w:val="20"/>
          <w:vertAlign w:val="subscript"/>
          <w:lang w:val="en-US"/>
          <w14:ligatures w14:val="standardContextual"/>
        </w:rPr>
        <w:t xml:space="preserve"> </w:t>
      </w:r>
      <w:r w:rsidRPr="0065366F">
        <w:rPr>
          <w:rFonts w:ascii="Arial" w:eastAsia="Calibri" w:hAnsi="Arial" w:cs="Arial"/>
          <w:kern w:val="2"/>
          <w:sz w:val="20"/>
          <w:szCs w:val="20"/>
          <w:lang w:val="en-US"/>
          <w14:ligatures w14:val="standardContextual"/>
        </w:rPr>
        <w:t>Χ</w:t>
      </w:r>
      <w:r w:rsidRPr="0065366F">
        <w:rPr>
          <w:rFonts w:ascii="Arial" w:eastAsia="Calibri" w:hAnsi="Arial" w:cs="Arial"/>
          <w:kern w:val="2"/>
          <w:sz w:val="20"/>
          <w:szCs w:val="20"/>
          <w:vertAlign w:val="subscript"/>
          <w:lang w:val="en-US"/>
          <w14:ligatures w14:val="standardContextual"/>
        </w:rPr>
        <w:t>12</w:t>
      </w:r>
      <w:r w:rsidRPr="0065366F">
        <w:rPr>
          <w:rFonts w:ascii="Arial" w:eastAsia="Calibri" w:hAnsi="Arial" w:cs="Arial"/>
          <w:kern w:val="2"/>
          <w:sz w:val="20"/>
          <w:szCs w:val="20"/>
          <w:lang w:val="en-US"/>
          <w14:ligatures w14:val="standardContextual"/>
        </w:rPr>
        <w:t xml:space="preserve"> + </w:t>
      </w:r>
      <m:oMath>
        <m:r>
          <w:rPr>
            <w:rFonts w:ascii="Cambria Math" w:eastAsia="Calibri" w:hAnsi="Cambria Math" w:cs="Arial"/>
            <w:kern w:val="2"/>
            <w:sz w:val="20"/>
            <w:szCs w:val="20"/>
            <w:lang w:val="en-US"/>
            <w14:ligatures w14:val="standardContextual"/>
          </w:rPr>
          <m:t>ε</m:t>
        </m:r>
      </m:oMath>
    </w:p>
    <w:p w14:paraId="7AC0A879" w14:textId="19911A3F" w:rsidR="0088300A" w:rsidRPr="0065366F" w:rsidRDefault="0088300A" w:rsidP="00E50BA2">
      <w:pPr>
        <w:spacing w:line="360" w:lineRule="auto"/>
        <w:ind w:right="26"/>
        <w:jc w:val="both"/>
        <w:rPr>
          <w:rFonts w:ascii="Arial" w:eastAsia="Calibri" w:hAnsi="Arial" w:cs="Arial"/>
          <w:kern w:val="2"/>
          <w:sz w:val="20"/>
          <w:szCs w:val="20"/>
          <w:lang w:val="en-US"/>
          <w14:ligatures w14:val="standardContextual"/>
        </w:rPr>
      </w:pPr>
      <w:r w:rsidRPr="0065366F">
        <w:rPr>
          <w:rFonts w:ascii="Arial" w:eastAsia="Calibri" w:hAnsi="Arial" w:cs="Arial"/>
          <w:kern w:val="2"/>
          <w:sz w:val="20"/>
          <w:szCs w:val="20"/>
          <w:lang w:val="en-US"/>
          <w14:ligatures w14:val="standardContextual"/>
        </w:rPr>
        <w:t xml:space="preserve">Where: </w:t>
      </w:r>
    </w:p>
    <w:p w14:paraId="4C0C2B48" w14:textId="389D363D" w:rsidR="0088300A" w:rsidRPr="0065366F" w:rsidRDefault="0088300A" w:rsidP="00E50BA2">
      <w:pPr>
        <w:spacing w:line="360" w:lineRule="auto"/>
        <w:ind w:left="1800" w:right="26" w:hanging="1260"/>
        <w:jc w:val="both"/>
        <w:rPr>
          <w:rFonts w:ascii="Arial" w:eastAsia="Calibri" w:hAnsi="Arial" w:cs="Arial"/>
          <w:kern w:val="2"/>
          <w:sz w:val="20"/>
          <w:szCs w:val="20"/>
          <w:lang w:val="en-US"/>
          <w14:ligatures w14:val="standardContextual"/>
        </w:rPr>
      </w:pPr>
      <w:r w:rsidRPr="0065366F">
        <w:rPr>
          <w:rFonts w:ascii="Arial" w:eastAsia="Calibri" w:hAnsi="Arial" w:cs="Arial"/>
          <w:kern w:val="2"/>
          <w:sz w:val="20"/>
          <w:szCs w:val="20"/>
          <w:lang w:val="en-US"/>
          <w14:ligatures w14:val="standardContextual"/>
        </w:rPr>
        <w:t xml:space="preserve">Y              </w:t>
      </w:r>
      <w:r w:rsidR="00483F64" w:rsidRPr="0065366F">
        <w:rPr>
          <w:rFonts w:ascii="Arial" w:eastAsia="Calibri" w:hAnsi="Arial" w:cs="Arial"/>
          <w:kern w:val="2"/>
          <w:sz w:val="20"/>
          <w:szCs w:val="20"/>
          <w:lang w:val="en-US"/>
          <w14:ligatures w14:val="standardContextual"/>
        </w:rPr>
        <w:tab/>
      </w:r>
      <w:r w:rsidRPr="0065366F">
        <w:rPr>
          <w:rFonts w:ascii="Arial" w:eastAsia="Calibri" w:hAnsi="Arial" w:cs="Arial"/>
          <w:kern w:val="2"/>
          <w:sz w:val="20"/>
          <w:szCs w:val="20"/>
          <w:lang w:val="en-US"/>
          <w14:ligatures w14:val="standardContextual"/>
        </w:rPr>
        <w:t xml:space="preserve">= </w:t>
      </w:r>
      <w:r w:rsidR="006E79AD" w:rsidRPr="0065366F">
        <w:rPr>
          <w:rFonts w:ascii="Arial" w:eastAsia="Calibri" w:hAnsi="Arial" w:cs="Arial"/>
          <w:kern w:val="2"/>
          <w:sz w:val="20"/>
          <w:szCs w:val="20"/>
          <w:lang w:val="en-US"/>
          <w14:ligatures w14:val="standardContextual"/>
        </w:rPr>
        <w:t>Average s</w:t>
      </w:r>
      <w:r w:rsidRPr="0065366F">
        <w:rPr>
          <w:rFonts w:ascii="Arial" w:eastAsia="Calibri" w:hAnsi="Arial" w:cs="Arial"/>
          <w:kern w:val="2"/>
          <w:sz w:val="20"/>
          <w:szCs w:val="20"/>
          <w:lang w:val="en-US"/>
          <w14:ligatures w14:val="standardContextual"/>
        </w:rPr>
        <w:t>ales revenue per month</w:t>
      </w:r>
    </w:p>
    <w:p w14:paraId="09E556C8" w14:textId="6AFEA8D0" w:rsidR="0088300A" w:rsidRPr="0065366F" w:rsidRDefault="00671D6E" w:rsidP="00E50BA2">
      <w:pPr>
        <w:spacing w:line="360" w:lineRule="auto"/>
        <w:ind w:left="1800" w:right="26" w:hanging="1260"/>
        <w:jc w:val="both"/>
        <w:rPr>
          <w:rFonts w:ascii="Arial" w:eastAsia="Calibri" w:hAnsi="Arial" w:cs="Arial"/>
          <w:kern w:val="2"/>
          <w:sz w:val="20"/>
          <w:szCs w:val="20"/>
          <w:lang w:val="en-US"/>
          <w14:ligatures w14:val="standardContextual"/>
        </w:rPr>
      </w:pP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β</m:t>
            </m:r>
          </m:e>
          <m:sub>
            <m:r>
              <w:rPr>
                <w:rFonts w:ascii="Cambria Math" w:eastAsia="Calibri" w:hAnsi="Cambria Math" w:cs="Arial"/>
                <w:kern w:val="2"/>
                <w:sz w:val="20"/>
                <w:szCs w:val="20"/>
                <w:lang w:val="en-US"/>
                <w14:ligatures w14:val="standardContextual"/>
              </w:rPr>
              <m:t>0</m:t>
            </m:r>
          </m:sub>
        </m:sSub>
      </m:oMath>
      <w:r w:rsidR="0088300A"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ab/>
      </w:r>
      <w:r w:rsidR="0088300A" w:rsidRPr="0065366F">
        <w:rPr>
          <w:rFonts w:ascii="Arial" w:eastAsia="Calibri" w:hAnsi="Arial" w:cs="Arial"/>
          <w:kern w:val="2"/>
          <w:sz w:val="20"/>
          <w:szCs w:val="20"/>
          <w:lang w:val="en-US"/>
          <w14:ligatures w14:val="standardContextual"/>
        </w:rPr>
        <w:t xml:space="preserve">= Constant term, </w:t>
      </w: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β</m:t>
            </m:r>
          </m:e>
          <m:sub>
            <m:r>
              <w:rPr>
                <w:rFonts w:ascii="Cambria Math" w:eastAsia="Calibri" w:hAnsi="Cambria Math" w:cs="Arial"/>
                <w:kern w:val="2"/>
                <w:sz w:val="20"/>
                <w:szCs w:val="20"/>
                <w:lang w:val="en-US"/>
                <w14:ligatures w14:val="standardContextual"/>
              </w:rPr>
              <m:t>1</m:t>
            </m:r>
          </m:sub>
        </m:sSub>
      </m:oMath>
      <w:r w:rsidR="0088300A" w:rsidRPr="0065366F">
        <w:rPr>
          <w:rFonts w:ascii="Arial" w:eastAsia="Calibri" w:hAnsi="Arial" w:cs="Arial"/>
          <w:kern w:val="2"/>
          <w:sz w:val="20"/>
          <w:szCs w:val="20"/>
          <w:lang w:val="en-US"/>
          <w14:ligatures w14:val="standardContextual"/>
        </w:rPr>
        <w:t xml:space="preserve"> to </w:t>
      </w: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β</m:t>
            </m:r>
          </m:e>
          <m:sub>
            <m:r>
              <w:rPr>
                <w:rFonts w:ascii="Cambria Math" w:eastAsia="Calibri" w:hAnsi="Cambria Math" w:cs="Arial"/>
                <w:kern w:val="2"/>
                <w:sz w:val="20"/>
                <w:szCs w:val="20"/>
                <w:lang w:val="en-US"/>
                <w14:ligatures w14:val="standardContextual"/>
              </w:rPr>
              <m:t>12</m:t>
            </m:r>
          </m:sub>
        </m:sSub>
      </m:oMath>
      <w:r w:rsidR="0088300A" w:rsidRPr="0065366F">
        <w:rPr>
          <w:rFonts w:ascii="Arial" w:eastAsia="Calibri" w:hAnsi="Arial" w:cs="Arial"/>
          <w:kern w:val="2"/>
          <w:sz w:val="20"/>
          <w:szCs w:val="20"/>
          <w:lang w:val="en-US"/>
          <w14:ligatures w14:val="standardContextual"/>
        </w:rPr>
        <w:t xml:space="preserve"> = Regression coefficients</w:t>
      </w:r>
    </w:p>
    <w:p w14:paraId="3E3EE02B" w14:textId="5AB51D7A" w:rsidR="0088300A" w:rsidRPr="0065366F" w:rsidRDefault="00671D6E" w:rsidP="00E50BA2">
      <w:pPr>
        <w:spacing w:line="360" w:lineRule="auto"/>
        <w:ind w:left="1800" w:right="26" w:hanging="1260"/>
        <w:jc w:val="both"/>
        <w:rPr>
          <w:rFonts w:ascii="Arial" w:eastAsia="Calibri" w:hAnsi="Arial" w:cs="Arial"/>
          <w:kern w:val="2"/>
          <w:sz w:val="20"/>
          <w:szCs w:val="20"/>
          <w:lang w:val="en-US"/>
          <w14:ligatures w14:val="standardContextual"/>
        </w:rPr>
      </w:pP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X</m:t>
            </m:r>
          </m:e>
          <m:sub>
            <m:r>
              <w:rPr>
                <w:rFonts w:ascii="Cambria Math" w:eastAsia="Calibri" w:hAnsi="Cambria Math" w:cs="Arial"/>
                <w:kern w:val="2"/>
                <w:sz w:val="20"/>
                <w:szCs w:val="20"/>
                <w:lang w:val="en-US"/>
                <w14:ligatures w14:val="standardContextual"/>
              </w:rPr>
              <m:t>1</m:t>
            </m:r>
          </m:sub>
        </m:sSub>
      </m:oMath>
      <w:r w:rsidR="0088300A" w:rsidRPr="0065366F">
        <w:rPr>
          <w:rFonts w:ascii="Arial" w:eastAsia="Calibri" w:hAnsi="Arial" w:cs="Arial"/>
          <w:kern w:val="2"/>
          <w:sz w:val="20"/>
          <w:szCs w:val="20"/>
          <w:lang w:val="en-US"/>
          <w14:ligatures w14:val="standardContextual"/>
        </w:rPr>
        <w:t xml:space="preserve"> to </w:t>
      </w: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X</m:t>
            </m:r>
          </m:e>
          <m:sub>
            <m:r>
              <w:rPr>
                <w:rFonts w:ascii="Cambria Math" w:eastAsia="Calibri" w:hAnsi="Cambria Math" w:cs="Arial"/>
                <w:kern w:val="2"/>
                <w:sz w:val="20"/>
                <w:szCs w:val="20"/>
                <w:lang w:val="en-US"/>
                <w14:ligatures w14:val="standardContextual"/>
              </w:rPr>
              <m:t>7</m:t>
            </m:r>
          </m:sub>
        </m:sSub>
      </m:oMath>
      <w:r w:rsidR="0088300A"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ab/>
      </w:r>
      <w:r w:rsidR="0088300A" w:rsidRPr="0065366F">
        <w:rPr>
          <w:rFonts w:ascii="Arial" w:eastAsia="Calibri" w:hAnsi="Arial" w:cs="Arial"/>
          <w:kern w:val="2"/>
          <w:sz w:val="20"/>
          <w:szCs w:val="20"/>
          <w:lang w:val="en-US"/>
          <w14:ligatures w14:val="standardContextual"/>
        </w:rPr>
        <w:t xml:space="preserve">= Age, </w:t>
      </w:r>
      <w:r w:rsidR="00775D78" w:rsidRPr="0065366F">
        <w:rPr>
          <w:rFonts w:ascii="Arial" w:eastAsia="Calibri" w:hAnsi="Arial" w:cs="Arial"/>
          <w:kern w:val="2"/>
          <w:sz w:val="20"/>
          <w:szCs w:val="20"/>
          <w:lang w:val="en-US"/>
          <w14:ligatures w14:val="standardContextual"/>
        </w:rPr>
        <w:t>e</w:t>
      </w:r>
      <w:r w:rsidR="0088300A" w:rsidRPr="0065366F">
        <w:rPr>
          <w:rFonts w:ascii="Arial" w:eastAsia="Calibri" w:hAnsi="Arial" w:cs="Arial"/>
          <w:kern w:val="2"/>
          <w:sz w:val="20"/>
          <w:szCs w:val="20"/>
          <w:lang w:val="en-US"/>
          <w14:ligatures w14:val="standardContextual"/>
        </w:rPr>
        <w:t xml:space="preserve">ducation, </w:t>
      </w:r>
      <w:r w:rsidR="00775D78" w:rsidRPr="0065366F">
        <w:rPr>
          <w:rFonts w:ascii="Arial" w:eastAsia="Calibri" w:hAnsi="Arial" w:cs="Arial"/>
          <w:kern w:val="2"/>
          <w:sz w:val="20"/>
          <w:szCs w:val="20"/>
          <w:lang w:val="en-US"/>
          <w14:ligatures w14:val="standardContextual"/>
        </w:rPr>
        <w:t>f</w:t>
      </w:r>
      <w:r w:rsidR="0088300A" w:rsidRPr="0065366F">
        <w:rPr>
          <w:rFonts w:ascii="Arial" w:eastAsia="Calibri" w:hAnsi="Arial" w:cs="Arial"/>
          <w:kern w:val="2"/>
          <w:sz w:val="20"/>
          <w:szCs w:val="20"/>
          <w:lang w:val="en-US"/>
          <w14:ligatures w14:val="standardContextual"/>
        </w:rPr>
        <w:t xml:space="preserve">irm size, </w:t>
      </w:r>
      <w:r w:rsidR="00775D78" w:rsidRPr="0065366F">
        <w:rPr>
          <w:rFonts w:ascii="Arial" w:eastAsia="Calibri" w:hAnsi="Arial" w:cs="Arial"/>
          <w:kern w:val="2"/>
          <w:sz w:val="20"/>
          <w:szCs w:val="20"/>
          <w:lang w:val="en-US"/>
          <w14:ligatures w14:val="standardContextual"/>
        </w:rPr>
        <w:t>f</w:t>
      </w:r>
      <w:r w:rsidR="0088300A" w:rsidRPr="0065366F">
        <w:rPr>
          <w:rFonts w:ascii="Arial" w:eastAsia="Calibri" w:hAnsi="Arial" w:cs="Arial"/>
          <w:kern w:val="2"/>
          <w:sz w:val="20"/>
          <w:szCs w:val="20"/>
          <w:lang w:val="en-US"/>
          <w14:ligatures w14:val="standardContextual"/>
        </w:rPr>
        <w:t xml:space="preserve">irm age, </w:t>
      </w:r>
      <w:r w:rsidR="00775D78" w:rsidRPr="0065366F">
        <w:rPr>
          <w:rFonts w:ascii="Arial" w:eastAsia="Calibri" w:hAnsi="Arial" w:cs="Arial"/>
          <w:kern w:val="2"/>
          <w:sz w:val="20"/>
          <w:szCs w:val="20"/>
          <w:lang w:val="en-US"/>
          <w14:ligatures w14:val="standardContextual"/>
        </w:rPr>
        <w:t>c</w:t>
      </w:r>
      <w:r w:rsidR="0088300A" w:rsidRPr="0065366F">
        <w:rPr>
          <w:rFonts w:ascii="Arial" w:eastAsia="Calibri" w:hAnsi="Arial" w:cs="Arial"/>
          <w:kern w:val="2"/>
          <w:sz w:val="20"/>
          <w:szCs w:val="20"/>
          <w:lang w:val="en-US"/>
          <w14:ligatures w14:val="standardContextual"/>
        </w:rPr>
        <w:t xml:space="preserve">urrent capital, </w:t>
      </w:r>
      <w:r w:rsidR="00775D78" w:rsidRPr="0065366F">
        <w:rPr>
          <w:rFonts w:ascii="Arial" w:eastAsia="Calibri" w:hAnsi="Arial" w:cs="Arial"/>
          <w:kern w:val="2"/>
          <w:sz w:val="20"/>
          <w:szCs w:val="20"/>
          <w:lang w:val="en-US"/>
          <w14:ligatures w14:val="standardContextual"/>
        </w:rPr>
        <w:t>f</w:t>
      </w:r>
      <w:r w:rsidR="0088300A" w:rsidRPr="0065366F">
        <w:rPr>
          <w:rFonts w:ascii="Arial" w:eastAsia="Calibri" w:hAnsi="Arial" w:cs="Arial"/>
          <w:kern w:val="2"/>
          <w:sz w:val="20"/>
          <w:szCs w:val="20"/>
          <w:lang w:val="en-US"/>
          <w14:ligatures w14:val="standardContextual"/>
        </w:rPr>
        <w:t xml:space="preserve">ixed assets,  </w:t>
      </w:r>
    </w:p>
    <w:p w14:paraId="0D2A9D3A" w14:textId="6B3E7D6E" w:rsidR="0088300A" w:rsidRPr="0065366F" w:rsidRDefault="0088300A" w:rsidP="00E50BA2">
      <w:pPr>
        <w:spacing w:line="360" w:lineRule="auto"/>
        <w:ind w:left="1800" w:right="26" w:hanging="1260"/>
        <w:jc w:val="both"/>
        <w:rPr>
          <w:rFonts w:ascii="Arial" w:eastAsia="Calibri" w:hAnsi="Arial" w:cs="Arial"/>
          <w:kern w:val="2"/>
          <w:sz w:val="20"/>
          <w:szCs w:val="20"/>
          <w:lang w:val="en-US"/>
          <w14:ligatures w14:val="standardContextual"/>
        </w:rPr>
      </w:pPr>
      <w:r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 xml:space="preserve">     </w:t>
      </w:r>
      <w:r w:rsidR="00775D78" w:rsidRPr="0065366F">
        <w:rPr>
          <w:rFonts w:ascii="Arial" w:eastAsia="Calibri" w:hAnsi="Arial" w:cs="Arial"/>
          <w:kern w:val="2"/>
          <w:sz w:val="20"/>
          <w:szCs w:val="20"/>
          <w:lang w:val="en-US"/>
          <w14:ligatures w14:val="standardContextual"/>
        </w:rPr>
        <w:t>d</w:t>
      </w:r>
      <w:r w:rsidRPr="0065366F">
        <w:rPr>
          <w:rFonts w:ascii="Arial" w:eastAsia="Calibri" w:hAnsi="Arial" w:cs="Arial"/>
          <w:kern w:val="2"/>
          <w:sz w:val="20"/>
          <w:szCs w:val="20"/>
          <w:lang w:val="en-US"/>
          <w14:ligatures w14:val="standardContextual"/>
        </w:rPr>
        <w:t>istributed townships</w:t>
      </w:r>
    </w:p>
    <w:p w14:paraId="6F205BC8" w14:textId="77777777" w:rsidR="00775D78" w:rsidRPr="0065366F" w:rsidRDefault="00671D6E" w:rsidP="00E50BA2">
      <w:pPr>
        <w:spacing w:line="360" w:lineRule="auto"/>
        <w:ind w:left="1800" w:right="26" w:hanging="1260"/>
        <w:jc w:val="both"/>
        <w:rPr>
          <w:rFonts w:ascii="Arial" w:eastAsia="Calibri" w:hAnsi="Arial" w:cs="Arial"/>
          <w:kern w:val="2"/>
          <w:sz w:val="20"/>
          <w:szCs w:val="20"/>
          <w:lang w:val="en-US"/>
          <w14:ligatures w14:val="standardContextual"/>
        </w:rPr>
      </w:pP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X</m:t>
            </m:r>
          </m:e>
          <m:sub>
            <m:r>
              <w:rPr>
                <w:rFonts w:ascii="Cambria Math" w:eastAsia="Calibri" w:hAnsi="Cambria Math" w:cs="Arial"/>
                <w:kern w:val="2"/>
                <w:sz w:val="20"/>
                <w:szCs w:val="20"/>
                <w:lang w:val="en-US"/>
                <w14:ligatures w14:val="standardContextual"/>
              </w:rPr>
              <m:t>8</m:t>
            </m:r>
          </m:sub>
        </m:sSub>
      </m:oMath>
      <w:r w:rsidR="0088300A" w:rsidRPr="0065366F">
        <w:rPr>
          <w:rFonts w:ascii="Arial" w:eastAsia="Calibri" w:hAnsi="Arial" w:cs="Arial"/>
          <w:kern w:val="2"/>
          <w:sz w:val="20"/>
          <w:szCs w:val="20"/>
          <w:lang w:val="en-US"/>
          <w14:ligatures w14:val="standardContextual"/>
        </w:rPr>
        <w:t xml:space="preserve"> to </w:t>
      </w:r>
      <m:oMath>
        <m:sSub>
          <m:sSubPr>
            <m:ctrlPr>
              <w:rPr>
                <w:rFonts w:ascii="Cambria Math" w:eastAsia="Calibri" w:hAnsi="Cambria Math" w:cs="Arial"/>
                <w:i/>
                <w:iCs/>
                <w:kern w:val="2"/>
                <w:sz w:val="20"/>
                <w:szCs w:val="20"/>
                <w:lang w:val="en-US"/>
                <w14:ligatures w14:val="standardContextual"/>
              </w:rPr>
            </m:ctrlPr>
          </m:sSubPr>
          <m:e>
            <m:r>
              <w:rPr>
                <w:rFonts w:ascii="Cambria Math" w:eastAsia="Calibri" w:hAnsi="Cambria Math" w:cs="Arial"/>
                <w:kern w:val="2"/>
                <w:sz w:val="20"/>
                <w:szCs w:val="20"/>
                <w:lang w:val="en-US"/>
                <w14:ligatures w14:val="standardContextual"/>
              </w:rPr>
              <m:t>X</m:t>
            </m:r>
          </m:e>
          <m:sub>
            <m:r>
              <w:rPr>
                <w:rFonts w:ascii="Cambria Math" w:eastAsia="Calibri" w:hAnsi="Cambria Math" w:cs="Arial"/>
                <w:kern w:val="2"/>
                <w:sz w:val="20"/>
                <w:szCs w:val="20"/>
                <w:lang w:val="en-US"/>
                <w14:ligatures w14:val="standardContextual"/>
              </w:rPr>
              <m:t>12</m:t>
            </m:r>
          </m:sub>
        </m:sSub>
      </m:oMath>
      <w:r w:rsidR="0088300A"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ab/>
      </w:r>
      <w:r w:rsidR="0088300A" w:rsidRPr="0065366F">
        <w:rPr>
          <w:rFonts w:ascii="Arial" w:eastAsia="Calibri" w:hAnsi="Arial" w:cs="Arial"/>
          <w:kern w:val="2"/>
          <w:sz w:val="20"/>
          <w:szCs w:val="20"/>
          <w:lang w:val="en-US"/>
          <w14:ligatures w14:val="standardContextual"/>
        </w:rPr>
        <w:t xml:space="preserve">= </w:t>
      </w:r>
      <w:r w:rsidR="00775D78" w:rsidRPr="0065366F">
        <w:rPr>
          <w:rFonts w:ascii="Arial" w:eastAsia="Calibri" w:hAnsi="Arial" w:cs="Arial"/>
          <w:kern w:val="2"/>
          <w:sz w:val="20"/>
          <w:szCs w:val="20"/>
          <w:lang w:val="en-US"/>
          <w14:ligatures w14:val="standardContextual"/>
        </w:rPr>
        <w:t>Category and dummy variables of k</w:t>
      </w:r>
      <w:r w:rsidR="0088300A" w:rsidRPr="0065366F">
        <w:rPr>
          <w:rFonts w:ascii="Arial" w:eastAsia="Calibri" w:hAnsi="Arial" w:cs="Arial"/>
          <w:kern w:val="2"/>
          <w:sz w:val="20"/>
          <w:szCs w:val="20"/>
          <w:lang w:val="en-US"/>
          <w14:ligatures w14:val="standardContextual"/>
        </w:rPr>
        <w:t xml:space="preserve">ind of MSME, </w:t>
      </w:r>
      <w:r w:rsidR="00775D78" w:rsidRPr="0065366F">
        <w:rPr>
          <w:rFonts w:ascii="Arial" w:eastAsia="Calibri" w:hAnsi="Arial" w:cs="Arial"/>
          <w:kern w:val="2"/>
          <w:sz w:val="20"/>
          <w:szCs w:val="20"/>
          <w:lang w:val="en-US"/>
          <w14:ligatures w14:val="standardContextual"/>
        </w:rPr>
        <w:t>l</w:t>
      </w:r>
      <w:r w:rsidR="0088300A" w:rsidRPr="0065366F">
        <w:rPr>
          <w:rFonts w:ascii="Arial" w:eastAsia="Calibri" w:hAnsi="Arial" w:cs="Arial"/>
          <w:kern w:val="2"/>
          <w:sz w:val="20"/>
          <w:szCs w:val="20"/>
          <w:lang w:val="en-US"/>
          <w14:ligatures w14:val="standardContextual"/>
        </w:rPr>
        <w:t xml:space="preserve">oan access, </w:t>
      </w:r>
    </w:p>
    <w:p w14:paraId="0FB2B34D" w14:textId="5EC300A7" w:rsidR="0088300A" w:rsidRPr="0065366F" w:rsidRDefault="00775D78" w:rsidP="00E50BA2">
      <w:pPr>
        <w:spacing w:line="360" w:lineRule="auto"/>
        <w:ind w:left="1980" w:right="26"/>
        <w:jc w:val="both"/>
        <w:rPr>
          <w:rFonts w:ascii="Arial" w:eastAsia="Calibri" w:hAnsi="Arial" w:cs="Arial"/>
          <w:kern w:val="2"/>
          <w:sz w:val="20"/>
          <w:szCs w:val="20"/>
          <w:lang w:val="en-US"/>
          <w14:ligatures w14:val="standardContextual"/>
        </w:rPr>
      </w:pPr>
      <w:r w:rsidRPr="0065366F">
        <w:rPr>
          <w:rFonts w:ascii="Arial" w:eastAsia="Calibri" w:hAnsi="Arial" w:cs="Arial"/>
          <w:kern w:val="2"/>
          <w:sz w:val="20"/>
          <w:szCs w:val="20"/>
          <w:lang w:val="en-US"/>
          <w14:ligatures w14:val="standardContextual"/>
        </w:rPr>
        <w:t>m</w:t>
      </w:r>
      <w:r w:rsidR="0088300A" w:rsidRPr="0065366F">
        <w:rPr>
          <w:rFonts w:ascii="Arial" w:eastAsia="Calibri" w:hAnsi="Arial" w:cs="Arial"/>
          <w:kern w:val="2"/>
          <w:sz w:val="20"/>
          <w:szCs w:val="20"/>
          <w:lang w:val="en-US"/>
          <w14:ligatures w14:val="standardContextual"/>
        </w:rPr>
        <w:t xml:space="preserve">embership, </w:t>
      </w:r>
      <w:r w:rsidRPr="0065366F">
        <w:rPr>
          <w:rFonts w:ascii="Arial" w:eastAsia="Calibri" w:hAnsi="Arial" w:cs="Arial"/>
          <w:kern w:val="2"/>
          <w:sz w:val="20"/>
          <w:szCs w:val="20"/>
          <w:lang w:val="en-US"/>
          <w14:ligatures w14:val="standardContextual"/>
        </w:rPr>
        <w:t>b</w:t>
      </w:r>
      <w:r w:rsidR="0088300A" w:rsidRPr="0065366F">
        <w:rPr>
          <w:rFonts w:ascii="Arial" w:eastAsia="Calibri" w:hAnsi="Arial" w:cs="Arial"/>
          <w:kern w:val="2"/>
          <w:sz w:val="20"/>
          <w:szCs w:val="20"/>
          <w:lang w:val="en-US"/>
          <w14:ligatures w14:val="standardContextual"/>
        </w:rPr>
        <w:t xml:space="preserve">usiness information, </w:t>
      </w:r>
      <w:r w:rsidRPr="0065366F">
        <w:rPr>
          <w:rFonts w:ascii="Arial" w:eastAsia="Calibri" w:hAnsi="Arial" w:cs="Arial"/>
          <w:kern w:val="2"/>
          <w:sz w:val="20"/>
          <w:szCs w:val="20"/>
          <w:lang w:val="en-US"/>
          <w14:ligatures w14:val="standardContextual"/>
        </w:rPr>
        <w:t>t</w:t>
      </w:r>
      <w:r w:rsidR="0088300A" w:rsidRPr="0065366F">
        <w:rPr>
          <w:rFonts w:ascii="Arial" w:eastAsia="Calibri" w:hAnsi="Arial" w:cs="Arial"/>
          <w:kern w:val="2"/>
          <w:sz w:val="20"/>
          <w:szCs w:val="20"/>
          <w:lang w:val="en-US"/>
          <w14:ligatures w14:val="standardContextual"/>
        </w:rPr>
        <w:t xml:space="preserve">raining </w:t>
      </w:r>
    </w:p>
    <w:p w14:paraId="55953E61" w14:textId="7AC29F34" w:rsidR="0088300A" w:rsidRPr="0065366F" w:rsidRDefault="0088300A" w:rsidP="00E50BA2">
      <w:pPr>
        <w:spacing w:line="360" w:lineRule="auto"/>
        <w:ind w:left="1800" w:right="26" w:hanging="1260"/>
        <w:jc w:val="both"/>
        <w:rPr>
          <w:rFonts w:ascii="Arial" w:eastAsia="Calibri" w:hAnsi="Arial" w:cs="Arial"/>
          <w:kern w:val="2"/>
          <w:sz w:val="20"/>
          <w:szCs w:val="20"/>
          <w:lang w:val="en-US"/>
          <w14:ligatures w14:val="standardContextual"/>
        </w:rPr>
      </w:pPr>
      <m:oMath>
        <m:r>
          <w:rPr>
            <w:rFonts w:ascii="Cambria Math" w:eastAsia="Calibri" w:hAnsi="Cambria Math" w:cs="Arial"/>
            <w:kern w:val="2"/>
            <w:sz w:val="20"/>
            <w:szCs w:val="20"/>
            <w:lang w:val="az-Cyrl-AZ"/>
            <w14:ligatures w14:val="standardContextual"/>
          </w:rPr>
          <m:t>ε</m:t>
        </m:r>
      </m:oMath>
      <w:r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ab/>
      </w:r>
      <w:r w:rsidRPr="0065366F">
        <w:rPr>
          <w:rFonts w:ascii="Arial" w:eastAsia="Calibri" w:hAnsi="Arial" w:cs="Arial"/>
          <w:kern w:val="2"/>
          <w:sz w:val="20"/>
          <w:szCs w:val="20"/>
          <w:lang w:val="en-US"/>
          <w14:ligatures w14:val="standardContextual"/>
        </w:rPr>
        <w:t xml:space="preserve">= </w:t>
      </w:r>
      <w:r w:rsidR="00483F64" w:rsidRPr="0065366F">
        <w:rPr>
          <w:rFonts w:ascii="Arial" w:eastAsia="Calibri" w:hAnsi="Arial" w:cs="Arial"/>
          <w:kern w:val="2"/>
          <w:sz w:val="20"/>
          <w:szCs w:val="20"/>
          <w:lang w:val="en-US"/>
          <w14:ligatures w14:val="standardContextual"/>
        </w:rPr>
        <w:t>error</w:t>
      </w:r>
      <w:r w:rsidRPr="0065366F">
        <w:rPr>
          <w:rFonts w:ascii="Arial" w:eastAsia="Calibri" w:hAnsi="Arial" w:cs="Arial"/>
          <w:kern w:val="2"/>
          <w:sz w:val="20"/>
          <w:szCs w:val="20"/>
          <w:lang w:val="en-US"/>
          <w14:ligatures w14:val="standardContextual"/>
        </w:rPr>
        <w:t xml:space="preserve"> term</w:t>
      </w:r>
    </w:p>
    <w:p w14:paraId="4831ECDE" w14:textId="2345CE36" w:rsidR="005B33DC" w:rsidRPr="0065366F" w:rsidRDefault="00CB5EEE" w:rsidP="00E50BA2">
      <w:pPr>
        <w:spacing w:line="360" w:lineRule="auto"/>
        <w:ind w:right="26" w:firstLine="720"/>
        <w:jc w:val="both"/>
        <w:rPr>
          <w:rFonts w:ascii="Arial" w:hAnsi="Arial" w:cs="Arial"/>
          <w:sz w:val="20"/>
          <w:szCs w:val="20"/>
          <w:lang w:val="en-US"/>
        </w:rPr>
      </w:pPr>
      <w:r w:rsidRPr="0065366F">
        <w:rPr>
          <w:rFonts w:ascii="Arial" w:hAnsi="Arial" w:cs="Arial"/>
          <w:sz w:val="20"/>
          <w:szCs w:val="20"/>
        </w:rPr>
        <w:t>Specifically</w:t>
      </w:r>
      <w:r w:rsidR="00087A1F" w:rsidRPr="0065366F">
        <w:rPr>
          <w:rFonts w:ascii="Arial" w:hAnsi="Arial" w:cs="Arial"/>
          <w:sz w:val="20"/>
          <w:szCs w:val="20"/>
        </w:rPr>
        <w:t xml:space="preserve">, the kind of </w:t>
      </w:r>
      <w:r w:rsidR="00C5303F" w:rsidRPr="0065366F">
        <w:rPr>
          <w:rFonts w:ascii="Arial" w:hAnsi="Arial" w:cs="Arial"/>
          <w:sz w:val="20"/>
          <w:szCs w:val="20"/>
        </w:rPr>
        <w:t>Food MSMEs</w:t>
      </w:r>
      <w:r w:rsidR="00087A1F" w:rsidRPr="0065366F">
        <w:rPr>
          <w:rFonts w:ascii="Arial" w:hAnsi="Arial" w:cs="Arial"/>
          <w:sz w:val="20"/>
          <w:szCs w:val="20"/>
        </w:rPr>
        <w:t xml:space="preserve"> (coded as </w:t>
      </w:r>
      <w:r w:rsidR="009F5182" w:rsidRPr="0065366F">
        <w:rPr>
          <w:rFonts w:ascii="Arial" w:hAnsi="Arial" w:cs="Arial"/>
          <w:sz w:val="20"/>
          <w:szCs w:val="20"/>
        </w:rPr>
        <w:t xml:space="preserve">category </w:t>
      </w:r>
      <w:r w:rsidR="00087A1F" w:rsidRPr="0065366F">
        <w:rPr>
          <w:rFonts w:ascii="Arial" w:hAnsi="Arial" w:cs="Arial"/>
          <w:sz w:val="20"/>
          <w:szCs w:val="20"/>
        </w:rPr>
        <w:t xml:space="preserve">variables for micro, small, and medium enterprises) was used to capture the structural classification of firms. </w:t>
      </w:r>
      <w:r w:rsidR="00ED22CB" w:rsidRPr="0065366F">
        <w:rPr>
          <w:rFonts w:ascii="Arial" w:hAnsi="Arial" w:cs="Arial"/>
          <w:sz w:val="20"/>
          <w:szCs w:val="20"/>
          <w:lang w:val="en-US"/>
        </w:rPr>
        <w:t>The demographic characteristics cover the age</w:t>
      </w:r>
      <w:r w:rsidR="00C23954" w:rsidRPr="0065366F">
        <w:rPr>
          <w:rFonts w:ascii="Arial" w:hAnsi="Arial" w:cs="Arial"/>
          <w:sz w:val="20"/>
          <w:szCs w:val="20"/>
          <w:lang w:val="en-US"/>
        </w:rPr>
        <w:t xml:space="preserve"> and</w:t>
      </w:r>
      <w:r w:rsidR="00ED22CB" w:rsidRPr="0065366F">
        <w:rPr>
          <w:rFonts w:ascii="Arial" w:hAnsi="Arial" w:cs="Arial"/>
          <w:sz w:val="20"/>
          <w:szCs w:val="20"/>
          <w:lang w:val="en-US"/>
        </w:rPr>
        <w:t xml:space="preserve"> education of the owners and managers of </w:t>
      </w:r>
      <w:r w:rsidR="00C5303F" w:rsidRPr="0065366F">
        <w:rPr>
          <w:rFonts w:ascii="Arial" w:hAnsi="Arial" w:cs="Arial"/>
          <w:sz w:val="20"/>
          <w:szCs w:val="20"/>
          <w:lang w:val="en-US"/>
        </w:rPr>
        <w:t>Food MSMEs</w:t>
      </w:r>
      <w:r w:rsidR="00ED22CB" w:rsidRPr="0065366F">
        <w:rPr>
          <w:rFonts w:ascii="Arial" w:hAnsi="Arial" w:cs="Arial"/>
          <w:sz w:val="20"/>
          <w:szCs w:val="20"/>
          <w:lang w:val="en-US"/>
        </w:rPr>
        <w:t xml:space="preserve">. </w:t>
      </w:r>
      <w:bookmarkEnd w:id="2"/>
      <w:r w:rsidR="00412472" w:rsidRPr="0065366F">
        <w:rPr>
          <w:rFonts w:ascii="Arial" w:hAnsi="Arial" w:cs="Arial"/>
          <w:sz w:val="20"/>
          <w:szCs w:val="20"/>
          <w:lang w:val="en-US"/>
        </w:rPr>
        <w:t xml:space="preserve">In examining business characteristics, including firm size, measured by the number of employees, and firm age, which indicates the duration of </w:t>
      </w:r>
      <w:r w:rsidR="00C5303F" w:rsidRPr="0065366F">
        <w:rPr>
          <w:rFonts w:ascii="Arial" w:hAnsi="Arial" w:cs="Arial"/>
          <w:sz w:val="20"/>
          <w:szCs w:val="20"/>
          <w:lang w:val="en-US"/>
        </w:rPr>
        <w:t>Food MSMEs</w:t>
      </w:r>
      <w:r w:rsidR="00123EEC" w:rsidRPr="0065366F">
        <w:rPr>
          <w:rFonts w:ascii="Arial" w:hAnsi="Arial" w:cs="Arial"/>
          <w:sz w:val="20"/>
          <w:szCs w:val="20"/>
          <w:lang w:val="en-US"/>
        </w:rPr>
        <w:t xml:space="preserve"> </w:t>
      </w:r>
      <w:r w:rsidR="00412472" w:rsidRPr="0065366F">
        <w:rPr>
          <w:rFonts w:ascii="Arial" w:hAnsi="Arial" w:cs="Arial"/>
          <w:sz w:val="20"/>
          <w:szCs w:val="20"/>
          <w:lang w:val="en-US"/>
        </w:rPr>
        <w:t>operati</w:t>
      </w:r>
      <w:r w:rsidR="00123EEC" w:rsidRPr="0065366F">
        <w:rPr>
          <w:rFonts w:ascii="Arial" w:hAnsi="Arial" w:cs="Arial"/>
          <w:sz w:val="20"/>
          <w:szCs w:val="20"/>
          <w:lang w:val="en-US"/>
        </w:rPr>
        <w:t>ng years</w:t>
      </w:r>
      <w:r w:rsidR="00412472" w:rsidRPr="0065366F">
        <w:rPr>
          <w:rFonts w:ascii="Arial" w:hAnsi="Arial" w:cs="Arial"/>
          <w:sz w:val="20"/>
          <w:szCs w:val="20"/>
          <w:lang w:val="en-US"/>
        </w:rPr>
        <w:t>. Additionally, current capital, fixed assets, and loan access</w:t>
      </w:r>
      <w:r w:rsidR="0069403D" w:rsidRPr="0065366F">
        <w:rPr>
          <w:rFonts w:ascii="Arial" w:hAnsi="Arial" w:cs="Arial"/>
          <w:sz w:val="20"/>
          <w:szCs w:val="20"/>
          <w:lang w:val="en-US"/>
        </w:rPr>
        <w:t xml:space="preserve"> </w:t>
      </w:r>
      <w:r w:rsidR="00412472" w:rsidRPr="0065366F">
        <w:rPr>
          <w:rFonts w:ascii="Arial" w:hAnsi="Arial" w:cs="Arial"/>
          <w:sz w:val="20"/>
          <w:szCs w:val="20"/>
          <w:lang w:val="en-US"/>
        </w:rPr>
        <w:t>evaluated through a binary variable</w:t>
      </w:r>
      <w:r w:rsidR="0069403D" w:rsidRPr="0065366F">
        <w:rPr>
          <w:rFonts w:ascii="Arial" w:hAnsi="Arial" w:cs="Arial"/>
          <w:sz w:val="20"/>
          <w:szCs w:val="20"/>
          <w:lang w:val="en-US"/>
        </w:rPr>
        <w:t xml:space="preserve"> </w:t>
      </w:r>
      <w:r w:rsidR="00412472" w:rsidRPr="0065366F">
        <w:rPr>
          <w:rFonts w:ascii="Arial" w:hAnsi="Arial" w:cs="Arial"/>
          <w:sz w:val="20"/>
          <w:szCs w:val="20"/>
          <w:lang w:val="en-US"/>
        </w:rPr>
        <w:t>were included to assess the implications of financial accessibility (1 = access loan, 0 = not access loan). The distribution of townships was utilized as a proxy for market reach.</w:t>
      </w:r>
      <w:r w:rsidR="00123EEC" w:rsidRPr="0065366F">
        <w:rPr>
          <w:rFonts w:ascii="Arial" w:hAnsi="Arial" w:cs="Arial"/>
          <w:sz w:val="20"/>
          <w:szCs w:val="20"/>
          <w:lang w:val="en-US"/>
        </w:rPr>
        <w:t xml:space="preserve"> </w:t>
      </w:r>
      <w:r w:rsidR="00412472" w:rsidRPr="0065366F">
        <w:rPr>
          <w:rFonts w:ascii="Arial" w:hAnsi="Arial" w:cs="Arial"/>
          <w:sz w:val="20"/>
          <w:szCs w:val="20"/>
          <w:lang w:val="en-US"/>
        </w:rPr>
        <w:t>Institutional factors such as membership in associations (1 = member, 0 = non-member), access to business information</w:t>
      </w:r>
      <w:r w:rsidR="00DE30F3" w:rsidRPr="0065366F">
        <w:rPr>
          <w:rFonts w:ascii="Arial" w:hAnsi="Arial" w:cs="Arial"/>
          <w:sz w:val="20"/>
          <w:szCs w:val="20"/>
          <w:lang w:val="en-US"/>
        </w:rPr>
        <w:t xml:space="preserve"> (1= access, 0 = no access)</w:t>
      </w:r>
      <w:r w:rsidR="00412472" w:rsidRPr="0065366F">
        <w:rPr>
          <w:rFonts w:ascii="Arial" w:hAnsi="Arial" w:cs="Arial"/>
          <w:sz w:val="20"/>
          <w:szCs w:val="20"/>
          <w:lang w:val="en-US"/>
        </w:rPr>
        <w:t xml:space="preserve">, and training </w:t>
      </w:r>
      <w:r w:rsidR="00D1648A" w:rsidRPr="0065366F">
        <w:rPr>
          <w:rFonts w:ascii="Arial" w:hAnsi="Arial" w:cs="Arial"/>
          <w:sz w:val="20"/>
          <w:szCs w:val="20"/>
          <w:lang w:val="en-US"/>
        </w:rPr>
        <w:t xml:space="preserve">(1 = access, 0= no access) </w:t>
      </w:r>
      <w:r w:rsidR="00412472" w:rsidRPr="0065366F">
        <w:rPr>
          <w:rFonts w:ascii="Arial" w:hAnsi="Arial" w:cs="Arial"/>
          <w:sz w:val="20"/>
          <w:szCs w:val="20"/>
          <w:lang w:val="en-US"/>
        </w:rPr>
        <w:t>were also considered. These elements are believed to influence both business growth and market competitiveness significantly.</w:t>
      </w:r>
      <w:r w:rsidR="00123EEC" w:rsidRPr="0065366F">
        <w:rPr>
          <w:rFonts w:ascii="Arial" w:hAnsi="Arial" w:cs="Arial"/>
          <w:sz w:val="20"/>
          <w:szCs w:val="20"/>
          <w:lang w:val="en-US"/>
        </w:rPr>
        <w:t xml:space="preserve"> </w:t>
      </w:r>
      <w:r w:rsidR="00B37BBC" w:rsidRPr="0065366F">
        <w:rPr>
          <w:rFonts w:ascii="Arial" w:hAnsi="Arial" w:cs="Arial"/>
          <w:sz w:val="20"/>
          <w:szCs w:val="20"/>
          <w:lang w:val="en-US"/>
        </w:rPr>
        <w:t>In this study, due to the heterogeneous nature of the selected Food MSMEs, the log transformation was applied to reduce heteroscedasticity, normalize skewed distributions, and improve the robustness of parameter estimates as noted by Gujarati and Porter (2009).</w:t>
      </w:r>
    </w:p>
    <w:p w14:paraId="54723F8C" w14:textId="1FC1EA9A" w:rsidR="00553B0B" w:rsidRPr="0065366F" w:rsidRDefault="0065366F" w:rsidP="00E50BA2">
      <w:pPr>
        <w:spacing w:before="240" w:after="240" w:line="360" w:lineRule="auto"/>
        <w:ind w:right="26"/>
        <w:jc w:val="both"/>
        <w:rPr>
          <w:rFonts w:ascii="Arial" w:hAnsi="Arial" w:cs="Arial"/>
          <w:b/>
          <w:bCs/>
          <w:sz w:val="22"/>
          <w:szCs w:val="22"/>
        </w:rPr>
      </w:pPr>
      <w:bookmarkStart w:id="3" w:name="_Hlk204089578"/>
      <w:r>
        <w:rPr>
          <w:rFonts w:ascii="Arial" w:hAnsi="Arial" w:cs="Arial"/>
          <w:b/>
          <w:bCs/>
          <w:sz w:val="22"/>
          <w:szCs w:val="22"/>
        </w:rPr>
        <w:t xml:space="preserve">3. RESULTS AND </w:t>
      </w:r>
      <w:r w:rsidR="008C0EFB">
        <w:rPr>
          <w:rFonts w:ascii="Arial" w:hAnsi="Arial" w:cs="Arial"/>
          <w:b/>
          <w:bCs/>
          <w:sz w:val="22"/>
          <w:szCs w:val="22"/>
        </w:rPr>
        <w:t>DISCUSSION</w:t>
      </w:r>
    </w:p>
    <w:p w14:paraId="3847EB68" w14:textId="2831DC5C" w:rsidR="00280A19" w:rsidRPr="0065366F" w:rsidRDefault="0065366F" w:rsidP="00E50BA2">
      <w:pPr>
        <w:spacing w:before="240" w:after="240" w:line="360" w:lineRule="auto"/>
        <w:ind w:right="26"/>
        <w:jc w:val="both"/>
        <w:rPr>
          <w:rFonts w:ascii="Arial" w:hAnsi="Arial" w:cs="Arial"/>
          <w:b/>
          <w:bCs/>
          <w:sz w:val="22"/>
          <w:szCs w:val="22"/>
        </w:rPr>
      </w:pPr>
      <w:r>
        <w:rPr>
          <w:rFonts w:ascii="Arial" w:hAnsi="Arial" w:cs="Arial"/>
          <w:b/>
          <w:bCs/>
          <w:sz w:val="22"/>
          <w:szCs w:val="22"/>
        </w:rPr>
        <w:t xml:space="preserve">3.1 </w:t>
      </w:r>
      <w:r w:rsidR="00280A19" w:rsidRPr="0065366F">
        <w:rPr>
          <w:rFonts w:ascii="Arial" w:hAnsi="Arial" w:cs="Arial"/>
          <w:b/>
          <w:bCs/>
          <w:sz w:val="22"/>
          <w:szCs w:val="22"/>
        </w:rPr>
        <w:t xml:space="preserve">Demographic characteristics of owners and </w:t>
      </w:r>
      <w:r w:rsidR="008E0021" w:rsidRPr="0065366F">
        <w:rPr>
          <w:rFonts w:ascii="Arial" w:hAnsi="Arial" w:cs="Arial"/>
          <w:b/>
          <w:bCs/>
          <w:sz w:val="22"/>
          <w:szCs w:val="22"/>
        </w:rPr>
        <w:t>managers</w:t>
      </w:r>
      <w:r w:rsidR="00280A19" w:rsidRPr="0065366F">
        <w:rPr>
          <w:rFonts w:ascii="Arial" w:hAnsi="Arial" w:cs="Arial"/>
          <w:b/>
          <w:bCs/>
          <w:sz w:val="22"/>
          <w:szCs w:val="22"/>
        </w:rPr>
        <w:t xml:space="preserve"> and business characteristics of </w:t>
      </w:r>
      <w:r w:rsidR="00A646E8" w:rsidRPr="0065366F">
        <w:rPr>
          <w:rFonts w:ascii="Arial" w:hAnsi="Arial" w:cs="Arial"/>
          <w:b/>
          <w:bCs/>
          <w:sz w:val="22"/>
          <w:szCs w:val="22"/>
        </w:rPr>
        <w:t xml:space="preserve">the </w:t>
      </w:r>
      <w:r w:rsidR="00280A19" w:rsidRPr="0065366F">
        <w:rPr>
          <w:rFonts w:ascii="Arial" w:hAnsi="Arial" w:cs="Arial"/>
          <w:b/>
          <w:bCs/>
          <w:sz w:val="22"/>
          <w:szCs w:val="22"/>
        </w:rPr>
        <w:t xml:space="preserve">sample </w:t>
      </w:r>
      <w:r w:rsidR="00C5303F" w:rsidRPr="0065366F">
        <w:rPr>
          <w:rFonts w:ascii="Arial" w:hAnsi="Arial" w:cs="Arial"/>
          <w:b/>
          <w:bCs/>
          <w:sz w:val="22"/>
          <w:szCs w:val="22"/>
        </w:rPr>
        <w:t>Food MSMEs</w:t>
      </w:r>
    </w:p>
    <w:p w14:paraId="1E46F5A2" w14:textId="565CB464" w:rsidR="001D3B08" w:rsidRPr="0065366F" w:rsidRDefault="001D3B08" w:rsidP="00E50BA2">
      <w:pPr>
        <w:spacing w:after="240" w:line="360" w:lineRule="auto"/>
        <w:ind w:right="26" w:firstLine="720"/>
        <w:jc w:val="both"/>
        <w:rPr>
          <w:rFonts w:ascii="Arial" w:hAnsi="Arial" w:cs="Arial"/>
          <w:sz w:val="20"/>
          <w:szCs w:val="20"/>
        </w:rPr>
      </w:pPr>
      <w:r w:rsidRPr="0065366F">
        <w:rPr>
          <w:rFonts w:ascii="Arial" w:hAnsi="Arial" w:cs="Arial"/>
          <w:sz w:val="20"/>
          <w:szCs w:val="20"/>
        </w:rPr>
        <w:t xml:space="preserve">The descriptive statistics for Food MSMEs are summarized in Table 1, offering insights into the demographic and business profiles of the sampled firms. The results reveal that owners and managers of the sample Food MSMEs average 45.78 years of age and have 10.31 years of formal education, indicating moderate levels of age and education. This aligns with previous literature, which suggests that such demographic characteristics may influence managerial capacity (Abor &amp; Quartey, 2010). As a business characteristic, Food MSMEs have operated for an average of 17.03 years, with 9.72 employees on average. </w:t>
      </w:r>
      <w:r w:rsidR="002F13FE" w:rsidRPr="0065366F">
        <w:rPr>
          <w:rFonts w:ascii="Arial" w:hAnsi="Arial" w:cs="Arial"/>
          <w:sz w:val="20"/>
          <w:szCs w:val="20"/>
        </w:rPr>
        <w:t>The average monthly sales revenue is 109.31 million MMK, while the</w:t>
      </w:r>
      <w:r w:rsidRPr="0065366F">
        <w:rPr>
          <w:rFonts w:ascii="Arial" w:hAnsi="Arial" w:cs="Arial"/>
          <w:sz w:val="20"/>
          <w:szCs w:val="20"/>
        </w:rPr>
        <w:t xml:space="preserve"> current capital and fixed assets average 114.01 million MMK and 103.83 million MMK, respectively. Some Food MSMEs, especially those with rice and edible oil milling machinery, function primarily as processing businesses that charge milling fees. They mostly provide milling services, occasionally sell by-products, and do not produce the product by themselves. As a result, they do not have working capital, and their current capital values are recorded as zero. These cases are not excluded as outliers, since they reflect the actual circumstances of Food MSMEs. Some </w:t>
      </w:r>
      <w:r w:rsidR="00345A77" w:rsidRPr="0065366F">
        <w:rPr>
          <w:rFonts w:ascii="Arial" w:hAnsi="Arial" w:cs="Arial"/>
          <w:sz w:val="20"/>
          <w:szCs w:val="20"/>
        </w:rPr>
        <w:t>microenterprises operate without substantial fixed assets or do not require</w:t>
      </w:r>
      <w:r w:rsidRPr="0065366F">
        <w:rPr>
          <w:rFonts w:ascii="Arial" w:hAnsi="Arial" w:cs="Arial"/>
          <w:sz w:val="20"/>
          <w:szCs w:val="20"/>
        </w:rPr>
        <w:t xml:space="preserve"> them for their business activities, so their fixed asset values are recorded as zero. The number of distributed townships of their products among Food MSMEs ranges from 0 to 17. Some Food MSMEs operate exclusively as producers and processing services, </w:t>
      </w:r>
      <w:r w:rsidRPr="0065366F">
        <w:rPr>
          <w:rFonts w:ascii="Arial" w:hAnsi="Arial" w:cs="Arial"/>
          <w:sz w:val="20"/>
          <w:szCs w:val="20"/>
        </w:rPr>
        <w:lastRenderedPageBreak/>
        <w:t>as mentioned earlier, without engaging in distribution activities and rely on external intermediaries or distribution channels to deliver their products to the market. As a result, the number of distributed townships is zero. However, the majority are involved in both production and distribution of their products.</w:t>
      </w:r>
    </w:p>
    <w:p w14:paraId="6F71C309" w14:textId="27D05DD5" w:rsidR="008F4247" w:rsidRPr="0065366F" w:rsidRDefault="008F4247" w:rsidP="00E50BA2">
      <w:pPr>
        <w:spacing w:after="240" w:line="360" w:lineRule="auto"/>
        <w:ind w:right="26"/>
        <w:jc w:val="both"/>
        <w:rPr>
          <w:rFonts w:ascii="Arial" w:hAnsi="Arial" w:cs="Arial"/>
          <w:b/>
          <w:bCs/>
        </w:rPr>
      </w:pPr>
      <w:r w:rsidRPr="0065366F">
        <w:rPr>
          <w:rFonts w:ascii="Arial" w:hAnsi="Arial" w:cs="Arial"/>
          <w:b/>
          <w:bCs/>
        </w:rPr>
        <w:t xml:space="preserve">Table </w:t>
      </w:r>
      <w:r w:rsidR="00666666" w:rsidRPr="0065366F">
        <w:rPr>
          <w:rFonts w:ascii="Arial" w:hAnsi="Arial" w:cs="Arial"/>
          <w:b/>
          <w:bCs/>
        </w:rPr>
        <w:t>1.</w:t>
      </w:r>
      <w:r w:rsidRPr="0065366F">
        <w:rPr>
          <w:rFonts w:ascii="Arial" w:hAnsi="Arial" w:cs="Arial"/>
          <w:b/>
          <w:bCs/>
        </w:rPr>
        <w:t xml:space="preserve"> </w:t>
      </w:r>
      <w:r w:rsidR="00666666" w:rsidRPr="0065366F">
        <w:rPr>
          <w:rFonts w:ascii="Arial" w:hAnsi="Arial" w:cs="Arial"/>
          <w:b/>
          <w:bCs/>
        </w:rPr>
        <w:t xml:space="preserve">Demographic and </w:t>
      </w:r>
      <w:r w:rsidR="00BD3204" w:rsidRPr="0065366F">
        <w:rPr>
          <w:rFonts w:ascii="Arial" w:hAnsi="Arial" w:cs="Arial"/>
          <w:b/>
          <w:bCs/>
        </w:rPr>
        <w:t>b</w:t>
      </w:r>
      <w:r w:rsidR="00666666" w:rsidRPr="0065366F">
        <w:rPr>
          <w:rFonts w:ascii="Arial" w:hAnsi="Arial" w:cs="Arial"/>
          <w:b/>
          <w:bCs/>
        </w:rPr>
        <w:t xml:space="preserve">usiness </w:t>
      </w:r>
      <w:r w:rsidR="00BD3204" w:rsidRPr="0065366F">
        <w:rPr>
          <w:rFonts w:ascii="Arial" w:hAnsi="Arial" w:cs="Arial"/>
          <w:b/>
          <w:bCs/>
        </w:rPr>
        <w:t>c</w:t>
      </w:r>
      <w:r w:rsidR="00666666" w:rsidRPr="0065366F">
        <w:rPr>
          <w:rFonts w:ascii="Arial" w:hAnsi="Arial" w:cs="Arial"/>
          <w:b/>
          <w:bCs/>
        </w:rPr>
        <w:t xml:space="preserve">haracteristics </w:t>
      </w:r>
      <w:r w:rsidRPr="0065366F">
        <w:rPr>
          <w:rFonts w:ascii="Arial" w:hAnsi="Arial" w:cs="Arial"/>
          <w:b/>
          <w:bCs/>
        </w:rPr>
        <w:t xml:space="preserve">of </w:t>
      </w:r>
      <w:r w:rsidR="00C5303F" w:rsidRPr="0065366F">
        <w:rPr>
          <w:rFonts w:ascii="Arial" w:hAnsi="Arial" w:cs="Arial"/>
          <w:b/>
          <w:bCs/>
        </w:rPr>
        <w:t>Food MSMEs</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1541"/>
        <w:gridCol w:w="1786"/>
        <w:gridCol w:w="1530"/>
      </w:tblGrid>
      <w:tr w:rsidR="00F37F01" w:rsidRPr="0065366F" w14:paraId="7D86E109" w14:textId="77777777" w:rsidTr="0020083C">
        <w:trPr>
          <w:trHeight w:val="332"/>
        </w:trPr>
        <w:tc>
          <w:tcPr>
            <w:tcW w:w="4143" w:type="dxa"/>
            <w:tcBorders>
              <w:top w:val="single" w:sz="4" w:space="0" w:color="auto"/>
              <w:bottom w:val="single" w:sz="4" w:space="0" w:color="auto"/>
            </w:tcBorders>
            <w:vAlign w:val="center"/>
          </w:tcPr>
          <w:p w14:paraId="53D41B51" w14:textId="59CD3755" w:rsidR="00C75E19" w:rsidRPr="0065366F" w:rsidRDefault="00C75E19" w:rsidP="00E50BA2">
            <w:pPr>
              <w:spacing w:line="360" w:lineRule="auto"/>
              <w:ind w:right="26"/>
              <w:jc w:val="both"/>
              <w:rPr>
                <w:rFonts w:ascii="Arial" w:hAnsi="Arial" w:cs="Arial"/>
                <w:lang w:val="en-US"/>
              </w:rPr>
            </w:pPr>
            <w:bookmarkStart w:id="4" w:name="_Hlk204077933"/>
            <w:r w:rsidRPr="0065366F">
              <w:rPr>
                <w:rFonts w:ascii="Arial" w:hAnsi="Arial" w:cs="Arial"/>
              </w:rPr>
              <w:t>Variables</w:t>
            </w:r>
          </w:p>
        </w:tc>
        <w:tc>
          <w:tcPr>
            <w:tcW w:w="1541" w:type="dxa"/>
            <w:tcBorders>
              <w:top w:val="single" w:sz="4" w:space="0" w:color="auto"/>
              <w:bottom w:val="single" w:sz="4" w:space="0" w:color="auto"/>
            </w:tcBorders>
            <w:vAlign w:val="center"/>
          </w:tcPr>
          <w:p w14:paraId="0B28CF44" w14:textId="74BF8E57" w:rsidR="00C75E19" w:rsidRPr="0065366F" w:rsidRDefault="00C75E19" w:rsidP="00E50BA2">
            <w:pPr>
              <w:spacing w:line="360" w:lineRule="auto"/>
              <w:ind w:right="26"/>
              <w:jc w:val="right"/>
              <w:rPr>
                <w:rFonts w:ascii="Arial" w:hAnsi="Arial" w:cs="Arial"/>
                <w:lang w:val="en-US"/>
              </w:rPr>
            </w:pPr>
            <w:r w:rsidRPr="0065366F">
              <w:rPr>
                <w:rFonts w:ascii="Arial" w:hAnsi="Arial" w:cs="Arial"/>
              </w:rPr>
              <w:t>Mean</w:t>
            </w:r>
          </w:p>
        </w:tc>
        <w:tc>
          <w:tcPr>
            <w:tcW w:w="1786" w:type="dxa"/>
            <w:tcBorders>
              <w:top w:val="single" w:sz="4" w:space="0" w:color="auto"/>
              <w:bottom w:val="single" w:sz="4" w:space="0" w:color="auto"/>
            </w:tcBorders>
            <w:vAlign w:val="center"/>
          </w:tcPr>
          <w:p w14:paraId="37A41934" w14:textId="73C49384" w:rsidR="00C75E19" w:rsidRPr="0065366F" w:rsidRDefault="00C75E19" w:rsidP="00E50BA2">
            <w:pPr>
              <w:spacing w:line="360" w:lineRule="auto"/>
              <w:ind w:right="26"/>
              <w:jc w:val="right"/>
              <w:rPr>
                <w:rFonts w:ascii="Arial" w:hAnsi="Arial" w:cs="Arial"/>
                <w:lang w:val="en-US"/>
              </w:rPr>
            </w:pPr>
            <w:r w:rsidRPr="0065366F">
              <w:rPr>
                <w:rFonts w:ascii="Arial" w:hAnsi="Arial" w:cs="Arial"/>
              </w:rPr>
              <w:t>Range</w:t>
            </w:r>
          </w:p>
        </w:tc>
        <w:tc>
          <w:tcPr>
            <w:tcW w:w="1530" w:type="dxa"/>
            <w:tcBorders>
              <w:top w:val="single" w:sz="4" w:space="0" w:color="auto"/>
              <w:bottom w:val="single" w:sz="4" w:space="0" w:color="auto"/>
            </w:tcBorders>
            <w:vAlign w:val="center"/>
          </w:tcPr>
          <w:p w14:paraId="2D67ADE4" w14:textId="575C2F28" w:rsidR="00C75E19" w:rsidRPr="0065366F" w:rsidRDefault="00C75E19" w:rsidP="00E50BA2">
            <w:pPr>
              <w:spacing w:line="360" w:lineRule="auto"/>
              <w:ind w:right="26"/>
              <w:jc w:val="right"/>
              <w:rPr>
                <w:rFonts w:ascii="Arial" w:hAnsi="Arial" w:cs="Arial"/>
                <w:lang w:val="en-US"/>
              </w:rPr>
            </w:pPr>
            <w:r w:rsidRPr="0065366F">
              <w:rPr>
                <w:rFonts w:ascii="Arial" w:hAnsi="Arial" w:cs="Arial"/>
              </w:rPr>
              <w:t>SD</w:t>
            </w:r>
          </w:p>
        </w:tc>
      </w:tr>
      <w:tr w:rsidR="00F37F01" w:rsidRPr="0065366F" w14:paraId="7080D361" w14:textId="77777777" w:rsidTr="00F21042">
        <w:trPr>
          <w:trHeight w:val="296"/>
        </w:trPr>
        <w:tc>
          <w:tcPr>
            <w:tcW w:w="4143" w:type="dxa"/>
            <w:tcBorders>
              <w:top w:val="single" w:sz="4" w:space="0" w:color="auto"/>
            </w:tcBorders>
            <w:vAlign w:val="center"/>
          </w:tcPr>
          <w:p w14:paraId="3A7414F9" w14:textId="0AADFA6B" w:rsidR="00C75E19" w:rsidRPr="0065366F" w:rsidRDefault="00C75E19" w:rsidP="00E50BA2">
            <w:pPr>
              <w:spacing w:line="360" w:lineRule="auto"/>
              <w:ind w:right="26"/>
              <w:jc w:val="both"/>
              <w:rPr>
                <w:rFonts w:ascii="Arial" w:hAnsi="Arial" w:cs="Arial"/>
                <w:b/>
                <w:bCs/>
                <w:sz w:val="24"/>
                <w:szCs w:val="24"/>
                <w:lang w:val="en-US"/>
              </w:rPr>
            </w:pPr>
            <w:r w:rsidRPr="0065366F">
              <w:rPr>
                <w:rFonts w:ascii="Arial" w:hAnsi="Arial" w:cs="Arial"/>
                <w:b/>
                <w:bCs/>
              </w:rPr>
              <w:t>Demographic characteristics</w:t>
            </w:r>
          </w:p>
        </w:tc>
        <w:tc>
          <w:tcPr>
            <w:tcW w:w="1541" w:type="dxa"/>
            <w:tcBorders>
              <w:top w:val="single" w:sz="4" w:space="0" w:color="auto"/>
            </w:tcBorders>
            <w:vAlign w:val="center"/>
          </w:tcPr>
          <w:p w14:paraId="1255744B" w14:textId="77777777" w:rsidR="00C75E19" w:rsidRPr="0065366F" w:rsidRDefault="00C75E19" w:rsidP="00E50BA2">
            <w:pPr>
              <w:spacing w:line="360" w:lineRule="auto"/>
              <w:ind w:right="26"/>
              <w:jc w:val="both"/>
              <w:rPr>
                <w:rFonts w:ascii="Arial" w:hAnsi="Arial" w:cs="Arial"/>
                <w:sz w:val="24"/>
                <w:szCs w:val="24"/>
                <w:lang w:val="en-US"/>
              </w:rPr>
            </w:pPr>
          </w:p>
        </w:tc>
        <w:tc>
          <w:tcPr>
            <w:tcW w:w="1786" w:type="dxa"/>
            <w:tcBorders>
              <w:top w:val="single" w:sz="4" w:space="0" w:color="auto"/>
            </w:tcBorders>
            <w:vAlign w:val="center"/>
          </w:tcPr>
          <w:p w14:paraId="735B20EF" w14:textId="77777777" w:rsidR="00C75E19" w:rsidRPr="0065366F" w:rsidRDefault="00C75E19" w:rsidP="00E50BA2">
            <w:pPr>
              <w:spacing w:line="360" w:lineRule="auto"/>
              <w:ind w:right="26"/>
              <w:jc w:val="both"/>
              <w:rPr>
                <w:rFonts w:ascii="Arial" w:hAnsi="Arial" w:cs="Arial"/>
                <w:sz w:val="24"/>
                <w:szCs w:val="24"/>
                <w:lang w:val="en-US"/>
              </w:rPr>
            </w:pPr>
          </w:p>
        </w:tc>
        <w:tc>
          <w:tcPr>
            <w:tcW w:w="1530" w:type="dxa"/>
            <w:tcBorders>
              <w:top w:val="single" w:sz="4" w:space="0" w:color="auto"/>
            </w:tcBorders>
            <w:vAlign w:val="center"/>
          </w:tcPr>
          <w:p w14:paraId="0A0B59CD" w14:textId="77777777" w:rsidR="00C75E19" w:rsidRPr="0065366F" w:rsidRDefault="00C75E19" w:rsidP="00E50BA2">
            <w:pPr>
              <w:spacing w:line="360" w:lineRule="auto"/>
              <w:ind w:right="26"/>
              <w:jc w:val="both"/>
              <w:rPr>
                <w:rFonts w:ascii="Arial" w:hAnsi="Arial" w:cs="Arial"/>
                <w:sz w:val="24"/>
                <w:szCs w:val="24"/>
                <w:lang w:val="en-US"/>
              </w:rPr>
            </w:pPr>
          </w:p>
        </w:tc>
      </w:tr>
      <w:tr w:rsidR="00F37F01" w:rsidRPr="0065366F" w14:paraId="6E67FA92" w14:textId="77777777" w:rsidTr="00F21042">
        <w:trPr>
          <w:trHeight w:val="333"/>
        </w:trPr>
        <w:tc>
          <w:tcPr>
            <w:tcW w:w="4143" w:type="dxa"/>
            <w:vAlign w:val="center"/>
          </w:tcPr>
          <w:p w14:paraId="193A1C23" w14:textId="2EB464B3"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Age (years)</w:t>
            </w:r>
          </w:p>
        </w:tc>
        <w:tc>
          <w:tcPr>
            <w:tcW w:w="1541" w:type="dxa"/>
            <w:vAlign w:val="center"/>
          </w:tcPr>
          <w:p w14:paraId="655633C5" w14:textId="74E2217C"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45.78</w:t>
            </w:r>
          </w:p>
        </w:tc>
        <w:tc>
          <w:tcPr>
            <w:tcW w:w="1786" w:type="dxa"/>
            <w:vAlign w:val="center"/>
          </w:tcPr>
          <w:p w14:paraId="370CEA3A" w14:textId="222B96BF"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25-80</w:t>
            </w:r>
          </w:p>
        </w:tc>
        <w:tc>
          <w:tcPr>
            <w:tcW w:w="1530" w:type="dxa"/>
            <w:vAlign w:val="center"/>
          </w:tcPr>
          <w:p w14:paraId="05828EDD" w14:textId="7D42EB3C"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10.63</w:t>
            </w:r>
          </w:p>
        </w:tc>
      </w:tr>
      <w:tr w:rsidR="00F37F01" w:rsidRPr="0065366F" w14:paraId="1CEAD612" w14:textId="77777777" w:rsidTr="00F21042">
        <w:trPr>
          <w:trHeight w:val="351"/>
        </w:trPr>
        <w:tc>
          <w:tcPr>
            <w:tcW w:w="4143" w:type="dxa"/>
            <w:tcBorders>
              <w:bottom w:val="single" w:sz="4" w:space="0" w:color="auto"/>
            </w:tcBorders>
            <w:vAlign w:val="center"/>
          </w:tcPr>
          <w:p w14:paraId="6D5AF5F8" w14:textId="5987E1FF"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Education (years)</w:t>
            </w:r>
          </w:p>
        </w:tc>
        <w:tc>
          <w:tcPr>
            <w:tcW w:w="1541" w:type="dxa"/>
            <w:tcBorders>
              <w:bottom w:val="single" w:sz="4" w:space="0" w:color="auto"/>
            </w:tcBorders>
            <w:vAlign w:val="center"/>
          </w:tcPr>
          <w:p w14:paraId="559B297F" w14:textId="0B475270"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10.31</w:t>
            </w:r>
          </w:p>
        </w:tc>
        <w:tc>
          <w:tcPr>
            <w:tcW w:w="1786" w:type="dxa"/>
            <w:tcBorders>
              <w:bottom w:val="single" w:sz="4" w:space="0" w:color="auto"/>
            </w:tcBorders>
            <w:vAlign w:val="center"/>
          </w:tcPr>
          <w:p w14:paraId="3C93D776" w14:textId="4A324D0E"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3-16</w:t>
            </w:r>
          </w:p>
        </w:tc>
        <w:tc>
          <w:tcPr>
            <w:tcW w:w="1530" w:type="dxa"/>
            <w:tcBorders>
              <w:bottom w:val="single" w:sz="4" w:space="0" w:color="auto"/>
            </w:tcBorders>
            <w:vAlign w:val="center"/>
          </w:tcPr>
          <w:p w14:paraId="0EBD9A0B" w14:textId="06C2FF09"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3.34</w:t>
            </w:r>
          </w:p>
        </w:tc>
      </w:tr>
      <w:tr w:rsidR="00F37F01" w:rsidRPr="0065366F" w14:paraId="74EF40FE" w14:textId="77777777" w:rsidTr="00F21042">
        <w:trPr>
          <w:trHeight w:val="359"/>
        </w:trPr>
        <w:tc>
          <w:tcPr>
            <w:tcW w:w="4143" w:type="dxa"/>
            <w:tcBorders>
              <w:top w:val="single" w:sz="4" w:space="0" w:color="auto"/>
            </w:tcBorders>
            <w:vAlign w:val="center"/>
          </w:tcPr>
          <w:p w14:paraId="06265B18" w14:textId="64A988B9" w:rsidR="00C75E19" w:rsidRPr="0065366F" w:rsidRDefault="00C75E19" w:rsidP="00E50BA2">
            <w:pPr>
              <w:spacing w:line="360" w:lineRule="auto"/>
              <w:ind w:right="26"/>
              <w:jc w:val="both"/>
              <w:rPr>
                <w:rFonts w:ascii="Arial" w:hAnsi="Arial" w:cs="Arial"/>
                <w:b/>
                <w:bCs/>
                <w:sz w:val="24"/>
                <w:szCs w:val="24"/>
                <w:lang w:val="en-US"/>
              </w:rPr>
            </w:pPr>
            <w:r w:rsidRPr="0065366F">
              <w:rPr>
                <w:rFonts w:ascii="Arial" w:hAnsi="Arial" w:cs="Arial"/>
                <w:b/>
                <w:bCs/>
              </w:rPr>
              <w:t xml:space="preserve">Business characteristics </w:t>
            </w:r>
          </w:p>
        </w:tc>
        <w:tc>
          <w:tcPr>
            <w:tcW w:w="1541" w:type="dxa"/>
            <w:tcBorders>
              <w:top w:val="single" w:sz="4" w:space="0" w:color="auto"/>
            </w:tcBorders>
            <w:vAlign w:val="center"/>
          </w:tcPr>
          <w:p w14:paraId="08816BFB" w14:textId="77777777" w:rsidR="00C75E19" w:rsidRPr="0065366F" w:rsidRDefault="00C75E19" w:rsidP="00E50BA2">
            <w:pPr>
              <w:spacing w:line="360" w:lineRule="auto"/>
              <w:ind w:right="26"/>
              <w:jc w:val="both"/>
              <w:rPr>
                <w:rFonts w:ascii="Arial" w:hAnsi="Arial" w:cs="Arial"/>
                <w:sz w:val="24"/>
                <w:szCs w:val="24"/>
                <w:lang w:val="en-US"/>
              </w:rPr>
            </w:pPr>
          </w:p>
        </w:tc>
        <w:tc>
          <w:tcPr>
            <w:tcW w:w="1786" w:type="dxa"/>
            <w:tcBorders>
              <w:top w:val="single" w:sz="4" w:space="0" w:color="auto"/>
            </w:tcBorders>
            <w:vAlign w:val="center"/>
          </w:tcPr>
          <w:p w14:paraId="681841DD" w14:textId="77777777" w:rsidR="00C75E19" w:rsidRPr="0065366F" w:rsidRDefault="00C75E19" w:rsidP="00E50BA2">
            <w:pPr>
              <w:spacing w:line="360" w:lineRule="auto"/>
              <w:ind w:right="26"/>
              <w:jc w:val="both"/>
              <w:rPr>
                <w:rFonts w:ascii="Arial" w:hAnsi="Arial" w:cs="Arial"/>
                <w:sz w:val="24"/>
                <w:szCs w:val="24"/>
                <w:lang w:val="en-US"/>
              </w:rPr>
            </w:pPr>
          </w:p>
        </w:tc>
        <w:tc>
          <w:tcPr>
            <w:tcW w:w="1530" w:type="dxa"/>
            <w:tcBorders>
              <w:top w:val="single" w:sz="4" w:space="0" w:color="auto"/>
            </w:tcBorders>
            <w:vAlign w:val="center"/>
          </w:tcPr>
          <w:p w14:paraId="05A3B8A5" w14:textId="77777777" w:rsidR="00C75E19" w:rsidRPr="0065366F" w:rsidRDefault="00C75E19" w:rsidP="00E50BA2">
            <w:pPr>
              <w:spacing w:line="360" w:lineRule="auto"/>
              <w:ind w:right="26"/>
              <w:jc w:val="both"/>
              <w:rPr>
                <w:rFonts w:ascii="Arial" w:hAnsi="Arial" w:cs="Arial"/>
                <w:sz w:val="24"/>
                <w:szCs w:val="24"/>
                <w:lang w:val="en-US"/>
              </w:rPr>
            </w:pPr>
          </w:p>
        </w:tc>
      </w:tr>
      <w:tr w:rsidR="00F37F01" w:rsidRPr="0065366F" w14:paraId="7DC894B7" w14:textId="77777777" w:rsidTr="00F21042">
        <w:trPr>
          <w:trHeight w:val="171"/>
        </w:trPr>
        <w:tc>
          <w:tcPr>
            <w:tcW w:w="4143" w:type="dxa"/>
            <w:vAlign w:val="center"/>
          </w:tcPr>
          <w:p w14:paraId="199D532D" w14:textId="02024942"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Firm age (years)</w:t>
            </w:r>
          </w:p>
        </w:tc>
        <w:tc>
          <w:tcPr>
            <w:tcW w:w="1541" w:type="dxa"/>
            <w:vAlign w:val="center"/>
          </w:tcPr>
          <w:p w14:paraId="438CA569" w14:textId="0131B0DB"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17.03</w:t>
            </w:r>
          </w:p>
        </w:tc>
        <w:tc>
          <w:tcPr>
            <w:tcW w:w="1786" w:type="dxa"/>
            <w:vAlign w:val="center"/>
          </w:tcPr>
          <w:p w14:paraId="05B2929A" w14:textId="6A5A60A7"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2-60</w:t>
            </w:r>
          </w:p>
        </w:tc>
        <w:tc>
          <w:tcPr>
            <w:tcW w:w="1530" w:type="dxa"/>
            <w:vAlign w:val="center"/>
          </w:tcPr>
          <w:p w14:paraId="2EAECF2D" w14:textId="283ACF1F"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12.34</w:t>
            </w:r>
          </w:p>
        </w:tc>
      </w:tr>
      <w:tr w:rsidR="00F37F01" w:rsidRPr="0065366F" w14:paraId="77967215" w14:textId="77777777" w:rsidTr="00F21042">
        <w:trPr>
          <w:trHeight w:val="414"/>
        </w:trPr>
        <w:tc>
          <w:tcPr>
            <w:tcW w:w="4143" w:type="dxa"/>
            <w:vAlign w:val="center"/>
          </w:tcPr>
          <w:p w14:paraId="7D074DF3" w14:textId="2CC12957"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Firm size (No. of employees)</w:t>
            </w:r>
          </w:p>
        </w:tc>
        <w:tc>
          <w:tcPr>
            <w:tcW w:w="1541" w:type="dxa"/>
            <w:vAlign w:val="center"/>
          </w:tcPr>
          <w:p w14:paraId="1C464CA2" w14:textId="73289F24"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9.72</w:t>
            </w:r>
          </w:p>
        </w:tc>
        <w:tc>
          <w:tcPr>
            <w:tcW w:w="1786" w:type="dxa"/>
            <w:vAlign w:val="center"/>
          </w:tcPr>
          <w:p w14:paraId="4FF695E1" w14:textId="786E21D5"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1-100</w:t>
            </w:r>
          </w:p>
        </w:tc>
        <w:tc>
          <w:tcPr>
            <w:tcW w:w="1530" w:type="dxa"/>
            <w:vAlign w:val="center"/>
          </w:tcPr>
          <w:p w14:paraId="41E0A6F7" w14:textId="3414EF07"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13.72</w:t>
            </w:r>
          </w:p>
        </w:tc>
      </w:tr>
      <w:tr w:rsidR="00F37F01" w:rsidRPr="0065366F" w14:paraId="7956DB75" w14:textId="77777777" w:rsidTr="00F21042">
        <w:trPr>
          <w:trHeight w:val="189"/>
        </w:trPr>
        <w:tc>
          <w:tcPr>
            <w:tcW w:w="4143" w:type="dxa"/>
            <w:vAlign w:val="center"/>
          </w:tcPr>
          <w:p w14:paraId="4EE1EA06" w14:textId="25924722" w:rsidR="00C75E19" w:rsidRPr="0065366F" w:rsidRDefault="00E43EAB" w:rsidP="00E50BA2">
            <w:pPr>
              <w:spacing w:line="360" w:lineRule="auto"/>
              <w:ind w:right="26"/>
              <w:jc w:val="both"/>
              <w:rPr>
                <w:rFonts w:ascii="Arial" w:hAnsi="Arial" w:cs="Arial"/>
                <w:sz w:val="24"/>
                <w:szCs w:val="24"/>
                <w:lang w:val="en-US"/>
              </w:rPr>
            </w:pPr>
            <w:r w:rsidRPr="0065366F">
              <w:rPr>
                <w:rFonts w:ascii="Arial" w:hAnsi="Arial" w:cs="Arial"/>
              </w:rPr>
              <w:t>S</w:t>
            </w:r>
            <w:r w:rsidR="00C75E19" w:rsidRPr="0065366F">
              <w:rPr>
                <w:rFonts w:ascii="Arial" w:hAnsi="Arial" w:cs="Arial"/>
              </w:rPr>
              <w:t>ales revenue (</w:t>
            </w:r>
            <w:r w:rsidR="00FF15B4" w:rsidRPr="0065366F">
              <w:rPr>
                <w:rFonts w:ascii="Arial" w:hAnsi="Arial" w:cs="Arial"/>
              </w:rPr>
              <w:t xml:space="preserve">million </w:t>
            </w:r>
            <w:r w:rsidR="00C75E19" w:rsidRPr="0065366F">
              <w:rPr>
                <w:rFonts w:ascii="Arial" w:hAnsi="Arial" w:cs="Arial"/>
              </w:rPr>
              <w:t>MMK)</w:t>
            </w:r>
          </w:p>
        </w:tc>
        <w:tc>
          <w:tcPr>
            <w:tcW w:w="1541" w:type="dxa"/>
            <w:vAlign w:val="center"/>
          </w:tcPr>
          <w:p w14:paraId="4BDBC910" w14:textId="63689DAB" w:rsidR="00C75E19" w:rsidRPr="0065366F" w:rsidRDefault="0020083C" w:rsidP="00E50BA2">
            <w:pPr>
              <w:spacing w:line="360" w:lineRule="auto"/>
              <w:ind w:right="26"/>
              <w:jc w:val="right"/>
              <w:rPr>
                <w:rFonts w:ascii="Arial" w:hAnsi="Arial" w:cs="Arial"/>
                <w:sz w:val="24"/>
                <w:szCs w:val="24"/>
                <w:lang w:val="en-US"/>
              </w:rPr>
            </w:pPr>
            <w:r w:rsidRPr="0065366F">
              <w:rPr>
                <w:rFonts w:ascii="Arial" w:hAnsi="Arial" w:cs="Arial"/>
              </w:rPr>
              <w:t>109.31</w:t>
            </w:r>
          </w:p>
        </w:tc>
        <w:tc>
          <w:tcPr>
            <w:tcW w:w="1786" w:type="dxa"/>
            <w:vAlign w:val="center"/>
          </w:tcPr>
          <w:p w14:paraId="49BD3F55" w14:textId="1E277B43" w:rsidR="00C75E19" w:rsidRPr="0065366F" w:rsidRDefault="00C75E19" w:rsidP="00E50BA2">
            <w:pPr>
              <w:spacing w:line="360" w:lineRule="auto"/>
              <w:ind w:right="26"/>
              <w:jc w:val="right"/>
              <w:rPr>
                <w:rFonts w:ascii="Arial" w:hAnsi="Arial" w:cs="Arial"/>
                <w:sz w:val="24"/>
                <w:szCs w:val="24"/>
                <w:lang w:val="en-US"/>
              </w:rPr>
            </w:pPr>
            <w:r w:rsidRPr="0065366F">
              <w:rPr>
                <w:rFonts w:ascii="Arial" w:eastAsia="Calibri" w:hAnsi="Arial" w:cs="Arial"/>
                <w:kern w:val="2"/>
                <w14:ligatures w14:val="standardContextual"/>
              </w:rPr>
              <w:t>0.13-</w:t>
            </w:r>
            <w:r w:rsidR="001122C4" w:rsidRPr="0065366F">
              <w:rPr>
                <w:rFonts w:ascii="Arial" w:eastAsia="Calibri" w:hAnsi="Arial" w:cs="Arial"/>
                <w:kern w:val="2"/>
                <w14:ligatures w14:val="standardContextual"/>
              </w:rPr>
              <w:t>1694</w:t>
            </w:r>
          </w:p>
        </w:tc>
        <w:tc>
          <w:tcPr>
            <w:tcW w:w="1530" w:type="dxa"/>
            <w:vAlign w:val="center"/>
          </w:tcPr>
          <w:p w14:paraId="7C337585" w14:textId="6BB06B51" w:rsidR="00C75E19" w:rsidRPr="0065366F" w:rsidRDefault="0020083C" w:rsidP="00E50BA2">
            <w:pPr>
              <w:spacing w:line="360" w:lineRule="auto"/>
              <w:ind w:right="26"/>
              <w:jc w:val="right"/>
              <w:rPr>
                <w:rFonts w:ascii="Arial" w:hAnsi="Arial" w:cs="Arial"/>
                <w:sz w:val="24"/>
                <w:szCs w:val="24"/>
                <w:lang w:val="en-US"/>
              </w:rPr>
            </w:pPr>
            <w:r w:rsidRPr="0065366F">
              <w:rPr>
                <w:rFonts w:ascii="Arial" w:hAnsi="Arial" w:cs="Arial"/>
              </w:rPr>
              <w:t>224.34</w:t>
            </w:r>
          </w:p>
        </w:tc>
      </w:tr>
      <w:tr w:rsidR="00F37F01" w:rsidRPr="0065366F" w14:paraId="6706F84D" w14:textId="77777777" w:rsidTr="00F21042">
        <w:trPr>
          <w:trHeight w:val="324"/>
        </w:trPr>
        <w:tc>
          <w:tcPr>
            <w:tcW w:w="4143" w:type="dxa"/>
            <w:vAlign w:val="center"/>
          </w:tcPr>
          <w:p w14:paraId="23FCCC9E" w14:textId="70E57524"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Current capital (</w:t>
            </w:r>
            <w:r w:rsidR="00FF15B4" w:rsidRPr="0065366F">
              <w:rPr>
                <w:rFonts w:ascii="Arial" w:hAnsi="Arial" w:cs="Arial"/>
              </w:rPr>
              <w:t xml:space="preserve">million </w:t>
            </w:r>
            <w:r w:rsidRPr="0065366F">
              <w:rPr>
                <w:rFonts w:ascii="Arial" w:hAnsi="Arial" w:cs="Arial"/>
              </w:rPr>
              <w:t>MMK)</w:t>
            </w:r>
          </w:p>
        </w:tc>
        <w:tc>
          <w:tcPr>
            <w:tcW w:w="1541" w:type="dxa"/>
            <w:vAlign w:val="center"/>
          </w:tcPr>
          <w:p w14:paraId="34429095" w14:textId="216ECD48"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114.01</w:t>
            </w:r>
          </w:p>
        </w:tc>
        <w:tc>
          <w:tcPr>
            <w:tcW w:w="1786" w:type="dxa"/>
            <w:vAlign w:val="center"/>
          </w:tcPr>
          <w:p w14:paraId="78B16D08" w14:textId="32C60445" w:rsidR="00C75E19" w:rsidRPr="0065366F" w:rsidRDefault="00C75E19" w:rsidP="00E50BA2">
            <w:pPr>
              <w:spacing w:line="360" w:lineRule="auto"/>
              <w:ind w:right="26"/>
              <w:jc w:val="right"/>
              <w:rPr>
                <w:rFonts w:ascii="Arial" w:hAnsi="Arial" w:cs="Arial"/>
                <w:sz w:val="24"/>
                <w:szCs w:val="24"/>
                <w:lang w:val="en-US"/>
              </w:rPr>
            </w:pPr>
            <w:r w:rsidRPr="0065366F">
              <w:rPr>
                <w:rFonts w:ascii="Arial" w:eastAsia="Calibri" w:hAnsi="Arial" w:cs="Arial"/>
                <w:kern w:val="2"/>
                <w14:ligatures w14:val="standardContextual"/>
              </w:rPr>
              <w:t>0-2000</w:t>
            </w:r>
          </w:p>
        </w:tc>
        <w:tc>
          <w:tcPr>
            <w:tcW w:w="1530" w:type="dxa"/>
            <w:vAlign w:val="center"/>
          </w:tcPr>
          <w:p w14:paraId="49B0C1FE" w14:textId="719E9EFC"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230.44</w:t>
            </w:r>
          </w:p>
        </w:tc>
      </w:tr>
      <w:tr w:rsidR="00F37F01" w:rsidRPr="0065366F" w14:paraId="7F0E048A" w14:textId="77777777" w:rsidTr="00F21042">
        <w:trPr>
          <w:trHeight w:val="270"/>
        </w:trPr>
        <w:tc>
          <w:tcPr>
            <w:tcW w:w="4143" w:type="dxa"/>
            <w:vAlign w:val="center"/>
          </w:tcPr>
          <w:p w14:paraId="6617A39E" w14:textId="53923178"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Fixed assets (</w:t>
            </w:r>
            <w:r w:rsidR="00FF15B4" w:rsidRPr="0065366F">
              <w:rPr>
                <w:rFonts w:ascii="Arial" w:hAnsi="Arial" w:cs="Arial"/>
              </w:rPr>
              <w:t xml:space="preserve">million </w:t>
            </w:r>
            <w:r w:rsidRPr="0065366F">
              <w:rPr>
                <w:rFonts w:ascii="Arial" w:hAnsi="Arial" w:cs="Arial"/>
              </w:rPr>
              <w:t xml:space="preserve">MMK) </w:t>
            </w:r>
          </w:p>
        </w:tc>
        <w:tc>
          <w:tcPr>
            <w:tcW w:w="1541" w:type="dxa"/>
            <w:vAlign w:val="center"/>
          </w:tcPr>
          <w:p w14:paraId="33ECCCC6" w14:textId="6D46142B"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103.83</w:t>
            </w:r>
          </w:p>
        </w:tc>
        <w:tc>
          <w:tcPr>
            <w:tcW w:w="1786" w:type="dxa"/>
            <w:vAlign w:val="center"/>
          </w:tcPr>
          <w:p w14:paraId="1E78A2BF" w14:textId="3480A1BE" w:rsidR="00C75E19" w:rsidRPr="0065366F" w:rsidRDefault="00C75E19" w:rsidP="00E50BA2">
            <w:pPr>
              <w:spacing w:line="360" w:lineRule="auto"/>
              <w:ind w:right="26"/>
              <w:jc w:val="right"/>
              <w:rPr>
                <w:rFonts w:ascii="Arial" w:hAnsi="Arial" w:cs="Arial"/>
                <w:sz w:val="24"/>
                <w:szCs w:val="24"/>
                <w:lang w:val="en-US"/>
              </w:rPr>
            </w:pPr>
            <w:r w:rsidRPr="0065366F">
              <w:rPr>
                <w:rFonts w:ascii="Arial" w:eastAsia="Calibri" w:hAnsi="Arial" w:cs="Arial"/>
                <w:kern w:val="2"/>
                <w14:ligatures w14:val="standardContextual"/>
              </w:rPr>
              <w:t>0-5000</w:t>
            </w:r>
          </w:p>
        </w:tc>
        <w:tc>
          <w:tcPr>
            <w:tcW w:w="1530" w:type="dxa"/>
            <w:vAlign w:val="center"/>
          </w:tcPr>
          <w:p w14:paraId="1508328F" w14:textId="45C9D40F"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429.332</w:t>
            </w:r>
          </w:p>
        </w:tc>
      </w:tr>
      <w:tr w:rsidR="00F37F01" w:rsidRPr="0065366F" w14:paraId="71B4E593" w14:textId="77777777" w:rsidTr="00F21042">
        <w:trPr>
          <w:trHeight w:val="333"/>
        </w:trPr>
        <w:tc>
          <w:tcPr>
            <w:tcW w:w="4143" w:type="dxa"/>
            <w:tcBorders>
              <w:bottom w:val="single" w:sz="4" w:space="0" w:color="auto"/>
            </w:tcBorders>
            <w:vAlign w:val="center"/>
          </w:tcPr>
          <w:p w14:paraId="69295F15" w14:textId="7FD85373" w:rsidR="00C75E19" w:rsidRPr="0065366F" w:rsidRDefault="00C75E19" w:rsidP="00E50BA2">
            <w:pPr>
              <w:spacing w:line="360" w:lineRule="auto"/>
              <w:ind w:right="26"/>
              <w:jc w:val="both"/>
              <w:rPr>
                <w:rFonts w:ascii="Arial" w:hAnsi="Arial" w:cs="Arial"/>
                <w:sz w:val="24"/>
                <w:szCs w:val="24"/>
                <w:lang w:val="en-US"/>
              </w:rPr>
            </w:pPr>
            <w:r w:rsidRPr="0065366F">
              <w:rPr>
                <w:rFonts w:ascii="Arial" w:hAnsi="Arial" w:cs="Arial"/>
              </w:rPr>
              <w:t>Distributed townships (No.)</w:t>
            </w:r>
          </w:p>
        </w:tc>
        <w:tc>
          <w:tcPr>
            <w:tcW w:w="1541" w:type="dxa"/>
            <w:tcBorders>
              <w:bottom w:val="single" w:sz="4" w:space="0" w:color="auto"/>
            </w:tcBorders>
            <w:vAlign w:val="center"/>
          </w:tcPr>
          <w:p w14:paraId="73319366" w14:textId="6AD91BB6"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6.03</w:t>
            </w:r>
          </w:p>
        </w:tc>
        <w:tc>
          <w:tcPr>
            <w:tcW w:w="1786" w:type="dxa"/>
            <w:tcBorders>
              <w:bottom w:val="single" w:sz="4" w:space="0" w:color="auto"/>
            </w:tcBorders>
            <w:vAlign w:val="center"/>
          </w:tcPr>
          <w:p w14:paraId="4FF0AA0A" w14:textId="26091446"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0-17</w:t>
            </w:r>
          </w:p>
        </w:tc>
        <w:tc>
          <w:tcPr>
            <w:tcW w:w="1530" w:type="dxa"/>
            <w:tcBorders>
              <w:bottom w:val="single" w:sz="4" w:space="0" w:color="auto"/>
            </w:tcBorders>
            <w:vAlign w:val="center"/>
          </w:tcPr>
          <w:p w14:paraId="5EB81062" w14:textId="455B7E59" w:rsidR="00C75E19" w:rsidRPr="0065366F" w:rsidRDefault="00C75E19" w:rsidP="00E50BA2">
            <w:pPr>
              <w:spacing w:line="360" w:lineRule="auto"/>
              <w:ind w:right="26"/>
              <w:jc w:val="right"/>
              <w:rPr>
                <w:rFonts w:ascii="Arial" w:hAnsi="Arial" w:cs="Arial"/>
                <w:sz w:val="24"/>
                <w:szCs w:val="24"/>
                <w:lang w:val="en-US"/>
              </w:rPr>
            </w:pPr>
            <w:r w:rsidRPr="0065366F">
              <w:rPr>
                <w:rFonts w:ascii="Arial" w:hAnsi="Arial" w:cs="Arial"/>
              </w:rPr>
              <w:t>4.42</w:t>
            </w:r>
          </w:p>
        </w:tc>
      </w:tr>
    </w:tbl>
    <w:p w14:paraId="36D6A4F1" w14:textId="24CCFEA8" w:rsidR="00997112" w:rsidRPr="0065366F" w:rsidRDefault="0065366F" w:rsidP="00E50BA2">
      <w:pPr>
        <w:spacing w:before="240" w:after="240" w:line="360" w:lineRule="auto"/>
        <w:ind w:right="26"/>
        <w:jc w:val="both"/>
        <w:rPr>
          <w:rFonts w:ascii="Arial" w:hAnsi="Arial" w:cs="Arial"/>
          <w:b/>
          <w:bCs/>
        </w:rPr>
      </w:pPr>
      <w:r>
        <w:rPr>
          <w:rFonts w:ascii="Arial" w:hAnsi="Arial" w:cs="Arial"/>
          <w:b/>
          <w:bCs/>
        </w:rPr>
        <w:t xml:space="preserve">3.2 </w:t>
      </w:r>
      <w:r w:rsidR="00997112" w:rsidRPr="0065366F">
        <w:rPr>
          <w:rFonts w:ascii="Arial" w:hAnsi="Arial" w:cs="Arial"/>
          <w:b/>
          <w:bCs/>
        </w:rPr>
        <w:t xml:space="preserve">Institutional characteristics of </w:t>
      </w:r>
      <w:r w:rsidR="00C5303F" w:rsidRPr="0065366F">
        <w:rPr>
          <w:rFonts w:ascii="Arial" w:hAnsi="Arial" w:cs="Arial"/>
          <w:b/>
          <w:bCs/>
        </w:rPr>
        <w:t>Food MSMEs</w:t>
      </w:r>
    </w:p>
    <w:p w14:paraId="7E041D04" w14:textId="77777777" w:rsidR="00345A77" w:rsidRPr="0065366F" w:rsidRDefault="00345A77" w:rsidP="00E50BA2">
      <w:pPr>
        <w:spacing w:line="360" w:lineRule="auto"/>
        <w:ind w:right="26" w:firstLine="720"/>
        <w:jc w:val="both"/>
        <w:rPr>
          <w:rFonts w:ascii="Arial" w:hAnsi="Arial" w:cs="Arial"/>
        </w:rPr>
      </w:pPr>
      <w:r w:rsidRPr="0065366F">
        <w:rPr>
          <w:rFonts w:ascii="Arial" w:hAnsi="Arial" w:cs="Arial"/>
        </w:rPr>
        <w:t xml:space="preserve">The institutional characteristics of Food MSMEs include various factors essential for firm development and decision-making, such as access to loans, membership in associations, availability of business information, and access to training. These characteristics are summarized in Table 2. Out of 158 respondents, 35.44% obtain loans and report challenges in the loan application process due to complex procedures, incomplete documentation, and strict banking requirements. The remaining 64.56% rely solely on personal capital, with some of them seeking loans but facing various barriers that prevent them from obtaining them. Furthermore, the lack of collateral or third-party guarantees further restricts their ability to secure financing. This finding aligns with prior research by Beck and </w:t>
      </w:r>
      <w:proofErr w:type="spellStart"/>
      <w:r w:rsidRPr="0065366F">
        <w:rPr>
          <w:rFonts w:ascii="Arial" w:hAnsi="Arial" w:cs="Arial"/>
        </w:rPr>
        <w:t>Demirgüç-Kunt</w:t>
      </w:r>
      <w:proofErr w:type="spellEnd"/>
      <w:r w:rsidRPr="0065366F">
        <w:rPr>
          <w:rFonts w:ascii="Arial" w:hAnsi="Arial" w:cs="Arial"/>
        </w:rPr>
        <w:t xml:space="preserve"> (2006), which identifies barriers like collateral requirements and lack of financial documentation as common constraints faced by small firms in developing economies.</w:t>
      </w:r>
    </w:p>
    <w:p w14:paraId="5DDCAEBD" w14:textId="2AB634AD" w:rsidR="00345A77" w:rsidRPr="0065366F" w:rsidRDefault="00345A77" w:rsidP="00E50BA2">
      <w:pPr>
        <w:spacing w:line="360" w:lineRule="auto"/>
        <w:ind w:right="26" w:firstLine="720"/>
        <w:jc w:val="both"/>
        <w:rPr>
          <w:rFonts w:ascii="Arial" w:hAnsi="Arial" w:cs="Arial"/>
        </w:rPr>
      </w:pPr>
      <w:r w:rsidRPr="0065366F">
        <w:rPr>
          <w:rFonts w:ascii="Arial" w:hAnsi="Arial" w:cs="Arial"/>
        </w:rPr>
        <w:t xml:space="preserve">Approximately 31.65% of the </w:t>
      </w:r>
      <w:proofErr w:type="gramStart"/>
      <w:r w:rsidRPr="0065366F">
        <w:rPr>
          <w:rFonts w:ascii="Arial" w:hAnsi="Arial" w:cs="Arial"/>
        </w:rPr>
        <w:t>respondents</w:t>
      </w:r>
      <w:proofErr w:type="gramEnd"/>
      <w:r w:rsidRPr="0065366F">
        <w:rPr>
          <w:rFonts w:ascii="Arial" w:hAnsi="Arial" w:cs="Arial"/>
        </w:rPr>
        <w:t xml:space="preserve"> report being members of associations such as business or MSME associations, indicating relatively low participation in networking and collective support mechanisms. Additionally, only </w:t>
      </w:r>
      <w:r w:rsidRPr="0065366F">
        <w:rPr>
          <w:rFonts w:ascii="Arial" w:hAnsi="Arial" w:cs="Arial"/>
        </w:rPr>
        <w:lastRenderedPageBreak/>
        <w:t>24.68% have access to business-related information such as market prices, loans, trade fairs, and training opportunities. A significant gap in skill development and productivity increase is evident from the fact that just 7.60% of respondents have received any form of business training. These findings are consistent with previous studies by the World Bank (2019) and the ILO (2015), which emphasize that lack of access to information and training constrains Food MSME competitiveness in developing economies.</w:t>
      </w:r>
    </w:p>
    <w:p w14:paraId="60A1D64B" w14:textId="262468FE" w:rsidR="00FC6EAB" w:rsidRPr="0065366F" w:rsidRDefault="00FC6EAB" w:rsidP="00E50BA2">
      <w:pPr>
        <w:spacing w:line="360" w:lineRule="auto"/>
        <w:ind w:right="26"/>
        <w:jc w:val="both"/>
        <w:rPr>
          <w:rFonts w:ascii="Arial" w:hAnsi="Arial" w:cs="Arial"/>
          <w:b/>
          <w:bCs/>
        </w:rPr>
      </w:pPr>
      <w:r w:rsidRPr="0065366F">
        <w:rPr>
          <w:rFonts w:ascii="Arial" w:hAnsi="Arial" w:cs="Arial"/>
          <w:b/>
          <w:bCs/>
        </w:rPr>
        <w:t xml:space="preserve">Table 2. Institutional </w:t>
      </w:r>
      <w:r w:rsidR="00BD3204" w:rsidRPr="0065366F">
        <w:rPr>
          <w:rFonts w:ascii="Arial" w:hAnsi="Arial" w:cs="Arial"/>
          <w:b/>
          <w:bCs/>
        </w:rPr>
        <w:t>c</w:t>
      </w:r>
      <w:r w:rsidRPr="0065366F">
        <w:rPr>
          <w:rFonts w:ascii="Arial" w:hAnsi="Arial" w:cs="Arial"/>
          <w:b/>
          <w:bCs/>
        </w:rPr>
        <w:t xml:space="preserve">haracteristics of </w:t>
      </w:r>
      <w:r w:rsidR="00C5303F" w:rsidRPr="0065366F">
        <w:rPr>
          <w:rFonts w:ascii="Arial" w:hAnsi="Arial" w:cs="Arial"/>
          <w:b/>
          <w:bCs/>
        </w:rPr>
        <w:t>Food MSMEs</w:t>
      </w:r>
    </w:p>
    <w:tbl>
      <w:tblPr>
        <w:tblW w:w="9033" w:type="dxa"/>
        <w:tblInd w:w="-108" w:type="dxa"/>
        <w:tblLook w:val="04A0" w:firstRow="1" w:lastRow="0" w:firstColumn="1" w:lastColumn="0" w:noHBand="0" w:noVBand="1"/>
      </w:tblPr>
      <w:tblGrid>
        <w:gridCol w:w="5018"/>
        <w:gridCol w:w="2077"/>
        <w:gridCol w:w="1938"/>
      </w:tblGrid>
      <w:tr w:rsidR="005D1634" w:rsidRPr="0065366F" w14:paraId="63BF5E22" w14:textId="77777777" w:rsidTr="00F7594F">
        <w:trPr>
          <w:trHeight w:val="355"/>
        </w:trPr>
        <w:tc>
          <w:tcPr>
            <w:tcW w:w="5018" w:type="dxa"/>
            <w:tcBorders>
              <w:top w:val="single" w:sz="4" w:space="0" w:color="auto"/>
            </w:tcBorders>
            <w:noWrap/>
            <w:vAlign w:val="center"/>
          </w:tcPr>
          <w:p w14:paraId="5DE5B628" w14:textId="00CA7F89" w:rsidR="00FC6EAB" w:rsidRPr="0065366F" w:rsidRDefault="00FC6EAB" w:rsidP="00E50BA2">
            <w:pPr>
              <w:spacing w:line="360" w:lineRule="auto"/>
              <w:ind w:right="26"/>
              <w:rPr>
                <w:rFonts w:ascii="Arial" w:hAnsi="Arial" w:cs="Arial"/>
                <w:lang w:val="en-US"/>
              </w:rPr>
            </w:pPr>
            <w:r w:rsidRPr="0065366F">
              <w:rPr>
                <w:rFonts w:ascii="Arial" w:hAnsi="Arial" w:cs="Arial"/>
                <w:lang w:val="en-US"/>
              </w:rPr>
              <w:t xml:space="preserve">Institutional </w:t>
            </w:r>
            <w:r w:rsidR="00BD3204" w:rsidRPr="0065366F">
              <w:rPr>
                <w:rFonts w:ascii="Arial" w:hAnsi="Arial" w:cs="Arial"/>
                <w:lang w:val="en-US"/>
              </w:rPr>
              <w:t>c</w:t>
            </w:r>
            <w:r w:rsidRPr="0065366F">
              <w:rPr>
                <w:rFonts w:ascii="Arial" w:hAnsi="Arial" w:cs="Arial"/>
                <w:lang w:val="en-US"/>
              </w:rPr>
              <w:t>haracteristics</w:t>
            </w:r>
          </w:p>
        </w:tc>
        <w:tc>
          <w:tcPr>
            <w:tcW w:w="2077" w:type="dxa"/>
            <w:tcBorders>
              <w:top w:val="single" w:sz="4" w:space="0" w:color="auto"/>
            </w:tcBorders>
            <w:noWrap/>
            <w:vAlign w:val="center"/>
          </w:tcPr>
          <w:p w14:paraId="5089F698"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Frequency</w:t>
            </w:r>
          </w:p>
        </w:tc>
        <w:tc>
          <w:tcPr>
            <w:tcW w:w="1938" w:type="dxa"/>
            <w:tcBorders>
              <w:top w:val="single" w:sz="4" w:space="0" w:color="auto"/>
            </w:tcBorders>
            <w:noWrap/>
            <w:vAlign w:val="center"/>
          </w:tcPr>
          <w:p w14:paraId="57C60BCB"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Percent</w:t>
            </w:r>
          </w:p>
        </w:tc>
      </w:tr>
      <w:tr w:rsidR="005D1634" w:rsidRPr="0065366F" w14:paraId="461287FC" w14:textId="77777777" w:rsidTr="00F7594F">
        <w:trPr>
          <w:trHeight w:val="355"/>
        </w:trPr>
        <w:tc>
          <w:tcPr>
            <w:tcW w:w="5018" w:type="dxa"/>
            <w:tcBorders>
              <w:top w:val="single" w:sz="4" w:space="0" w:color="auto"/>
            </w:tcBorders>
            <w:noWrap/>
            <w:vAlign w:val="center"/>
          </w:tcPr>
          <w:p w14:paraId="3F8B3410" w14:textId="738B56F9" w:rsidR="00FC6EAB" w:rsidRPr="0065366F" w:rsidRDefault="00FC6EAB" w:rsidP="00E50BA2">
            <w:pPr>
              <w:spacing w:line="360" w:lineRule="auto"/>
              <w:ind w:right="26"/>
              <w:rPr>
                <w:rFonts w:ascii="Arial" w:hAnsi="Arial" w:cs="Arial"/>
                <w:lang w:val="en-US"/>
              </w:rPr>
            </w:pPr>
            <w:r w:rsidRPr="0065366F">
              <w:rPr>
                <w:rFonts w:ascii="Arial" w:hAnsi="Arial" w:cs="Arial"/>
                <w:lang w:val="en-US"/>
              </w:rPr>
              <w:t xml:space="preserve">Loan </w:t>
            </w:r>
            <w:r w:rsidR="00BD3204" w:rsidRPr="0065366F">
              <w:rPr>
                <w:rFonts w:ascii="Arial" w:hAnsi="Arial" w:cs="Arial"/>
                <w:lang w:val="en-US"/>
              </w:rPr>
              <w:t>a</w:t>
            </w:r>
            <w:r w:rsidRPr="0065366F">
              <w:rPr>
                <w:rFonts w:ascii="Arial" w:hAnsi="Arial" w:cs="Arial"/>
                <w:lang w:val="en-US"/>
              </w:rPr>
              <w:t xml:space="preserve">ccess </w:t>
            </w:r>
          </w:p>
        </w:tc>
        <w:tc>
          <w:tcPr>
            <w:tcW w:w="2077" w:type="dxa"/>
            <w:tcBorders>
              <w:top w:val="single" w:sz="4" w:space="0" w:color="auto"/>
            </w:tcBorders>
            <w:noWrap/>
            <w:vAlign w:val="center"/>
          </w:tcPr>
          <w:p w14:paraId="5A59315D" w14:textId="77777777" w:rsidR="00FC6EAB" w:rsidRPr="0065366F" w:rsidRDefault="00FC6EAB" w:rsidP="00E50BA2">
            <w:pPr>
              <w:spacing w:line="360" w:lineRule="auto"/>
              <w:ind w:right="26"/>
              <w:jc w:val="right"/>
              <w:rPr>
                <w:rFonts w:ascii="Arial" w:hAnsi="Arial" w:cs="Arial"/>
              </w:rPr>
            </w:pPr>
          </w:p>
        </w:tc>
        <w:tc>
          <w:tcPr>
            <w:tcW w:w="1938" w:type="dxa"/>
            <w:tcBorders>
              <w:top w:val="single" w:sz="4" w:space="0" w:color="auto"/>
            </w:tcBorders>
            <w:noWrap/>
            <w:vAlign w:val="center"/>
          </w:tcPr>
          <w:p w14:paraId="2AC797AD" w14:textId="77777777" w:rsidR="00FC6EAB" w:rsidRPr="0065366F" w:rsidRDefault="00FC6EAB" w:rsidP="00E50BA2">
            <w:pPr>
              <w:spacing w:line="360" w:lineRule="auto"/>
              <w:ind w:right="26"/>
              <w:jc w:val="right"/>
              <w:rPr>
                <w:rFonts w:ascii="Arial" w:hAnsi="Arial" w:cs="Arial"/>
              </w:rPr>
            </w:pPr>
          </w:p>
        </w:tc>
      </w:tr>
      <w:tr w:rsidR="005D1634" w:rsidRPr="0065366F" w14:paraId="01178FE6" w14:textId="77777777" w:rsidTr="00F7594F">
        <w:trPr>
          <w:trHeight w:val="355"/>
        </w:trPr>
        <w:tc>
          <w:tcPr>
            <w:tcW w:w="5018" w:type="dxa"/>
            <w:noWrap/>
            <w:vAlign w:val="center"/>
          </w:tcPr>
          <w:p w14:paraId="4FF7BAF8" w14:textId="3628FB8F" w:rsidR="00FC6EAB" w:rsidRPr="0065366F" w:rsidRDefault="00FC6EAB" w:rsidP="00E50BA2">
            <w:pPr>
              <w:spacing w:line="360" w:lineRule="auto"/>
              <w:ind w:right="26"/>
              <w:rPr>
                <w:rFonts w:ascii="Arial" w:hAnsi="Arial" w:cs="Arial"/>
                <w:lang w:val="en-US"/>
              </w:rPr>
            </w:pPr>
            <w:r w:rsidRPr="0065366F">
              <w:rPr>
                <w:rFonts w:ascii="Arial" w:hAnsi="Arial" w:cs="Arial"/>
                <w:lang w:val="en-US"/>
              </w:rPr>
              <w:t>Access to loan</w:t>
            </w:r>
          </w:p>
        </w:tc>
        <w:tc>
          <w:tcPr>
            <w:tcW w:w="2077" w:type="dxa"/>
            <w:noWrap/>
            <w:vAlign w:val="center"/>
          </w:tcPr>
          <w:p w14:paraId="6DCC8F90"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 xml:space="preserve">56 </w:t>
            </w:r>
          </w:p>
        </w:tc>
        <w:tc>
          <w:tcPr>
            <w:tcW w:w="1938" w:type="dxa"/>
            <w:noWrap/>
            <w:vAlign w:val="center"/>
          </w:tcPr>
          <w:p w14:paraId="5BAC6E7D"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35.44</w:t>
            </w:r>
          </w:p>
        </w:tc>
      </w:tr>
      <w:tr w:rsidR="005D1634" w:rsidRPr="0065366F" w14:paraId="224572DB" w14:textId="77777777" w:rsidTr="00F7594F">
        <w:trPr>
          <w:trHeight w:val="355"/>
        </w:trPr>
        <w:tc>
          <w:tcPr>
            <w:tcW w:w="5018" w:type="dxa"/>
            <w:noWrap/>
            <w:vAlign w:val="center"/>
          </w:tcPr>
          <w:p w14:paraId="7FF81FE6" w14:textId="3463DABC" w:rsidR="00FC6EAB" w:rsidRPr="0065366F" w:rsidRDefault="00FC6EAB" w:rsidP="00E50BA2">
            <w:pPr>
              <w:spacing w:line="360" w:lineRule="auto"/>
              <w:ind w:right="26"/>
              <w:rPr>
                <w:rFonts w:ascii="Arial" w:hAnsi="Arial" w:cs="Arial"/>
                <w:lang w:val="en-US"/>
              </w:rPr>
            </w:pPr>
            <w:r w:rsidRPr="0065366F">
              <w:rPr>
                <w:rFonts w:ascii="Arial" w:hAnsi="Arial" w:cs="Arial"/>
                <w:lang w:val="en-US"/>
              </w:rPr>
              <w:t>No access to loan</w:t>
            </w:r>
          </w:p>
        </w:tc>
        <w:tc>
          <w:tcPr>
            <w:tcW w:w="2077" w:type="dxa"/>
            <w:noWrap/>
          </w:tcPr>
          <w:p w14:paraId="6CECC758"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 xml:space="preserve">102 </w:t>
            </w:r>
          </w:p>
        </w:tc>
        <w:tc>
          <w:tcPr>
            <w:tcW w:w="1938" w:type="dxa"/>
            <w:noWrap/>
          </w:tcPr>
          <w:p w14:paraId="52A86C09"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64.56</w:t>
            </w:r>
          </w:p>
        </w:tc>
      </w:tr>
      <w:tr w:rsidR="005D1634" w:rsidRPr="0065366F" w14:paraId="7D052463" w14:textId="77777777" w:rsidTr="00F7594F">
        <w:trPr>
          <w:trHeight w:val="355"/>
        </w:trPr>
        <w:tc>
          <w:tcPr>
            <w:tcW w:w="9033" w:type="dxa"/>
            <w:gridSpan w:val="3"/>
            <w:tcBorders>
              <w:top w:val="single" w:sz="4" w:space="0" w:color="auto"/>
            </w:tcBorders>
            <w:noWrap/>
            <w:vAlign w:val="center"/>
          </w:tcPr>
          <w:p w14:paraId="5D541060" w14:textId="19181B65" w:rsidR="00FC6EAB" w:rsidRPr="0065366F" w:rsidRDefault="00FC6EAB" w:rsidP="00E50BA2">
            <w:pPr>
              <w:spacing w:line="360" w:lineRule="auto"/>
              <w:ind w:right="26"/>
              <w:rPr>
                <w:rFonts w:ascii="Arial" w:hAnsi="Arial" w:cs="Arial"/>
              </w:rPr>
            </w:pPr>
            <w:r w:rsidRPr="0065366F">
              <w:rPr>
                <w:rFonts w:ascii="Arial" w:hAnsi="Arial" w:cs="Arial"/>
                <w:lang w:val="en-US"/>
              </w:rPr>
              <w:t xml:space="preserve">Membership in the </w:t>
            </w:r>
            <w:r w:rsidR="00BD3204" w:rsidRPr="0065366F">
              <w:rPr>
                <w:rFonts w:ascii="Arial" w:hAnsi="Arial" w:cs="Arial"/>
                <w:lang w:val="en-US"/>
              </w:rPr>
              <w:t>a</w:t>
            </w:r>
            <w:r w:rsidRPr="0065366F">
              <w:rPr>
                <w:rFonts w:ascii="Arial" w:hAnsi="Arial" w:cs="Arial"/>
                <w:lang w:val="en-US"/>
              </w:rPr>
              <w:t xml:space="preserve">ssociation </w:t>
            </w:r>
          </w:p>
        </w:tc>
      </w:tr>
      <w:tr w:rsidR="005D1634" w:rsidRPr="0065366F" w14:paraId="5F07FD7C" w14:textId="77777777" w:rsidTr="00F7594F">
        <w:trPr>
          <w:trHeight w:val="355"/>
        </w:trPr>
        <w:tc>
          <w:tcPr>
            <w:tcW w:w="5018" w:type="dxa"/>
            <w:tcBorders>
              <w:top w:val="nil"/>
            </w:tcBorders>
            <w:noWrap/>
            <w:vAlign w:val="center"/>
          </w:tcPr>
          <w:p w14:paraId="4951F149" w14:textId="77777777" w:rsidR="00FC6EAB" w:rsidRPr="0065366F" w:rsidRDefault="00FC6EAB" w:rsidP="00E50BA2">
            <w:pPr>
              <w:spacing w:line="360" w:lineRule="auto"/>
              <w:ind w:right="26"/>
              <w:rPr>
                <w:rFonts w:ascii="Arial" w:hAnsi="Arial" w:cs="Arial"/>
              </w:rPr>
            </w:pPr>
            <w:r w:rsidRPr="0065366F">
              <w:rPr>
                <w:rFonts w:ascii="Arial" w:hAnsi="Arial" w:cs="Arial"/>
              </w:rPr>
              <w:t>Membership</w:t>
            </w:r>
          </w:p>
        </w:tc>
        <w:tc>
          <w:tcPr>
            <w:tcW w:w="2077" w:type="dxa"/>
            <w:tcBorders>
              <w:top w:val="nil"/>
            </w:tcBorders>
            <w:noWrap/>
          </w:tcPr>
          <w:p w14:paraId="67A25928"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50</w:t>
            </w:r>
          </w:p>
        </w:tc>
        <w:tc>
          <w:tcPr>
            <w:tcW w:w="1938" w:type="dxa"/>
            <w:tcBorders>
              <w:top w:val="nil"/>
            </w:tcBorders>
            <w:noWrap/>
          </w:tcPr>
          <w:p w14:paraId="5A4332FD"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31.65</w:t>
            </w:r>
          </w:p>
        </w:tc>
      </w:tr>
      <w:tr w:rsidR="005D1634" w:rsidRPr="0065366F" w14:paraId="6E6653EF" w14:textId="77777777" w:rsidTr="00F7594F">
        <w:trPr>
          <w:trHeight w:val="355"/>
        </w:trPr>
        <w:tc>
          <w:tcPr>
            <w:tcW w:w="5018" w:type="dxa"/>
            <w:tcBorders>
              <w:top w:val="nil"/>
              <w:bottom w:val="single" w:sz="4" w:space="0" w:color="auto"/>
            </w:tcBorders>
            <w:noWrap/>
            <w:vAlign w:val="center"/>
          </w:tcPr>
          <w:p w14:paraId="50945543" w14:textId="77777777" w:rsidR="00FC6EAB" w:rsidRPr="0065366F" w:rsidRDefault="00FC6EAB" w:rsidP="00E50BA2">
            <w:pPr>
              <w:pStyle w:val="ListParagraph"/>
              <w:spacing w:after="0" w:line="360" w:lineRule="auto"/>
              <w:ind w:left="0" w:right="26"/>
              <w:rPr>
                <w:rFonts w:ascii="Arial" w:eastAsia="Times New Roman" w:hAnsi="Arial" w:cs="Arial"/>
                <w:sz w:val="24"/>
                <w:szCs w:val="24"/>
              </w:rPr>
            </w:pPr>
            <w:r w:rsidRPr="0065366F">
              <w:rPr>
                <w:rFonts w:ascii="Arial" w:hAnsi="Arial" w:cs="Arial"/>
                <w:sz w:val="24"/>
                <w:szCs w:val="24"/>
              </w:rPr>
              <w:t>Not membership</w:t>
            </w:r>
          </w:p>
        </w:tc>
        <w:tc>
          <w:tcPr>
            <w:tcW w:w="2077" w:type="dxa"/>
            <w:tcBorders>
              <w:top w:val="nil"/>
              <w:bottom w:val="single" w:sz="4" w:space="0" w:color="auto"/>
            </w:tcBorders>
            <w:noWrap/>
          </w:tcPr>
          <w:p w14:paraId="6597D5A9"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108</w:t>
            </w:r>
          </w:p>
        </w:tc>
        <w:tc>
          <w:tcPr>
            <w:tcW w:w="1938" w:type="dxa"/>
            <w:tcBorders>
              <w:top w:val="nil"/>
              <w:bottom w:val="single" w:sz="4" w:space="0" w:color="auto"/>
            </w:tcBorders>
            <w:noWrap/>
          </w:tcPr>
          <w:p w14:paraId="0CECAAEF"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68.35</w:t>
            </w:r>
          </w:p>
        </w:tc>
      </w:tr>
      <w:tr w:rsidR="005D1634" w:rsidRPr="0065366F" w14:paraId="4695CBB8" w14:textId="77777777" w:rsidTr="00F7594F">
        <w:trPr>
          <w:trHeight w:val="355"/>
        </w:trPr>
        <w:tc>
          <w:tcPr>
            <w:tcW w:w="5018" w:type="dxa"/>
            <w:tcBorders>
              <w:top w:val="single" w:sz="4" w:space="0" w:color="auto"/>
              <w:bottom w:val="nil"/>
            </w:tcBorders>
            <w:noWrap/>
            <w:vAlign w:val="center"/>
          </w:tcPr>
          <w:p w14:paraId="66AEF21B" w14:textId="3C43039C" w:rsidR="00FC6EAB" w:rsidRPr="0065366F" w:rsidRDefault="00FC6EAB" w:rsidP="00E50BA2">
            <w:pPr>
              <w:pStyle w:val="ListParagraph"/>
              <w:spacing w:after="0" w:line="360" w:lineRule="auto"/>
              <w:ind w:left="0" w:right="26"/>
              <w:rPr>
                <w:rFonts w:ascii="Arial" w:eastAsia="Times New Roman" w:hAnsi="Arial" w:cs="Arial"/>
                <w:sz w:val="24"/>
                <w:szCs w:val="24"/>
              </w:rPr>
            </w:pPr>
            <w:r w:rsidRPr="0065366F">
              <w:rPr>
                <w:rFonts w:ascii="Arial" w:hAnsi="Arial" w:cs="Arial"/>
                <w:sz w:val="24"/>
                <w:szCs w:val="24"/>
                <w:lang w:val="en-US"/>
              </w:rPr>
              <w:t xml:space="preserve">Business </w:t>
            </w:r>
            <w:r w:rsidR="00BD3204" w:rsidRPr="0065366F">
              <w:rPr>
                <w:rFonts w:ascii="Arial" w:hAnsi="Arial" w:cs="Arial"/>
                <w:sz w:val="24"/>
                <w:szCs w:val="24"/>
                <w:lang w:val="en-US"/>
              </w:rPr>
              <w:t>i</w:t>
            </w:r>
            <w:r w:rsidRPr="0065366F">
              <w:rPr>
                <w:rFonts w:ascii="Arial" w:hAnsi="Arial" w:cs="Arial"/>
                <w:sz w:val="24"/>
                <w:szCs w:val="24"/>
                <w:lang w:val="en-US"/>
              </w:rPr>
              <w:t xml:space="preserve">nformation </w:t>
            </w:r>
            <w:r w:rsidR="00BD3204" w:rsidRPr="0065366F">
              <w:rPr>
                <w:rFonts w:ascii="Arial" w:hAnsi="Arial" w:cs="Arial"/>
                <w:sz w:val="24"/>
                <w:szCs w:val="24"/>
                <w:lang w:val="en-US"/>
              </w:rPr>
              <w:t>r</w:t>
            </w:r>
            <w:r w:rsidRPr="0065366F">
              <w:rPr>
                <w:rFonts w:ascii="Arial" w:hAnsi="Arial" w:cs="Arial"/>
                <w:sz w:val="24"/>
                <w:szCs w:val="24"/>
                <w:lang w:val="en-US"/>
              </w:rPr>
              <w:t xml:space="preserve">eceived </w:t>
            </w:r>
          </w:p>
        </w:tc>
        <w:tc>
          <w:tcPr>
            <w:tcW w:w="2077" w:type="dxa"/>
            <w:tcBorders>
              <w:top w:val="single" w:sz="4" w:space="0" w:color="auto"/>
              <w:bottom w:val="nil"/>
            </w:tcBorders>
            <w:noWrap/>
          </w:tcPr>
          <w:p w14:paraId="608AE06E" w14:textId="77777777" w:rsidR="00FC6EAB" w:rsidRPr="0065366F" w:rsidRDefault="00FC6EAB" w:rsidP="00E50BA2">
            <w:pPr>
              <w:spacing w:line="360" w:lineRule="auto"/>
              <w:ind w:right="26"/>
              <w:jc w:val="right"/>
              <w:rPr>
                <w:rFonts w:ascii="Arial" w:hAnsi="Arial" w:cs="Arial"/>
              </w:rPr>
            </w:pPr>
          </w:p>
        </w:tc>
        <w:tc>
          <w:tcPr>
            <w:tcW w:w="1938" w:type="dxa"/>
            <w:tcBorders>
              <w:top w:val="single" w:sz="4" w:space="0" w:color="auto"/>
              <w:bottom w:val="nil"/>
            </w:tcBorders>
            <w:noWrap/>
          </w:tcPr>
          <w:p w14:paraId="4AD0C802" w14:textId="77777777" w:rsidR="00FC6EAB" w:rsidRPr="0065366F" w:rsidRDefault="00FC6EAB" w:rsidP="00E50BA2">
            <w:pPr>
              <w:spacing w:line="360" w:lineRule="auto"/>
              <w:ind w:right="26"/>
              <w:jc w:val="right"/>
              <w:rPr>
                <w:rFonts w:ascii="Arial" w:hAnsi="Arial" w:cs="Arial"/>
              </w:rPr>
            </w:pPr>
          </w:p>
        </w:tc>
      </w:tr>
      <w:tr w:rsidR="005D1634" w:rsidRPr="0065366F" w14:paraId="3D813200" w14:textId="77777777" w:rsidTr="00F7594F">
        <w:trPr>
          <w:trHeight w:val="355"/>
        </w:trPr>
        <w:tc>
          <w:tcPr>
            <w:tcW w:w="5018" w:type="dxa"/>
            <w:tcBorders>
              <w:top w:val="nil"/>
              <w:bottom w:val="nil"/>
            </w:tcBorders>
            <w:noWrap/>
            <w:vAlign w:val="center"/>
          </w:tcPr>
          <w:p w14:paraId="7BB52742" w14:textId="77777777" w:rsidR="00FC6EAB" w:rsidRPr="0065366F" w:rsidRDefault="00FC6EAB" w:rsidP="00E50BA2">
            <w:pPr>
              <w:spacing w:line="360" w:lineRule="auto"/>
              <w:ind w:right="26"/>
              <w:rPr>
                <w:rFonts w:ascii="Arial" w:hAnsi="Arial" w:cs="Arial"/>
              </w:rPr>
            </w:pPr>
            <w:r w:rsidRPr="0065366F">
              <w:rPr>
                <w:rFonts w:ascii="Arial" w:hAnsi="Arial" w:cs="Arial"/>
              </w:rPr>
              <w:t>Received business information</w:t>
            </w:r>
          </w:p>
        </w:tc>
        <w:tc>
          <w:tcPr>
            <w:tcW w:w="2077" w:type="dxa"/>
            <w:tcBorders>
              <w:top w:val="nil"/>
              <w:bottom w:val="nil"/>
            </w:tcBorders>
            <w:noWrap/>
          </w:tcPr>
          <w:p w14:paraId="6FB011E0"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39</w:t>
            </w:r>
          </w:p>
        </w:tc>
        <w:tc>
          <w:tcPr>
            <w:tcW w:w="1938" w:type="dxa"/>
            <w:tcBorders>
              <w:top w:val="nil"/>
              <w:bottom w:val="nil"/>
            </w:tcBorders>
            <w:noWrap/>
          </w:tcPr>
          <w:p w14:paraId="50AAA4CD"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24.68</w:t>
            </w:r>
          </w:p>
        </w:tc>
      </w:tr>
      <w:tr w:rsidR="005D1634" w:rsidRPr="0065366F" w14:paraId="49320393" w14:textId="77777777" w:rsidTr="00F7594F">
        <w:trPr>
          <w:trHeight w:val="355"/>
        </w:trPr>
        <w:tc>
          <w:tcPr>
            <w:tcW w:w="5018" w:type="dxa"/>
            <w:tcBorders>
              <w:top w:val="nil"/>
              <w:bottom w:val="single" w:sz="4" w:space="0" w:color="auto"/>
            </w:tcBorders>
            <w:noWrap/>
            <w:vAlign w:val="center"/>
          </w:tcPr>
          <w:p w14:paraId="20680890" w14:textId="77777777" w:rsidR="00FC6EAB" w:rsidRPr="0065366F" w:rsidRDefault="00FC6EAB" w:rsidP="00E50BA2">
            <w:pPr>
              <w:spacing w:line="360" w:lineRule="auto"/>
              <w:ind w:right="26"/>
              <w:rPr>
                <w:rFonts w:ascii="Arial" w:hAnsi="Arial" w:cs="Arial"/>
              </w:rPr>
            </w:pPr>
            <w:r w:rsidRPr="0065366F">
              <w:rPr>
                <w:rFonts w:ascii="Arial" w:hAnsi="Arial" w:cs="Arial"/>
              </w:rPr>
              <w:t>Not received</w:t>
            </w:r>
          </w:p>
        </w:tc>
        <w:tc>
          <w:tcPr>
            <w:tcW w:w="2077" w:type="dxa"/>
            <w:tcBorders>
              <w:top w:val="nil"/>
              <w:bottom w:val="single" w:sz="4" w:space="0" w:color="auto"/>
            </w:tcBorders>
            <w:noWrap/>
          </w:tcPr>
          <w:p w14:paraId="521D38A1"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 xml:space="preserve">119 </w:t>
            </w:r>
          </w:p>
        </w:tc>
        <w:tc>
          <w:tcPr>
            <w:tcW w:w="1938" w:type="dxa"/>
            <w:tcBorders>
              <w:top w:val="nil"/>
              <w:bottom w:val="single" w:sz="4" w:space="0" w:color="auto"/>
            </w:tcBorders>
            <w:noWrap/>
          </w:tcPr>
          <w:p w14:paraId="46125ACB"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75.32</w:t>
            </w:r>
          </w:p>
        </w:tc>
      </w:tr>
      <w:tr w:rsidR="005D1634" w:rsidRPr="0065366F" w14:paraId="6F036532" w14:textId="77777777" w:rsidTr="00F7594F">
        <w:trPr>
          <w:trHeight w:val="355"/>
        </w:trPr>
        <w:tc>
          <w:tcPr>
            <w:tcW w:w="5018" w:type="dxa"/>
            <w:tcBorders>
              <w:top w:val="single" w:sz="4" w:space="0" w:color="auto"/>
              <w:bottom w:val="nil"/>
            </w:tcBorders>
            <w:noWrap/>
            <w:vAlign w:val="center"/>
          </w:tcPr>
          <w:p w14:paraId="1EBFF279" w14:textId="71EE5687" w:rsidR="00FC6EAB" w:rsidRPr="0065366F" w:rsidRDefault="00FC6EAB" w:rsidP="00E50BA2">
            <w:pPr>
              <w:pStyle w:val="ListParagraph"/>
              <w:spacing w:after="0" w:line="360" w:lineRule="auto"/>
              <w:ind w:left="0" w:right="26"/>
              <w:rPr>
                <w:rFonts w:ascii="Arial" w:eastAsia="Times New Roman" w:hAnsi="Arial" w:cs="Arial"/>
                <w:sz w:val="24"/>
                <w:szCs w:val="24"/>
              </w:rPr>
            </w:pPr>
            <w:r w:rsidRPr="0065366F">
              <w:rPr>
                <w:rFonts w:ascii="Arial" w:hAnsi="Arial" w:cs="Arial"/>
                <w:sz w:val="24"/>
                <w:szCs w:val="24"/>
                <w:lang w:val="en-US"/>
              </w:rPr>
              <w:t xml:space="preserve">Training </w:t>
            </w:r>
            <w:r w:rsidR="00BD3204" w:rsidRPr="0065366F">
              <w:rPr>
                <w:rFonts w:ascii="Arial" w:hAnsi="Arial" w:cs="Arial"/>
                <w:sz w:val="24"/>
                <w:szCs w:val="24"/>
                <w:lang w:val="en-US"/>
              </w:rPr>
              <w:t>r</w:t>
            </w:r>
            <w:r w:rsidRPr="0065366F">
              <w:rPr>
                <w:rFonts w:ascii="Arial" w:hAnsi="Arial" w:cs="Arial"/>
                <w:sz w:val="24"/>
                <w:szCs w:val="24"/>
                <w:lang w:val="en-US"/>
              </w:rPr>
              <w:t xml:space="preserve">eceived </w:t>
            </w:r>
          </w:p>
        </w:tc>
        <w:tc>
          <w:tcPr>
            <w:tcW w:w="2077" w:type="dxa"/>
            <w:tcBorders>
              <w:top w:val="single" w:sz="4" w:space="0" w:color="auto"/>
              <w:bottom w:val="nil"/>
            </w:tcBorders>
            <w:noWrap/>
          </w:tcPr>
          <w:p w14:paraId="44C5DE27" w14:textId="77777777" w:rsidR="00FC6EAB" w:rsidRPr="0065366F" w:rsidRDefault="00FC6EAB" w:rsidP="00E50BA2">
            <w:pPr>
              <w:spacing w:line="360" w:lineRule="auto"/>
              <w:ind w:right="26"/>
              <w:jc w:val="right"/>
              <w:rPr>
                <w:rFonts w:ascii="Arial" w:hAnsi="Arial" w:cs="Arial"/>
              </w:rPr>
            </w:pPr>
          </w:p>
        </w:tc>
        <w:tc>
          <w:tcPr>
            <w:tcW w:w="1938" w:type="dxa"/>
            <w:tcBorders>
              <w:top w:val="single" w:sz="4" w:space="0" w:color="auto"/>
              <w:bottom w:val="nil"/>
            </w:tcBorders>
            <w:noWrap/>
          </w:tcPr>
          <w:p w14:paraId="75E861F8" w14:textId="77777777" w:rsidR="00FC6EAB" w:rsidRPr="0065366F" w:rsidRDefault="00FC6EAB" w:rsidP="00E50BA2">
            <w:pPr>
              <w:spacing w:line="360" w:lineRule="auto"/>
              <w:ind w:right="26"/>
              <w:jc w:val="right"/>
              <w:rPr>
                <w:rFonts w:ascii="Arial" w:hAnsi="Arial" w:cs="Arial"/>
              </w:rPr>
            </w:pPr>
          </w:p>
        </w:tc>
      </w:tr>
      <w:tr w:rsidR="005D1634" w:rsidRPr="0065366F" w14:paraId="08294362" w14:textId="77777777" w:rsidTr="00F7594F">
        <w:trPr>
          <w:trHeight w:val="355"/>
        </w:trPr>
        <w:tc>
          <w:tcPr>
            <w:tcW w:w="5018" w:type="dxa"/>
            <w:tcBorders>
              <w:top w:val="nil"/>
              <w:bottom w:val="nil"/>
            </w:tcBorders>
            <w:noWrap/>
            <w:vAlign w:val="center"/>
          </w:tcPr>
          <w:p w14:paraId="704E23FA" w14:textId="77777777" w:rsidR="00FC6EAB" w:rsidRPr="0065366F" w:rsidRDefault="00FC6EAB" w:rsidP="00E50BA2">
            <w:pPr>
              <w:spacing w:line="360" w:lineRule="auto"/>
              <w:ind w:right="26"/>
              <w:rPr>
                <w:rFonts w:ascii="Arial" w:hAnsi="Arial" w:cs="Arial"/>
              </w:rPr>
            </w:pPr>
            <w:r w:rsidRPr="0065366F">
              <w:rPr>
                <w:rFonts w:ascii="Arial" w:hAnsi="Arial" w:cs="Arial"/>
              </w:rPr>
              <w:t>Access to training</w:t>
            </w:r>
          </w:p>
        </w:tc>
        <w:tc>
          <w:tcPr>
            <w:tcW w:w="2077" w:type="dxa"/>
            <w:tcBorders>
              <w:top w:val="nil"/>
              <w:bottom w:val="nil"/>
            </w:tcBorders>
            <w:noWrap/>
          </w:tcPr>
          <w:p w14:paraId="00C70E8F"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12</w:t>
            </w:r>
          </w:p>
        </w:tc>
        <w:tc>
          <w:tcPr>
            <w:tcW w:w="1938" w:type="dxa"/>
            <w:tcBorders>
              <w:top w:val="nil"/>
              <w:bottom w:val="nil"/>
            </w:tcBorders>
            <w:noWrap/>
          </w:tcPr>
          <w:p w14:paraId="6F86243E"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7.60</w:t>
            </w:r>
          </w:p>
        </w:tc>
      </w:tr>
      <w:tr w:rsidR="005D1634" w:rsidRPr="0065366F" w14:paraId="1C0CA818" w14:textId="77777777" w:rsidTr="00F7594F">
        <w:trPr>
          <w:trHeight w:val="355"/>
        </w:trPr>
        <w:tc>
          <w:tcPr>
            <w:tcW w:w="5018" w:type="dxa"/>
            <w:tcBorders>
              <w:top w:val="nil"/>
              <w:bottom w:val="single" w:sz="4" w:space="0" w:color="auto"/>
            </w:tcBorders>
            <w:noWrap/>
            <w:vAlign w:val="center"/>
          </w:tcPr>
          <w:p w14:paraId="320AB1FC" w14:textId="77777777" w:rsidR="00FC6EAB" w:rsidRPr="0065366F" w:rsidRDefault="00FC6EAB" w:rsidP="00E50BA2">
            <w:pPr>
              <w:spacing w:line="360" w:lineRule="auto"/>
              <w:ind w:right="26"/>
              <w:rPr>
                <w:rFonts w:ascii="Arial" w:hAnsi="Arial" w:cs="Arial"/>
              </w:rPr>
            </w:pPr>
            <w:r w:rsidRPr="0065366F">
              <w:rPr>
                <w:rFonts w:ascii="Arial" w:hAnsi="Arial" w:cs="Arial"/>
              </w:rPr>
              <w:t>No access to training</w:t>
            </w:r>
          </w:p>
        </w:tc>
        <w:tc>
          <w:tcPr>
            <w:tcW w:w="2077" w:type="dxa"/>
            <w:tcBorders>
              <w:top w:val="nil"/>
              <w:bottom w:val="single" w:sz="4" w:space="0" w:color="auto"/>
            </w:tcBorders>
            <w:noWrap/>
          </w:tcPr>
          <w:p w14:paraId="5F5AF0E7"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146</w:t>
            </w:r>
          </w:p>
        </w:tc>
        <w:tc>
          <w:tcPr>
            <w:tcW w:w="1938" w:type="dxa"/>
            <w:tcBorders>
              <w:top w:val="nil"/>
              <w:bottom w:val="single" w:sz="4" w:space="0" w:color="auto"/>
            </w:tcBorders>
            <w:noWrap/>
          </w:tcPr>
          <w:p w14:paraId="3ED8BE63" w14:textId="77777777" w:rsidR="00FC6EAB" w:rsidRPr="0065366F" w:rsidRDefault="00FC6EAB" w:rsidP="00E50BA2">
            <w:pPr>
              <w:spacing w:line="360" w:lineRule="auto"/>
              <w:ind w:right="26"/>
              <w:jc w:val="right"/>
              <w:rPr>
                <w:rFonts w:ascii="Arial" w:hAnsi="Arial" w:cs="Arial"/>
              </w:rPr>
            </w:pPr>
            <w:r w:rsidRPr="0065366F">
              <w:rPr>
                <w:rFonts w:ascii="Arial" w:hAnsi="Arial" w:cs="Arial"/>
              </w:rPr>
              <w:t>92.40</w:t>
            </w:r>
          </w:p>
        </w:tc>
      </w:tr>
    </w:tbl>
    <w:bookmarkEnd w:id="4"/>
    <w:p w14:paraId="0EA8262C" w14:textId="65B17913" w:rsidR="00345A77" w:rsidRPr="0065366F" w:rsidRDefault="00345A77" w:rsidP="00E50BA2">
      <w:pPr>
        <w:spacing w:before="240" w:line="360" w:lineRule="auto"/>
        <w:ind w:right="26" w:firstLine="720"/>
        <w:jc w:val="both"/>
        <w:rPr>
          <w:rFonts w:ascii="Arial" w:hAnsi="Arial" w:cs="Arial"/>
          <w:lang w:val="en-US"/>
        </w:rPr>
      </w:pPr>
      <w:r w:rsidRPr="0065366F">
        <w:rPr>
          <w:rFonts w:ascii="Arial" w:hAnsi="Arial" w:cs="Arial"/>
          <w:lang w:val="en-US"/>
        </w:rPr>
        <w:t xml:space="preserve">Overall, the institutional environment of Food MSMEs in Nay </w:t>
      </w:r>
      <w:proofErr w:type="spellStart"/>
      <w:r w:rsidRPr="0065366F">
        <w:rPr>
          <w:rFonts w:ascii="Arial" w:hAnsi="Arial" w:cs="Arial"/>
          <w:lang w:val="en-US"/>
        </w:rPr>
        <w:t>Pyi</w:t>
      </w:r>
      <w:proofErr w:type="spellEnd"/>
      <w:r w:rsidRPr="0065366F">
        <w:rPr>
          <w:rFonts w:ascii="Arial" w:hAnsi="Arial" w:cs="Arial"/>
          <w:lang w:val="en-US"/>
        </w:rPr>
        <w:t xml:space="preserve"> Taw appears to be underdeveloped. A significant proportion of enterprises </w:t>
      </w:r>
      <w:r w:rsidR="00FB4331" w:rsidRPr="0065366F">
        <w:rPr>
          <w:rFonts w:ascii="Arial" w:hAnsi="Arial" w:cs="Arial"/>
        </w:rPr>
        <w:t>have limited access to</w:t>
      </w:r>
      <w:r w:rsidRPr="0065366F">
        <w:rPr>
          <w:rFonts w:ascii="Arial" w:hAnsi="Arial" w:cs="Arial"/>
          <w:lang w:val="en-US"/>
        </w:rPr>
        <w:t xml:space="preserve"> loans, are not integrated into business networks, and remain disconnected from vital information and training resources. These deficiencies limit growth potential, reduce competitiveness, and increase vulnerability to economic shocks. Policymakers and development organizations should prioritize strengthening the MSME support ecosystem through inclusive financing mechanisms, promotion of associations, improved dissemination of market information, and accessible, practical training programs tailored to the needs of Food MSME operators in the food sector.</w:t>
      </w:r>
    </w:p>
    <w:p w14:paraId="63CD2F7D" w14:textId="1BDCBBC4" w:rsidR="00345A77" w:rsidRPr="0065366F" w:rsidRDefault="00B22783" w:rsidP="00E50BA2">
      <w:pPr>
        <w:spacing w:after="240" w:line="360" w:lineRule="auto"/>
        <w:ind w:right="26" w:firstLine="720"/>
        <w:jc w:val="both"/>
        <w:rPr>
          <w:rFonts w:ascii="Arial" w:hAnsi="Arial" w:cs="Arial"/>
          <w:lang w:val="en-US"/>
        </w:rPr>
      </w:pPr>
      <w:r w:rsidRPr="0065366F">
        <w:rPr>
          <w:rFonts w:ascii="Arial" w:hAnsi="Arial" w:cs="Arial"/>
          <w:lang w:val="en-US"/>
        </w:rPr>
        <w:t>After</w:t>
      </w:r>
      <w:r w:rsidR="00345A77" w:rsidRPr="0065366F">
        <w:rPr>
          <w:rFonts w:ascii="Arial" w:hAnsi="Arial" w:cs="Arial"/>
          <w:lang w:val="en-US"/>
        </w:rPr>
        <w:t xml:space="preserve"> data transformation, the descriptive statistics presented in Table 3 exhibited a more normally distributed pattern that was conducive to regression </w:t>
      </w:r>
      <w:r w:rsidR="00345A77" w:rsidRPr="0065366F">
        <w:rPr>
          <w:rFonts w:ascii="Arial" w:hAnsi="Arial" w:cs="Arial"/>
          <w:lang w:val="en-US"/>
        </w:rPr>
        <w:lastRenderedPageBreak/>
        <w:t>analysis. A log transformation was applied to essential continuous variables, including average monthly sales revenue, firm size, firm age, current capital, and fixed assets.</w:t>
      </w:r>
    </w:p>
    <w:p w14:paraId="219C05FB" w14:textId="66F1D383" w:rsidR="000F740E" w:rsidRPr="0065366F" w:rsidRDefault="0065366F" w:rsidP="00E50BA2">
      <w:pPr>
        <w:spacing w:after="240" w:line="360" w:lineRule="auto"/>
        <w:ind w:right="26"/>
        <w:jc w:val="both"/>
        <w:rPr>
          <w:rFonts w:ascii="Arial" w:hAnsi="Arial" w:cs="Arial"/>
          <w:b/>
          <w:bCs/>
          <w:lang w:val="en-US"/>
        </w:rPr>
      </w:pPr>
      <w:r>
        <w:rPr>
          <w:rFonts w:ascii="Arial" w:hAnsi="Arial" w:cs="Arial"/>
          <w:b/>
          <w:bCs/>
          <w:lang w:val="en-US"/>
        </w:rPr>
        <w:t xml:space="preserve">3.3 </w:t>
      </w:r>
      <w:r w:rsidR="000F740E" w:rsidRPr="0065366F">
        <w:rPr>
          <w:rFonts w:ascii="Arial" w:hAnsi="Arial" w:cs="Arial"/>
          <w:b/>
          <w:bCs/>
          <w:lang w:val="en-US"/>
        </w:rPr>
        <w:t xml:space="preserve">Factors influencing the performance of </w:t>
      </w:r>
      <w:r w:rsidR="00FB4331" w:rsidRPr="0065366F">
        <w:rPr>
          <w:rFonts w:ascii="Arial" w:hAnsi="Arial" w:cs="Arial"/>
          <w:b/>
          <w:bCs/>
          <w:lang w:val="en-US"/>
        </w:rPr>
        <w:t xml:space="preserve">the </w:t>
      </w:r>
      <w:r w:rsidR="000F740E" w:rsidRPr="0065366F">
        <w:rPr>
          <w:rFonts w:ascii="Arial" w:hAnsi="Arial" w:cs="Arial"/>
          <w:b/>
          <w:bCs/>
          <w:lang w:val="en-US"/>
        </w:rPr>
        <w:t xml:space="preserve">sample </w:t>
      </w:r>
      <w:r w:rsidR="00C5303F" w:rsidRPr="0065366F">
        <w:rPr>
          <w:rFonts w:ascii="Arial" w:hAnsi="Arial" w:cs="Arial"/>
          <w:b/>
          <w:bCs/>
          <w:lang w:val="en-US"/>
        </w:rPr>
        <w:t>Food MSMEs</w:t>
      </w:r>
    </w:p>
    <w:p w14:paraId="66BC5C96"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The multiple linear regression analysis presented in Table 3 is conducted to identify the factors influencing sales revenue among Food MSMEs in the study area. The model is statistically significant, F (12,145) = 30.94, p &lt; .001, with an R² value of 0.723, indicating that approximately 72.30% of the variance in sales revenue can be explained by the set of independent variables included in the model. The adjusted R² value of 0.696 suggests a good fit for the model.</w:t>
      </w:r>
    </w:p>
    <w:p w14:paraId="6338C1E7"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Among the twelve predictors, eight variables show a positive or negative statistically significant impact on sales revenue, namely the age and education of the owners and managers, kind of MSME, firm size, firm age, current capital, fixed assets, and distribution coverage townships.</w:t>
      </w:r>
    </w:p>
    <w:p w14:paraId="1373ABD7"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Current capital is the most influential predictor, suggesting that Food MSMEs with higher levels of working capital tend to generate significantly more revenue. A 1% increase in current capital leads to a 0.40% rise in sales revenue, emphasizing the role of working capital in business success. This aligns with existing literature that highlights capital as a critical resource for business expansion and operations (Yusuf, 2003; Beck et al., 2005). Moreover, the positive coefficient associated with current assets underscores the importance of readily available resources in driving MSME performance. This finding is consistent with the resource-based view of the firm, which posits that access to and efficient utilization of valuable resources, such as liquid assets, can confer a competitive advantage and contribute to superior financial outcomes (Barney, 1991).</w:t>
      </w:r>
    </w:p>
    <w:p w14:paraId="57940051"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Fixed assets are significantly associated with increased revenue. This indicates that asset-intensive firms, such as those with more equipment or infrastructure, are more likely to experience higher sales. A 1% increase in fixed asset value results in a 0.09% increase in revenue, highlighting the productivity-enhancing role of long-term investments.</w:t>
      </w:r>
    </w:p>
    <w:p w14:paraId="63DCF984"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 xml:space="preserve">Firm size, measured by the number of employees, also positively influences sales revenue, implying that larger firms may benefit from economies of scale, labor specialization, or broader operational capacity. A 1% increase in the number of </w:t>
      </w:r>
      <w:r w:rsidRPr="0065366F">
        <w:rPr>
          <w:rFonts w:ascii="Arial" w:hAnsi="Arial" w:cs="Arial"/>
          <w:lang w:val="en-US"/>
        </w:rPr>
        <w:lastRenderedPageBreak/>
        <w:t>employees is associated with a 0.54% increase in sales revenue. This demonstrates strong elasticity of firm size, consistent with the economies of scale theory (Beck et al., 2005).</w:t>
      </w:r>
    </w:p>
    <w:p w14:paraId="2F5D31D8"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The number of distributed townships, a proxy for market reach, shows a significant effect on revenue, supporting the notion that wider geographic distribution improves sales through increased market access and brand recognition. Each additional township served correlates with a 6% revenue increase, emphasizing the importance of market outreach.</w:t>
      </w:r>
    </w:p>
    <w:p w14:paraId="254DECBC"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Firm age also contributes positively and significantly to revenue performance, implying that older firms benefit from accumulated experience, customer loyalty, and organizational stability. Older firms are associated with a 0.27% increase in sales revenue for every 1% increase in firm age. This finding is consistent with prior research by Ayyagari et al. (2007), who also identify a positive relationship between firm age and performance.</w:t>
      </w:r>
    </w:p>
    <w:p w14:paraId="397FA3CA" w14:textId="77777777" w:rsidR="001D3B08" w:rsidRPr="0065366F" w:rsidRDefault="001D3B08" w:rsidP="00E50BA2">
      <w:pPr>
        <w:spacing w:line="360" w:lineRule="auto"/>
        <w:ind w:right="26" w:firstLine="720"/>
        <w:jc w:val="both"/>
        <w:rPr>
          <w:rFonts w:ascii="Arial" w:hAnsi="Arial" w:cs="Arial"/>
          <w:lang w:val="en-US"/>
        </w:rPr>
      </w:pPr>
      <w:r w:rsidRPr="0065366F">
        <w:rPr>
          <w:rFonts w:ascii="Arial" w:hAnsi="Arial" w:cs="Arial"/>
          <w:lang w:val="en-US"/>
        </w:rPr>
        <w:t>Additionally, the kind of MSME (micro, small, and medium) is significant at the 5% level, indicating that sales revenue levels vary across Food MSME categories. Compared to micro enterprises, small and medium enterprises generate approximately 35.4% more revenue, likely due to operational capacity and access to markets.</w:t>
      </w:r>
    </w:p>
    <w:p w14:paraId="70BB5EC3" w14:textId="77777777" w:rsidR="001D3B08" w:rsidRDefault="001D3B08" w:rsidP="00E50BA2">
      <w:pPr>
        <w:spacing w:line="360" w:lineRule="auto"/>
        <w:ind w:right="26" w:firstLine="720"/>
        <w:jc w:val="both"/>
        <w:rPr>
          <w:rFonts w:ascii="Arial" w:hAnsi="Arial" w:cs="Arial"/>
          <w:lang w:val="en-US"/>
        </w:rPr>
      </w:pPr>
      <w:r w:rsidRPr="0065366F">
        <w:rPr>
          <w:rFonts w:ascii="Arial" w:hAnsi="Arial" w:cs="Arial"/>
          <w:lang w:val="en-US"/>
        </w:rPr>
        <w:t>Variables such as the age of the owner and education level are negatively significant to sales revenues at the 10% level. A negative coefficient value for age (-0.02) indicates that as business owners grow older, their sales revenue tends to decrease, assuming all else is constant. This may be due to factors such as greater risk aversion in older entrepreneurs, reduced motivation for aggressive growth, and less innovation compared to younger owners. Lévesque and Minniti (2006) find that entrepreneurial activity declines with age because of lower expected value from long-term investments and increased risk aversion.</w:t>
      </w:r>
    </w:p>
    <w:p w14:paraId="13A91DE4" w14:textId="77777777" w:rsidR="0065366F" w:rsidRDefault="0065366F" w:rsidP="00E50BA2">
      <w:pPr>
        <w:spacing w:line="360" w:lineRule="auto"/>
        <w:ind w:right="26" w:firstLine="720"/>
        <w:jc w:val="both"/>
        <w:rPr>
          <w:rFonts w:ascii="Arial" w:hAnsi="Arial" w:cs="Arial"/>
          <w:lang w:val="en-US"/>
        </w:rPr>
      </w:pPr>
    </w:p>
    <w:p w14:paraId="5E328246" w14:textId="77777777" w:rsidR="0065366F" w:rsidRDefault="0065366F" w:rsidP="00E50BA2">
      <w:pPr>
        <w:spacing w:line="360" w:lineRule="auto"/>
        <w:ind w:right="26" w:firstLine="720"/>
        <w:jc w:val="both"/>
        <w:rPr>
          <w:rFonts w:ascii="Arial" w:hAnsi="Arial" w:cs="Arial"/>
          <w:lang w:val="en-US"/>
        </w:rPr>
      </w:pPr>
    </w:p>
    <w:p w14:paraId="278830F4" w14:textId="77777777" w:rsidR="0065366F" w:rsidRPr="0065366F" w:rsidRDefault="0065366F" w:rsidP="00E50BA2">
      <w:pPr>
        <w:spacing w:line="360" w:lineRule="auto"/>
        <w:ind w:right="26" w:firstLine="720"/>
        <w:jc w:val="both"/>
        <w:rPr>
          <w:rFonts w:ascii="Arial" w:hAnsi="Arial" w:cs="Arial"/>
          <w:lang w:val="en-US"/>
        </w:rPr>
      </w:pPr>
    </w:p>
    <w:p w14:paraId="64AC7DC3" w14:textId="688FD713" w:rsidR="00B25116" w:rsidRPr="0065366F" w:rsidRDefault="00B25116" w:rsidP="00E50BA2">
      <w:pPr>
        <w:spacing w:line="360" w:lineRule="auto"/>
        <w:ind w:right="26"/>
        <w:jc w:val="both"/>
        <w:rPr>
          <w:rFonts w:ascii="Arial" w:hAnsi="Arial" w:cs="Arial"/>
          <w:b/>
          <w:bCs/>
          <w:lang w:val="en-US"/>
        </w:rPr>
      </w:pPr>
      <w:r w:rsidRPr="0065366F">
        <w:rPr>
          <w:rFonts w:ascii="Arial" w:hAnsi="Arial" w:cs="Arial"/>
          <w:b/>
          <w:bCs/>
          <w:lang w:val="en-US"/>
        </w:rPr>
        <w:t xml:space="preserve">Table </w:t>
      </w:r>
      <w:r w:rsidR="00DC70C9" w:rsidRPr="0065366F">
        <w:rPr>
          <w:rFonts w:ascii="Arial" w:hAnsi="Arial" w:cs="Arial"/>
          <w:b/>
          <w:bCs/>
          <w:lang w:val="en-US"/>
        </w:rPr>
        <w:t>3</w:t>
      </w:r>
      <w:r w:rsidRPr="0065366F">
        <w:rPr>
          <w:rFonts w:ascii="Arial" w:hAnsi="Arial" w:cs="Arial"/>
          <w:b/>
          <w:bCs/>
          <w:lang w:val="en-US"/>
        </w:rPr>
        <w:t xml:space="preserve">. </w:t>
      </w:r>
      <w:r w:rsidR="00903183" w:rsidRPr="0065366F">
        <w:rPr>
          <w:rFonts w:ascii="Arial" w:hAnsi="Arial" w:cs="Arial"/>
          <w:b/>
          <w:bCs/>
          <w:lang w:val="en-US"/>
        </w:rPr>
        <w:t xml:space="preserve">Multiple </w:t>
      </w:r>
      <w:r w:rsidR="003B34EE" w:rsidRPr="0065366F">
        <w:rPr>
          <w:rFonts w:ascii="Arial" w:hAnsi="Arial" w:cs="Arial"/>
          <w:b/>
          <w:bCs/>
          <w:lang w:val="en-US"/>
        </w:rPr>
        <w:t>l</w:t>
      </w:r>
      <w:r w:rsidR="00903183" w:rsidRPr="0065366F">
        <w:rPr>
          <w:rFonts w:ascii="Arial" w:hAnsi="Arial" w:cs="Arial"/>
          <w:b/>
          <w:bCs/>
          <w:lang w:val="en-US"/>
        </w:rPr>
        <w:t xml:space="preserve">inear </w:t>
      </w:r>
      <w:r w:rsidR="003B34EE" w:rsidRPr="0065366F">
        <w:rPr>
          <w:rFonts w:ascii="Arial" w:hAnsi="Arial" w:cs="Arial"/>
          <w:b/>
          <w:bCs/>
          <w:lang w:val="en-US"/>
        </w:rPr>
        <w:t>r</w:t>
      </w:r>
      <w:r w:rsidR="00903183" w:rsidRPr="0065366F">
        <w:rPr>
          <w:rFonts w:ascii="Arial" w:hAnsi="Arial" w:cs="Arial"/>
          <w:b/>
          <w:bCs/>
          <w:lang w:val="en-US"/>
        </w:rPr>
        <w:t xml:space="preserve">egression </w:t>
      </w:r>
      <w:r w:rsidR="003B34EE" w:rsidRPr="0065366F">
        <w:rPr>
          <w:rFonts w:ascii="Arial" w:hAnsi="Arial" w:cs="Arial"/>
          <w:b/>
          <w:bCs/>
          <w:lang w:val="en-US"/>
        </w:rPr>
        <w:t>r</w:t>
      </w:r>
      <w:r w:rsidR="00903183" w:rsidRPr="0065366F">
        <w:rPr>
          <w:rFonts w:ascii="Arial" w:hAnsi="Arial" w:cs="Arial"/>
          <w:b/>
          <w:bCs/>
          <w:lang w:val="en-US"/>
        </w:rPr>
        <w:t xml:space="preserve">esults for </w:t>
      </w:r>
      <w:r w:rsidR="003B34EE" w:rsidRPr="0065366F">
        <w:rPr>
          <w:rFonts w:ascii="Arial" w:hAnsi="Arial" w:cs="Arial"/>
          <w:b/>
          <w:bCs/>
          <w:lang w:val="en-US"/>
        </w:rPr>
        <w:t>p</w:t>
      </w:r>
      <w:r w:rsidR="00903183" w:rsidRPr="0065366F">
        <w:rPr>
          <w:rFonts w:ascii="Arial" w:hAnsi="Arial" w:cs="Arial"/>
          <w:b/>
          <w:bCs/>
          <w:lang w:val="en-US"/>
        </w:rPr>
        <w:t xml:space="preserve">erformance </w:t>
      </w:r>
      <w:r w:rsidR="003B34EE" w:rsidRPr="0065366F">
        <w:rPr>
          <w:rFonts w:ascii="Arial" w:hAnsi="Arial" w:cs="Arial"/>
          <w:b/>
          <w:bCs/>
          <w:lang w:val="en-US"/>
        </w:rPr>
        <w:t>d</w:t>
      </w:r>
      <w:r w:rsidR="00903183" w:rsidRPr="0065366F">
        <w:rPr>
          <w:rFonts w:ascii="Arial" w:hAnsi="Arial" w:cs="Arial"/>
          <w:b/>
          <w:bCs/>
          <w:lang w:val="en-US"/>
        </w:rPr>
        <w:t xml:space="preserve">rivers in </w:t>
      </w:r>
      <w:r w:rsidR="00C5303F" w:rsidRPr="0065366F">
        <w:rPr>
          <w:rFonts w:ascii="Arial" w:hAnsi="Arial" w:cs="Arial"/>
          <w:b/>
          <w:bCs/>
          <w:lang w:val="en-US"/>
        </w:rPr>
        <w:t>Food MSMEs</w:t>
      </w:r>
      <w:r w:rsidR="00903183" w:rsidRPr="0065366F">
        <w:rPr>
          <w:rFonts w:ascii="Arial" w:hAnsi="Arial" w:cs="Arial"/>
          <w:b/>
          <w:bCs/>
          <w:lang w:val="en-US"/>
        </w:rPr>
        <w:t xml:space="preserve"> </w:t>
      </w:r>
    </w:p>
    <w:tbl>
      <w:tblPr>
        <w:tblStyle w:val="TableGrid"/>
        <w:tblW w:w="9047" w:type="dxa"/>
        <w:tblLook w:val="04A0" w:firstRow="1" w:lastRow="0" w:firstColumn="1" w:lastColumn="0" w:noHBand="0" w:noVBand="1"/>
      </w:tblPr>
      <w:tblGrid>
        <w:gridCol w:w="2773"/>
        <w:gridCol w:w="1051"/>
        <w:gridCol w:w="1096"/>
        <w:gridCol w:w="1200"/>
        <w:gridCol w:w="1096"/>
        <w:gridCol w:w="1154"/>
        <w:gridCol w:w="677"/>
      </w:tblGrid>
      <w:tr w:rsidR="00860B8F" w:rsidRPr="0065366F" w14:paraId="05482403" w14:textId="77777777" w:rsidTr="00D12733">
        <w:trPr>
          <w:trHeight w:val="456"/>
        </w:trPr>
        <w:tc>
          <w:tcPr>
            <w:tcW w:w="2773" w:type="dxa"/>
            <w:tcBorders>
              <w:top w:val="single" w:sz="4" w:space="0" w:color="auto"/>
              <w:left w:val="nil"/>
              <w:bottom w:val="single" w:sz="4" w:space="0" w:color="auto"/>
              <w:right w:val="nil"/>
            </w:tcBorders>
            <w:vAlign w:val="center"/>
          </w:tcPr>
          <w:p w14:paraId="2362792B" w14:textId="7654C0D6" w:rsidR="00562CF1" w:rsidRPr="0065366F" w:rsidRDefault="00562CF1" w:rsidP="00E50BA2">
            <w:pPr>
              <w:spacing w:line="360" w:lineRule="auto"/>
              <w:ind w:right="26"/>
              <w:jc w:val="center"/>
              <w:rPr>
                <w:rFonts w:ascii="Arial" w:hAnsi="Arial" w:cs="Arial"/>
              </w:rPr>
            </w:pPr>
          </w:p>
        </w:tc>
        <w:tc>
          <w:tcPr>
            <w:tcW w:w="1051" w:type="dxa"/>
            <w:tcBorders>
              <w:top w:val="single" w:sz="4" w:space="0" w:color="auto"/>
              <w:left w:val="nil"/>
              <w:bottom w:val="single" w:sz="4" w:space="0" w:color="auto"/>
              <w:right w:val="nil"/>
            </w:tcBorders>
            <w:noWrap/>
            <w:vAlign w:val="center"/>
          </w:tcPr>
          <w:p w14:paraId="13CF2530" w14:textId="42CBA1E0" w:rsidR="00562CF1" w:rsidRPr="0065366F" w:rsidRDefault="00562CF1" w:rsidP="00E50BA2">
            <w:pPr>
              <w:spacing w:line="360" w:lineRule="auto"/>
              <w:ind w:right="26"/>
              <w:jc w:val="center"/>
              <w:rPr>
                <w:rFonts w:ascii="Arial" w:hAnsi="Arial" w:cs="Arial"/>
              </w:rPr>
            </w:pPr>
            <w:r w:rsidRPr="0065366F">
              <w:rPr>
                <w:rFonts w:ascii="Arial" w:eastAsia="Calibri" w:hAnsi="Arial" w:cs="Arial"/>
                <w:kern w:val="2"/>
                <w:sz w:val="20"/>
                <w:szCs w:val="20"/>
                <w:lang w:val="en-US"/>
                <w14:ligatures w14:val="standardContextual"/>
              </w:rPr>
              <w:t>β</w:t>
            </w:r>
          </w:p>
        </w:tc>
        <w:tc>
          <w:tcPr>
            <w:tcW w:w="1096" w:type="dxa"/>
            <w:tcBorders>
              <w:top w:val="single" w:sz="4" w:space="0" w:color="auto"/>
              <w:left w:val="nil"/>
              <w:bottom w:val="single" w:sz="4" w:space="0" w:color="auto"/>
              <w:right w:val="nil"/>
            </w:tcBorders>
            <w:noWrap/>
            <w:vAlign w:val="center"/>
          </w:tcPr>
          <w:p w14:paraId="0CD26F9E" w14:textId="389B160F" w:rsidR="00562CF1" w:rsidRPr="0065366F" w:rsidRDefault="00562CF1" w:rsidP="00E50BA2">
            <w:pPr>
              <w:spacing w:line="360" w:lineRule="auto"/>
              <w:ind w:right="26"/>
              <w:jc w:val="center"/>
              <w:rPr>
                <w:rFonts w:ascii="Arial" w:hAnsi="Arial" w:cs="Arial"/>
              </w:rPr>
            </w:pPr>
            <w:r w:rsidRPr="0065366F">
              <w:rPr>
                <w:rFonts w:ascii="Arial" w:hAnsi="Arial" w:cs="Arial"/>
              </w:rPr>
              <w:t>Std. Error</w:t>
            </w:r>
          </w:p>
        </w:tc>
        <w:tc>
          <w:tcPr>
            <w:tcW w:w="1200" w:type="dxa"/>
            <w:tcBorders>
              <w:top w:val="single" w:sz="4" w:space="0" w:color="auto"/>
              <w:left w:val="nil"/>
              <w:bottom w:val="single" w:sz="4" w:space="0" w:color="auto"/>
              <w:right w:val="nil"/>
            </w:tcBorders>
            <w:vAlign w:val="center"/>
          </w:tcPr>
          <w:p w14:paraId="0010B753" w14:textId="42F902BD" w:rsidR="00562CF1" w:rsidRPr="0065366F" w:rsidRDefault="00562CF1" w:rsidP="00E50BA2">
            <w:pPr>
              <w:spacing w:line="360" w:lineRule="auto"/>
              <w:ind w:right="26"/>
              <w:jc w:val="center"/>
              <w:rPr>
                <w:rFonts w:ascii="Arial" w:hAnsi="Arial" w:cs="Arial"/>
              </w:rPr>
            </w:pPr>
            <w:r w:rsidRPr="0065366F">
              <w:rPr>
                <w:rFonts w:ascii="Arial" w:eastAsia="Calibri" w:hAnsi="Arial" w:cs="Arial"/>
                <w:kern w:val="2"/>
                <w:sz w:val="20"/>
                <w:szCs w:val="20"/>
                <w:lang w:val="en-US"/>
                <w14:ligatures w14:val="standardContextual"/>
              </w:rPr>
              <w:t>Std. β</w:t>
            </w:r>
          </w:p>
        </w:tc>
        <w:tc>
          <w:tcPr>
            <w:tcW w:w="1096" w:type="dxa"/>
            <w:tcBorders>
              <w:top w:val="single" w:sz="4" w:space="0" w:color="auto"/>
              <w:left w:val="nil"/>
              <w:bottom w:val="single" w:sz="4" w:space="0" w:color="auto"/>
              <w:right w:val="nil"/>
            </w:tcBorders>
            <w:noWrap/>
            <w:vAlign w:val="center"/>
          </w:tcPr>
          <w:p w14:paraId="1C55A41A" w14:textId="5A739A06" w:rsidR="00562CF1" w:rsidRPr="0065366F" w:rsidRDefault="00562CF1" w:rsidP="00E50BA2">
            <w:pPr>
              <w:spacing w:line="360" w:lineRule="auto"/>
              <w:ind w:right="26"/>
              <w:jc w:val="center"/>
              <w:rPr>
                <w:rFonts w:ascii="Arial" w:hAnsi="Arial" w:cs="Arial"/>
              </w:rPr>
            </w:pPr>
            <w:r w:rsidRPr="0065366F">
              <w:rPr>
                <w:rFonts w:ascii="Arial" w:hAnsi="Arial" w:cs="Arial"/>
              </w:rPr>
              <w:t>t</w:t>
            </w:r>
          </w:p>
        </w:tc>
        <w:tc>
          <w:tcPr>
            <w:tcW w:w="1154" w:type="dxa"/>
            <w:tcBorders>
              <w:top w:val="single" w:sz="4" w:space="0" w:color="auto"/>
              <w:left w:val="nil"/>
              <w:bottom w:val="single" w:sz="4" w:space="0" w:color="auto"/>
              <w:right w:val="nil"/>
            </w:tcBorders>
            <w:noWrap/>
            <w:vAlign w:val="center"/>
          </w:tcPr>
          <w:p w14:paraId="1C852EB9" w14:textId="047D0949" w:rsidR="00562CF1" w:rsidRPr="0065366F" w:rsidRDefault="00562CF1" w:rsidP="00E50BA2">
            <w:pPr>
              <w:spacing w:line="360" w:lineRule="auto"/>
              <w:ind w:right="26"/>
              <w:jc w:val="center"/>
              <w:rPr>
                <w:rFonts w:ascii="Arial" w:hAnsi="Arial" w:cs="Arial"/>
              </w:rPr>
            </w:pPr>
            <w:r w:rsidRPr="0065366F">
              <w:rPr>
                <w:rFonts w:ascii="Arial" w:hAnsi="Arial" w:cs="Arial"/>
              </w:rPr>
              <w:t>Sig.</w:t>
            </w:r>
          </w:p>
        </w:tc>
        <w:tc>
          <w:tcPr>
            <w:tcW w:w="677" w:type="dxa"/>
            <w:tcBorders>
              <w:top w:val="single" w:sz="4" w:space="0" w:color="auto"/>
              <w:left w:val="nil"/>
              <w:bottom w:val="single" w:sz="4" w:space="0" w:color="auto"/>
              <w:right w:val="nil"/>
            </w:tcBorders>
            <w:vAlign w:val="center"/>
          </w:tcPr>
          <w:p w14:paraId="3C5E35F1" w14:textId="63135812" w:rsidR="00562CF1" w:rsidRPr="0065366F" w:rsidRDefault="00562CF1" w:rsidP="00E50BA2">
            <w:pPr>
              <w:spacing w:line="360" w:lineRule="auto"/>
              <w:ind w:right="26"/>
              <w:jc w:val="center"/>
              <w:rPr>
                <w:rFonts w:ascii="Arial" w:hAnsi="Arial" w:cs="Arial"/>
              </w:rPr>
            </w:pPr>
            <w:r w:rsidRPr="0065366F">
              <w:rPr>
                <w:rFonts w:ascii="Arial" w:hAnsi="Arial" w:cs="Arial"/>
              </w:rPr>
              <w:t>VIF</w:t>
            </w:r>
          </w:p>
        </w:tc>
      </w:tr>
      <w:tr w:rsidR="00860B8F" w:rsidRPr="0065366F" w14:paraId="78E457B0" w14:textId="77777777" w:rsidTr="00D12733">
        <w:trPr>
          <w:trHeight w:val="359"/>
        </w:trPr>
        <w:tc>
          <w:tcPr>
            <w:tcW w:w="2773" w:type="dxa"/>
            <w:tcBorders>
              <w:top w:val="single" w:sz="4" w:space="0" w:color="auto"/>
              <w:left w:val="nil"/>
              <w:bottom w:val="nil"/>
              <w:right w:val="nil"/>
            </w:tcBorders>
            <w:hideMark/>
          </w:tcPr>
          <w:p w14:paraId="1A25B593" w14:textId="2C76BD31" w:rsidR="00860B8F" w:rsidRPr="0065366F" w:rsidRDefault="00860B8F" w:rsidP="00E50BA2">
            <w:pPr>
              <w:spacing w:line="360" w:lineRule="auto"/>
              <w:ind w:right="26"/>
              <w:jc w:val="both"/>
              <w:rPr>
                <w:rFonts w:ascii="Arial" w:hAnsi="Arial" w:cs="Arial"/>
              </w:rPr>
            </w:pPr>
            <w:r w:rsidRPr="0065366F">
              <w:rPr>
                <w:rFonts w:ascii="Arial" w:hAnsi="Arial" w:cs="Arial"/>
              </w:rPr>
              <w:t>(Constant)</w:t>
            </w:r>
          </w:p>
        </w:tc>
        <w:tc>
          <w:tcPr>
            <w:tcW w:w="1051" w:type="dxa"/>
            <w:tcBorders>
              <w:top w:val="single" w:sz="4" w:space="0" w:color="auto"/>
              <w:left w:val="nil"/>
              <w:bottom w:val="nil"/>
              <w:right w:val="nil"/>
            </w:tcBorders>
            <w:noWrap/>
            <w:hideMark/>
          </w:tcPr>
          <w:p w14:paraId="33B37570" w14:textId="6244C68F" w:rsidR="00860B8F" w:rsidRPr="0065366F" w:rsidRDefault="00860B8F" w:rsidP="00E50BA2">
            <w:pPr>
              <w:spacing w:line="360" w:lineRule="auto"/>
              <w:ind w:right="26"/>
              <w:jc w:val="center"/>
              <w:rPr>
                <w:rFonts w:ascii="Arial" w:hAnsi="Arial" w:cs="Arial"/>
              </w:rPr>
            </w:pPr>
            <w:r w:rsidRPr="0065366F">
              <w:rPr>
                <w:rFonts w:ascii="Arial" w:hAnsi="Arial" w:cs="Arial"/>
              </w:rPr>
              <w:t>9.87</w:t>
            </w:r>
          </w:p>
        </w:tc>
        <w:tc>
          <w:tcPr>
            <w:tcW w:w="1096" w:type="dxa"/>
            <w:tcBorders>
              <w:top w:val="single" w:sz="4" w:space="0" w:color="auto"/>
              <w:left w:val="nil"/>
              <w:bottom w:val="nil"/>
              <w:right w:val="nil"/>
            </w:tcBorders>
            <w:noWrap/>
            <w:hideMark/>
          </w:tcPr>
          <w:p w14:paraId="06AD0F0A" w14:textId="038239EA" w:rsidR="00860B8F" w:rsidRPr="0065366F" w:rsidRDefault="00860B8F" w:rsidP="00E50BA2">
            <w:pPr>
              <w:spacing w:line="360" w:lineRule="auto"/>
              <w:ind w:right="26"/>
              <w:jc w:val="center"/>
              <w:rPr>
                <w:rFonts w:ascii="Arial" w:hAnsi="Arial" w:cs="Arial"/>
              </w:rPr>
            </w:pPr>
            <w:r w:rsidRPr="0065366F">
              <w:rPr>
                <w:rFonts w:ascii="Arial" w:hAnsi="Arial" w:cs="Arial"/>
              </w:rPr>
              <w:t>0.87</w:t>
            </w:r>
          </w:p>
        </w:tc>
        <w:tc>
          <w:tcPr>
            <w:tcW w:w="1200" w:type="dxa"/>
            <w:tcBorders>
              <w:top w:val="single" w:sz="4" w:space="0" w:color="auto"/>
              <w:left w:val="nil"/>
              <w:bottom w:val="nil"/>
              <w:right w:val="nil"/>
            </w:tcBorders>
            <w:hideMark/>
          </w:tcPr>
          <w:p w14:paraId="38269716" w14:textId="43402936" w:rsidR="00860B8F" w:rsidRPr="0065366F" w:rsidRDefault="00860B8F" w:rsidP="00E50BA2">
            <w:pPr>
              <w:spacing w:line="360" w:lineRule="auto"/>
              <w:ind w:right="26"/>
              <w:jc w:val="center"/>
              <w:rPr>
                <w:rFonts w:ascii="Arial" w:hAnsi="Arial" w:cs="Arial"/>
              </w:rPr>
            </w:pPr>
          </w:p>
        </w:tc>
        <w:tc>
          <w:tcPr>
            <w:tcW w:w="1096" w:type="dxa"/>
            <w:tcBorders>
              <w:top w:val="single" w:sz="4" w:space="0" w:color="auto"/>
              <w:left w:val="nil"/>
              <w:bottom w:val="nil"/>
              <w:right w:val="nil"/>
            </w:tcBorders>
            <w:noWrap/>
            <w:hideMark/>
          </w:tcPr>
          <w:p w14:paraId="3B7EFBC6" w14:textId="35F470F1" w:rsidR="00860B8F" w:rsidRPr="0065366F" w:rsidRDefault="00860B8F" w:rsidP="00E50BA2">
            <w:pPr>
              <w:spacing w:line="360" w:lineRule="auto"/>
              <w:ind w:right="26"/>
              <w:jc w:val="center"/>
              <w:rPr>
                <w:rFonts w:ascii="Arial" w:hAnsi="Arial" w:cs="Arial"/>
              </w:rPr>
            </w:pPr>
            <w:r w:rsidRPr="0065366F">
              <w:rPr>
                <w:rFonts w:ascii="Arial" w:hAnsi="Arial" w:cs="Arial"/>
              </w:rPr>
              <w:t>11.28</w:t>
            </w:r>
          </w:p>
        </w:tc>
        <w:tc>
          <w:tcPr>
            <w:tcW w:w="1154" w:type="dxa"/>
            <w:tcBorders>
              <w:top w:val="single" w:sz="4" w:space="0" w:color="auto"/>
              <w:left w:val="nil"/>
              <w:bottom w:val="nil"/>
              <w:right w:val="nil"/>
            </w:tcBorders>
            <w:noWrap/>
            <w:hideMark/>
          </w:tcPr>
          <w:p w14:paraId="118DB5BF" w14:textId="7D9DAA75" w:rsidR="00860B8F" w:rsidRPr="0065366F" w:rsidRDefault="00860B8F" w:rsidP="00E50BA2">
            <w:pPr>
              <w:spacing w:line="360" w:lineRule="auto"/>
              <w:ind w:right="26"/>
              <w:jc w:val="center"/>
              <w:rPr>
                <w:rFonts w:ascii="Arial" w:hAnsi="Arial" w:cs="Arial"/>
              </w:rPr>
            </w:pPr>
            <w:r w:rsidRPr="0065366F">
              <w:rPr>
                <w:rFonts w:ascii="Arial" w:hAnsi="Arial" w:cs="Arial"/>
              </w:rPr>
              <w:t>0.00</w:t>
            </w:r>
          </w:p>
        </w:tc>
        <w:tc>
          <w:tcPr>
            <w:tcW w:w="677" w:type="dxa"/>
            <w:tcBorders>
              <w:top w:val="single" w:sz="4" w:space="0" w:color="auto"/>
              <w:left w:val="nil"/>
              <w:bottom w:val="nil"/>
              <w:right w:val="nil"/>
            </w:tcBorders>
            <w:hideMark/>
          </w:tcPr>
          <w:p w14:paraId="44A49491" w14:textId="0F79DC14" w:rsidR="00860B8F" w:rsidRPr="0065366F" w:rsidRDefault="00860B8F" w:rsidP="00E50BA2">
            <w:pPr>
              <w:spacing w:line="360" w:lineRule="auto"/>
              <w:ind w:right="26"/>
              <w:jc w:val="center"/>
              <w:rPr>
                <w:rFonts w:ascii="Arial" w:hAnsi="Arial" w:cs="Arial"/>
              </w:rPr>
            </w:pPr>
          </w:p>
        </w:tc>
      </w:tr>
      <w:tr w:rsidR="00860B8F" w:rsidRPr="0065366F" w14:paraId="7ECE547F" w14:textId="77777777" w:rsidTr="00D12733">
        <w:trPr>
          <w:trHeight w:val="350"/>
        </w:trPr>
        <w:tc>
          <w:tcPr>
            <w:tcW w:w="2773" w:type="dxa"/>
            <w:tcBorders>
              <w:top w:val="nil"/>
              <w:left w:val="nil"/>
              <w:bottom w:val="nil"/>
              <w:right w:val="nil"/>
            </w:tcBorders>
            <w:hideMark/>
          </w:tcPr>
          <w:p w14:paraId="37ECF3CB" w14:textId="24A153B3"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Age </w:t>
            </w:r>
          </w:p>
        </w:tc>
        <w:tc>
          <w:tcPr>
            <w:tcW w:w="1051" w:type="dxa"/>
            <w:tcBorders>
              <w:top w:val="nil"/>
              <w:left w:val="nil"/>
              <w:bottom w:val="nil"/>
              <w:right w:val="nil"/>
            </w:tcBorders>
            <w:noWrap/>
            <w:hideMark/>
          </w:tcPr>
          <w:p w14:paraId="185183E5" w14:textId="5C14C3FB" w:rsidR="00860B8F" w:rsidRPr="0065366F" w:rsidRDefault="00860B8F" w:rsidP="00E50BA2">
            <w:pPr>
              <w:spacing w:line="360" w:lineRule="auto"/>
              <w:ind w:right="26"/>
              <w:jc w:val="center"/>
              <w:rPr>
                <w:rFonts w:ascii="Arial" w:hAnsi="Arial" w:cs="Arial"/>
              </w:rPr>
            </w:pPr>
            <w:r w:rsidRPr="0065366F">
              <w:rPr>
                <w:rFonts w:ascii="Arial" w:hAnsi="Arial" w:cs="Arial"/>
              </w:rPr>
              <w:t>-0.02</w:t>
            </w:r>
            <w:r w:rsidR="00C943F5" w:rsidRPr="0065366F">
              <w:rPr>
                <w:rFonts w:ascii="Arial" w:hAnsi="Arial" w:cs="Arial"/>
              </w:rPr>
              <w:t>*</w:t>
            </w:r>
          </w:p>
        </w:tc>
        <w:tc>
          <w:tcPr>
            <w:tcW w:w="1096" w:type="dxa"/>
            <w:tcBorders>
              <w:top w:val="nil"/>
              <w:left w:val="nil"/>
              <w:bottom w:val="nil"/>
              <w:right w:val="nil"/>
            </w:tcBorders>
            <w:noWrap/>
            <w:hideMark/>
          </w:tcPr>
          <w:p w14:paraId="0A3DB72B" w14:textId="23AF58BD" w:rsidR="00860B8F" w:rsidRPr="0065366F" w:rsidRDefault="00860B8F" w:rsidP="00E50BA2">
            <w:pPr>
              <w:spacing w:line="360" w:lineRule="auto"/>
              <w:ind w:right="26"/>
              <w:jc w:val="center"/>
              <w:rPr>
                <w:rFonts w:ascii="Arial" w:hAnsi="Arial" w:cs="Arial"/>
              </w:rPr>
            </w:pPr>
            <w:r w:rsidRPr="0065366F">
              <w:rPr>
                <w:rFonts w:ascii="Arial" w:hAnsi="Arial" w:cs="Arial"/>
              </w:rPr>
              <w:t>0.01</w:t>
            </w:r>
          </w:p>
        </w:tc>
        <w:tc>
          <w:tcPr>
            <w:tcW w:w="1200" w:type="dxa"/>
            <w:tcBorders>
              <w:top w:val="nil"/>
              <w:left w:val="nil"/>
              <w:bottom w:val="nil"/>
              <w:right w:val="nil"/>
            </w:tcBorders>
            <w:noWrap/>
            <w:hideMark/>
          </w:tcPr>
          <w:p w14:paraId="7CA8B154" w14:textId="18EC1B5C" w:rsidR="00860B8F" w:rsidRPr="0065366F" w:rsidRDefault="00860B8F" w:rsidP="00E50BA2">
            <w:pPr>
              <w:spacing w:line="360" w:lineRule="auto"/>
              <w:ind w:right="26"/>
              <w:jc w:val="center"/>
              <w:rPr>
                <w:rFonts w:ascii="Arial" w:hAnsi="Arial" w:cs="Arial"/>
              </w:rPr>
            </w:pPr>
            <w:r w:rsidRPr="0065366F">
              <w:rPr>
                <w:rFonts w:ascii="Arial" w:hAnsi="Arial" w:cs="Arial"/>
              </w:rPr>
              <w:t>-0.09</w:t>
            </w:r>
          </w:p>
        </w:tc>
        <w:tc>
          <w:tcPr>
            <w:tcW w:w="1096" w:type="dxa"/>
            <w:tcBorders>
              <w:top w:val="nil"/>
              <w:left w:val="nil"/>
              <w:bottom w:val="nil"/>
              <w:right w:val="nil"/>
            </w:tcBorders>
            <w:noWrap/>
            <w:hideMark/>
          </w:tcPr>
          <w:p w14:paraId="6EA7D302" w14:textId="34E263F3" w:rsidR="00860B8F" w:rsidRPr="0065366F" w:rsidRDefault="00860B8F" w:rsidP="00E50BA2">
            <w:pPr>
              <w:spacing w:line="360" w:lineRule="auto"/>
              <w:ind w:right="26"/>
              <w:jc w:val="center"/>
              <w:rPr>
                <w:rFonts w:ascii="Arial" w:hAnsi="Arial" w:cs="Arial"/>
              </w:rPr>
            </w:pPr>
            <w:r w:rsidRPr="0065366F">
              <w:rPr>
                <w:rFonts w:ascii="Arial" w:hAnsi="Arial" w:cs="Arial"/>
              </w:rPr>
              <w:t>-1.69</w:t>
            </w:r>
          </w:p>
        </w:tc>
        <w:tc>
          <w:tcPr>
            <w:tcW w:w="1154" w:type="dxa"/>
            <w:tcBorders>
              <w:top w:val="nil"/>
              <w:left w:val="nil"/>
              <w:bottom w:val="nil"/>
              <w:right w:val="nil"/>
            </w:tcBorders>
            <w:noWrap/>
            <w:hideMark/>
          </w:tcPr>
          <w:p w14:paraId="3756D85B" w14:textId="6C213EB6" w:rsidR="00860B8F" w:rsidRPr="0065366F" w:rsidRDefault="00860B8F" w:rsidP="00E50BA2">
            <w:pPr>
              <w:spacing w:line="360" w:lineRule="auto"/>
              <w:ind w:right="26"/>
              <w:jc w:val="center"/>
              <w:rPr>
                <w:rFonts w:ascii="Arial" w:hAnsi="Arial" w:cs="Arial"/>
              </w:rPr>
            </w:pPr>
            <w:r w:rsidRPr="0065366F">
              <w:rPr>
                <w:rFonts w:ascii="Arial" w:hAnsi="Arial" w:cs="Arial"/>
              </w:rPr>
              <w:t>0.09</w:t>
            </w:r>
          </w:p>
        </w:tc>
        <w:tc>
          <w:tcPr>
            <w:tcW w:w="677" w:type="dxa"/>
            <w:tcBorders>
              <w:top w:val="nil"/>
              <w:left w:val="nil"/>
              <w:bottom w:val="nil"/>
              <w:right w:val="nil"/>
            </w:tcBorders>
            <w:noWrap/>
            <w:hideMark/>
          </w:tcPr>
          <w:p w14:paraId="62E4CE61" w14:textId="0D73358C" w:rsidR="00860B8F" w:rsidRPr="0065366F" w:rsidRDefault="00860B8F" w:rsidP="00E50BA2">
            <w:pPr>
              <w:spacing w:line="360" w:lineRule="auto"/>
              <w:ind w:right="26"/>
              <w:jc w:val="center"/>
              <w:rPr>
                <w:rFonts w:ascii="Arial" w:hAnsi="Arial" w:cs="Arial"/>
              </w:rPr>
            </w:pPr>
            <w:r w:rsidRPr="0065366F">
              <w:rPr>
                <w:rFonts w:ascii="Arial" w:hAnsi="Arial" w:cs="Arial"/>
              </w:rPr>
              <w:t>1.98</w:t>
            </w:r>
          </w:p>
        </w:tc>
      </w:tr>
      <w:tr w:rsidR="00860B8F" w:rsidRPr="0065366F" w14:paraId="21C3BE3F" w14:textId="77777777" w:rsidTr="00D12733">
        <w:trPr>
          <w:trHeight w:val="332"/>
        </w:trPr>
        <w:tc>
          <w:tcPr>
            <w:tcW w:w="2773" w:type="dxa"/>
            <w:tcBorders>
              <w:top w:val="nil"/>
              <w:left w:val="nil"/>
              <w:bottom w:val="nil"/>
              <w:right w:val="nil"/>
            </w:tcBorders>
            <w:hideMark/>
          </w:tcPr>
          <w:p w14:paraId="487A858F" w14:textId="526FB95D"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Education </w:t>
            </w:r>
          </w:p>
        </w:tc>
        <w:tc>
          <w:tcPr>
            <w:tcW w:w="1051" w:type="dxa"/>
            <w:tcBorders>
              <w:top w:val="nil"/>
              <w:left w:val="nil"/>
              <w:bottom w:val="nil"/>
              <w:right w:val="nil"/>
            </w:tcBorders>
            <w:noWrap/>
            <w:hideMark/>
          </w:tcPr>
          <w:p w14:paraId="1F62A335" w14:textId="2326F855" w:rsidR="00860B8F" w:rsidRPr="0065366F" w:rsidRDefault="00860B8F" w:rsidP="00E50BA2">
            <w:pPr>
              <w:spacing w:line="360" w:lineRule="auto"/>
              <w:ind w:right="26"/>
              <w:jc w:val="center"/>
              <w:rPr>
                <w:rFonts w:ascii="Arial" w:hAnsi="Arial" w:cs="Arial"/>
              </w:rPr>
            </w:pPr>
            <w:r w:rsidRPr="0065366F">
              <w:rPr>
                <w:rFonts w:ascii="Arial" w:hAnsi="Arial" w:cs="Arial"/>
              </w:rPr>
              <w:t>-0.06</w:t>
            </w:r>
            <w:r w:rsidR="00C943F5" w:rsidRPr="0065366F">
              <w:rPr>
                <w:rFonts w:ascii="Arial" w:hAnsi="Arial" w:cs="Arial"/>
              </w:rPr>
              <w:t>*</w:t>
            </w:r>
          </w:p>
        </w:tc>
        <w:tc>
          <w:tcPr>
            <w:tcW w:w="1096" w:type="dxa"/>
            <w:tcBorders>
              <w:top w:val="nil"/>
              <w:left w:val="nil"/>
              <w:bottom w:val="nil"/>
              <w:right w:val="nil"/>
            </w:tcBorders>
            <w:noWrap/>
            <w:hideMark/>
          </w:tcPr>
          <w:p w14:paraId="261BDD15" w14:textId="29119CA9" w:rsidR="00860B8F" w:rsidRPr="0065366F" w:rsidRDefault="00860B8F" w:rsidP="00E50BA2">
            <w:pPr>
              <w:spacing w:line="360" w:lineRule="auto"/>
              <w:ind w:right="26"/>
              <w:jc w:val="center"/>
              <w:rPr>
                <w:rFonts w:ascii="Arial" w:hAnsi="Arial" w:cs="Arial"/>
              </w:rPr>
            </w:pPr>
            <w:r w:rsidRPr="0065366F">
              <w:rPr>
                <w:rFonts w:ascii="Arial" w:hAnsi="Arial" w:cs="Arial"/>
              </w:rPr>
              <w:t>0.03</w:t>
            </w:r>
          </w:p>
        </w:tc>
        <w:tc>
          <w:tcPr>
            <w:tcW w:w="1200" w:type="dxa"/>
            <w:tcBorders>
              <w:top w:val="nil"/>
              <w:left w:val="nil"/>
              <w:bottom w:val="nil"/>
              <w:right w:val="nil"/>
            </w:tcBorders>
            <w:noWrap/>
            <w:hideMark/>
          </w:tcPr>
          <w:p w14:paraId="15FD2448" w14:textId="23B3D9AF" w:rsidR="00860B8F" w:rsidRPr="0065366F" w:rsidRDefault="00860B8F" w:rsidP="00E50BA2">
            <w:pPr>
              <w:spacing w:line="360" w:lineRule="auto"/>
              <w:ind w:right="26"/>
              <w:jc w:val="center"/>
              <w:rPr>
                <w:rFonts w:ascii="Arial" w:hAnsi="Arial" w:cs="Arial"/>
              </w:rPr>
            </w:pPr>
            <w:r w:rsidRPr="0065366F">
              <w:rPr>
                <w:rFonts w:ascii="Arial" w:hAnsi="Arial" w:cs="Arial"/>
              </w:rPr>
              <w:t>-0.10</w:t>
            </w:r>
          </w:p>
        </w:tc>
        <w:tc>
          <w:tcPr>
            <w:tcW w:w="1096" w:type="dxa"/>
            <w:tcBorders>
              <w:top w:val="nil"/>
              <w:left w:val="nil"/>
              <w:bottom w:val="nil"/>
              <w:right w:val="nil"/>
            </w:tcBorders>
            <w:noWrap/>
            <w:hideMark/>
          </w:tcPr>
          <w:p w14:paraId="2B6593BB" w14:textId="45B2E3B1" w:rsidR="00860B8F" w:rsidRPr="0065366F" w:rsidRDefault="00860B8F" w:rsidP="00E50BA2">
            <w:pPr>
              <w:spacing w:line="360" w:lineRule="auto"/>
              <w:ind w:right="26"/>
              <w:jc w:val="center"/>
              <w:rPr>
                <w:rFonts w:ascii="Arial" w:hAnsi="Arial" w:cs="Arial"/>
              </w:rPr>
            </w:pPr>
            <w:r w:rsidRPr="0065366F">
              <w:rPr>
                <w:rFonts w:ascii="Arial" w:hAnsi="Arial" w:cs="Arial"/>
              </w:rPr>
              <w:t>-1.75</w:t>
            </w:r>
          </w:p>
        </w:tc>
        <w:tc>
          <w:tcPr>
            <w:tcW w:w="1154" w:type="dxa"/>
            <w:tcBorders>
              <w:top w:val="nil"/>
              <w:left w:val="nil"/>
              <w:bottom w:val="nil"/>
              <w:right w:val="nil"/>
            </w:tcBorders>
            <w:noWrap/>
            <w:hideMark/>
          </w:tcPr>
          <w:p w14:paraId="72E141E6" w14:textId="7AD5E453" w:rsidR="00860B8F" w:rsidRPr="0065366F" w:rsidRDefault="00860B8F" w:rsidP="00E50BA2">
            <w:pPr>
              <w:spacing w:line="360" w:lineRule="auto"/>
              <w:ind w:right="26"/>
              <w:jc w:val="center"/>
              <w:rPr>
                <w:rFonts w:ascii="Arial" w:hAnsi="Arial" w:cs="Arial"/>
              </w:rPr>
            </w:pPr>
            <w:r w:rsidRPr="0065366F">
              <w:rPr>
                <w:rFonts w:ascii="Arial" w:hAnsi="Arial" w:cs="Arial"/>
              </w:rPr>
              <w:t>0.08</w:t>
            </w:r>
          </w:p>
        </w:tc>
        <w:tc>
          <w:tcPr>
            <w:tcW w:w="677" w:type="dxa"/>
            <w:tcBorders>
              <w:top w:val="nil"/>
              <w:left w:val="nil"/>
              <w:bottom w:val="nil"/>
              <w:right w:val="nil"/>
            </w:tcBorders>
            <w:noWrap/>
            <w:hideMark/>
          </w:tcPr>
          <w:p w14:paraId="1DAD708E" w14:textId="462F8EE5" w:rsidR="00860B8F" w:rsidRPr="0065366F" w:rsidRDefault="00860B8F" w:rsidP="00E50BA2">
            <w:pPr>
              <w:spacing w:line="360" w:lineRule="auto"/>
              <w:ind w:right="26"/>
              <w:jc w:val="center"/>
              <w:rPr>
                <w:rFonts w:ascii="Arial" w:hAnsi="Arial" w:cs="Arial"/>
              </w:rPr>
            </w:pPr>
            <w:r w:rsidRPr="0065366F">
              <w:rPr>
                <w:rFonts w:ascii="Arial" w:hAnsi="Arial" w:cs="Arial"/>
              </w:rPr>
              <w:t>1.32</w:t>
            </w:r>
          </w:p>
        </w:tc>
      </w:tr>
      <w:tr w:rsidR="00860B8F" w:rsidRPr="0065366F" w14:paraId="04897024" w14:textId="77777777" w:rsidTr="00D12733">
        <w:trPr>
          <w:trHeight w:val="395"/>
        </w:trPr>
        <w:tc>
          <w:tcPr>
            <w:tcW w:w="2773" w:type="dxa"/>
            <w:tcBorders>
              <w:top w:val="nil"/>
              <w:left w:val="nil"/>
              <w:bottom w:val="nil"/>
              <w:right w:val="nil"/>
            </w:tcBorders>
            <w:hideMark/>
          </w:tcPr>
          <w:p w14:paraId="051A9073" w14:textId="7AA53AFC" w:rsidR="00860B8F" w:rsidRPr="0065366F" w:rsidRDefault="00860B8F" w:rsidP="00E50BA2">
            <w:pPr>
              <w:spacing w:line="360" w:lineRule="auto"/>
              <w:ind w:right="26"/>
              <w:jc w:val="both"/>
              <w:rPr>
                <w:rFonts w:ascii="Arial" w:hAnsi="Arial" w:cs="Arial"/>
              </w:rPr>
            </w:pPr>
            <w:r w:rsidRPr="0065366F">
              <w:rPr>
                <w:rFonts w:ascii="Arial" w:hAnsi="Arial" w:cs="Arial"/>
              </w:rPr>
              <w:t>Log of firm size</w:t>
            </w:r>
          </w:p>
        </w:tc>
        <w:tc>
          <w:tcPr>
            <w:tcW w:w="1051" w:type="dxa"/>
            <w:tcBorders>
              <w:top w:val="nil"/>
              <w:left w:val="nil"/>
              <w:bottom w:val="nil"/>
              <w:right w:val="nil"/>
            </w:tcBorders>
            <w:noWrap/>
            <w:hideMark/>
          </w:tcPr>
          <w:p w14:paraId="672446E5" w14:textId="2FD4D90C" w:rsidR="00860B8F" w:rsidRPr="0065366F" w:rsidRDefault="00860B8F" w:rsidP="00E50BA2">
            <w:pPr>
              <w:spacing w:line="360" w:lineRule="auto"/>
              <w:ind w:right="26"/>
              <w:jc w:val="center"/>
              <w:rPr>
                <w:rFonts w:ascii="Arial" w:hAnsi="Arial" w:cs="Arial"/>
              </w:rPr>
            </w:pPr>
            <w:r w:rsidRPr="0065366F">
              <w:rPr>
                <w:rFonts w:ascii="Arial" w:hAnsi="Arial" w:cs="Arial"/>
              </w:rPr>
              <w:t>0.54</w:t>
            </w:r>
            <w:r w:rsidR="00C943F5" w:rsidRPr="0065366F">
              <w:rPr>
                <w:rFonts w:ascii="Arial" w:hAnsi="Arial" w:cs="Arial"/>
              </w:rPr>
              <w:t>***</w:t>
            </w:r>
          </w:p>
        </w:tc>
        <w:tc>
          <w:tcPr>
            <w:tcW w:w="1096" w:type="dxa"/>
            <w:tcBorders>
              <w:top w:val="nil"/>
              <w:left w:val="nil"/>
              <w:bottom w:val="nil"/>
              <w:right w:val="nil"/>
            </w:tcBorders>
            <w:noWrap/>
            <w:hideMark/>
          </w:tcPr>
          <w:p w14:paraId="75C0A517" w14:textId="139772CF" w:rsidR="00860B8F" w:rsidRPr="0065366F" w:rsidRDefault="00860B8F" w:rsidP="00E50BA2">
            <w:pPr>
              <w:spacing w:line="360" w:lineRule="auto"/>
              <w:ind w:right="26"/>
              <w:jc w:val="center"/>
              <w:rPr>
                <w:rFonts w:ascii="Arial" w:hAnsi="Arial" w:cs="Arial"/>
              </w:rPr>
            </w:pPr>
            <w:r w:rsidRPr="0065366F">
              <w:rPr>
                <w:rFonts w:ascii="Arial" w:hAnsi="Arial" w:cs="Arial"/>
              </w:rPr>
              <w:t>0.12</w:t>
            </w:r>
          </w:p>
        </w:tc>
        <w:tc>
          <w:tcPr>
            <w:tcW w:w="1200" w:type="dxa"/>
            <w:tcBorders>
              <w:top w:val="nil"/>
              <w:left w:val="nil"/>
              <w:bottom w:val="nil"/>
              <w:right w:val="nil"/>
            </w:tcBorders>
            <w:noWrap/>
            <w:hideMark/>
          </w:tcPr>
          <w:p w14:paraId="7A8A64C1" w14:textId="341C33AF" w:rsidR="00860B8F" w:rsidRPr="0065366F" w:rsidRDefault="00860B8F" w:rsidP="00E50BA2">
            <w:pPr>
              <w:spacing w:line="360" w:lineRule="auto"/>
              <w:ind w:right="26"/>
              <w:jc w:val="center"/>
              <w:rPr>
                <w:rFonts w:ascii="Arial" w:hAnsi="Arial" w:cs="Arial"/>
              </w:rPr>
            </w:pPr>
            <w:r w:rsidRPr="0065366F">
              <w:rPr>
                <w:rFonts w:ascii="Arial" w:hAnsi="Arial" w:cs="Arial"/>
              </w:rPr>
              <w:t>0.26</w:t>
            </w:r>
          </w:p>
        </w:tc>
        <w:tc>
          <w:tcPr>
            <w:tcW w:w="1096" w:type="dxa"/>
            <w:tcBorders>
              <w:top w:val="nil"/>
              <w:left w:val="nil"/>
              <w:bottom w:val="nil"/>
              <w:right w:val="nil"/>
            </w:tcBorders>
            <w:noWrap/>
            <w:hideMark/>
          </w:tcPr>
          <w:p w14:paraId="2A4834A1" w14:textId="38F79B2A" w:rsidR="00860B8F" w:rsidRPr="0065366F" w:rsidRDefault="00860B8F" w:rsidP="00E50BA2">
            <w:pPr>
              <w:spacing w:line="360" w:lineRule="auto"/>
              <w:ind w:right="26"/>
              <w:jc w:val="center"/>
              <w:rPr>
                <w:rFonts w:ascii="Arial" w:hAnsi="Arial" w:cs="Arial"/>
              </w:rPr>
            </w:pPr>
            <w:r w:rsidRPr="0065366F">
              <w:rPr>
                <w:rFonts w:ascii="Arial" w:hAnsi="Arial" w:cs="Arial"/>
              </w:rPr>
              <w:t>4.68</w:t>
            </w:r>
          </w:p>
        </w:tc>
        <w:tc>
          <w:tcPr>
            <w:tcW w:w="1154" w:type="dxa"/>
            <w:tcBorders>
              <w:top w:val="nil"/>
              <w:left w:val="nil"/>
              <w:bottom w:val="nil"/>
              <w:right w:val="nil"/>
            </w:tcBorders>
            <w:noWrap/>
            <w:hideMark/>
          </w:tcPr>
          <w:p w14:paraId="2F17C959" w14:textId="0E0864E4" w:rsidR="00860B8F" w:rsidRPr="0065366F" w:rsidRDefault="00860B8F" w:rsidP="00E50BA2">
            <w:pPr>
              <w:spacing w:line="360" w:lineRule="auto"/>
              <w:ind w:right="26"/>
              <w:jc w:val="center"/>
              <w:rPr>
                <w:rFonts w:ascii="Arial" w:hAnsi="Arial" w:cs="Arial"/>
              </w:rPr>
            </w:pPr>
            <w:r w:rsidRPr="0065366F">
              <w:rPr>
                <w:rFonts w:ascii="Arial" w:hAnsi="Arial" w:cs="Arial"/>
              </w:rPr>
              <w:t>0.00</w:t>
            </w:r>
          </w:p>
        </w:tc>
        <w:tc>
          <w:tcPr>
            <w:tcW w:w="677" w:type="dxa"/>
            <w:tcBorders>
              <w:top w:val="nil"/>
              <w:left w:val="nil"/>
              <w:bottom w:val="nil"/>
              <w:right w:val="nil"/>
            </w:tcBorders>
            <w:noWrap/>
            <w:hideMark/>
          </w:tcPr>
          <w:p w14:paraId="07A29DB9" w14:textId="6F978707" w:rsidR="00860B8F" w:rsidRPr="0065366F" w:rsidRDefault="00860B8F" w:rsidP="00E50BA2">
            <w:pPr>
              <w:spacing w:line="360" w:lineRule="auto"/>
              <w:ind w:right="26"/>
              <w:jc w:val="center"/>
              <w:rPr>
                <w:rFonts w:ascii="Arial" w:hAnsi="Arial" w:cs="Arial"/>
              </w:rPr>
            </w:pPr>
            <w:r w:rsidRPr="0065366F">
              <w:rPr>
                <w:rFonts w:ascii="Arial" w:hAnsi="Arial" w:cs="Arial"/>
              </w:rPr>
              <w:t>1.58</w:t>
            </w:r>
          </w:p>
        </w:tc>
      </w:tr>
      <w:tr w:rsidR="00860B8F" w:rsidRPr="0065366F" w14:paraId="5FF728EE" w14:textId="77777777" w:rsidTr="00D12733">
        <w:trPr>
          <w:trHeight w:val="350"/>
        </w:trPr>
        <w:tc>
          <w:tcPr>
            <w:tcW w:w="2773" w:type="dxa"/>
            <w:tcBorders>
              <w:top w:val="nil"/>
              <w:left w:val="nil"/>
              <w:bottom w:val="nil"/>
              <w:right w:val="nil"/>
            </w:tcBorders>
            <w:hideMark/>
          </w:tcPr>
          <w:p w14:paraId="39DA8A5E" w14:textId="73132F01"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Log of firm age </w:t>
            </w:r>
          </w:p>
        </w:tc>
        <w:tc>
          <w:tcPr>
            <w:tcW w:w="1051" w:type="dxa"/>
            <w:tcBorders>
              <w:top w:val="nil"/>
              <w:left w:val="nil"/>
              <w:bottom w:val="nil"/>
              <w:right w:val="nil"/>
            </w:tcBorders>
            <w:noWrap/>
            <w:hideMark/>
          </w:tcPr>
          <w:p w14:paraId="0FFB1104" w14:textId="41FF31B3" w:rsidR="00860B8F" w:rsidRPr="0065366F" w:rsidRDefault="00860B8F" w:rsidP="00E50BA2">
            <w:pPr>
              <w:spacing w:line="360" w:lineRule="auto"/>
              <w:ind w:right="26"/>
              <w:jc w:val="center"/>
              <w:rPr>
                <w:rFonts w:ascii="Arial" w:hAnsi="Arial" w:cs="Arial"/>
              </w:rPr>
            </w:pPr>
            <w:r w:rsidRPr="0065366F">
              <w:rPr>
                <w:rFonts w:ascii="Arial" w:hAnsi="Arial" w:cs="Arial"/>
              </w:rPr>
              <w:t>0.27</w:t>
            </w:r>
            <w:r w:rsidR="00C943F5" w:rsidRPr="0065366F">
              <w:rPr>
                <w:rFonts w:ascii="Arial" w:hAnsi="Arial" w:cs="Arial"/>
              </w:rPr>
              <w:t>**</w:t>
            </w:r>
          </w:p>
        </w:tc>
        <w:tc>
          <w:tcPr>
            <w:tcW w:w="1096" w:type="dxa"/>
            <w:tcBorders>
              <w:top w:val="nil"/>
              <w:left w:val="nil"/>
              <w:bottom w:val="nil"/>
              <w:right w:val="nil"/>
            </w:tcBorders>
            <w:noWrap/>
            <w:hideMark/>
          </w:tcPr>
          <w:p w14:paraId="2DC88A44" w14:textId="76226F13" w:rsidR="00860B8F" w:rsidRPr="0065366F" w:rsidRDefault="00860B8F" w:rsidP="00E50BA2">
            <w:pPr>
              <w:spacing w:line="360" w:lineRule="auto"/>
              <w:ind w:right="26"/>
              <w:jc w:val="center"/>
              <w:rPr>
                <w:rFonts w:ascii="Arial" w:hAnsi="Arial" w:cs="Arial"/>
              </w:rPr>
            </w:pPr>
            <w:r w:rsidRPr="0065366F">
              <w:rPr>
                <w:rFonts w:ascii="Arial" w:hAnsi="Arial" w:cs="Arial"/>
              </w:rPr>
              <w:t>0.13</w:t>
            </w:r>
          </w:p>
        </w:tc>
        <w:tc>
          <w:tcPr>
            <w:tcW w:w="1200" w:type="dxa"/>
            <w:tcBorders>
              <w:top w:val="nil"/>
              <w:left w:val="nil"/>
              <w:bottom w:val="nil"/>
              <w:right w:val="nil"/>
            </w:tcBorders>
            <w:noWrap/>
            <w:hideMark/>
          </w:tcPr>
          <w:p w14:paraId="016D14F2" w14:textId="220C1DF2" w:rsidR="00860B8F" w:rsidRPr="0065366F" w:rsidRDefault="00860B8F" w:rsidP="00E50BA2">
            <w:pPr>
              <w:spacing w:line="360" w:lineRule="auto"/>
              <w:ind w:right="26"/>
              <w:jc w:val="center"/>
              <w:rPr>
                <w:rFonts w:ascii="Arial" w:hAnsi="Arial" w:cs="Arial"/>
              </w:rPr>
            </w:pPr>
            <w:r w:rsidRPr="0065366F">
              <w:rPr>
                <w:rFonts w:ascii="Arial" w:hAnsi="Arial" w:cs="Arial"/>
              </w:rPr>
              <w:t>0.11</w:t>
            </w:r>
          </w:p>
        </w:tc>
        <w:tc>
          <w:tcPr>
            <w:tcW w:w="1096" w:type="dxa"/>
            <w:tcBorders>
              <w:top w:val="nil"/>
              <w:left w:val="nil"/>
              <w:bottom w:val="nil"/>
              <w:right w:val="nil"/>
            </w:tcBorders>
            <w:noWrap/>
            <w:hideMark/>
          </w:tcPr>
          <w:p w14:paraId="50C92AE8" w14:textId="45E59213" w:rsidR="00860B8F" w:rsidRPr="0065366F" w:rsidRDefault="00860B8F" w:rsidP="00E50BA2">
            <w:pPr>
              <w:spacing w:line="360" w:lineRule="auto"/>
              <w:ind w:right="26"/>
              <w:jc w:val="center"/>
              <w:rPr>
                <w:rFonts w:ascii="Arial" w:hAnsi="Arial" w:cs="Arial"/>
              </w:rPr>
            </w:pPr>
            <w:r w:rsidRPr="0065366F">
              <w:rPr>
                <w:rFonts w:ascii="Arial" w:hAnsi="Arial" w:cs="Arial"/>
              </w:rPr>
              <w:t>2.07</w:t>
            </w:r>
          </w:p>
        </w:tc>
        <w:tc>
          <w:tcPr>
            <w:tcW w:w="1154" w:type="dxa"/>
            <w:tcBorders>
              <w:top w:val="nil"/>
              <w:left w:val="nil"/>
              <w:bottom w:val="nil"/>
              <w:right w:val="nil"/>
            </w:tcBorders>
            <w:noWrap/>
            <w:hideMark/>
          </w:tcPr>
          <w:p w14:paraId="507FD974" w14:textId="1321AF7B" w:rsidR="00860B8F" w:rsidRPr="0065366F" w:rsidRDefault="00860B8F" w:rsidP="00E50BA2">
            <w:pPr>
              <w:spacing w:line="360" w:lineRule="auto"/>
              <w:ind w:right="26"/>
              <w:jc w:val="center"/>
              <w:rPr>
                <w:rFonts w:ascii="Arial" w:hAnsi="Arial" w:cs="Arial"/>
              </w:rPr>
            </w:pPr>
            <w:r w:rsidRPr="0065366F">
              <w:rPr>
                <w:rFonts w:ascii="Arial" w:hAnsi="Arial" w:cs="Arial"/>
              </w:rPr>
              <w:t>0.04</w:t>
            </w:r>
          </w:p>
        </w:tc>
        <w:tc>
          <w:tcPr>
            <w:tcW w:w="677" w:type="dxa"/>
            <w:tcBorders>
              <w:top w:val="nil"/>
              <w:left w:val="nil"/>
              <w:bottom w:val="nil"/>
              <w:right w:val="nil"/>
            </w:tcBorders>
            <w:noWrap/>
            <w:hideMark/>
          </w:tcPr>
          <w:p w14:paraId="68109A2A" w14:textId="0ACC7F61" w:rsidR="00860B8F" w:rsidRPr="0065366F" w:rsidRDefault="00860B8F" w:rsidP="00E50BA2">
            <w:pPr>
              <w:spacing w:line="360" w:lineRule="auto"/>
              <w:ind w:right="26"/>
              <w:jc w:val="center"/>
              <w:rPr>
                <w:rFonts w:ascii="Arial" w:hAnsi="Arial" w:cs="Arial"/>
              </w:rPr>
            </w:pPr>
            <w:r w:rsidRPr="0065366F">
              <w:rPr>
                <w:rFonts w:ascii="Arial" w:hAnsi="Arial" w:cs="Arial"/>
              </w:rPr>
              <w:t>1.61</w:t>
            </w:r>
          </w:p>
        </w:tc>
      </w:tr>
      <w:tr w:rsidR="00860B8F" w:rsidRPr="0065366F" w14:paraId="06A7A230" w14:textId="77777777" w:rsidTr="00D12733">
        <w:trPr>
          <w:trHeight w:val="269"/>
        </w:trPr>
        <w:tc>
          <w:tcPr>
            <w:tcW w:w="2773" w:type="dxa"/>
            <w:tcBorders>
              <w:top w:val="nil"/>
              <w:left w:val="nil"/>
              <w:bottom w:val="nil"/>
              <w:right w:val="nil"/>
            </w:tcBorders>
            <w:hideMark/>
          </w:tcPr>
          <w:p w14:paraId="5900967B" w14:textId="0E55CD97"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Log of current capital </w:t>
            </w:r>
          </w:p>
        </w:tc>
        <w:tc>
          <w:tcPr>
            <w:tcW w:w="1051" w:type="dxa"/>
            <w:tcBorders>
              <w:top w:val="nil"/>
              <w:left w:val="nil"/>
              <w:bottom w:val="nil"/>
              <w:right w:val="nil"/>
            </w:tcBorders>
            <w:noWrap/>
            <w:hideMark/>
          </w:tcPr>
          <w:p w14:paraId="0699C75A" w14:textId="0CBCCD69" w:rsidR="00860B8F" w:rsidRPr="0065366F" w:rsidRDefault="00860B8F" w:rsidP="00E50BA2">
            <w:pPr>
              <w:spacing w:line="360" w:lineRule="auto"/>
              <w:ind w:right="26"/>
              <w:jc w:val="center"/>
              <w:rPr>
                <w:rFonts w:ascii="Arial" w:hAnsi="Arial" w:cs="Arial"/>
              </w:rPr>
            </w:pPr>
            <w:r w:rsidRPr="0065366F">
              <w:rPr>
                <w:rFonts w:ascii="Arial" w:hAnsi="Arial" w:cs="Arial"/>
              </w:rPr>
              <w:t>0.40</w:t>
            </w:r>
            <w:r w:rsidR="00C943F5" w:rsidRPr="0065366F">
              <w:rPr>
                <w:rFonts w:ascii="Arial" w:hAnsi="Arial" w:cs="Arial"/>
              </w:rPr>
              <w:t>***</w:t>
            </w:r>
          </w:p>
        </w:tc>
        <w:tc>
          <w:tcPr>
            <w:tcW w:w="1096" w:type="dxa"/>
            <w:tcBorders>
              <w:top w:val="nil"/>
              <w:left w:val="nil"/>
              <w:bottom w:val="nil"/>
              <w:right w:val="nil"/>
            </w:tcBorders>
            <w:noWrap/>
            <w:hideMark/>
          </w:tcPr>
          <w:p w14:paraId="548172EE" w14:textId="4220E76C" w:rsidR="00860B8F" w:rsidRPr="0065366F" w:rsidRDefault="00860B8F" w:rsidP="00E50BA2">
            <w:pPr>
              <w:spacing w:line="360" w:lineRule="auto"/>
              <w:ind w:right="26"/>
              <w:jc w:val="center"/>
              <w:rPr>
                <w:rFonts w:ascii="Arial" w:hAnsi="Arial" w:cs="Arial"/>
              </w:rPr>
            </w:pPr>
            <w:r w:rsidRPr="0065366F">
              <w:rPr>
                <w:rFonts w:ascii="Arial" w:hAnsi="Arial" w:cs="Arial"/>
              </w:rPr>
              <w:t>0.05</w:t>
            </w:r>
          </w:p>
        </w:tc>
        <w:tc>
          <w:tcPr>
            <w:tcW w:w="1200" w:type="dxa"/>
            <w:tcBorders>
              <w:top w:val="nil"/>
              <w:left w:val="nil"/>
              <w:bottom w:val="nil"/>
              <w:right w:val="nil"/>
            </w:tcBorders>
            <w:noWrap/>
            <w:hideMark/>
          </w:tcPr>
          <w:p w14:paraId="0522E6E3" w14:textId="035AEF82" w:rsidR="00860B8F" w:rsidRPr="0065366F" w:rsidRDefault="00860B8F" w:rsidP="00E50BA2">
            <w:pPr>
              <w:spacing w:line="360" w:lineRule="auto"/>
              <w:ind w:right="26"/>
              <w:jc w:val="center"/>
              <w:rPr>
                <w:rFonts w:ascii="Arial" w:hAnsi="Arial" w:cs="Arial"/>
              </w:rPr>
            </w:pPr>
            <w:r w:rsidRPr="0065366F">
              <w:rPr>
                <w:rFonts w:ascii="Arial" w:hAnsi="Arial" w:cs="Arial"/>
              </w:rPr>
              <w:t>0.47</w:t>
            </w:r>
          </w:p>
        </w:tc>
        <w:tc>
          <w:tcPr>
            <w:tcW w:w="1096" w:type="dxa"/>
            <w:tcBorders>
              <w:top w:val="nil"/>
              <w:left w:val="nil"/>
              <w:bottom w:val="nil"/>
              <w:right w:val="nil"/>
            </w:tcBorders>
            <w:noWrap/>
            <w:hideMark/>
          </w:tcPr>
          <w:p w14:paraId="27003E73" w14:textId="52A2F676" w:rsidR="00860B8F" w:rsidRPr="0065366F" w:rsidRDefault="00860B8F" w:rsidP="00E50BA2">
            <w:pPr>
              <w:spacing w:line="360" w:lineRule="auto"/>
              <w:ind w:right="26"/>
              <w:jc w:val="center"/>
              <w:rPr>
                <w:rFonts w:ascii="Arial" w:hAnsi="Arial" w:cs="Arial"/>
              </w:rPr>
            </w:pPr>
            <w:r w:rsidRPr="0065366F">
              <w:rPr>
                <w:rFonts w:ascii="Arial" w:hAnsi="Arial" w:cs="Arial"/>
              </w:rPr>
              <w:t>8.68</w:t>
            </w:r>
          </w:p>
        </w:tc>
        <w:tc>
          <w:tcPr>
            <w:tcW w:w="1154" w:type="dxa"/>
            <w:tcBorders>
              <w:top w:val="nil"/>
              <w:left w:val="nil"/>
              <w:bottom w:val="nil"/>
              <w:right w:val="nil"/>
            </w:tcBorders>
            <w:noWrap/>
            <w:hideMark/>
          </w:tcPr>
          <w:p w14:paraId="4F688D28" w14:textId="50D5FB76" w:rsidR="00860B8F" w:rsidRPr="0065366F" w:rsidRDefault="00860B8F" w:rsidP="00E50BA2">
            <w:pPr>
              <w:spacing w:line="360" w:lineRule="auto"/>
              <w:ind w:right="26"/>
              <w:jc w:val="center"/>
              <w:rPr>
                <w:rFonts w:ascii="Arial" w:hAnsi="Arial" w:cs="Arial"/>
              </w:rPr>
            </w:pPr>
            <w:r w:rsidRPr="0065366F">
              <w:rPr>
                <w:rFonts w:ascii="Arial" w:hAnsi="Arial" w:cs="Arial"/>
              </w:rPr>
              <w:t>0.00</w:t>
            </w:r>
          </w:p>
        </w:tc>
        <w:tc>
          <w:tcPr>
            <w:tcW w:w="677" w:type="dxa"/>
            <w:tcBorders>
              <w:top w:val="nil"/>
              <w:left w:val="nil"/>
              <w:bottom w:val="nil"/>
              <w:right w:val="nil"/>
            </w:tcBorders>
            <w:noWrap/>
            <w:hideMark/>
          </w:tcPr>
          <w:p w14:paraId="2F05A56A" w14:textId="5C0755A7" w:rsidR="00860B8F" w:rsidRPr="0065366F" w:rsidRDefault="00860B8F" w:rsidP="00E50BA2">
            <w:pPr>
              <w:spacing w:line="360" w:lineRule="auto"/>
              <w:ind w:right="26"/>
              <w:jc w:val="center"/>
              <w:rPr>
                <w:rFonts w:ascii="Arial" w:hAnsi="Arial" w:cs="Arial"/>
              </w:rPr>
            </w:pPr>
            <w:r w:rsidRPr="0065366F">
              <w:rPr>
                <w:rFonts w:ascii="Arial" w:hAnsi="Arial" w:cs="Arial"/>
              </w:rPr>
              <w:t>1.32</w:t>
            </w:r>
          </w:p>
        </w:tc>
      </w:tr>
      <w:tr w:rsidR="00860B8F" w:rsidRPr="0065366F" w14:paraId="0C255EA6" w14:textId="77777777" w:rsidTr="00D12733">
        <w:trPr>
          <w:trHeight w:val="287"/>
        </w:trPr>
        <w:tc>
          <w:tcPr>
            <w:tcW w:w="2773" w:type="dxa"/>
            <w:tcBorders>
              <w:top w:val="nil"/>
              <w:left w:val="nil"/>
              <w:bottom w:val="nil"/>
              <w:right w:val="nil"/>
            </w:tcBorders>
            <w:hideMark/>
          </w:tcPr>
          <w:p w14:paraId="3DE1BB0B" w14:textId="3C1CBB9A"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Log of fixed assets </w:t>
            </w:r>
          </w:p>
        </w:tc>
        <w:tc>
          <w:tcPr>
            <w:tcW w:w="1051" w:type="dxa"/>
            <w:tcBorders>
              <w:top w:val="nil"/>
              <w:left w:val="nil"/>
              <w:bottom w:val="nil"/>
              <w:right w:val="nil"/>
            </w:tcBorders>
            <w:noWrap/>
            <w:hideMark/>
          </w:tcPr>
          <w:p w14:paraId="17D17821" w14:textId="3555E5B4" w:rsidR="00860B8F" w:rsidRPr="0065366F" w:rsidRDefault="00860B8F" w:rsidP="00E50BA2">
            <w:pPr>
              <w:spacing w:line="360" w:lineRule="auto"/>
              <w:ind w:right="26"/>
              <w:jc w:val="center"/>
              <w:rPr>
                <w:rFonts w:ascii="Arial" w:hAnsi="Arial" w:cs="Arial"/>
              </w:rPr>
            </w:pPr>
            <w:r w:rsidRPr="0065366F">
              <w:rPr>
                <w:rFonts w:ascii="Arial" w:hAnsi="Arial" w:cs="Arial"/>
              </w:rPr>
              <w:t>0.09</w:t>
            </w:r>
            <w:r w:rsidR="00C943F5" w:rsidRPr="0065366F">
              <w:rPr>
                <w:rFonts w:ascii="Arial" w:hAnsi="Arial" w:cs="Arial"/>
              </w:rPr>
              <w:t>***</w:t>
            </w:r>
          </w:p>
        </w:tc>
        <w:tc>
          <w:tcPr>
            <w:tcW w:w="1096" w:type="dxa"/>
            <w:tcBorders>
              <w:top w:val="nil"/>
              <w:left w:val="nil"/>
              <w:bottom w:val="nil"/>
              <w:right w:val="nil"/>
            </w:tcBorders>
            <w:noWrap/>
            <w:hideMark/>
          </w:tcPr>
          <w:p w14:paraId="59FA4960" w14:textId="3B59ED4D" w:rsidR="00860B8F" w:rsidRPr="0065366F" w:rsidRDefault="00860B8F" w:rsidP="00E50BA2">
            <w:pPr>
              <w:spacing w:line="360" w:lineRule="auto"/>
              <w:ind w:right="26"/>
              <w:jc w:val="center"/>
              <w:rPr>
                <w:rFonts w:ascii="Arial" w:hAnsi="Arial" w:cs="Arial"/>
              </w:rPr>
            </w:pPr>
            <w:r w:rsidRPr="0065366F">
              <w:rPr>
                <w:rFonts w:ascii="Arial" w:hAnsi="Arial" w:cs="Arial"/>
              </w:rPr>
              <w:t>0.03</w:t>
            </w:r>
          </w:p>
        </w:tc>
        <w:tc>
          <w:tcPr>
            <w:tcW w:w="1200" w:type="dxa"/>
            <w:tcBorders>
              <w:top w:val="nil"/>
              <w:left w:val="nil"/>
              <w:bottom w:val="nil"/>
              <w:right w:val="nil"/>
            </w:tcBorders>
            <w:noWrap/>
            <w:hideMark/>
          </w:tcPr>
          <w:p w14:paraId="71DDDB56" w14:textId="03F184AF" w:rsidR="00860B8F" w:rsidRPr="0065366F" w:rsidRDefault="00860B8F" w:rsidP="00E50BA2">
            <w:pPr>
              <w:spacing w:line="360" w:lineRule="auto"/>
              <w:ind w:right="26"/>
              <w:jc w:val="center"/>
              <w:rPr>
                <w:rFonts w:ascii="Arial" w:hAnsi="Arial" w:cs="Arial"/>
              </w:rPr>
            </w:pPr>
            <w:r w:rsidRPr="0065366F">
              <w:rPr>
                <w:rFonts w:ascii="Arial" w:hAnsi="Arial" w:cs="Arial"/>
              </w:rPr>
              <w:t>0.20</w:t>
            </w:r>
          </w:p>
        </w:tc>
        <w:tc>
          <w:tcPr>
            <w:tcW w:w="1096" w:type="dxa"/>
            <w:tcBorders>
              <w:top w:val="nil"/>
              <w:left w:val="nil"/>
              <w:bottom w:val="nil"/>
              <w:right w:val="nil"/>
            </w:tcBorders>
            <w:noWrap/>
            <w:hideMark/>
          </w:tcPr>
          <w:p w14:paraId="67346EEC" w14:textId="637BDBA7" w:rsidR="00860B8F" w:rsidRPr="0065366F" w:rsidRDefault="00860B8F" w:rsidP="00E50BA2">
            <w:pPr>
              <w:spacing w:line="360" w:lineRule="auto"/>
              <w:ind w:right="26"/>
              <w:jc w:val="center"/>
              <w:rPr>
                <w:rFonts w:ascii="Arial" w:hAnsi="Arial" w:cs="Arial"/>
              </w:rPr>
            </w:pPr>
            <w:r w:rsidRPr="0065366F">
              <w:rPr>
                <w:rFonts w:ascii="Arial" w:hAnsi="Arial" w:cs="Arial"/>
              </w:rPr>
              <w:t>3.42</w:t>
            </w:r>
          </w:p>
        </w:tc>
        <w:tc>
          <w:tcPr>
            <w:tcW w:w="1154" w:type="dxa"/>
            <w:tcBorders>
              <w:top w:val="nil"/>
              <w:left w:val="nil"/>
              <w:bottom w:val="nil"/>
              <w:right w:val="nil"/>
            </w:tcBorders>
            <w:noWrap/>
            <w:hideMark/>
          </w:tcPr>
          <w:p w14:paraId="6190372A" w14:textId="21A68AB5" w:rsidR="00860B8F" w:rsidRPr="0065366F" w:rsidRDefault="00860B8F" w:rsidP="00E50BA2">
            <w:pPr>
              <w:spacing w:line="360" w:lineRule="auto"/>
              <w:ind w:right="26"/>
              <w:jc w:val="center"/>
              <w:rPr>
                <w:rFonts w:ascii="Arial" w:hAnsi="Arial" w:cs="Arial"/>
              </w:rPr>
            </w:pPr>
            <w:r w:rsidRPr="0065366F">
              <w:rPr>
                <w:rFonts w:ascii="Arial" w:hAnsi="Arial" w:cs="Arial"/>
              </w:rPr>
              <w:t>0.00</w:t>
            </w:r>
          </w:p>
        </w:tc>
        <w:tc>
          <w:tcPr>
            <w:tcW w:w="677" w:type="dxa"/>
            <w:tcBorders>
              <w:top w:val="nil"/>
              <w:left w:val="nil"/>
              <w:bottom w:val="nil"/>
              <w:right w:val="nil"/>
            </w:tcBorders>
            <w:noWrap/>
            <w:hideMark/>
          </w:tcPr>
          <w:p w14:paraId="3BCB9524" w14:textId="709EE3BC" w:rsidR="00860B8F" w:rsidRPr="0065366F" w:rsidRDefault="00860B8F" w:rsidP="00E50BA2">
            <w:pPr>
              <w:spacing w:line="360" w:lineRule="auto"/>
              <w:ind w:right="26"/>
              <w:jc w:val="center"/>
              <w:rPr>
                <w:rFonts w:ascii="Arial" w:hAnsi="Arial" w:cs="Arial"/>
              </w:rPr>
            </w:pPr>
            <w:r w:rsidRPr="0065366F">
              <w:rPr>
                <w:rFonts w:ascii="Arial" w:hAnsi="Arial" w:cs="Arial"/>
              </w:rPr>
              <w:t>1.28</w:t>
            </w:r>
          </w:p>
        </w:tc>
      </w:tr>
      <w:tr w:rsidR="00860B8F" w:rsidRPr="0065366F" w14:paraId="70C0E5E1" w14:textId="77777777" w:rsidTr="00D12733">
        <w:trPr>
          <w:trHeight w:val="359"/>
        </w:trPr>
        <w:tc>
          <w:tcPr>
            <w:tcW w:w="2773" w:type="dxa"/>
            <w:tcBorders>
              <w:top w:val="nil"/>
              <w:left w:val="nil"/>
              <w:bottom w:val="nil"/>
              <w:right w:val="nil"/>
            </w:tcBorders>
            <w:hideMark/>
          </w:tcPr>
          <w:p w14:paraId="4BA5533E" w14:textId="0D2410F5" w:rsidR="00860B8F" w:rsidRPr="0065366F" w:rsidRDefault="00860B8F" w:rsidP="00E50BA2">
            <w:pPr>
              <w:spacing w:line="360" w:lineRule="auto"/>
              <w:ind w:right="26"/>
              <w:jc w:val="both"/>
              <w:rPr>
                <w:rFonts w:ascii="Arial" w:hAnsi="Arial" w:cs="Arial"/>
              </w:rPr>
            </w:pPr>
            <w:r w:rsidRPr="0065366F">
              <w:rPr>
                <w:rFonts w:ascii="Arial" w:hAnsi="Arial" w:cs="Arial"/>
              </w:rPr>
              <w:t>Distributed townships</w:t>
            </w:r>
          </w:p>
        </w:tc>
        <w:tc>
          <w:tcPr>
            <w:tcW w:w="1051" w:type="dxa"/>
            <w:tcBorders>
              <w:top w:val="nil"/>
              <w:left w:val="nil"/>
              <w:bottom w:val="nil"/>
              <w:right w:val="nil"/>
            </w:tcBorders>
            <w:noWrap/>
            <w:hideMark/>
          </w:tcPr>
          <w:p w14:paraId="20775FBF" w14:textId="3BAB3A41" w:rsidR="00860B8F" w:rsidRPr="0065366F" w:rsidRDefault="00860B8F" w:rsidP="00E50BA2">
            <w:pPr>
              <w:spacing w:line="360" w:lineRule="auto"/>
              <w:ind w:right="26"/>
              <w:jc w:val="center"/>
              <w:rPr>
                <w:rFonts w:ascii="Arial" w:hAnsi="Arial" w:cs="Arial"/>
              </w:rPr>
            </w:pPr>
            <w:r w:rsidRPr="0065366F">
              <w:rPr>
                <w:rFonts w:ascii="Arial" w:hAnsi="Arial" w:cs="Arial"/>
              </w:rPr>
              <w:t>0.06</w:t>
            </w:r>
            <w:r w:rsidR="00C943F5" w:rsidRPr="0065366F">
              <w:rPr>
                <w:rFonts w:ascii="Arial" w:hAnsi="Arial" w:cs="Arial"/>
              </w:rPr>
              <w:t>**</w:t>
            </w:r>
          </w:p>
        </w:tc>
        <w:tc>
          <w:tcPr>
            <w:tcW w:w="1096" w:type="dxa"/>
            <w:tcBorders>
              <w:top w:val="nil"/>
              <w:left w:val="nil"/>
              <w:bottom w:val="nil"/>
              <w:right w:val="nil"/>
            </w:tcBorders>
            <w:noWrap/>
            <w:hideMark/>
          </w:tcPr>
          <w:p w14:paraId="1EA0DD48" w14:textId="32E6B2BF" w:rsidR="00860B8F" w:rsidRPr="0065366F" w:rsidRDefault="00860B8F" w:rsidP="00E50BA2">
            <w:pPr>
              <w:spacing w:line="360" w:lineRule="auto"/>
              <w:ind w:right="26"/>
              <w:jc w:val="center"/>
              <w:rPr>
                <w:rFonts w:ascii="Arial" w:hAnsi="Arial" w:cs="Arial"/>
              </w:rPr>
            </w:pPr>
            <w:r w:rsidRPr="0065366F">
              <w:rPr>
                <w:rFonts w:ascii="Arial" w:hAnsi="Arial" w:cs="Arial"/>
              </w:rPr>
              <w:t>0.02</w:t>
            </w:r>
          </w:p>
        </w:tc>
        <w:tc>
          <w:tcPr>
            <w:tcW w:w="1200" w:type="dxa"/>
            <w:tcBorders>
              <w:top w:val="nil"/>
              <w:left w:val="nil"/>
              <w:bottom w:val="nil"/>
              <w:right w:val="nil"/>
            </w:tcBorders>
            <w:noWrap/>
            <w:hideMark/>
          </w:tcPr>
          <w:p w14:paraId="1C55E428" w14:textId="576408C6" w:rsidR="00860B8F" w:rsidRPr="0065366F" w:rsidRDefault="00860B8F" w:rsidP="00E50BA2">
            <w:pPr>
              <w:spacing w:line="360" w:lineRule="auto"/>
              <w:ind w:right="26"/>
              <w:jc w:val="center"/>
              <w:rPr>
                <w:rFonts w:ascii="Arial" w:hAnsi="Arial" w:cs="Arial"/>
              </w:rPr>
            </w:pPr>
            <w:r w:rsidRPr="0065366F">
              <w:rPr>
                <w:rFonts w:ascii="Arial" w:hAnsi="Arial" w:cs="Arial"/>
              </w:rPr>
              <w:t>0.14</w:t>
            </w:r>
          </w:p>
        </w:tc>
        <w:tc>
          <w:tcPr>
            <w:tcW w:w="1096" w:type="dxa"/>
            <w:tcBorders>
              <w:top w:val="nil"/>
              <w:left w:val="nil"/>
              <w:bottom w:val="nil"/>
              <w:right w:val="nil"/>
            </w:tcBorders>
            <w:noWrap/>
            <w:hideMark/>
          </w:tcPr>
          <w:p w14:paraId="261E9392" w14:textId="33B18765" w:rsidR="00860B8F" w:rsidRPr="0065366F" w:rsidRDefault="00860B8F" w:rsidP="00E50BA2">
            <w:pPr>
              <w:spacing w:line="360" w:lineRule="auto"/>
              <w:ind w:right="26"/>
              <w:jc w:val="center"/>
              <w:rPr>
                <w:rFonts w:ascii="Arial" w:hAnsi="Arial" w:cs="Arial"/>
              </w:rPr>
            </w:pPr>
            <w:r w:rsidRPr="0065366F">
              <w:rPr>
                <w:rFonts w:ascii="Arial" w:hAnsi="Arial" w:cs="Arial"/>
              </w:rPr>
              <w:t>2.79</w:t>
            </w:r>
          </w:p>
        </w:tc>
        <w:tc>
          <w:tcPr>
            <w:tcW w:w="1154" w:type="dxa"/>
            <w:tcBorders>
              <w:top w:val="nil"/>
              <w:left w:val="nil"/>
              <w:bottom w:val="nil"/>
              <w:right w:val="nil"/>
            </w:tcBorders>
            <w:noWrap/>
            <w:hideMark/>
          </w:tcPr>
          <w:p w14:paraId="7E1014FD" w14:textId="3CA40402" w:rsidR="00860B8F" w:rsidRPr="0065366F" w:rsidRDefault="00860B8F" w:rsidP="00E50BA2">
            <w:pPr>
              <w:spacing w:line="360" w:lineRule="auto"/>
              <w:ind w:right="26"/>
              <w:jc w:val="center"/>
              <w:rPr>
                <w:rFonts w:ascii="Arial" w:hAnsi="Arial" w:cs="Arial"/>
              </w:rPr>
            </w:pPr>
            <w:r w:rsidRPr="0065366F">
              <w:rPr>
                <w:rFonts w:ascii="Arial" w:hAnsi="Arial" w:cs="Arial"/>
              </w:rPr>
              <w:t>0.01</w:t>
            </w:r>
          </w:p>
        </w:tc>
        <w:tc>
          <w:tcPr>
            <w:tcW w:w="677" w:type="dxa"/>
            <w:tcBorders>
              <w:top w:val="nil"/>
              <w:left w:val="nil"/>
              <w:bottom w:val="nil"/>
              <w:right w:val="nil"/>
            </w:tcBorders>
            <w:noWrap/>
            <w:hideMark/>
          </w:tcPr>
          <w:p w14:paraId="477BBAFA" w14:textId="78701B87" w:rsidR="00860B8F" w:rsidRPr="0065366F" w:rsidRDefault="00860B8F" w:rsidP="00E50BA2">
            <w:pPr>
              <w:spacing w:line="360" w:lineRule="auto"/>
              <w:ind w:right="26"/>
              <w:jc w:val="center"/>
              <w:rPr>
                <w:rFonts w:ascii="Arial" w:hAnsi="Arial" w:cs="Arial"/>
              </w:rPr>
            </w:pPr>
            <w:r w:rsidRPr="0065366F">
              <w:rPr>
                <w:rFonts w:ascii="Arial" w:hAnsi="Arial" w:cs="Arial"/>
              </w:rPr>
              <w:t>1.52</w:t>
            </w:r>
          </w:p>
        </w:tc>
      </w:tr>
      <w:tr w:rsidR="00860B8F" w:rsidRPr="0065366F" w14:paraId="5FF66190" w14:textId="77777777" w:rsidTr="00D12733">
        <w:trPr>
          <w:trHeight w:val="305"/>
        </w:trPr>
        <w:tc>
          <w:tcPr>
            <w:tcW w:w="2773" w:type="dxa"/>
            <w:tcBorders>
              <w:top w:val="nil"/>
              <w:left w:val="nil"/>
              <w:bottom w:val="nil"/>
              <w:right w:val="nil"/>
            </w:tcBorders>
            <w:hideMark/>
          </w:tcPr>
          <w:p w14:paraId="338811F1" w14:textId="7B3AA427" w:rsidR="00860B8F" w:rsidRPr="0065366F" w:rsidRDefault="00860B8F" w:rsidP="00E50BA2">
            <w:pPr>
              <w:spacing w:line="360" w:lineRule="auto"/>
              <w:ind w:right="26"/>
              <w:jc w:val="both"/>
              <w:rPr>
                <w:rFonts w:ascii="Arial" w:hAnsi="Arial" w:cs="Arial"/>
              </w:rPr>
            </w:pPr>
            <w:r w:rsidRPr="0065366F">
              <w:rPr>
                <w:rFonts w:ascii="Arial" w:hAnsi="Arial" w:cs="Arial"/>
              </w:rPr>
              <w:t>Kind of MSME</w:t>
            </w:r>
          </w:p>
        </w:tc>
        <w:tc>
          <w:tcPr>
            <w:tcW w:w="1051" w:type="dxa"/>
            <w:tcBorders>
              <w:top w:val="nil"/>
              <w:left w:val="nil"/>
              <w:bottom w:val="nil"/>
              <w:right w:val="nil"/>
            </w:tcBorders>
            <w:noWrap/>
            <w:hideMark/>
          </w:tcPr>
          <w:p w14:paraId="0625097F" w14:textId="13B86DCC" w:rsidR="00860B8F" w:rsidRPr="0065366F" w:rsidRDefault="00860B8F" w:rsidP="00E50BA2">
            <w:pPr>
              <w:spacing w:line="360" w:lineRule="auto"/>
              <w:ind w:right="26"/>
              <w:jc w:val="center"/>
              <w:rPr>
                <w:rFonts w:ascii="Arial" w:hAnsi="Arial" w:cs="Arial"/>
              </w:rPr>
            </w:pPr>
            <w:r w:rsidRPr="0065366F">
              <w:rPr>
                <w:rFonts w:ascii="Arial" w:hAnsi="Arial" w:cs="Arial"/>
              </w:rPr>
              <w:t>0.31</w:t>
            </w:r>
            <w:r w:rsidR="00C943F5" w:rsidRPr="0065366F">
              <w:rPr>
                <w:rFonts w:ascii="Arial" w:hAnsi="Arial" w:cs="Arial"/>
              </w:rPr>
              <w:t>**</w:t>
            </w:r>
          </w:p>
        </w:tc>
        <w:tc>
          <w:tcPr>
            <w:tcW w:w="1096" w:type="dxa"/>
            <w:tcBorders>
              <w:top w:val="nil"/>
              <w:left w:val="nil"/>
              <w:bottom w:val="nil"/>
              <w:right w:val="nil"/>
            </w:tcBorders>
            <w:noWrap/>
            <w:hideMark/>
          </w:tcPr>
          <w:p w14:paraId="55E9F06D" w14:textId="2558E7E1" w:rsidR="00860B8F" w:rsidRPr="0065366F" w:rsidRDefault="00860B8F" w:rsidP="00E50BA2">
            <w:pPr>
              <w:spacing w:line="360" w:lineRule="auto"/>
              <w:ind w:right="26"/>
              <w:jc w:val="center"/>
              <w:rPr>
                <w:rFonts w:ascii="Arial" w:hAnsi="Arial" w:cs="Arial"/>
              </w:rPr>
            </w:pPr>
            <w:r w:rsidRPr="0065366F">
              <w:rPr>
                <w:rFonts w:ascii="Arial" w:hAnsi="Arial" w:cs="Arial"/>
              </w:rPr>
              <w:t>0.15</w:t>
            </w:r>
          </w:p>
        </w:tc>
        <w:tc>
          <w:tcPr>
            <w:tcW w:w="1200" w:type="dxa"/>
            <w:tcBorders>
              <w:top w:val="nil"/>
              <w:left w:val="nil"/>
              <w:bottom w:val="nil"/>
              <w:right w:val="nil"/>
            </w:tcBorders>
            <w:noWrap/>
            <w:hideMark/>
          </w:tcPr>
          <w:p w14:paraId="0AB974A5" w14:textId="5EC46220" w:rsidR="00860B8F" w:rsidRPr="0065366F" w:rsidRDefault="00860B8F" w:rsidP="00E50BA2">
            <w:pPr>
              <w:spacing w:line="360" w:lineRule="auto"/>
              <w:ind w:right="26"/>
              <w:jc w:val="center"/>
              <w:rPr>
                <w:rFonts w:ascii="Arial" w:hAnsi="Arial" w:cs="Arial"/>
              </w:rPr>
            </w:pPr>
            <w:r w:rsidRPr="0065366F">
              <w:rPr>
                <w:rFonts w:ascii="Arial" w:hAnsi="Arial" w:cs="Arial"/>
              </w:rPr>
              <w:t>0.13</w:t>
            </w:r>
          </w:p>
        </w:tc>
        <w:tc>
          <w:tcPr>
            <w:tcW w:w="1096" w:type="dxa"/>
            <w:tcBorders>
              <w:top w:val="nil"/>
              <w:left w:val="nil"/>
              <w:bottom w:val="nil"/>
              <w:right w:val="nil"/>
            </w:tcBorders>
            <w:noWrap/>
            <w:hideMark/>
          </w:tcPr>
          <w:p w14:paraId="07BC98C4" w14:textId="2EF55917" w:rsidR="00860B8F" w:rsidRPr="0065366F" w:rsidRDefault="00860B8F" w:rsidP="00E50BA2">
            <w:pPr>
              <w:spacing w:line="360" w:lineRule="auto"/>
              <w:ind w:right="26"/>
              <w:jc w:val="center"/>
              <w:rPr>
                <w:rFonts w:ascii="Arial" w:hAnsi="Arial" w:cs="Arial"/>
              </w:rPr>
            </w:pPr>
            <w:r w:rsidRPr="0065366F">
              <w:rPr>
                <w:rFonts w:ascii="Arial" w:hAnsi="Arial" w:cs="Arial"/>
              </w:rPr>
              <w:t>2.04</w:t>
            </w:r>
          </w:p>
        </w:tc>
        <w:tc>
          <w:tcPr>
            <w:tcW w:w="1154" w:type="dxa"/>
            <w:tcBorders>
              <w:top w:val="nil"/>
              <w:left w:val="nil"/>
              <w:bottom w:val="nil"/>
              <w:right w:val="nil"/>
            </w:tcBorders>
            <w:noWrap/>
            <w:hideMark/>
          </w:tcPr>
          <w:p w14:paraId="693D3ADE" w14:textId="15679DAD" w:rsidR="00860B8F" w:rsidRPr="0065366F" w:rsidRDefault="00860B8F" w:rsidP="00E50BA2">
            <w:pPr>
              <w:spacing w:line="360" w:lineRule="auto"/>
              <w:ind w:right="26"/>
              <w:jc w:val="center"/>
              <w:rPr>
                <w:rFonts w:ascii="Arial" w:hAnsi="Arial" w:cs="Arial"/>
              </w:rPr>
            </w:pPr>
            <w:r w:rsidRPr="0065366F">
              <w:rPr>
                <w:rFonts w:ascii="Arial" w:hAnsi="Arial" w:cs="Arial"/>
              </w:rPr>
              <w:t>0.04</w:t>
            </w:r>
          </w:p>
        </w:tc>
        <w:tc>
          <w:tcPr>
            <w:tcW w:w="677" w:type="dxa"/>
            <w:tcBorders>
              <w:top w:val="nil"/>
              <w:left w:val="nil"/>
              <w:bottom w:val="nil"/>
              <w:right w:val="nil"/>
            </w:tcBorders>
            <w:noWrap/>
            <w:hideMark/>
          </w:tcPr>
          <w:p w14:paraId="4DA577EB" w14:textId="5780C376" w:rsidR="00860B8F" w:rsidRPr="0065366F" w:rsidRDefault="00860B8F" w:rsidP="00E50BA2">
            <w:pPr>
              <w:spacing w:line="360" w:lineRule="auto"/>
              <w:ind w:right="26"/>
              <w:jc w:val="center"/>
              <w:rPr>
                <w:rFonts w:ascii="Arial" w:hAnsi="Arial" w:cs="Arial"/>
              </w:rPr>
            </w:pPr>
            <w:r w:rsidRPr="0065366F">
              <w:rPr>
                <w:rFonts w:ascii="Arial" w:hAnsi="Arial" w:cs="Arial"/>
              </w:rPr>
              <w:t>1.74</w:t>
            </w:r>
          </w:p>
        </w:tc>
      </w:tr>
      <w:tr w:rsidR="00860B8F" w:rsidRPr="0065366F" w14:paraId="1B51E606" w14:textId="77777777" w:rsidTr="00D12733">
        <w:trPr>
          <w:trHeight w:val="261"/>
        </w:trPr>
        <w:tc>
          <w:tcPr>
            <w:tcW w:w="2773" w:type="dxa"/>
            <w:tcBorders>
              <w:top w:val="nil"/>
              <w:left w:val="nil"/>
              <w:bottom w:val="nil"/>
              <w:right w:val="nil"/>
            </w:tcBorders>
            <w:hideMark/>
          </w:tcPr>
          <w:p w14:paraId="3328241D" w14:textId="4318B2EA" w:rsidR="00860B8F" w:rsidRPr="0065366F" w:rsidRDefault="00860B8F" w:rsidP="00E50BA2">
            <w:pPr>
              <w:spacing w:line="360" w:lineRule="auto"/>
              <w:ind w:right="26"/>
              <w:jc w:val="both"/>
              <w:rPr>
                <w:rFonts w:ascii="Arial" w:hAnsi="Arial" w:cs="Arial"/>
              </w:rPr>
            </w:pPr>
            <w:r w:rsidRPr="0065366F">
              <w:rPr>
                <w:rFonts w:ascii="Arial" w:hAnsi="Arial" w:cs="Arial"/>
              </w:rPr>
              <w:t>Loan access</w:t>
            </w:r>
          </w:p>
        </w:tc>
        <w:tc>
          <w:tcPr>
            <w:tcW w:w="1051" w:type="dxa"/>
            <w:tcBorders>
              <w:top w:val="nil"/>
              <w:left w:val="nil"/>
              <w:bottom w:val="nil"/>
              <w:right w:val="nil"/>
            </w:tcBorders>
            <w:noWrap/>
            <w:hideMark/>
          </w:tcPr>
          <w:p w14:paraId="25FE3272" w14:textId="25949646" w:rsidR="00860B8F" w:rsidRPr="0065366F" w:rsidRDefault="00860B8F" w:rsidP="00E50BA2">
            <w:pPr>
              <w:spacing w:line="360" w:lineRule="auto"/>
              <w:ind w:right="26"/>
              <w:jc w:val="center"/>
              <w:rPr>
                <w:rFonts w:ascii="Arial" w:hAnsi="Arial" w:cs="Arial"/>
              </w:rPr>
            </w:pPr>
            <w:r w:rsidRPr="0065366F">
              <w:rPr>
                <w:rFonts w:ascii="Arial" w:hAnsi="Arial" w:cs="Arial"/>
              </w:rPr>
              <w:t>0.29</w:t>
            </w:r>
          </w:p>
        </w:tc>
        <w:tc>
          <w:tcPr>
            <w:tcW w:w="1096" w:type="dxa"/>
            <w:tcBorders>
              <w:top w:val="nil"/>
              <w:left w:val="nil"/>
              <w:bottom w:val="nil"/>
              <w:right w:val="nil"/>
            </w:tcBorders>
            <w:noWrap/>
            <w:hideMark/>
          </w:tcPr>
          <w:p w14:paraId="23E204F3" w14:textId="5055B80C" w:rsidR="00860B8F" w:rsidRPr="0065366F" w:rsidRDefault="00860B8F" w:rsidP="00E50BA2">
            <w:pPr>
              <w:spacing w:line="360" w:lineRule="auto"/>
              <w:ind w:right="26"/>
              <w:jc w:val="center"/>
              <w:rPr>
                <w:rFonts w:ascii="Arial" w:hAnsi="Arial" w:cs="Arial"/>
              </w:rPr>
            </w:pPr>
            <w:r w:rsidRPr="0065366F">
              <w:rPr>
                <w:rFonts w:ascii="Arial" w:hAnsi="Arial" w:cs="Arial"/>
              </w:rPr>
              <w:t>0.21</w:t>
            </w:r>
          </w:p>
        </w:tc>
        <w:tc>
          <w:tcPr>
            <w:tcW w:w="1200" w:type="dxa"/>
            <w:tcBorders>
              <w:top w:val="nil"/>
              <w:left w:val="nil"/>
              <w:bottom w:val="nil"/>
              <w:right w:val="nil"/>
            </w:tcBorders>
            <w:noWrap/>
            <w:hideMark/>
          </w:tcPr>
          <w:p w14:paraId="30E4A755" w14:textId="03827C2E" w:rsidR="00860B8F" w:rsidRPr="0065366F" w:rsidRDefault="00860B8F" w:rsidP="00E50BA2">
            <w:pPr>
              <w:spacing w:line="360" w:lineRule="auto"/>
              <w:ind w:right="26"/>
              <w:jc w:val="center"/>
              <w:rPr>
                <w:rFonts w:ascii="Arial" w:hAnsi="Arial" w:cs="Arial"/>
              </w:rPr>
            </w:pPr>
            <w:r w:rsidRPr="0065366F">
              <w:rPr>
                <w:rFonts w:ascii="Arial" w:hAnsi="Arial" w:cs="Arial"/>
              </w:rPr>
              <w:t>0.07</w:t>
            </w:r>
          </w:p>
        </w:tc>
        <w:tc>
          <w:tcPr>
            <w:tcW w:w="1096" w:type="dxa"/>
            <w:tcBorders>
              <w:top w:val="nil"/>
              <w:left w:val="nil"/>
              <w:bottom w:val="nil"/>
              <w:right w:val="nil"/>
            </w:tcBorders>
            <w:noWrap/>
            <w:hideMark/>
          </w:tcPr>
          <w:p w14:paraId="4EF4458A" w14:textId="3FE29FB1" w:rsidR="00860B8F" w:rsidRPr="0065366F" w:rsidRDefault="00860B8F" w:rsidP="00E50BA2">
            <w:pPr>
              <w:spacing w:line="360" w:lineRule="auto"/>
              <w:ind w:right="26"/>
              <w:jc w:val="center"/>
              <w:rPr>
                <w:rFonts w:ascii="Arial" w:hAnsi="Arial" w:cs="Arial"/>
              </w:rPr>
            </w:pPr>
            <w:r w:rsidRPr="0065366F">
              <w:rPr>
                <w:rFonts w:ascii="Arial" w:hAnsi="Arial" w:cs="Arial"/>
              </w:rPr>
              <w:t>1.36</w:t>
            </w:r>
          </w:p>
        </w:tc>
        <w:tc>
          <w:tcPr>
            <w:tcW w:w="1154" w:type="dxa"/>
            <w:tcBorders>
              <w:top w:val="nil"/>
              <w:left w:val="nil"/>
              <w:bottom w:val="nil"/>
              <w:right w:val="nil"/>
            </w:tcBorders>
            <w:noWrap/>
            <w:hideMark/>
          </w:tcPr>
          <w:p w14:paraId="0C1C9AEC" w14:textId="74151EDE" w:rsidR="00860B8F" w:rsidRPr="0065366F" w:rsidRDefault="00860B8F" w:rsidP="00E50BA2">
            <w:pPr>
              <w:spacing w:line="360" w:lineRule="auto"/>
              <w:ind w:right="26"/>
              <w:jc w:val="center"/>
              <w:rPr>
                <w:rFonts w:ascii="Arial" w:hAnsi="Arial" w:cs="Arial"/>
              </w:rPr>
            </w:pPr>
            <w:r w:rsidRPr="0065366F">
              <w:rPr>
                <w:rFonts w:ascii="Arial" w:hAnsi="Arial" w:cs="Arial"/>
              </w:rPr>
              <w:t>0.17</w:t>
            </w:r>
          </w:p>
        </w:tc>
        <w:tc>
          <w:tcPr>
            <w:tcW w:w="677" w:type="dxa"/>
            <w:tcBorders>
              <w:top w:val="nil"/>
              <w:left w:val="nil"/>
              <w:bottom w:val="nil"/>
              <w:right w:val="nil"/>
            </w:tcBorders>
            <w:noWrap/>
            <w:hideMark/>
          </w:tcPr>
          <w:p w14:paraId="2A4E5CFC" w14:textId="3D518990" w:rsidR="00860B8F" w:rsidRPr="0065366F" w:rsidRDefault="00860B8F" w:rsidP="00E50BA2">
            <w:pPr>
              <w:spacing w:line="360" w:lineRule="auto"/>
              <w:ind w:right="26"/>
              <w:jc w:val="center"/>
              <w:rPr>
                <w:rFonts w:ascii="Arial" w:hAnsi="Arial" w:cs="Arial"/>
              </w:rPr>
            </w:pPr>
            <w:r w:rsidRPr="0065366F">
              <w:rPr>
                <w:rFonts w:ascii="Arial" w:hAnsi="Arial" w:cs="Arial"/>
              </w:rPr>
              <w:t>1.24</w:t>
            </w:r>
          </w:p>
        </w:tc>
      </w:tr>
      <w:tr w:rsidR="00860B8F" w:rsidRPr="0065366F" w14:paraId="57F6A774" w14:textId="77777777" w:rsidTr="00D12733">
        <w:trPr>
          <w:trHeight w:val="350"/>
        </w:trPr>
        <w:tc>
          <w:tcPr>
            <w:tcW w:w="2773" w:type="dxa"/>
            <w:tcBorders>
              <w:top w:val="nil"/>
              <w:left w:val="nil"/>
              <w:bottom w:val="nil"/>
              <w:right w:val="nil"/>
            </w:tcBorders>
            <w:hideMark/>
          </w:tcPr>
          <w:p w14:paraId="7835C635" w14:textId="694E151F"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Membership </w:t>
            </w:r>
          </w:p>
        </w:tc>
        <w:tc>
          <w:tcPr>
            <w:tcW w:w="1051" w:type="dxa"/>
            <w:tcBorders>
              <w:top w:val="nil"/>
              <w:left w:val="nil"/>
              <w:bottom w:val="nil"/>
              <w:right w:val="nil"/>
            </w:tcBorders>
            <w:noWrap/>
            <w:hideMark/>
          </w:tcPr>
          <w:p w14:paraId="4201E2D4" w14:textId="738D2472" w:rsidR="00860B8F" w:rsidRPr="0065366F" w:rsidRDefault="00860B8F" w:rsidP="00E50BA2">
            <w:pPr>
              <w:spacing w:line="360" w:lineRule="auto"/>
              <w:ind w:right="26"/>
              <w:jc w:val="center"/>
              <w:rPr>
                <w:rFonts w:ascii="Arial" w:hAnsi="Arial" w:cs="Arial"/>
              </w:rPr>
            </w:pPr>
            <w:r w:rsidRPr="0065366F">
              <w:rPr>
                <w:rFonts w:ascii="Arial" w:hAnsi="Arial" w:cs="Arial"/>
              </w:rPr>
              <w:t>0.13</w:t>
            </w:r>
          </w:p>
        </w:tc>
        <w:tc>
          <w:tcPr>
            <w:tcW w:w="1096" w:type="dxa"/>
            <w:tcBorders>
              <w:top w:val="nil"/>
              <w:left w:val="nil"/>
              <w:bottom w:val="nil"/>
              <w:right w:val="nil"/>
            </w:tcBorders>
            <w:noWrap/>
            <w:hideMark/>
          </w:tcPr>
          <w:p w14:paraId="5D67B75B" w14:textId="08BC0F9F" w:rsidR="00860B8F" w:rsidRPr="0065366F" w:rsidRDefault="00860B8F" w:rsidP="00E50BA2">
            <w:pPr>
              <w:spacing w:line="360" w:lineRule="auto"/>
              <w:ind w:right="26"/>
              <w:jc w:val="center"/>
              <w:rPr>
                <w:rFonts w:ascii="Arial" w:hAnsi="Arial" w:cs="Arial"/>
              </w:rPr>
            </w:pPr>
            <w:r w:rsidRPr="0065366F">
              <w:rPr>
                <w:rFonts w:ascii="Arial" w:hAnsi="Arial" w:cs="Arial"/>
              </w:rPr>
              <w:t>0.24</w:t>
            </w:r>
          </w:p>
        </w:tc>
        <w:tc>
          <w:tcPr>
            <w:tcW w:w="1200" w:type="dxa"/>
            <w:tcBorders>
              <w:top w:val="nil"/>
              <w:left w:val="nil"/>
              <w:bottom w:val="nil"/>
              <w:right w:val="nil"/>
            </w:tcBorders>
            <w:noWrap/>
            <w:hideMark/>
          </w:tcPr>
          <w:p w14:paraId="6EF1FDD0" w14:textId="31AFF0F3" w:rsidR="00860B8F" w:rsidRPr="0065366F" w:rsidRDefault="00860B8F" w:rsidP="00E50BA2">
            <w:pPr>
              <w:spacing w:line="360" w:lineRule="auto"/>
              <w:ind w:right="26"/>
              <w:jc w:val="center"/>
              <w:rPr>
                <w:rFonts w:ascii="Arial" w:hAnsi="Arial" w:cs="Arial"/>
              </w:rPr>
            </w:pPr>
            <w:r w:rsidRPr="0065366F">
              <w:rPr>
                <w:rFonts w:ascii="Arial" w:hAnsi="Arial" w:cs="Arial"/>
              </w:rPr>
              <w:t>0.03</w:t>
            </w:r>
          </w:p>
        </w:tc>
        <w:tc>
          <w:tcPr>
            <w:tcW w:w="1096" w:type="dxa"/>
            <w:tcBorders>
              <w:top w:val="nil"/>
              <w:left w:val="nil"/>
              <w:bottom w:val="nil"/>
              <w:right w:val="nil"/>
            </w:tcBorders>
            <w:noWrap/>
            <w:hideMark/>
          </w:tcPr>
          <w:p w14:paraId="54A31A02" w14:textId="45BB57DE" w:rsidR="00860B8F" w:rsidRPr="0065366F" w:rsidRDefault="00860B8F" w:rsidP="00E50BA2">
            <w:pPr>
              <w:spacing w:line="360" w:lineRule="auto"/>
              <w:ind w:right="26"/>
              <w:jc w:val="center"/>
              <w:rPr>
                <w:rFonts w:ascii="Arial" w:hAnsi="Arial" w:cs="Arial"/>
              </w:rPr>
            </w:pPr>
            <w:r w:rsidRPr="0065366F">
              <w:rPr>
                <w:rFonts w:ascii="Arial" w:hAnsi="Arial" w:cs="Arial"/>
              </w:rPr>
              <w:t>0.54</w:t>
            </w:r>
          </w:p>
        </w:tc>
        <w:tc>
          <w:tcPr>
            <w:tcW w:w="1154" w:type="dxa"/>
            <w:tcBorders>
              <w:top w:val="nil"/>
              <w:left w:val="nil"/>
              <w:bottom w:val="nil"/>
              <w:right w:val="nil"/>
            </w:tcBorders>
            <w:noWrap/>
            <w:hideMark/>
          </w:tcPr>
          <w:p w14:paraId="1029ABE6" w14:textId="3F26C554" w:rsidR="00860B8F" w:rsidRPr="0065366F" w:rsidRDefault="00860B8F" w:rsidP="00E50BA2">
            <w:pPr>
              <w:spacing w:line="360" w:lineRule="auto"/>
              <w:ind w:right="26"/>
              <w:jc w:val="center"/>
              <w:rPr>
                <w:rFonts w:ascii="Arial" w:hAnsi="Arial" w:cs="Arial"/>
              </w:rPr>
            </w:pPr>
            <w:r w:rsidRPr="0065366F">
              <w:rPr>
                <w:rFonts w:ascii="Arial" w:hAnsi="Arial" w:cs="Arial"/>
              </w:rPr>
              <w:t>0.59</w:t>
            </w:r>
          </w:p>
        </w:tc>
        <w:tc>
          <w:tcPr>
            <w:tcW w:w="677" w:type="dxa"/>
            <w:tcBorders>
              <w:top w:val="nil"/>
              <w:left w:val="nil"/>
              <w:bottom w:val="nil"/>
              <w:right w:val="nil"/>
            </w:tcBorders>
            <w:noWrap/>
            <w:hideMark/>
          </w:tcPr>
          <w:p w14:paraId="2ABAB676" w14:textId="34C0C568" w:rsidR="00860B8F" w:rsidRPr="0065366F" w:rsidRDefault="00860B8F" w:rsidP="00E50BA2">
            <w:pPr>
              <w:spacing w:line="360" w:lineRule="auto"/>
              <w:ind w:right="26"/>
              <w:jc w:val="center"/>
              <w:rPr>
                <w:rFonts w:ascii="Arial" w:hAnsi="Arial" w:cs="Arial"/>
              </w:rPr>
            </w:pPr>
            <w:r w:rsidRPr="0065366F">
              <w:rPr>
                <w:rFonts w:ascii="Arial" w:hAnsi="Arial" w:cs="Arial"/>
              </w:rPr>
              <w:t>1.61</w:t>
            </w:r>
          </w:p>
        </w:tc>
      </w:tr>
      <w:tr w:rsidR="00860B8F" w:rsidRPr="0065366F" w14:paraId="1B8BC201" w14:textId="77777777" w:rsidTr="00D12733">
        <w:trPr>
          <w:trHeight w:val="350"/>
        </w:trPr>
        <w:tc>
          <w:tcPr>
            <w:tcW w:w="2773" w:type="dxa"/>
            <w:tcBorders>
              <w:top w:val="nil"/>
              <w:left w:val="nil"/>
              <w:bottom w:val="nil"/>
              <w:right w:val="nil"/>
            </w:tcBorders>
            <w:hideMark/>
          </w:tcPr>
          <w:p w14:paraId="385C34E5" w14:textId="4D6CEDA6" w:rsidR="00860B8F" w:rsidRPr="0065366F" w:rsidRDefault="00860B8F" w:rsidP="00E50BA2">
            <w:pPr>
              <w:spacing w:line="360" w:lineRule="auto"/>
              <w:ind w:right="26"/>
              <w:jc w:val="both"/>
              <w:rPr>
                <w:rFonts w:ascii="Arial" w:hAnsi="Arial" w:cs="Arial"/>
              </w:rPr>
            </w:pPr>
            <w:r w:rsidRPr="0065366F">
              <w:rPr>
                <w:rFonts w:ascii="Arial" w:hAnsi="Arial" w:cs="Arial"/>
              </w:rPr>
              <w:t>Business information</w:t>
            </w:r>
          </w:p>
        </w:tc>
        <w:tc>
          <w:tcPr>
            <w:tcW w:w="1051" w:type="dxa"/>
            <w:tcBorders>
              <w:top w:val="nil"/>
              <w:left w:val="nil"/>
              <w:bottom w:val="nil"/>
              <w:right w:val="nil"/>
            </w:tcBorders>
            <w:noWrap/>
            <w:hideMark/>
          </w:tcPr>
          <w:p w14:paraId="4466072A" w14:textId="66E5D3BE" w:rsidR="00860B8F" w:rsidRPr="0065366F" w:rsidRDefault="00860B8F" w:rsidP="00E50BA2">
            <w:pPr>
              <w:spacing w:line="360" w:lineRule="auto"/>
              <w:ind w:right="26"/>
              <w:jc w:val="center"/>
              <w:rPr>
                <w:rFonts w:ascii="Arial" w:hAnsi="Arial" w:cs="Arial"/>
              </w:rPr>
            </w:pPr>
            <w:r w:rsidRPr="0065366F">
              <w:rPr>
                <w:rFonts w:ascii="Arial" w:hAnsi="Arial" w:cs="Arial"/>
              </w:rPr>
              <w:t>-0.12</w:t>
            </w:r>
          </w:p>
        </w:tc>
        <w:tc>
          <w:tcPr>
            <w:tcW w:w="1096" w:type="dxa"/>
            <w:tcBorders>
              <w:top w:val="nil"/>
              <w:left w:val="nil"/>
              <w:bottom w:val="nil"/>
              <w:right w:val="nil"/>
            </w:tcBorders>
            <w:noWrap/>
            <w:hideMark/>
          </w:tcPr>
          <w:p w14:paraId="192DA529" w14:textId="19F90315" w:rsidR="00860B8F" w:rsidRPr="0065366F" w:rsidRDefault="00860B8F" w:rsidP="00E50BA2">
            <w:pPr>
              <w:spacing w:line="360" w:lineRule="auto"/>
              <w:ind w:right="26"/>
              <w:jc w:val="center"/>
              <w:rPr>
                <w:rFonts w:ascii="Arial" w:hAnsi="Arial" w:cs="Arial"/>
              </w:rPr>
            </w:pPr>
            <w:r w:rsidRPr="0065366F">
              <w:rPr>
                <w:rFonts w:ascii="Arial" w:hAnsi="Arial" w:cs="Arial"/>
              </w:rPr>
              <w:t>0.23</w:t>
            </w:r>
          </w:p>
        </w:tc>
        <w:tc>
          <w:tcPr>
            <w:tcW w:w="1200" w:type="dxa"/>
            <w:tcBorders>
              <w:top w:val="nil"/>
              <w:left w:val="nil"/>
              <w:bottom w:val="nil"/>
              <w:right w:val="nil"/>
            </w:tcBorders>
            <w:noWrap/>
            <w:hideMark/>
          </w:tcPr>
          <w:p w14:paraId="0725D3A4" w14:textId="00F7F50E" w:rsidR="00860B8F" w:rsidRPr="0065366F" w:rsidRDefault="00860B8F" w:rsidP="00E50BA2">
            <w:pPr>
              <w:spacing w:line="360" w:lineRule="auto"/>
              <w:ind w:right="26"/>
              <w:jc w:val="center"/>
              <w:rPr>
                <w:rFonts w:ascii="Arial" w:hAnsi="Arial" w:cs="Arial"/>
              </w:rPr>
            </w:pPr>
            <w:r w:rsidRPr="0065366F">
              <w:rPr>
                <w:rFonts w:ascii="Arial" w:hAnsi="Arial" w:cs="Arial"/>
              </w:rPr>
              <w:t>-0.03</w:t>
            </w:r>
          </w:p>
        </w:tc>
        <w:tc>
          <w:tcPr>
            <w:tcW w:w="1096" w:type="dxa"/>
            <w:tcBorders>
              <w:top w:val="nil"/>
              <w:left w:val="nil"/>
              <w:bottom w:val="nil"/>
              <w:right w:val="nil"/>
            </w:tcBorders>
            <w:noWrap/>
            <w:hideMark/>
          </w:tcPr>
          <w:p w14:paraId="5134E177" w14:textId="4380C4F2" w:rsidR="00860B8F" w:rsidRPr="0065366F" w:rsidRDefault="00860B8F" w:rsidP="00E50BA2">
            <w:pPr>
              <w:spacing w:line="360" w:lineRule="auto"/>
              <w:ind w:right="26"/>
              <w:jc w:val="center"/>
              <w:rPr>
                <w:rFonts w:ascii="Arial" w:hAnsi="Arial" w:cs="Arial"/>
              </w:rPr>
            </w:pPr>
            <w:r w:rsidRPr="0065366F">
              <w:rPr>
                <w:rFonts w:ascii="Arial" w:hAnsi="Arial" w:cs="Arial"/>
              </w:rPr>
              <w:t>-0.51</w:t>
            </w:r>
          </w:p>
        </w:tc>
        <w:tc>
          <w:tcPr>
            <w:tcW w:w="1154" w:type="dxa"/>
            <w:tcBorders>
              <w:top w:val="nil"/>
              <w:left w:val="nil"/>
              <w:bottom w:val="nil"/>
              <w:right w:val="nil"/>
            </w:tcBorders>
            <w:noWrap/>
            <w:hideMark/>
          </w:tcPr>
          <w:p w14:paraId="74BA767B" w14:textId="3E104DDC" w:rsidR="00860B8F" w:rsidRPr="0065366F" w:rsidRDefault="00860B8F" w:rsidP="00E50BA2">
            <w:pPr>
              <w:spacing w:line="360" w:lineRule="auto"/>
              <w:ind w:right="26"/>
              <w:jc w:val="center"/>
              <w:rPr>
                <w:rFonts w:ascii="Arial" w:hAnsi="Arial" w:cs="Arial"/>
              </w:rPr>
            </w:pPr>
            <w:r w:rsidRPr="0065366F">
              <w:rPr>
                <w:rFonts w:ascii="Arial" w:hAnsi="Arial" w:cs="Arial"/>
              </w:rPr>
              <w:t>0.61</w:t>
            </w:r>
          </w:p>
        </w:tc>
        <w:tc>
          <w:tcPr>
            <w:tcW w:w="677" w:type="dxa"/>
            <w:tcBorders>
              <w:top w:val="nil"/>
              <w:left w:val="nil"/>
              <w:bottom w:val="nil"/>
              <w:right w:val="nil"/>
            </w:tcBorders>
            <w:noWrap/>
            <w:hideMark/>
          </w:tcPr>
          <w:p w14:paraId="57C429FD" w14:textId="2DC1A484" w:rsidR="00860B8F" w:rsidRPr="0065366F" w:rsidRDefault="00860B8F" w:rsidP="00E50BA2">
            <w:pPr>
              <w:spacing w:line="360" w:lineRule="auto"/>
              <w:ind w:right="26"/>
              <w:jc w:val="center"/>
              <w:rPr>
                <w:rFonts w:ascii="Arial" w:hAnsi="Arial" w:cs="Arial"/>
              </w:rPr>
            </w:pPr>
            <w:r w:rsidRPr="0065366F">
              <w:rPr>
                <w:rFonts w:ascii="Arial" w:hAnsi="Arial" w:cs="Arial"/>
              </w:rPr>
              <w:t>1.35</w:t>
            </w:r>
          </w:p>
        </w:tc>
      </w:tr>
      <w:tr w:rsidR="00860B8F" w:rsidRPr="0065366F" w14:paraId="728AE140" w14:textId="77777777" w:rsidTr="00D12733">
        <w:trPr>
          <w:trHeight w:val="350"/>
        </w:trPr>
        <w:tc>
          <w:tcPr>
            <w:tcW w:w="2773" w:type="dxa"/>
            <w:tcBorders>
              <w:top w:val="nil"/>
              <w:left w:val="nil"/>
              <w:bottom w:val="single" w:sz="4" w:space="0" w:color="auto"/>
              <w:right w:val="nil"/>
            </w:tcBorders>
            <w:hideMark/>
          </w:tcPr>
          <w:p w14:paraId="640330C7" w14:textId="1287BCFA" w:rsidR="00860B8F" w:rsidRPr="0065366F" w:rsidRDefault="00860B8F" w:rsidP="00E50BA2">
            <w:pPr>
              <w:spacing w:line="360" w:lineRule="auto"/>
              <w:ind w:right="26"/>
              <w:jc w:val="both"/>
              <w:rPr>
                <w:rFonts w:ascii="Arial" w:hAnsi="Arial" w:cs="Arial"/>
              </w:rPr>
            </w:pPr>
            <w:r w:rsidRPr="0065366F">
              <w:rPr>
                <w:rFonts w:ascii="Arial" w:hAnsi="Arial" w:cs="Arial"/>
              </w:rPr>
              <w:t xml:space="preserve">Training </w:t>
            </w:r>
          </w:p>
        </w:tc>
        <w:tc>
          <w:tcPr>
            <w:tcW w:w="1051" w:type="dxa"/>
            <w:tcBorders>
              <w:top w:val="nil"/>
              <w:left w:val="nil"/>
              <w:bottom w:val="single" w:sz="4" w:space="0" w:color="auto"/>
              <w:right w:val="nil"/>
            </w:tcBorders>
            <w:noWrap/>
            <w:hideMark/>
          </w:tcPr>
          <w:p w14:paraId="69731BAE" w14:textId="7C69844E" w:rsidR="00860B8F" w:rsidRPr="0065366F" w:rsidRDefault="00860B8F" w:rsidP="00E50BA2">
            <w:pPr>
              <w:spacing w:line="360" w:lineRule="auto"/>
              <w:ind w:right="26"/>
              <w:jc w:val="center"/>
              <w:rPr>
                <w:rFonts w:ascii="Arial" w:hAnsi="Arial" w:cs="Arial"/>
              </w:rPr>
            </w:pPr>
            <w:r w:rsidRPr="0065366F">
              <w:rPr>
                <w:rFonts w:ascii="Arial" w:hAnsi="Arial" w:cs="Arial"/>
              </w:rPr>
              <w:t>0.41</w:t>
            </w:r>
          </w:p>
        </w:tc>
        <w:tc>
          <w:tcPr>
            <w:tcW w:w="1096" w:type="dxa"/>
            <w:tcBorders>
              <w:top w:val="nil"/>
              <w:left w:val="nil"/>
              <w:bottom w:val="single" w:sz="4" w:space="0" w:color="auto"/>
              <w:right w:val="nil"/>
            </w:tcBorders>
            <w:noWrap/>
            <w:hideMark/>
          </w:tcPr>
          <w:p w14:paraId="7FF9D6CC" w14:textId="77059B18" w:rsidR="00860B8F" w:rsidRPr="0065366F" w:rsidRDefault="00860B8F" w:rsidP="00E50BA2">
            <w:pPr>
              <w:spacing w:line="360" w:lineRule="auto"/>
              <w:ind w:right="26"/>
              <w:jc w:val="center"/>
              <w:rPr>
                <w:rFonts w:ascii="Arial" w:hAnsi="Arial" w:cs="Arial"/>
              </w:rPr>
            </w:pPr>
            <w:r w:rsidRPr="0065366F">
              <w:rPr>
                <w:rFonts w:ascii="Arial" w:hAnsi="Arial" w:cs="Arial"/>
              </w:rPr>
              <w:t>0.39</w:t>
            </w:r>
          </w:p>
        </w:tc>
        <w:tc>
          <w:tcPr>
            <w:tcW w:w="1200" w:type="dxa"/>
            <w:tcBorders>
              <w:top w:val="nil"/>
              <w:left w:val="nil"/>
              <w:bottom w:val="single" w:sz="4" w:space="0" w:color="auto"/>
              <w:right w:val="nil"/>
            </w:tcBorders>
            <w:noWrap/>
            <w:hideMark/>
          </w:tcPr>
          <w:p w14:paraId="2EB2423A" w14:textId="2D1BE42D" w:rsidR="00860B8F" w:rsidRPr="0065366F" w:rsidRDefault="00860B8F" w:rsidP="00E50BA2">
            <w:pPr>
              <w:spacing w:line="360" w:lineRule="auto"/>
              <w:ind w:right="26"/>
              <w:jc w:val="center"/>
              <w:rPr>
                <w:rFonts w:ascii="Arial" w:hAnsi="Arial" w:cs="Arial"/>
              </w:rPr>
            </w:pPr>
            <w:r w:rsidRPr="0065366F">
              <w:rPr>
                <w:rFonts w:ascii="Arial" w:hAnsi="Arial" w:cs="Arial"/>
              </w:rPr>
              <w:t>0.05</w:t>
            </w:r>
          </w:p>
        </w:tc>
        <w:tc>
          <w:tcPr>
            <w:tcW w:w="1096" w:type="dxa"/>
            <w:tcBorders>
              <w:top w:val="nil"/>
              <w:left w:val="nil"/>
              <w:bottom w:val="single" w:sz="4" w:space="0" w:color="auto"/>
              <w:right w:val="nil"/>
            </w:tcBorders>
            <w:noWrap/>
            <w:hideMark/>
          </w:tcPr>
          <w:p w14:paraId="07A37720" w14:textId="220D60F3" w:rsidR="00860B8F" w:rsidRPr="0065366F" w:rsidRDefault="00860B8F" w:rsidP="00E50BA2">
            <w:pPr>
              <w:spacing w:line="360" w:lineRule="auto"/>
              <w:ind w:right="26"/>
              <w:jc w:val="center"/>
              <w:rPr>
                <w:rFonts w:ascii="Arial" w:hAnsi="Arial" w:cs="Arial"/>
              </w:rPr>
            </w:pPr>
            <w:r w:rsidRPr="0065366F">
              <w:rPr>
                <w:rFonts w:ascii="Arial" w:hAnsi="Arial" w:cs="Arial"/>
              </w:rPr>
              <w:t>1.05</w:t>
            </w:r>
          </w:p>
        </w:tc>
        <w:tc>
          <w:tcPr>
            <w:tcW w:w="1154" w:type="dxa"/>
            <w:tcBorders>
              <w:top w:val="nil"/>
              <w:left w:val="nil"/>
              <w:bottom w:val="single" w:sz="4" w:space="0" w:color="auto"/>
              <w:right w:val="nil"/>
            </w:tcBorders>
            <w:noWrap/>
            <w:hideMark/>
          </w:tcPr>
          <w:p w14:paraId="251DC81D" w14:textId="764D1281" w:rsidR="00860B8F" w:rsidRPr="0065366F" w:rsidRDefault="00860B8F" w:rsidP="00E50BA2">
            <w:pPr>
              <w:spacing w:line="360" w:lineRule="auto"/>
              <w:ind w:right="26"/>
              <w:jc w:val="center"/>
              <w:rPr>
                <w:rFonts w:ascii="Arial" w:hAnsi="Arial" w:cs="Arial"/>
              </w:rPr>
            </w:pPr>
            <w:r w:rsidRPr="0065366F">
              <w:rPr>
                <w:rFonts w:ascii="Arial" w:hAnsi="Arial" w:cs="Arial"/>
              </w:rPr>
              <w:t>0.30</w:t>
            </w:r>
          </w:p>
        </w:tc>
        <w:tc>
          <w:tcPr>
            <w:tcW w:w="677" w:type="dxa"/>
            <w:tcBorders>
              <w:top w:val="nil"/>
              <w:left w:val="nil"/>
              <w:bottom w:val="single" w:sz="4" w:space="0" w:color="auto"/>
              <w:right w:val="nil"/>
            </w:tcBorders>
            <w:noWrap/>
            <w:hideMark/>
          </w:tcPr>
          <w:p w14:paraId="11C5F669" w14:textId="4972D857" w:rsidR="00860B8F" w:rsidRPr="0065366F" w:rsidRDefault="00860B8F" w:rsidP="00E50BA2">
            <w:pPr>
              <w:spacing w:line="360" w:lineRule="auto"/>
              <w:ind w:right="26"/>
              <w:jc w:val="center"/>
              <w:rPr>
                <w:rFonts w:ascii="Arial" w:hAnsi="Arial" w:cs="Arial"/>
              </w:rPr>
            </w:pPr>
            <w:r w:rsidRPr="0065366F">
              <w:rPr>
                <w:rFonts w:ascii="Arial" w:hAnsi="Arial" w:cs="Arial"/>
              </w:rPr>
              <w:t>1.42</w:t>
            </w:r>
          </w:p>
        </w:tc>
      </w:tr>
      <w:tr w:rsidR="00860B8F" w:rsidRPr="0065366F" w14:paraId="5DDC3E3E" w14:textId="77777777" w:rsidTr="00F21042">
        <w:trPr>
          <w:trHeight w:val="350"/>
        </w:trPr>
        <w:tc>
          <w:tcPr>
            <w:tcW w:w="9047" w:type="dxa"/>
            <w:gridSpan w:val="7"/>
            <w:tcBorders>
              <w:top w:val="single" w:sz="4" w:space="0" w:color="auto"/>
              <w:left w:val="nil"/>
              <w:bottom w:val="single" w:sz="4" w:space="0" w:color="auto"/>
              <w:right w:val="nil"/>
            </w:tcBorders>
          </w:tcPr>
          <w:p w14:paraId="532A76D4" w14:textId="77777777" w:rsidR="00562CF1" w:rsidRPr="0065366F" w:rsidRDefault="00562CF1" w:rsidP="00E50BA2">
            <w:pPr>
              <w:spacing w:line="360" w:lineRule="auto"/>
              <w:ind w:right="26"/>
              <w:rPr>
                <w:rFonts w:ascii="Arial" w:hAnsi="Arial" w:cs="Arial"/>
              </w:rPr>
            </w:pPr>
            <w:r w:rsidRPr="0065366F">
              <w:rPr>
                <w:rFonts w:ascii="Arial" w:hAnsi="Arial" w:cs="Arial"/>
              </w:rPr>
              <w:t xml:space="preserve">a. Dependent Variable: Sales revenue </w:t>
            </w:r>
          </w:p>
          <w:p w14:paraId="5B4B5252" w14:textId="79CEDA32" w:rsidR="00562CF1" w:rsidRPr="0065366F" w:rsidRDefault="00562CF1" w:rsidP="00E50BA2">
            <w:pPr>
              <w:spacing w:line="360" w:lineRule="auto"/>
              <w:ind w:right="26"/>
              <w:rPr>
                <w:rFonts w:ascii="Arial" w:hAnsi="Arial" w:cs="Arial"/>
              </w:rPr>
            </w:pPr>
            <w:r w:rsidRPr="0065366F">
              <w:rPr>
                <w:rFonts w:ascii="Arial" w:hAnsi="Arial" w:cs="Arial"/>
              </w:rPr>
              <w:t>F (12, 145) = 3</w:t>
            </w:r>
            <w:r w:rsidR="003C036B" w:rsidRPr="0065366F">
              <w:rPr>
                <w:rFonts w:ascii="Arial" w:hAnsi="Arial" w:cs="Arial"/>
              </w:rPr>
              <w:t>0.94</w:t>
            </w:r>
            <w:r w:rsidRPr="0065366F">
              <w:rPr>
                <w:rFonts w:ascii="Arial" w:hAnsi="Arial" w:cs="Arial"/>
              </w:rPr>
              <w:t>, p &lt; .001</w:t>
            </w:r>
          </w:p>
          <w:p w14:paraId="06CF682D" w14:textId="028F4B5F" w:rsidR="00562CF1" w:rsidRPr="0065366F" w:rsidRDefault="00562CF1" w:rsidP="00E50BA2">
            <w:pPr>
              <w:spacing w:line="360" w:lineRule="auto"/>
              <w:ind w:right="26"/>
              <w:rPr>
                <w:rFonts w:ascii="Arial" w:hAnsi="Arial" w:cs="Arial"/>
              </w:rPr>
            </w:pPr>
            <w:r w:rsidRPr="0065366F">
              <w:rPr>
                <w:rFonts w:ascii="Arial" w:hAnsi="Arial" w:cs="Arial"/>
              </w:rPr>
              <w:t xml:space="preserve">R² = </w:t>
            </w:r>
            <w:r w:rsidR="0043722A" w:rsidRPr="0065366F">
              <w:rPr>
                <w:rFonts w:ascii="Arial" w:hAnsi="Arial" w:cs="Arial"/>
              </w:rPr>
              <w:t>0</w:t>
            </w:r>
            <w:r w:rsidRPr="0065366F">
              <w:rPr>
                <w:rFonts w:ascii="Arial" w:hAnsi="Arial" w:cs="Arial"/>
              </w:rPr>
              <w:t>.72</w:t>
            </w:r>
            <w:r w:rsidR="003A1DEB" w:rsidRPr="0065366F">
              <w:rPr>
                <w:rFonts w:ascii="Arial" w:hAnsi="Arial" w:cs="Arial"/>
              </w:rPr>
              <w:t>3</w:t>
            </w:r>
            <w:r w:rsidRPr="0065366F">
              <w:rPr>
                <w:rFonts w:ascii="Arial" w:hAnsi="Arial" w:cs="Arial"/>
              </w:rPr>
              <w:t xml:space="preserve">, Adjusted R² = </w:t>
            </w:r>
            <w:r w:rsidR="0043722A" w:rsidRPr="0065366F">
              <w:rPr>
                <w:rFonts w:ascii="Arial" w:hAnsi="Arial" w:cs="Arial"/>
              </w:rPr>
              <w:t>0</w:t>
            </w:r>
            <w:r w:rsidRPr="0065366F">
              <w:rPr>
                <w:rFonts w:ascii="Arial" w:hAnsi="Arial" w:cs="Arial"/>
              </w:rPr>
              <w:t>.</w:t>
            </w:r>
            <w:r w:rsidR="003C036B" w:rsidRPr="0065366F">
              <w:rPr>
                <w:rFonts w:ascii="Arial" w:hAnsi="Arial" w:cs="Arial"/>
              </w:rPr>
              <w:t>696</w:t>
            </w:r>
          </w:p>
        </w:tc>
      </w:tr>
    </w:tbl>
    <w:p w14:paraId="64AF8BE2" w14:textId="77777777" w:rsidR="002B2C48" w:rsidRPr="0065366F" w:rsidRDefault="002B2C48" w:rsidP="002B2C48">
      <w:pPr>
        <w:spacing w:line="360" w:lineRule="auto"/>
        <w:ind w:right="26" w:firstLine="720"/>
        <w:jc w:val="both"/>
        <w:rPr>
          <w:rFonts w:ascii="Arial" w:hAnsi="Arial" w:cs="Arial"/>
          <w:lang w:val="en-US"/>
        </w:rPr>
      </w:pPr>
      <w:bookmarkStart w:id="5" w:name="_Hlk194327465"/>
      <w:r w:rsidRPr="0065366F">
        <w:rPr>
          <w:rFonts w:ascii="Arial" w:hAnsi="Arial" w:cs="Arial"/>
          <w:lang w:val="en-US"/>
        </w:rPr>
        <w:t>A negative coefficient for education (-0.06) indicates that higher education levels of business owners are associated with lower sales revenue. The regression analysis shows that both the age and education level of owners negatively correlate with sales revenue, suggesting that older and more educated owners may be more risk-averse and less innovative. While the negative relationship between education and sales may seem counterintuitive, it aligns with earlier findings that formal education does not always enhance business performance in micro and small enterprises. Practical experience and market adaptation often hold more value.</w:t>
      </w:r>
    </w:p>
    <w:p w14:paraId="4A3EC244" w14:textId="4A27C64C" w:rsidR="002B2C48" w:rsidRPr="0065366F" w:rsidRDefault="002B2C48" w:rsidP="002B2C48">
      <w:pPr>
        <w:spacing w:after="240" w:line="360" w:lineRule="auto"/>
        <w:ind w:right="26" w:firstLine="720"/>
        <w:jc w:val="both"/>
        <w:rPr>
          <w:rFonts w:ascii="Arial" w:hAnsi="Arial" w:cs="Arial"/>
          <w:lang w:val="en-US"/>
        </w:rPr>
      </w:pPr>
      <w:r w:rsidRPr="0065366F">
        <w:rPr>
          <w:rFonts w:ascii="Arial" w:hAnsi="Arial" w:cs="Arial"/>
          <w:lang w:val="en-US"/>
        </w:rPr>
        <w:t>On the other hand, loan access, training participation, business information access, and membership in associations are not found to be statistically significant predictors of sales revenue. While these factors may still play supporting roles, their effects are not strong enough to demonstrate a direct linear impact in this model.</w:t>
      </w:r>
    </w:p>
    <w:p w14:paraId="7046D7BB" w14:textId="67D32F04" w:rsidR="00EE5091" w:rsidRPr="0065366F" w:rsidRDefault="0065366F" w:rsidP="00E50BA2">
      <w:pPr>
        <w:spacing w:before="240" w:after="240" w:line="360" w:lineRule="auto"/>
        <w:ind w:right="26"/>
        <w:jc w:val="both"/>
        <w:rPr>
          <w:rFonts w:ascii="Arial" w:hAnsi="Arial" w:cs="Arial"/>
          <w:b/>
          <w:bCs/>
        </w:rPr>
      </w:pPr>
      <w:r>
        <w:rPr>
          <w:rFonts w:ascii="Arial" w:hAnsi="Arial" w:cs="Arial"/>
          <w:b/>
          <w:bCs/>
        </w:rPr>
        <w:t xml:space="preserve">3.4 </w:t>
      </w:r>
      <w:r w:rsidR="00AE0D87">
        <w:rPr>
          <w:rFonts w:ascii="Arial" w:hAnsi="Arial" w:cs="Arial"/>
          <w:b/>
          <w:bCs/>
        </w:rPr>
        <w:t>CONCLUSION</w:t>
      </w:r>
    </w:p>
    <w:p w14:paraId="550C8B61" w14:textId="77777777" w:rsidR="00ED194E" w:rsidRPr="0065366F" w:rsidRDefault="00ED194E" w:rsidP="00E50BA2">
      <w:pPr>
        <w:spacing w:line="360" w:lineRule="auto"/>
        <w:ind w:right="26" w:firstLine="720"/>
        <w:jc w:val="both"/>
        <w:rPr>
          <w:rFonts w:ascii="Arial" w:hAnsi="Arial" w:cs="Arial"/>
          <w:lang w:val="en-US"/>
        </w:rPr>
      </w:pPr>
      <w:r w:rsidRPr="0065366F">
        <w:rPr>
          <w:rFonts w:ascii="Arial" w:hAnsi="Arial" w:cs="Arial"/>
          <w:lang w:val="en-US"/>
        </w:rPr>
        <w:t xml:space="preserve">The descriptive analysis of the 158 Food MSMEs in Nay </w:t>
      </w:r>
      <w:proofErr w:type="spellStart"/>
      <w:r w:rsidRPr="0065366F">
        <w:rPr>
          <w:rFonts w:ascii="Arial" w:hAnsi="Arial" w:cs="Arial"/>
          <w:lang w:val="en-US"/>
        </w:rPr>
        <w:t>Pyi</w:t>
      </w:r>
      <w:proofErr w:type="spellEnd"/>
      <w:r w:rsidRPr="0065366F">
        <w:rPr>
          <w:rFonts w:ascii="Arial" w:hAnsi="Arial" w:cs="Arial"/>
          <w:lang w:val="en-US"/>
        </w:rPr>
        <w:t xml:space="preserve"> Taw provides a comprehensive overview of firm-level characteristics, owner demographics, and institutional environments. The owners and managers of the sampled enterprises </w:t>
      </w:r>
      <w:r w:rsidRPr="0065366F">
        <w:rPr>
          <w:rFonts w:ascii="Arial" w:hAnsi="Arial" w:cs="Arial"/>
          <w:lang w:val="en-US"/>
        </w:rPr>
        <w:lastRenderedPageBreak/>
        <w:t>have moderate levels of experience and educational attainment. According to Abor and Quartey (2010), education significantly enhances managerial effectiveness, which may, in turn, influence business performance and strategic decision-making.</w:t>
      </w:r>
    </w:p>
    <w:p w14:paraId="5D4BDE54" w14:textId="77777777" w:rsidR="00ED194E" w:rsidRPr="0065366F" w:rsidRDefault="00ED194E" w:rsidP="00E50BA2">
      <w:pPr>
        <w:spacing w:line="360" w:lineRule="auto"/>
        <w:ind w:right="26" w:firstLine="720"/>
        <w:jc w:val="both"/>
        <w:rPr>
          <w:rFonts w:ascii="Arial" w:hAnsi="Arial" w:cs="Arial"/>
          <w:lang w:val="en-US"/>
        </w:rPr>
      </w:pPr>
      <w:r w:rsidRPr="0065366F">
        <w:rPr>
          <w:rFonts w:ascii="Arial" w:hAnsi="Arial" w:cs="Arial"/>
          <w:lang w:val="en-US"/>
        </w:rPr>
        <w:t>In terms of business characteristics, the Food MSMEs display a relatively mature profile with notable firm age and an established workforce. Sales revenue varies significantly, reflecting differences in capital and asset management among the enterprises. Considerable heterogeneity is observed among firms. Some processing-oriented enterprises, particularly rice and edible oil mills, primarily operate as service providers with limited working capital. In contrast, other firms engage in both production and distribution activities, resulting in more diversified operations and greater capital requirements. Distribution networks also vary substantially: some enterprises serve multiple townships, while others depend entirely on external intermediaries for product distribution.</w:t>
      </w:r>
    </w:p>
    <w:p w14:paraId="429D3167" w14:textId="77777777" w:rsidR="00ED194E" w:rsidRPr="0065366F" w:rsidRDefault="00ED194E" w:rsidP="00E50BA2">
      <w:pPr>
        <w:spacing w:line="360" w:lineRule="auto"/>
        <w:ind w:right="26" w:firstLine="720"/>
        <w:jc w:val="both"/>
        <w:rPr>
          <w:rFonts w:ascii="Arial" w:hAnsi="Arial" w:cs="Arial"/>
          <w:lang w:val="en-US"/>
        </w:rPr>
      </w:pPr>
      <w:r w:rsidRPr="0065366F">
        <w:rPr>
          <w:rFonts w:ascii="Arial" w:hAnsi="Arial" w:cs="Arial"/>
          <w:lang w:val="en-US"/>
        </w:rPr>
        <w:t xml:space="preserve">Institutional characteristics reveal significant structural and capacity constraints. Only a little over one-third of enterprises report having access to formal loans, whereas nearly two-thirds rely solely on personal capital or face substantial barriers to credit access. Membership in business associations is relatively low, and access to business information remains limited. Moreover, only a small proportion of firms have received formal training. These findings point to an underdeveloped institutional support environment that may hinder firm growth, reduce competitiveness, and increase vulnerability to economic shocks (Beck &amp; </w:t>
      </w:r>
      <w:proofErr w:type="spellStart"/>
      <w:r w:rsidRPr="0065366F">
        <w:rPr>
          <w:rFonts w:ascii="Arial" w:hAnsi="Arial" w:cs="Arial"/>
          <w:lang w:val="en-US"/>
        </w:rPr>
        <w:t>Demirgüç-Kunt</w:t>
      </w:r>
      <w:proofErr w:type="spellEnd"/>
      <w:r w:rsidRPr="0065366F">
        <w:rPr>
          <w:rFonts w:ascii="Arial" w:hAnsi="Arial" w:cs="Arial"/>
          <w:lang w:val="en-US"/>
        </w:rPr>
        <w:t xml:space="preserve">, 2006; International </w:t>
      </w:r>
      <w:proofErr w:type="spellStart"/>
      <w:r w:rsidRPr="0065366F">
        <w:rPr>
          <w:rFonts w:ascii="Arial" w:hAnsi="Arial" w:cs="Arial"/>
          <w:lang w:val="en-US"/>
        </w:rPr>
        <w:t>Labour</w:t>
      </w:r>
      <w:proofErr w:type="spellEnd"/>
      <w:r w:rsidRPr="0065366F">
        <w:rPr>
          <w:rFonts w:ascii="Arial" w:hAnsi="Arial" w:cs="Arial"/>
          <w:lang w:val="en-US"/>
        </w:rPr>
        <w:t xml:space="preserve"> Organization [ILO], 2015; World Bank, 2019).</w:t>
      </w:r>
    </w:p>
    <w:p w14:paraId="237D240C" w14:textId="77777777" w:rsidR="00ED194E" w:rsidRPr="0065366F" w:rsidRDefault="00ED194E" w:rsidP="00E50BA2">
      <w:pPr>
        <w:spacing w:line="360" w:lineRule="auto"/>
        <w:ind w:right="26" w:firstLine="720"/>
        <w:jc w:val="both"/>
        <w:rPr>
          <w:rFonts w:ascii="Arial" w:hAnsi="Arial" w:cs="Arial"/>
          <w:lang w:val="en-US"/>
        </w:rPr>
      </w:pPr>
      <w:r w:rsidRPr="0065366F">
        <w:rPr>
          <w:rFonts w:ascii="Arial" w:hAnsi="Arial" w:cs="Arial"/>
          <w:lang w:val="en-US"/>
        </w:rPr>
        <w:t xml:space="preserve">This study demonstrates that several firm-level business characteristics have a statistically significant influence on sales revenue performance among Food MSMEs operating in Nay </w:t>
      </w:r>
      <w:proofErr w:type="spellStart"/>
      <w:r w:rsidRPr="0065366F">
        <w:rPr>
          <w:rFonts w:ascii="Arial" w:hAnsi="Arial" w:cs="Arial"/>
          <w:lang w:val="en-US"/>
        </w:rPr>
        <w:t>Pyi</w:t>
      </w:r>
      <w:proofErr w:type="spellEnd"/>
      <w:r w:rsidRPr="0065366F">
        <w:rPr>
          <w:rFonts w:ascii="Arial" w:hAnsi="Arial" w:cs="Arial"/>
          <w:lang w:val="en-US"/>
        </w:rPr>
        <w:t xml:space="preserve"> Taw, and the demographic characteristics of owners and managers are marginally significant. In particular, higher levels of current capital, greater firm size, increased investment in fixed assets, broader geographic reach across distributed townships, and longer operating history are all positively associated with enhanced revenue outcomes. The age and education of the owners and managers, however, are negatively associated with revenue at the 10% significance level. These findings collectively highlight the critical role of financial robustness and operational scale in determining business success in the local food sector. The evidence supports the broader assertion that the demographic characteristics of </w:t>
      </w:r>
      <w:r w:rsidRPr="0065366F">
        <w:rPr>
          <w:rFonts w:ascii="Arial" w:hAnsi="Arial" w:cs="Arial"/>
          <w:lang w:val="en-US"/>
        </w:rPr>
        <w:lastRenderedPageBreak/>
        <w:t>owners and managers and business characteristics, rather than institutional support, are central to explaining variations in firm performance.</w:t>
      </w:r>
    </w:p>
    <w:p w14:paraId="12DC9BDB" w14:textId="77777777" w:rsidR="00ED194E" w:rsidRPr="0065366F" w:rsidRDefault="00ED194E" w:rsidP="00E50BA2">
      <w:pPr>
        <w:spacing w:line="360" w:lineRule="auto"/>
        <w:ind w:right="26" w:firstLine="720"/>
        <w:jc w:val="both"/>
        <w:rPr>
          <w:rFonts w:ascii="Arial" w:hAnsi="Arial" w:cs="Arial"/>
          <w:lang w:val="en-US"/>
        </w:rPr>
      </w:pPr>
      <w:r w:rsidRPr="0065366F">
        <w:rPr>
          <w:rFonts w:ascii="Arial" w:hAnsi="Arial" w:cs="Arial"/>
          <w:lang w:val="en-US"/>
        </w:rPr>
        <w:t>Among the examined predictors, firm size and capital availability emerge as the most influential drivers of revenue generation. This outcome reinforces existing literature suggesting that smaller enterprises often face inherent growth limitations due to inadequate financial and human resources (Beck et al., 2005). The significant and positive effect of fixed assets further confirms that long-term investments in physical capital, such as equipment, infrastructure, and technology, enhance productivity and profitability over time. Moreover, the breadth of distribution coverage, as measured by the number of townships served, shows a meaningful association with revenue, suggesting that firms able to penetrate wider geographic markets gain competitive advantages through increased customer access, market diversification, and visibility.</w:t>
      </w:r>
    </w:p>
    <w:p w14:paraId="3453DC94" w14:textId="77777777" w:rsidR="00ED194E" w:rsidRPr="0065366F" w:rsidRDefault="00ED194E" w:rsidP="00E50BA2">
      <w:pPr>
        <w:spacing w:line="360" w:lineRule="auto"/>
        <w:ind w:right="26" w:firstLine="720"/>
        <w:jc w:val="both"/>
        <w:rPr>
          <w:rFonts w:ascii="Arial" w:hAnsi="Arial" w:cs="Arial"/>
          <w:lang w:val="en-US"/>
        </w:rPr>
      </w:pPr>
      <w:r w:rsidRPr="0065366F">
        <w:rPr>
          <w:rFonts w:ascii="Arial" w:hAnsi="Arial" w:cs="Arial"/>
          <w:lang w:val="en-US"/>
        </w:rPr>
        <w:t>The analysis also reveals that firm age and the kind of Food MSMEs are modest but noteworthy contributors to revenue outcomes. Older firms may benefit from accumulated experience, established customer networks, and organizational maturity. Interestingly, variables such as training participation and access to business information are statistically non-significant but positively correlated, which may reflect the limited quality, relevance, or targeting of existing support services provided to Food MSMEs in the study area and highlights the opportunity for improvement within current support programs.</w:t>
      </w:r>
    </w:p>
    <w:p w14:paraId="1041E034" w14:textId="14BA47D9" w:rsidR="00ED194E" w:rsidRPr="0065366F" w:rsidRDefault="00ED194E" w:rsidP="00E50BA2">
      <w:pPr>
        <w:spacing w:after="240" w:line="360" w:lineRule="auto"/>
        <w:ind w:right="26" w:firstLine="720"/>
        <w:jc w:val="both"/>
        <w:rPr>
          <w:rFonts w:ascii="Arial" w:hAnsi="Arial" w:cs="Arial"/>
          <w:lang w:val="en-US"/>
        </w:rPr>
      </w:pPr>
      <w:r w:rsidRPr="0065366F">
        <w:rPr>
          <w:rFonts w:ascii="Arial" w:hAnsi="Arial" w:cs="Arial"/>
          <w:lang w:val="en-US"/>
        </w:rPr>
        <w:t>The findings of this study highlight the critical role of firm-level structural characteristics</w:t>
      </w:r>
      <w:r w:rsidR="00C85C2C" w:rsidRPr="0065366F">
        <w:rPr>
          <w:rFonts w:ascii="Arial" w:hAnsi="Arial" w:cs="Arial"/>
          <w:lang w:val="en-US"/>
        </w:rPr>
        <w:t xml:space="preserve"> </w:t>
      </w:r>
      <w:r w:rsidRPr="0065366F">
        <w:rPr>
          <w:rFonts w:ascii="Arial" w:hAnsi="Arial" w:cs="Arial"/>
          <w:lang w:val="en-US"/>
        </w:rPr>
        <w:t>particularly financial capacity, asset investment, market reach, and operational scale</w:t>
      </w:r>
      <w:r w:rsidR="00C85C2C" w:rsidRPr="0065366F">
        <w:rPr>
          <w:rFonts w:ascii="Arial" w:hAnsi="Arial" w:cs="Arial"/>
          <w:lang w:val="en-US"/>
        </w:rPr>
        <w:t xml:space="preserve">, </w:t>
      </w:r>
      <w:r w:rsidRPr="0065366F">
        <w:rPr>
          <w:rFonts w:ascii="Arial" w:hAnsi="Arial" w:cs="Arial"/>
          <w:lang w:val="en-US"/>
        </w:rPr>
        <w:t xml:space="preserve">in determining the revenue performance of Food MSMEs in Nay </w:t>
      </w:r>
      <w:proofErr w:type="spellStart"/>
      <w:r w:rsidRPr="0065366F">
        <w:rPr>
          <w:rFonts w:ascii="Arial" w:hAnsi="Arial" w:cs="Arial"/>
          <w:lang w:val="en-US"/>
        </w:rPr>
        <w:t>Pyi</w:t>
      </w:r>
      <w:proofErr w:type="spellEnd"/>
      <w:r w:rsidRPr="0065366F">
        <w:rPr>
          <w:rFonts w:ascii="Arial" w:hAnsi="Arial" w:cs="Arial"/>
          <w:lang w:val="en-US"/>
        </w:rPr>
        <w:t xml:space="preserve"> Taw. The regression results indicate that enhancing enterprise-specific capabilities exerts a more substantial influence on firm performance than dependence on existing institutional support mechanisms. Consequently, policy initiatives should prioritize expanding access to financial capital, facilitating strategic investment in fixed infrastructure, and promoting broader regional market integration. These measures are essential for sustaining the growth and competitiveness of Food MSMEs in Myanmar. Future interventions should therefore emphasize strengthening business capacities while simultaneously redesigning institutional support programs to align more effectively with the evolving operational and financial needs of enterprises in the food sector.</w:t>
      </w:r>
    </w:p>
    <w:p w14:paraId="11B53D3F" w14:textId="0CFFC415" w:rsidR="00C65185" w:rsidRPr="0065366F" w:rsidRDefault="0065366F" w:rsidP="00E50BA2">
      <w:pPr>
        <w:spacing w:after="240" w:line="360" w:lineRule="auto"/>
        <w:ind w:right="26"/>
        <w:jc w:val="both"/>
        <w:rPr>
          <w:rFonts w:ascii="Arial" w:hAnsi="Arial" w:cs="Arial"/>
          <w:b/>
          <w:bCs/>
        </w:rPr>
      </w:pPr>
      <w:r>
        <w:rPr>
          <w:rFonts w:ascii="Arial" w:hAnsi="Arial" w:cs="Arial"/>
          <w:b/>
          <w:bCs/>
        </w:rPr>
        <w:lastRenderedPageBreak/>
        <w:t xml:space="preserve">3.5 </w:t>
      </w:r>
      <w:r w:rsidR="00AE0D87">
        <w:rPr>
          <w:rFonts w:ascii="Arial" w:hAnsi="Arial" w:cs="Arial"/>
          <w:b/>
          <w:bCs/>
        </w:rPr>
        <w:t>RECOMMENDATION</w:t>
      </w:r>
    </w:p>
    <w:p w14:paraId="7C5B7A1A" w14:textId="404C1818" w:rsidR="003E7BE0" w:rsidRPr="0065366F" w:rsidRDefault="003E7BE0" w:rsidP="00E50BA2">
      <w:pPr>
        <w:spacing w:after="240" w:line="360" w:lineRule="auto"/>
        <w:ind w:right="26" w:firstLine="720"/>
        <w:jc w:val="both"/>
        <w:rPr>
          <w:rFonts w:ascii="Arial" w:hAnsi="Arial" w:cs="Arial"/>
          <w:lang w:val="en-US"/>
        </w:rPr>
      </w:pPr>
      <w:r w:rsidRPr="0065366F">
        <w:rPr>
          <w:rFonts w:ascii="Arial" w:hAnsi="Arial" w:cs="Arial"/>
          <w:lang w:val="en-US"/>
        </w:rPr>
        <w:t xml:space="preserve">The study concludes that the performance of </w:t>
      </w:r>
      <w:r w:rsidR="00C5303F" w:rsidRPr="0065366F">
        <w:rPr>
          <w:rFonts w:ascii="Arial" w:hAnsi="Arial" w:cs="Arial"/>
          <w:lang w:val="en-US"/>
        </w:rPr>
        <w:t>Food MSMEs</w:t>
      </w:r>
      <w:r w:rsidRPr="0065366F">
        <w:rPr>
          <w:rFonts w:ascii="Arial" w:hAnsi="Arial" w:cs="Arial"/>
          <w:lang w:val="en-US"/>
        </w:rPr>
        <w:t xml:space="preserve"> in Nay </w:t>
      </w:r>
      <w:proofErr w:type="spellStart"/>
      <w:r w:rsidRPr="0065366F">
        <w:rPr>
          <w:rFonts w:ascii="Arial" w:hAnsi="Arial" w:cs="Arial"/>
          <w:lang w:val="en-US"/>
        </w:rPr>
        <w:t>Pyi</w:t>
      </w:r>
      <w:proofErr w:type="spellEnd"/>
      <w:r w:rsidRPr="0065366F">
        <w:rPr>
          <w:rFonts w:ascii="Arial" w:hAnsi="Arial" w:cs="Arial"/>
          <w:lang w:val="en-US"/>
        </w:rPr>
        <w:t xml:space="preserve"> Taw is primarily driven by firm-level </w:t>
      </w:r>
      <w:r w:rsidR="004314B5" w:rsidRPr="0065366F">
        <w:rPr>
          <w:rFonts w:ascii="Arial" w:hAnsi="Arial" w:cs="Arial"/>
          <w:lang w:val="en-US"/>
        </w:rPr>
        <w:t xml:space="preserve">or business </w:t>
      </w:r>
      <w:r w:rsidRPr="0065366F">
        <w:rPr>
          <w:rFonts w:ascii="Arial" w:hAnsi="Arial" w:cs="Arial"/>
          <w:lang w:val="en-US"/>
        </w:rPr>
        <w:t>characteristics</w:t>
      </w:r>
      <w:r w:rsidR="00F07C2A" w:rsidRPr="0065366F">
        <w:rPr>
          <w:rFonts w:ascii="Arial" w:hAnsi="Arial" w:cs="Arial"/>
          <w:lang w:val="en-US"/>
        </w:rPr>
        <w:t>,</w:t>
      </w:r>
      <w:r w:rsidR="00A54C85" w:rsidRPr="0065366F">
        <w:rPr>
          <w:rFonts w:ascii="Arial" w:hAnsi="Arial" w:cs="Arial"/>
          <w:lang w:val="en-US"/>
        </w:rPr>
        <w:t xml:space="preserve"> </w:t>
      </w:r>
      <w:r w:rsidRPr="0065366F">
        <w:rPr>
          <w:rFonts w:ascii="Arial" w:hAnsi="Arial" w:cs="Arial"/>
          <w:lang w:val="en-US"/>
        </w:rPr>
        <w:t>particularly financial strength, fixed asset investment, firm size, operational experience, and market reach</w:t>
      </w:r>
      <w:r w:rsidR="00F07C2A" w:rsidRPr="0065366F">
        <w:rPr>
          <w:rFonts w:ascii="Arial" w:hAnsi="Arial" w:cs="Arial"/>
          <w:lang w:val="en-US"/>
        </w:rPr>
        <w:t>,</w:t>
      </w:r>
      <w:r w:rsidR="00A54C85" w:rsidRPr="0065366F">
        <w:rPr>
          <w:rFonts w:ascii="Arial" w:hAnsi="Arial" w:cs="Arial"/>
          <w:lang w:val="en-US"/>
        </w:rPr>
        <w:t xml:space="preserve"> </w:t>
      </w:r>
      <w:r w:rsidRPr="0065366F">
        <w:rPr>
          <w:rFonts w:ascii="Arial" w:hAnsi="Arial" w:cs="Arial"/>
          <w:lang w:val="en-US"/>
        </w:rPr>
        <w:t xml:space="preserve">rather than institutional factors. Strengthening these internal capabilities and improving access to finance and infrastructure are essential to enhance sales revenue and ensure sustainable growth in the </w:t>
      </w:r>
      <w:r w:rsidR="00F07C2A" w:rsidRPr="0065366F">
        <w:rPr>
          <w:rFonts w:ascii="Arial" w:hAnsi="Arial" w:cs="Arial"/>
          <w:lang w:val="en-US"/>
        </w:rPr>
        <w:t xml:space="preserve">food </w:t>
      </w:r>
      <w:r w:rsidRPr="0065366F">
        <w:rPr>
          <w:rFonts w:ascii="Arial" w:hAnsi="Arial" w:cs="Arial"/>
          <w:lang w:val="en-US"/>
        </w:rPr>
        <w:t>sector.</w:t>
      </w:r>
    </w:p>
    <w:bookmarkEnd w:id="3"/>
    <w:bookmarkEnd w:id="5"/>
    <w:p w14:paraId="3FC850E6"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Increase Capital Investment and Asset Utilization</w:t>
      </w:r>
      <w:r w:rsidR="00F303A2" w:rsidRPr="0065366F">
        <w:rPr>
          <w:rFonts w:ascii="Arial" w:eastAsia="Calibri" w:hAnsi="Arial" w:cs="Arial"/>
          <w:b/>
          <w:bCs/>
          <w:kern w:val="2"/>
          <w:lang w:val="en-US"/>
          <w14:ligatures w14:val="standardContextual"/>
        </w:rPr>
        <w:t xml:space="preserve"> </w:t>
      </w:r>
    </w:p>
    <w:p w14:paraId="4C1F54D8" w14:textId="4E21E4DD"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Since both current capital and fixed assets significantly influence sales revenue, </w:t>
      </w:r>
      <w:r w:rsidR="00C5303F" w:rsidRPr="0065366F">
        <w:rPr>
          <w:rFonts w:ascii="Arial" w:eastAsia="Calibri" w:hAnsi="Arial" w:cs="Arial"/>
          <w:kern w:val="2"/>
          <w:lang w:val="en-US"/>
          <w14:ligatures w14:val="standardContextual"/>
        </w:rPr>
        <w:t>Food MSMEs</w:t>
      </w:r>
      <w:r w:rsidRPr="0065366F">
        <w:rPr>
          <w:rFonts w:ascii="Arial" w:eastAsia="Calibri" w:hAnsi="Arial" w:cs="Arial"/>
          <w:kern w:val="2"/>
          <w:lang w:val="en-US"/>
          <w14:ligatures w14:val="standardContextual"/>
        </w:rPr>
        <w:t xml:space="preserve"> should prioritize reinvesting profits into expanding working capital and upgrading production assets. Strengthening financial management and reinvestment discipline can help sustain business growth and productivity.</w:t>
      </w:r>
    </w:p>
    <w:p w14:paraId="38F73EE9"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Encourage Growth and Maturity of Firms</w:t>
      </w:r>
    </w:p>
    <w:p w14:paraId="6906C3A6" w14:textId="3DD24529"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Larger and older firms perform better, as indicated by the positive coefficients for firm size and firm age. Entrepreneurs should focus on scaling up operations, maintaining quality standards, and developing brand reputation to enhance competitiveness and long-term sustainability.</w:t>
      </w:r>
    </w:p>
    <w:p w14:paraId="06C1764A"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Expand Distribution Networks</w:t>
      </w:r>
    </w:p>
    <w:p w14:paraId="438CA7B2" w14:textId="4B280F65"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The positive effect of distributed townships suggests that expanding operations or sales to multiple locations increases performance. </w:t>
      </w:r>
      <w:r w:rsidR="00C5303F" w:rsidRPr="0065366F">
        <w:rPr>
          <w:rFonts w:ascii="Arial" w:eastAsia="Calibri" w:hAnsi="Arial" w:cs="Arial"/>
          <w:kern w:val="2"/>
          <w:lang w:val="en-US"/>
          <w14:ligatures w14:val="standardContextual"/>
        </w:rPr>
        <w:t>Food MSMEs</w:t>
      </w:r>
      <w:r w:rsidRPr="0065366F">
        <w:rPr>
          <w:rFonts w:ascii="Arial" w:eastAsia="Calibri" w:hAnsi="Arial" w:cs="Arial"/>
          <w:kern w:val="2"/>
          <w:lang w:val="en-US"/>
          <w14:ligatures w14:val="standardContextual"/>
        </w:rPr>
        <w:t xml:space="preserve"> should diversify markets geographically to capture new customers and reduce dependency on a single area.</w:t>
      </w:r>
    </w:p>
    <w:p w14:paraId="431456E0"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Develop Sectoral Specialization</w:t>
      </w:r>
    </w:p>
    <w:p w14:paraId="060A4331" w14:textId="6348B9EB"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The kind of MSME indicates that firms engaged in specific food subsectors</w:t>
      </w:r>
      <w:r w:rsidR="00AA0161" w:rsidRPr="0065366F">
        <w:rPr>
          <w:rFonts w:ascii="Arial" w:eastAsia="Calibri" w:hAnsi="Arial" w:cs="Arial"/>
          <w:kern w:val="2"/>
          <w:lang w:val="en-US"/>
          <w14:ligatures w14:val="standardContextual"/>
        </w:rPr>
        <w:t>,</w:t>
      </w:r>
      <w:r w:rsidR="00F303A2" w:rsidRPr="0065366F">
        <w:rPr>
          <w:rFonts w:ascii="Arial" w:eastAsia="Calibri" w:hAnsi="Arial" w:cs="Arial"/>
          <w:kern w:val="2"/>
          <w:lang w:val="en-US"/>
          <w14:ligatures w14:val="standardContextual"/>
        </w:rPr>
        <w:t xml:space="preserve"> </w:t>
      </w:r>
      <w:r w:rsidRPr="0065366F">
        <w:rPr>
          <w:rFonts w:ascii="Arial" w:eastAsia="Calibri" w:hAnsi="Arial" w:cs="Arial"/>
          <w:kern w:val="2"/>
          <w:lang w:val="en-US"/>
          <w14:ligatures w14:val="standardContextual"/>
        </w:rPr>
        <w:t>such as processing or packaging</w:t>
      </w:r>
      <w:r w:rsidR="00AA0161" w:rsidRPr="0065366F">
        <w:rPr>
          <w:rFonts w:ascii="Arial" w:eastAsia="Calibri" w:hAnsi="Arial" w:cs="Arial"/>
          <w:kern w:val="2"/>
          <w:lang w:val="en-US"/>
          <w14:ligatures w14:val="standardContextual"/>
        </w:rPr>
        <w:t>,</w:t>
      </w:r>
      <w:r w:rsidR="00F303A2" w:rsidRPr="0065366F">
        <w:rPr>
          <w:rFonts w:ascii="Arial" w:eastAsia="Calibri" w:hAnsi="Arial" w:cs="Arial"/>
          <w:kern w:val="2"/>
          <w:lang w:val="en-US"/>
          <w14:ligatures w14:val="standardContextual"/>
        </w:rPr>
        <w:t xml:space="preserve"> </w:t>
      </w:r>
      <w:r w:rsidRPr="0065366F">
        <w:rPr>
          <w:rFonts w:ascii="Arial" w:eastAsia="Calibri" w:hAnsi="Arial" w:cs="Arial"/>
          <w:kern w:val="2"/>
          <w:lang w:val="en-US"/>
          <w14:ligatures w14:val="standardContextual"/>
        </w:rPr>
        <w:t xml:space="preserve">perform better. </w:t>
      </w:r>
      <w:r w:rsidR="00C5303F" w:rsidRPr="0065366F">
        <w:rPr>
          <w:rFonts w:ascii="Arial" w:eastAsia="Calibri" w:hAnsi="Arial" w:cs="Arial"/>
          <w:kern w:val="2"/>
          <w:lang w:val="en-US"/>
          <w14:ligatures w14:val="standardContextual"/>
        </w:rPr>
        <w:t>Food MSMEs</w:t>
      </w:r>
      <w:r w:rsidRPr="0065366F">
        <w:rPr>
          <w:rFonts w:ascii="Arial" w:eastAsia="Calibri" w:hAnsi="Arial" w:cs="Arial"/>
          <w:kern w:val="2"/>
          <w:lang w:val="en-US"/>
          <w14:ligatures w14:val="standardContextual"/>
        </w:rPr>
        <w:t xml:space="preserve"> should specialize in high-demand products, invest in value-added activities, and focus on product quality improvement and differentiation.</w:t>
      </w:r>
    </w:p>
    <w:p w14:paraId="5CD3B614"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Enhance Entrepreneurial Skills</w:t>
      </w:r>
    </w:p>
    <w:p w14:paraId="52C05503" w14:textId="40FD0FFB"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Although education and age showed weak negative relationships with performance, skill-based learning can compensate for formal education gaps. Entrepreneurs should participate in practical, business-oriented training </w:t>
      </w:r>
      <w:r w:rsidRPr="0065366F">
        <w:rPr>
          <w:rFonts w:ascii="Arial" w:eastAsia="Calibri" w:hAnsi="Arial" w:cs="Arial"/>
          <w:kern w:val="2"/>
          <w:lang w:val="en-US"/>
          <w14:ligatures w14:val="standardContextual"/>
        </w:rPr>
        <w:lastRenderedPageBreak/>
        <w:t>programs focusing on marketing, production efficiency, and digital tools to improve management and decision-making skills.</w:t>
      </w:r>
    </w:p>
    <w:p w14:paraId="0657D3C7"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Seek Financial Access Proactively</w:t>
      </w:r>
    </w:p>
    <w:p w14:paraId="378A465B" w14:textId="4F6C8E0F" w:rsidR="00577B16" w:rsidRPr="0065366F" w:rsidRDefault="00BF499C"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Access to loans has a positive impact on firm performance, indicating that credit availability can enhance business outcomes. To improve their credit readiness, firms should focus on building financial literacy, keeping proper documentation, and exploring cooperative or microfinance options.</w:t>
      </w:r>
    </w:p>
    <w:p w14:paraId="00FD5205" w14:textId="4AF507CF" w:rsidR="00F303A2" w:rsidRPr="0065366F" w:rsidRDefault="00577B16" w:rsidP="00E50BA2">
      <w:pPr>
        <w:pStyle w:val="ListParagraph"/>
        <w:numPr>
          <w:ilvl w:val="0"/>
          <w:numId w:val="15"/>
        </w:numPr>
        <w:spacing w:after="0"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Improve MSME Financing Systems</w:t>
      </w:r>
    </w:p>
    <w:p w14:paraId="161A335A" w14:textId="6CDC0833"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Financial institutions should introduce microcredit and revolving loan programs with reasonable interest rates to improve accessibility for small food enterprises.</w:t>
      </w:r>
    </w:p>
    <w:p w14:paraId="06CA54FE"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Strengthen Business Associations and Information Flow</w:t>
      </w:r>
    </w:p>
    <w:p w14:paraId="0630D24D" w14:textId="4B3C8C37" w:rsidR="00577B16" w:rsidRPr="0065366F"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Government and NGOs should strengthen business networks and ensure the regular dissemination of relevant information</w:t>
      </w:r>
      <w:r w:rsidR="00F07C2A" w:rsidRPr="0065366F">
        <w:rPr>
          <w:rFonts w:ascii="Arial" w:eastAsia="Calibri" w:hAnsi="Arial" w:cs="Arial"/>
          <w:kern w:val="2"/>
          <w:lang w:val="en-US"/>
          <w14:ligatures w14:val="standardContextual"/>
        </w:rPr>
        <w:t xml:space="preserve">, </w:t>
      </w:r>
      <w:r w:rsidRPr="0065366F">
        <w:rPr>
          <w:rFonts w:ascii="Arial" w:eastAsia="Calibri" w:hAnsi="Arial" w:cs="Arial"/>
          <w:kern w:val="2"/>
          <w:lang w:val="en-US"/>
          <w14:ligatures w14:val="standardContextual"/>
        </w:rPr>
        <w:t xml:space="preserve">such as </w:t>
      </w:r>
      <w:r w:rsidR="00F07C2A" w:rsidRPr="0065366F">
        <w:rPr>
          <w:rFonts w:ascii="Arial" w:eastAsia="Calibri" w:hAnsi="Arial" w:cs="Arial"/>
          <w:kern w:val="2"/>
          <w:lang w:val="en-US"/>
          <w14:ligatures w14:val="standardContextual"/>
        </w:rPr>
        <w:t xml:space="preserve">market, </w:t>
      </w:r>
      <w:r w:rsidRPr="0065366F">
        <w:rPr>
          <w:rFonts w:ascii="Arial" w:eastAsia="Calibri" w:hAnsi="Arial" w:cs="Arial"/>
          <w:kern w:val="2"/>
          <w:lang w:val="en-US"/>
          <w14:ligatures w14:val="standardContextual"/>
        </w:rPr>
        <w:t>trade fairs</w:t>
      </w:r>
      <w:r w:rsidR="00F07C2A" w:rsidRPr="0065366F">
        <w:rPr>
          <w:rFonts w:ascii="Arial" w:eastAsia="Calibri" w:hAnsi="Arial" w:cs="Arial"/>
          <w:kern w:val="2"/>
          <w:lang w:val="en-US"/>
          <w14:ligatures w14:val="standardContextual"/>
        </w:rPr>
        <w:t>,</w:t>
      </w:r>
      <w:r w:rsidRPr="0065366F">
        <w:rPr>
          <w:rFonts w:ascii="Arial" w:eastAsia="Calibri" w:hAnsi="Arial" w:cs="Arial"/>
          <w:kern w:val="2"/>
          <w:lang w:val="en-US"/>
          <w14:ligatures w14:val="standardContextual"/>
        </w:rPr>
        <w:t xml:space="preserve"> and financial opportunities</w:t>
      </w:r>
      <w:r w:rsidR="00F07C2A" w:rsidRPr="0065366F">
        <w:rPr>
          <w:rFonts w:ascii="Arial" w:eastAsia="Calibri" w:hAnsi="Arial" w:cs="Arial"/>
          <w:kern w:val="2"/>
          <w:lang w:val="en-US"/>
          <w14:ligatures w14:val="standardContextual"/>
        </w:rPr>
        <w:t xml:space="preserve">, </w:t>
      </w:r>
      <w:r w:rsidRPr="0065366F">
        <w:rPr>
          <w:rFonts w:ascii="Arial" w:eastAsia="Calibri" w:hAnsi="Arial" w:cs="Arial"/>
          <w:kern w:val="2"/>
          <w:lang w:val="en-US"/>
          <w14:ligatures w14:val="standardContextual"/>
        </w:rPr>
        <w:t>through digital and local platforms.</w:t>
      </w:r>
    </w:p>
    <w:p w14:paraId="5B41F2EB" w14:textId="77777777" w:rsidR="00F303A2" w:rsidRPr="0065366F" w:rsidRDefault="00577B16" w:rsidP="00E50BA2">
      <w:pPr>
        <w:numPr>
          <w:ilvl w:val="0"/>
          <w:numId w:val="15"/>
        </w:numPr>
        <w:spacing w:line="360" w:lineRule="auto"/>
        <w:ind w:right="26"/>
        <w:jc w:val="both"/>
        <w:rPr>
          <w:rFonts w:ascii="Arial" w:eastAsia="Calibri" w:hAnsi="Arial" w:cs="Arial"/>
          <w:kern w:val="2"/>
          <w:lang w:val="en-US"/>
          <w14:ligatures w14:val="standardContextual"/>
        </w:rPr>
      </w:pPr>
      <w:r w:rsidRPr="0065366F">
        <w:rPr>
          <w:rFonts w:ascii="Arial" w:eastAsia="Calibri" w:hAnsi="Arial" w:cs="Arial"/>
          <w:b/>
          <w:bCs/>
          <w:kern w:val="2"/>
          <w:lang w:val="en-US"/>
          <w14:ligatures w14:val="standardContextual"/>
        </w:rPr>
        <w:t>Enhance Training Quality and Relevance</w:t>
      </w:r>
    </w:p>
    <w:p w14:paraId="1A0075D8" w14:textId="066E298C" w:rsidR="00577B16" w:rsidRDefault="00577B16" w:rsidP="00E50BA2">
      <w:pPr>
        <w:spacing w:line="360" w:lineRule="auto"/>
        <w:ind w:left="720" w:right="26"/>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Policy </w:t>
      </w:r>
      <w:r w:rsidR="00BF499C" w:rsidRPr="0065366F">
        <w:rPr>
          <w:rFonts w:ascii="Arial" w:eastAsia="Calibri" w:hAnsi="Arial" w:cs="Arial"/>
          <w:kern w:val="2"/>
          <w:lang w:val="en-US"/>
          <w14:ligatures w14:val="standardContextual"/>
        </w:rPr>
        <w:t>makers</w:t>
      </w:r>
      <w:r w:rsidRPr="0065366F">
        <w:rPr>
          <w:rFonts w:ascii="Arial" w:eastAsia="Calibri" w:hAnsi="Arial" w:cs="Arial"/>
          <w:kern w:val="2"/>
          <w:lang w:val="en-US"/>
          <w14:ligatures w14:val="standardContextual"/>
        </w:rPr>
        <w:t xml:space="preserve"> should reform training systems to focus on sector-specific, hands-on business skills such as product innovation, financial management, and marketing strategy.</w:t>
      </w:r>
    </w:p>
    <w:p w14:paraId="75ED740A" w14:textId="77777777" w:rsidR="00577B16" w:rsidRPr="0065366F" w:rsidRDefault="00577B16" w:rsidP="00577B16">
      <w:pPr>
        <w:spacing w:line="312" w:lineRule="auto"/>
        <w:ind w:right="26"/>
        <w:jc w:val="both"/>
        <w:rPr>
          <w:rFonts w:ascii="Arial" w:eastAsia="Calibri" w:hAnsi="Arial" w:cs="Arial"/>
          <w:kern w:val="2"/>
          <w:lang w:val="en-US"/>
          <w14:ligatures w14:val="standardContextual"/>
        </w:rPr>
      </w:pPr>
    </w:p>
    <w:p w14:paraId="4158461C" w14:textId="59AF3395" w:rsidR="00C90F32" w:rsidRPr="0065366F" w:rsidRDefault="00C90F32" w:rsidP="00F21042">
      <w:pPr>
        <w:spacing w:line="312" w:lineRule="auto"/>
        <w:ind w:left="720" w:right="26" w:hanging="720"/>
        <w:jc w:val="both"/>
        <w:rPr>
          <w:rFonts w:ascii="Arial" w:eastAsia="Calibri" w:hAnsi="Arial" w:cs="Arial"/>
          <w:b/>
          <w:bCs/>
          <w:kern w:val="2"/>
          <w:lang w:val="en-US"/>
          <w14:ligatures w14:val="standardContextual"/>
        </w:rPr>
      </w:pPr>
      <w:r w:rsidRPr="0065366F">
        <w:rPr>
          <w:rFonts w:ascii="Arial" w:eastAsia="Calibri" w:hAnsi="Arial" w:cs="Arial"/>
          <w:b/>
          <w:bCs/>
          <w:kern w:val="2"/>
          <w:lang w:val="en-US"/>
          <w14:ligatures w14:val="standardContextual"/>
        </w:rPr>
        <w:t>References</w:t>
      </w:r>
    </w:p>
    <w:p w14:paraId="645BCA52"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Abor, J., &amp; Quartey, P. (2010). Issues in SME development in Ghana and South Africa. </w:t>
      </w:r>
      <w:r w:rsidRPr="0065366F">
        <w:rPr>
          <w:rFonts w:ascii="Arial" w:eastAsia="Calibri" w:hAnsi="Arial" w:cs="Arial"/>
          <w:i/>
          <w:iCs/>
          <w:kern w:val="2"/>
          <w:lang w:val="en-US"/>
          <w14:ligatures w14:val="standardContextual"/>
        </w:rPr>
        <w:t>International Research Journal of Finance and Economics</w:t>
      </w:r>
      <w:r w:rsidRPr="0065366F">
        <w:rPr>
          <w:rFonts w:ascii="Arial" w:eastAsia="Calibri" w:hAnsi="Arial" w:cs="Arial"/>
          <w:kern w:val="2"/>
          <w:lang w:val="en-US"/>
          <w14:ligatures w14:val="standardContextual"/>
        </w:rPr>
        <w:t xml:space="preserve">, </w:t>
      </w:r>
      <w:r w:rsidRPr="0065366F">
        <w:rPr>
          <w:rFonts w:ascii="Arial" w:eastAsia="Calibri" w:hAnsi="Arial" w:cs="Arial"/>
          <w:i/>
          <w:iCs/>
          <w:kern w:val="2"/>
          <w:lang w:val="en-US"/>
          <w14:ligatures w14:val="standardContextual"/>
        </w:rPr>
        <w:t>(39)</w:t>
      </w:r>
      <w:r w:rsidRPr="0065366F">
        <w:rPr>
          <w:rFonts w:ascii="Arial" w:eastAsia="Calibri" w:hAnsi="Arial" w:cs="Arial"/>
          <w:kern w:val="2"/>
          <w:lang w:val="en-US"/>
          <w14:ligatures w14:val="standardContextual"/>
        </w:rPr>
        <w:t>, 218–228.</w:t>
      </w:r>
    </w:p>
    <w:p w14:paraId="306D9DFB" w14:textId="1D0DAE10"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Agyapong, D. (2010). Micro, small</w:t>
      </w:r>
      <w:r w:rsidR="00BF5B69" w:rsidRPr="0065366F">
        <w:rPr>
          <w:rFonts w:ascii="Arial" w:eastAsia="Calibri" w:hAnsi="Arial" w:cs="Arial"/>
          <w:kern w:val="2"/>
          <w:lang w:val="en-US"/>
          <w14:ligatures w14:val="standardContextual"/>
        </w:rPr>
        <w:t>,</w:t>
      </w:r>
      <w:r w:rsidRPr="0065366F">
        <w:rPr>
          <w:rFonts w:ascii="Arial" w:eastAsia="Calibri" w:hAnsi="Arial" w:cs="Arial"/>
          <w:kern w:val="2"/>
          <w:lang w:val="en-US"/>
          <w14:ligatures w14:val="standardContextual"/>
        </w:rPr>
        <w:t xml:space="preserve"> and medium enterprises’ activities, income level and poverty reduction in Ghana—A synthesis of related literature. </w:t>
      </w:r>
      <w:r w:rsidRPr="0065366F">
        <w:rPr>
          <w:rFonts w:ascii="Arial" w:eastAsia="Calibri" w:hAnsi="Arial" w:cs="Arial"/>
          <w:i/>
          <w:iCs/>
          <w:kern w:val="2"/>
          <w:lang w:val="en-US"/>
          <w14:ligatures w14:val="standardContextual"/>
        </w:rPr>
        <w:t>International Journal of Business and Management, 5</w:t>
      </w:r>
      <w:r w:rsidRPr="0065366F">
        <w:rPr>
          <w:rFonts w:ascii="Arial" w:eastAsia="Calibri" w:hAnsi="Arial" w:cs="Arial"/>
          <w:kern w:val="2"/>
          <w:lang w:val="en-US"/>
          <w14:ligatures w14:val="standardContextual"/>
        </w:rPr>
        <w:t xml:space="preserve">(12), 196–205. </w:t>
      </w:r>
      <w:hyperlink r:id="rId10" w:tgtFrame="_new" w:history="1">
        <w:r w:rsidRPr="0065366F">
          <w:rPr>
            <w:rStyle w:val="Hyperlink"/>
            <w:rFonts w:ascii="Arial" w:eastAsia="Calibri" w:hAnsi="Arial" w:cs="Arial"/>
            <w:color w:val="auto"/>
            <w:kern w:val="2"/>
            <w:lang w:val="en-US"/>
            <w14:ligatures w14:val="standardContextual"/>
          </w:rPr>
          <w:t>https://doi.org/10.5539/ijbm.v5n12p196</w:t>
        </w:r>
      </w:hyperlink>
    </w:p>
    <w:p w14:paraId="17B79309" w14:textId="465A221A" w:rsidR="006C2925" w:rsidRPr="0065366F" w:rsidRDefault="006C2925"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14:ligatures w14:val="standardContextual"/>
        </w:rPr>
        <w:t xml:space="preserve">Asian Development Bank. (2020). </w:t>
      </w:r>
      <w:r w:rsidRPr="0065366F">
        <w:rPr>
          <w:rFonts w:ascii="Arial" w:eastAsia="Calibri" w:hAnsi="Arial" w:cs="Arial"/>
          <w:i/>
          <w:iCs/>
          <w:kern w:val="2"/>
          <w14:ligatures w14:val="standardContextual"/>
        </w:rPr>
        <w:t>Asia Small and Medium-Sized Enterprise Monitor 2020: Volume III—Thematic chapter: MSME development in Myanmar.</w:t>
      </w:r>
      <w:r w:rsidRPr="0065366F">
        <w:rPr>
          <w:rFonts w:ascii="Arial" w:eastAsia="Calibri" w:hAnsi="Arial" w:cs="Arial"/>
          <w:kern w:val="2"/>
          <w14:ligatures w14:val="standardContextual"/>
        </w:rPr>
        <w:t xml:space="preserve"> Manila, Philippines: Asian Development Bank. https://doi.org/10.22617/TCS200397-2</w:t>
      </w:r>
    </w:p>
    <w:p w14:paraId="78527920" w14:textId="4FA568F0"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Ayyagari, M., Beck, T., &amp; </w:t>
      </w:r>
      <w:proofErr w:type="spellStart"/>
      <w:r w:rsidRPr="0065366F">
        <w:rPr>
          <w:rFonts w:ascii="Arial" w:eastAsia="Calibri" w:hAnsi="Arial" w:cs="Arial"/>
          <w:kern w:val="2"/>
          <w:lang w:val="en-US"/>
          <w14:ligatures w14:val="standardContextual"/>
        </w:rPr>
        <w:t>Demirguc-Kunt</w:t>
      </w:r>
      <w:proofErr w:type="spellEnd"/>
      <w:r w:rsidRPr="0065366F">
        <w:rPr>
          <w:rFonts w:ascii="Arial" w:eastAsia="Calibri" w:hAnsi="Arial" w:cs="Arial"/>
          <w:kern w:val="2"/>
          <w:lang w:val="en-US"/>
          <w14:ligatures w14:val="standardContextual"/>
        </w:rPr>
        <w:t xml:space="preserve">, A. (2007). Small and medium enterprises across the globe. </w:t>
      </w:r>
      <w:r w:rsidRPr="0065366F">
        <w:rPr>
          <w:rFonts w:ascii="Arial" w:eastAsia="Calibri" w:hAnsi="Arial" w:cs="Arial"/>
          <w:i/>
          <w:iCs/>
          <w:kern w:val="2"/>
          <w:lang w:val="en-US"/>
          <w14:ligatures w14:val="standardContextual"/>
        </w:rPr>
        <w:t>Small Business Economics, 29</w:t>
      </w:r>
      <w:r w:rsidRPr="0065366F">
        <w:rPr>
          <w:rFonts w:ascii="Arial" w:eastAsia="Calibri" w:hAnsi="Arial" w:cs="Arial"/>
          <w:kern w:val="2"/>
          <w:lang w:val="en-US"/>
          <w14:ligatures w14:val="standardContextual"/>
        </w:rPr>
        <w:t xml:space="preserve">(4), 415–434. </w:t>
      </w:r>
      <w:hyperlink r:id="rId11" w:tgtFrame="_new" w:history="1">
        <w:r w:rsidRPr="0065366F">
          <w:rPr>
            <w:rStyle w:val="Hyperlink"/>
            <w:rFonts w:ascii="Arial" w:eastAsia="Calibri" w:hAnsi="Arial" w:cs="Arial"/>
            <w:color w:val="auto"/>
            <w:kern w:val="2"/>
            <w:lang w:val="en-US"/>
            <w14:ligatures w14:val="standardContextual"/>
          </w:rPr>
          <w:t>https://doi.org/10.1007/s11187-006-9002-5</w:t>
        </w:r>
      </w:hyperlink>
    </w:p>
    <w:p w14:paraId="0EFDC3C1"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Barney, J. B. (1991). Firm resources and sustained competitive advantage. </w:t>
      </w:r>
      <w:r w:rsidRPr="0065366F">
        <w:rPr>
          <w:rFonts w:ascii="Arial" w:eastAsia="Calibri" w:hAnsi="Arial" w:cs="Arial"/>
          <w:i/>
          <w:iCs/>
          <w:kern w:val="2"/>
          <w:lang w:val="en-US"/>
          <w14:ligatures w14:val="standardContextual"/>
        </w:rPr>
        <w:t>Journal of Management, 17</w:t>
      </w:r>
      <w:r w:rsidRPr="0065366F">
        <w:rPr>
          <w:rFonts w:ascii="Arial" w:eastAsia="Calibri" w:hAnsi="Arial" w:cs="Arial"/>
          <w:kern w:val="2"/>
          <w:lang w:val="en-US"/>
          <w14:ligatures w14:val="standardContextual"/>
        </w:rPr>
        <w:t xml:space="preserve">(1), 99–120. </w:t>
      </w:r>
      <w:hyperlink r:id="rId12" w:tgtFrame="_new" w:history="1">
        <w:r w:rsidRPr="0065366F">
          <w:rPr>
            <w:rStyle w:val="Hyperlink"/>
            <w:rFonts w:ascii="Arial" w:eastAsia="Calibri" w:hAnsi="Arial" w:cs="Arial"/>
            <w:color w:val="auto"/>
            <w:kern w:val="2"/>
            <w:u w:val="none"/>
            <w:lang w:val="en-US"/>
            <w14:ligatures w14:val="standardContextual"/>
          </w:rPr>
          <w:t>https://doi.org/10.1177/014920639101700108</w:t>
        </w:r>
      </w:hyperlink>
    </w:p>
    <w:p w14:paraId="415958CE"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lastRenderedPageBreak/>
        <w:t xml:space="preserve">Beck, T., </w:t>
      </w:r>
      <w:proofErr w:type="spellStart"/>
      <w:r w:rsidRPr="0065366F">
        <w:rPr>
          <w:rFonts w:ascii="Arial" w:eastAsia="Calibri" w:hAnsi="Arial" w:cs="Arial"/>
          <w:kern w:val="2"/>
          <w:lang w:val="en-US"/>
          <w14:ligatures w14:val="standardContextual"/>
        </w:rPr>
        <w:t>Demirguc-Kunt</w:t>
      </w:r>
      <w:proofErr w:type="spellEnd"/>
      <w:r w:rsidRPr="0065366F">
        <w:rPr>
          <w:rFonts w:ascii="Arial" w:eastAsia="Calibri" w:hAnsi="Arial" w:cs="Arial"/>
          <w:kern w:val="2"/>
          <w:lang w:val="en-US"/>
          <w14:ligatures w14:val="standardContextual"/>
        </w:rPr>
        <w:t xml:space="preserve">, A., &amp; Maksimovic, V. (2005). Financial and legal constraints to firm growth. </w:t>
      </w:r>
      <w:r w:rsidRPr="0065366F">
        <w:rPr>
          <w:rFonts w:ascii="Arial" w:eastAsia="Calibri" w:hAnsi="Arial" w:cs="Arial"/>
          <w:i/>
          <w:iCs/>
          <w:kern w:val="2"/>
          <w:lang w:val="en-US"/>
          <w14:ligatures w14:val="standardContextual"/>
        </w:rPr>
        <w:t>Journal of Finance, 60</w:t>
      </w:r>
      <w:r w:rsidRPr="0065366F">
        <w:rPr>
          <w:rFonts w:ascii="Arial" w:eastAsia="Calibri" w:hAnsi="Arial" w:cs="Arial"/>
          <w:kern w:val="2"/>
          <w:lang w:val="en-US"/>
          <w14:ligatures w14:val="standardContextual"/>
        </w:rPr>
        <w:t xml:space="preserve">(1), 137–177. </w:t>
      </w:r>
      <w:hyperlink r:id="rId13" w:tgtFrame="_new" w:history="1">
        <w:r w:rsidRPr="0065366F">
          <w:rPr>
            <w:rStyle w:val="Hyperlink"/>
            <w:rFonts w:ascii="Arial" w:eastAsia="Calibri" w:hAnsi="Arial" w:cs="Arial"/>
            <w:color w:val="auto"/>
            <w:kern w:val="2"/>
            <w:u w:val="none"/>
            <w:lang w:val="en-US"/>
            <w14:ligatures w14:val="standardContextual"/>
          </w:rPr>
          <w:t>https://doi.org/10.1111/j.1540-6261.2005.00727.x</w:t>
        </w:r>
      </w:hyperlink>
    </w:p>
    <w:p w14:paraId="1BB0AB6F"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Beck, T., &amp; </w:t>
      </w:r>
      <w:proofErr w:type="spellStart"/>
      <w:r w:rsidRPr="0065366F">
        <w:rPr>
          <w:rFonts w:ascii="Arial" w:eastAsia="Calibri" w:hAnsi="Arial" w:cs="Arial"/>
          <w:kern w:val="2"/>
          <w:lang w:val="en-US"/>
          <w14:ligatures w14:val="standardContextual"/>
        </w:rPr>
        <w:t>Demirguc-Kunt</w:t>
      </w:r>
      <w:proofErr w:type="spellEnd"/>
      <w:r w:rsidRPr="0065366F">
        <w:rPr>
          <w:rFonts w:ascii="Arial" w:eastAsia="Calibri" w:hAnsi="Arial" w:cs="Arial"/>
          <w:kern w:val="2"/>
          <w:lang w:val="en-US"/>
          <w14:ligatures w14:val="standardContextual"/>
        </w:rPr>
        <w:t xml:space="preserve">, A. (2006). Small and medium-size enterprises: Access to finance as a growth constraint. </w:t>
      </w:r>
      <w:r w:rsidRPr="0065366F">
        <w:rPr>
          <w:rFonts w:ascii="Arial" w:eastAsia="Calibri" w:hAnsi="Arial" w:cs="Arial"/>
          <w:i/>
          <w:iCs/>
          <w:kern w:val="2"/>
          <w:lang w:val="en-US"/>
          <w14:ligatures w14:val="standardContextual"/>
        </w:rPr>
        <w:t>Journal of Banking &amp; Finance, 30</w:t>
      </w:r>
      <w:r w:rsidRPr="0065366F">
        <w:rPr>
          <w:rFonts w:ascii="Arial" w:eastAsia="Calibri" w:hAnsi="Arial" w:cs="Arial"/>
          <w:kern w:val="2"/>
          <w:lang w:val="en-US"/>
          <w14:ligatures w14:val="standardContextual"/>
        </w:rPr>
        <w:t>(11), 2931–2943.</w:t>
      </w:r>
    </w:p>
    <w:p w14:paraId="60C93361"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Chhetri, P., </w:t>
      </w:r>
      <w:proofErr w:type="spellStart"/>
      <w:r w:rsidRPr="0065366F">
        <w:rPr>
          <w:rFonts w:ascii="Arial" w:eastAsia="Calibri" w:hAnsi="Arial" w:cs="Arial"/>
          <w:kern w:val="2"/>
          <w:lang w:val="en-US"/>
          <w14:ligatures w14:val="standardContextual"/>
        </w:rPr>
        <w:t>Gekara</w:t>
      </w:r>
      <w:proofErr w:type="spellEnd"/>
      <w:r w:rsidRPr="0065366F">
        <w:rPr>
          <w:rFonts w:ascii="Arial" w:eastAsia="Calibri" w:hAnsi="Arial" w:cs="Arial"/>
          <w:kern w:val="2"/>
          <w:lang w:val="en-US"/>
          <w14:ligatures w14:val="standardContextual"/>
        </w:rPr>
        <w:t xml:space="preserve">, V., &amp; Calitz, A. (2017). The impact of infrastructure on MSME competitiveness. </w:t>
      </w:r>
      <w:r w:rsidRPr="0065366F">
        <w:rPr>
          <w:rFonts w:ascii="Arial" w:eastAsia="Calibri" w:hAnsi="Arial" w:cs="Arial"/>
          <w:i/>
          <w:iCs/>
          <w:kern w:val="2"/>
          <w:lang w:val="en-US"/>
          <w14:ligatures w14:val="standardContextual"/>
        </w:rPr>
        <w:t>Local Economy, 32</w:t>
      </w:r>
      <w:r w:rsidRPr="0065366F">
        <w:rPr>
          <w:rFonts w:ascii="Arial" w:eastAsia="Calibri" w:hAnsi="Arial" w:cs="Arial"/>
          <w:kern w:val="2"/>
          <w:lang w:val="en-US"/>
          <w14:ligatures w14:val="standardContextual"/>
        </w:rPr>
        <w:t>(5), 393–409.</w:t>
      </w:r>
    </w:p>
    <w:p w14:paraId="63AD7792" w14:textId="04F6B8A4"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   </w:t>
      </w:r>
      <w:r w:rsidRPr="0065366F">
        <w:rPr>
          <w:rFonts w:ascii="Arial" w:eastAsia="Calibri" w:hAnsi="Arial" w:cs="Arial"/>
          <w:kern w:val="2"/>
          <w:lang w:val="en-US"/>
          <w14:ligatures w14:val="standardContextual"/>
        </w:rPr>
        <w:tab/>
      </w:r>
      <w:hyperlink r:id="rId14" w:history="1">
        <w:r w:rsidRPr="0065366F">
          <w:rPr>
            <w:rStyle w:val="Hyperlink"/>
            <w:rFonts w:ascii="Arial" w:eastAsia="Calibri" w:hAnsi="Arial" w:cs="Arial"/>
            <w:color w:val="auto"/>
            <w:kern w:val="2"/>
            <w:u w:val="none"/>
            <w:lang w:val="en-US"/>
            <w14:ligatures w14:val="standardContextual"/>
          </w:rPr>
          <w:t>https://doi.org/10.1177/0269094217712274</w:t>
        </w:r>
      </w:hyperlink>
    </w:p>
    <w:p w14:paraId="10D1095D"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Department of Small Scale Industrial (SSID). (2023). </w:t>
      </w:r>
      <w:r w:rsidRPr="0065366F">
        <w:rPr>
          <w:rFonts w:ascii="Arial" w:eastAsia="Calibri" w:hAnsi="Arial" w:cs="Arial"/>
          <w:i/>
          <w:iCs/>
          <w:kern w:val="2"/>
          <w:lang w:val="en-US"/>
          <w14:ligatures w14:val="standardContextual"/>
        </w:rPr>
        <w:t>Data record</w:t>
      </w:r>
      <w:r w:rsidRPr="0065366F">
        <w:rPr>
          <w:rFonts w:ascii="Arial" w:eastAsia="Calibri" w:hAnsi="Arial" w:cs="Arial"/>
          <w:kern w:val="2"/>
          <w:lang w:val="en-US"/>
          <w14:ligatures w14:val="standardContextual"/>
        </w:rPr>
        <w:t xml:space="preserve">. Nay </w:t>
      </w:r>
      <w:proofErr w:type="spellStart"/>
      <w:r w:rsidRPr="0065366F">
        <w:rPr>
          <w:rFonts w:ascii="Arial" w:eastAsia="Calibri" w:hAnsi="Arial" w:cs="Arial"/>
          <w:kern w:val="2"/>
          <w:lang w:val="en-US"/>
          <w14:ligatures w14:val="standardContextual"/>
        </w:rPr>
        <w:t>Pyi</w:t>
      </w:r>
      <w:proofErr w:type="spellEnd"/>
      <w:r w:rsidRPr="0065366F">
        <w:rPr>
          <w:rFonts w:ascii="Arial" w:eastAsia="Calibri" w:hAnsi="Arial" w:cs="Arial"/>
          <w:kern w:val="2"/>
          <w:lang w:val="en-US"/>
          <w14:ligatures w14:val="standardContextual"/>
        </w:rPr>
        <w:t xml:space="preserve"> Taw, Myanmar: Ministry of Cooperative and Rural Development.</w:t>
      </w:r>
    </w:p>
    <w:p w14:paraId="3E60E8C9"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Dia, M. (1996). </w:t>
      </w:r>
      <w:r w:rsidRPr="0065366F">
        <w:rPr>
          <w:rFonts w:ascii="Arial" w:eastAsia="Calibri" w:hAnsi="Arial" w:cs="Arial"/>
          <w:i/>
          <w:iCs/>
          <w:kern w:val="2"/>
          <w:lang w:val="en-US"/>
          <w14:ligatures w14:val="standardContextual"/>
        </w:rPr>
        <w:t>Africa's management in the 1990s and beyond: Reconciling indigenous and transplanted institutions</w:t>
      </w:r>
      <w:r w:rsidRPr="0065366F">
        <w:rPr>
          <w:rFonts w:ascii="Arial" w:eastAsia="Calibri" w:hAnsi="Arial" w:cs="Arial"/>
          <w:kern w:val="2"/>
          <w:lang w:val="en-US"/>
          <w14:ligatures w14:val="standardContextual"/>
        </w:rPr>
        <w:t>. Washington, DC: World Bank Publications.</w:t>
      </w:r>
    </w:p>
    <w:p w14:paraId="26CF431C"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Directorate of Industrial Supervision and Inspection (DISI). (2023). </w:t>
      </w:r>
      <w:r w:rsidRPr="0065366F">
        <w:rPr>
          <w:rFonts w:ascii="Arial" w:eastAsia="Calibri" w:hAnsi="Arial" w:cs="Arial"/>
          <w:i/>
          <w:iCs/>
          <w:kern w:val="2"/>
          <w:lang w:val="en-US"/>
          <w14:ligatures w14:val="standardContextual"/>
        </w:rPr>
        <w:t>Data record</w:t>
      </w:r>
      <w:r w:rsidRPr="0065366F">
        <w:rPr>
          <w:rFonts w:ascii="Arial" w:eastAsia="Calibri" w:hAnsi="Arial" w:cs="Arial"/>
          <w:kern w:val="2"/>
          <w:lang w:val="en-US"/>
          <w14:ligatures w14:val="standardContextual"/>
        </w:rPr>
        <w:t xml:space="preserve">. Nay </w:t>
      </w:r>
      <w:proofErr w:type="spellStart"/>
      <w:r w:rsidRPr="0065366F">
        <w:rPr>
          <w:rFonts w:ascii="Arial" w:eastAsia="Calibri" w:hAnsi="Arial" w:cs="Arial"/>
          <w:kern w:val="2"/>
          <w:lang w:val="en-US"/>
          <w14:ligatures w14:val="standardContextual"/>
        </w:rPr>
        <w:t>Pyi</w:t>
      </w:r>
      <w:proofErr w:type="spellEnd"/>
      <w:r w:rsidRPr="0065366F">
        <w:rPr>
          <w:rFonts w:ascii="Arial" w:eastAsia="Calibri" w:hAnsi="Arial" w:cs="Arial"/>
          <w:kern w:val="2"/>
          <w:lang w:val="en-US"/>
          <w14:ligatures w14:val="standardContextual"/>
        </w:rPr>
        <w:t xml:space="preserve"> Taw, Myanmar: Ministry of Industry.</w:t>
      </w:r>
    </w:p>
    <w:p w14:paraId="2B2AC60E"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Gujarati, D. N., &amp; Porter, D. C. (2009). </w:t>
      </w:r>
      <w:r w:rsidRPr="0065366F">
        <w:rPr>
          <w:rFonts w:ascii="Arial" w:eastAsia="Calibri" w:hAnsi="Arial" w:cs="Arial"/>
          <w:i/>
          <w:iCs/>
          <w:kern w:val="2"/>
          <w:lang w:val="en-US"/>
          <w14:ligatures w14:val="standardContextual"/>
        </w:rPr>
        <w:t>Basic econometrics</w:t>
      </w:r>
      <w:r w:rsidRPr="0065366F">
        <w:rPr>
          <w:rFonts w:ascii="Arial" w:eastAsia="Calibri" w:hAnsi="Arial" w:cs="Arial"/>
          <w:kern w:val="2"/>
          <w:lang w:val="en-US"/>
          <w14:ligatures w14:val="standardContextual"/>
        </w:rPr>
        <w:t xml:space="preserve"> (5th ed.). New York, NY: McGraw-Hill.</w:t>
      </w:r>
    </w:p>
    <w:p w14:paraId="22FCE353"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Hair, J. F., Black, W. C., Babin, B. J., &amp; Anderson, R. E. (2010). </w:t>
      </w:r>
      <w:r w:rsidRPr="0065366F">
        <w:rPr>
          <w:rFonts w:ascii="Arial" w:eastAsia="Calibri" w:hAnsi="Arial" w:cs="Arial"/>
          <w:i/>
          <w:iCs/>
          <w:kern w:val="2"/>
          <w:lang w:val="en-US"/>
          <w14:ligatures w14:val="standardContextual"/>
        </w:rPr>
        <w:t>Multivariate data analysis</w:t>
      </w:r>
      <w:r w:rsidRPr="0065366F">
        <w:rPr>
          <w:rFonts w:ascii="Arial" w:eastAsia="Calibri" w:hAnsi="Arial" w:cs="Arial"/>
          <w:kern w:val="2"/>
          <w:lang w:val="en-US"/>
          <w14:ligatures w14:val="standardContextual"/>
        </w:rPr>
        <w:t xml:space="preserve"> (7th ed.). Upper Saddle River, NJ: Pearson.</w:t>
      </w:r>
    </w:p>
    <w:p w14:paraId="5889A04E" w14:textId="0D46F880" w:rsidR="00824A1B" w:rsidRPr="0065366F" w:rsidRDefault="00824A1B"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14:ligatures w14:val="standardContextual"/>
        </w:rPr>
        <w:t xml:space="preserve">International Labour Organization (ILO). (2015). </w:t>
      </w:r>
      <w:r w:rsidRPr="0065366F">
        <w:rPr>
          <w:rFonts w:ascii="Arial" w:eastAsia="Calibri" w:hAnsi="Arial" w:cs="Arial"/>
          <w:i/>
          <w:iCs/>
          <w:kern w:val="2"/>
          <w14:ligatures w14:val="standardContextual"/>
        </w:rPr>
        <w:t>Small and medium-sized enterprises and decent and productive employment creation</w:t>
      </w:r>
      <w:r w:rsidRPr="0065366F">
        <w:rPr>
          <w:rFonts w:ascii="Arial" w:eastAsia="Calibri" w:hAnsi="Arial" w:cs="Arial"/>
          <w:kern w:val="2"/>
          <w14:ligatures w14:val="standardContextual"/>
        </w:rPr>
        <w:t>. Geneva: International Labour Office.</w:t>
      </w:r>
    </w:p>
    <w:p w14:paraId="7DB7CEB7" w14:textId="4526B04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International </w:t>
      </w:r>
      <w:proofErr w:type="spellStart"/>
      <w:r w:rsidRPr="0065366F">
        <w:rPr>
          <w:rFonts w:ascii="Arial" w:eastAsia="Calibri" w:hAnsi="Arial" w:cs="Arial"/>
          <w:kern w:val="2"/>
          <w:lang w:val="en-US"/>
          <w14:ligatures w14:val="standardContextual"/>
        </w:rPr>
        <w:t>Labour</w:t>
      </w:r>
      <w:proofErr w:type="spellEnd"/>
      <w:r w:rsidRPr="0065366F">
        <w:rPr>
          <w:rFonts w:ascii="Arial" w:eastAsia="Calibri" w:hAnsi="Arial" w:cs="Arial"/>
          <w:kern w:val="2"/>
          <w:lang w:val="en-US"/>
          <w14:ligatures w14:val="standardContextual"/>
        </w:rPr>
        <w:t xml:space="preserve"> Organization (ILO). (2020a). </w:t>
      </w:r>
      <w:r w:rsidRPr="0065366F">
        <w:rPr>
          <w:rFonts w:ascii="Arial" w:eastAsia="Calibri" w:hAnsi="Arial" w:cs="Arial"/>
          <w:i/>
          <w:iCs/>
          <w:kern w:val="2"/>
          <w:lang w:val="en-US"/>
          <w14:ligatures w14:val="standardContextual"/>
        </w:rPr>
        <w:t>Skills development for MSMEs</w:t>
      </w:r>
      <w:r w:rsidRPr="0065366F">
        <w:rPr>
          <w:rFonts w:ascii="Arial" w:eastAsia="Calibri" w:hAnsi="Arial" w:cs="Arial"/>
          <w:kern w:val="2"/>
          <w:lang w:val="en-US"/>
          <w14:ligatures w14:val="standardContextual"/>
        </w:rPr>
        <w:t xml:space="preserve">. </w:t>
      </w:r>
      <w:hyperlink r:id="rId15" w:history="1">
        <w:r w:rsidR="00FD5C92" w:rsidRPr="0065366F">
          <w:rPr>
            <w:rStyle w:val="Hyperlink"/>
            <w:rFonts w:ascii="Arial" w:eastAsia="Calibri" w:hAnsi="Arial" w:cs="Arial"/>
            <w:color w:val="auto"/>
            <w:kern w:val="2"/>
            <w:u w:val="none"/>
            <w:lang w:val="en-US"/>
            <w14:ligatures w14:val="standardContextual"/>
          </w:rPr>
          <w:t>https://www.ilo.org/global/topics/skills/projects/WCMS_756047/langen/index.htm</w:t>
        </w:r>
      </w:hyperlink>
    </w:p>
    <w:p w14:paraId="0F8236FF" w14:textId="78456B3B"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International </w:t>
      </w:r>
      <w:proofErr w:type="spellStart"/>
      <w:r w:rsidRPr="0065366F">
        <w:rPr>
          <w:rFonts w:ascii="Arial" w:eastAsia="Calibri" w:hAnsi="Arial" w:cs="Arial"/>
          <w:kern w:val="2"/>
          <w:lang w:val="en-US"/>
          <w14:ligatures w14:val="standardContextual"/>
        </w:rPr>
        <w:t>Labour</w:t>
      </w:r>
      <w:proofErr w:type="spellEnd"/>
      <w:r w:rsidRPr="0065366F">
        <w:rPr>
          <w:rFonts w:ascii="Arial" w:eastAsia="Calibri" w:hAnsi="Arial" w:cs="Arial"/>
          <w:kern w:val="2"/>
          <w:lang w:val="en-US"/>
          <w14:ligatures w14:val="standardContextual"/>
        </w:rPr>
        <w:t xml:space="preserve"> Organization (ILO). (2020b). </w:t>
      </w:r>
      <w:r w:rsidRPr="0065366F">
        <w:rPr>
          <w:rFonts w:ascii="Arial" w:eastAsia="Calibri" w:hAnsi="Arial" w:cs="Arial"/>
          <w:i/>
          <w:iCs/>
          <w:kern w:val="2"/>
          <w:lang w:val="en-US"/>
          <w14:ligatures w14:val="standardContextual"/>
        </w:rPr>
        <w:t>MSME survey in Myanmar: Impact of COVID-19 on employment and businesses</w:t>
      </w:r>
      <w:r w:rsidRPr="0065366F">
        <w:rPr>
          <w:rFonts w:ascii="Arial" w:eastAsia="Calibri" w:hAnsi="Arial" w:cs="Arial"/>
          <w:kern w:val="2"/>
          <w:lang w:val="en-US"/>
          <w14:ligatures w14:val="standardContextual"/>
        </w:rPr>
        <w:t xml:space="preserve">. </w:t>
      </w:r>
      <w:hyperlink r:id="rId16" w:tgtFrame="_new" w:history="1">
        <w:r w:rsidRPr="0065366F">
          <w:rPr>
            <w:rStyle w:val="Hyperlink"/>
            <w:rFonts w:ascii="Arial" w:eastAsia="Calibri" w:hAnsi="Arial" w:cs="Arial"/>
            <w:color w:val="auto"/>
            <w:kern w:val="2"/>
            <w:u w:val="none"/>
            <w:lang w:val="en-US"/>
            <w14:ligatures w14:val="standardContextual"/>
          </w:rPr>
          <w:t>https://www.ilo.org/yangon/information-resources/public-information/WCMS_749201/lang--en/index.htm</w:t>
        </w:r>
      </w:hyperlink>
    </w:p>
    <w:p w14:paraId="7DD3CB46"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Kallon, K. M. (1990). </w:t>
      </w:r>
      <w:r w:rsidRPr="0065366F">
        <w:rPr>
          <w:rFonts w:ascii="Arial" w:eastAsia="Calibri" w:hAnsi="Arial" w:cs="Arial"/>
          <w:i/>
          <w:iCs/>
          <w:kern w:val="2"/>
          <w:lang w:val="en-US"/>
          <w14:ligatures w14:val="standardContextual"/>
        </w:rPr>
        <w:t>The economics of Sierra Leonean entrepreneurship</w:t>
      </w:r>
      <w:r w:rsidRPr="0065366F">
        <w:rPr>
          <w:rFonts w:ascii="Arial" w:eastAsia="Calibri" w:hAnsi="Arial" w:cs="Arial"/>
          <w:kern w:val="2"/>
          <w:lang w:val="en-US"/>
          <w14:ligatures w14:val="standardContextual"/>
        </w:rPr>
        <w:t>. Lanham, MD: University Press of America.</w:t>
      </w:r>
    </w:p>
    <w:p w14:paraId="412A3B35"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proofErr w:type="spellStart"/>
      <w:r w:rsidRPr="0065366F">
        <w:rPr>
          <w:rFonts w:ascii="Arial" w:eastAsia="Calibri" w:hAnsi="Arial" w:cs="Arial"/>
          <w:kern w:val="2"/>
          <w:lang w:val="en-US"/>
          <w14:ligatures w14:val="standardContextual"/>
        </w:rPr>
        <w:t>Kamunge</w:t>
      </w:r>
      <w:proofErr w:type="spellEnd"/>
      <w:r w:rsidRPr="0065366F">
        <w:rPr>
          <w:rFonts w:ascii="Arial" w:eastAsia="Calibri" w:hAnsi="Arial" w:cs="Arial"/>
          <w:kern w:val="2"/>
          <w:lang w:val="en-US"/>
          <w14:ligatures w14:val="standardContextual"/>
        </w:rPr>
        <w:t xml:space="preserve">, M. S., Njeru, A., &amp; </w:t>
      </w:r>
      <w:proofErr w:type="spellStart"/>
      <w:r w:rsidRPr="0065366F">
        <w:rPr>
          <w:rFonts w:ascii="Arial" w:eastAsia="Calibri" w:hAnsi="Arial" w:cs="Arial"/>
          <w:kern w:val="2"/>
          <w:lang w:val="en-US"/>
          <w14:ligatures w14:val="standardContextual"/>
        </w:rPr>
        <w:t>Tirimba</w:t>
      </w:r>
      <w:proofErr w:type="spellEnd"/>
      <w:r w:rsidRPr="0065366F">
        <w:rPr>
          <w:rFonts w:ascii="Arial" w:eastAsia="Calibri" w:hAnsi="Arial" w:cs="Arial"/>
          <w:kern w:val="2"/>
          <w:lang w:val="en-US"/>
          <w14:ligatures w14:val="standardContextual"/>
        </w:rPr>
        <w:t xml:space="preserve">, O. I. (2014). Factors affecting the performance of small and micro enterprises in Limuru Town Market of Kiambu County, Kenya. </w:t>
      </w:r>
      <w:r w:rsidRPr="0065366F">
        <w:rPr>
          <w:rFonts w:ascii="Arial" w:eastAsia="Calibri" w:hAnsi="Arial" w:cs="Arial"/>
          <w:i/>
          <w:iCs/>
          <w:kern w:val="2"/>
          <w:lang w:val="en-US"/>
          <w14:ligatures w14:val="standardContextual"/>
        </w:rPr>
        <w:t>International Journal of Scientific and Research Publications, 4</w:t>
      </w:r>
      <w:r w:rsidRPr="0065366F">
        <w:rPr>
          <w:rFonts w:ascii="Arial" w:eastAsia="Calibri" w:hAnsi="Arial" w:cs="Arial"/>
          <w:kern w:val="2"/>
          <w:lang w:val="en-US"/>
          <w14:ligatures w14:val="standardContextual"/>
        </w:rPr>
        <w:t>(12), 1–20.</w:t>
      </w:r>
    </w:p>
    <w:p w14:paraId="1C738F49" w14:textId="3D950EA1" w:rsidR="00824A1B" w:rsidRPr="0065366F" w:rsidRDefault="00824A1B"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14:ligatures w14:val="standardContextual"/>
        </w:rPr>
        <w:t xml:space="preserve">Levesque, M., &amp; Minniti, M. (2006). The effect of aging on entrepreneurial </w:t>
      </w:r>
      <w:proofErr w:type="spellStart"/>
      <w:r w:rsidRPr="0065366F">
        <w:rPr>
          <w:rFonts w:ascii="Arial" w:eastAsia="Calibri" w:hAnsi="Arial" w:cs="Arial"/>
          <w:kern w:val="2"/>
          <w14:ligatures w14:val="standardContextual"/>
        </w:rPr>
        <w:t>behavior</w:t>
      </w:r>
      <w:proofErr w:type="spellEnd"/>
      <w:r w:rsidRPr="0065366F">
        <w:rPr>
          <w:rFonts w:ascii="Arial" w:eastAsia="Calibri" w:hAnsi="Arial" w:cs="Arial"/>
          <w:kern w:val="2"/>
          <w14:ligatures w14:val="standardContextual"/>
        </w:rPr>
        <w:t xml:space="preserve">. </w:t>
      </w:r>
      <w:r w:rsidRPr="0065366F">
        <w:rPr>
          <w:rFonts w:ascii="Arial" w:eastAsia="Calibri" w:hAnsi="Arial" w:cs="Arial"/>
          <w:i/>
          <w:iCs/>
          <w:kern w:val="2"/>
          <w14:ligatures w14:val="standardContextual"/>
        </w:rPr>
        <w:t>Journal of Business Venturing, 21</w:t>
      </w:r>
      <w:r w:rsidRPr="0065366F">
        <w:rPr>
          <w:rFonts w:ascii="Arial" w:eastAsia="Calibri" w:hAnsi="Arial" w:cs="Arial"/>
          <w:kern w:val="2"/>
          <w14:ligatures w14:val="standardContextual"/>
        </w:rPr>
        <w:t>(2), 177–194. https://doi.org/10.1016/j.jbusvent.2005.04.003</w:t>
      </w:r>
    </w:p>
    <w:p w14:paraId="6E3B06E9"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lastRenderedPageBreak/>
        <w:t xml:space="preserve">Lussier, R. N., &amp; Corman, J. (1996). A business success versus failure prediction model for entrepreneurs with 0–10 employees. </w:t>
      </w:r>
      <w:r w:rsidRPr="0065366F">
        <w:rPr>
          <w:rFonts w:ascii="Arial" w:eastAsia="Calibri" w:hAnsi="Arial" w:cs="Arial"/>
          <w:i/>
          <w:iCs/>
          <w:kern w:val="2"/>
          <w:lang w:val="en-US"/>
          <w14:ligatures w14:val="standardContextual"/>
        </w:rPr>
        <w:t>Journal of Small Business Strategy, 7</w:t>
      </w:r>
      <w:r w:rsidRPr="0065366F">
        <w:rPr>
          <w:rFonts w:ascii="Arial" w:eastAsia="Calibri" w:hAnsi="Arial" w:cs="Arial"/>
          <w:kern w:val="2"/>
          <w:lang w:val="en-US"/>
          <w14:ligatures w14:val="standardContextual"/>
        </w:rPr>
        <w:t>(1), 21–36.</w:t>
      </w:r>
    </w:p>
    <w:p w14:paraId="2E8217C3"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proofErr w:type="spellStart"/>
      <w:r w:rsidRPr="0065366F">
        <w:rPr>
          <w:rFonts w:ascii="Arial" w:eastAsia="Calibri" w:hAnsi="Arial" w:cs="Arial"/>
          <w:kern w:val="2"/>
          <w:lang w:val="en-US"/>
          <w14:ligatures w14:val="standardContextual"/>
        </w:rPr>
        <w:t>Mahadea</w:t>
      </w:r>
      <w:proofErr w:type="spellEnd"/>
      <w:r w:rsidRPr="0065366F">
        <w:rPr>
          <w:rFonts w:ascii="Arial" w:eastAsia="Calibri" w:hAnsi="Arial" w:cs="Arial"/>
          <w:kern w:val="2"/>
          <w:lang w:val="en-US"/>
          <w14:ligatures w14:val="standardContextual"/>
        </w:rPr>
        <w:t xml:space="preserve">, D., &amp; Pillay, M. K. (2008). Environmental conditions for SMME development in a South African province. </w:t>
      </w:r>
      <w:r w:rsidRPr="0065366F">
        <w:rPr>
          <w:rFonts w:ascii="Arial" w:eastAsia="Calibri" w:hAnsi="Arial" w:cs="Arial"/>
          <w:i/>
          <w:iCs/>
          <w:kern w:val="2"/>
          <w:lang w:val="en-US"/>
          <w14:ligatures w14:val="standardContextual"/>
        </w:rPr>
        <w:t>South African Journal of Economic and Management Sciences, 11</w:t>
      </w:r>
      <w:r w:rsidRPr="0065366F">
        <w:rPr>
          <w:rFonts w:ascii="Arial" w:eastAsia="Calibri" w:hAnsi="Arial" w:cs="Arial"/>
          <w:kern w:val="2"/>
          <w:lang w:val="en-US"/>
          <w14:ligatures w14:val="standardContextual"/>
        </w:rPr>
        <w:t>(4), 431–448.</w:t>
      </w:r>
    </w:p>
    <w:p w14:paraId="4FD65121"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Mankiw, N. G. (2021). </w:t>
      </w:r>
      <w:r w:rsidRPr="0065366F">
        <w:rPr>
          <w:rFonts w:ascii="Arial" w:eastAsia="Calibri" w:hAnsi="Arial" w:cs="Arial"/>
          <w:i/>
          <w:iCs/>
          <w:kern w:val="2"/>
          <w:lang w:val="en-US"/>
          <w14:ligatures w14:val="standardContextual"/>
        </w:rPr>
        <w:t>Principles of economics</w:t>
      </w:r>
      <w:r w:rsidRPr="0065366F">
        <w:rPr>
          <w:rFonts w:ascii="Arial" w:eastAsia="Calibri" w:hAnsi="Arial" w:cs="Arial"/>
          <w:kern w:val="2"/>
          <w:lang w:val="en-US"/>
          <w14:ligatures w14:val="standardContextual"/>
        </w:rPr>
        <w:t xml:space="preserve"> (9th ed.). Boston, MA: Cengage Learning.</w:t>
      </w:r>
    </w:p>
    <w:p w14:paraId="13E4543E"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Mensah, J. K. (2020). Firm age and business performance: Evidence from SMEs in developing countries. </w:t>
      </w:r>
      <w:r w:rsidRPr="0065366F">
        <w:rPr>
          <w:rFonts w:ascii="Arial" w:eastAsia="Calibri" w:hAnsi="Arial" w:cs="Arial"/>
          <w:i/>
          <w:iCs/>
          <w:kern w:val="2"/>
          <w:lang w:val="en-US"/>
          <w14:ligatures w14:val="standardContextual"/>
        </w:rPr>
        <w:t>Journal of Small Business Studies, 28</w:t>
      </w:r>
      <w:r w:rsidRPr="0065366F">
        <w:rPr>
          <w:rFonts w:ascii="Arial" w:eastAsia="Calibri" w:hAnsi="Arial" w:cs="Arial"/>
          <w:kern w:val="2"/>
          <w:lang w:val="en-US"/>
          <w14:ligatures w14:val="standardContextual"/>
        </w:rPr>
        <w:t>(2), 100–115.</w:t>
      </w:r>
    </w:p>
    <w:p w14:paraId="084D6541"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Organization for Economic Cooperation and Development (OECD). (2019). </w:t>
      </w:r>
      <w:r w:rsidRPr="0065366F">
        <w:rPr>
          <w:rFonts w:ascii="Arial" w:eastAsia="Calibri" w:hAnsi="Arial" w:cs="Arial"/>
          <w:i/>
          <w:iCs/>
          <w:kern w:val="2"/>
          <w:lang w:val="en-US"/>
          <w14:ligatures w14:val="standardContextual"/>
        </w:rPr>
        <w:t>SME and entrepreneurship policy in Myanmar</w:t>
      </w:r>
      <w:r w:rsidRPr="0065366F">
        <w:rPr>
          <w:rFonts w:ascii="Arial" w:eastAsia="Calibri" w:hAnsi="Arial" w:cs="Arial"/>
          <w:kern w:val="2"/>
          <w:lang w:val="en-US"/>
          <w14:ligatures w14:val="standardContextual"/>
        </w:rPr>
        <w:t>. Paris: OECD Publishing.</w:t>
      </w:r>
    </w:p>
    <w:p w14:paraId="4AABBA05"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Rahman, M., Islam, M., &amp; Hossain, M. (2021). Education and SME performance in South Asia: A review. </w:t>
      </w:r>
      <w:r w:rsidRPr="0065366F">
        <w:rPr>
          <w:rFonts w:ascii="Arial" w:eastAsia="Calibri" w:hAnsi="Arial" w:cs="Arial"/>
          <w:i/>
          <w:iCs/>
          <w:kern w:val="2"/>
          <w:lang w:val="en-US"/>
          <w14:ligatures w14:val="standardContextual"/>
        </w:rPr>
        <w:t>International Journal of Business and Management, 16</w:t>
      </w:r>
      <w:r w:rsidRPr="0065366F">
        <w:rPr>
          <w:rFonts w:ascii="Arial" w:eastAsia="Calibri" w:hAnsi="Arial" w:cs="Arial"/>
          <w:kern w:val="2"/>
          <w:lang w:val="en-US"/>
          <w14:ligatures w14:val="standardContextual"/>
        </w:rPr>
        <w:t>(5), 88–102.</w:t>
      </w:r>
    </w:p>
    <w:p w14:paraId="20FC9456"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proofErr w:type="spellStart"/>
      <w:r w:rsidRPr="0065366F">
        <w:rPr>
          <w:rFonts w:ascii="Arial" w:eastAsia="Calibri" w:hAnsi="Arial" w:cs="Arial"/>
          <w:kern w:val="2"/>
          <w:lang w:val="en-US"/>
          <w14:ligatures w14:val="standardContextual"/>
        </w:rPr>
        <w:t>Trkman</w:t>
      </w:r>
      <w:proofErr w:type="spellEnd"/>
      <w:r w:rsidRPr="0065366F">
        <w:rPr>
          <w:rFonts w:ascii="Arial" w:eastAsia="Calibri" w:hAnsi="Arial" w:cs="Arial"/>
          <w:kern w:val="2"/>
          <w:lang w:val="en-US"/>
          <w14:ligatures w14:val="standardContextual"/>
        </w:rPr>
        <w:t xml:space="preserve">, P. (2010). The critical success factors of business process management. </w:t>
      </w:r>
      <w:r w:rsidRPr="0065366F">
        <w:rPr>
          <w:rFonts w:ascii="Arial" w:eastAsia="Calibri" w:hAnsi="Arial" w:cs="Arial"/>
          <w:i/>
          <w:iCs/>
          <w:kern w:val="2"/>
          <w:lang w:val="en-US"/>
          <w14:ligatures w14:val="standardContextual"/>
        </w:rPr>
        <w:t>International Journal of Information Management, 30</w:t>
      </w:r>
      <w:r w:rsidRPr="0065366F">
        <w:rPr>
          <w:rFonts w:ascii="Arial" w:eastAsia="Calibri" w:hAnsi="Arial" w:cs="Arial"/>
          <w:kern w:val="2"/>
          <w:lang w:val="en-US"/>
          <w14:ligatures w14:val="standardContextual"/>
        </w:rPr>
        <w:t>(2), 125–134.</w:t>
      </w:r>
    </w:p>
    <w:p w14:paraId="14D378EB"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proofErr w:type="spellStart"/>
      <w:r w:rsidRPr="0065366F">
        <w:rPr>
          <w:rFonts w:ascii="Arial" w:eastAsia="Calibri" w:hAnsi="Arial" w:cs="Arial"/>
          <w:kern w:val="2"/>
          <w:lang w:val="en-US"/>
          <w14:ligatures w14:val="standardContextual"/>
        </w:rPr>
        <w:t>Tushabomwe-Kazooba</w:t>
      </w:r>
      <w:proofErr w:type="spellEnd"/>
      <w:r w:rsidRPr="0065366F">
        <w:rPr>
          <w:rFonts w:ascii="Arial" w:eastAsia="Calibri" w:hAnsi="Arial" w:cs="Arial"/>
          <w:kern w:val="2"/>
          <w:lang w:val="en-US"/>
          <w14:ligatures w14:val="standardContextual"/>
        </w:rPr>
        <w:t xml:space="preserve">, C. (2006). Causes of small business failure in Uganda: A case study from Bushenyi and Mbarara towns. </w:t>
      </w:r>
      <w:r w:rsidRPr="0065366F">
        <w:rPr>
          <w:rFonts w:ascii="Arial" w:eastAsia="Calibri" w:hAnsi="Arial" w:cs="Arial"/>
          <w:i/>
          <w:iCs/>
          <w:kern w:val="2"/>
          <w:lang w:val="en-US"/>
          <w14:ligatures w14:val="standardContextual"/>
        </w:rPr>
        <w:t>African Studies Quarterly, 8</w:t>
      </w:r>
      <w:r w:rsidRPr="0065366F">
        <w:rPr>
          <w:rFonts w:ascii="Arial" w:eastAsia="Calibri" w:hAnsi="Arial" w:cs="Arial"/>
          <w:kern w:val="2"/>
          <w:lang w:val="en-US"/>
          <w14:ligatures w14:val="standardContextual"/>
        </w:rPr>
        <w:t>(4), 27–35.</w:t>
      </w:r>
    </w:p>
    <w:p w14:paraId="6381111F" w14:textId="77777777" w:rsidR="00A87761" w:rsidRPr="0065366F" w:rsidRDefault="00A87761" w:rsidP="00A87761">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Vesper, K. H. (1990). </w:t>
      </w:r>
      <w:r w:rsidRPr="0065366F">
        <w:rPr>
          <w:rFonts w:ascii="Arial" w:eastAsia="Calibri" w:hAnsi="Arial" w:cs="Arial"/>
          <w:i/>
          <w:iCs/>
          <w:kern w:val="2"/>
          <w:lang w:val="en-US"/>
          <w14:ligatures w14:val="standardContextual"/>
        </w:rPr>
        <w:t>New venture strategies</w:t>
      </w:r>
      <w:r w:rsidRPr="0065366F">
        <w:rPr>
          <w:rFonts w:ascii="Arial" w:eastAsia="Calibri" w:hAnsi="Arial" w:cs="Arial"/>
          <w:kern w:val="2"/>
          <w:lang w:val="en-US"/>
          <w14:ligatures w14:val="standardContextual"/>
        </w:rPr>
        <w:t>. Urbana-Champaign, IL: University of Illinois Press.</w:t>
      </w:r>
    </w:p>
    <w:p w14:paraId="61E402A1" w14:textId="46D9E104" w:rsidR="00A965B0" w:rsidRPr="0065366F" w:rsidRDefault="00A965B0"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14:ligatures w14:val="standardContextual"/>
        </w:rPr>
        <w:t xml:space="preserve">World Bank. (2019). </w:t>
      </w:r>
      <w:r w:rsidRPr="0065366F">
        <w:rPr>
          <w:rFonts w:ascii="Arial" w:eastAsia="Calibri" w:hAnsi="Arial" w:cs="Arial"/>
          <w:i/>
          <w:iCs/>
          <w:kern w:val="2"/>
          <w14:ligatures w14:val="standardContextual"/>
        </w:rPr>
        <w:t>World Development Report 2019: The changing nature of work.</w:t>
      </w:r>
      <w:r w:rsidRPr="0065366F">
        <w:rPr>
          <w:rFonts w:ascii="Arial" w:eastAsia="Calibri" w:hAnsi="Arial" w:cs="Arial"/>
          <w:kern w:val="2"/>
          <w14:ligatures w14:val="standardContextual"/>
        </w:rPr>
        <w:t xml:space="preserve"> Washington, DC: World Bank. https://doi.org/10.1596/978-1-4648-1328-3</w:t>
      </w:r>
    </w:p>
    <w:p w14:paraId="7174A233" w14:textId="77777777" w:rsidR="00B97FDE"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Yamane, T. (1967). </w:t>
      </w:r>
      <w:r w:rsidRPr="0065366F">
        <w:rPr>
          <w:rFonts w:ascii="Arial" w:eastAsia="Calibri" w:hAnsi="Arial" w:cs="Arial"/>
          <w:i/>
          <w:iCs/>
          <w:kern w:val="2"/>
          <w:lang w:val="en-US"/>
          <w14:ligatures w14:val="standardContextual"/>
        </w:rPr>
        <w:t>Statistics: An introductory analysis</w:t>
      </w:r>
      <w:r w:rsidRPr="0065366F">
        <w:rPr>
          <w:rFonts w:ascii="Arial" w:eastAsia="Calibri" w:hAnsi="Arial" w:cs="Arial"/>
          <w:kern w:val="2"/>
          <w:lang w:val="en-US"/>
          <w14:ligatures w14:val="standardContextual"/>
        </w:rPr>
        <w:t xml:space="preserve"> (2nd ed.). New York, NY: Harper &amp; Row.</w:t>
      </w:r>
    </w:p>
    <w:p w14:paraId="0DCC7EAC" w14:textId="08BAA67D" w:rsidR="008934C2" w:rsidRPr="0065366F" w:rsidRDefault="00B97FDE" w:rsidP="00F21042">
      <w:pPr>
        <w:spacing w:line="312" w:lineRule="auto"/>
        <w:ind w:left="720" w:right="26" w:hanging="720"/>
        <w:jc w:val="both"/>
        <w:rPr>
          <w:rFonts w:ascii="Arial" w:eastAsia="Calibri" w:hAnsi="Arial" w:cs="Arial"/>
          <w:kern w:val="2"/>
          <w:lang w:val="en-US"/>
          <w14:ligatures w14:val="standardContextual"/>
        </w:rPr>
      </w:pPr>
      <w:r w:rsidRPr="0065366F">
        <w:rPr>
          <w:rFonts w:ascii="Arial" w:eastAsia="Calibri" w:hAnsi="Arial" w:cs="Arial"/>
          <w:kern w:val="2"/>
          <w:lang w:val="en-US"/>
          <w14:ligatures w14:val="standardContextual"/>
        </w:rPr>
        <w:t xml:space="preserve">Yusuf, S. (Ed.). (2003). </w:t>
      </w:r>
      <w:r w:rsidRPr="0065366F">
        <w:rPr>
          <w:rFonts w:ascii="Arial" w:eastAsia="Calibri" w:hAnsi="Arial" w:cs="Arial"/>
          <w:i/>
          <w:iCs/>
          <w:kern w:val="2"/>
          <w:lang w:val="en-US"/>
          <w14:ligatures w14:val="standardContextual"/>
        </w:rPr>
        <w:t>Innovative East Asia: The future of growth</w:t>
      </w:r>
      <w:r w:rsidRPr="0065366F">
        <w:rPr>
          <w:rFonts w:ascii="Arial" w:eastAsia="Calibri" w:hAnsi="Arial" w:cs="Arial"/>
          <w:kern w:val="2"/>
          <w:lang w:val="en-US"/>
          <w14:ligatures w14:val="standardContextual"/>
        </w:rPr>
        <w:t>. Washington, DC: World Bank Publications.</w:t>
      </w:r>
    </w:p>
    <w:p w14:paraId="010B28D3" w14:textId="0278F03D" w:rsidR="00896203" w:rsidRPr="0065366F" w:rsidRDefault="00896203" w:rsidP="00FB6F2E">
      <w:pPr>
        <w:spacing w:line="312" w:lineRule="auto"/>
        <w:ind w:right="26" w:firstLine="720"/>
        <w:jc w:val="both"/>
        <w:rPr>
          <w:rFonts w:ascii="Arial" w:eastAsia="Calibri" w:hAnsi="Arial" w:cs="Arial"/>
          <w:kern w:val="2"/>
          <w:lang w:val="en-US"/>
          <w14:ligatures w14:val="standardContextual"/>
        </w:rPr>
      </w:pPr>
      <w:r w:rsidRPr="0065366F">
        <w:rPr>
          <w:rFonts w:ascii="Arial" w:eastAsia="Calibri" w:hAnsi="Arial" w:cs="Arial"/>
          <w:kern w:val="2"/>
          <w14:ligatures w14:val="standardContextual"/>
        </w:rPr>
        <w:t>sector.</w:t>
      </w:r>
    </w:p>
    <w:sectPr w:rsidR="00896203" w:rsidRPr="0065366F" w:rsidSect="008E0F83">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4109B" w14:textId="77777777" w:rsidR="00671D6E" w:rsidRDefault="00671D6E">
      <w:r>
        <w:separator/>
      </w:r>
    </w:p>
  </w:endnote>
  <w:endnote w:type="continuationSeparator" w:id="0">
    <w:p w14:paraId="1D5D3556" w14:textId="77777777" w:rsidR="00671D6E" w:rsidRDefault="00671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A4E8A2A-8BE1-4DFB-B581-67505E217AF9}"/>
    <w:embedBold r:id="rId2" w:fontKey="{728185C6-0EBE-481F-A818-C0754DC2CE8C}"/>
  </w:font>
  <w:font w:name="Calibri">
    <w:panose1 w:val="020F0502020204030204"/>
    <w:charset w:val="00"/>
    <w:family w:val="swiss"/>
    <w:pitch w:val="variable"/>
    <w:sig w:usb0="E4002EFF" w:usb1="C000247B" w:usb2="00000009" w:usb3="00000000" w:csb0="000001FF" w:csb1="00000000"/>
    <w:embedRegular r:id="rId3" w:fontKey="{ED10D829-836B-4C80-9D23-E41CA475EEF6}"/>
    <w:embedBold r:id="rId4" w:fontKey="{7B7CCEAA-F82C-4BCC-AEF5-D9B303710C1A}"/>
    <w:embedItalic r:id="rId5" w:fontKey="{3F0956E7-E2DE-4551-ACA7-8AFB78C80E2F}"/>
  </w:font>
  <w:font w:name="Georgia">
    <w:panose1 w:val="02040502050405020303"/>
    <w:charset w:val="00"/>
    <w:family w:val="roman"/>
    <w:pitch w:val="variable"/>
    <w:sig w:usb0="00000287" w:usb1="00000000" w:usb2="00000000" w:usb3="00000000" w:csb0="0000009F" w:csb1="00000000"/>
    <w:embedRegular r:id="rId6" w:fontKey="{FDE18881-934D-404F-9F10-4A5C0BA9F5E9}"/>
    <w:embedItalic r:id="rId7" w:fontKey="{E627A854-EC8C-4DAA-BC61-11CFECBBCB5F}"/>
  </w:font>
  <w:font w:name="Tahoma">
    <w:panose1 w:val="020B0604030504040204"/>
    <w:charset w:val="00"/>
    <w:family w:val="swiss"/>
    <w:pitch w:val="variable"/>
    <w:sig w:usb0="E1002EFF" w:usb1="C000605B" w:usb2="00000029" w:usb3="00000000" w:csb0="000101FF" w:csb1="00000000"/>
    <w:embedRegular r:id="rId8" w:fontKey="{8C44C35A-839F-4B64-BD79-D85A758A0C09}"/>
  </w:font>
  <w:font w:name="Cambria Math">
    <w:panose1 w:val="02040503050406030204"/>
    <w:charset w:val="00"/>
    <w:family w:val="roman"/>
    <w:pitch w:val="variable"/>
    <w:sig w:usb0="E00006FF" w:usb1="420024FF" w:usb2="02000000" w:usb3="00000000" w:csb0="0000019F" w:csb1="00000000"/>
    <w:embedItalic r:id="rId9" w:fontKey="{24605D5A-5345-44F5-8282-2ECB68AE06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8" w14:textId="77777777" w:rsidR="003A6A82" w:rsidRDefault="002B0F1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00000029" w14:textId="77777777" w:rsidR="003A6A82" w:rsidRDefault="003A6A8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53061"/>
      <w:docPartObj>
        <w:docPartGallery w:val="Page Numbers (Bottom of Page)"/>
        <w:docPartUnique/>
      </w:docPartObj>
    </w:sdtPr>
    <w:sdtEndPr>
      <w:rPr>
        <w:noProof/>
      </w:rPr>
    </w:sdtEndPr>
    <w:sdtContent>
      <w:p w14:paraId="7C78D3D6" w14:textId="139897DC" w:rsidR="0069403D" w:rsidRDefault="006940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030" w14:textId="243CBF75" w:rsidR="003A6A82" w:rsidRDefault="003A6A82">
    <w:pP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1" w14:textId="77777777" w:rsidR="003A6A82" w:rsidRDefault="002B0F19">
    <w:pPr>
      <w:widowControl w:val="0"/>
      <w:pBdr>
        <w:top w:val="nil"/>
        <w:left w:val="nil"/>
        <w:bottom w:val="nil"/>
        <w:right w:val="nil"/>
        <w:between w:val="nil"/>
      </w:pBdr>
      <w:rPr>
        <w:color w:val="000000"/>
        <w:sz w:val="20"/>
        <w:szCs w:val="20"/>
      </w:rPr>
    </w:pPr>
    <w:r>
      <w:rPr>
        <w:color w:val="000000"/>
        <w:sz w:val="20"/>
        <w:szCs w:val="20"/>
      </w:rPr>
      <w:t>Paper prepared for</w:t>
    </w:r>
  </w:p>
  <w:p w14:paraId="00000032" w14:textId="77777777" w:rsidR="003A6A82" w:rsidRDefault="002B0F19">
    <w:pPr>
      <w:rPr>
        <w:sz w:val="20"/>
        <w:szCs w:val="20"/>
      </w:rPr>
    </w:pPr>
    <w:r>
      <w:rPr>
        <w:sz w:val="20"/>
        <w:szCs w:val="20"/>
      </w:rPr>
      <w:t>1</w:t>
    </w:r>
    <w:r>
      <w:rPr>
        <w:sz w:val="20"/>
        <w:szCs w:val="20"/>
        <w:vertAlign w:val="superscript"/>
      </w:rPr>
      <w:t>st</w:t>
    </w:r>
    <w:r>
      <w:rPr>
        <w:sz w:val="20"/>
        <w:szCs w:val="20"/>
      </w:rPr>
      <w:t xml:space="preserve"> ASEAN University Symposium for Sustainable Food System</w:t>
    </w:r>
  </w:p>
  <w:p w14:paraId="00000033" w14:textId="77777777" w:rsidR="003A6A82" w:rsidRDefault="002B0F19">
    <w:pPr>
      <w:rPr>
        <w:sz w:val="20"/>
        <w:szCs w:val="20"/>
      </w:rPr>
    </w:pPr>
    <w:r>
      <w:rPr>
        <w:sz w:val="20"/>
        <w:szCs w:val="20"/>
      </w:rPr>
      <w:t>April 18-19, 2024</w:t>
    </w:r>
  </w:p>
  <w:p w14:paraId="00000034" w14:textId="77777777" w:rsidR="003A6A82" w:rsidRDefault="002B0F19">
    <w:pPr>
      <w:rPr>
        <w:sz w:val="20"/>
        <w:szCs w:val="20"/>
      </w:rPr>
    </w:pPr>
    <w:r>
      <w:rPr>
        <w:sz w:val="20"/>
        <w:szCs w:val="20"/>
      </w:rPr>
      <w:t>Department of Agricultural and Resource Economics</w:t>
    </w:r>
  </w:p>
  <w:p w14:paraId="00000035" w14:textId="77777777" w:rsidR="003A6A82" w:rsidRDefault="002B0F19">
    <w:pPr>
      <w:rPr>
        <w:sz w:val="20"/>
        <w:szCs w:val="20"/>
      </w:rPr>
    </w:pPr>
    <w:r>
      <w:rPr>
        <w:sz w:val="20"/>
        <w:szCs w:val="20"/>
      </w:rPr>
      <w:t xml:space="preserve">Faculty of Economics, </w:t>
    </w:r>
    <w:proofErr w:type="spellStart"/>
    <w:r>
      <w:rPr>
        <w:sz w:val="20"/>
        <w:szCs w:val="20"/>
      </w:rPr>
      <w:t>Kasetsart</w:t>
    </w:r>
    <w:proofErr w:type="spellEnd"/>
    <w:r>
      <w:rPr>
        <w:sz w:val="20"/>
        <w:szCs w:val="20"/>
      </w:rPr>
      <w:t xml:space="preserve"> University, Bangkok, Thailand</w:t>
    </w:r>
  </w:p>
  <w:p w14:paraId="00000036" w14:textId="77777777" w:rsidR="003A6A82" w:rsidRDefault="003A6A82">
    <w:pPr>
      <w:widowControl w:val="0"/>
      <w:pBdr>
        <w:top w:val="nil"/>
        <w:left w:val="nil"/>
        <w:bottom w:val="nil"/>
        <w:right w:val="nil"/>
        <w:between w:val="nil"/>
      </w:pBdr>
      <w:tabs>
        <w:tab w:val="center" w:pos="453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8EACA" w14:textId="77777777" w:rsidR="00671D6E" w:rsidRDefault="00671D6E">
      <w:r>
        <w:separator/>
      </w:r>
    </w:p>
  </w:footnote>
  <w:footnote w:type="continuationSeparator" w:id="0">
    <w:p w14:paraId="474D14FB" w14:textId="77777777" w:rsidR="00671D6E" w:rsidRDefault="00671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0AEB8" w14:textId="59A8842C" w:rsidR="008B220E" w:rsidRDefault="008B220E">
    <w:pPr>
      <w:pStyle w:val="Header"/>
    </w:pPr>
    <w:r>
      <w:rPr>
        <w:noProof/>
      </w:rPr>
      <w:pict w14:anchorId="746ECC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71250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5CB53" w14:textId="1737E24D" w:rsidR="008B220E" w:rsidRDefault="008B220E">
    <w:pPr>
      <w:pStyle w:val="Header"/>
    </w:pPr>
    <w:r>
      <w:rPr>
        <w:noProof/>
      </w:rPr>
      <w:pict w14:anchorId="2BEF5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71250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677D" w14:textId="44F7F8A3" w:rsidR="008B220E" w:rsidRDefault="008B220E">
    <w:pPr>
      <w:pStyle w:val="Header"/>
    </w:pPr>
    <w:r>
      <w:rPr>
        <w:noProof/>
      </w:rPr>
      <w:pict w14:anchorId="5D70A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71250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24E44"/>
    <w:multiLevelType w:val="multilevel"/>
    <w:tmpl w:val="A7FE2506"/>
    <w:lvl w:ilvl="0">
      <w:start w:val="1"/>
      <w:numFmt w:val="decimal"/>
      <w:lvlText w:val="%1."/>
      <w:lvlJc w:val="left"/>
      <w:pPr>
        <w:tabs>
          <w:tab w:val="num" w:pos="1170"/>
        </w:tabs>
        <w:ind w:left="1170" w:hanging="360"/>
      </w:pPr>
    </w:lvl>
    <w:lvl w:ilvl="1" w:tentative="1">
      <w:start w:val="1"/>
      <w:numFmt w:val="decimal"/>
      <w:lvlText w:val="%2."/>
      <w:lvlJc w:val="left"/>
      <w:pPr>
        <w:tabs>
          <w:tab w:val="num" w:pos="1890"/>
        </w:tabs>
        <w:ind w:left="1890" w:hanging="360"/>
      </w:pPr>
    </w:lvl>
    <w:lvl w:ilvl="2" w:tentative="1">
      <w:start w:val="1"/>
      <w:numFmt w:val="decimal"/>
      <w:lvlText w:val="%3."/>
      <w:lvlJc w:val="left"/>
      <w:pPr>
        <w:tabs>
          <w:tab w:val="num" w:pos="2610"/>
        </w:tabs>
        <w:ind w:left="2610" w:hanging="360"/>
      </w:pPr>
    </w:lvl>
    <w:lvl w:ilvl="3" w:tentative="1">
      <w:start w:val="1"/>
      <w:numFmt w:val="decimal"/>
      <w:lvlText w:val="%4."/>
      <w:lvlJc w:val="left"/>
      <w:pPr>
        <w:tabs>
          <w:tab w:val="num" w:pos="3330"/>
        </w:tabs>
        <w:ind w:left="3330" w:hanging="360"/>
      </w:pPr>
    </w:lvl>
    <w:lvl w:ilvl="4" w:tentative="1">
      <w:start w:val="1"/>
      <w:numFmt w:val="decimal"/>
      <w:lvlText w:val="%5."/>
      <w:lvlJc w:val="left"/>
      <w:pPr>
        <w:tabs>
          <w:tab w:val="num" w:pos="4050"/>
        </w:tabs>
        <w:ind w:left="4050" w:hanging="360"/>
      </w:pPr>
    </w:lvl>
    <w:lvl w:ilvl="5" w:tentative="1">
      <w:start w:val="1"/>
      <w:numFmt w:val="decimal"/>
      <w:lvlText w:val="%6."/>
      <w:lvlJc w:val="left"/>
      <w:pPr>
        <w:tabs>
          <w:tab w:val="num" w:pos="4770"/>
        </w:tabs>
        <w:ind w:left="4770" w:hanging="360"/>
      </w:p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1" w15:restartNumberingAfterBreak="0">
    <w:nsid w:val="0BE16D76"/>
    <w:multiLevelType w:val="multilevel"/>
    <w:tmpl w:val="136A3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607FE"/>
    <w:multiLevelType w:val="multilevel"/>
    <w:tmpl w:val="BBE4A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513864"/>
    <w:multiLevelType w:val="multilevel"/>
    <w:tmpl w:val="0F3A8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4F3EB9"/>
    <w:multiLevelType w:val="multilevel"/>
    <w:tmpl w:val="13DA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31889"/>
    <w:multiLevelType w:val="multilevel"/>
    <w:tmpl w:val="C88E9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E6532B"/>
    <w:multiLevelType w:val="multilevel"/>
    <w:tmpl w:val="9B66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A4234"/>
    <w:multiLevelType w:val="multilevel"/>
    <w:tmpl w:val="1FB8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A01D83"/>
    <w:multiLevelType w:val="multilevel"/>
    <w:tmpl w:val="D09E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C7B35"/>
    <w:multiLevelType w:val="multilevel"/>
    <w:tmpl w:val="CCF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22263E"/>
    <w:multiLevelType w:val="multilevel"/>
    <w:tmpl w:val="C71A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47C1F"/>
    <w:multiLevelType w:val="multilevel"/>
    <w:tmpl w:val="078E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EF3766"/>
    <w:multiLevelType w:val="hybridMultilevel"/>
    <w:tmpl w:val="1234A6BA"/>
    <w:lvl w:ilvl="0" w:tplc="ABA67F12">
      <w:start w:val="3"/>
      <w:numFmt w:val="decimal"/>
      <w:lvlText w:val="%1."/>
      <w:lvlJc w:val="left"/>
      <w:pPr>
        <w:tabs>
          <w:tab w:val="num" w:pos="720"/>
        </w:tabs>
        <w:ind w:left="720" w:hanging="360"/>
      </w:pPr>
    </w:lvl>
    <w:lvl w:ilvl="1" w:tplc="6A721FA0" w:tentative="1">
      <w:start w:val="1"/>
      <w:numFmt w:val="decimal"/>
      <w:lvlText w:val="%2."/>
      <w:lvlJc w:val="left"/>
      <w:pPr>
        <w:tabs>
          <w:tab w:val="num" w:pos="1440"/>
        </w:tabs>
        <w:ind w:left="1440" w:hanging="360"/>
      </w:pPr>
    </w:lvl>
    <w:lvl w:ilvl="2" w:tplc="94CAAAA8" w:tentative="1">
      <w:start w:val="1"/>
      <w:numFmt w:val="decimal"/>
      <w:lvlText w:val="%3."/>
      <w:lvlJc w:val="left"/>
      <w:pPr>
        <w:tabs>
          <w:tab w:val="num" w:pos="2160"/>
        </w:tabs>
        <w:ind w:left="2160" w:hanging="360"/>
      </w:pPr>
    </w:lvl>
    <w:lvl w:ilvl="3" w:tplc="5AEA2EC0" w:tentative="1">
      <w:start w:val="1"/>
      <w:numFmt w:val="decimal"/>
      <w:lvlText w:val="%4."/>
      <w:lvlJc w:val="left"/>
      <w:pPr>
        <w:tabs>
          <w:tab w:val="num" w:pos="2880"/>
        </w:tabs>
        <w:ind w:left="2880" w:hanging="360"/>
      </w:pPr>
    </w:lvl>
    <w:lvl w:ilvl="4" w:tplc="EDA222A8" w:tentative="1">
      <w:start w:val="1"/>
      <w:numFmt w:val="decimal"/>
      <w:lvlText w:val="%5."/>
      <w:lvlJc w:val="left"/>
      <w:pPr>
        <w:tabs>
          <w:tab w:val="num" w:pos="3600"/>
        </w:tabs>
        <w:ind w:left="3600" w:hanging="360"/>
      </w:pPr>
    </w:lvl>
    <w:lvl w:ilvl="5" w:tplc="0A583DD0" w:tentative="1">
      <w:start w:val="1"/>
      <w:numFmt w:val="decimal"/>
      <w:lvlText w:val="%6."/>
      <w:lvlJc w:val="left"/>
      <w:pPr>
        <w:tabs>
          <w:tab w:val="num" w:pos="4320"/>
        </w:tabs>
        <w:ind w:left="4320" w:hanging="360"/>
      </w:pPr>
    </w:lvl>
    <w:lvl w:ilvl="6" w:tplc="CF1AA120" w:tentative="1">
      <w:start w:val="1"/>
      <w:numFmt w:val="decimal"/>
      <w:lvlText w:val="%7."/>
      <w:lvlJc w:val="left"/>
      <w:pPr>
        <w:tabs>
          <w:tab w:val="num" w:pos="5040"/>
        </w:tabs>
        <w:ind w:left="5040" w:hanging="360"/>
      </w:pPr>
    </w:lvl>
    <w:lvl w:ilvl="7" w:tplc="E1646256" w:tentative="1">
      <w:start w:val="1"/>
      <w:numFmt w:val="decimal"/>
      <w:lvlText w:val="%8."/>
      <w:lvlJc w:val="left"/>
      <w:pPr>
        <w:tabs>
          <w:tab w:val="num" w:pos="5760"/>
        </w:tabs>
        <w:ind w:left="5760" w:hanging="360"/>
      </w:pPr>
    </w:lvl>
    <w:lvl w:ilvl="8" w:tplc="D490457A" w:tentative="1">
      <w:start w:val="1"/>
      <w:numFmt w:val="decimal"/>
      <w:lvlText w:val="%9."/>
      <w:lvlJc w:val="left"/>
      <w:pPr>
        <w:tabs>
          <w:tab w:val="num" w:pos="6480"/>
        </w:tabs>
        <w:ind w:left="6480" w:hanging="360"/>
      </w:pPr>
    </w:lvl>
  </w:abstractNum>
  <w:abstractNum w:abstractNumId="13" w15:restartNumberingAfterBreak="0">
    <w:nsid w:val="481053B6"/>
    <w:multiLevelType w:val="multilevel"/>
    <w:tmpl w:val="6BE6B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915D85"/>
    <w:multiLevelType w:val="multilevel"/>
    <w:tmpl w:val="E538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5A7D33"/>
    <w:multiLevelType w:val="multilevel"/>
    <w:tmpl w:val="A6AEF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81284C"/>
    <w:multiLevelType w:val="multilevel"/>
    <w:tmpl w:val="6E949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A30A24"/>
    <w:multiLevelType w:val="multilevel"/>
    <w:tmpl w:val="8FFE8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C704F1"/>
    <w:multiLevelType w:val="multilevel"/>
    <w:tmpl w:val="9014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941A6E"/>
    <w:multiLevelType w:val="multilevel"/>
    <w:tmpl w:val="3CE23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B444C7"/>
    <w:multiLevelType w:val="multilevel"/>
    <w:tmpl w:val="89CE1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5"/>
  </w:num>
  <w:num w:numId="3">
    <w:abstractNumId w:val="12"/>
  </w:num>
  <w:num w:numId="4">
    <w:abstractNumId w:val="2"/>
  </w:num>
  <w:num w:numId="5">
    <w:abstractNumId w:val="3"/>
  </w:num>
  <w:num w:numId="6">
    <w:abstractNumId w:val="9"/>
  </w:num>
  <w:num w:numId="7">
    <w:abstractNumId w:val="18"/>
  </w:num>
  <w:num w:numId="8">
    <w:abstractNumId w:val="6"/>
  </w:num>
  <w:num w:numId="9">
    <w:abstractNumId w:val="8"/>
  </w:num>
  <w:num w:numId="10">
    <w:abstractNumId w:val="4"/>
  </w:num>
  <w:num w:numId="11">
    <w:abstractNumId w:val="14"/>
  </w:num>
  <w:num w:numId="12">
    <w:abstractNumId w:val="7"/>
  </w:num>
  <w:num w:numId="13">
    <w:abstractNumId w:val="11"/>
  </w:num>
  <w:num w:numId="14">
    <w:abstractNumId w:val="10"/>
  </w:num>
  <w:num w:numId="15">
    <w:abstractNumId w:val="17"/>
  </w:num>
  <w:num w:numId="16">
    <w:abstractNumId w:val="16"/>
  </w:num>
  <w:num w:numId="17">
    <w:abstractNumId w:val="13"/>
  </w:num>
  <w:num w:numId="18">
    <w:abstractNumId w:val="5"/>
  </w:num>
  <w:num w:numId="19">
    <w:abstractNumId w:val="1"/>
  </w:num>
  <w:num w:numId="20">
    <w:abstractNumId w:val="20"/>
  </w:num>
  <w:num w:numId="21">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A82"/>
    <w:rsid w:val="000117B0"/>
    <w:rsid w:val="00013DAA"/>
    <w:rsid w:val="00015D79"/>
    <w:rsid w:val="00020569"/>
    <w:rsid w:val="000215C9"/>
    <w:rsid w:val="00021874"/>
    <w:rsid w:val="00022209"/>
    <w:rsid w:val="00030817"/>
    <w:rsid w:val="00031D97"/>
    <w:rsid w:val="00034583"/>
    <w:rsid w:val="000350E7"/>
    <w:rsid w:val="00036351"/>
    <w:rsid w:val="00037296"/>
    <w:rsid w:val="00041377"/>
    <w:rsid w:val="00041937"/>
    <w:rsid w:val="00044A6E"/>
    <w:rsid w:val="00051E22"/>
    <w:rsid w:val="00051F24"/>
    <w:rsid w:val="000532C6"/>
    <w:rsid w:val="00060CB7"/>
    <w:rsid w:val="00063C5E"/>
    <w:rsid w:val="00063E48"/>
    <w:rsid w:val="00064618"/>
    <w:rsid w:val="00066D59"/>
    <w:rsid w:val="00072350"/>
    <w:rsid w:val="000725DC"/>
    <w:rsid w:val="00075BEA"/>
    <w:rsid w:val="00076741"/>
    <w:rsid w:val="00081E4B"/>
    <w:rsid w:val="000845EB"/>
    <w:rsid w:val="00084E57"/>
    <w:rsid w:val="00085466"/>
    <w:rsid w:val="00087A1F"/>
    <w:rsid w:val="00097548"/>
    <w:rsid w:val="000A0B3A"/>
    <w:rsid w:val="000A1CEC"/>
    <w:rsid w:val="000A4287"/>
    <w:rsid w:val="000B0CB9"/>
    <w:rsid w:val="000B27C8"/>
    <w:rsid w:val="000C0853"/>
    <w:rsid w:val="000C08DE"/>
    <w:rsid w:val="000C16E2"/>
    <w:rsid w:val="000C26C1"/>
    <w:rsid w:val="000D1554"/>
    <w:rsid w:val="000D5D5F"/>
    <w:rsid w:val="000D7E6D"/>
    <w:rsid w:val="000E165D"/>
    <w:rsid w:val="000E1BCE"/>
    <w:rsid w:val="000E7F85"/>
    <w:rsid w:val="000F3C21"/>
    <w:rsid w:val="000F425E"/>
    <w:rsid w:val="000F5C81"/>
    <w:rsid w:val="000F740E"/>
    <w:rsid w:val="000F7E59"/>
    <w:rsid w:val="0010536B"/>
    <w:rsid w:val="001061CE"/>
    <w:rsid w:val="001122C4"/>
    <w:rsid w:val="00112864"/>
    <w:rsid w:val="00113B3F"/>
    <w:rsid w:val="00114C72"/>
    <w:rsid w:val="00117FD7"/>
    <w:rsid w:val="001203CD"/>
    <w:rsid w:val="0012192F"/>
    <w:rsid w:val="001221D7"/>
    <w:rsid w:val="0012229D"/>
    <w:rsid w:val="00123798"/>
    <w:rsid w:val="00123EEC"/>
    <w:rsid w:val="00124182"/>
    <w:rsid w:val="001244C6"/>
    <w:rsid w:val="00124C7E"/>
    <w:rsid w:val="00124E7C"/>
    <w:rsid w:val="001250E6"/>
    <w:rsid w:val="00127F71"/>
    <w:rsid w:val="0013305B"/>
    <w:rsid w:val="00135D75"/>
    <w:rsid w:val="00137069"/>
    <w:rsid w:val="00140D9A"/>
    <w:rsid w:val="001422C2"/>
    <w:rsid w:val="001434B5"/>
    <w:rsid w:val="00151E9A"/>
    <w:rsid w:val="0015258B"/>
    <w:rsid w:val="00153C1D"/>
    <w:rsid w:val="00155694"/>
    <w:rsid w:val="0015682B"/>
    <w:rsid w:val="00160967"/>
    <w:rsid w:val="00162A7E"/>
    <w:rsid w:val="001645DE"/>
    <w:rsid w:val="00170815"/>
    <w:rsid w:val="00170F73"/>
    <w:rsid w:val="00172C23"/>
    <w:rsid w:val="001739D7"/>
    <w:rsid w:val="00173A33"/>
    <w:rsid w:val="00173C47"/>
    <w:rsid w:val="00175CD2"/>
    <w:rsid w:val="00176593"/>
    <w:rsid w:val="00177528"/>
    <w:rsid w:val="0018097E"/>
    <w:rsid w:val="00182FD2"/>
    <w:rsid w:val="00186F6B"/>
    <w:rsid w:val="0019330B"/>
    <w:rsid w:val="001936E5"/>
    <w:rsid w:val="001A04BE"/>
    <w:rsid w:val="001A316A"/>
    <w:rsid w:val="001A777B"/>
    <w:rsid w:val="001A7913"/>
    <w:rsid w:val="001B1186"/>
    <w:rsid w:val="001B14B7"/>
    <w:rsid w:val="001B1652"/>
    <w:rsid w:val="001B2462"/>
    <w:rsid w:val="001B47AB"/>
    <w:rsid w:val="001B557D"/>
    <w:rsid w:val="001C0993"/>
    <w:rsid w:val="001C662E"/>
    <w:rsid w:val="001D10D9"/>
    <w:rsid w:val="001D134E"/>
    <w:rsid w:val="001D3B08"/>
    <w:rsid w:val="001D612B"/>
    <w:rsid w:val="001E2308"/>
    <w:rsid w:val="001E4391"/>
    <w:rsid w:val="001E6619"/>
    <w:rsid w:val="001E700F"/>
    <w:rsid w:val="001E7774"/>
    <w:rsid w:val="001F1B16"/>
    <w:rsid w:val="001F2639"/>
    <w:rsid w:val="001F7367"/>
    <w:rsid w:val="0020083C"/>
    <w:rsid w:val="00200E47"/>
    <w:rsid w:val="00201158"/>
    <w:rsid w:val="00204ABD"/>
    <w:rsid w:val="002050FB"/>
    <w:rsid w:val="00205E6C"/>
    <w:rsid w:val="0020641D"/>
    <w:rsid w:val="0020684F"/>
    <w:rsid w:val="00211288"/>
    <w:rsid w:val="002114B3"/>
    <w:rsid w:val="002127FC"/>
    <w:rsid w:val="002172FA"/>
    <w:rsid w:val="00217A5E"/>
    <w:rsid w:val="00220051"/>
    <w:rsid w:val="00220FA4"/>
    <w:rsid w:val="0022158D"/>
    <w:rsid w:val="00223741"/>
    <w:rsid w:val="00223C45"/>
    <w:rsid w:val="00223F05"/>
    <w:rsid w:val="00226D86"/>
    <w:rsid w:val="002272FF"/>
    <w:rsid w:val="00230093"/>
    <w:rsid w:val="00232279"/>
    <w:rsid w:val="00232496"/>
    <w:rsid w:val="00234DF0"/>
    <w:rsid w:val="0023752D"/>
    <w:rsid w:val="002428FC"/>
    <w:rsid w:val="00244F1A"/>
    <w:rsid w:val="00246B75"/>
    <w:rsid w:val="0024731B"/>
    <w:rsid w:val="00251BEE"/>
    <w:rsid w:val="00257B11"/>
    <w:rsid w:val="00261ECD"/>
    <w:rsid w:val="0026268E"/>
    <w:rsid w:val="00262E1C"/>
    <w:rsid w:val="0026460B"/>
    <w:rsid w:val="002646A0"/>
    <w:rsid w:val="00267476"/>
    <w:rsid w:val="002716F7"/>
    <w:rsid w:val="00272DA3"/>
    <w:rsid w:val="002756CF"/>
    <w:rsid w:val="00276B23"/>
    <w:rsid w:val="00277721"/>
    <w:rsid w:val="00280968"/>
    <w:rsid w:val="00280A19"/>
    <w:rsid w:val="002833EF"/>
    <w:rsid w:val="0028436F"/>
    <w:rsid w:val="00284EEF"/>
    <w:rsid w:val="00285A9B"/>
    <w:rsid w:val="002867F3"/>
    <w:rsid w:val="00290ECC"/>
    <w:rsid w:val="002A0855"/>
    <w:rsid w:val="002B0F19"/>
    <w:rsid w:val="002B22A4"/>
    <w:rsid w:val="002B2C48"/>
    <w:rsid w:val="002B445C"/>
    <w:rsid w:val="002B4E94"/>
    <w:rsid w:val="002B59B2"/>
    <w:rsid w:val="002B7BE7"/>
    <w:rsid w:val="002C09F7"/>
    <w:rsid w:val="002C1076"/>
    <w:rsid w:val="002C1436"/>
    <w:rsid w:val="002C2007"/>
    <w:rsid w:val="002C5076"/>
    <w:rsid w:val="002C7B02"/>
    <w:rsid w:val="002D053A"/>
    <w:rsid w:val="002D115D"/>
    <w:rsid w:val="002D63B7"/>
    <w:rsid w:val="002E38B4"/>
    <w:rsid w:val="002E524B"/>
    <w:rsid w:val="002F13FE"/>
    <w:rsid w:val="002F29E0"/>
    <w:rsid w:val="002F3C27"/>
    <w:rsid w:val="002F40CA"/>
    <w:rsid w:val="002F7520"/>
    <w:rsid w:val="00303469"/>
    <w:rsid w:val="00304419"/>
    <w:rsid w:val="00305395"/>
    <w:rsid w:val="0031173F"/>
    <w:rsid w:val="00314719"/>
    <w:rsid w:val="0031665E"/>
    <w:rsid w:val="003243F1"/>
    <w:rsid w:val="0032583B"/>
    <w:rsid w:val="00326F8C"/>
    <w:rsid w:val="00330621"/>
    <w:rsid w:val="003310F2"/>
    <w:rsid w:val="003352D0"/>
    <w:rsid w:val="003420AC"/>
    <w:rsid w:val="003437A4"/>
    <w:rsid w:val="00345A77"/>
    <w:rsid w:val="003469B0"/>
    <w:rsid w:val="00347678"/>
    <w:rsid w:val="00350270"/>
    <w:rsid w:val="003506CD"/>
    <w:rsid w:val="00353ABC"/>
    <w:rsid w:val="00356C28"/>
    <w:rsid w:val="00357F95"/>
    <w:rsid w:val="00361E83"/>
    <w:rsid w:val="00362A0A"/>
    <w:rsid w:val="00367924"/>
    <w:rsid w:val="00367C1A"/>
    <w:rsid w:val="00370928"/>
    <w:rsid w:val="003728DE"/>
    <w:rsid w:val="0037419E"/>
    <w:rsid w:val="003747CF"/>
    <w:rsid w:val="003764F6"/>
    <w:rsid w:val="00380381"/>
    <w:rsid w:val="003803BE"/>
    <w:rsid w:val="00382B50"/>
    <w:rsid w:val="00382CDE"/>
    <w:rsid w:val="00383991"/>
    <w:rsid w:val="003947CD"/>
    <w:rsid w:val="00395CC7"/>
    <w:rsid w:val="00395FAE"/>
    <w:rsid w:val="003A1DEB"/>
    <w:rsid w:val="003A5121"/>
    <w:rsid w:val="003A6A82"/>
    <w:rsid w:val="003A77FD"/>
    <w:rsid w:val="003B20F0"/>
    <w:rsid w:val="003B34EE"/>
    <w:rsid w:val="003B46A3"/>
    <w:rsid w:val="003C036B"/>
    <w:rsid w:val="003C43F2"/>
    <w:rsid w:val="003D0E04"/>
    <w:rsid w:val="003D3C0A"/>
    <w:rsid w:val="003D42CC"/>
    <w:rsid w:val="003D6EAB"/>
    <w:rsid w:val="003E0ADE"/>
    <w:rsid w:val="003E28F1"/>
    <w:rsid w:val="003E4029"/>
    <w:rsid w:val="003E57CE"/>
    <w:rsid w:val="003E5BEA"/>
    <w:rsid w:val="003E5F51"/>
    <w:rsid w:val="003E6975"/>
    <w:rsid w:val="003E71F5"/>
    <w:rsid w:val="003E7BE0"/>
    <w:rsid w:val="003F042B"/>
    <w:rsid w:val="003F6084"/>
    <w:rsid w:val="003F793C"/>
    <w:rsid w:val="00400157"/>
    <w:rsid w:val="00400DA5"/>
    <w:rsid w:val="00404FEC"/>
    <w:rsid w:val="00412472"/>
    <w:rsid w:val="0041367F"/>
    <w:rsid w:val="00413C9E"/>
    <w:rsid w:val="0041414A"/>
    <w:rsid w:val="0041528E"/>
    <w:rsid w:val="00415B7B"/>
    <w:rsid w:val="0041665E"/>
    <w:rsid w:val="00416ECD"/>
    <w:rsid w:val="00422B44"/>
    <w:rsid w:val="00423920"/>
    <w:rsid w:val="0042647E"/>
    <w:rsid w:val="004314B5"/>
    <w:rsid w:val="0043274E"/>
    <w:rsid w:val="004335C7"/>
    <w:rsid w:val="0043637E"/>
    <w:rsid w:val="0043722A"/>
    <w:rsid w:val="00440D15"/>
    <w:rsid w:val="00443717"/>
    <w:rsid w:val="004500CF"/>
    <w:rsid w:val="004514EE"/>
    <w:rsid w:val="00455A23"/>
    <w:rsid w:val="0045731A"/>
    <w:rsid w:val="00461755"/>
    <w:rsid w:val="004624A7"/>
    <w:rsid w:val="004629A4"/>
    <w:rsid w:val="004644ED"/>
    <w:rsid w:val="00466D9D"/>
    <w:rsid w:val="0047303C"/>
    <w:rsid w:val="00473162"/>
    <w:rsid w:val="00480F36"/>
    <w:rsid w:val="00481CDD"/>
    <w:rsid w:val="00483F64"/>
    <w:rsid w:val="00487B1A"/>
    <w:rsid w:val="00491B7D"/>
    <w:rsid w:val="0049260D"/>
    <w:rsid w:val="00492F6A"/>
    <w:rsid w:val="00496902"/>
    <w:rsid w:val="004A1286"/>
    <w:rsid w:val="004A6977"/>
    <w:rsid w:val="004A7222"/>
    <w:rsid w:val="004B071F"/>
    <w:rsid w:val="004B2537"/>
    <w:rsid w:val="004B433E"/>
    <w:rsid w:val="004B5E8B"/>
    <w:rsid w:val="004C0182"/>
    <w:rsid w:val="004C0DB7"/>
    <w:rsid w:val="004C3971"/>
    <w:rsid w:val="004C7740"/>
    <w:rsid w:val="004D0C23"/>
    <w:rsid w:val="004D1174"/>
    <w:rsid w:val="004D1AC1"/>
    <w:rsid w:val="004D4D4A"/>
    <w:rsid w:val="004D4FF0"/>
    <w:rsid w:val="004D5521"/>
    <w:rsid w:val="004D7DD5"/>
    <w:rsid w:val="004E0BE0"/>
    <w:rsid w:val="004E13D7"/>
    <w:rsid w:val="004E7966"/>
    <w:rsid w:val="004F245A"/>
    <w:rsid w:val="004F26B5"/>
    <w:rsid w:val="004F3400"/>
    <w:rsid w:val="004F4B36"/>
    <w:rsid w:val="00500627"/>
    <w:rsid w:val="00507D9E"/>
    <w:rsid w:val="00511FD1"/>
    <w:rsid w:val="005149D0"/>
    <w:rsid w:val="005204D3"/>
    <w:rsid w:val="005258CF"/>
    <w:rsid w:val="00526BB2"/>
    <w:rsid w:val="00532D3A"/>
    <w:rsid w:val="00532DE8"/>
    <w:rsid w:val="005374BA"/>
    <w:rsid w:val="00540484"/>
    <w:rsid w:val="00540BE4"/>
    <w:rsid w:val="00546416"/>
    <w:rsid w:val="00546827"/>
    <w:rsid w:val="00547F4A"/>
    <w:rsid w:val="00550B69"/>
    <w:rsid w:val="0055375E"/>
    <w:rsid w:val="00553B0B"/>
    <w:rsid w:val="005617ED"/>
    <w:rsid w:val="00562CF1"/>
    <w:rsid w:val="0056386C"/>
    <w:rsid w:val="00563A73"/>
    <w:rsid w:val="00563B0F"/>
    <w:rsid w:val="00563CED"/>
    <w:rsid w:val="0057125C"/>
    <w:rsid w:val="00577B16"/>
    <w:rsid w:val="00580F21"/>
    <w:rsid w:val="005823B7"/>
    <w:rsid w:val="00583654"/>
    <w:rsid w:val="00584212"/>
    <w:rsid w:val="005842CB"/>
    <w:rsid w:val="00585275"/>
    <w:rsid w:val="00587835"/>
    <w:rsid w:val="00592F7F"/>
    <w:rsid w:val="00593CDC"/>
    <w:rsid w:val="005A0BE5"/>
    <w:rsid w:val="005A2122"/>
    <w:rsid w:val="005A2252"/>
    <w:rsid w:val="005A5ECD"/>
    <w:rsid w:val="005A70AA"/>
    <w:rsid w:val="005B33DC"/>
    <w:rsid w:val="005B561E"/>
    <w:rsid w:val="005B6829"/>
    <w:rsid w:val="005C01E3"/>
    <w:rsid w:val="005C552F"/>
    <w:rsid w:val="005C5537"/>
    <w:rsid w:val="005C583B"/>
    <w:rsid w:val="005C6242"/>
    <w:rsid w:val="005C71D5"/>
    <w:rsid w:val="005D1634"/>
    <w:rsid w:val="005D3FB0"/>
    <w:rsid w:val="005D6563"/>
    <w:rsid w:val="005D6698"/>
    <w:rsid w:val="005E1137"/>
    <w:rsid w:val="005E736A"/>
    <w:rsid w:val="005F6752"/>
    <w:rsid w:val="00601D1C"/>
    <w:rsid w:val="00603687"/>
    <w:rsid w:val="00603D62"/>
    <w:rsid w:val="006043CA"/>
    <w:rsid w:val="00604F0B"/>
    <w:rsid w:val="00611C72"/>
    <w:rsid w:val="0062279E"/>
    <w:rsid w:val="00625EB9"/>
    <w:rsid w:val="00631AF6"/>
    <w:rsid w:val="00631FFC"/>
    <w:rsid w:val="006327F0"/>
    <w:rsid w:val="00632B10"/>
    <w:rsid w:val="0064088C"/>
    <w:rsid w:val="00642B07"/>
    <w:rsid w:val="00645B5D"/>
    <w:rsid w:val="00646C0E"/>
    <w:rsid w:val="00646F5C"/>
    <w:rsid w:val="00652CBE"/>
    <w:rsid w:val="0065366F"/>
    <w:rsid w:val="006561ED"/>
    <w:rsid w:val="00656B70"/>
    <w:rsid w:val="00662AC3"/>
    <w:rsid w:val="00662E52"/>
    <w:rsid w:val="00666666"/>
    <w:rsid w:val="00671214"/>
    <w:rsid w:val="00671D6E"/>
    <w:rsid w:val="006722AE"/>
    <w:rsid w:val="006726AA"/>
    <w:rsid w:val="0067396C"/>
    <w:rsid w:val="0067687F"/>
    <w:rsid w:val="00685C78"/>
    <w:rsid w:val="006864DA"/>
    <w:rsid w:val="00686681"/>
    <w:rsid w:val="006918BD"/>
    <w:rsid w:val="0069403D"/>
    <w:rsid w:val="006958B0"/>
    <w:rsid w:val="006A0427"/>
    <w:rsid w:val="006A07D3"/>
    <w:rsid w:val="006A444B"/>
    <w:rsid w:val="006A67DE"/>
    <w:rsid w:val="006B0801"/>
    <w:rsid w:val="006B1E05"/>
    <w:rsid w:val="006B1F1F"/>
    <w:rsid w:val="006B299F"/>
    <w:rsid w:val="006B3540"/>
    <w:rsid w:val="006B69E2"/>
    <w:rsid w:val="006B7C83"/>
    <w:rsid w:val="006C2136"/>
    <w:rsid w:val="006C2925"/>
    <w:rsid w:val="006C3502"/>
    <w:rsid w:val="006C7F3B"/>
    <w:rsid w:val="006D1B40"/>
    <w:rsid w:val="006D331F"/>
    <w:rsid w:val="006D3DB4"/>
    <w:rsid w:val="006D431C"/>
    <w:rsid w:val="006D4332"/>
    <w:rsid w:val="006D46DB"/>
    <w:rsid w:val="006D6488"/>
    <w:rsid w:val="006E0B79"/>
    <w:rsid w:val="006E2DCB"/>
    <w:rsid w:val="006E6BC9"/>
    <w:rsid w:val="006E79AD"/>
    <w:rsid w:val="006F0672"/>
    <w:rsid w:val="006F41AE"/>
    <w:rsid w:val="00703A01"/>
    <w:rsid w:val="00703BAA"/>
    <w:rsid w:val="00707EC4"/>
    <w:rsid w:val="00713C6D"/>
    <w:rsid w:val="00720CC7"/>
    <w:rsid w:val="00722248"/>
    <w:rsid w:val="00726F8A"/>
    <w:rsid w:val="007342C6"/>
    <w:rsid w:val="00735661"/>
    <w:rsid w:val="007470C1"/>
    <w:rsid w:val="00750671"/>
    <w:rsid w:val="0075275F"/>
    <w:rsid w:val="00766B92"/>
    <w:rsid w:val="00770542"/>
    <w:rsid w:val="00771B2E"/>
    <w:rsid w:val="0077324B"/>
    <w:rsid w:val="00774DAC"/>
    <w:rsid w:val="00775D78"/>
    <w:rsid w:val="00781BD3"/>
    <w:rsid w:val="0079114C"/>
    <w:rsid w:val="007912F1"/>
    <w:rsid w:val="00797738"/>
    <w:rsid w:val="007A06FE"/>
    <w:rsid w:val="007A1A4E"/>
    <w:rsid w:val="007A5F44"/>
    <w:rsid w:val="007B109D"/>
    <w:rsid w:val="007B501D"/>
    <w:rsid w:val="007C3F4A"/>
    <w:rsid w:val="007C483E"/>
    <w:rsid w:val="007C52A2"/>
    <w:rsid w:val="007C6009"/>
    <w:rsid w:val="007C63E9"/>
    <w:rsid w:val="007C704B"/>
    <w:rsid w:val="007C7242"/>
    <w:rsid w:val="007D192E"/>
    <w:rsid w:val="007D25D6"/>
    <w:rsid w:val="007D3385"/>
    <w:rsid w:val="007E0EDF"/>
    <w:rsid w:val="007E4990"/>
    <w:rsid w:val="007E6D82"/>
    <w:rsid w:val="007E7ADA"/>
    <w:rsid w:val="007E7FB5"/>
    <w:rsid w:val="008005BD"/>
    <w:rsid w:val="008006B8"/>
    <w:rsid w:val="00800CCF"/>
    <w:rsid w:val="00801BAE"/>
    <w:rsid w:val="0080227C"/>
    <w:rsid w:val="008032E0"/>
    <w:rsid w:val="00807F80"/>
    <w:rsid w:val="00814EDF"/>
    <w:rsid w:val="00817B60"/>
    <w:rsid w:val="00820298"/>
    <w:rsid w:val="00823964"/>
    <w:rsid w:val="008245F6"/>
    <w:rsid w:val="00824603"/>
    <w:rsid w:val="00824A1B"/>
    <w:rsid w:val="00827C64"/>
    <w:rsid w:val="00830D34"/>
    <w:rsid w:val="0083225D"/>
    <w:rsid w:val="008400E8"/>
    <w:rsid w:val="008401B1"/>
    <w:rsid w:val="008455BF"/>
    <w:rsid w:val="00846AEE"/>
    <w:rsid w:val="00847A2D"/>
    <w:rsid w:val="008510AC"/>
    <w:rsid w:val="00860B8F"/>
    <w:rsid w:val="00864D5F"/>
    <w:rsid w:val="0086732D"/>
    <w:rsid w:val="008679D1"/>
    <w:rsid w:val="00867B68"/>
    <w:rsid w:val="00867FBF"/>
    <w:rsid w:val="008715E5"/>
    <w:rsid w:val="00872A30"/>
    <w:rsid w:val="00882232"/>
    <w:rsid w:val="0088300A"/>
    <w:rsid w:val="00885381"/>
    <w:rsid w:val="00887CCF"/>
    <w:rsid w:val="008925DC"/>
    <w:rsid w:val="00892DDD"/>
    <w:rsid w:val="008934C2"/>
    <w:rsid w:val="008950ED"/>
    <w:rsid w:val="00895EA0"/>
    <w:rsid w:val="00896203"/>
    <w:rsid w:val="008A00F2"/>
    <w:rsid w:val="008A560A"/>
    <w:rsid w:val="008A7BF6"/>
    <w:rsid w:val="008B220E"/>
    <w:rsid w:val="008C0935"/>
    <w:rsid w:val="008C0EFB"/>
    <w:rsid w:val="008C291D"/>
    <w:rsid w:val="008C3A8A"/>
    <w:rsid w:val="008C3B95"/>
    <w:rsid w:val="008C5C62"/>
    <w:rsid w:val="008C6981"/>
    <w:rsid w:val="008D271B"/>
    <w:rsid w:val="008D3ED8"/>
    <w:rsid w:val="008D6142"/>
    <w:rsid w:val="008D620B"/>
    <w:rsid w:val="008E0021"/>
    <w:rsid w:val="008E0F83"/>
    <w:rsid w:val="008E33B4"/>
    <w:rsid w:val="008F149D"/>
    <w:rsid w:val="008F4247"/>
    <w:rsid w:val="008F5BC9"/>
    <w:rsid w:val="008F6A5E"/>
    <w:rsid w:val="008F7720"/>
    <w:rsid w:val="00901456"/>
    <w:rsid w:val="00901800"/>
    <w:rsid w:val="00903183"/>
    <w:rsid w:val="00903A95"/>
    <w:rsid w:val="00903B34"/>
    <w:rsid w:val="00910778"/>
    <w:rsid w:val="00912B11"/>
    <w:rsid w:val="00914486"/>
    <w:rsid w:val="00916F3E"/>
    <w:rsid w:val="00917C32"/>
    <w:rsid w:val="0092446A"/>
    <w:rsid w:val="00925D1C"/>
    <w:rsid w:val="009278E5"/>
    <w:rsid w:val="00930930"/>
    <w:rsid w:val="009341B9"/>
    <w:rsid w:val="009343D4"/>
    <w:rsid w:val="00936A97"/>
    <w:rsid w:val="009374C1"/>
    <w:rsid w:val="00940DBD"/>
    <w:rsid w:val="00941064"/>
    <w:rsid w:val="0094200A"/>
    <w:rsid w:val="0095088F"/>
    <w:rsid w:val="00950DE5"/>
    <w:rsid w:val="009518B4"/>
    <w:rsid w:val="0095230D"/>
    <w:rsid w:val="00961F9D"/>
    <w:rsid w:val="00965818"/>
    <w:rsid w:val="009715A9"/>
    <w:rsid w:val="00973FAC"/>
    <w:rsid w:val="00974C2A"/>
    <w:rsid w:val="00980EB0"/>
    <w:rsid w:val="009833E4"/>
    <w:rsid w:val="00985FEC"/>
    <w:rsid w:val="00986D41"/>
    <w:rsid w:val="009918B7"/>
    <w:rsid w:val="00997112"/>
    <w:rsid w:val="009A407C"/>
    <w:rsid w:val="009A537B"/>
    <w:rsid w:val="009A5C58"/>
    <w:rsid w:val="009B119B"/>
    <w:rsid w:val="009B675C"/>
    <w:rsid w:val="009B69BB"/>
    <w:rsid w:val="009B6E9A"/>
    <w:rsid w:val="009C10DB"/>
    <w:rsid w:val="009C7CE2"/>
    <w:rsid w:val="009D6924"/>
    <w:rsid w:val="009E0D7E"/>
    <w:rsid w:val="009E2DB4"/>
    <w:rsid w:val="009E5A6F"/>
    <w:rsid w:val="009E5E4B"/>
    <w:rsid w:val="009F2232"/>
    <w:rsid w:val="009F5182"/>
    <w:rsid w:val="009F6A2E"/>
    <w:rsid w:val="00A01C5E"/>
    <w:rsid w:val="00A021BE"/>
    <w:rsid w:val="00A02728"/>
    <w:rsid w:val="00A03205"/>
    <w:rsid w:val="00A05C8B"/>
    <w:rsid w:val="00A05F14"/>
    <w:rsid w:val="00A068F1"/>
    <w:rsid w:val="00A17503"/>
    <w:rsid w:val="00A21A58"/>
    <w:rsid w:val="00A238CC"/>
    <w:rsid w:val="00A31EA2"/>
    <w:rsid w:val="00A33C23"/>
    <w:rsid w:val="00A344E8"/>
    <w:rsid w:val="00A36A0A"/>
    <w:rsid w:val="00A45C5C"/>
    <w:rsid w:val="00A47CC8"/>
    <w:rsid w:val="00A52137"/>
    <w:rsid w:val="00A5318E"/>
    <w:rsid w:val="00A53BDE"/>
    <w:rsid w:val="00A542F5"/>
    <w:rsid w:val="00A54C85"/>
    <w:rsid w:val="00A62A07"/>
    <w:rsid w:val="00A646E8"/>
    <w:rsid w:val="00A71FC2"/>
    <w:rsid w:val="00A728E5"/>
    <w:rsid w:val="00A74734"/>
    <w:rsid w:val="00A844F3"/>
    <w:rsid w:val="00A86BF2"/>
    <w:rsid w:val="00A87761"/>
    <w:rsid w:val="00A92C83"/>
    <w:rsid w:val="00A950C7"/>
    <w:rsid w:val="00A965B0"/>
    <w:rsid w:val="00A969B5"/>
    <w:rsid w:val="00A979C3"/>
    <w:rsid w:val="00AA0161"/>
    <w:rsid w:val="00AA0710"/>
    <w:rsid w:val="00AA0B81"/>
    <w:rsid w:val="00AA3DDE"/>
    <w:rsid w:val="00AA4FB1"/>
    <w:rsid w:val="00AA53ED"/>
    <w:rsid w:val="00AB0459"/>
    <w:rsid w:val="00AB1BFF"/>
    <w:rsid w:val="00AB23D6"/>
    <w:rsid w:val="00AB2A48"/>
    <w:rsid w:val="00AC0ACE"/>
    <w:rsid w:val="00AC1AF6"/>
    <w:rsid w:val="00AC2215"/>
    <w:rsid w:val="00AC2261"/>
    <w:rsid w:val="00AC5B35"/>
    <w:rsid w:val="00AC6FD4"/>
    <w:rsid w:val="00AD07C0"/>
    <w:rsid w:val="00AD0E18"/>
    <w:rsid w:val="00AD4D29"/>
    <w:rsid w:val="00AD6380"/>
    <w:rsid w:val="00AD7D6B"/>
    <w:rsid w:val="00AE0D87"/>
    <w:rsid w:val="00AE0F63"/>
    <w:rsid w:val="00AE683D"/>
    <w:rsid w:val="00AE7079"/>
    <w:rsid w:val="00AF5DE5"/>
    <w:rsid w:val="00B0150F"/>
    <w:rsid w:val="00B02EAB"/>
    <w:rsid w:val="00B03391"/>
    <w:rsid w:val="00B13797"/>
    <w:rsid w:val="00B14F99"/>
    <w:rsid w:val="00B22783"/>
    <w:rsid w:val="00B25116"/>
    <w:rsid w:val="00B26DC2"/>
    <w:rsid w:val="00B31450"/>
    <w:rsid w:val="00B32310"/>
    <w:rsid w:val="00B37BBC"/>
    <w:rsid w:val="00B468B1"/>
    <w:rsid w:val="00B47F25"/>
    <w:rsid w:val="00B532D6"/>
    <w:rsid w:val="00B56C81"/>
    <w:rsid w:val="00B63188"/>
    <w:rsid w:val="00B6366C"/>
    <w:rsid w:val="00B64232"/>
    <w:rsid w:val="00B709CF"/>
    <w:rsid w:val="00B70D6F"/>
    <w:rsid w:val="00B73CB7"/>
    <w:rsid w:val="00B746FA"/>
    <w:rsid w:val="00B74E46"/>
    <w:rsid w:val="00B76258"/>
    <w:rsid w:val="00B846CC"/>
    <w:rsid w:val="00B84FB1"/>
    <w:rsid w:val="00B87F34"/>
    <w:rsid w:val="00B9082A"/>
    <w:rsid w:val="00B93ECE"/>
    <w:rsid w:val="00B949D8"/>
    <w:rsid w:val="00B96848"/>
    <w:rsid w:val="00B97FDE"/>
    <w:rsid w:val="00BA4726"/>
    <w:rsid w:val="00BC3591"/>
    <w:rsid w:val="00BD3204"/>
    <w:rsid w:val="00BD5501"/>
    <w:rsid w:val="00BD6939"/>
    <w:rsid w:val="00BE3288"/>
    <w:rsid w:val="00BE616D"/>
    <w:rsid w:val="00BF499C"/>
    <w:rsid w:val="00BF5B69"/>
    <w:rsid w:val="00BF5F39"/>
    <w:rsid w:val="00BF7AC2"/>
    <w:rsid w:val="00C01326"/>
    <w:rsid w:val="00C05519"/>
    <w:rsid w:val="00C110AD"/>
    <w:rsid w:val="00C11116"/>
    <w:rsid w:val="00C11DB4"/>
    <w:rsid w:val="00C13503"/>
    <w:rsid w:val="00C147B6"/>
    <w:rsid w:val="00C153B8"/>
    <w:rsid w:val="00C23954"/>
    <w:rsid w:val="00C23AAC"/>
    <w:rsid w:val="00C31214"/>
    <w:rsid w:val="00C32BC6"/>
    <w:rsid w:val="00C3388B"/>
    <w:rsid w:val="00C36538"/>
    <w:rsid w:val="00C37834"/>
    <w:rsid w:val="00C4059E"/>
    <w:rsid w:val="00C42623"/>
    <w:rsid w:val="00C43281"/>
    <w:rsid w:val="00C52045"/>
    <w:rsid w:val="00C522D2"/>
    <w:rsid w:val="00C5303F"/>
    <w:rsid w:val="00C63E65"/>
    <w:rsid w:val="00C65185"/>
    <w:rsid w:val="00C73277"/>
    <w:rsid w:val="00C7364D"/>
    <w:rsid w:val="00C746B8"/>
    <w:rsid w:val="00C747D3"/>
    <w:rsid w:val="00C74DF1"/>
    <w:rsid w:val="00C75E19"/>
    <w:rsid w:val="00C762F1"/>
    <w:rsid w:val="00C82BA4"/>
    <w:rsid w:val="00C837F8"/>
    <w:rsid w:val="00C85C2C"/>
    <w:rsid w:val="00C8600C"/>
    <w:rsid w:val="00C87CC2"/>
    <w:rsid w:val="00C87D18"/>
    <w:rsid w:val="00C905C8"/>
    <w:rsid w:val="00C90F32"/>
    <w:rsid w:val="00C91D98"/>
    <w:rsid w:val="00C943F5"/>
    <w:rsid w:val="00C97F8A"/>
    <w:rsid w:val="00CA097E"/>
    <w:rsid w:val="00CA183C"/>
    <w:rsid w:val="00CA20C5"/>
    <w:rsid w:val="00CA3D39"/>
    <w:rsid w:val="00CA4323"/>
    <w:rsid w:val="00CA7FAA"/>
    <w:rsid w:val="00CB25EB"/>
    <w:rsid w:val="00CB5EEE"/>
    <w:rsid w:val="00CC0C08"/>
    <w:rsid w:val="00CC3F41"/>
    <w:rsid w:val="00CC6974"/>
    <w:rsid w:val="00CC725C"/>
    <w:rsid w:val="00CD164A"/>
    <w:rsid w:val="00CD62DB"/>
    <w:rsid w:val="00CE08DD"/>
    <w:rsid w:val="00CE5839"/>
    <w:rsid w:val="00CE5EC6"/>
    <w:rsid w:val="00CE6188"/>
    <w:rsid w:val="00CF073A"/>
    <w:rsid w:val="00CF2F8C"/>
    <w:rsid w:val="00D0185A"/>
    <w:rsid w:val="00D028AE"/>
    <w:rsid w:val="00D02D65"/>
    <w:rsid w:val="00D0353A"/>
    <w:rsid w:val="00D04C6C"/>
    <w:rsid w:val="00D05601"/>
    <w:rsid w:val="00D101C5"/>
    <w:rsid w:val="00D120EC"/>
    <w:rsid w:val="00D12733"/>
    <w:rsid w:val="00D132D7"/>
    <w:rsid w:val="00D13558"/>
    <w:rsid w:val="00D1576D"/>
    <w:rsid w:val="00D1648A"/>
    <w:rsid w:val="00D17647"/>
    <w:rsid w:val="00D17AD5"/>
    <w:rsid w:val="00D17C60"/>
    <w:rsid w:val="00D20768"/>
    <w:rsid w:val="00D26F1B"/>
    <w:rsid w:val="00D33602"/>
    <w:rsid w:val="00D34176"/>
    <w:rsid w:val="00D34681"/>
    <w:rsid w:val="00D360CD"/>
    <w:rsid w:val="00D37A84"/>
    <w:rsid w:val="00D42422"/>
    <w:rsid w:val="00D52EB2"/>
    <w:rsid w:val="00D535CF"/>
    <w:rsid w:val="00D538CE"/>
    <w:rsid w:val="00D5549D"/>
    <w:rsid w:val="00D60832"/>
    <w:rsid w:val="00D61227"/>
    <w:rsid w:val="00D62716"/>
    <w:rsid w:val="00D650D0"/>
    <w:rsid w:val="00D6576F"/>
    <w:rsid w:val="00D65B76"/>
    <w:rsid w:val="00D66178"/>
    <w:rsid w:val="00D67783"/>
    <w:rsid w:val="00D72092"/>
    <w:rsid w:val="00D72FC0"/>
    <w:rsid w:val="00D75E00"/>
    <w:rsid w:val="00D818AE"/>
    <w:rsid w:val="00D81C98"/>
    <w:rsid w:val="00D87DC5"/>
    <w:rsid w:val="00D902C9"/>
    <w:rsid w:val="00D90E55"/>
    <w:rsid w:val="00D92ECD"/>
    <w:rsid w:val="00D93E93"/>
    <w:rsid w:val="00D93FA6"/>
    <w:rsid w:val="00D96793"/>
    <w:rsid w:val="00DA4DD1"/>
    <w:rsid w:val="00DA5638"/>
    <w:rsid w:val="00DA6857"/>
    <w:rsid w:val="00DA6FC6"/>
    <w:rsid w:val="00DB0606"/>
    <w:rsid w:val="00DB1BF0"/>
    <w:rsid w:val="00DB316A"/>
    <w:rsid w:val="00DB37EB"/>
    <w:rsid w:val="00DB534F"/>
    <w:rsid w:val="00DC0F46"/>
    <w:rsid w:val="00DC1DCD"/>
    <w:rsid w:val="00DC41D4"/>
    <w:rsid w:val="00DC45D1"/>
    <w:rsid w:val="00DC4739"/>
    <w:rsid w:val="00DC6BD9"/>
    <w:rsid w:val="00DC70C9"/>
    <w:rsid w:val="00DC7F1C"/>
    <w:rsid w:val="00DD04C6"/>
    <w:rsid w:val="00DD2E61"/>
    <w:rsid w:val="00DD419F"/>
    <w:rsid w:val="00DD6D96"/>
    <w:rsid w:val="00DD7A46"/>
    <w:rsid w:val="00DE0AB4"/>
    <w:rsid w:val="00DE230A"/>
    <w:rsid w:val="00DE2D2F"/>
    <w:rsid w:val="00DE30F3"/>
    <w:rsid w:val="00DE3AD5"/>
    <w:rsid w:val="00DE5FAC"/>
    <w:rsid w:val="00DE7561"/>
    <w:rsid w:val="00DF11FD"/>
    <w:rsid w:val="00DF36A4"/>
    <w:rsid w:val="00E03249"/>
    <w:rsid w:val="00E05EB3"/>
    <w:rsid w:val="00E110D7"/>
    <w:rsid w:val="00E11F80"/>
    <w:rsid w:val="00E2208C"/>
    <w:rsid w:val="00E31712"/>
    <w:rsid w:val="00E31A2D"/>
    <w:rsid w:val="00E35BC1"/>
    <w:rsid w:val="00E37F28"/>
    <w:rsid w:val="00E43EAB"/>
    <w:rsid w:val="00E50BA2"/>
    <w:rsid w:val="00E50E51"/>
    <w:rsid w:val="00E542D4"/>
    <w:rsid w:val="00E54A8F"/>
    <w:rsid w:val="00E602FF"/>
    <w:rsid w:val="00E62C76"/>
    <w:rsid w:val="00E672B8"/>
    <w:rsid w:val="00E67D20"/>
    <w:rsid w:val="00E710D5"/>
    <w:rsid w:val="00E72F4E"/>
    <w:rsid w:val="00E7308F"/>
    <w:rsid w:val="00E80B53"/>
    <w:rsid w:val="00E81318"/>
    <w:rsid w:val="00E83CC6"/>
    <w:rsid w:val="00E87264"/>
    <w:rsid w:val="00E90DA3"/>
    <w:rsid w:val="00E95DB6"/>
    <w:rsid w:val="00E97FCC"/>
    <w:rsid w:val="00EA0A24"/>
    <w:rsid w:val="00EA1104"/>
    <w:rsid w:val="00EA710C"/>
    <w:rsid w:val="00EA7AA2"/>
    <w:rsid w:val="00EB30E9"/>
    <w:rsid w:val="00EC405A"/>
    <w:rsid w:val="00EC50C3"/>
    <w:rsid w:val="00EC7592"/>
    <w:rsid w:val="00ED17CD"/>
    <w:rsid w:val="00ED194E"/>
    <w:rsid w:val="00ED22CB"/>
    <w:rsid w:val="00ED3333"/>
    <w:rsid w:val="00ED52BA"/>
    <w:rsid w:val="00ED59CB"/>
    <w:rsid w:val="00ED726E"/>
    <w:rsid w:val="00ED7417"/>
    <w:rsid w:val="00EE2D44"/>
    <w:rsid w:val="00EE5091"/>
    <w:rsid w:val="00EF061D"/>
    <w:rsid w:val="00EF22A8"/>
    <w:rsid w:val="00EF34B2"/>
    <w:rsid w:val="00EF3A62"/>
    <w:rsid w:val="00EF60FB"/>
    <w:rsid w:val="00F0159E"/>
    <w:rsid w:val="00F0237B"/>
    <w:rsid w:val="00F03902"/>
    <w:rsid w:val="00F0415A"/>
    <w:rsid w:val="00F064DC"/>
    <w:rsid w:val="00F06FA8"/>
    <w:rsid w:val="00F07C2A"/>
    <w:rsid w:val="00F20F59"/>
    <w:rsid w:val="00F21042"/>
    <w:rsid w:val="00F236B4"/>
    <w:rsid w:val="00F23908"/>
    <w:rsid w:val="00F23F50"/>
    <w:rsid w:val="00F249EE"/>
    <w:rsid w:val="00F303A2"/>
    <w:rsid w:val="00F32A04"/>
    <w:rsid w:val="00F37B74"/>
    <w:rsid w:val="00F37F01"/>
    <w:rsid w:val="00F43EAE"/>
    <w:rsid w:val="00F46F20"/>
    <w:rsid w:val="00F47892"/>
    <w:rsid w:val="00F47E68"/>
    <w:rsid w:val="00F61239"/>
    <w:rsid w:val="00F66032"/>
    <w:rsid w:val="00F717EA"/>
    <w:rsid w:val="00F744FF"/>
    <w:rsid w:val="00F749AC"/>
    <w:rsid w:val="00F74BC5"/>
    <w:rsid w:val="00F83ACB"/>
    <w:rsid w:val="00F83C34"/>
    <w:rsid w:val="00F91B91"/>
    <w:rsid w:val="00F963CE"/>
    <w:rsid w:val="00F967EB"/>
    <w:rsid w:val="00FA0908"/>
    <w:rsid w:val="00FA0D7F"/>
    <w:rsid w:val="00FA113E"/>
    <w:rsid w:val="00FB39B4"/>
    <w:rsid w:val="00FB3F8B"/>
    <w:rsid w:val="00FB4331"/>
    <w:rsid w:val="00FB6F2E"/>
    <w:rsid w:val="00FB78B8"/>
    <w:rsid w:val="00FC1436"/>
    <w:rsid w:val="00FC4ABE"/>
    <w:rsid w:val="00FC6EAB"/>
    <w:rsid w:val="00FC73C0"/>
    <w:rsid w:val="00FD043D"/>
    <w:rsid w:val="00FD0712"/>
    <w:rsid w:val="00FD098F"/>
    <w:rsid w:val="00FD1EC1"/>
    <w:rsid w:val="00FD288E"/>
    <w:rsid w:val="00FD338B"/>
    <w:rsid w:val="00FD398D"/>
    <w:rsid w:val="00FD4BB6"/>
    <w:rsid w:val="00FD55EA"/>
    <w:rsid w:val="00FD5BF9"/>
    <w:rsid w:val="00FD5C92"/>
    <w:rsid w:val="00FD7DCB"/>
    <w:rsid w:val="00FE26BD"/>
    <w:rsid w:val="00FE3E1A"/>
    <w:rsid w:val="00FE416A"/>
    <w:rsid w:val="00FF15B4"/>
    <w:rsid w:val="00FF2AC7"/>
    <w:rsid w:val="00FF2F85"/>
    <w:rsid w:val="00FF4B72"/>
    <w:rsid w:val="00FF52EC"/>
    <w:rsid w:val="00FF5708"/>
    <w:rsid w:val="00FF7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127713"/>
  <w15:docId w15:val="{D452C081-AA3E-41C8-93CE-04CCE9EBA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1CB"/>
  </w:style>
  <w:style w:type="paragraph" w:styleId="Heading1">
    <w:name w:val="heading 1"/>
    <w:basedOn w:val="Normal"/>
    <w:next w:val="Normal"/>
    <w:link w:val="Heading1Char"/>
    <w:uiPriority w:val="9"/>
    <w:qFormat/>
    <w:rsid w:val="003F41BA"/>
    <w:pPr>
      <w:keepNext/>
      <w:keepLines/>
      <w:spacing w:before="480" w:after="240"/>
      <w:jc w:val="both"/>
      <w:outlineLvl w:val="0"/>
    </w:pPr>
    <w:rPr>
      <w:rFonts w:ascii="Arial" w:hAnsi="Arial"/>
      <w:b/>
      <w:bCs/>
      <w:color w:val="000000"/>
      <w:sz w:val="28"/>
      <w:szCs w:val="2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F41BA"/>
    <w:pPr>
      <w:spacing w:after="300"/>
      <w:contextualSpacing/>
      <w:jc w:val="center"/>
    </w:pPr>
    <w:rPr>
      <w:color w:val="000000"/>
      <w:spacing w:val="5"/>
      <w:kern w:val="28"/>
      <w:sz w:val="52"/>
      <w:szCs w:val="52"/>
    </w:rPr>
  </w:style>
  <w:style w:type="paragraph" w:customStyle="1" w:styleId="Default">
    <w:name w:val="Default"/>
    <w:rsid w:val="00966B98"/>
    <w:pPr>
      <w:widowControl w:val="0"/>
      <w:autoSpaceDE w:val="0"/>
      <w:autoSpaceDN w:val="0"/>
      <w:adjustRightInd w:val="0"/>
    </w:pPr>
    <w:rPr>
      <w:color w:val="000000"/>
      <w:lang w:val="en-US"/>
    </w:rPr>
  </w:style>
  <w:style w:type="paragraph" w:styleId="Header">
    <w:name w:val="header"/>
    <w:basedOn w:val="Normal"/>
    <w:link w:val="HeaderChar"/>
    <w:uiPriority w:val="99"/>
    <w:unhideWhenUsed/>
    <w:rsid w:val="007F55AF"/>
    <w:pPr>
      <w:tabs>
        <w:tab w:val="center" w:pos="4320"/>
        <w:tab w:val="right" w:pos="8640"/>
      </w:tabs>
    </w:pPr>
  </w:style>
  <w:style w:type="character" w:customStyle="1" w:styleId="HeaderChar">
    <w:name w:val="Header Char"/>
    <w:basedOn w:val="DefaultParagraphFont"/>
    <w:link w:val="Header"/>
    <w:uiPriority w:val="99"/>
    <w:rsid w:val="007F55AF"/>
    <w:rPr>
      <w:sz w:val="24"/>
    </w:rPr>
  </w:style>
  <w:style w:type="paragraph" w:styleId="Footer">
    <w:name w:val="footer"/>
    <w:basedOn w:val="Normal"/>
    <w:link w:val="FooterChar"/>
    <w:uiPriority w:val="99"/>
    <w:unhideWhenUsed/>
    <w:rsid w:val="007F55AF"/>
    <w:pPr>
      <w:tabs>
        <w:tab w:val="center" w:pos="4320"/>
        <w:tab w:val="right" w:pos="8640"/>
      </w:tabs>
    </w:pPr>
  </w:style>
  <w:style w:type="character" w:customStyle="1" w:styleId="FooterChar">
    <w:name w:val="Footer Char"/>
    <w:basedOn w:val="DefaultParagraphFont"/>
    <w:link w:val="Footer"/>
    <w:uiPriority w:val="99"/>
    <w:rsid w:val="007F55AF"/>
    <w:rPr>
      <w:sz w:val="24"/>
    </w:rPr>
  </w:style>
  <w:style w:type="character" w:styleId="PageNumber">
    <w:name w:val="page number"/>
    <w:basedOn w:val="DefaultParagraphFont"/>
    <w:uiPriority w:val="99"/>
    <w:semiHidden/>
    <w:unhideWhenUsed/>
    <w:rsid w:val="009870BD"/>
  </w:style>
  <w:style w:type="character" w:styleId="Hyperlink">
    <w:name w:val="Hyperlink"/>
    <w:basedOn w:val="DefaultParagraphFont"/>
    <w:uiPriority w:val="99"/>
    <w:unhideWhenUsed/>
    <w:rsid w:val="00244443"/>
    <w:rPr>
      <w:color w:val="0000FF" w:themeColor="hyperlink"/>
      <w:u w:val="single"/>
    </w:rPr>
  </w:style>
  <w:style w:type="character" w:customStyle="1" w:styleId="Heading1Char">
    <w:name w:val="Heading 1 Char"/>
    <w:basedOn w:val="DefaultParagraphFont"/>
    <w:link w:val="Heading1"/>
    <w:uiPriority w:val="9"/>
    <w:rsid w:val="003F41BA"/>
    <w:rPr>
      <w:rFonts w:ascii="Arial" w:eastAsia="Times New Roman" w:hAnsi="Arial" w:cs="Times New Roman"/>
      <w:b/>
      <w:bCs/>
      <w:color w:val="000000"/>
      <w:sz w:val="28"/>
      <w:szCs w:val="28"/>
      <w:lang w:eastAsia="en-US"/>
    </w:rPr>
  </w:style>
  <w:style w:type="character" w:customStyle="1" w:styleId="TitleChar">
    <w:name w:val="Title Char"/>
    <w:basedOn w:val="DefaultParagraphFont"/>
    <w:link w:val="Title"/>
    <w:uiPriority w:val="10"/>
    <w:rsid w:val="003F41BA"/>
    <w:rPr>
      <w:rFonts w:ascii="Times New Roman" w:eastAsia="Times New Roman" w:hAnsi="Times New Roman" w:cs="Times New Roman"/>
      <w:color w:val="000000"/>
      <w:spacing w:val="5"/>
      <w:kern w:val="28"/>
      <w:sz w:val="52"/>
      <w:szCs w:val="52"/>
      <w:lang w:eastAsia="en-US"/>
    </w:rPr>
  </w:style>
  <w:style w:type="character" w:customStyle="1" w:styleId="hps">
    <w:name w:val="hps"/>
    <w:basedOn w:val="DefaultParagraphFont"/>
    <w:rsid w:val="003F41BA"/>
  </w:style>
  <w:style w:type="paragraph" w:styleId="ListParagraph">
    <w:name w:val="List Paragraph"/>
    <w:aliases w:val="Citation List,본문(내용),List Paragraph (numbered (a)),Colorful List - Accent 11"/>
    <w:basedOn w:val="Normal"/>
    <w:link w:val="ListParagraphChar"/>
    <w:uiPriority w:val="34"/>
    <w:qFormat/>
    <w:rsid w:val="003F41BA"/>
    <w:pPr>
      <w:spacing w:after="160" w:line="259" w:lineRule="auto"/>
      <w:ind w:left="720"/>
      <w:contextualSpacing/>
    </w:pPr>
    <w:rPr>
      <w:rFonts w:asciiTheme="minorHAnsi" w:eastAsiaTheme="minorHAnsi" w:hAnsiTheme="minorHAnsi"/>
      <w:sz w:val="22"/>
      <w:szCs w:val="22"/>
      <w:lang w:val="en-GB"/>
    </w:rPr>
  </w:style>
  <w:style w:type="table" w:styleId="TableGrid">
    <w:name w:val="Table Grid"/>
    <w:basedOn w:val="TableNormal"/>
    <w:uiPriority w:val="59"/>
    <w:rsid w:val="003F41BA"/>
    <w:rPr>
      <w:rFonts w:eastAsiaTheme="minorHAns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3F41BA"/>
    <w:pPr>
      <w:spacing w:after="200"/>
    </w:pPr>
    <w:rPr>
      <w:rFonts w:eastAsia="Calibri"/>
      <w:noProof/>
      <w:szCs w:val="22"/>
      <w:lang w:val="en-US"/>
    </w:rPr>
  </w:style>
  <w:style w:type="character" w:customStyle="1" w:styleId="EndNoteBibliographyChar">
    <w:name w:val="EndNote Bibliography Char"/>
    <w:link w:val="EndNoteBibliography"/>
    <w:rsid w:val="003F41BA"/>
    <w:rPr>
      <w:rFonts w:ascii="Times New Roman" w:eastAsia="Calibri" w:hAnsi="Times New Roman" w:cs="Times New Roman"/>
      <w:noProof/>
      <w:sz w:val="24"/>
      <w:szCs w:val="22"/>
      <w:lang w:val="en-US" w:eastAsia="en-US"/>
    </w:rPr>
  </w:style>
  <w:style w:type="character" w:styleId="HTMLCite">
    <w:name w:val="HTML Cite"/>
    <w:basedOn w:val="DefaultParagraphFont"/>
    <w:uiPriority w:val="99"/>
    <w:semiHidden/>
    <w:unhideWhenUsed/>
    <w:rsid w:val="003F41BA"/>
    <w:rPr>
      <w:i/>
      <w:iCs/>
    </w:rPr>
  </w:style>
  <w:style w:type="character" w:styleId="UnresolvedMention">
    <w:name w:val="Unresolved Mention"/>
    <w:basedOn w:val="DefaultParagraphFont"/>
    <w:uiPriority w:val="99"/>
    <w:semiHidden/>
    <w:unhideWhenUsed/>
    <w:rsid w:val="000C7D9A"/>
    <w:rPr>
      <w:color w:val="605E5C"/>
      <w:shd w:val="clear" w:color="auto" w:fill="E1DFDD"/>
    </w:rPr>
  </w:style>
  <w:style w:type="character" w:styleId="Strong">
    <w:name w:val="Strong"/>
    <w:basedOn w:val="DefaultParagraphFont"/>
    <w:uiPriority w:val="22"/>
    <w:qFormat/>
    <w:rsid w:val="000C7D9A"/>
    <w:rPr>
      <w:b/>
      <w:bCs/>
    </w:rPr>
  </w:style>
  <w:style w:type="paragraph" w:customStyle="1" w:styleId="show">
    <w:name w:val="show"/>
    <w:basedOn w:val="Normal"/>
    <w:rsid w:val="000C7D9A"/>
    <w:pPr>
      <w:spacing w:before="100" w:beforeAutospacing="1" w:after="100" w:afterAutospacing="1"/>
    </w:pPr>
    <w:rPr>
      <w:lang w:val="en-US" w:bidi="th-TH"/>
    </w:rPr>
  </w:style>
  <w:style w:type="paragraph" w:styleId="NormalWeb">
    <w:name w:val="Normal (Web)"/>
    <w:basedOn w:val="Normal"/>
    <w:uiPriority w:val="99"/>
    <w:unhideWhenUsed/>
    <w:rsid w:val="00414FBA"/>
    <w:pPr>
      <w:spacing w:before="100" w:beforeAutospacing="1" w:after="100" w:afterAutospacing="1"/>
    </w:pPr>
    <w:rPr>
      <w:lang w:val="en-US" w:bidi="th-TH"/>
    </w:rPr>
  </w:style>
  <w:style w:type="character" w:styleId="Emphasis">
    <w:name w:val="Emphasis"/>
    <w:basedOn w:val="DefaultParagraphFont"/>
    <w:uiPriority w:val="20"/>
    <w:qFormat/>
    <w:rsid w:val="00414FBA"/>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A03205"/>
    <w:rPr>
      <w:color w:val="605E5C"/>
      <w:shd w:val="clear" w:color="auto" w:fill="E1DFDD"/>
    </w:rPr>
  </w:style>
  <w:style w:type="character" w:customStyle="1" w:styleId="Heading2Char">
    <w:name w:val="Heading 2 Char"/>
    <w:basedOn w:val="DefaultParagraphFont"/>
    <w:link w:val="Heading2"/>
    <w:uiPriority w:val="9"/>
    <w:rsid w:val="00A03205"/>
    <w:rPr>
      <w:b/>
      <w:sz w:val="36"/>
      <w:szCs w:val="36"/>
    </w:rPr>
  </w:style>
  <w:style w:type="character" w:customStyle="1" w:styleId="Heading3Char">
    <w:name w:val="Heading 3 Char"/>
    <w:basedOn w:val="DefaultParagraphFont"/>
    <w:link w:val="Heading3"/>
    <w:uiPriority w:val="9"/>
    <w:rsid w:val="00A03205"/>
    <w:rPr>
      <w:b/>
      <w:sz w:val="28"/>
      <w:szCs w:val="28"/>
    </w:rPr>
  </w:style>
  <w:style w:type="paragraph" w:customStyle="1" w:styleId="TableParagraph">
    <w:name w:val="Table Paragraph"/>
    <w:basedOn w:val="Normal"/>
    <w:uiPriority w:val="1"/>
    <w:qFormat/>
    <w:rsid w:val="00A03205"/>
    <w:pPr>
      <w:widowControl w:val="0"/>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A03205"/>
    <w:pPr>
      <w:widowControl w:val="0"/>
      <w:ind w:left="480"/>
    </w:pPr>
    <w:rPr>
      <w:rFonts w:cstheme="minorBidi"/>
      <w:lang w:val="en-US"/>
    </w:rPr>
  </w:style>
  <w:style w:type="character" w:customStyle="1" w:styleId="BodyTextChar">
    <w:name w:val="Body Text Char"/>
    <w:basedOn w:val="DefaultParagraphFont"/>
    <w:link w:val="BodyText"/>
    <w:uiPriority w:val="1"/>
    <w:rsid w:val="00A03205"/>
    <w:rPr>
      <w:rFonts w:cstheme="minorBidi"/>
      <w:lang w:val="en-US"/>
    </w:rPr>
  </w:style>
  <w:style w:type="paragraph" w:styleId="BalloonText">
    <w:name w:val="Balloon Text"/>
    <w:basedOn w:val="Normal"/>
    <w:link w:val="BalloonTextChar"/>
    <w:uiPriority w:val="99"/>
    <w:semiHidden/>
    <w:unhideWhenUsed/>
    <w:rsid w:val="00A03205"/>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A03205"/>
    <w:rPr>
      <w:rFonts w:ascii="Tahoma" w:eastAsiaTheme="minorEastAsia" w:hAnsi="Tahoma" w:cs="Tahoma"/>
      <w:sz w:val="16"/>
      <w:szCs w:val="16"/>
      <w:lang w:eastAsia="ja-JP"/>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A03205"/>
    <w:rPr>
      <w:rFonts w:asciiTheme="minorHAnsi" w:eastAsiaTheme="minorHAnsi" w:hAnsiTheme="minorHAnsi"/>
      <w:sz w:val="22"/>
      <w:szCs w:val="22"/>
      <w:lang w:val="en-GB"/>
    </w:rPr>
  </w:style>
  <w:style w:type="paragraph" w:customStyle="1" w:styleId="Table">
    <w:name w:val="Table"/>
    <w:basedOn w:val="Normal"/>
    <w:link w:val="TableChar"/>
    <w:qFormat/>
    <w:rsid w:val="00A03205"/>
    <w:pPr>
      <w:tabs>
        <w:tab w:val="center" w:pos="900"/>
      </w:tabs>
      <w:spacing w:line="360" w:lineRule="auto"/>
      <w:jc w:val="both"/>
    </w:pPr>
    <w:rPr>
      <w:rFonts w:eastAsiaTheme="minorHAnsi" w:cstheme="minorBidi"/>
      <w:b/>
      <w:color w:val="000000" w:themeColor="text1"/>
      <w:szCs w:val="22"/>
      <w:lang w:val="en-US"/>
    </w:rPr>
  </w:style>
  <w:style w:type="character" w:customStyle="1" w:styleId="TableChar">
    <w:name w:val="Table Char"/>
    <w:basedOn w:val="DefaultParagraphFont"/>
    <w:link w:val="Table"/>
    <w:rsid w:val="00A03205"/>
    <w:rPr>
      <w:rFonts w:eastAsiaTheme="minorHAnsi" w:cstheme="minorBidi"/>
      <w:b/>
      <w:color w:val="000000" w:themeColor="text1"/>
      <w:szCs w:val="22"/>
      <w:lang w:val="en-US"/>
    </w:rPr>
  </w:style>
  <w:style w:type="character" w:customStyle="1" w:styleId="tableChar0">
    <w:name w:val="table Char"/>
    <w:basedOn w:val="DefaultParagraphFont"/>
    <w:link w:val="table0"/>
    <w:locked/>
    <w:rsid w:val="00A03205"/>
    <w:rPr>
      <w:b/>
    </w:rPr>
  </w:style>
  <w:style w:type="paragraph" w:customStyle="1" w:styleId="table0">
    <w:name w:val="table"/>
    <w:basedOn w:val="Normal"/>
    <w:link w:val="tableChar0"/>
    <w:qFormat/>
    <w:rsid w:val="00A03205"/>
    <w:pPr>
      <w:spacing w:line="360" w:lineRule="auto"/>
      <w:jc w:val="both"/>
    </w:pPr>
    <w:rPr>
      <w:b/>
    </w:rPr>
  </w:style>
  <w:style w:type="character" w:customStyle="1" w:styleId="Heading4Char">
    <w:name w:val="Heading 4 Char"/>
    <w:basedOn w:val="DefaultParagraphFont"/>
    <w:link w:val="Heading4"/>
    <w:uiPriority w:val="9"/>
    <w:semiHidden/>
    <w:rsid w:val="00A03205"/>
    <w:rPr>
      <w:b/>
    </w:rPr>
  </w:style>
  <w:style w:type="table" w:customStyle="1" w:styleId="TableGridLight1">
    <w:name w:val="Table Grid Light1"/>
    <w:basedOn w:val="TableNormal"/>
    <w:next w:val="TableGridLight2"/>
    <w:uiPriority w:val="40"/>
    <w:rsid w:val="00A03205"/>
    <w:rPr>
      <w:rFonts w:asciiTheme="minorHAnsi" w:eastAsiaTheme="minorHAnsi" w:hAnsiTheme="minorHAnsi" w:cstheme="minorBidi"/>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A03205"/>
    <w:rPr>
      <w:rFonts w:asciiTheme="minorHAnsi" w:eastAsiaTheme="minorHAnsi" w:hAnsiTheme="minorHAnsi" w:cstheme="minorBidi"/>
      <w:kern w:val="2"/>
      <w:sz w:val="22"/>
      <w:szCs w:val="22"/>
      <w:lang w:val="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03205"/>
    <w:rPr>
      <w:color w:val="808080"/>
    </w:rPr>
  </w:style>
  <w:style w:type="paragraph" w:styleId="HTMLPreformatted">
    <w:name w:val="HTML Preformatted"/>
    <w:basedOn w:val="Normal"/>
    <w:link w:val="HTMLPreformattedChar"/>
    <w:uiPriority w:val="99"/>
    <w:unhideWhenUsed/>
    <w:rsid w:val="00A03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A03205"/>
    <w:rPr>
      <w:rFonts w:ascii="Courier New" w:hAnsi="Courier New" w:cs="Courier New"/>
      <w:sz w:val="20"/>
      <w:szCs w:val="20"/>
      <w:lang w:val="en-US"/>
    </w:rPr>
  </w:style>
  <w:style w:type="character" w:customStyle="1" w:styleId="y2iqfc">
    <w:name w:val="y2iqfc"/>
    <w:basedOn w:val="DefaultParagraphFont"/>
    <w:rsid w:val="00A03205"/>
  </w:style>
  <w:style w:type="character" w:customStyle="1" w:styleId="UnresolvedMention2">
    <w:name w:val="Unresolved Mention2"/>
    <w:basedOn w:val="DefaultParagraphFont"/>
    <w:uiPriority w:val="99"/>
    <w:semiHidden/>
    <w:unhideWhenUsed/>
    <w:rsid w:val="00A03205"/>
    <w:rPr>
      <w:color w:val="605E5C"/>
      <w:shd w:val="clear" w:color="auto" w:fill="E1DFDD"/>
    </w:rPr>
  </w:style>
  <w:style w:type="character" w:customStyle="1" w:styleId="f18u3js6">
    <w:name w:val="f18u3js6"/>
    <w:basedOn w:val="DefaultParagraphFont"/>
    <w:rsid w:val="00A03205"/>
  </w:style>
  <w:style w:type="character" w:styleId="FollowedHyperlink">
    <w:name w:val="FollowedHyperlink"/>
    <w:basedOn w:val="DefaultParagraphFont"/>
    <w:uiPriority w:val="99"/>
    <w:semiHidden/>
    <w:unhideWhenUsed/>
    <w:rsid w:val="00A03205"/>
    <w:rPr>
      <w:color w:val="800080" w:themeColor="followedHyperlink"/>
      <w:u w:val="single"/>
    </w:rPr>
  </w:style>
  <w:style w:type="character" w:styleId="CommentReference">
    <w:name w:val="annotation reference"/>
    <w:basedOn w:val="DefaultParagraphFont"/>
    <w:uiPriority w:val="99"/>
    <w:semiHidden/>
    <w:unhideWhenUsed/>
    <w:rsid w:val="00A03205"/>
    <w:rPr>
      <w:sz w:val="16"/>
      <w:szCs w:val="16"/>
    </w:rPr>
  </w:style>
  <w:style w:type="paragraph" w:styleId="CommentText">
    <w:name w:val="annotation text"/>
    <w:basedOn w:val="Normal"/>
    <w:link w:val="CommentTextChar"/>
    <w:uiPriority w:val="99"/>
    <w:semiHidden/>
    <w:unhideWhenUsed/>
    <w:rsid w:val="00A03205"/>
    <w:pPr>
      <w:spacing w:after="160"/>
    </w:pPr>
    <w:rPr>
      <w:rFonts w:asciiTheme="minorHAnsi" w:eastAsiaTheme="minorHAnsi" w:hAnsiTheme="minorHAnsi" w:cstheme="minorBidi"/>
      <w:kern w:val="2"/>
      <w:sz w:val="20"/>
      <w:szCs w:val="20"/>
      <w:lang w:val="en-US"/>
      <w14:ligatures w14:val="standardContextual"/>
    </w:rPr>
  </w:style>
  <w:style w:type="character" w:customStyle="1" w:styleId="CommentTextChar">
    <w:name w:val="Comment Text Char"/>
    <w:basedOn w:val="DefaultParagraphFont"/>
    <w:link w:val="CommentText"/>
    <w:uiPriority w:val="99"/>
    <w:semiHidden/>
    <w:rsid w:val="00A03205"/>
    <w:rPr>
      <w:rFonts w:asciiTheme="minorHAnsi" w:eastAsiaTheme="minorHAnsi" w:hAnsiTheme="minorHAnsi" w:cstheme="minorBidi"/>
      <w:kern w:val="2"/>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sid w:val="00A03205"/>
    <w:rPr>
      <w:b/>
      <w:bCs/>
    </w:rPr>
  </w:style>
  <w:style w:type="character" w:customStyle="1" w:styleId="CommentSubjectChar">
    <w:name w:val="Comment Subject Char"/>
    <w:basedOn w:val="CommentTextChar"/>
    <w:link w:val="CommentSubject"/>
    <w:uiPriority w:val="99"/>
    <w:semiHidden/>
    <w:rsid w:val="00A03205"/>
    <w:rPr>
      <w:rFonts w:asciiTheme="minorHAnsi" w:eastAsiaTheme="minorHAnsi" w:hAnsiTheme="minorHAnsi" w:cstheme="minorBidi"/>
      <w:b/>
      <w:bCs/>
      <w:kern w:val="2"/>
      <w:sz w:val="20"/>
      <w:szCs w:val="20"/>
      <w:lang w:val="en-US"/>
      <w14:ligatures w14:val="standardContextual"/>
    </w:rPr>
  </w:style>
  <w:style w:type="character" w:customStyle="1" w:styleId="jpfdse">
    <w:name w:val="jpfdse"/>
    <w:basedOn w:val="DefaultParagraphFont"/>
    <w:rsid w:val="00A03205"/>
  </w:style>
  <w:style w:type="paragraph" w:styleId="Revision">
    <w:name w:val="Revision"/>
    <w:hidden/>
    <w:uiPriority w:val="99"/>
    <w:semiHidden/>
    <w:rsid w:val="00B74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086">
      <w:bodyDiv w:val="1"/>
      <w:marLeft w:val="0"/>
      <w:marRight w:val="0"/>
      <w:marTop w:val="0"/>
      <w:marBottom w:val="0"/>
      <w:divBdr>
        <w:top w:val="none" w:sz="0" w:space="0" w:color="auto"/>
        <w:left w:val="none" w:sz="0" w:space="0" w:color="auto"/>
        <w:bottom w:val="none" w:sz="0" w:space="0" w:color="auto"/>
        <w:right w:val="none" w:sz="0" w:space="0" w:color="auto"/>
      </w:divBdr>
    </w:div>
    <w:div w:id="7876757">
      <w:bodyDiv w:val="1"/>
      <w:marLeft w:val="0"/>
      <w:marRight w:val="0"/>
      <w:marTop w:val="0"/>
      <w:marBottom w:val="0"/>
      <w:divBdr>
        <w:top w:val="none" w:sz="0" w:space="0" w:color="auto"/>
        <w:left w:val="none" w:sz="0" w:space="0" w:color="auto"/>
        <w:bottom w:val="none" w:sz="0" w:space="0" w:color="auto"/>
        <w:right w:val="none" w:sz="0" w:space="0" w:color="auto"/>
      </w:divBdr>
      <w:divsChild>
        <w:div w:id="403261638">
          <w:marLeft w:val="0"/>
          <w:marRight w:val="0"/>
          <w:marTop w:val="0"/>
          <w:marBottom w:val="0"/>
          <w:divBdr>
            <w:top w:val="none" w:sz="0" w:space="0" w:color="auto"/>
            <w:left w:val="none" w:sz="0" w:space="0" w:color="auto"/>
            <w:bottom w:val="none" w:sz="0" w:space="0" w:color="auto"/>
            <w:right w:val="none" w:sz="0" w:space="0" w:color="auto"/>
          </w:divBdr>
          <w:divsChild>
            <w:div w:id="11988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92">
      <w:bodyDiv w:val="1"/>
      <w:marLeft w:val="0"/>
      <w:marRight w:val="0"/>
      <w:marTop w:val="0"/>
      <w:marBottom w:val="0"/>
      <w:divBdr>
        <w:top w:val="none" w:sz="0" w:space="0" w:color="auto"/>
        <w:left w:val="none" w:sz="0" w:space="0" w:color="auto"/>
        <w:bottom w:val="none" w:sz="0" w:space="0" w:color="auto"/>
        <w:right w:val="none" w:sz="0" w:space="0" w:color="auto"/>
      </w:divBdr>
    </w:div>
    <w:div w:id="34276090">
      <w:bodyDiv w:val="1"/>
      <w:marLeft w:val="0"/>
      <w:marRight w:val="0"/>
      <w:marTop w:val="0"/>
      <w:marBottom w:val="0"/>
      <w:divBdr>
        <w:top w:val="none" w:sz="0" w:space="0" w:color="auto"/>
        <w:left w:val="none" w:sz="0" w:space="0" w:color="auto"/>
        <w:bottom w:val="none" w:sz="0" w:space="0" w:color="auto"/>
        <w:right w:val="none" w:sz="0" w:space="0" w:color="auto"/>
      </w:divBdr>
      <w:divsChild>
        <w:div w:id="440494121">
          <w:marLeft w:val="0"/>
          <w:marRight w:val="0"/>
          <w:marTop w:val="0"/>
          <w:marBottom w:val="0"/>
          <w:divBdr>
            <w:top w:val="none" w:sz="0" w:space="0" w:color="auto"/>
            <w:left w:val="none" w:sz="0" w:space="0" w:color="auto"/>
            <w:bottom w:val="none" w:sz="0" w:space="0" w:color="auto"/>
            <w:right w:val="none" w:sz="0" w:space="0" w:color="auto"/>
          </w:divBdr>
          <w:divsChild>
            <w:div w:id="140564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7903">
      <w:bodyDiv w:val="1"/>
      <w:marLeft w:val="0"/>
      <w:marRight w:val="0"/>
      <w:marTop w:val="0"/>
      <w:marBottom w:val="0"/>
      <w:divBdr>
        <w:top w:val="none" w:sz="0" w:space="0" w:color="auto"/>
        <w:left w:val="none" w:sz="0" w:space="0" w:color="auto"/>
        <w:bottom w:val="none" w:sz="0" w:space="0" w:color="auto"/>
        <w:right w:val="none" w:sz="0" w:space="0" w:color="auto"/>
      </w:divBdr>
    </w:div>
    <w:div w:id="112554745">
      <w:bodyDiv w:val="1"/>
      <w:marLeft w:val="0"/>
      <w:marRight w:val="0"/>
      <w:marTop w:val="0"/>
      <w:marBottom w:val="0"/>
      <w:divBdr>
        <w:top w:val="none" w:sz="0" w:space="0" w:color="auto"/>
        <w:left w:val="none" w:sz="0" w:space="0" w:color="auto"/>
        <w:bottom w:val="none" w:sz="0" w:space="0" w:color="auto"/>
        <w:right w:val="none" w:sz="0" w:space="0" w:color="auto"/>
      </w:divBdr>
    </w:div>
    <w:div w:id="181632865">
      <w:bodyDiv w:val="1"/>
      <w:marLeft w:val="0"/>
      <w:marRight w:val="0"/>
      <w:marTop w:val="0"/>
      <w:marBottom w:val="0"/>
      <w:divBdr>
        <w:top w:val="none" w:sz="0" w:space="0" w:color="auto"/>
        <w:left w:val="none" w:sz="0" w:space="0" w:color="auto"/>
        <w:bottom w:val="none" w:sz="0" w:space="0" w:color="auto"/>
        <w:right w:val="none" w:sz="0" w:space="0" w:color="auto"/>
      </w:divBdr>
    </w:div>
    <w:div w:id="378673548">
      <w:bodyDiv w:val="1"/>
      <w:marLeft w:val="0"/>
      <w:marRight w:val="0"/>
      <w:marTop w:val="0"/>
      <w:marBottom w:val="0"/>
      <w:divBdr>
        <w:top w:val="none" w:sz="0" w:space="0" w:color="auto"/>
        <w:left w:val="none" w:sz="0" w:space="0" w:color="auto"/>
        <w:bottom w:val="none" w:sz="0" w:space="0" w:color="auto"/>
        <w:right w:val="none" w:sz="0" w:space="0" w:color="auto"/>
      </w:divBdr>
    </w:div>
    <w:div w:id="379592280">
      <w:bodyDiv w:val="1"/>
      <w:marLeft w:val="0"/>
      <w:marRight w:val="0"/>
      <w:marTop w:val="0"/>
      <w:marBottom w:val="0"/>
      <w:divBdr>
        <w:top w:val="none" w:sz="0" w:space="0" w:color="auto"/>
        <w:left w:val="none" w:sz="0" w:space="0" w:color="auto"/>
        <w:bottom w:val="none" w:sz="0" w:space="0" w:color="auto"/>
        <w:right w:val="none" w:sz="0" w:space="0" w:color="auto"/>
      </w:divBdr>
    </w:div>
    <w:div w:id="390664922">
      <w:bodyDiv w:val="1"/>
      <w:marLeft w:val="0"/>
      <w:marRight w:val="0"/>
      <w:marTop w:val="0"/>
      <w:marBottom w:val="0"/>
      <w:divBdr>
        <w:top w:val="none" w:sz="0" w:space="0" w:color="auto"/>
        <w:left w:val="none" w:sz="0" w:space="0" w:color="auto"/>
        <w:bottom w:val="none" w:sz="0" w:space="0" w:color="auto"/>
        <w:right w:val="none" w:sz="0" w:space="0" w:color="auto"/>
      </w:divBdr>
    </w:div>
    <w:div w:id="417101453">
      <w:bodyDiv w:val="1"/>
      <w:marLeft w:val="0"/>
      <w:marRight w:val="0"/>
      <w:marTop w:val="0"/>
      <w:marBottom w:val="0"/>
      <w:divBdr>
        <w:top w:val="none" w:sz="0" w:space="0" w:color="auto"/>
        <w:left w:val="none" w:sz="0" w:space="0" w:color="auto"/>
        <w:bottom w:val="none" w:sz="0" w:space="0" w:color="auto"/>
        <w:right w:val="none" w:sz="0" w:space="0" w:color="auto"/>
      </w:divBdr>
      <w:divsChild>
        <w:div w:id="2145387306">
          <w:marLeft w:val="0"/>
          <w:marRight w:val="0"/>
          <w:marTop w:val="0"/>
          <w:marBottom w:val="0"/>
          <w:divBdr>
            <w:top w:val="none" w:sz="0" w:space="0" w:color="auto"/>
            <w:left w:val="none" w:sz="0" w:space="0" w:color="auto"/>
            <w:bottom w:val="none" w:sz="0" w:space="0" w:color="auto"/>
            <w:right w:val="none" w:sz="0" w:space="0" w:color="auto"/>
          </w:divBdr>
          <w:divsChild>
            <w:div w:id="578757781">
              <w:marLeft w:val="0"/>
              <w:marRight w:val="0"/>
              <w:marTop w:val="0"/>
              <w:marBottom w:val="0"/>
              <w:divBdr>
                <w:top w:val="none" w:sz="0" w:space="0" w:color="auto"/>
                <w:left w:val="none" w:sz="0" w:space="0" w:color="auto"/>
                <w:bottom w:val="none" w:sz="0" w:space="0" w:color="auto"/>
                <w:right w:val="none" w:sz="0" w:space="0" w:color="auto"/>
              </w:divBdr>
            </w:div>
          </w:divsChild>
        </w:div>
        <w:div w:id="144006847">
          <w:marLeft w:val="0"/>
          <w:marRight w:val="0"/>
          <w:marTop w:val="0"/>
          <w:marBottom w:val="0"/>
          <w:divBdr>
            <w:top w:val="none" w:sz="0" w:space="0" w:color="auto"/>
            <w:left w:val="none" w:sz="0" w:space="0" w:color="auto"/>
            <w:bottom w:val="none" w:sz="0" w:space="0" w:color="auto"/>
            <w:right w:val="none" w:sz="0" w:space="0" w:color="auto"/>
          </w:divBdr>
          <w:divsChild>
            <w:div w:id="1687824006">
              <w:marLeft w:val="0"/>
              <w:marRight w:val="0"/>
              <w:marTop w:val="0"/>
              <w:marBottom w:val="0"/>
              <w:divBdr>
                <w:top w:val="none" w:sz="0" w:space="0" w:color="auto"/>
                <w:left w:val="none" w:sz="0" w:space="0" w:color="auto"/>
                <w:bottom w:val="none" w:sz="0" w:space="0" w:color="auto"/>
                <w:right w:val="none" w:sz="0" w:space="0" w:color="auto"/>
              </w:divBdr>
            </w:div>
          </w:divsChild>
        </w:div>
        <w:div w:id="361899592">
          <w:marLeft w:val="0"/>
          <w:marRight w:val="0"/>
          <w:marTop w:val="0"/>
          <w:marBottom w:val="0"/>
          <w:divBdr>
            <w:top w:val="none" w:sz="0" w:space="0" w:color="auto"/>
            <w:left w:val="none" w:sz="0" w:space="0" w:color="auto"/>
            <w:bottom w:val="none" w:sz="0" w:space="0" w:color="auto"/>
            <w:right w:val="none" w:sz="0" w:space="0" w:color="auto"/>
          </w:divBdr>
          <w:divsChild>
            <w:div w:id="1115557576">
              <w:marLeft w:val="0"/>
              <w:marRight w:val="0"/>
              <w:marTop w:val="0"/>
              <w:marBottom w:val="0"/>
              <w:divBdr>
                <w:top w:val="none" w:sz="0" w:space="0" w:color="auto"/>
                <w:left w:val="none" w:sz="0" w:space="0" w:color="auto"/>
                <w:bottom w:val="none" w:sz="0" w:space="0" w:color="auto"/>
                <w:right w:val="none" w:sz="0" w:space="0" w:color="auto"/>
              </w:divBdr>
            </w:div>
          </w:divsChild>
        </w:div>
        <w:div w:id="1450977722">
          <w:marLeft w:val="0"/>
          <w:marRight w:val="0"/>
          <w:marTop w:val="0"/>
          <w:marBottom w:val="0"/>
          <w:divBdr>
            <w:top w:val="none" w:sz="0" w:space="0" w:color="auto"/>
            <w:left w:val="none" w:sz="0" w:space="0" w:color="auto"/>
            <w:bottom w:val="none" w:sz="0" w:space="0" w:color="auto"/>
            <w:right w:val="none" w:sz="0" w:space="0" w:color="auto"/>
          </w:divBdr>
          <w:divsChild>
            <w:div w:id="685787480">
              <w:marLeft w:val="0"/>
              <w:marRight w:val="0"/>
              <w:marTop w:val="0"/>
              <w:marBottom w:val="0"/>
              <w:divBdr>
                <w:top w:val="none" w:sz="0" w:space="0" w:color="auto"/>
                <w:left w:val="none" w:sz="0" w:space="0" w:color="auto"/>
                <w:bottom w:val="none" w:sz="0" w:space="0" w:color="auto"/>
                <w:right w:val="none" w:sz="0" w:space="0" w:color="auto"/>
              </w:divBdr>
            </w:div>
          </w:divsChild>
        </w:div>
        <w:div w:id="1569730507">
          <w:marLeft w:val="0"/>
          <w:marRight w:val="0"/>
          <w:marTop w:val="0"/>
          <w:marBottom w:val="0"/>
          <w:divBdr>
            <w:top w:val="none" w:sz="0" w:space="0" w:color="auto"/>
            <w:left w:val="none" w:sz="0" w:space="0" w:color="auto"/>
            <w:bottom w:val="none" w:sz="0" w:space="0" w:color="auto"/>
            <w:right w:val="none" w:sz="0" w:space="0" w:color="auto"/>
          </w:divBdr>
          <w:divsChild>
            <w:div w:id="1772554720">
              <w:marLeft w:val="0"/>
              <w:marRight w:val="0"/>
              <w:marTop w:val="0"/>
              <w:marBottom w:val="0"/>
              <w:divBdr>
                <w:top w:val="none" w:sz="0" w:space="0" w:color="auto"/>
                <w:left w:val="none" w:sz="0" w:space="0" w:color="auto"/>
                <w:bottom w:val="none" w:sz="0" w:space="0" w:color="auto"/>
                <w:right w:val="none" w:sz="0" w:space="0" w:color="auto"/>
              </w:divBdr>
            </w:div>
          </w:divsChild>
        </w:div>
        <w:div w:id="1261643816">
          <w:marLeft w:val="0"/>
          <w:marRight w:val="0"/>
          <w:marTop w:val="0"/>
          <w:marBottom w:val="0"/>
          <w:divBdr>
            <w:top w:val="none" w:sz="0" w:space="0" w:color="auto"/>
            <w:left w:val="none" w:sz="0" w:space="0" w:color="auto"/>
            <w:bottom w:val="none" w:sz="0" w:space="0" w:color="auto"/>
            <w:right w:val="none" w:sz="0" w:space="0" w:color="auto"/>
          </w:divBdr>
          <w:divsChild>
            <w:div w:id="12617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1334">
      <w:bodyDiv w:val="1"/>
      <w:marLeft w:val="0"/>
      <w:marRight w:val="0"/>
      <w:marTop w:val="0"/>
      <w:marBottom w:val="0"/>
      <w:divBdr>
        <w:top w:val="none" w:sz="0" w:space="0" w:color="auto"/>
        <w:left w:val="none" w:sz="0" w:space="0" w:color="auto"/>
        <w:bottom w:val="none" w:sz="0" w:space="0" w:color="auto"/>
        <w:right w:val="none" w:sz="0" w:space="0" w:color="auto"/>
      </w:divBdr>
    </w:div>
    <w:div w:id="564685886">
      <w:bodyDiv w:val="1"/>
      <w:marLeft w:val="0"/>
      <w:marRight w:val="0"/>
      <w:marTop w:val="0"/>
      <w:marBottom w:val="0"/>
      <w:divBdr>
        <w:top w:val="none" w:sz="0" w:space="0" w:color="auto"/>
        <w:left w:val="none" w:sz="0" w:space="0" w:color="auto"/>
        <w:bottom w:val="none" w:sz="0" w:space="0" w:color="auto"/>
        <w:right w:val="none" w:sz="0" w:space="0" w:color="auto"/>
      </w:divBdr>
    </w:div>
    <w:div w:id="576329147">
      <w:bodyDiv w:val="1"/>
      <w:marLeft w:val="0"/>
      <w:marRight w:val="0"/>
      <w:marTop w:val="0"/>
      <w:marBottom w:val="0"/>
      <w:divBdr>
        <w:top w:val="none" w:sz="0" w:space="0" w:color="auto"/>
        <w:left w:val="none" w:sz="0" w:space="0" w:color="auto"/>
        <w:bottom w:val="none" w:sz="0" w:space="0" w:color="auto"/>
        <w:right w:val="none" w:sz="0" w:space="0" w:color="auto"/>
      </w:divBdr>
    </w:div>
    <w:div w:id="671688288">
      <w:bodyDiv w:val="1"/>
      <w:marLeft w:val="0"/>
      <w:marRight w:val="0"/>
      <w:marTop w:val="0"/>
      <w:marBottom w:val="0"/>
      <w:divBdr>
        <w:top w:val="none" w:sz="0" w:space="0" w:color="auto"/>
        <w:left w:val="none" w:sz="0" w:space="0" w:color="auto"/>
        <w:bottom w:val="none" w:sz="0" w:space="0" w:color="auto"/>
        <w:right w:val="none" w:sz="0" w:space="0" w:color="auto"/>
      </w:divBdr>
    </w:div>
    <w:div w:id="727999206">
      <w:bodyDiv w:val="1"/>
      <w:marLeft w:val="0"/>
      <w:marRight w:val="0"/>
      <w:marTop w:val="0"/>
      <w:marBottom w:val="0"/>
      <w:divBdr>
        <w:top w:val="none" w:sz="0" w:space="0" w:color="auto"/>
        <w:left w:val="none" w:sz="0" w:space="0" w:color="auto"/>
        <w:bottom w:val="none" w:sz="0" w:space="0" w:color="auto"/>
        <w:right w:val="none" w:sz="0" w:space="0" w:color="auto"/>
      </w:divBdr>
    </w:div>
    <w:div w:id="751201834">
      <w:bodyDiv w:val="1"/>
      <w:marLeft w:val="0"/>
      <w:marRight w:val="0"/>
      <w:marTop w:val="0"/>
      <w:marBottom w:val="0"/>
      <w:divBdr>
        <w:top w:val="none" w:sz="0" w:space="0" w:color="auto"/>
        <w:left w:val="none" w:sz="0" w:space="0" w:color="auto"/>
        <w:bottom w:val="none" w:sz="0" w:space="0" w:color="auto"/>
        <w:right w:val="none" w:sz="0" w:space="0" w:color="auto"/>
      </w:divBdr>
    </w:div>
    <w:div w:id="790514690">
      <w:bodyDiv w:val="1"/>
      <w:marLeft w:val="0"/>
      <w:marRight w:val="0"/>
      <w:marTop w:val="0"/>
      <w:marBottom w:val="0"/>
      <w:divBdr>
        <w:top w:val="none" w:sz="0" w:space="0" w:color="auto"/>
        <w:left w:val="none" w:sz="0" w:space="0" w:color="auto"/>
        <w:bottom w:val="none" w:sz="0" w:space="0" w:color="auto"/>
        <w:right w:val="none" w:sz="0" w:space="0" w:color="auto"/>
      </w:divBdr>
    </w:div>
    <w:div w:id="871959559">
      <w:bodyDiv w:val="1"/>
      <w:marLeft w:val="0"/>
      <w:marRight w:val="0"/>
      <w:marTop w:val="0"/>
      <w:marBottom w:val="0"/>
      <w:divBdr>
        <w:top w:val="none" w:sz="0" w:space="0" w:color="auto"/>
        <w:left w:val="none" w:sz="0" w:space="0" w:color="auto"/>
        <w:bottom w:val="none" w:sz="0" w:space="0" w:color="auto"/>
        <w:right w:val="none" w:sz="0" w:space="0" w:color="auto"/>
      </w:divBdr>
    </w:div>
    <w:div w:id="879124302">
      <w:bodyDiv w:val="1"/>
      <w:marLeft w:val="0"/>
      <w:marRight w:val="0"/>
      <w:marTop w:val="0"/>
      <w:marBottom w:val="0"/>
      <w:divBdr>
        <w:top w:val="none" w:sz="0" w:space="0" w:color="auto"/>
        <w:left w:val="none" w:sz="0" w:space="0" w:color="auto"/>
        <w:bottom w:val="none" w:sz="0" w:space="0" w:color="auto"/>
        <w:right w:val="none" w:sz="0" w:space="0" w:color="auto"/>
      </w:divBdr>
    </w:div>
    <w:div w:id="903219205">
      <w:bodyDiv w:val="1"/>
      <w:marLeft w:val="0"/>
      <w:marRight w:val="0"/>
      <w:marTop w:val="0"/>
      <w:marBottom w:val="0"/>
      <w:divBdr>
        <w:top w:val="none" w:sz="0" w:space="0" w:color="auto"/>
        <w:left w:val="none" w:sz="0" w:space="0" w:color="auto"/>
        <w:bottom w:val="none" w:sz="0" w:space="0" w:color="auto"/>
        <w:right w:val="none" w:sz="0" w:space="0" w:color="auto"/>
      </w:divBdr>
    </w:div>
    <w:div w:id="923224107">
      <w:bodyDiv w:val="1"/>
      <w:marLeft w:val="0"/>
      <w:marRight w:val="0"/>
      <w:marTop w:val="0"/>
      <w:marBottom w:val="0"/>
      <w:divBdr>
        <w:top w:val="none" w:sz="0" w:space="0" w:color="auto"/>
        <w:left w:val="none" w:sz="0" w:space="0" w:color="auto"/>
        <w:bottom w:val="none" w:sz="0" w:space="0" w:color="auto"/>
        <w:right w:val="none" w:sz="0" w:space="0" w:color="auto"/>
      </w:divBdr>
    </w:div>
    <w:div w:id="1041050225">
      <w:bodyDiv w:val="1"/>
      <w:marLeft w:val="0"/>
      <w:marRight w:val="0"/>
      <w:marTop w:val="0"/>
      <w:marBottom w:val="0"/>
      <w:divBdr>
        <w:top w:val="none" w:sz="0" w:space="0" w:color="auto"/>
        <w:left w:val="none" w:sz="0" w:space="0" w:color="auto"/>
        <w:bottom w:val="none" w:sz="0" w:space="0" w:color="auto"/>
        <w:right w:val="none" w:sz="0" w:space="0" w:color="auto"/>
      </w:divBdr>
    </w:div>
    <w:div w:id="1056196825">
      <w:bodyDiv w:val="1"/>
      <w:marLeft w:val="0"/>
      <w:marRight w:val="0"/>
      <w:marTop w:val="0"/>
      <w:marBottom w:val="0"/>
      <w:divBdr>
        <w:top w:val="none" w:sz="0" w:space="0" w:color="auto"/>
        <w:left w:val="none" w:sz="0" w:space="0" w:color="auto"/>
        <w:bottom w:val="none" w:sz="0" w:space="0" w:color="auto"/>
        <w:right w:val="none" w:sz="0" w:space="0" w:color="auto"/>
      </w:divBdr>
    </w:div>
    <w:div w:id="1090197247">
      <w:bodyDiv w:val="1"/>
      <w:marLeft w:val="0"/>
      <w:marRight w:val="0"/>
      <w:marTop w:val="0"/>
      <w:marBottom w:val="0"/>
      <w:divBdr>
        <w:top w:val="none" w:sz="0" w:space="0" w:color="auto"/>
        <w:left w:val="none" w:sz="0" w:space="0" w:color="auto"/>
        <w:bottom w:val="none" w:sz="0" w:space="0" w:color="auto"/>
        <w:right w:val="none" w:sz="0" w:space="0" w:color="auto"/>
      </w:divBdr>
    </w:div>
    <w:div w:id="1255626350">
      <w:bodyDiv w:val="1"/>
      <w:marLeft w:val="0"/>
      <w:marRight w:val="0"/>
      <w:marTop w:val="0"/>
      <w:marBottom w:val="0"/>
      <w:divBdr>
        <w:top w:val="none" w:sz="0" w:space="0" w:color="auto"/>
        <w:left w:val="none" w:sz="0" w:space="0" w:color="auto"/>
        <w:bottom w:val="none" w:sz="0" w:space="0" w:color="auto"/>
        <w:right w:val="none" w:sz="0" w:space="0" w:color="auto"/>
      </w:divBdr>
      <w:divsChild>
        <w:div w:id="156269631">
          <w:marLeft w:val="0"/>
          <w:marRight w:val="0"/>
          <w:marTop w:val="0"/>
          <w:marBottom w:val="0"/>
          <w:divBdr>
            <w:top w:val="none" w:sz="0" w:space="0" w:color="auto"/>
            <w:left w:val="none" w:sz="0" w:space="0" w:color="auto"/>
            <w:bottom w:val="none" w:sz="0" w:space="0" w:color="auto"/>
            <w:right w:val="none" w:sz="0" w:space="0" w:color="auto"/>
          </w:divBdr>
          <w:divsChild>
            <w:div w:id="892812432">
              <w:marLeft w:val="0"/>
              <w:marRight w:val="0"/>
              <w:marTop w:val="0"/>
              <w:marBottom w:val="0"/>
              <w:divBdr>
                <w:top w:val="none" w:sz="0" w:space="0" w:color="auto"/>
                <w:left w:val="none" w:sz="0" w:space="0" w:color="auto"/>
                <w:bottom w:val="none" w:sz="0" w:space="0" w:color="auto"/>
                <w:right w:val="none" w:sz="0" w:space="0" w:color="auto"/>
              </w:divBdr>
              <w:divsChild>
                <w:div w:id="684594659">
                  <w:marLeft w:val="0"/>
                  <w:marRight w:val="0"/>
                  <w:marTop w:val="0"/>
                  <w:marBottom w:val="0"/>
                  <w:divBdr>
                    <w:top w:val="none" w:sz="0" w:space="0" w:color="auto"/>
                    <w:left w:val="none" w:sz="0" w:space="0" w:color="auto"/>
                    <w:bottom w:val="none" w:sz="0" w:space="0" w:color="auto"/>
                    <w:right w:val="none" w:sz="0" w:space="0" w:color="auto"/>
                  </w:divBdr>
                  <w:divsChild>
                    <w:div w:id="2066299395">
                      <w:marLeft w:val="0"/>
                      <w:marRight w:val="0"/>
                      <w:marTop w:val="0"/>
                      <w:marBottom w:val="0"/>
                      <w:divBdr>
                        <w:top w:val="none" w:sz="0" w:space="0" w:color="auto"/>
                        <w:left w:val="none" w:sz="0" w:space="0" w:color="auto"/>
                        <w:bottom w:val="none" w:sz="0" w:space="0" w:color="auto"/>
                        <w:right w:val="none" w:sz="0" w:space="0" w:color="auto"/>
                      </w:divBdr>
                      <w:divsChild>
                        <w:div w:id="1349868443">
                          <w:marLeft w:val="0"/>
                          <w:marRight w:val="0"/>
                          <w:marTop w:val="0"/>
                          <w:marBottom w:val="0"/>
                          <w:divBdr>
                            <w:top w:val="none" w:sz="0" w:space="0" w:color="auto"/>
                            <w:left w:val="none" w:sz="0" w:space="0" w:color="auto"/>
                            <w:bottom w:val="none" w:sz="0" w:space="0" w:color="auto"/>
                            <w:right w:val="none" w:sz="0" w:space="0" w:color="auto"/>
                          </w:divBdr>
                          <w:divsChild>
                            <w:div w:id="16260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494982">
          <w:marLeft w:val="0"/>
          <w:marRight w:val="0"/>
          <w:marTop w:val="0"/>
          <w:marBottom w:val="0"/>
          <w:divBdr>
            <w:top w:val="none" w:sz="0" w:space="0" w:color="auto"/>
            <w:left w:val="none" w:sz="0" w:space="0" w:color="auto"/>
            <w:bottom w:val="none" w:sz="0" w:space="0" w:color="auto"/>
            <w:right w:val="none" w:sz="0" w:space="0" w:color="auto"/>
          </w:divBdr>
          <w:divsChild>
            <w:div w:id="1519418646">
              <w:marLeft w:val="0"/>
              <w:marRight w:val="0"/>
              <w:marTop w:val="0"/>
              <w:marBottom w:val="0"/>
              <w:divBdr>
                <w:top w:val="none" w:sz="0" w:space="0" w:color="auto"/>
                <w:left w:val="none" w:sz="0" w:space="0" w:color="auto"/>
                <w:bottom w:val="none" w:sz="0" w:space="0" w:color="auto"/>
                <w:right w:val="none" w:sz="0" w:space="0" w:color="auto"/>
              </w:divBdr>
              <w:divsChild>
                <w:div w:id="731267759">
                  <w:marLeft w:val="0"/>
                  <w:marRight w:val="0"/>
                  <w:marTop w:val="0"/>
                  <w:marBottom w:val="0"/>
                  <w:divBdr>
                    <w:top w:val="none" w:sz="0" w:space="0" w:color="auto"/>
                    <w:left w:val="none" w:sz="0" w:space="0" w:color="auto"/>
                    <w:bottom w:val="none" w:sz="0" w:space="0" w:color="auto"/>
                    <w:right w:val="none" w:sz="0" w:space="0" w:color="auto"/>
                  </w:divBdr>
                  <w:divsChild>
                    <w:div w:id="238946222">
                      <w:marLeft w:val="0"/>
                      <w:marRight w:val="0"/>
                      <w:marTop w:val="0"/>
                      <w:marBottom w:val="0"/>
                      <w:divBdr>
                        <w:top w:val="none" w:sz="0" w:space="0" w:color="auto"/>
                        <w:left w:val="none" w:sz="0" w:space="0" w:color="auto"/>
                        <w:bottom w:val="none" w:sz="0" w:space="0" w:color="auto"/>
                        <w:right w:val="none" w:sz="0" w:space="0" w:color="auto"/>
                      </w:divBdr>
                      <w:divsChild>
                        <w:div w:id="738093234">
                          <w:marLeft w:val="0"/>
                          <w:marRight w:val="0"/>
                          <w:marTop w:val="0"/>
                          <w:marBottom w:val="0"/>
                          <w:divBdr>
                            <w:top w:val="none" w:sz="0" w:space="0" w:color="auto"/>
                            <w:left w:val="none" w:sz="0" w:space="0" w:color="auto"/>
                            <w:bottom w:val="none" w:sz="0" w:space="0" w:color="auto"/>
                            <w:right w:val="none" w:sz="0" w:space="0" w:color="auto"/>
                          </w:divBdr>
                          <w:divsChild>
                            <w:div w:id="1525483258">
                              <w:marLeft w:val="0"/>
                              <w:marRight w:val="0"/>
                              <w:marTop w:val="0"/>
                              <w:marBottom w:val="0"/>
                              <w:divBdr>
                                <w:top w:val="none" w:sz="0" w:space="0" w:color="auto"/>
                                <w:left w:val="none" w:sz="0" w:space="0" w:color="auto"/>
                                <w:bottom w:val="none" w:sz="0" w:space="0" w:color="auto"/>
                                <w:right w:val="none" w:sz="0" w:space="0" w:color="auto"/>
                              </w:divBdr>
                              <w:divsChild>
                                <w:div w:id="6801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552">
          <w:marLeft w:val="0"/>
          <w:marRight w:val="0"/>
          <w:marTop w:val="0"/>
          <w:marBottom w:val="0"/>
          <w:divBdr>
            <w:top w:val="none" w:sz="0" w:space="0" w:color="auto"/>
            <w:left w:val="none" w:sz="0" w:space="0" w:color="auto"/>
            <w:bottom w:val="none" w:sz="0" w:space="0" w:color="auto"/>
            <w:right w:val="none" w:sz="0" w:space="0" w:color="auto"/>
          </w:divBdr>
          <w:divsChild>
            <w:div w:id="1647783627">
              <w:marLeft w:val="0"/>
              <w:marRight w:val="0"/>
              <w:marTop w:val="0"/>
              <w:marBottom w:val="0"/>
              <w:divBdr>
                <w:top w:val="none" w:sz="0" w:space="0" w:color="auto"/>
                <w:left w:val="none" w:sz="0" w:space="0" w:color="auto"/>
                <w:bottom w:val="none" w:sz="0" w:space="0" w:color="auto"/>
                <w:right w:val="none" w:sz="0" w:space="0" w:color="auto"/>
              </w:divBdr>
              <w:divsChild>
                <w:div w:id="813907004">
                  <w:marLeft w:val="0"/>
                  <w:marRight w:val="0"/>
                  <w:marTop w:val="0"/>
                  <w:marBottom w:val="0"/>
                  <w:divBdr>
                    <w:top w:val="none" w:sz="0" w:space="0" w:color="auto"/>
                    <w:left w:val="none" w:sz="0" w:space="0" w:color="auto"/>
                    <w:bottom w:val="none" w:sz="0" w:space="0" w:color="auto"/>
                    <w:right w:val="none" w:sz="0" w:space="0" w:color="auto"/>
                  </w:divBdr>
                  <w:divsChild>
                    <w:div w:id="1664233510">
                      <w:marLeft w:val="0"/>
                      <w:marRight w:val="0"/>
                      <w:marTop w:val="0"/>
                      <w:marBottom w:val="0"/>
                      <w:divBdr>
                        <w:top w:val="none" w:sz="0" w:space="0" w:color="auto"/>
                        <w:left w:val="none" w:sz="0" w:space="0" w:color="auto"/>
                        <w:bottom w:val="none" w:sz="0" w:space="0" w:color="auto"/>
                        <w:right w:val="none" w:sz="0" w:space="0" w:color="auto"/>
                      </w:divBdr>
                      <w:divsChild>
                        <w:div w:id="693384535">
                          <w:marLeft w:val="0"/>
                          <w:marRight w:val="0"/>
                          <w:marTop w:val="0"/>
                          <w:marBottom w:val="0"/>
                          <w:divBdr>
                            <w:top w:val="none" w:sz="0" w:space="0" w:color="auto"/>
                            <w:left w:val="none" w:sz="0" w:space="0" w:color="auto"/>
                            <w:bottom w:val="none" w:sz="0" w:space="0" w:color="auto"/>
                            <w:right w:val="none" w:sz="0" w:space="0" w:color="auto"/>
                          </w:divBdr>
                          <w:divsChild>
                            <w:div w:id="5395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955692">
      <w:bodyDiv w:val="1"/>
      <w:marLeft w:val="0"/>
      <w:marRight w:val="0"/>
      <w:marTop w:val="0"/>
      <w:marBottom w:val="0"/>
      <w:divBdr>
        <w:top w:val="none" w:sz="0" w:space="0" w:color="auto"/>
        <w:left w:val="none" w:sz="0" w:space="0" w:color="auto"/>
        <w:bottom w:val="none" w:sz="0" w:space="0" w:color="auto"/>
        <w:right w:val="none" w:sz="0" w:space="0" w:color="auto"/>
      </w:divBdr>
    </w:div>
    <w:div w:id="1396051241">
      <w:bodyDiv w:val="1"/>
      <w:marLeft w:val="0"/>
      <w:marRight w:val="0"/>
      <w:marTop w:val="0"/>
      <w:marBottom w:val="0"/>
      <w:divBdr>
        <w:top w:val="none" w:sz="0" w:space="0" w:color="auto"/>
        <w:left w:val="none" w:sz="0" w:space="0" w:color="auto"/>
        <w:bottom w:val="none" w:sz="0" w:space="0" w:color="auto"/>
        <w:right w:val="none" w:sz="0" w:space="0" w:color="auto"/>
      </w:divBdr>
      <w:divsChild>
        <w:div w:id="1968579553">
          <w:marLeft w:val="0"/>
          <w:marRight w:val="0"/>
          <w:marTop w:val="0"/>
          <w:marBottom w:val="0"/>
          <w:divBdr>
            <w:top w:val="none" w:sz="0" w:space="0" w:color="auto"/>
            <w:left w:val="none" w:sz="0" w:space="0" w:color="auto"/>
            <w:bottom w:val="none" w:sz="0" w:space="0" w:color="auto"/>
            <w:right w:val="none" w:sz="0" w:space="0" w:color="auto"/>
          </w:divBdr>
          <w:divsChild>
            <w:div w:id="998388676">
              <w:marLeft w:val="0"/>
              <w:marRight w:val="0"/>
              <w:marTop w:val="0"/>
              <w:marBottom w:val="0"/>
              <w:divBdr>
                <w:top w:val="none" w:sz="0" w:space="0" w:color="auto"/>
                <w:left w:val="none" w:sz="0" w:space="0" w:color="auto"/>
                <w:bottom w:val="none" w:sz="0" w:space="0" w:color="auto"/>
                <w:right w:val="none" w:sz="0" w:space="0" w:color="auto"/>
              </w:divBdr>
              <w:divsChild>
                <w:div w:id="1747535775">
                  <w:marLeft w:val="0"/>
                  <w:marRight w:val="0"/>
                  <w:marTop w:val="0"/>
                  <w:marBottom w:val="0"/>
                  <w:divBdr>
                    <w:top w:val="none" w:sz="0" w:space="0" w:color="auto"/>
                    <w:left w:val="none" w:sz="0" w:space="0" w:color="auto"/>
                    <w:bottom w:val="none" w:sz="0" w:space="0" w:color="auto"/>
                    <w:right w:val="none" w:sz="0" w:space="0" w:color="auto"/>
                  </w:divBdr>
                  <w:divsChild>
                    <w:div w:id="1943344492">
                      <w:marLeft w:val="0"/>
                      <w:marRight w:val="0"/>
                      <w:marTop w:val="0"/>
                      <w:marBottom w:val="0"/>
                      <w:divBdr>
                        <w:top w:val="none" w:sz="0" w:space="0" w:color="auto"/>
                        <w:left w:val="none" w:sz="0" w:space="0" w:color="auto"/>
                        <w:bottom w:val="none" w:sz="0" w:space="0" w:color="auto"/>
                        <w:right w:val="none" w:sz="0" w:space="0" w:color="auto"/>
                      </w:divBdr>
                      <w:divsChild>
                        <w:div w:id="1531719323">
                          <w:marLeft w:val="0"/>
                          <w:marRight w:val="0"/>
                          <w:marTop w:val="0"/>
                          <w:marBottom w:val="0"/>
                          <w:divBdr>
                            <w:top w:val="none" w:sz="0" w:space="0" w:color="auto"/>
                            <w:left w:val="none" w:sz="0" w:space="0" w:color="auto"/>
                            <w:bottom w:val="none" w:sz="0" w:space="0" w:color="auto"/>
                            <w:right w:val="none" w:sz="0" w:space="0" w:color="auto"/>
                          </w:divBdr>
                          <w:divsChild>
                            <w:div w:id="39944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5103">
          <w:marLeft w:val="0"/>
          <w:marRight w:val="0"/>
          <w:marTop w:val="0"/>
          <w:marBottom w:val="0"/>
          <w:divBdr>
            <w:top w:val="none" w:sz="0" w:space="0" w:color="auto"/>
            <w:left w:val="none" w:sz="0" w:space="0" w:color="auto"/>
            <w:bottom w:val="none" w:sz="0" w:space="0" w:color="auto"/>
            <w:right w:val="none" w:sz="0" w:space="0" w:color="auto"/>
          </w:divBdr>
          <w:divsChild>
            <w:div w:id="376979566">
              <w:marLeft w:val="0"/>
              <w:marRight w:val="0"/>
              <w:marTop w:val="0"/>
              <w:marBottom w:val="0"/>
              <w:divBdr>
                <w:top w:val="none" w:sz="0" w:space="0" w:color="auto"/>
                <w:left w:val="none" w:sz="0" w:space="0" w:color="auto"/>
                <w:bottom w:val="none" w:sz="0" w:space="0" w:color="auto"/>
                <w:right w:val="none" w:sz="0" w:space="0" w:color="auto"/>
              </w:divBdr>
              <w:divsChild>
                <w:div w:id="1350258260">
                  <w:marLeft w:val="0"/>
                  <w:marRight w:val="0"/>
                  <w:marTop w:val="0"/>
                  <w:marBottom w:val="0"/>
                  <w:divBdr>
                    <w:top w:val="none" w:sz="0" w:space="0" w:color="auto"/>
                    <w:left w:val="none" w:sz="0" w:space="0" w:color="auto"/>
                    <w:bottom w:val="none" w:sz="0" w:space="0" w:color="auto"/>
                    <w:right w:val="none" w:sz="0" w:space="0" w:color="auto"/>
                  </w:divBdr>
                  <w:divsChild>
                    <w:div w:id="475993432">
                      <w:marLeft w:val="0"/>
                      <w:marRight w:val="0"/>
                      <w:marTop w:val="0"/>
                      <w:marBottom w:val="0"/>
                      <w:divBdr>
                        <w:top w:val="none" w:sz="0" w:space="0" w:color="auto"/>
                        <w:left w:val="none" w:sz="0" w:space="0" w:color="auto"/>
                        <w:bottom w:val="none" w:sz="0" w:space="0" w:color="auto"/>
                        <w:right w:val="none" w:sz="0" w:space="0" w:color="auto"/>
                      </w:divBdr>
                      <w:divsChild>
                        <w:div w:id="1157763220">
                          <w:marLeft w:val="0"/>
                          <w:marRight w:val="0"/>
                          <w:marTop w:val="0"/>
                          <w:marBottom w:val="0"/>
                          <w:divBdr>
                            <w:top w:val="none" w:sz="0" w:space="0" w:color="auto"/>
                            <w:left w:val="none" w:sz="0" w:space="0" w:color="auto"/>
                            <w:bottom w:val="none" w:sz="0" w:space="0" w:color="auto"/>
                            <w:right w:val="none" w:sz="0" w:space="0" w:color="auto"/>
                          </w:divBdr>
                          <w:divsChild>
                            <w:div w:id="838692763">
                              <w:marLeft w:val="0"/>
                              <w:marRight w:val="0"/>
                              <w:marTop w:val="0"/>
                              <w:marBottom w:val="0"/>
                              <w:divBdr>
                                <w:top w:val="none" w:sz="0" w:space="0" w:color="auto"/>
                                <w:left w:val="none" w:sz="0" w:space="0" w:color="auto"/>
                                <w:bottom w:val="none" w:sz="0" w:space="0" w:color="auto"/>
                                <w:right w:val="none" w:sz="0" w:space="0" w:color="auto"/>
                              </w:divBdr>
                              <w:divsChild>
                                <w:div w:id="1504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382982">
          <w:marLeft w:val="0"/>
          <w:marRight w:val="0"/>
          <w:marTop w:val="0"/>
          <w:marBottom w:val="0"/>
          <w:divBdr>
            <w:top w:val="none" w:sz="0" w:space="0" w:color="auto"/>
            <w:left w:val="none" w:sz="0" w:space="0" w:color="auto"/>
            <w:bottom w:val="none" w:sz="0" w:space="0" w:color="auto"/>
            <w:right w:val="none" w:sz="0" w:space="0" w:color="auto"/>
          </w:divBdr>
          <w:divsChild>
            <w:div w:id="1801146264">
              <w:marLeft w:val="0"/>
              <w:marRight w:val="0"/>
              <w:marTop w:val="0"/>
              <w:marBottom w:val="0"/>
              <w:divBdr>
                <w:top w:val="none" w:sz="0" w:space="0" w:color="auto"/>
                <w:left w:val="none" w:sz="0" w:space="0" w:color="auto"/>
                <w:bottom w:val="none" w:sz="0" w:space="0" w:color="auto"/>
                <w:right w:val="none" w:sz="0" w:space="0" w:color="auto"/>
              </w:divBdr>
              <w:divsChild>
                <w:div w:id="1506822192">
                  <w:marLeft w:val="0"/>
                  <w:marRight w:val="0"/>
                  <w:marTop w:val="0"/>
                  <w:marBottom w:val="0"/>
                  <w:divBdr>
                    <w:top w:val="none" w:sz="0" w:space="0" w:color="auto"/>
                    <w:left w:val="none" w:sz="0" w:space="0" w:color="auto"/>
                    <w:bottom w:val="none" w:sz="0" w:space="0" w:color="auto"/>
                    <w:right w:val="none" w:sz="0" w:space="0" w:color="auto"/>
                  </w:divBdr>
                  <w:divsChild>
                    <w:div w:id="2006861611">
                      <w:marLeft w:val="0"/>
                      <w:marRight w:val="0"/>
                      <w:marTop w:val="0"/>
                      <w:marBottom w:val="0"/>
                      <w:divBdr>
                        <w:top w:val="none" w:sz="0" w:space="0" w:color="auto"/>
                        <w:left w:val="none" w:sz="0" w:space="0" w:color="auto"/>
                        <w:bottom w:val="none" w:sz="0" w:space="0" w:color="auto"/>
                        <w:right w:val="none" w:sz="0" w:space="0" w:color="auto"/>
                      </w:divBdr>
                      <w:divsChild>
                        <w:div w:id="760491184">
                          <w:marLeft w:val="0"/>
                          <w:marRight w:val="0"/>
                          <w:marTop w:val="0"/>
                          <w:marBottom w:val="0"/>
                          <w:divBdr>
                            <w:top w:val="none" w:sz="0" w:space="0" w:color="auto"/>
                            <w:left w:val="none" w:sz="0" w:space="0" w:color="auto"/>
                            <w:bottom w:val="none" w:sz="0" w:space="0" w:color="auto"/>
                            <w:right w:val="none" w:sz="0" w:space="0" w:color="auto"/>
                          </w:divBdr>
                          <w:divsChild>
                            <w:div w:id="3069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824947">
      <w:bodyDiv w:val="1"/>
      <w:marLeft w:val="0"/>
      <w:marRight w:val="0"/>
      <w:marTop w:val="0"/>
      <w:marBottom w:val="0"/>
      <w:divBdr>
        <w:top w:val="none" w:sz="0" w:space="0" w:color="auto"/>
        <w:left w:val="none" w:sz="0" w:space="0" w:color="auto"/>
        <w:bottom w:val="none" w:sz="0" w:space="0" w:color="auto"/>
        <w:right w:val="none" w:sz="0" w:space="0" w:color="auto"/>
      </w:divBdr>
    </w:div>
    <w:div w:id="1399089954">
      <w:bodyDiv w:val="1"/>
      <w:marLeft w:val="0"/>
      <w:marRight w:val="0"/>
      <w:marTop w:val="0"/>
      <w:marBottom w:val="0"/>
      <w:divBdr>
        <w:top w:val="none" w:sz="0" w:space="0" w:color="auto"/>
        <w:left w:val="none" w:sz="0" w:space="0" w:color="auto"/>
        <w:bottom w:val="none" w:sz="0" w:space="0" w:color="auto"/>
        <w:right w:val="none" w:sz="0" w:space="0" w:color="auto"/>
      </w:divBdr>
    </w:div>
    <w:div w:id="1458991442">
      <w:bodyDiv w:val="1"/>
      <w:marLeft w:val="0"/>
      <w:marRight w:val="0"/>
      <w:marTop w:val="0"/>
      <w:marBottom w:val="0"/>
      <w:divBdr>
        <w:top w:val="none" w:sz="0" w:space="0" w:color="auto"/>
        <w:left w:val="none" w:sz="0" w:space="0" w:color="auto"/>
        <w:bottom w:val="none" w:sz="0" w:space="0" w:color="auto"/>
        <w:right w:val="none" w:sz="0" w:space="0" w:color="auto"/>
      </w:divBdr>
    </w:div>
    <w:div w:id="1524589084">
      <w:bodyDiv w:val="1"/>
      <w:marLeft w:val="0"/>
      <w:marRight w:val="0"/>
      <w:marTop w:val="0"/>
      <w:marBottom w:val="0"/>
      <w:divBdr>
        <w:top w:val="none" w:sz="0" w:space="0" w:color="auto"/>
        <w:left w:val="none" w:sz="0" w:space="0" w:color="auto"/>
        <w:bottom w:val="none" w:sz="0" w:space="0" w:color="auto"/>
        <w:right w:val="none" w:sz="0" w:space="0" w:color="auto"/>
      </w:divBdr>
    </w:div>
    <w:div w:id="1561749531">
      <w:bodyDiv w:val="1"/>
      <w:marLeft w:val="0"/>
      <w:marRight w:val="0"/>
      <w:marTop w:val="0"/>
      <w:marBottom w:val="0"/>
      <w:divBdr>
        <w:top w:val="none" w:sz="0" w:space="0" w:color="auto"/>
        <w:left w:val="none" w:sz="0" w:space="0" w:color="auto"/>
        <w:bottom w:val="none" w:sz="0" w:space="0" w:color="auto"/>
        <w:right w:val="none" w:sz="0" w:space="0" w:color="auto"/>
      </w:divBdr>
    </w:div>
    <w:div w:id="1579821859">
      <w:bodyDiv w:val="1"/>
      <w:marLeft w:val="0"/>
      <w:marRight w:val="0"/>
      <w:marTop w:val="0"/>
      <w:marBottom w:val="0"/>
      <w:divBdr>
        <w:top w:val="none" w:sz="0" w:space="0" w:color="auto"/>
        <w:left w:val="none" w:sz="0" w:space="0" w:color="auto"/>
        <w:bottom w:val="none" w:sz="0" w:space="0" w:color="auto"/>
        <w:right w:val="none" w:sz="0" w:space="0" w:color="auto"/>
      </w:divBdr>
      <w:divsChild>
        <w:div w:id="1982149183">
          <w:marLeft w:val="0"/>
          <w:marRight w:val="0"/>
          <w:marTop w:val="0"/>
          <w:marBottom w:val="0"/>
          <w:divBdr>
            <w:top w:val="none" w:sz="0" w:space="0" w:color="auto"/>
            <w:left w:val="none" w:sz="0" w:space="0" w:color="auto"/>
            <w:bottom w:val="none" w:sz="0" w:space="0" w:color="auto"/>
            <w:right w:val="none" w:sz="0" w:space="0" w:color="auto"/>
          </w:divBdr>
          <w:divsChild>
            <w:div w:id="1090127025">
              <w:marLeft w:val="0"/>
              <w:marRight w:val="0"/>
              <w:marTop w:val="0"/>
              <w:marBottom w:val="0"/>
              <w:divBdr>
                <w:top w:val="none" w:sz="0" w:space="0" w:color="auto"/>
                <w:left w:val="none" w:sz="0" w:space="0" w:color="auto"/>
                <w:bottom w:val="none" w:sz="0" w:space="0" w:color="auto"/>
                <w:right w:val="none" w:sz="0" w:space="0" w:color="auto"/>
              </w:divBdr>
              <w:divsChild>
                <w:div w:id="1438134624">
                  <w:marLeft w:val="0"/>
                  <w:marRight w:val="0"/>
                  <w:marTop w:val="0"/>
                  <w:marBottom w:val="0"/>
                  <w:divBdr>
                    <w:top w:val="none" w:sz="0" w:space="0" w:color="auto"/>
                    <w:left w:val="none" w:sz="0" w:space="0" w:color="auto"/>
                    <w:bottom w:val="none" w:sz="0" w:space="0" w:color="auto"/>
                    <w:right w:val="none" w:sz="0" w:space="0" w:color="auto"/>
                  </w:divBdr>
                  <w:divsChild>
                    <w:div w:id="2005619947">
                      <w:marLeft w:val="0"/>
                      <w:marRight w:val="0"/>
                      <w:marTop w:val="0"/>
                      <w:marBottom w:val="0"/>
                      <w:divBdr>
                        <w:top w:val="none" w:sz="0" w:space="0" w:color="auto"/>
                        <w:left w:val="none" w:sz="0" w:space="0" w:color="auto"/>
                        <w:bottom w:val="none" w:sz="0" w:space="0" w:color="auto"/>
                        <w:right w:val="none" w:sz="0" w:space="0" w:color="auto"/>
                      </w:divBdr>
                      <w:divsChild>
                        <w:div w:id="672343503">
                          <w:marLeft w:val="0"/>
                          <w:marRight w:val="0"/>
                          <w:marTop w:val="0"/>
                          <w:marBottom w:val="0"/>
                          <w:divBdr>
                            <w:top w:val="none" w:sz="0" w:space="0" w:color="auto"/>
                            <w:left w:val="none" w:sz="0" w:space="0" w:color="auto"/>
                            <w:bottom w:val="none" w:sz="0" w:space="0" w:color="auto"/>
                            <w:right w:val="none" w:sz="0" w:space="0" w:color="auto"/>
                          </w:divBdr>
                          <w:divsChild>
                            <w:div w:id="13785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7973">
          <w:marLeft w:val="0"/>
          <w:marRight w:val="0"/>
          <w:marTop w:val="0"/>
          <w:marBottom w:val="0"/>
          <w:divBdr>
            <w:top w:val="none" w:sz="0" w:space="0" w:color="auto"/>
            <w:left w:val="none" w:sz="0" w:space="0" w:color="auto"/>
            <w:bottom w:val="none" w:sz="0" w:space="0" w:color="auto"/>
            <w:right w:val="none" w:sz="0" w:space="0" w:color="auto"/>
          </w:divBdr>
          <w:divsChild>
            <w:div w:id="351032256">
              <w:marLeft w:val="0"/>
              <w:marRight w:val="0"/>
              <w:marTop w:val="0"/>
              <w:marBottom w:val="0"/>
              <w:divBdr>
                <w:top w:val="none" w:sz="0" w:space="0" w:color="auto"/>
                <w:left w:val="none" w:sz="0" w:space="0" w:color="auto"/>
                <w:bottom w:val="none" w:sz="0" w:space="0" w:color="auto"/>
                <w:right w:val="none" w:sz="0" w:space="0" w:color="auto"/>
              </w:divBdr>
              <w:divsChild>
                <w:div w:id="2132939918">
                  <w:marLeft w:val="0"/>
                  <w:marRight w:val="0"/>
                  <w:marTop w:val="0"/>
                  <w:marBottom w:val="0"/>
                  <w:divBdr>
                    <w:top w:val="none" w:sz="0" w:space="0" w:color="auto"/>
                    <w:left w:val="none" w:sz="0" w:space="0" w:color="auto"/>
                    <w:bottom w:val="none" w:sz="0" w:space="0" w:color="auto"/>
                    <w:right w:val="none" w:sz="0" w:space="0" w:color="auto"/>
                  </w:divBdr>
                  <w:divsChild>
                    <w:div w:id="621770907">
                      <w:marLeft w:val="0"/>
                      <w:marRight w:val="0"/>
                      <w:marTop w:val="0"/>
                      <w:marBottom w:val="0"/>
                      <w:divBdr>
                        <w:top w:val="none" w:sz="0" w:space="0" w:color="auto"/>
                        <w:left w:val="none" w:sz="0" w:space="0" w:color="auto"/>
                        <w:bottom w:val="none" w:sz="0" w:space="0" w:color="auto"/>
                        <w:right w:val="none" w:sz="0" w:space="0" w:color="auto"/>
                      </w:divBdr>
                      <w:divsChild>
                        <w:div w:id="172039715">
                          <w:marLeft w:val="0"/>
                          <w:marRight w:val="0"/>
                          <w:marTop w:val="0"/>
                          <w:marBottom w:val="0"/>
                          <w:divBdr>
                            <w:top w:val="none" w:sz="0" w:space="0" w:color="auto"/>
                            <w:left w:val="none" w:sz="0" w:space="0" w:color="auto"/>
                            <w:bottom w:val="none" w:sz="0" w:space="0" w:color="auto"/>
                            <w:right w:val="none" w:sz="0" w:space="0" w:color="auto"/>
                          </w:divBdr>
                          <w:divsChild>
                            <w:div w:id="1012533542">
                              <w:marLeft w:val="0"/>
                              <w:marRight w:val="0"/>
                              <w:marTop w:val="0"/>
                              <w:marBottom w:val="0"/>
                              <w:divBdr>
                                <w:top w:val="none" w:sz="0" w:space="0" w:color="auto"/>
                                <w:left w:val="none" w:sz="0" w:space="0" w:color="auto"/>
                                <w:bottom w:val="none" w:sz="0" w:space="0" w:color="auto"/>
                                <w:right w:val="none" w:sz="0" w:space="0" w:color="auto"/>
                              </w:divBdr>
                              <w:divsChild>
                                <w:div w:id="9248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72654">
          <w:marLeft w:val="0"/>
          <w:marRight w:val="0"/>
          <w:marTop w:val="0"/>
          <w:marBottom w:val="0"/>
          <w:divBdr>
            <w:top w:val="none" w:sz="0" w:space="0" w:color="auto"/>
            <w:left w:val="none" w:sz="0" w:space="0" w:color="auto"/>
            <w:bottom w:val="none" w:sz="0" w:space="0" w:color="auto"/>
            <w:right w:val="none" w:sz="0" w:space="0" w:color="auto"/>
          </w:divBdr>
          <w:divsChild>
            <w:div w:id="95713639">
              <w:marLeft w:val="0"/>
              <w:marRight w:val="0"/>
              <w:marTop w:val="0"/>
              <w:marBottom w:val="0"/>
              <w:divBdr>
                <w:top w:val="none" w:sz="0" w:space="0" w:color="auto"/>
                <w:left w:val="none" w:sz="0" w:space="0" w:color="auto"/>
                <w:bottom w:val="none" w:sz="0" w:space="0" w:color="auto"/>
                <w:right w:val="none" w:sz="0" w:space="0" w:color="auto"/>
              </w:divBdr>
              <w:divsChild>
                <w:div w:id="1193543317">
                  <w:marLeft w:val="0"/>
                  <w:marRight w:val="0"/>
                  <w:marTop w:val="0"/>
                  <w:marBottom w:val="0"/>
                  <w:divBdr>
                    <w:top w:val="none" w:sz="0" w:space="0" w:color="auto"/>
                    <w:left w:val="none" w:sz="0" w:space="0" w:color="auto"/>
                    <w:bottom w:val="none" w:sz="0" w:space="0" w:color="auto"/>
                    <w:right w:val="none" w:sz="0" w:space="0" w:color="auto"/>
                  </w:divBdr>
                  <w:divsChild>
                    <w:div w:id="1305087999">
                      <w:marLeft w:val="0"/>
                      <w:marRight w:val="0"/>
                      <w:marTop w:val="0"/>
                      <w:marBottom w:val="0"/>
                      <w:divBdr>
                        <w:top w:val="none" w:sz="0" w:space="0" w:color="auto"/>
                        <w:left w:val="none" w:sz="0" w:space="0" w:color="auto"/>
                        <w:bottom w:val="none" w:sz="0" w:space="0" w:color="auto"/>
                        <w:right w:val="none" w:sz="0" w:space="0" w:color="auto"/>
                      </w:divBdr>
                      <w:divsChild>
                        <w:div w:id="1908370542">
                          <w:marLeft w:val="0"/>
                          <w:marRight w:val="0"/>
                          <w:marTop w:val="0"/>
                          <w:marBottom w:val="0"/>
                          <w:divBdr>
                            <w:top w:val="none" w:sz="0" w:space="0" w:color="auto"/>
                            <w:left w:val="none" w:sz="0" w:space="0" w:color="auto"/>
                            <w:bottom w:val="none" w:sz="0" w:space="0" w:color="auto"/>
                            <w:right w:val="none" w:sz="0" w:space="0" w:color="auto"/>
                          </w:divBdr>
                          <w:divsChild>
                            <w:div w:id="6593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827195">
      <w:bodyDiv w:val="1"/>
      <w:marLeft w:val="0"/>
      <w:marRight w:val="0"/>
      <w:marTop w:val="0"/>
      <w:marBottom w:val="0"/>
      <w:divBdr>
        <w:top w:val="none" w:sz="0" w:space="0" w:color="auto"/>
        <w:left w:val="none" w:sz="0" w:space="0" w:color="auto"/>
        <w:bottom w:val="none" w:sz="0" w:space="0" w:color="auto"/>
        <w:right w:val="none" w:sz="0" w:space="0" w:color="auto"/>
      </w:divBdr>
      <w:divsChild>
        <w:div w:id="1137146566">
          <w:marLeft w:val="0"/>
          <w:marRight w:val="0"/>
          <w:marTop w:val="0"/>
          <w:marBottom w:val="0"/>
          <w:divBdr>
            <w:top w:val="none" w:sz="0" w:space="0" w:color="auto"/>
            <w:left w:val="none" w:sz="0" w:space="0" w:color="auto"/>
            <w:bottom w:val="none" w:sz="0" w:space="0" w:color="auto"/>
            <w:right w:val="none" w:sz="0" w:space="0" w:color="auto"/>
          </w:divBdr>
          <w:divsChild>
            <w:div w:id="475150228">
              <w:marLeft w:val="0"/>
              <w:marRight w:val="0"/>
              <w:marTop w:val="0"/>
              <w:marBottom w:val="0"/>
              <w:divBdr>
                <w:top w:val="none" w:sz="0" w:space="0" w:color="auto"/>
                <w:left w:val="none" w:sz="0" w:space="0" w:color="auto"/>
                <w:bottom w:val="none" w:sz="0" w:space="0" w:color="auto"/>
                <w:right w:val="none" w:sz="0" w:space="0" w:color="auto"/>
              </w:divBdr>
              <w:divsChild>
                <w:div w:id="463236091">
                  <w:marLeft w:val="0"/>
                  <w:marRight w:val="0"/>
                  <w:marTop w:val="0"/>
                  <w:marBottom w:val="0"/>
                  <w:divBdr>
                    <w:top w:val="none" w:sz="0" w:space="0" w:color="auto"/>
                    <w:left w:val="none" w:sz="0" w:space="0" w:color="auto"/>
                    <w:bottom w:val="none" w:sz="0" w:space="0" w:color="auto"/>
                    <w:right w:val="none" w:sz="0" w:space="0" w:color="auto"/>
                  </w:divBdr>
                  <w:divsChild>
                    <w:div w:id="797383312">
                      <w:marLeft w:val="0"/>
                      <w:marRight w:val="0"/>
                      <w:marTop w:val="0"/>
                      <w:marBottom w:val="0"/>
                      <w:divBdr>
                        <w:top w:val="none" w:sz="0" w:space="0" w:color="auto"/>
                        <w:left w:val="none" w:sz="0" w:space="0" w:color="auto"/>
                        <w:bottom w:val="none" w:sz="0" w:space="0" w:color="auto"/>
                        <w:right w:val="none" w:sz="0" w:space="0" w:color="auto"/>
                      </w:divBdr>
                      <w:divsChild>
                        <w:div w:id="1325355518">
                          <w:marLeft w:val="0"/>
                          <w:marRight w:val="0"/>
                          <w:marTop w:val="0"/>
                          <w:marBottom w:val="0"/>
                          <w:divBdr>
                            <w:top w:val="none" w:sz="0" w:space="0" w:color="auto"/>
                            <w:left w:val="none" w:sz="0" w:space="0" w:color="auto"/>
                            <w:bottom w:val="none" w:sz="0" w:space="0" w:color="auto"/>
                            <w:right w:val="none" w:sz="0" w:space="0" w:color="auto"/>
                          </w:divBdr>
                          <w:divsChild>
                            <w:div w:id="146049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91732">
          <w:marLeft w:val="0"/>
          <w:marRight w:val="0"/>
          <w:marTop w:val="0"/>
          <w:marBottom w:val="0"/>
          <w:divBdr>
            <w:top w:val="none" w:sz="0" w:space="0" w:color="auto"/>
            <w:left w:val="none" w:sz="0" w:space="0" w:color="auto"/>
            <w:bottom w:val="none" w:sz="0" w:space="0" w:color="auto"/>
            <w:right w:val="none" w:sz="0" w:space="0" w:color="auto"/>
          </w:divBdr>
          <w:divsChild>
            <w:div w:id="591595313">
              <w:marLeft w:val="0"/>
              <w:marRight w:val="0"/>
              <w:marTop w:val="0"/>
              <w:marBottom w:val="0"/>
              <w:divBdr>
                <w:top w:val="none" w:sz="0" w:space="0" w:color="auto"/>
                <w:left w:val="none" w:sz="0" w:space="0" w:color="auto"/>
                <w:bottom w:val="none" w:sz="0" w:space="0" w:color="auto"/>
                <w:right w:val="none" w:sz="0" w:space="0" w:color="auto"/>
              </w:divBdr>
              <w:divsChild>
                <w:div w:id="55590544">
                  <w:marLeft w:val="0"/>
                  <w:marRight w:val="0"/>
                  <w:marTop w:val="0"/>
                  <w:marBottom w:val="0"/>
                  <w:divBdr>
                    <w:top w:val="none" w:sz="0" w:space="0" w:color="auto"/>
                    <w:left w:val="none" w:sz="0" w:space="0" w:color="auto"/>
                    <w:bottom w:val="none" w:sz="0" w:space="0" w:color="auto"/>
                    <w:right w:val="none" w:sz="0" w:space="0" w:color="auto"/>
                  </w:divBdr>
                  <w:divsChild>
                    <w:div w:id="1655639768">
                      <w:marLeft w:val="0"/>
                      <w:marRight w:val="0"/>
                      <w:marTop w:val="0"/>
                      <w:marBottom w:val="0"/>
                      <w:divBdr>
                        <w:top w:val="none" w:sz="0" w:space="0" w:color="auto"/>
                        <w:left w:val="none" w:sz="0" w:space="0" w:color="auto"/>
                        <w:bottom w:val="none" w:sz="0" w:space="0" w:color="auto"/>
                        <w:right w:val="none" w:sz="0" w:space="0" w:color="auto"/>
                      </w:divBdr>
                      <w:divsChild>
                        <w:div w:id="180170945">
                          <w:marLeft w:val="0"/>
                          <w:marRight w:val="0"/>
                          <w:marTop w:val="0"/>
                          <w:marBottom w:val="0"/>
                          <w:divBdr>
                            <w:top w:val="none" w:sz="0" w:space="0" w:color="auto"/>
                            <w:left w:val="none" w:sz="0" w:space="0" w:color="auto"/>
                            <w:bottom w:val="none" w:sz="0" w:space="0" w:color="auto"/>
                            <w:right w:val="none" w:sz="0" w:space="0" w:color="auto"/>
                          </w:divBdr>
                          <w:divsChild>
                            <w:div w:id="1770926290">
                              <w:marLeft w:val="0"/>
                              <w:marRight w:val="0"/>
                              <w:marTop w:val="0"/>
                              <w:marBottom w:val="0"/>
                              <w:divBdr>
                                <w:top w:val="none" w:sz="0" w:space="0" w:color="auto"/>
                                <w:left w:val="none" w:sz="0" w:space="0" w:color="auto"/>
                                <w:bottom w:val="none" w:sz="0" w:space="0" w:color="auto"/>
                                <w:right w:val="none" w:sz="0" w:space="0" w:color="auto"/>
                              </w:divBdr>
                              <w:divsChild>
                                <w:div w:id="7723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207467">
          <w:marLeft w:val="0"/>
          <w:marRight w:val="0"/>
          <w:marTop w:val="0"/>
          <w:marBottom w:val="0"/>
          <w:divBdr>
            <w:top w:val="none" w:sz="0" w:space="0" w:color="auto"/>
            <w:left w:val="none" w:sz="0" w:space="0" w:color="auto"/>
            <w:bottom w:val="none" w:sz="0" w:space="0" w:color="auto"/>
            <w:right w:val="none" w:sz="0" w:space="0" w:color="auto"/>
          </w:divBdr>
          <w:divsChild>
            <w:div w:id="2096125688">
              <w:marLeft w:val="0"/>
              <w:marRight w:val="0"/>
              <w:marTop w:val="0"/>
              <w:marBottom w:val="0"/>
              <w:divBdr>
                <w:top w:val="none" w:sz="0" w:space="0" w:color="auto"/>
                <w:left w:val="none" w:sz="0" w:space="0" w:color="auto"/>
                <w:bottom w:val="none" w:sz="0" w:space="0" w:color="auto"/>
                <w:right w:val="none" w:sz="0" w:space="0" w:color="auto"/>
              </w:divBdr>
              <w:divsChild>
                <w:div w:id="1020200653">
                  <w:marLeft w:val="0"/>
                  <w:marRight w:val="0"/>
                  <w:marTop w:val="0"/>
                  <w:marBottom w:val="0"/>
                  <w:divBdr>
                    <w:top w:val="none" w:sz="0" w:space="0" w:color="auto"/>
                    <w:left w:val="none" w:sz="0" w:space="0" w:color="auto"/>
                    <w:bottom w:val="none" w:sz="0" w:space="0" w:color="auto"/>
                    <w:right w:val="none" w:sz="0" w:space="0" w:color="auto"/>
                  </w:divBdr>
                  <w:divsChild>
                    <w:div w:id="1037124254">
                      <w:marLeft w:val="0"/>
                      <w:marRight w:val="0"/>
                      <w:marTop w:val="0"/>
                      <w:marBottom w:val="0"/>
                      <w:divBdr>
                        <w:top w:val="none" w:sz="0" w:space="0" w:color="auto"/>
                        <w:left w:val="none" w:sz="0" w:space="0" w:color="auto"/>
                        <w:bottom w:val="none" w:sz="0" w:space="0" w:color="auto"/>
                        <w:right w:val="none" w:sz="0" w:space="0" w:color="auto"/>
                      </w:divBdr>
                      <w:divsChild>
                        <w:div w:id="2017492899">
                          <w:marLeft w:val="0"/>
                          <w:marRight w:val="0"/>
                          <w:marTop w:val="0"/>
                          <w:marBottom w:val="0"/>
                          <w:divBdr>
                            <w:top w:val="none" w:sz="0" w:space="0" w:color="auto"/>
                            <w:left w:val="none" w:sz="0" w:space="0" w:color="auto"/>
                            <w:bottom w:val="none" w:sz="0" w:space="0" w:color="auto"/>
                            <w:right w:val="none" w:sz="0" w:space="0" w:color="auto"/>
                          </w:divBdr>
                          <w:divsChild>
                            <w:div w:id="21103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332544">
      <w:bodyDiv w:val="1"/>
      <w:marLeft w:val="0"/>
      <w:marRight w:val="0"/>
      <w:marTop w:val="0"/>
      <w:marBottom w:val="0"/>
      <w:divBdr>
        <w:top w:val="none" w:sz="0" w:space="0" w:color="auto"/>
        <w:left w:val="none" w:sz="0" w:space="0" w:color="auto"/>
        <w:bottom w:val="none" w:sz="0" w:space="0" w:color="auto"/>
        <w:right w:val="none" w:sz="0" w:space="0" w:color="auto"/>
      </w:divBdr>
      <w:divsChild>
        <w:div w:id="1968198177">
          <w:marLeft w:val="0"/>
          <w:marRight w:val="0"/>
          <w:marTop w:val="0"/>
          <w:marBottom w:val="0"/>
          <w:divBdr>
            <w:top w:val="none" w:sz="0" w:space="0" w:color="auto"/>
            <w:left w:val="none" w:sz="0" w:space="0" w:color="auto"/>
            <w:bottom w:val="none" w:sz="0" w:space="0" w:color="auto"/>
            <w:right w:val="none" w:sz="0" w:space="0" w:color="auto"/>
          </w:divBdr>
          <w:divsChild>
            <w:div w:id="7701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5940">
      <w:bodyDiv w:val="1"/>
      <w:marLeft w:val="0"/>
      <w:marRight w:val="0"/>
      <w:marTop w:val="0"/>
      <w:marBottom w:val="0"/>
      <w:divBdr>
        <w:top w:val="none" w:sz="0" w:space="0" w:color="auto"/>
        <w:left w:val="none" w:sz="0" w:space="0" w:color="auto"/>
        <w:bottom w:val="none" w:sz="0" w:space="0" w:color="auto"/>
        <w:right w:val="none" w:sz="0" w:space="0" w:color="auto"/>
      </w:divBdr>
    </w:div>
    <w:div w:id="1706372490">
      <w:bodyDiv w:val="1"/>
      <w:marLeft w:val="0"/>
      <w:marRight w:val="0"/>
      <w:marTop w:val="0"/>
      <w:marBottom w:val="0"/>
      <w:divBdr>
        <w:top w:val="none" w:sz="0" w:space="0" w:color="auto"/>
        <w:left w:val="none" w:sz="0" w:space="0" w:color="auto"/>
        <w:bottom w:val="none" w:sz="0" w:space="0" w:color="auto"/>
        <w:right w:val="none" w:sz="0" w:space="0" w:color="auto"/>
      </w:divBdr>
    </w:div>
    <w:div w:id="1735858297">
      <w:bodyDiv w:val="1"/>
      <w:marLeft w:val="0"/>
      <w:marRight w:val="0"/>
      <w:marTop w:val="0"/>
      <w:marBottom w:val="0"/>
      <w:divBdr>
        <w:top w:val="none" w:sz="0" w:space="0" w:color="auto"/>
        <w:left w:val="none" w:sz="0" w:space="0" w:color="auto"/>
        <w:bottom w:val="none" w:sz="0" w:space="0" w:color="auto"/>
        <w:right w:val="none" w:sz="0" w:space="0" w:color="auto"/>
      </w:divBdr>
    </w:div>
    <w:div w:id="1762288800">
      <w:bodyDiv w:val="1"/>
      <w:marLeft w:val="0"/>
      <w:marRight w:val="0"/>
      <w:marTop w:val="0"/>
      <w:marBottom w:val="0"/>
      <w:divBdr>
        <w:top w:val="none" w:sz="0" w:space="0" w:color="auto"/>
        <w:left w:val="none" w:sz="0" w:space="0" w:color="auto"/>
        <w:bottom w:val="none" w:sz="0" w:space="0" w:color="auto"/>
        <w:right w:val="none" w:sz="0" w:space="0" w:color="auto"/>
      </w:divBdr>
    </w:div>
    <w:div w:id="1826703239">
      <w:bodyDiv w:val="1"/>
      <w:marLeft w:val="0"/>
      <w:marRight w:val="0"/>
      <w:marTop w:val="0"/>
      <w:marBottom w:val="0"/>
      <w:divBdr>
        <w:top w:val="none" w:sz="0" w:space="0" w:color="auto"/>
        <w:left w:val="none" w:sz="0" w:space="0" w:color="auto"/>
        <w:bottom w:val="none" w:sz="0" w:space="0" w:color="auto"/>
        <w:right w:val="none" w:sz="0" w:space="0" w:color="auto"/>
      </w:divBdr>
    </w:div>
    <w:div w:id="1848209265">
      <w:bodyDiv w:val="1"/>
      <w:marLeft w:val="0"/>
      <w:marRight w:val="0"/>
      <w:marTop w:val="0"/>
      <w:marBottom w:val="0"/>
      <w:divBdr>
        <w:top w:val="none" w:sz="0" w:space="0" w:color="auto"/>
        <w:left w:val="none" w:sz="0" w:space="0" w:color="auto"/>
        <w:bottom w:val="none" w:sz="0" w:space="0" w:color="auto"/>
        <w:right w:val="none" w:sz="0" w:space="0" w:color="auto"/>
      </w:divBdr>
    </w:div>
    <w:div w:id="1867450181">
      <w:bodyDiv w:val="1"/>
      <w:marLeft w:val="0"/>
      <w:marRight w:val="0"/>
      <w:marTop w:val="0"/>
      <w:marBottom w:val="0"/>
      <w:divBdr>
        <w:top w:val="none" w:sz="0" w:space="0" w:color="auto"/>
        <w:left w:val="none" w:sz="0" w:space="0" w:color="auto"/>
        <w:bottom w:val="none" w:sz="0" w:space="0" w:color="auto"/>
        <w:right w:val="none" w:sz="0" w:space="0" w:color="auto"/>
      </w:divBdr>
      <w:divsChild>
        <w:div w:id="1785611800">
          <w:marLeft w:val="0"/>
          <w:marRight w:val="0"/>
          <w:marTop w:val="0"/>
          <w:marBottom w:val="0"/>
          <w:divBdr>
            <w:top w:val="none" w:sz="0" w:space="0" w:color="auto"/>
            <w:left w:val="none" w:sz="0" w:space="0" w:color="auto"/>
            <w:bottom w:val="none" w:sz="0" w:space="0" w:color="auto"/>
            <w:right w:val="none" w:sz="0" w:space="0" w:color="auto"/>
          </w:divBdr>
          <w:divsChild>
            <w:div w:id="19201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1460">
      <w:bodyDiv w:val="1"/>
      <w:marLeft w:val="0"/>
      <w:marRight w:val="0"/>
      <w:marTop w:val="0"/>
      <w:marBottom w:val="0"/>
      <w:divBdr>
        <w:top w:val="none" w:sz="0" w:space="0" w:color="auto"/>
        <w:left w:val="none" w:sz="0" w:space="0" w:color="auto"/>
        <w:bottom w:val="none" w:sz="0" w:space="0" w:color="auto"/>
        <w:right w:val="none" w:sz="0" w:space="0" w:color="auto"/>
      </w:divBdr>
    </w:div>
    <w:div w:id="1926650274">
      <w:bodyDiv w:val="1"/>
      <w:marLeft w:val="0"/>
      <w:marRight w:val="0"/>
      <w:marTop w:val="0"/>
      <w:marBottom w:val="0"/>
      <w:divBdr>
        <w:top w:val="none" w:sz="0" w:space="0" w:color="auto"/>
        <w:left w:val="none" w:sz="0" w:space="0" w:color="auto"/>
        <w:bottom w:val="none" w:sz="0" w:space="0" w:color="auto"/>
        <w:right w:val="none" w:sz="0" w:space="0" w:color="auto"/>
      </w:divBdr>
      <w:divsChild>
        <w:div w:id="1960185817">
          <w:marLeft w:val="0"/>
          <w:marRight w:val="0"/>
          <w:marTop w:val="0"/>
          <w:marBottom w:val="0"/>
          <w:divBdr>
            <w:top w:val="none" w:sz="0" w:space="0" w:color="auto"/>
            <w:left w:val="none" w:sz="0" w:space="0" w:color="auto"/>
            <w:bottom w:val="none" w:sz="0" w:space="0" w:color="auto"/>
            <w:right w:val="none" w:sz="0" w:space="0" w:color="auto"/>
          </w:divBdr>
          <w:divsChild>
            <w:div w:id="18285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8350">
      <w:bodyDiv w:val="1"/>
      <w:marLeft w:val="0"/>
      <w:marRight w:val="0"/>
      <w:marTop w:val="0"/>
      <w:marBottom w:val="0"/>
      <w:divBdr>
        <w:top w:val="none" w:sz="0" w:space="0" w:color="auto"/>
        <w:left w:val="none" w:sz="0" w:space="0" w:color="auto"/>
        <w:bottom w:val="none" w:sz="0" w:space="0" w:color="auto"/>
        <w:right w:val="none" w:sz="0" w:space="0" w:color="auto"/>
      </w:divBdr>
    </w:div>
    <w:div w:id="1969315415">
      <w:bodyDiv w:val="1"/>
      <w:marLeft w:val="0"/>
      <w:marRight w:val="0"/>
      <w:marTop w:val="0"/>
      <w:marBottom w:val="0"/>
      <w:divBdr>
        <w:top w:val="none" w:sz="0" w:space="0" w:color="auto"/>
        <w:left w:val="none" w:sz="0" w:space="0" w:color="auto"/>
        <w:bottom w:val="none" w:sz="0" w:space="0" w:color="auto"/>
        <w:right w:val="none" w:sz="0" w:space="0" w:color="auto"/>
      </w:divBdr>
    </w:div>
    <w:div w:id="2008820361">
      <w:bodyDiv w:val="1"/>
      <w:marLeft w:val="0"/>
      <w:marRight w:val="0"/>
      <w:marTop w:val="0"/>
      <w:marBottom w:val="0"/>
      <w:divBdr>
        <w:top w:val="none" w:sz="0" w:space="0" w:color="auto"/>
        <w:left w:val="none" w:sz="0" w:space="0" w:color="auto"/>
        <w:bottom w:val="none" w:sz="0" w:space="0" w:color="auto"/>
        <w:right w:val="none" w:sz="0" w:space="0" w:color="auto"/>
      </w:divBdr>
    </w:div>
    <w:div w:id="2015953236">
      <w:bodyDiv w:val="1"/>
      <w:marLeft w:val="0"/>
      <w:marRight w:val="0"/>
      <w:marTop w:val="0"/>
      <w:marBottom w:val="0"/>
      <w:divBdr>
        <w:top w:val="none" w:sz="0" w:space="0" w:color="auto"/>
        <w:left w:val="none" w:sz="0" w:space="0" w:color="auto"/>
        <w:bottom w:val="none" w:sz="0" w:space="0" w:color="auto"/>
        <w:right w:val="none" w:sz="0" w:space="0" w:color="auto"/>
      </w:divBdr>
    </w:div>
    <w:div w:id="2102288558">
      <w:bodyDiv w:val="1"/>
      <w:marLeft w:val="0"/>
      <w:marRight w:val="0"/>
      <w:marTop w:val="0"/>
      <w:marBottom w:val="0"/>
      <w:divBdr>
        <w:top w:val="none" w:sz="0" w:space="0" w:color="auto"/>
        <w:left w:val="none" w:sz="0" w:space="0" w:color="auto"/>
        <w:bottom w:val="none" w:sz="0" w:space="0" w:color="auto"/>
        <w:right w:val="none" w:sz="0" w:space="0" w:color="auto"/>
      </w:divBdr>
    </w:div>
    <w:div w:id="2129737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111/j.1540-6261.2005.00727.x"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doi.org/10.1177/014920639101700108"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lo.org/yangon/information-resources/public-information/WCMS_749201/lang--en/index.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07/s11187-006-9002-5"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ilo.org/global/topics/skills/projects/WCMS_756047/langen/index.htm" TargetMode="External"/><Relationship Id="rId23" Type="http://schemas.openxmlformats.org/officeDocument/2006/relationships/fontTable" Target="fontTable.xml"/><Relationship Id="rId10" Type="http://schemas.openxmlformats.org/officeDocument/2006/relationships/hyperlink" Target="https://doi.org/10.5539/ijbm.v5n12p196"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dr.theingimyint@yau.edu.mm" TargetMode="External"/><Relationship Id="rId14" Type="http://schemas.openxmlformats.org/officeDocument/2006/relationships/hyperlink" Target="https://doi.org/10.1177/0269094217712274"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SjbnUXivh++FsavGaIjYK9vFEQ==">CgMxLjA4AHIhMTJ0Z2F1WmZDMFpJSFFNYXp1NlVjQ1hkQWpHUlRZa2VO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44C3AF-1797-44F9-A123-3F701F4F1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5145</Words>
  <Characters>29328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MacAulay</dc:creator>
  <cp:lastModifiedBy>SDI 1180</cp:lastModifiedBy>
  <cp:revision>34</cp:revision>
  <cp:lastPrinted>2025-07-30T05:31:00Z</cp:lastPrinted>
  <dcterms:created xsi:type="dcterms:W3CDTF">2025-10-29T07:50:00Z</dcterms:created>
  <dcterms:modified xsi:type="dcterms:W3CDTF">2025-10-30T07:58:00Z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2e3c88c0d05a14c713de58c70b0c948e86c2b762311dd06698a9bceadb88aff9</vt:lpwstr>
  </property>
</Properties>
</file>