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2A1F" w14:textId="7ACA9ADC" w:rsidR="005D741B" w:rsidRDefault="005D741B">
      <w:pPr>
        <w:pStyle w:val="Heading1"/>
        <w:spacing w:line="360" w:lineRule="auto"/>
        <w:jc w:val="center"/>
        <w:rPr>
          <w:rFonts w:cs="Arial"/>
          <w:bCs/>
          <w:iCs/>
          <w:sz w:val="36"/>
        </w:rPr>
      </w:pPr>
      <w:r w:rsidRPr="005D741B">
        <w:rPr>
          <w:rFonts w:cs="Arial"/>
          <w:bCs/>
          <w:i/>
          <w:iCs/>
          <w:sz w:val="36"/>
          <w:u w:val="single"/>
        </w:rPr>
        <w:t>Original Research Article</w:t>
      </w:r>
    </w:p>
    <w:p w14:paraId="072E35AA" w14:textId="15266213" w:rsidR="000F7AD3" w:rsidRDefault="00AD2271">
      <w:pPr>
        <w:pStyle w:val="Heading1"/>
        <w:spacing w:line="360" w:lineRule="auto"/>
        <w:jc w:val="center"/>
        <w:rPr>
          <w:rFonts w:cs="Arial"/>
          <w:bCs/>
          <w:iCs/>
          <w:sz w:val="36"/>
        </w:rPr>
      </w:pPr>
      <w:proofErr w:type="spellStart"/>
      <w:r>
        <w:rPr>
          <w:rFonts w:cs="Arial"/>
          <w:bCs/>
          <w:iCs/>
          <w:sz w:val="36"/>
        </w:rPr>
        <w:t>Faecal</w:t>
      </w:r>
      <w:proofErr w:type="spellEnd"/>
      <w:r>
        <w:rPr>
          <w:rFonts w:cs="Arial"/>
          <w:bCs/>
          <w:iCs/>
          <w:sz w:val="36"/>
        </w:rPr>
        <w:t xml:space="preserve"> Egg Count of Gastrointestinal Parasites in Broilers in Maseru District, Lesotho</w:t>
      </w:r>
    </w:p>
    <w:p w14:paraId="44ED8074" w14:textId="0987CA3C" w:rsidR="000F7AD3" w:rsidRDefault="000F7AD3">
      <w:pPr>
        <w:pStyle w:val="Affiliation"/>
        <w:spacing w:after="0" w:line="240" w:lineRule="auto"/>
        <w:jc w:val="both"/>
        <w:rPr>
          <w:rFonts w:ascii="Arial" w:hAnsi="Arial" w:cs="Arial"/>
        </w:rPr>
      </w:pPr>
    </w:p>
    <w:p w14:paraId="39661A64" w14:textId="77777777" w:rsidR="00D847C1" w:rsidRDefault="00D847C1">
      <w:pPr>
        <w:pStyle w:val="Affiliation"/>
        <w:spacing w:after="0" w:line="240" w:lineRule="auto"/>
        <w:jc w:val="both"/>
        <w:rPr>
          <w:rFonts w:ascii="Arial" w:hAnsi="Arial" w:cs="Arial"/>
        </w:rPr>
      </w:pPr>
    </w:p>
    <w:p w14:paraId="2F279D5A" w14:textId="77777777" w:rsidR="000F7AD3" w:rsidRDefault="000F7AD3">
      <w:pPr>
        <w:pStyle w:val="Affiliation"/>
        <w:spacing w:after="0" w:line="240" w:lineRule="auto"/>
        <w:jc w:val="both"/>
        <w:rPr>
          <w:rFonts w:ascii="Arial" w:hAnsi="Arial" w:cs="Arial"/>
        </w:rPr>
      </w:pPr>
    </w:p>
    <w:p w14:paraId="78C7AB33" w14:textId="77777777" w:rsidR="000F7AD3" w:rsidRDefault="00AD2271">
      <w:pPr>
        <w:pStyle w:val="Copyright"/>
        <w:spacing w:after="0" w:line="240" w:lineRule="auto"/>
        <w:jc w:val="both"/>
        <w:rPr>
          <w:rFonts w:ascii="Arial" w:hAnsi="Arial" w:cs="Arial"/>
        </w:rPr>
        <w:sectPr w:rsidR="000F7AD3" w:rsidSect="00D847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1113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4520B0">
        <w:rPr>
          <w:rFonts w:ascii="Arial" w:hAnsi="Arial" w:cs="Arial"/>
        </w:rPr>
        <w:t>.</w:t>
      </w:r>
    </w:p>
    <w:p w14:paraId="482B0B55" w14:textId="77777777" w:rsidR="000F7AD3" w:rsidRDefault="00AD2271">
      <w:pPr>
        <w:pStyle w:val="AbstHead"/>
        <w:spacing w:after="0"/>
        <w:jc w:val="both"/>
        <w:rPr>
          <w:rFonts w:ascii="Arial" w:hAnsi="Arial" w:cs="Arial"/>
        </w:rPr>
      </w:pPr>
      <w:r>
        <w:rPr>
          <w:rFonts w:ascii="Arial" w:hAnsi="Arial" w:cs="Arial"/>
        </w:rPr>
        <w:t>ABSTRACT</w:t>
      </w:r>
    </w:p>
    <w:p w14:paraId="15F75AE9" w14:textId="77777777" w:rsidR="000F7AD3" w:rsidRDefault="000F7A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F7AD3" w14:paraId="7221E5E2" w14:textId="77777777">
        <w:tc>
          <w:tcPr>
            <w:tcW w:w="9576" w:type="dxa"/>
            <w:shd w:val="clear" w:color="auto" w:fill="F2F2F2"/>
          </w:tcPr>
          <w:p w14:paraId="4E085BE5" w14:textId="77777777" w:rsidR="000F7AD3" w:rsidRDefault="00AD2271">
            <w:pPr>
              <w:pStyle w:val="Body"/>
              <w:rPr>
                <w:rFonts w:ascii="Arial" w:eastAsia="Calibri" w:hAnsi="Arial" w:cs="Arial"/>
                <w:szCs w:val="22"/>
              </w:rPr>
            </w:pPr>
            <w:r>
              <w:rPr>
                <w:rFonts w:ascii="Arial" w:eastAsia="Calibri" w:hAnsi="Arial" w:cs="Arial"/>
                <w:szCs w:val="22"/>
              </w:rPr>
              <w:t>Parasitic diseases were among the major constraints of poultry production. The common internal parasitic infections occur in poultry include gastrointest</w:t>
            </w:r>
            <w:r>
              <w:rPr>
                <w:rFonts w:ascii="Arial" w:eastAsia="Calibri" w:hAnsi="Arial" w:cs="Arial"/>
                <w:szCs w:val="22"/>
              </w:rPr>
              <w:t xml:space="preserve">inal </w:t>
            </w:r>
            <w:proofErr w:type="spellStart"/>
            <w:r>
              <w:rPr>
                <w:rFonts w:ascii="Arial" w:eastAsia="Calibri" w:hAnsi="Arial" w:cs="Arial"/>
                <w:szCs w:val="22"/>
              </w:rPr>
              <w:t>helminthes</w:t>
            </w:r>
            <w:proofErr w:type="spellEnd"/>
            <w:r>
              <w:rPr>
                <w:rFonts w:ascii="Arial" w:eastAsia="Calibri" w:hAnsi="Arial" w:cs="Arial"/>
                <w:szCs w:val="22"/>
              </w:rPr>
              <w:t xml:space="preserve"> (Cestodes and nematodes) and </w:t>
            </w:r>
            <w:proofErr w:type="spellStart"/>
            <w:r>
              <w:rPr>
                <w:rFonts w:ascii="Arial" w:eastAsia="Calibri" w:hAnsi="Arial" w:cs="Arial"/>
                <w:i/>
                <w:szCs w:val="22"/>
              </w:rPr>
              <w:t>Emmeria</w:t>
            </w:r>
            <w:proofErr w:type="spellEnd"/>
            <w:r>
              <w:rPr>
                <w:rFonts w:ascii="Arial" w:eastAsia="Calibri" w:hAnsi="Arial" w:cs="Arial"/>
                <w:szCs w:val="22"/>
              </w:rPr>
              <w:t xml:space="preserve"> species. The majority of which causes pathological damage to the host. Diagnosis of gastrointestinal parasites was done by Floatation Techniques for </w:t>
            </w:r>
            <w:proofErr w:type="spellStart"/>
            <w:r>
              <w:rPr>
                <w:rFonts w:ascii="Arial" w:eastAsia="Calibri" w:hAnsi="Arial" w:cs="Arial"/>
                <w:szCs w:val="22"/>
              </w:rPr>
              <w:t>faecal</w:t>
            </w:r>
            <w:proofErr w:type="spellEnd"/>
            <w:r>
              <w:rPr>
                <w:rFonts w:ascii="Arial" w:eastAsia="Calibri" w:hAnsi="Arial" w:cs="Arial"/>
                <w:szCs w:val="22"/>
              </w:rPr>
              <w:t xml:space="preserve"> samples, but for confirmation postmortem examin</w:t>
            </w:r>
            <w:r>
              <w:rPr>
                <w:rFonts w:ascii="Arial" w:eastAsia="Calibri" w:hAnsi="Arial" w:cs="Arial"/>
                <w:szCs w:val="22"/>
              </w:rPr>
              <w:t xml:space="preserve">ation must be done with pathological lesions. Helminthiasis infestations result in metabolism and coccidiosis induced by </w:t>
            </w:r>
            <w:proofErr w:type="spellStart"/>
            <w:r>
              <w:rPr>
                <w:rFonts w:ascii="Arial" w:eastAsia="Calibri" w:hAnsi="Arial" w:cs="Arial"/>
                <w:i/>
                <w:szCs w:val="22"/>
              </w:rPr>
              <w:t>Emmeria</w:t>
            </w:r>
            <w:proofErr w:type="spellEnd"/>
            <w:r>
              <w:rPr>
                <w:rFonts w:ascii="Arial" w:eastAsia="Calibri" w:hAnsi="Arial" w:cs="Arial"/>
                <w:i/>
                <w:szCs w:val="22"/>
              </w:rPr>
              <w:t xml:space="preserve"> </w:t>
            </w:r>
            <w:r>
              <w:rPr>
                <w:rFonts w:ascii="Arial" w:eastAsia="Calibri" w:hAnsi="Arial" w:cs="Arial"/>
                <w:szCs w:val="22"/>
              </w:rPr>
              <w:t>species infection was the most important parasitic disease of poultry leading to greater economic losses such as morbidity, mor</w:t>
            </w:r>
            <w:r>
              <w:rPr>
                <w:rFonts w:ascii="Arial" w:eastAsia="Calibri" w:hAnsi="Arial" w:cs="Arial"/>
                <w:szCs w:val="22"/>
              </w:rPr>
              <w:t xml:space="preserve">tality, reduced body weight and expenses related to preventive control or vaccinations. Epidemiology of chicken gastrointestinal </w:t>
            </w:r>
            <w:proofErr w:type="spellStart"/>
            <w:r>
              <w:rPr>
                <w:rFonts w:ascii="Arial" w:eastAsia="Calibri" w:hAnsi="Arial" w:cs="Arial"/>
                <w:szCs w:val="22"/>
              </w:rPr>
              <w:t>helmenths</w:t>
            </w:r>
            <w:proofErr w:type="spellEnd"/>
            <w:r>
              <w:rPr>
                <w:rFonts w:ascii="Arial" w:eastAsia="Calibri" w:hAnsi="Arial" w:cs="Arial"/>
                <w:szCs w:val="22"/>
              </w:rPr>
              <w:t xml:space="preserve"> were studied using flotation examination, with the objectives to estimate the prevalence in two </w:t>
            </w:r>
            <w:proofErr w:type="spellStart"/>
            <w:r>
              <w:rPr>
                <w:rFonts w:ascii="Arial" w:eastAsia="Calibri" w:hAnsi="Arial" w:cs="Arial"/>
                <w:szCs w:val="22"/>
              </w:rPr>
              <w:t>agro</w:t>
            </w:r>
            <w:proofErr w:type="spellEnd"/>
            <w:r>
              <w:rPr>
                <w:rFonts w:ascii="Arial" w:eastAsia="Calibri" w:hAnsi="Arial" w:cs="Arial"/>
                <w:szCs w:val="22"/>
              </w:rPr>
              <w:t>-ecological zones</w:t>
            </w:r>
            <w:r>
              <w:rPr>
                <w:rFonts w:ascii="Arial" w:eastAsia="Calibri" w:hAnsi="Arial" w:cs="Arial"/>
                <w:szCs w:val="22"/>
              </w:rPr>
              <w:t>. Fecal samples from selected chicken were collected, floatation examination on 100 samples were conducted. The higher prevalence of gastrointestinal parasites was recorded in semi- urban with an estimated marginal mean of 1019.8 than chicken in urban area</w:t>
            </w:r>
            <w:r>
              <w:rPr>
                <w:rFonts w:ascii="Arial" w:eastAsia="Calibri" w:hAnsi="Arial" w:cs="Arial"/>
                <w:szCs w:val="22"/>
              </w:rPr>
              <w:t xml:space="preserve"> with an estimated marginal mean of 299.60. The prevalence of coccidia was significantly different (P˂0.05) between the two </w:t>
            </w:r>
            <w:proofErr w:type="spellStart"/>
            <w:r>
              <w:rPr>
                <w:rFonts w:ascii="Arial" w:eastAsia="Calibri" w:hAnsi="Arial" w:cs="Arial"/>
                <w:szCs w:val="22"/>
              </w:rPr>
              <w:t>agro</w:t>
            </w:r>
            <w:proofErr w:type="spellEnd"/>
            <w:r>
              <w:rPr>
                <w:rFonts w:ascii="Arial" w:eastAsia="Calibri" w:hAnsi="Arial" w:cs="Arial"/>
                <w:szCs w:val="22"/>
              </w:rPr>
              <w:t>-ecological zones. Therefore, some gastrointestinal require an intermediary host.</w:t>
            </w:r>
          </w:p>
        </w:tc>
      </w:tr>
    </w:tbl>
    <w:p w14:paraId="5802D639" w14:textId="77777777" w:rsidR="000F7AD3" w:rsidRDefault="000F7AD3">
      <w:pPr>
        <w:pStyle w:val="Body"/>
        <w:spacing w:after="0"/>
        <w:rPr>
          <w:rFonts w:ascii="Arial" w:hAnsi="Arial" w:cs="Arial"/>
          <w:i/>
        </w:rPr>
      </w:pPr>
    </w:p>
    <w:p w14:paraId="1848CC3D" w14:textId="77777777" w:rsidR="000F7AD3" w:rsidRDefault="00AD2271">
      <w:pPr>
        <w:pStyle w:val="Body"/>
        <w:spacing w:after="0"/>
        <w:rPr>
          <w:rFonts w:ascii="Arial" w:hAnsi="Arial" w:cs="Arial"/>
          <w:i/>
        </w:rPr>
      </w:pPr>
      <w:r>
        <w:rPr>
          <w:rFonts w:ascii="Arial" w:hAnsi="Arial" w:cs="Arial"/>
          <w:i/>
        </w:rPr>
        <w:t xml:space="preserve">Keywords: Gastrointestinal, chickens, Nematodes, Cestodes, </w:t>
      </w:r>
      <w:proofErr w:type="spellStart"/>
      <w:r>
        <w:rPr>
          <w:rFonts w:ascii="Arial" w:hAnsi="Arial" w:cs="Arial"/>
          <w:i/>
        </w:rPr>
        <w:t>Emmeria</w:t>
      </w:r>
      <w:proofErr w:type="spellEnd"/>
      <w:r>
        <w:rPr>
          <w:rFonts w:ascii="Arial" w:hAnsi="Arial" w:cs="Arial"/>
          <w:i/>
        </w:rPr>
        <w:t xml:space="preserve"> species </w:t>
      </w:r>
    </w:p>
    <w:p w14:paraId="6CC47877" w14:textId="77777777" w:rsidR="000F7AD3" w:rsidRDefault="000F7AD3">
      <w:pPr>
        <w:pStyle w:val="Body"/>
        <w:spacing w:after="0"/>
        <w:rPr>
          <w:rFonts w:ascii="Arial" w:hAnsi="Arial" w:cs="Arial"/>
          <w:i/>
        </w:rPr>
      </w:pPr>
    </w:p>
    <w:p w14:paraId="076B9E7D" w14:textId="77777777" w:rsidR="000F7AD3" w:rsidRDefault="00AD2271">
      <w:pPr>
        <w:pStyle w:val="AbstHead"/>
        <w:spacing w:after="0"/>
        <w:jc w:val="both"/>
        <w:rPr>
          <w:rFonts w:ascii="Arial" w:hAnsi="Arial" w:cs="Arial"/>
        </w:rPr>
      </w:pPr>
      <w:r>
        <w:rPr>
          <w:rFonts w:ascii="Arial" w:hAnsi="Arial" w:cs="Arial"/>
        </w:rPr>
        <w:t xml:space="preserve">1. INTRODUCTION </w:t>
      </w:r>
    </w:p>
    <w:p w14:paraId="76D59E28" w14:textId="77777777" w:rsidR="000F7AD3" w:rsidRDefault="000F7AD3">
      <w:pPr>
        <w:pStyle w:val="AbstHead"/>
        <w:spacing w:after="0"/>
        <w:jc w:val="both"/>
        <w:rPr>
          <w:rFonts w:ascii="Arial" w:hAnsi="Arial" w:cs="Arial"/>
        </w:rPr>
      </w:pPr>
    </w:p>
    <w:p w14:paraId="4B1AD1EB" w14:textId="77777777" w:rsidR="000F7AD3" w:rsidRDefault="00AD2271">
      <w:pPr>
        <w:pStyle w:val="Body"/>
        <w:spacing w:after="0"/>
        <w:rPr>
          <w:rFonts w:ascii="Arial" w:hAnsi="Arial" w:cs="Arial"/>
        </w:rPr>
      </w:pPr>
      <w:r>
        <w:rPr>
          <w:rFonts w:ascii="Arial" w:hAnsi="Arial" w:cs="Arial"/>
        </w:rPr>
        <w:t>Most broiler poultry farmers in Lesotho face significant challenges related to poor performance indicators, such as slow growth rates, lower carcass yields, incr</w:t>
      </w:r>
      <w:r>
        <w:rPr>
          <w:rFonts w:ascii="Arial" w:hAnsi="Arial" w:cs="Arial"/>
        </w:rPr>
        <w:t>eased mortality rates, and a higher incidence of diseases. These issues are believed to stem from a greater infestation of gastrointestinal parasites. However, slower-growing breeds achieve this weight at approximately 14 weeks (</w:t>
      </w:r>
      <w:proofErr w:type="spellStart"/>
      <w:r>
        <w:rPr>
          <w:rFonts w:ascii="Arial" w:hAnsi="Arial" w:cs="Arial"/>
        </w:rPr>
        <w:t>Bessei</w:t>
      </w:r>
      <w:proofErr w:type="spellEnd"/>
      <w:r>
        <w:rPr>
          <w:rFonts w:ascii="Arial" w:hAnsi="Arial" w:cs="Arial"/>
        </w:rPr>
        <w:t xml:space="preserve"> et al., 2006). Furth</w:t>
      </w:r>
      <w:r>
        <w:rPr>
          <w:rFonts w:ascii="Arial" w:hAnsi="Arial" w:cs="Arial"/>
        </w:rPr>
        <w:t>ermore, Islam et al. (2015) noted that the broiler industry is one of the most profitable sectors within agriculture. Gastrointestinal parasites significantly detriment broiler production, particularly in environments where animal welfare is compromised (A</w:t>
      </w:r>
      <w:r>
        <w:rPr>
          <w:rFonts w:ascii="Arial" w:hAnsi="Arial" w:cs="Arial"/>
        </w:rPr>
        <w:t>hmed, 2018). Helminth infections are linked to various health issues in poultry, including diarrhea, intestinal obstruction, anorexia, anemia, weakness, paralysis, and suboptimal feather development (Ola-</w:t>
      </w:r>
      <w:proofErr w:type="spellStart"/>
      <w:r>
        <w:rPr>
          <w:rFonts w:ascii="Arial" w:hAnsi="Arial" w:cs="Arial"/>
        </w:rPr>
        <w:t>Fadunsin</w:t>
      </w:r>
      <w:proofErr w:type="spellEnd"/>
      <w:r>
        <w:rPr>
          <w:rFonts w:ascii="Arial" w:hAnsi="Arial" w:cs="Arial"/>
        </w:rPr>
        <w:t xml:space="preserve"> et al., 2017). Among helminths, nematodes r</w:t>
      </w:r>
      <w:r>
        <w:rPr>
          <w:rFonts w:ascii="Arial" w:hAnsi="Arial" w:cs="Arial"/>
        </w:rPr>
        <w:t>epresent a particularly impactful group affecting broilers (Katoch et al., 2015). Common nematode species identified in this context include </w:t>
      </w:r>
      <w:proofErr w:type="spellStart"/>
      <w:r>
        <w:rPr>
          <w:rFonts w:ascii="Arial" w:hAnsi="Arial" w:cs="Arial"/>
          <w:i/>
          <w:iCs/>
        </w:rPr>
        <w:t>Heterakis</w:t>
      </w:r>
      <w:proofErr w:type="spellEnd"/>
      <w:r>
        <w:rPr>
          <w:rFonts w:ascii="Arial" w:hAnsi="Arial" w:cs="Arial"/>
          <w:i/>
          <w:iCs/>
        </w:rPr>
        <w:t xml:space="preserve"> </w:t>
      </w:r>
      <w:proofErr w:type="spellStart"/>
      <w:r>
        <w:rPr>
          <w:rFonts w:ascii="Arial" w:hAnsi="Arial" w:cs="Arial"/>
          <w:i/>
          <w:iCs/>
        </w:rPr>
        <w:t>gallinarum</w:t>
      </w:r>
      <w:proofErr w:type="spellEnd"/>
      <w:r>
        <w:rPr>
          <w:rFonts w:ascii="Arial" w:hAnsi="Arial" w:cs="Arial"/>
        </w:rPr>
        <w:t> and </w:t>
      </w:r>
      <w:proofErr w:type="spellStart"/>
      <w:r>
        <w:rPr>
          <w:rFonts w:ascii="Arial" w:hAnsi="Arial" w:cs="Arial"/>
          <w:i/>
          <w:iCs/>
        </w:rPr>
        <w:t>Subulura</w:t>
      </w:r>
      <w:proofErr w:type="spellEnd"/>
      <w:r>
        <w:rPr>
          <w:rFonts w:ascii="Arial" w:hAnsi="Arial" w:cs="Arial"/>
          <w:i/>
          <w:iCs/>
        </w:rPr>
        <w:t xml:space="preserve"> </w:t>
      </w:r>
      <w:proofErr w:type="spellStart"/>
      <w:r>
        <w:rPr>
          <w:rFonts w:ascii="Arial" w:hAnsi="Arial" w:cs="Arial"/>
          <w:i/>
          <w:iCs/>
        </w:rPr>
        <w:t>suctoria</w:t>
      </w:r>
      <w:proofErr w:type="spellEnd"/>
      <w:r>
        <w:rPr>
          <w:rFonts w:ascii="Arial" w:hAnsi="Arial" w:cs="Arial"/>
        </w:rPr>
        <w:t xml:space="preserve"> (Aman et al., 2013). These nematodes possess a direct life cycle; the </w:t>
      </w:r>
      <w:r>
        <w:rPr>
          <w:rFonts w:ascii="Arial" w:hAnsi="Arial" w:cs="Arial"/>
        </w:rPr>
        <w:t>infective L2 larvae develop within their eggs over a period of 1 to 10 weeks, with the duration being heavily influenced by ambient temperature (Junquera et al., 2018). Coccidiosis significantly impacts the poultry industry, leading to substantial economic</w:t>
      </w:r>
      <w:r>
        <w:rPr>
          <w:rFonts w:ascii="Arial" w:hAnsi="Arial" w:cs="Arial"/>
        </w:rPr>
        <w:t xml:space="preserve"> losses characterized by reduced growth rates and increased mortality rates (Rushton et al., 2018). The predominant species involved include </w:t>
      </w:r>
      <w:r>
        <w:rPr>
          <w:rFonts w:ascii="Arial" w:hAnsi="Arial" w:cs="Arial"/>
          <w:i/>
          <w:iCs/>
        </w:rPr>
        <w:t xml:space="preserve">Eimeria </w:t>
      </w:r>
      <w:proofErr w:type="spellStart"/>
      <w:r>
        <w:rPr>
          <w:rFonts w:ascii="Arial" w:hAnsi="Arial" w:cs="Arial"/>
          <w:i/>
          <w:iCs/>
        </w:rPr>
        <w:t>tenella</w:t>
      </w:r>
      <w:proofErr w:type="spellEnd"/>
      <w:r>
        <w:rPr>
          <w:rFonts w:ascii="Arial" w:hAnsi="Arial" w:cs="Arial"/>
        </w:rPr>
        <w:t>, which is responsible for cecal coccidiosis, while </w:t>
      </w:r>
      <w:r>
        <w:rPr>
          <w:rFonts w:ascii="Arial" w:hAnsi="Arial" w:cs="Arial"/>
          <w:i/>
          <w:iCs/>
        </w:rPr>
        <w:t xml:space="preserve">E. </w:t>
      </w:r>
      <w:proofErr w:type="spellStart"/>
      <w:r>
        <w:rPr>
          <w:rFonts w:ascii="Arial" w:hAnsi="Arial" w:cs="Arial"/>
          <w:i/>
          <w:iCs/>
        </w:rPr>
        <w:t>acervulina</w:t>
      </w:r>
      <w:proofErr w:type="spellEnd"/>
      <w:r>
        <w:rPr>
          <w:rFonts w:ascii="Arial" w:hAnsi="Arial" w:cs="Arial"/>
        </w:rPr>
        <w:t> and </w:t>
      </w:r>
      <w:r>
        <w:rPr>
          <w:rFonts w:ascii="Arial" w:hAnsi="Arial" w:cs="Arial"/>
          <w:i/>
          <w:iCs/>
        </w:rPr>
        <w:t>E. maxima</w:t>
      </w:r>
      <w:r>
        <w:rPr>
          <w:rFonts w:ascii="Arial" w:hAnsi="Arial" w:cs="Arial"/>
        </w:rPr>
        <w:t xml:space="preserve"> are associated with </w:t>
      </w:r>
      <w:r>
        <w:rPr>
          <w:rFonts w:ascii="Arial" w:hAnsi="Arial" w:cs="Arial"/>
        </w:rPr>
        <w:t xml:space="preserve">severe intestinal coccidiosis (Asher, 2012). Broiler chickens face various welfare challenges, including injuries, infections, and skeletal metabolic disorders that hinder their normal development </w:t>
      </w:r>
      <w:r>
        <w:rPr>
          <w:rFonts w:ascii="Arial" w:hAnsi="Arial" w:cs="Arial"/>
        </w:rPr>
        <w:lastRenderedPageBreak/>
        <w:t>(De Jong et al., 2011). Consequently, the aim of this study</w:t>
      </w:r>
      <w:r>
        <w:rPr>
          <w:rFonts w:ascii="Arial" w:hAnsi="Arial" w:cs="Arial"/>
        </w:rPr>
        <w:t xml:space="preserve"> is to assess gastrointestinal parasites affecting broiler performance in different regions of Maseru district.</w:t>
      </w:r>
    </w:p>
    <w:p w14:paraId="30179267" w14:textId="77777777" w:rsidR="000F7AD3" w:rsidRDefault="000F7AD3">
      <w:pPr>
        <w:pStyle w:val="Body"/>
        <w:spacing w:after="0"/>
        <w:rPr>
          <w:rFonts w:ascii="Arial" w:hAnsi="Arial" w:cs="Arial"/>
        </w:rPr>
      </w:pPr>
    </w:p>
    <w:p w14:paraId="3BEBC728" w14:textId="77777777" w:rsidR="000F7AD3" w:rsidRDefault="000F7AD3">
      <w:pPr>
        <w:pStyle w:val="Body"/>
        <w:spacing w:after="0"/>
        <w:rPr>
          <w:rFonts w:ascii="Arial" w:hAnsi="Arial" w:cs="Arial"/>
        </w:rPr>
      </w:pPr>
    </w:p>
    <w:p w14:paraId="20A1C724" w14:textId="77777777" w:rsidR="000F7AD3" w:rsidRDefault="00AD2271">
      <w:pPr>
        <w:pStyle w:val="AbstHead"/>
        <w:spacing w:after="0"/>
        <w:jc w:val="both"/>
        <w:rPr>
          <w:rFonts w:ascii="Arial" w:hAnsi="Arial" w:cs="Arial"/>
        </w:rPr>
      </w:pPr>
      <w:r>
        <w:rPr>
          <w:rFonts w:ascii="Arial" w:hAnsi="Arial" w:cs="Arial"/>
        </w:rPr>
        <w:t>2. material and methods</w:t>
      </w:r>
    </w:p>
    <w:p w14:paraId="5A3ECA68" w14:textId="7301687E" w:rsidR="000F7AD3" w:rsidRDefault="00AD2271">
      <w:pPr>
        <w:pStyle w:val="NormalWeb"/>
        <w:spacing w:before="0" w:after="0"/>
        <w:jc w:val="both"/>
        <w:rPr>
          <w:rFonts w:ascii="Arial" w:eastAsia="Calibri" w:hAnsi="Arial" w:cs="Arial"/>
          <w:b/>
          <w:bCs/>
          <w:sz w:val="20"/>
          <w:szCs w:val="20"/>
        </w:rPr>
      </w:pPr>
      <w:r>
        <w:rPr>
          <w:rFonts w:ascii="Arial" w:hAnsi="Arial" w:cs="Arial"/>
          <w:b/>
          <w:caps/>
          <w:sz w:val="22"/>
        </w:rPr>
        <w:t xml:space="preserve">2.1 </w:t>
      </w:r>
      <w:r>
        <w:rPr>
          <w:rFonts w:ascii="Arial" w:eastAsia="Calibri" w:hAnsi="Arial" w:cs="Arial"/>
          <w:b/>
          <w:bCs/>
          <w:sz w:val="20"/>
          <w:szCs w:val="20"/>
        </w:rPr>
        <w:t>Study Area</w:t>
      </w:r>
    </w:p>
    <w:p w14:paraId="0619A44D" w14:textId="77777777" w:rsidR="000F7AD3" w:rsidRDefault="00AD2271">
      <w:pPr>
        <w:pStyle w:val="NormalWeb"/>
        <w:ind w:firstLine="450"/>
        <w:jc w:val="both"/>
        <w:rPr>
          <w:rFonts w:ascii="Arial" w:eastAsia="Calibri" w:hAnsi="Arial" w:cs="Arial"/>
          <w:sz w:val="20"/>
          <w:szCs w:val="20"/>
          <w:lang w:val="zh-CN"/>
        </w:rPr>
      </w:pPr>
      <w:r>
        <w:rPr>
          <w:rFonts w:ascii="Arial" w:eastAsia="Calibri" w:hAnsi="Arial" w:cs="Arial"/>
          <w:sz w:val="20"/>
          <w:szCs w:val="20"/>
        </w:rPr>
        <w:t>The</w:t>
      </w:r>
      <w:r>
        <w:rPr>
          <w:rFonts w:ascii="Arial" w:eastAsia="Calibri" w:hAnsi="Arial" w:cs="Arial"/>
          <w:sz w:val="20"/>
          <w:szCs w:val="20"/>
          <w:lang w:val="zh-CN"/>
        </w:rPr>
        <w:t xml:space="preserve"> study was conducted </w:t>
      </w:r>
      <w:r>
        <w:rPr>
          <w:rFonts w:ascii="Arial" w:eastAsia="Calibri" w:hAnsi="Arial" w:cs="Arial"/>
          <w:sz w:val="20"/>
          <w:szCs w:val="20"/>
        </w:rPr>
        <w:t xml:space="preserve">in </w:t>
      </w:r>
      <w:r>
        <w:rPr>
          <w:rFonts w:ascii="Arial" w:eastAsia="Calibri" w:hAnsi="Arial" w:cs="Arial"/>
          <w:sz w:val="20"/>
          <w:szCs w:val="20"/>
          <w:lang w:val="zh-CN"/>
        </w:rPr>
        <w:t>Maseru district, which is divided into urban and semi-urban regions. The urb</w:t>
      </w:r>
      <w:r>
        <w:rPr>
          <w:rFonts w:ascii="Arial" w:eastAsia="Calibri" w:hAnsi="Arial" w:cs="Arial"/>
          <w:sz w:val="20"/>
          <w:szCs w:val="20"/>
          <w:lang w:val="zh-CN"/>
        </w:rPr>
        <w:t>an areas were represented by Khubetsoana, Naleli, and Stadium Area, while the semi-urban areas consist of Thaba-Bosiu, Roma, and Sehlabeng. Lowlands account for approximately 26% of the country’s total land area, whereas mountain ranges comprise about 74%.</w:t>
      </w:r>
      <w:r>
        <w:rPr>
          <w:rFonts w:ascii="Arial" w:eastAsia="Calibri" w:hAnsi="Arial" w:cs="Arial"/>
          <w:sz w:val="20"/>
          <w:szCs w:val="20"/>
          <w:lang w:val="zh-CN"/>
        </w:rPr>
        <w:t xml:space="preserve"> The average annual rainfall in Lesotho is around 753 mm (Cappelen, 2017), with 80% occurring during the warmer months from October to March and the remaining 20% during winter. Temperatures in Lesotho vary significantly by season, reaching up to 35</w:t>
      </w:r>
      <w:r>
        <w:rPr>
          <w:rFonts w:ascii="Arial" w:eastAsia="Calibri" w:hAnsi="Arial" w:cs="Arial"/>
          <w:sz w:val="20"/>
          <w:szCs w:val="20"/>
          <w:lang w:val="zh-CN"/>
        </w:rPr>
        <w:sym w:font="Symbol" w:char="F0B0"/>
      </w:r>
      <w:r>
        <w:rPr>
          <w:rFonts w:ascii="Arial" w:eastAsia="Calibri" w:hAnsi="Arial" w:cs="Arial"/>
          <w:sz w:val="20"/>
          <w:szCs w:val="20"/>
          <w:lang w:val="zh-CN"/>
        </w:rPr>
        <w:t>C in m</w:t>
      </w:r>
      <w:r>
        <w:rPr>
          <w:rFonts w:ascii="Arial" w:eastAsia="Calibri" w:hAnsi="Arial" w:cs="Arial"/>
          <w:sz w:val="20"/>
          <w:szCs w:val="20"/>
          <w:lang w:val="zh-CN"/>
        </w:rPr>
        <w:t xml:space="preserve">id-summer and dropping as low as -12.5 </w:t>
      </w:r>
      <w:r>
        <w:rPr>
          <w:rFonts w:ascii="Arial" w:eastAsia="Calibri" w:hAnsi="Arial" w:cs="Arial"/>
          <w:sz w:val="20"/>
          <w:szCs w:val="20"/>
          <w:lang w:val="zh-CN"/>
        </w:rPr>
        <w:sym w:font="Symbol" w:char="F0B0"/>
      </w:r>
      <w:r>
        <w:rPr>
          <w:rFonts w:ascii="Arial" w:eastAsia="Calibri" w:hAnsi="Arial" w:cs="Arial"/>
          <w:sz w:val="20"/>
          <w:szCs w:val="20"/>
          <w:lang w:val="zh-CN"/>
        </w:rPr>
        <w:t>C in mountainous regions during winter.</w:t>
      </w:r>
    </w:p>
    <w:p w14:paraId="4418B403" w14:textId="2969B5B9" w:rsidR="000F7AD3" w:rsidRDefault="00AD2271">
      <w:pPr>
        <w:pStyle w:val="NormalWeb"/>
        <w:spacing w:before="0" w:after="0"/>
        <w:rPr>
          <w:rFonts w:ascii="Arial" w:eastAsia="Calibri" w:hAnsi="Arial" w:cs="Arial"/>
          <w:b/>
          <w:bCs/>
          <w:sz w:val="20"/>
          <w:szCs w:val="20"/>
        </w:rPr>
      </w:pPr>
      <w:bookmarkStart w:id="1" w:name="_Toc32421"/>
      <w:bookmarkStart w:id="2" w:name="_Toc3543"/>
      <w:bookmarkStart w:id="3" w:name="_Toc21148"/>
      <w:bookmarkStart w:id="4" w:name="_Toc107034743"/>
      <w:bookmarkStart w:id="5" w:name="_Toc12074"/>
      <w:bookmarkStart w:id="6" w:name="_Toc32384"/>
      <w:bookmarkStart w:id="7" w:name="_Toc45388261"/>
      <w:r>
        <w:rPr>
          <w:rFonts w:ascii="Arial" w:eastAsia="Calibri" w:hAnsi="Arial" w:cs="Arial"/>
          <w:b/>
          <w:bCs/>
          <w:sz w:val="20"/>
          <w:szCs w:val="20"/>
        </w:rPr>
        <w:t>2.2 Study</w:t>
      </w:r>
      <w:bookmarkEnd w:id="1"/>
      <w:bookmarkEnd w:id="2"/>
      <w:bookmarkEnd w:id="3"/>
      <w:bookmarkEnd w:id="4"/>
      <w:bookmarkEnd w:id="5"/>
      <w:bookmarkEnd w:id="6"/>
      <w:r>
        <w:rPr>
          <w:rFonts w:ascii="Arial" w:eastAsia="Calibri" w:hAnsi="Arial" w:cs="Arial"/>
          <w:b/>
          <w:bCs/>
          <w:sz w:val="20"/>
          <w:szCs w:val="20"/>
        </w:rPr>
        <w:t xml:space="preserve"> design, Sampling</w:t>
      </w:r>
      <w:bookmarkEnd w:id="7"/>
      <w:r>
        <w:rPr>
          <w:rFonts w:ascii="Arial" w:eastAsia="Calibri" w:hAnsi="Arial" w:cs="Arial"/>
          <w:b/>
          <w:bCs/>
          <w:sz w:val="20"/>
          <w:szCs w:val="20"/>
        </w:rPr>
        <w:t xml:space="preserve"> and </w:t>
      </w:r>
      <w:bookmarkStart w:id="8" w:name="_Toc45388262"/>
      <w:r>
        <w:rPr>
          <w:rFonts w:ascii="Arial" w:eastAsia="Calibri" w:hAnsi="Arial" w:cs="Arial"/>
          <w:b/>
          <w:bCs/>
          <w:sz w:val="20"/>
          <w:szCs w:val="20"/>
        </w:rPr>
        <w:t>Fecal sample collection</w:t>
      </w:r>
      <w:bookmarkEnd w:id="8"/>
    </w:p>
    <w:p w14:paraId="5266F78B" w14:textId="77777777" w:rsidR="000F7AD3" w:rsidRDefault="00AD2271">
      <w:pPr>
        <w:pStyle w:val="NormalWeb"/>
        <w:ind w:firstLine="450"/>
        <w:jc w:val="both"/>
        <w:rPr>
          <w:rFonts w:ascii="Arial" w:eastAsia="Calibri" w:hAnsi="Arial" w:cs="Arial"/>
          <w:sz w:val="20"/>
          <w:szCs w:val="20"/>
        </w:rPr>
      </w:pPr>
      <w:r>
        <w:rPr>
          <w:rFonts w:ascii="Arial" w:eastAsia="Calibri" w:hAnsi="Arial" w:cs="Arial"/>
          <w:sz w:val="20"/>
          <w:szCs w:val="20"/>
        </w:rPr>
        <w:t>A cross-sectional study was conducted in the Maseru district, where two regions were selected for research. Forty-five fa</w:t>
      </w:r>
      <w:r>
        <w:rPr>
          <w:rFonts w:ascii="Arial" w:eastAsia="Calibri" w:hAnsi="Arial" w:cs="Arial"/>
          <w:sz w:val="20"/>
          <w:szCs w:val="20"/>
        </w:rPr>
        <w:t>rmers from each region participated based on flock size, with 15 farmers from each village categorized into three groups: those with fewer than 50 birds, 50 to 100 birds, and greater than 100 birds. This resulted in a total of 90 broiler farmers across six</w:t>
      </w:r>
      <w:r>
        <w:rPr>
          <w:rFonts w:ascii="Arial" w:eastAsia="Calibri" w:hAnsi="Arial" w:cs="Arial"/>
          <w:sz w:val="20"/>
          <w:szCs w:val="20"/>
        </w:rPr>
        <w:t xml:space="preserve"> villages. From each farmer, a random selection of 10 to 15 groups of broiler birds was made for fecal collection. Each group was captured and placed in an area covered with plastic bags for 5 to 10 minutes to allow defecation. Fresh faces were collected a</w:t>
      </w:r>
      <w:r>
        <w:rPr>
          <w:rFonts w:ascii="Arial" w:eastAsia="Calibri" w:hAnsi="Arial" w:cs="Arial"/>
          <w:sz w:val="20"/>
          <w:szCs w:val="20"/>
        </w:rPr>
        <w:t xml:space="preserve">nd stored in well-labeled bottles designated for each group’s fecal matter. The samples were kept in a cooler box at a temperature range of 0-8 </w:t>
      </w:r>
      <w:r>
        <w:rPr>
          <w:rFonts w:ascii="Cambria Math" w:eastAsia="Calibri" w:hAnsi="Cambria Math" w:cs="Cambria Math"/>
          <w:sz w:val="20"/>
          <w:szCs w:val="20"/>
        </w:rPr>
        <w:t>℃</w:t>
      </w:r>
      <w:r>
        <w:rPr>
          <w:rFonts w:ascii="Arial" w:eastAsia="Calibri" w:hAnsi="Arial" w:cs="Arial"/>
          <w:sz w:val="20"/>
          <w:szCs w:val="20"/>
        </w:rPr>
        <w:t xml:space="preserve"> to prevent egg hatching, ensuring that freezing was avoided. A sample of 5 grams was taken for the determinati</w:t>
      </w:r>
      <w:r>
        <w:rPr>
          <w:rFonts w:ascii="Arial" w:eastAsia="Calibri" w:hAnsi="Arial" w:cs="Arial"/>
          <w:sz w:val="20"/>
          <w:szCs w:val="20"/>
        </w:rPr>
        <w:t>on of the fecal egg count of gastrointestinal parasites.</w:t>
      </w:r>
      <w:bookmarkStart w:id="9" w:name="_Toc45388263"/>
      <w:r>
        <w:rPr>
          <w:rFonts w:ascii="Arial" w:eastAsia="Calibri" w:hAnsi="Arial" w:cs="Arial"/>
          <w:sz w:val="20"/>
          <w:szCs w:val="20"/>
        </w:rPr>
        <w:t xml:space="preserve"> </w:t>
      </w:r>
    </w:p>
    <w:p w14:paraId="67DC64CE" w14:textId="7B15830F" w:rsidR="000F7AD3" w:rsidRDefault="00AD2271">
      <w:pPr>
        <w:pStyle w:val="NormalWeb"/>
        <w:jc w:val="both"/>
        <w:rPr>
          <w:rFonts w:ascii="Arial" w:eastAsia="Calibri" w:hAnsi="Arial" w:cs="Arial"/>
          <w:b/>
          <w:bCs/>
          <w:sz w:val="20"/>
          <w:szCs w:val="20"/>
        </w:rPr>
      </w:pPr>
      <w:r>
        <w:rPr>
          <w:rFonts w:ascii="Arial" w:eastAsia="Calibri" w:hAnsi="Arial" w:cs="Arial"/>
          <w:b/>
          <w:bCs/>
          <w:sz w:val="20"/>
          <w:szCs w:val="20"/>
        </w:rPr>
        <w:t>2.3 Examination of fecal samples</w:t>
      </w:r>
      <w:bookmarkEnd w:id="9"/>
    </w:p>
    <w:p w14:paraId="218EEC5F" w14:textId="77777777" w:rsidR="000F7AD3" w:rsidRDefault="00AD2271">
      <w:pPr>
        <w:pStyle w:val="NormalWeb"/>
        <w:spacing w:before="0" w:after="0"/>
        <w:ind w:firstLine="450"/>
        <w:jc w:val="both"/>
        <w:rPr>
          <w:rFonts w:ascii="Arial" w:eastAsia="Calibri" w:hAnsi="Arial" w:cs="Arial"/>
          <w:sz w:val="20"/>
          <w:szCs w:val="20"/>
        </w:rPr>
      </w:pPr>
      <w:r>
        <w:rPr>
          <w:rFonts w:ascii="Arial" w:eastAsia="Calibri" w:hAnsi="Arial" w:cs="Arial"/>
          <w:sz w:val="20"/>
          <w:szCs w:val="20"/>
        </w:rPr>
        <w:t xml:space="preserve">Samples were thoroughly crushed, and 2g of each crushed fecal sample was mixed with 58ml of NaCl solution (floatation fluid) and blended. After achieving a </w:t>
      </w:r>
      <w:r>
        <w:rPr>
          <w:rFonts w:ascii="Arial" w:eastAsia="Calibri" w:hAnsi="Arial" w:cs="Arial"/>
          <w:sz w:val="20"/>
          <w:szCs w:val="20"/>
        </w:rPr>
        <w:t>homogeneous mixture, it was sieved into a beaker. A few drops of amyl alcohol (3-6) were added to eliminate bubbles in the mixture. Disposable pipettes were used to draw a few milliliters and fill the two chambers of the McMaster slides, which were then ex</w:t>
      </w:r>
      <w:r>
        <w:rPr>
          <w:rFonts w:ascii="Arial" w:eastAsia="Calibri" w:hAnsi="Arial" w:cs="Arial"/>
          <w:sz w:val="20"/>
          <w:szCs w:val="20"/>
        </w:rPr>
        <w:t>amined under a microscope using x10 and x40 objectives (Zajac, 2012). The identification of parasite eggs was based on their morphological characteristics. Floating parasite eggs were counted using a laboratory cell counter, and each count was multiplied b</w:t>
      </w:r>
      <w:r>
        <w:rPr>
          <w:rFonts w:ascii="Arial" w:eastAsia="Calibri" w:hAnsi="Arial" w:cs="Arial"/>
          <w:sz w:val="20"/>
          <w:szCs w:val="20"/>
        </w:rPr>
        <w:t>y a factor of 50 to estimate the number of eggs per gram of feces.</w:t>
      </w:r>
    </w:p>
    <w:p w14:paraId="369E66D1" w14:textId="2D8F0942" w:rsidR="000F7AD3" w:rsidRDefault="00AD2271">
      <w:pPr>
        <w:pStyle w:val="NormalWeb"/>
        <w:spacing w:before="0" w:after="0"/>
        <w:jc w:val="both"/>
        <w:rPr>
          <w:rFonts w:ascii="Arial" w:eastAsia="Calibri" w:hAnsi="Arial" w:cs="Arial"/>
          <w:sz w:val="20"/>
          <w:szCs w:val="20"/>
        </w:rPr>
      </w:pPr>
      <w:bookmarkStart w:id="10" w:name="_Toc45388264"/>
      <w:r>
        <w:rPr>
          <w:rFonts w:ascii="Arial" w:eastAsia="Calibri" w:hAnsi="Arial" w:cs="Arial"/>
          <w:b/>
          <w:sz w:val="20"/>
          <w:szCs w:val="20"/>
        </w:rPr>
        <w:t>2.4 Data Analysis</w:t>
      </w:r>
      <w:bookmarkEnd w:id="10"/>
    </w:p>
    <w:p w14:paraId="6B6975C7" w14:textId="77777777" w:rsidR="000F7AD3" w:rsidRDefault="00AD2271">
      <w:pPr>
        <w:pStyle w:val="NormalWeb"/>
        <w:ind w:firstLine="450"/>
        <w:jc w:val="both"/>
        <w:rPr>
          <w:rFonts w:ascii="Arial" w:eastAsia="Calibri" w:hAnsi="Arial" w:cs="Arial"/>
          <w:sz w:val="20"/>
          <w:szCs w:val="20"/>
        </w:rPr>
      </w:pPr>
      <w:r>
        <w:rPr>
          <w:rFonts w:ascii="Arial" w:eastAsia="Calibri" w:hAnsi="Arial" w:cs="Arial"/>
          <w:sz w:val="20"/>
          <w:szCs w:val="20"/>
        </w:rPr>
        <w:t xml:space="preserve">Statistical analyses were conducted using the Statistical Package for Social Sciences (SPSS) version 20. Binary logistic regression was applied to assess the relationship </w:t>
      </w:r>
      <w:r>
        <w:rPr>
          <w:rFonts w:ascii="Arial" w:eastAsia="Calibri" w:hAnsi="Arial" w:cs="Arial"/>
          <w:sz w:val="20"/>
          <w:szCs w:val="20"/>
        </w:rPr>
        <w:t>between parasite prevalence, age, and various regions. The Generalized Estimating Equations (GEE) method was employed to analyze Fecal Egg Count (FEC), incorporating negative binomial and Poisson regressions. Odds Ratios were calculated to evaluate the str</w:t>
      </w:r>
      <w:r>
        <w:rPr>
          <w:rFonts w:ascii="Arial" w:eastAsia="Calibri" w:hAnsi="Arial" w:cs="Arial"/>
          <w:sz w:val="20"/>
          <w:szCs w:val="20"/>
        </w:rPr>
        <w:t>ength and direction of associations. A p-value of less than 0.05 was considered statistically significant in all analyses.</w:t>
      </w:r>
    </w:p>
    <w:p w14:paraId="761FC6E5" w14:textId="77777777" w:rsidR="000F7AD3" w:rsidRDefault="000F7AD3">
      <w:pPr>
        <w:pStyle w:val="Body"/>
        <w:spacing w:after="0"/>
        <w:rPr>
          <w:rFonts w:ascii="Arial" w:hAnsi="Arial" w:cs="Arial"/>
        </w:rPr>
      </w:pPr>
    </w:p>
    <w:p w14:paraId="269DE384" w14:textId="77777777" w:rsidR="000F7AD3" w:rsidRDefault="00AD2271">
      <w:pPr>
        <w:pStyle w:val="Head1"/>
        <w:spacing w:after="0"/>
        <w:jc w:val="both"/>
        <w:rPr>
          <w:rFonts w:ascii="Arial" w:hAnsi="Arial" w:cs="Arial"/>
        </w:rPr>
      </w:pPr>
      <w:r>
        <w:rPr>
          <w:rFonts w:ascii="Arial" w:hAnsi="Arial" w:cs="Arial"/>
        </w:rPr>
        <w:t>3. results and discussion</w:t>
      </w:r>
    </w:p>
    <w:p w14:paraId="15FC9B65" w14:textId="72A0C7D4" w:rsidR="000F7AD3" w:rsidRDefault="00AD2271">
      <w:pPr>
        <w:pStyle w:val="NormalWeb"/>
        <w:spacing w:before="0" w:after="0"/>
        <w:jc w:val="both"/>
        <w:rPr>
          <w:rFonts w:ascii="Arial" w:eastAsia="Calibri" w:hAnsi="Arial" w:cs="Arial"/>
          <w:b/>
          <w:bCs/>
          <w:color w:val="000000"/>
          <w:sz w:val="20"/>
          <w:szCs w:val="20"/>
        </w:rPr>
      </w:pPr>
      <w:bookmarkStart w:id="11" w:name="_Toc2516"/>
      <w:bookmarkStart w:id="12" w:name="_Toc16963"/>
      <w:bookmarkStart w:id="13" w:name="_Toc12281"/>
      <w:bookmarkStart w:id="14" w:name="_Toc32409"/>
      <w:bookmarkStart w:id="15" w:name="_Toc15921"/>
      <w:bookmarkStart w:id="16" w:name="_Toc45388270"/>
      <w:r>
        <w:rPr>
          <w:rFonts w:ascii="Arial" w:eastAsia="Calibri" w:hAnsi="Arial" w:cs="Arial"/>
          <w:b/>
          <w:bCs/>
          <w:color w:val="000000"/>
          <w:sz w:val="20"/>
          <w:szCs w:val="20"/>
        </w:rPr>
        <w:t>3.1 The</w:t>
      </w:r>
      <w:bookmarkEnd w:id="11"/>
      <w:bookmarkEnd w:id="12"/>
      <w:bookmarkEnd w:id="13"/>
      <w:bookmarkEnd w:id="14"/>
      <w:bookmarkEnd w:id="15"/>
      <w:r>
        <w:rPr>
          <w:rFonts w:ascii="Arial" w:eastAsia="Calibri" w:hAnsi="Arial" w:cs="Arial"/>
          <w:b/>
          <w:bCs/>
          <w:color w:val="000000"/>
          <w:sz w:val="20"/>
          <w:szCs w:val="20"/>
        </w:rPr>
        <w:t xml:space="preserve"> effect of age on FEC of Nematodes, Coccidia and Cestodes in broilers</w:t>
      </w:r>
      <w:bookmarkEnd w:id="16"/>
    </w:p>
    <w:p w14:paraId="27C3B373" w14:textId="77777777" w:rsidR="000F7AD3" w:rsidRDefault="00AD2271">
      <w:pPr>
        <w:pStyle w:val="NormalWeb"/>
        <w:spacing w:after="0"/>
        <w:ind w:firstLine="450"/>
        <w:jc w:val="both"/>
        <w:rPr>
          <w:rFonts w:ascii="Arial" w:eastAsia="Calibri" w:hAnsi="Arial" w:cs="Arial"/>
          <w:color w:val="000000"/>
          <w:sz w:val="20"/>
          <w:szCs w:val="20"/>
        </w:rPr>
      </w:pPr>
      <w:r>
        <w:rPr>
          <w:rFonts w:ascii="Arial" w:eastAsia="Calibri" w:hAnsi="Arial" w:cs="Arial"/>
          <w:color w:val="000000"/>
          <w:sz w:val="20"/>
          <w:szCs w:val="20"/>
        </w:rPr>
        <w:t>In the evaluation of age as a</w:t>
      </w:r>
      <w:r>
        <w:rPr>
          <w:rFonts w:ascii="Arial" w:eastAsia="Calibri" w:hAnsi="Arial" w:cs="Arial"/>
          <w:color w:val="000000"/>
          <w:sz w:val="20"/>
          <w:szCs w:val="20"/>
        </w:rPr>
        <w:t xml:space="preserve"> risk factor, a statistically significant difference (P≤0.05) was observed between the infection rates of gastrointestinal parasites (GIPs) and the age of broiler chickens. The predominant parasitic infections identified were nematodes and coccidia, with t</w:t>
      </w:r>
      <w:r>
        <w:rPr>
          <w:rFonts w:ascii="Arial" w:eastAsia="Calibri" w:hAnsi="Arial" w:cs="Arial"/>
          <w:color w:val="000000"/>
          <w:sz w:val="20"/>
          <w:szCs w:val="20"/>
        </w:rPr>
        <w:t>he highest infection rates occurring in broilers at 5 weeks of age. This indicates that the likelihood of broiler chickens aged 5 weeks being infected with gastrointestinal nematodes is approximately 1.356 times greater, and the likelihood of infection wit</w:t>
      </w:r>
      <w:r>
        <w:rPr>
          <w:rFonts w:ascii="Arial" w:eastAsia="Calibri" w:hAnsi="Arial" w:cs="Arial"/>
          <w:color w:val="000000"/>
          <w:sz w:val="20"/>
          <w:szCs w:val="20"/>
        </w:rPr>
        <w:t>h coccidia is about 2.282 times greater when compared to broilers aged 3, 4, and 6 weeks. In broiler chickens at six weeks of age, a significant difference (p≤0.05) was observed based on of gastrointestinal infections caused by nematodes and cestodes compa</w:t>
      </w:r>
      <w:r>
        <w:rPr>
          <w:rFonts w:ascii="Arial" w:eastAsia="Calibri" w:hAnsi="Arial" w:cs="Arial"/>
          <w:color w:val="000000"/>
          <w:sz w:val="20"/>
          <w:szCs w:val="20"/>
        </w:rPr>
        <w:t xml:space="preserve">red to broilers aged three, </w:t>
      </w:r>
      <w:r>
        <w:rPr>
          <w:rFonts w:ascii="Arial" w:eastAsia="Calibri" w:hAnsi="Arial" w:cs="Arial"/>
          <w:color w:val="000000"/>
          <w:sz w:val="20"/>
          <w:szCs w:val="20"/>
        </w:rPr>
        <w:lastRenderedPageBreak/>
        <w:t xml:space="preserve">four, and five weeks. Specifically, the likelihood of infection with gastrointestinal nematodes and cestodes in six-week-old broilers was found to be 1.0 times and 1.0 times higher, respectively, than in those aged three, four, </w:t>
      </w:r>
      <w:r>
        <w:rPr>
          <w:rFonts w:ascii="Arial" w:eastAsia="Calibri" w:hAnsi="Arial" w:cs="Arial"/>
          <w:color w:val="000000"/>
          <w:sz w:val="20"/>
          <w:szCs w:val="20"/>
        </w:rPr>
        <w:t xml:space="preserve">and five weeks. The probabilities of infection for broilers at ages three, four, five, and six weeks were calculated as 0.259, 0.114, 0.828, and 1.000 respectively. The findings of the study indicated that the most common endoparasite infections affecting </w:t>
      </w:r>
      <w:r>
        <w:rPr>
          <w:rFonts w:ascii="Arial" w:eastAsia="Calibri" w:hAnsi="Arial" w:cs="Arial"/>
          <w:color w:val="000000"/>
          <w:sz w:val="20"/>
          <w:szCs w:val="20"/>
        </w:rPr>
        <w:t xml:space="preserve">poultry were attributable to cestodes, nematodes, and coccidiosis caused by </w:t>
      </w:r>
      <w:r>
        <w:rPr>
          <w:rFonts w:ascii="Arial" w:eastAsia="Calibri" w:hAnsi="Arial" w:cs="Arial"/>
          <w:i/>
          <w:iCs/>
          <w:color w:val="000000"/>
          <w:sz w:val="20"/>
          <w:szCs w:val="20"/>
        </w:rPr>
        <w:t>Eimeria</w:t>
      </w:r>
      <w:r>
        <w:rPr>
          <w:rFonts w:ascii="Arial" w:eastAsia="Calibri" w:hAnsi="Arial" w:cs="Arial"/>
          <w:color w:val="000000"/>
          <w:sz w:val="20"/>
          <w:szCs w:val="20"/>
        </w:rPr>
        <w:t xml:space="preserve"> species. Additionally, infections from oviduct flukes contribute to pathogenicity, resulting in morbidity, mortality, and significant economic losses (Sandhu et al., 2005).</w:t>
      </w:r>
      <w:r>
        <w:rPr>
          <w:rFonts w:ascii="Arial" w:eastAsia="Calibri" w:hAnsi="Arial" w:cs="Arial"/>
          <w:color w:val="000000"/>
          <w:sz w:val="20"/>
          <w:szCs w:val="20"/>
        </w:rPr>
        <w:t xml:space="preserve"> Furthermore, Adhikari et al. (2020) noted that despite advancements in prevention and control measures through improved management practices and nutritional strategies, coccidiosis continues to pose a major challenge within the poultry industry. </w:t>
      </w:r>
    </w:p>
    <w:p w14:paraId="51223FC7"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t>Table 1:</w:t>
      </w:r>
      <w:r>
        <w:rPr>
          <w:rFonts w:ascii="Arial" w:eastAsia="Calibri" w:hAnsi="Arial" w:cs="Arial"/>
          <w:color w:val="000000"/>
          <w:sz w:val="20"/>
          <w:szCs w:val="20"/>
        </w:rPr>
        <w:t xml:space="preserve">  The effect of age on mean FEC of Nematodes, Coccidia and Cestodes in broilers </w:t>
      </w:r>
    </w:p>
    <w:tbl>
      <w:tblPr>
        <w:tblW w:w="0" w:type="auto"/>
        <w:jc w:val="center"/>
        <w:tblBorders>
          <w:top w:val="single" w:sz="4" w:space="0" w:color="auto"/>
          <w:bottom w:val="single" w:sz="4" w:space="0" w:color="auto"/>
        </w:tblBorders>
        <w:tblLook w:val="04A0" w:firstRow="1" w:lastRow="0" w:firstColumn="1" w:lastColumn="0" w:noHBand="0" w:noVBand="1"/>
      </w:tblPr>
      <w:tblGrid>
        <w:gridCol w:w="1819"/>
        <w:gridCol w:w="1971"/>
        <w:gridCol w:w="2702"/>
        <w:gridCol w:w="1668"/>
        <w:gridCol w:w="1535"/>
      </w:tblGrid>
      <w:tr w:rsidR="000F7AD3" w14:paraId="7C64389C" w14:textId="77777777">
        <w:trPr>
          <w:trHeight w:val="303"/>
          <w:jc w:val="center"/>
        </w:trPr>
        <w:tc>
          <w:tcPr>
            <w:tcW w:w="1819" w:type="dxa"/>
            <w:tcBorders>
              <w:top w:val="single" w:sz="4" w:space="0" w:color="auto"/>
              <w:bottom w:val="single" w:sz="4" w:space="0" w:color="auto"/>
            </w:tcBorders>
          </w:tcPr>
          <w:p w14:paraId="0C69EA44"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Age</w:t>
            </w:r>
          </w:p>
        </w:tc>
        <w:tc>
          <w:tcPr>
            <w:tcW w:w="1971" w:type="dxa"/>
            <w:tcBorders>
              <w:top w:val="single" w:sz="4" w:space="0" w:color="auto"/>
              <w:bottom w:val="single" w:sz="4" w:space="0" w:color="auto"/>
            </w:tcBorders>
          </w:tcPr>
          <w:p w14:paraId="56F9350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2702" w:type="dxa"/>
            <w:tcBorders>
              <w:top w:val="single" w:sz="4" w:space="0" w:color="auto"/>
              <w:bottom w:val="single" w:sz="4" w:space="0" w:color="auto"/>
            </w:tcBorders>
          </w:tcPr>
          <w:p w14:paraId="609027D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EMM</w:t>
            </w:r>
          </w:p>
        </w:tc>
        <w:tc>
          <w:tcPr>
            <w:tcW w:w="1668" w:type="dxa"/>
            <w:tcBorders>
              <w:top w:val="single" w:sz="4" w:space="0" w:color="auto"/>
              <w:bottom w:val="single" w:sz="4" w:space="0" w:color="auto"/>
            </w:tcBorders>
          </w:tcPr>
          <w:p w14:paraId="7C254384" w14:textId="77777777" w:rsidR="000F7AD3" w:rsidRDefault="00AD2271">
            <w:pPr>
              <w:pStyle w:val="NormalWeb"/>
              <w:rPr>
                <w:rFonts w:ascii="Arial" w:eastAsia="Calibri" w:hAnsi="Arial" w:cs="Arial"/>
                <w:b/>
                <w:color w:val="000000"/>
                <w:sz w:val="20"/>
                <w:szCs w:val="20"/>
              </w:rPr>
            </w:pPr>
            <w:proofErr w:type="spellStart"/>
            <w:r>
              <w:rPr>
                <w:rFonts w:ascii="Arial" w:eastAsia="Calibri" w:hAnsi="Arial" w:cs="Arial"/>
                <w:b/>
                <w:color w:val="000000"/>
                <w:sz w:val="20"/>
                <w:szCs w:val="20"/>
              </w:rPr>
              <w:t>Exp.B</w:t>
            </w:r>
            <w:proofErr w:type="spellEnd"/>
          </w:p>
        </w:tc>
        <w:tc>
          <w:tcPr>
            <w:tcW w:w="1535" w:type="dxa"/>
            <w:tcBorders>
              <w:top w:val="single" w:sz="4" w:space="0" w:color="auto"/>
              <w:bottom w:val="single" w:sz="4" w:space="0" w:color="auto"/>
            </w:tcBorders>
          </w:tcPr>
          <w:p w14:paraId="7DEDA003"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5BCC099C" w14:textId="77777777">
        <w:trPr>
          <w:trHeight w:val="364"/>
          <w:jc w:val="center"/>
        </w:trPr>
        <w:tc>
          <w:tcPr>
            <w:tcW w:w="1819" w:type="dxa"/>
            <w:tcBorders>
              <w:top w:val="single" w:sz="4" w:space="0" w:color="auto"/>
              <w:bottom w:val="single" w:sz="4" w:space="0" w:color="auto"/>
            </w:tcBorders>
          </w:tcPr>
          <w:p w14:paraId="2D984364" w14:textId="77777777" w:rsidR="000F7AD3" w:rsidRDefault="000F7AD3">
            <w:pPr>
              <w:pStyle w:val="NormalWeb"/>
              <w:ind w:firstLine="450"/>
              <w:rPr>
                <w:rFonts w:ascii="Arial" w:eastAsia="Calibri" w:hAnsi="Arial" w:cs="Arial"/>
                <w:b/>
                <w:color w:val="000000"/>
                <w:sz w:val="20"/>
                <w:szCs w:val="20"/>
              </w:rPr>
            </w:pPr>
          </w:p>
        </w:tc>
        <w:tc>
          <w:tcPr>
            <w:tcW w:w="1971" w:type="dxa"/>
            <w:tcBorders>
              <w:top w:val="single" w:sz="4" w:space="0" w:color="auto"/>
              <w:bottom w:val="single" w:sz="4" w:space="0" w:color="auto"/>
            </w:tcBorders>
          </w:tcPr>
          <w:p w14:paraId="6C8C9961" w14:textId="77777777" w:rsidR="000F7AD3" w:rsidRDefault="000F7AD3">
            <w:pPr>
              <w:pStyle w:val="NormalWeb"/>
              <w:ind w:firstLine="450"/>
              <w:rPr>
                <w:rFonts w:ascii="Arial" w:eastAsia="Calibri" w:hAnsi="Arial" w:cs="Arial"/>
                <w:color w:val="000000"/>
                <w:sz w:val="20"/>
                <w:szCs w:val="20"/>
              </w:rPr>
            </w:pPr>
          </w:p>
        </w:tc>
        <w:tc>
          <w:tcPr>
            <w:tcW w:w="2702" w:type="dxa"/>
            <w:tcBorders>
              <w:top w:val="single" w:sz="4" w:space="0" w:color="auto"/>
              <w:bottom w:val="single" w:sz="4" w:space="0" w:color="auto"/>
            </w:tcBorders>
          </w:tcPr>
          <w:p w14:paraId="44B47A52"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Nematodes</w:t>
            </w:r>
          </w:p>
        </w:tc>
        <w:tc>
          <w:tcPr>
            <w:tcW w:w="1668" w:type="dxa"/>
            <w:tcBorders>
              <w:top w:val="single" w:sz="4" w:space="0" w:color="auto"/>
              <w:bottom w:val="single" w:sz="4" w:space="0" w:color="auto"/>
            </w:tcBorders>
          </w:tcPr>
          <w:p w14:paraId="64DEB40D" w14:textId="77777777" w:rsidR="000F7AD3" w:rsidRDefault="000F7AD3">
            <w:pPr>
              <w:pStyle w:val="NormalWeb"/>
              <w:ind w:firstLine="450"/>
              <w:rPr>
                <w:rFonts w:ascii="Arial" w:eastAsia="Calibri" w:hAnsi="Arial" w:cs="Arial"/>
                <w:color w:val="000000"/>
                <w:sz w:val="20"/>
                <w:szCs w:val="20"/>
              </w:rPr>
            </w:pPr>
          </w:p>
        </w:tc>
        <w:tc>
          <w:tcPr>
            <w:tcW w:w="1535" w:type="dxa"/>
            <w:tcBorders>
              <w:top w:val="single" w:sz="4" w:space="0" w:color="auto"/>
              <w:bottom w:val="single" w:sz="4" w:space="0" w:color="auto"/>
            </w:tcBorders>
          </w:tcPr>
          <w:p w14:paraId="548ACEA3" w14:textId="77777777" w:rsidR="000F7AD3" w:rsidRDefault="000F7AD3">
            <w:pPr>
              <w:pStyle w:val="NormalWeb"/>
              <w:ind w:firstLine="450"/>
              <w:rPr>
                <w:rFonts w:ascii="Arial" w:eastAsia="Calibri" w:hAnsi="Arial" w:cs="Arial"/>
                <w:color w:val="000000"/>
                <w:sz w:val="20"/>
                <w:szCs w:val="20"/>
              </w:rPr>
            </w:pPr>
          </w:p>
        </w:tc>
      </w:tr>
      <w:tr w:rsidR="000F7AD3" w14:paraId="653C8FBD" w14:textId="77777777">
        <w:trPr>
          <w:trHeight w:val="311"/>
          <w:jc w:val="center"/>
        </w:trPr>
        <w:tc>
          <w:tcPr>
            <w:tcW w:w="1819" w:type="dxa"/>
            <w:tcBorders>
              <w:top w:val="single" w:sz="4" w:space="0" w:color="auto"/>
            </w:tcBorders>
          </w:tcPr>
          <w:p w14:paraId="7E054E0A"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6B76195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321C7A87"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114.00</w:t>
            </w:r>
            <w:r>
              <w:rPr>
                <w:rFonts w:ascii="Arial" w:eastAsia="Calibri" w:hAnsi="Arial" w:cs="Arial"/>
                <w:color w:val="000000"/>
                <w:sz w:val="20"/>
                <w:szCs w:val="20"/>
                <w:vertAlign w:val="superscript"/>
              </w:rPr>
              <w:t>a</w:t>
            </w:r>
          </w:p>
        </w:tc>
        <w:tc>
          <w:tcPr>
            <w:tcW w:w="1668" w:type="dxa"/>
            <w:tcBorders>
              <w:top w:val="single" w:sz="4" w:space="0" w:color="auto"/>
            </w:tcBorders>
          </w:tcPr>
          <w:p w14:paraId="04AB8AF4"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0.259</w:t>
            </w:r>
          </w:p>
        </w:tc>
        <w:tc>
          <w:tcPr>
            <w:tcW w:w="1535" w:type="dxa"/>
            <w:tcBorders>
              <w:top w:val="single" w:sz="4" w:space="0" w:color="auto"/>
            </w:tcBorders>
          </w:tcPr>
          <w:p w14:paraId="28DD1B6B" w14:textId="77777777" w:rsidR="000F7AD3" w:rsidRDefault="000F7AD3">
            <w:pPr>
              <w:pStyle w:val="NormalWeb"/>
              <w:ind w:firstLine="450"/>
              <w:rPr>
                <w:rFonts w:ascii="Arial" w:eastAsia="Calibri" w:hAnsi="Arial" w:cs="Arial"/>
                <w:color w:val="000000"/>
                <w:sz w:val="20"/>
                <w:szCs w:val="20"/>
              </w:rPr>
            </w:pPr>
          </w:p>
        </w:tc>
      </w:tr>
      <w:tr w:rsidR="000F7AD3" w14:paraId="3EE5B3E0" w14:textId="77777777">
        <w:trPr>
          <w:trHeight w:val="288"/>
          <w:jc w:val="center"/>
        </w:trPr>
        <w:tc>
          <w:tcPr>
            <w:tcW w:w="1819" w:type="dxa"/>
          </w:tcPr>
          <w:p w14:paraId="72DD95A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638FEA"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0A06DC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50.00</w:t>
            </w:r>
            <w:r>
              <w:rPr>
                <w:rFonts w:ascii="Arial" w:eastAsia="Calibri" w:hAnsi="Arial" w:cs="Arial"/>
                <w:color w:val="000000"/>
                <w:sz w:val="20"/>
                <w:szCs w:val="20"/>
                <w:vertAlign w:val="superscript"/>
              </w:rPr>
              <w:t>b</w:t>
            </w:r>
          </w:p>
        </w:tc>
        <w:tc>
          <w:tcPr>
            <w:tcW w:w="1668" w:type="dxa"/>
          </w:tcPr>
          <w:p w14:paraId="0BA75F27"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0.114</w:t>
            </w:r>
          </w:p>
        </w:tc>
        <w:tc>
          <w:tcPr>
            <w:tcW w:w="1535" w:type="dxa"/>
          </w:tcPr>
          <w:p w14:paraId="5DE583AD"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0.000</w:t>
            </w:r>
          </w:p>
        </w:tc>
      </w:tr>
      <w:tr w:rsidR="000F7AD3" w14:paraId="0D10F98D" w14:textId="77777777">
        <w:trPr>
          <w:trHeight w:val="381"/>
          <w:jc w:val="center"/>
        </w:trPr>
        <w:tc>
          <w:tcPr>
            <w:tcW w:w="1819" w:type="dxa"/>
          </w:tcPr>
          <w:p w14:paraId="66E6B8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0FA8643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64A8823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170.00</w:t>
            </w:r>
            <w:r>
              <w:rPr>
                <w:rFonts w:ascii="Arial" w:eastAsia="Calibri" w:hAnsi="Arial" w:cs="Arial"/>
                <w:color w:val="000000"/>
                <w:sz w:val="20"/>
                <w:szCs w:val="20"/>
                <w:vertAlign w:val="superscript"/>
              </w:rPr>
              <w:t>c</w:t>
            </w:r>
          </w:p>
        </w:tc>
        <w:tc>
          <w:tcPr>
            <w:tcW w:w="1668" w:type="dxa"/>
          </w:tcPr>
          <w:p w14:paraId="28F6B74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1.356</w:t>
            </w:r>
          </w:p>
        </w:tc>
        <w:tc>
          <w:tcPr>
            <w:tcW w:w="1535" w:type="dxa"/>
          </w:tcPr>
          <w:p w14:paraId="03D80434" w14:textId="77777777" w:rsidR="000F7AD3" w:rsidRDefault="000F7AD3">
            <w:pPr>
              <w:pStyle w:val="NormalWeb"/>
              <w:ind w:firstLine="450"/>
              <w:rPr>
                <w:rFonts w:ascii="Arial" w:eastAsia="Calibri" w:hAnsi="Arial" w:cs="Arial"/>
                <w:color w:val="000000"/>
                <w:sz w:val="20"/>
                <w:szCs w:val="20"/>
              </w:rPr>
            </w:pPr>
          </w:p>
        </w:tc>
      </w:tr>
      <w:tr w:rsidR="000F7AD3" w14:paraId="1FBA1A7D" w14:textId="77777777">
        <w:trPr>
          <w:trHeight w:val="311"/>
          <w:jc w:val="center"/>
        </w:trPr>
        <w:tc>
          <w:tcPr>
            <w:tcW w:w="1819" w:type="dxa"/>
            <w:tcBorders>
              <w:bottom w:val="nil"/>
            </w:tcBorders>
          </w:tcPr>
          <w:p w14:paraId="4A65A42C"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059CA5CC"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0FABC40C"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440.0</w:t>
            </w:r>
            <w:r>
              <w:rPr>
                <w:rFonts w:ascii="Arial" w:eastAsia="Calibri" w:hAnsi="Arial" w:cs="Arial"/>
                <w:color w:val="000000"/>
                <w:sz w:val="20"/>
                <w:szCs w:val="20"/>
                <w:vertAlign w:val="superscript"/>
              </w:rPr>
              <w:t>d</w:t>
            </w:r>
          </w:p>
        </w:tc>
        <w:tc>
          <w:tcPr>
            <w:tcW w:w="1668" w:type="dxa"/>
            <w:tcBorders>
              <w:bottom w:val="nil"/>
            </w:tcBorders>
          </w:tcPr>
          <w:p w14:paraId="135B9B0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1502051F" w14:textId="77777777" w:rsidR="000F7AD3" w:rsidRDefault="000F7AD3">
            <w:pPr>
              <w:pStyle w:val="NormalWeb"/>
              <w:ind w:firstLine="450"/>
              <w:rPr>
                <w:rFonts w:ascii="Arial" w:eastAsia="Calibri" w:hAnsi="Arial" w:cs="Arial"/>
                <w:color w:val="000000"/>
                <w:sz w:val="20"/>
                <w:szCs w:val="20"/>
              </w:rPr>
            </w:pPr>
          </w:p>
        </w:tc>
      </w:tr>
      <w:tr w:rsidR="000F7AD3" w14:paraId="1A0C6762" w14:textId="77777777">
        <w:trPr>
          <w:trHeight w:val="288"/>
          <w:jc w:val="center"/>
        </w:trPr>
        <w:tc>
          <w:tcPr>
            <w:tcW w:w="1819" w:type="dxa"/>
            <w:tcBorders>
              <w:top w:val="nil"/>
              <w:bottom w:val="single" w:sz="4" w:space="0" w:color="auto"/>
            </w:tcBorders>
          </w:tcPr>
          <w:p w14:paraId="457A9130"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61D2274B"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155B8473"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Coccidia</w:t>
            </w:r>
          </w:p>
        </w:tc>
        <w:tc>
          <w:tcPr>
            <w:tcW w:w="1668" w:type="dxa"/>
            <w:tcBorders>
              <w:top w:val="nil"/>
              <w:bottom w:val="single" w:sz="4" w:space="0" w:color="auto"/>
            </w:tcBorders>
          </w:tcPr>
          <w:p w14:paraId="7AD4922A"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4FCE81C8" w14:textId="77777777" w:rsidR="000F7AD3" w:rsidRDefault="000F7AD3">
            <w:pPr>
              <w:pStyle w:val="NormalWeb"/>
              <w:ind w:firstLine="450"/>
              <w:rPr>
                <w:rFonts w:ascii="Arial" w:eastAsia="Calibri" w:hAnsi="Arial" w:cs="Arial"/>
                <w:color w:val="000000"/>
                <w:sz w:val="20"/>
                <w:szCs w:val="20"/>
              </w:rPr>
            </w:pPr>
          </w:p>
        </w:tc>
      </w:tr>
      <w:tr w:rsidR="000F7AD3" w14:paraId="05C44A9F" w14:textId="77777777">
        <w:trPr>
          <w:trHeight w:val="311"/>
          <w:jc w:val="center"/>
        </w:trPr>
        <w:tc>
          <w:tcPr>
            <w:tcW w:w="1819" w:type="dxa"/>
            <w:tcBorders>
              <w:top w:val="single" w:sz="4" w:space="0" w:color="auto"/>
            </w:tcBorders>
          </w:tcPr>
          <w:p w14:paraId="70552EE8"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 xml:space="preserve">3 </w:t>
            </w:r>
            <w:r>
              <w:rPr>
                <w:rFonts w:ascii="Arial" w:eastAsia="Calibri" w:hAnsi="Arial" w:cs="Arial"/>
                <w:b/>
                <w:color w:val="000000"/>
                <w:sz w:val="20"/>
                <w:szCs w:val="20"/>
              </w:rPr>
              <w:t>weeks</w:t>
            </w:r>
          </w:p>
        </w:tc>
        <w:tc>
          <w:tcPr>
            <w:tcW w:w="1971" w:type="dxa"/>
            <w:tcBorders>
              <w:top w:val="single" w:sz="4" w:space="0" w:color="auto"/>
            </w:tcBorders>
          </w:tcPr>
          <w:p w14:paraId="2586DD8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3C54F88"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497.60</w:t>
            </w:r>
            <w:r>
              <w:rPr>
                <w:rFonts w:ascii="Arial" w:eastAsia="Calibri" w:hAnsi="Arial" w:cs="Arial"/>
                <w:color w:val="000000"/>
                <w:sz w:val="20"/>
                <w:szCs w:val="20"/>
                <w:vertAlign w:val="superscript"/>
              </w:rPr>
              <w:t>a</w:t>
            </w:r>
          </w:p>
        </w:tc>
        <w:tc>
          <w:tcPr>
            <w:tcW w:w="1668" w:type="dxa"/>
            <w:tcBorders>
              <w:top w:val="single" w:sz="4" w:space="0" w:color="auto"/>
            </w:tcBorders>
          </w:tcPr>
          <w:p w14:paraId="39F07379"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1.217</w:t>
            </w:r>
          </w:p>
        </w:tc>
        <w:tc>
          <w:tcPr>
            <w:tcW w:w="1535" w:type="dxa"/>
            <w:tcBorders>
              <w:top w:val="single" w:sz="4" w:space="0" w:color="auto"/>
            </w:tcBorders>
          </w:tcPr>
          <w:p w14:paraId="4FF37B5B" w14:textId="77777777" w:rsidR="000F7AD3" w:rsidRDefault="000F7AD3">
            <w:pPr>
              <w:pStyle w:val="NormalWeb"/>
              <w:ind w:firstLine="450"/>
              <w:rPr>
                <w:rFonts w:ascii="Arial" w:eastAsia="Calibri" w:hAnsi="Arial" w:cs="Arial"/>
                <w:color w:val="000000"/>
                <w:sz w:val="20"/>
                <w:szCs w:val="20"/>
              </w:rPr>
            </w:pPr>
          </w:p>
        </w:tc>
      </w:tr>
      <w:tr w:rsidR="000F7AD3" w14:paraId="2AA91676" w14:textId="77777777">
        <w:trPr>
          <w:trHeight w:val="288"/>
          <w:jc w:val="center"/>
        </w:trPr>
        <w:tc>
          <w:tcPr>
            <w:tcW w:w="1819" w:type="dxa"/>
          </w:tcPr>
          <w:p w14:paraId="487B9E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E8D03B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1AE077C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694.00</w:t>
            </w:r>
            <w:r>
              <w:rPr>
                <w:rFonts w:ascii="Arial" w:eastAsia="Calibri" w:hAnsi="Arial" w:cs="Arial"/>
                <w:color w:val="000000"/>
                <w:sz w:val="20"/>
                <w:szCs w:val="20"/>
                <w:vertAlign w:val="superscript"/>
              </w:rPr>
              <w:t>b</w:t>
            </w:r>
          </w:p>
        </w:tc>
        <w:tc>
          <w:tcPr>
            <w:tcW w:w="1668" w:type="dxa"/>
          </w:tcPr>
          <w:p w14:paraId="53405B7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1.697</w:t>
            </w:r>
          </w:p>
        </w:tc>
        <w:tc>
          <w:tcPr>
            <w:tcW w:w="1535" w:type="dxa"/>
          </w:tcPr>
          <w:p w14:paraId="1E019E76"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0.441</w:t>
            </w:r>
          </w:p>
        </w:tc>
      </w:tr>
      <w:tr w:rsidR="000F7AD3" w14:paraId="0BC31017" w14:textId="77777777">
        <w:trPr>
          <w:trHeight w:val="311"/>
          <w:jc w:val="center"/>
        </w:trPr>
        <w:tc>
          <w:tcPr>
            <w:tcW w:w="1819" w:type="dxa"/>
          </w:tcPr>
          <w:p w14:paraId="1223834B"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5C0AB9D9"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35FC31CB"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933.33</w:t>
            </w:r>
            <w:r>
              <w:rPr>
                <w:rFonts w:ascii="Arial" w:eastAsia="Calibri" w:hAnsi="Arial" w:cs="Arial"/>
                <w:color w:val="000000"/>
                <w:sz w:val="20"/>
                <w:szCs w:val="20"/>
                <w:vertAlign w:val="superscript"/>
              </w:rPr>
              <w:t>c</w:t>
            </w:r>
          </w:p>
        </w:tc>
        <w:tc>
          <w:tcPr>
            <w:tcW w:w="1668" w:type="dxa"/>
          </w:tcPr>
          <w:p w14:paraId="4ABBD35A"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2.282</w:t>
            </w:r>
          </w:p>
        </w:tc>
        <w:tc>
          <w:tcPr>
            <w:tcW w:w="1535" w:type="dxa"/>
          </w:tcPr>
          <w:p w14:paraId="10FED301" w14:textId="77777777" w:rsidR="000F7AD3" w:rsidRDefault="000F7AD3">
            <w:pPr>
              <w:pStyle w:val="NormalWeb"/>
              <w:ind w:firstLine="450"/>
              <w:rPr>
                <w:rFonts w:ascii="Arial" w:eastAsia="Calibri" w:hAnsi="Arial" w:cs="Arial"/>
                <w:color w:val="000000"/>
                <w:sz w:val="20"/>
                <w:szCs w:val="20"/>
              </w:rPr>
            </w:pPr>
          </w:p>
        </w:tc>
      </w:tr>
      <w:tr w:rsidR="000F7AD3" w14:paraId="04940AB4" w14:textId="77777777">
        <w:trPr>
          <w:trHeight w:val="288"/>
          <w:jc w:val="center"/>
        </w:trPr>
        <w:tc>
          <w:tcPr>
            <w:tcW w:w="1819" w:type="dxa"/>
            <w:tcBorders>
              <w:bottom w:val="nil"/>
            </w:tcBorders>
          </w:tcPr>
          <w:p w14:paraId="76A36AE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727474F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6F53F9F3"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409.00</w:t>
            </w:r>
            <w:r>
              <w:rPr>
                <w:rFonts w:ascii="Arial" w:eastAsia="Calibri" w:hAnsi="Arial" w:cs="Arial"/>
                <w:color w:val="000000"/>
                <w:sz w:val="20"/>
                <w:szCs w:val="20"/>
                <w:vertAlign w:val="superscript"/>
              </w:rPr>
              <w:t>d</w:t>
            </w:r>
          </w:p>
        </w:tc>
        <w:tc>
          <w:tcPr>
            <w:tcW w:w="1668" w:type="dxa"/>
            <w:tcBorders>
              <w:bottom w:val="nil"/>
            </w:tcBorders>
          </w:tcPr>
          <w:p w14:paraId="1545AA2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51A52A25" w14:textId="77777777" w:rsidR="000F7AD3" w:rsidRDefault="000F7AD3">
            <w:pPr>
              <w:pStyle w:val="NormalWeb"/>
              <w:ind w:firstLine="450"/>
              <w:rPr>
                <w:rFonts w:ascii="Arial" w:eastAsia="Calibri" w:hAnsi="Arial" w:cs="Arial"/>
                <w:color w:val="000000"/>
                <w:sz w:val="20"/>
                <w:szCs w:val="20"/>
              </w:rPr>
            </w:pPr>
          </w:p>
        </w:tc>
      </w:tr>
      <w:tr w:rsidR="000F7AD3" w14:paraId="2980FA95" w14:textId="77777777">
        <w:trPr>
          <w:trHeight w:val="311"/>
          <w:jc w:val="center"/>
        </w:trPr>
        <w:tc>
          <w:tcPr>
            <w:tcW w:w="1819" w:type="dxa"/>
            <w:tcBorders>
              <w:top w:val="nil"/>
              <w:bottom w:val="single" w:sz="4" w:space="0" w:color="auto"/>
            </w:tcBorders>
          </w:tcPr>
          <w:p w14:paraId="70C581EC"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083A7B19"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59A12FCD" w14:textId="77777777" w:rsidR="000F7AD3" w:rsidRDefault="00AD2271">
            <w:pPr>
              <w:pStyle w:val="NormalWeb"/>
              <w:ind w:firstLine="450"/>
              <w:jc w:val="center"/>
              <w:rPr>
                <w:rFonts w:ascii="Arial" w:eastAsia="Calibri" w:hAnsi="Arial" w:cs="Arial"/>
                <w:b/>
                <w:color w:val="000000"/>
                <w:sz w:val="20"/>
                <w:szCs w:val="20"/>
              </w:rPr>
            </w:pPr>
            <w:r>
              <w:rPr>
                <w:rFonts w:ascii="Arial" w:eastAsia="Calibri" w:hAnsi="Arial" w:cs="Arial"/>
                <w:b/>
                <w:color w:val="000000"/>
                <w:sz w:val="20"/>
                <w:szCs w:val="20"/>
              </w:rPr>
              <w:t>Cestode</w:t>
            </w:r>
          </w:p>
        </w:tc>
        <w:tc>
          <w:tcPr>
            <w:tcW w:w="1668" w:type="dxa"/>
            <w:tcBorders>
              <w:top w:val="nil"/>
              <w:bottom w:val="single" w:sz="4" w:space="0" w:color="auto"/>
            </w:tcBorders>
          </w:tcPr>
          <w:p w14:paraId="4AD256A1"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37B3588C" w14:textId="77777777" w:rsidR="000F7AD3" w:rsidRDefault="000F7AD3">
            <w:pPr>
              <w:pStyle w:val="NormalWeb"/>
              <w:ind w:firstLine="450"/>
              <w:rPr>
                <w:rFonts w:ascii="Arial" w:eastAsia="Calibri" w:hAnsi="Arial" w:cs="Arial"/>
                <w:color w:val="000000"/>
                <w:sz w:val="20"/>
                <w:szCs w:val="20"/>
              </w:rPr>
            </w:pPr>
          </w:p>
        </w:tc>
      </w:tr>
      <w:tr w:rsidR="000F7AD3" w14:paraId="7652738D" w14:textId="77777777">
        <w:trPr>
          <w:trHeight w:val="288"/>
          <w:jc w:val="center"/>
        </w:trPr>
        <w:tc>
          <w:tcPr>
            <w:tcW w:w="1819" w:type="dxa"/>
            <w:tcBorders>
              <w:top w:val="single" w:sz="4" w:space="0" w:color="auto"/>
            </w:tcBorders>
          </w:tcPr>
          <w:p w14:paraId="4B33BE00"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41FAE24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FC92C65"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76.00</w:t>
            </w:r>
            <w:r>
              <w:rPr>
                <w:rFonts w:ascii="Arial" w:eastAsia="Calibri" w:hAnsi="Arial" w:cs="Arial"/>
                <w:color w:val="000000"/>
                <w:sz w:val="20"/>
                <w:szCs w:val="20"/>
                <w:vertAlign w:val="superscript"/>
              </w:rPr>
              <w:t>a</w:t>
            </w:r>
          </w:p>
        </w:tc>
        <w:tc>
          <w:tcPr>
            <w:tcW w:w="1668" w:type="dxa"/>
            <w:tcBorders>
              <w:top w:val="single" w:sz="4" w:space="0" w:color="auto"/>
            </w:tcBorders>
          </w:tcPr>
          <w:p w14:paraId="77777C8F"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0.921</w:t>
            </w:r>
          </w:p>
        </w:tc>
        <w:tc>
          <w:tcPr>
            <w:tcW w:w="1535" w:type="dxa"/>
            <w:tcBorders>
              <w:top w:val="single" w:sz="4" w:space="0" w:color="auto"/>
            </w:tcBorders>
          </w:tcPr>
          <w:p w14:paraId="0D4A0A3A" w14:textId="77777777" w:rsidR="000F7AD3" w:rsidRDefault="000F7AD3">
            <w:pPr>
              <w:pStyle w:val="NormalWeb"/>
              <w:ind w:firstLine="450"/>
              <w:rPr>
                <w:rFonts w:ascii="Arial" w:eastAsia="Calibri" w:hAnsi="Arial" w:cs="Arial"/>
                <w:color w:val="000000"/>
                <w:sz w:val="20"/>
                <w:szCs w:val="20"/>
              </w:rPr>
            </w:pPr>
          </w:p>
        </w:tc>
      </w:tr>
      <w:tr w:rsidR="000F7AD3" w14:paraId="583377BC" w14:textId="77777777">
        <w:trPr>
          <w:trHeight w:val="311"/>
          <w:jc w:val="center"/>
        </w:trPr>
        <w:tc>
          <w:tcPr>
            <w:tcW w:w="1819" w:type="dxa"/>
          </w:tcPr>
          <w:p w14:paraId="529EA05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11E74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7AD0594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102.00</w:t>
            </w:r>
            <w:r>
              <w:rPr>
                <w:rFonts w:ascii="Arial" w:eastAsia="Calibri" w:hAnsi="Arial" w:cs="Arial"/>
                <w:color w:val="000000"/>
                <w:sz w:val="20"/>
                <w:szCs w:val="20"/>
                <w:vertAlign w:val="superscript"/>
              </w:rPr>
              <w:t>b</w:t>
            </w:r>
          </w:p>
        </w:tc>
        <w:tc>
          <w:tcPr>
            <w:tcW w:w="1668" w:type="dxa"/>
          </w:tcPr>
          <w:p w14:paraId="4B11E59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1.236</w:t>
            </w:r>
          </w:p>
        </w:tc>
        <w:tc>
          <w:tcPr>
            <w:tcW w:w="1535" w:type="dxa"/>
          </w:tcPr>
          <w:p w14:paraId="16DF1E9B"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0.858</w:t>
            </w:r>
          </w:p>
        </w:tc>
      </w:tr>
      <w:tr w:rsidR="000F7AD3" w14:paraId="1E91A552" w14:textId="77777777">
        <w:trPr>
          <w:trHeight w:val="288"/>
          <w:jc w:val="center"/>
        </w:trPr>
        <w:tc>
          <w:tcPr>
            <w:tcW w:w="1819" w:type="dxa"/>
          </w:tcPr>
          <w:p w14:paraId="35F0C75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6BE02DC1"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1FB504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68.33</w:t>
            </w:r>
            <w:r>
              <w:rPr>
                <w:rFonts w:ascii="Arial" w:eastAsia="Calibri" w:hAnsi="Arial" w:cs="Arial"/>
                <w:color w:val="000000"/>
                <w:sz w:val="20"/>
                <w:szCs w:val="20"/>
                <w:vertAlign w:val="superscript"/>
              </w:rPr>
              <w:t>c</w:t>
            </w:r>
          </w:p>
        </w:tc>
        <w:tc>
          <w:tcPr>
            <w:tcW w:w="1668" w:type="dxa"/>
          </w:tcPr>
          <w:p w14:paraId="1DFFD8F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0.828</w:t>
            </w:r>
          </w:p>
        </w:tc>
        <w:tc>
          <w:tcPr>
            <w:tcW w:w="1535" w:type="dxa"/>
          </w:tcPr>
          <w:p w14:paraId="4B9F8FB1" w14:textId="77777777" w:rsidR="000F7AD3" w:rsidRDefault="000F7AD3">
            <w:pPr>
              <w:pStyle w:val="NormalWeb"/>
              <w:ind w:firstLine="450"/>
              <w:rPr>
                <w:rFonts w:ascii="Arial" w:eastAsia="Calibri" w:hAnsi="Arial" w:cs="Arial"/>
                <w:color w:val="000000"/>
                <w:sz w:val="20"/>
                <w:szCs w:val="20"/>
              </w:rPr>
            </w:pPr>
          </w:p>
        </w:tc>
      </w:tr>
      <w:tr w:rsidR="000F7AD3" w14:paraId="0B4A2464" w14:textId="77777777">
        <w:trPr>
          <w:trHeight w:val="311"/>
          <w:jc w:val="center"/>
        </w:trPr>
        <w:tc>
          <w:tcPr>
            <w:tcW w:w="1819" w:type="dxa"/>
          </w:tcPr>
          <w:p w14:paraId="5D5670ED"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Pr>
          <w:p w14:paraId="7B38F74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Pr>
          <w:p w14:paraId="4DA645D4"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82.00</w:t>
            </w:r>
            <w:r>
              <w:rPr>
                <w:rFonts w:ascii="Arial" w:eastAsia="Calibri" w:hAnsi="Arial" w:cs="Arial"/>
                <w:color w:val="000000"/>
                <w:sz w:val="20"/>
                <w:szCs w:val="20"/>
                <w:vertAlign w:val="superscript"/>
              </w:rPr>
              <w:t>a</w:t>
            </w:r>
          </w:p>
        </w:tc>
        <w:tc>
          <w:tcPr>
            <w:tcW w:w="1668" w:type="dxa"/>
          </w:tcPr>
          <w:p w14:paraId="7A993155"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Pr>
          <w:p w14:paraId="7EBD12EF" w14:textId="77777777" w:rsidR="000F7AD3" w:rsidRDefault="000F7AD3">
            <w:pPr>
              <w:pStyle w:val="NormalWeb"/>
              <w:ind w:firstLine="450"/>
              <w:rPr>
                <w:rFonts w:ascii="Arial" w:eastAsia="Calibri" w:hAnsi="Arial" w:cs="Arial"/>
                <w:color w:val="000000"/>
                <w:sz w:val="20"/>
                <w:szCs w:val="20"/>
              </w:rPr>
            </w:pPr>
          </w:p>
        </w:tc>
      </w:tr>
    </w:tbl>
    <w:p w14:paraId="0C9E960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162A9CA1" w14:textId="3DC7BC3E" w:rsidR="000F7AD3" w:rsidRDefault="00AD2271">
      <w:pPr>
        <w:pStyle w:val="NormalWeb"/>
        <w:spacing w:before="0" w:after="0"/>
        <w:jc w:val="both"/>
        <w:rPr>
          <w:rFonts w:ascii="Arial" w:eastAsia="Calibri" w:hAnsi="Arial" w:cs="Arial"/>
          <w:b/>
          <w:bCs/>
          <w:color w:val="000000"/>
          <w:sz w:val="20"/>
          <w:szCs w:val="20"/>
        </w:rPr>
      </w:pPr>
      <w:bookmarkStart w:id="17" w:name="_Toc7716"/>
      <w:bookmarkStart w:id="18" w:name="_Toc32057"/>
      <w:bookmarkStart w:id="19" w:name="_Toc30223"/>
      <w:bookmarkStart w:id="20" w:name="_Toc45388271"/>
      <w:bookmarkStart w:id="21" w:name="_Toc1692"/>
      <w:bookmarkStart w:id="22" w:name="_Toc7591"/>
      <w:r>
        <w:rPr>
          <w:rFonts w:ascii="Arial" w:eastAsia="Calibri" w:hAnsi="Arial" w:cs="Arial"/>
          <w:b/>
          <w:bCs/>
          <w:color w:val="000000"/>
          <w:sz w:val="20"/>
          <w:szCs w:val="20"/>
        </w:rPr>
        <w:t>3.2 The effect of regions on fecal nematodes, coccidia and cestodes in broilers</w:t>
      </w:r>
      <w:bookmarkEnd w:id="17"/>
      <w:bookmarkEnd w:id="18"/>
      <w:bookmarkEnd w:id="19"/>
      <w:bookmarkEnd w:id="20"/>
      <w:bookmarkEnd w:id="21"/>
      <w:bookmarkEnd w:id="22"/>
    </w:p>
    <w:p w14:paraId="3843CC6C" w14:textId="77777777" w:rsidR="000F7AD3" w:rsidRDefault="00AD2271">
      <w:pPr>
        <w:pStyle w:val="NormalWeb"/>
        <w:ind w:firstLine="450"/>
        <w:jc w:val="both"/>
        <w:rPr>
          <w:rFonts w:ascii="Arial" w:eastAsia="Calibri" w:hAnsi="Arial" w:cs="Arial"/>
          <w:color w:val="000000"/>
          <w:sz w:val="20"/>
          <w:szCs w:val="20"/>
        </w:rPr>
      </w:pPr>
      <w:r>
        <w:rPr>
          <w:rFonts w:ascii="Arial" w:eastAsia="Calibri" w:hAnsi="Arial" w:cs="Arial"/>
          <w:color w:val="000000"/>
          <w:sz w:val="20"/>
          <w:szCs w:val="20"/>
        </w:rPr>
        <w:t>Coccidia was the most important gro</w:t>
      </w:r>
      <w:r>
        <w:rPr>
          <w:rFonts w:ascii="Arial" w:eastAsia="Calibri" w:hAnsi="Arial" w:cs="Arial"/>
          <w:color w:val="000000"/>
          <w:sz w:val="20"/>
          <w:szCs w:val="20"/>
        </w:rPr>
        <w:t>up of gastro-intestinal parasites in broilers. The results shown in the current study (Table 2) revealed that broiler birds in semi- urban area had higher fecal egg count estimated (1019.8) than those in urban areas (299.60). The FEC of coccidia was signif</w:t>
      </w:r>
      <w:r>
        <w:rPr>
          <w:rFonts w:ascii="Arial" w:eastAsia="Calibri" w:hAnsi="Arial" w:cs="Arial"/>
          <w:color w:val="000000"/>
          <w:sz w:val="20"/>
          <w:szCs w:val="20"/>
        </w:rPr>
        <w:t xml:space="preserve">icantly different (p˂0.05) between the two </w:t>
      </w:r>
      <w:proofErr w:type="spellStart"/>
      <w:r>
        <w:rPr>
          <w:rFonts w:ascii="Arial" w:eastAsia="Calibri" w:hAnsi="Arial" w:cs="Arial"/>
          <w:color w:val="000000"/>
          <w:sz w:val="20"/>
          <w:szCs w:val="20"/>
        </w:rPr>
        <w:t>agro</w:t>
      </w:r>
      <w:proofErr w:type="spellEnd"/>
      <w:r>
        <w:rPr>
          <w:rFonts w:ascii="Arial" w:eastAsia="Calibri" w:hAnsi="Arial" w:cs="Arial"/>
          <w:color w:val="000000"/>
          <w:sz w:val="20"/>
          <w:szCs w:val="20"/>
        </w:rPr>
        <w:t>-ecological zones. The study further indicated that the most predominant parasitic was coccidia as the infection rate was higher in semi-urban. Therefore, this means that the chances of broiler chickens in sem</w:t>
      </w:r>
      <w:r>
        <w:rPr>
          <w:rFonts w:ascii="Arial" w:eastAsia="Calibri" w:hAnsi="Arial" w:cs="Arial"/>
          <w:color w:val="000000"/>
          <w:sz w:val="20"/>
          <w:szCs w:val="20"/>
        </w:rPr>
        <w:t xml:space="preserve">i-urban area being infected by coccidia increases with 1 time compared to chances of broiler chickens in urban area to be infected by coccidia with 0.294 less. Also, nematodes and Cestodes infection rate was predominately higher in urban area with chances </w:t>
      </w:r>
      <w:r>
        <w:rPr>
          <w:rFonts w:ascii="Arial" w:eastAsia="Calibri" w:hAnsi="Arial" w:cs="Arial"/>
          <w:color w:val="000000"/>
          <w:sz w:val="20"/>
          <w:szCs w:val="20"/>
        </w:rPr>
        <w:t xml:space="preserve">of infection being 1.105 and 1.233 times as compared to chance of infection in broiler chickens from semi-urban area and the </w:t>
      </w:r>
      <w:r>
        <w:rPr>
          <w:rFonts w:ascii="Arial" w:eastAsia="Calibri" w:hAnsi="Arial" w:cs="Arial"/>
          <w:color w:val="000000"/>
          <w:sz w:val="20"/>
          <w:szCs w:val="20"/>
          <w:lang w:val="en-GB"/>
        </w:rPr>
        <w:t>faecal egg count</w:t>
      </w:r>
      <w:r>
        <w:rPr>
          <w:rFonts w:ascii="Arial" w:eastAsia="Calibri" w:hAnsi="Arial" w:cs="Arial"/>
          <w:color w:val="000000"/>
          <w:sz w:val="20"/>
          <w:szCs w:val="20"/>
        </w:rPr>
        <w:t xml:space="preserve"> of nematode and cestode was not significantly different (p˃0.05) between the two </w:t>
      </w:r>
      <w:proofErr w:type="spellStart"/>
      <w:r>
        <w:rPr>
          <w:rFonts w:ascii="Arial" w:eastAsia="Calibri" w:hAnsi="Arial" w:cs="Arial"/>
          <w:color w:val="000000"/>
          <w:sz w:val="20"/>
          <w:szCs w:val="20"/>
        </w:rPr>
        <w:t>agro</w:t>
      </w:r>
      <w:proofErr w:type="spellEnd"/>
      <w:r>
        <w:rPr>
          <w:rFonts w:ascii="Arial" w:eastAsia="Calibri" w:hAnsi="Arial" w:cs="Arial"/>
          <w:color w:val="000000"/>
          <w:sz w:val="20"/>
          <w:szCs w:val="20"/>
        </w:rPr>
        <w:t>-ecology. The findings of the</w:t>
      </w:r>
      <w:r>
        <w:rPr>
          <w:rFonts w:ascii="Arial" w:eastAsia="Calibri" w:hAnsi="Arial" w:cs="Arial"/>
          <w:color w:val="000000"/>
          <w:sz w:val="20"/>
          <w:szCs w:val="20"/>
        </w:rPr>
        <w:t xml:space="preserve"> current study showed a variation in infestation load of GITs as result of differences in management system, control practices in the farms and seasonal differences. However, (Opara </w:t>
      </w:r>
      <w:r>
        <w:rPr>
          <w:rFonts w:ascii="Arial" w:eastAsia="Calibri" w:hAnsi="Arial" w:cs="Arial"/>
          <w:i/>
          <w:color w:val="000000"/>
          <w:sz w:val="20"/>
          <w:szCs w:val="20"/>
        </w:rPr>
        <w:t>et al.,</w:t>
      </w:r>
      <w:r>
        <w:rPr>
          <w:rFonts w:ascii="Arial" w:eastAsia="Calibri" w:hAnsi="Arial" w:cs="Arial"/>
          <w:color w:val="000000"/>
          <w:sz w:val="20"/>
          <w:szCs w:val="20"/>
        </w:rPr>
        <w:t xml:space="preserve"> 2014), Ashenafi </w:t>
      </w:r>
      <w:r>
        <w:rPr>
          <w:rFonts w:ascii="Arial" w:eastAsia="Calibri" w:hAnsi="Arial" w:cs="Arial"/>
          <w:i/>
          <w:color w:val="000000"/>
          <w:sz w:val="20"/>
          <w:szCs w:val="20"/>
        </w:rPr>
        <w:t>et al</w:t>
      </w:r>
      <w:r>
        <w:rPr>
          <w:rFonts w:ascii="Arial" w:eastAsia="Calibri" w:hAnsi="Arial" w:cs="Arial"/>
          <w:color w:val="000000"/>
          <w:sz w:val="20"/>
          <w:szCs w:val="20"/>
        </w:rPr>
        <w:t xml:space="preserve">, (2002) and Haug </w:t>
      </w:r>
      <w:r>
        <w:rPr>
          <w:rFonts w:ascii="Arial" w:eastAsia="Calibri" w:hAnsi="Arial" w:cs="Arial"/>
          <w:i/>
          <w:color w:val="000000"/>
          <w:sz w:val="20"/>
          <w:szCs w:val="20"/>
        </w:rPr>
        <w:t>et al,</w:t>
      </w:r>
      <w:r>
        <w:rPr>
          <w:rFonts w:ascii="Arial" w:eastAsia="Calibri" w:hAnsi="Arial" w:cs="Arial"/>
          <w:color w:val="000000"/>
          <w:sz w:val="20"/>
          <w:szCs w:val="20"/>
        </w:rPr>
        <w:t xml:space="preserve"> (2008) confirmed tha</w:t>
      </w:r>
      <w:r>
        <w:rPr>
          <w:rFonts w:ascii="Arial" w:eastAsia="Calibri" w:hAnsi="Arial" w:cs="Arial"/>
          <w:color w:val="000000"/>
          <w:sz w:val="20"/>
          <w:szCs w:val="20"/>
        </w:rPr>
        <w:t xml:space="preserve">t the incidence of Coccidia varies with different climatic conditions. High prevalence might be attributed to highly humid geographical areas which favors </w:t>
      </w:r>
      <w:proofErr w:type="spellStart"/>
      <w:r>
        <w:rPr>
          <w:rFonts w:ascii="Arial" w:eastAsia="Calibri" w:hAnsi="Arial" w:cs="Arial"/>
          <w:color w:val="000000"/>
          <w:sz w:val="20"/>
          <w:szCs w:val="20"/>
        </w:rPr>
        <w:t>occyst</w:t>
      </w:r>
      <w:proofErr w:type="spellEnd"/>
      <w:r>
        <w:rPr>
          <w:rFonts w:ascii="Arial" w:eastAsia="Calibri" w:hAnsi="Arial" w:cs="Arial"/>
          <w:color w:val="000000"/>
          <w:sz w:val="20"/>
          <w:szCs w:val="20"/>
        </w:rPr>
        <w:t xml:space="preserve"> sporulation and poor management practices which encourage build-up of </w:t>
      </w:r>
      <w:proofErr w:type="spellStart"/>
      <w:r>
        <w:rPr>
          <w:rFonts w:ascii="Arial" w:eastAsia="Calibri" w:hAnsi="Arial" w:cs="Arial"/>
          <w:color w:val="000000"/>
          <w:sz w:val="20"/>
          <w:szCs w:val="20"/>
        </w:rPr>
        <w:t>occysts</w:t>
      </w:r>
      <w:proofErr w:type="spellEnd"/>
      <w:r>
        <w:rPr>
          <w:rFonts w:ascii="Arial" w:eastAsia="Calibri" w:hAnsi="Arial" w:cs="Arial"/>
          <w:color w:val="000000"/>
          <w:sz w:val="20"/>
          <w:szCs w:val="20"/>
        </w:rPr>
        <w:t xml:space="preserve"> of </w:t>
      </w:r>
      <w:proofErr w:type="spellStart"/>
      <w:r>
        <w:rPr>
          <w:rFonts w:ascii="Arial" w:eastAsia="Calibri" w:hAnsi="Arial" w:cs="Arial"/>
          <w:i/>
          <w:color w:val="000000"/>
          <w:sz w:val="20"/>
          <w:szCs w:val="20"/>
        </w:rPr>
        <w:t>Emmeria</w:t>
      </w:r>
      <w:proofErr w:type="spellEnd"/>
      <w:r>
        <w:rPr>
          <w:rFonts w:ascii="Arial" w:eastAsia="Calibri" w:hAnsi="Arial" w:cs="Arial"/>
          <w:color w:val="000000"/>
          <w:sz w:val="20"/>
          <w:szCs w:val="20"/>
        </w:rPr>
        <w:t xml:space="preserve"> and l</w:t>
      </w:r>
      <w:r>
        <w:rPr>
          <w:rFonts w:ascii="Arial" w:eastAsia="Calibri" w:hAnsi="Arial" w:cs="Arial"/>
          <w:color w:val="000000"/>
          <w:sz w:val="20"/>
          <w:szCs w:val="20"/>
        </w:rPr>
        <w:t>ack of regular disposal litter. The current study also revealed lower Cestode estimated marginal mean in broilers. Furthermore, there was possible odds for broilers in having increased Cestode infestation rate with 90 Estimated Marginal Mean if they were r</w:t>
      </w:r>
      <w:r>
        <w:rPr>
          <w:rFonts w:ascii="Arial" w:eastAsia="Calibri" w:hAnsi="Arial" w:cs="Arial"/>
          <w:color w:val="000000"/>
          <w:sz w:val="20"/>
          <w:szCs w:val="20"/>
        </w:rPr>
        <w:t xml:space="preserve">eared in urban areas than in semi-urban area (p˃0.05). The lower Cestode infestation intensity in the present study might be due to the fact that Cestode quality was mostly lost before being shed with </w:t>
      </w:r>
      <w:proofErr w:type="spellStart"/>
      <w:r>
        <w:rPr>
          <w:rFonts w:ascii="Arial" w:eastAsia="Calibri" w:hAnsi="Arial" w:cs="Arial"/>
          <w:color w:val="000000"/>
          <w:sz w:val="20"/>
          <w:szCs w:val="20"/>
        </w:rPr>
        <w:t>faeces</w:t>
      </w:r>
      <w:proofErr w:type="spellEnd"/>
      <w:r>
        <w:rPr>
          <w:rFonts w:ascii="Arial" w:eastAsia="Calibri" w:hAnsi="Arial" w:cs="Arial"/>
          <w:color w:val="000000"/>
          <w:sz w:val="20"/>
          <w:szCs w:val="20"/>
        </w:rPr>
        <w:t xml:space="preserve"> and even the eggs were distributed unequally wit</w:t>
      </w:r>
      <w:r>
        <w:rPr>
          <w:rFonts w:ascii="Arial" w:eastAsia="Calibri" w:hAnsi="Arial" w:cs="Arial"/>
          <w:color w:val="000000"/>
          <w:sz w:val="20"/>
          <w:szCs w:val="20"/>
        </w:rPr>
        <w:t xml:space="preserve">hin the </w:t>
      </w:r>
      <w:proofErr w:type="spellStart"/>
      <w:r>
        <w:rPr>
          <w:rFonts w:ascii="Arial" w:eastAsia="Calibri" w:hAnsi="Arial" w:cs="Arial"/>
          <w:color w:val="000000"/>
          <w:sz w:val="20"/>
          <w:szCs w:val="20"/>
        </w:rPr>
        <w:t>faecal</w:t>
      </w:r>
      <w:proofErr w:type="spellEnd"/>
      <w:r>
        <w:rPr>
          <w:rFonts w:ascii="Arial" w:eastAsia="Calibri" w:hAnsi="Arial" w:cs="Arial"/>
          <w:color w:val="000000"/>
          <w:sz w:val="20"/>
          <w:szCs w:val="20"/>
        </w:rPr>
        <w:t xml:space="preserve"> masses (</w:t>
      </w:r>
      <w:proofErr w:type="spellStart"/>
      <w:r>
        <w:rPr>
          <w:rFonts w:ascii="Arial" w:eastAsia="Calibri" w:hAnsi="Arial" w:cs="Arial"/>
          <w:color w:val="000000"/>
          <w:sz w:val="20"/>
          <w:szCs w:val="20"/>
        </w:rPr>
        <w:t>Nilsoon</w:t>
      </w:r>
      <w:proofErr w:type="spellEnd"/>
      <w:r>
        <w:rPr>
          <w:rFonts w:ascii="Arial" w:eastAsia="Calibri" w:hAnsi="Arial" w:cs="Arial"/>
          <w:color w:val="000000"/>
          <w:sz w:val="20"/>
          <w:szCs w:val="20"/>
        </w:rPr>
        <w:t xml:space="preserve"> </w:t>
      </w:r>
      <w:r>
        <w:rPr>
          <w:rFonts w:ascii="Arial" w:eastAsia="Calibri" w:hAnsi="Arial" w:cs="Arial"/>
          <w:i/>
          <w:color w:val="000000"/>
          <w:sz w:val="20"/>
          <w:szCs w:val="20"/>
        </w:rPr>
        <w:t xml:space="preserve">et al., </w:t>
      </w:r>
      <w:r>
        <w:rPr>
          <w:rFonts w:ascii="Arial" w:eastAsia="Calibri" w:hAnsi="Arial" w:cs="Arial"/>
          <w:color w:val="000000"/>
          <w:sz w:val="20"/>
          <w:szCs w:val="20"/>
        </w:rPr>
        <w:t xml:space="preserve">1995). Apart from that, </w:t>
      </w:r>
      <w:proofErr w:type="spellStart"/>
      <w:r>
        <w:rPr>
          <w:rFonts w:ascii="Arial" w:eastAsia="Calibri" w:hAnsi="Arial" w:cs="Arial"/>
          <w:color w:val="000000"/>
          <w:sz w:val="20"/>
          <w:szCs w:val="20"/>
        </w:rPr>
        <w:lastRenderedPageBreak/>
        <w:t>Meuna</w:t>
      </w:r>
      <w:proofErr w:type="spellEnd"/>
      <w:r>
        <w:rPr>
          <w:rFonts w:ascii="Arial" w:eastAsia="Calibri" w:hAnsi="Arial" w:cs="Arial"/>
          <w:color w:val="000000"/>
          <w:sz w:val="20"/>
          <w:szCs w:val="20"/>
        </w:rPr>
        <w:t xml:space="preserve"> </w:t>
      </w:r>
      <w:r>
        <w:rPr>
          <w:rFonts w:ascii="Arial" w:eastAsia="Calibri" w:hAnsi="Arial" w:cs="Arial"/>
          <w:i/>
          <w:color w:val="000000"/>
          <w:sz w:val="20"/>
          <w:szCs w:val="20"/>
        </w:rPr>
        <w:t>et al</w:t>
      </w:r>
      <w:r>
        <w:rPr>
          <w:rFonts w:ascii="Arial" w:eastAsia="Calibri" w:hAnsi="Arial" w:cs="Arial"/>
          <w:color w:val="000000"/>
          <w:sz w:val="20"/>
          <w:szCs w:val="20"/>
        </w:rPr>
        <w:t>, (1998) stated that, floatation technique was inadequate for the complete diagnosis of tapeworm eggs in chickens.</w:t>
      </w:r>
    </w:p>
    <w:p w14:paraId="7D180FF8"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t>Table 2</w:t>
      </w:r>
      <w:r>
        <w:rPr>
          <w:rFonts w:ascii="Arial" w:eastAsia="Calibri" w:hAnsi="Arial" w:cs="Arial"/>
          <w:color w:val="000000"/>
          <w:sz w:val="20"/>
          <w:szCs w:val="20"/>
        </w:rPr>
        <w:t>: The effect different regions on FEC Nematodes, Coccidia an</w:t>
      </w:r>
      <w:r>
        <w:rPr>
          <w:rFonts w:ascii="Arial" w:eastAsia="Calibri" w:hAnsi="Arial" w:cs="Arial"/>
          <w:color w:val="000000"/>
          <w:sz w:val="20"/>
          <w:szCs w:val="20"/>
        </w:rPr>
        <w:t xml:space="preserve">d Cestodes in broilers. </w:t>
      </w:r>
    </w:p>
    <w:tbl>
      <w:tblPr>
        <w:tblW w:w="10063" w:type="dxa"/>
        <w:tblBorders>
          <w:top w:val="single" w:sz="4" w:space="0" w:color="auto"/>
          <w:bottom w:val="single" w:sz="4" w:space="0" w:color="auto"/>
        </w:tblBorders>
        <w:tblLook w:val="04A0" w:firstRow="1" w:lastRow="0" w:firstColumn="1" w:lastColumn="0" w:noHBand="0" w:noVBand="1"/>
      </w:tblPr>
      <w:tblGrid>
        <w:gridCol w:w="1797"/>
        <w:gridCol w:w="2089"/>
        <w:gridCol w:w="3104"/>
        <w:gridCol w:w="1497"/>
        <w:gridCol w:w="1576"/>
      </w:tblGrid>
      <w:tr w:rsidR="000F7AD3" w14:paraId="094B5743" w14:textId="77777777">
        <w:trPr>
          <w:trHeight w:val="253"/>
        </w:trPr>
        <w:tc>
          <w:tcPr>
            <w:tcW w:w="1797" w:type="dxa"/>
            <w:tcBorders>
              <w:top w:val="single" w:sz="4" w:space="0" w:color="auto"/>
              <w:bottom w:val="single" w:sz="4" w:space="0" w:color="auto"/>
            </w:tcBorders>
          </w:tcPr>
          <w:p w14:paraId="79BD3C8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Regions</w:t>
            </w:r>
          </w:p>
        </w:tc>
        <w:tc>
          <w:tcPr>
            <w:tcW w:w="2089" w:type="dxa"/>
            <w:tcBorders>
              <w:top w:val="single" w:sz="4" w:space="0" w:color="auto"/>
              <w:bottom w:val="single" w:sz="4" w:space="0" w:color="auto"/>
            </w:tcBorders>
          </w:tcPr>
          <w:p w14:paraId="31E8DD2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3104" w:type="dxa"/>
            <w:tcBorders>
              <w:top w:val="single" w:sz="4" w:space="0" w:color="auto"/>
              <w:bottom w:val="single" w:sz="4" w:space="0" w:color="auto"/>
            </w:tcBorders>
          </w:tcPr>
          <w:p w14:paraId="3F2337D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EMM</w:t>
            </w:r>
          </w:p>
        </w:tc>
        <w:tc>
          <w:tcPr>
            <w:tcW w:w="1497" w:type="dxa"/>
            <w:tcBorders>
              <w:top w:val="single" w:sz="4" w:space="0" w:color="auto"/>
              <w:bottom w:val="single" w:sz="4" w:space="0" w:color="auto"/>
            </w:tcBorders>
          </w:tcPr>
          <w:p w14:paraId="55EB7222" w14:textId="77777777" w:rsidR="000F7AD3" w:rsidRDefault="00AD2271">
            <w:pPr>
              <w:pStyle w:val="NormalWeb"/>
              <w:jc w:val="both"/>
              <w:rPr>
                <w:rFonts w:ascii="Arial" w:eastAsia="Calibri" w:hAnsi="Arial" w:cs="Arial"/>
                <w:b/>
                <w:color w:val="000000"/>
                <w:sz w:val="20"/>
                <w:szCs w:val="20"/>
              </w:rPr>
            </w:pPr>
            <w:proofErr w:type="spellStart"/>
            <w:r>
              <w:rPr>
                <w:rFonts w:ascii="Arial" w:eastAsia="Calibri" w:hAnsi="Arial" w:cs="Arial"/>
                <w:b/>
                <w:color w:val="000000"/>
                <w:sz w:val="20"/>
                <w:szCs w:val="20"/>
              </w:rPr>
              <w:t>Exp.B</w:t>
            </w:r>
            <w:proofErr w:type="spellEnd"/>
          </w:p>
        </w:tc>
        <w:tc>
          <w:tcPr>
            <w:tcW w:w="1576" w:type="dxa"/>
            <w:tcBorders>
              <w:top w:val="single" w:sz="4" w:space="0" w:color="auto"/>
              <w:bottom w:val="single" w:sz="4" w:space="0" w:color="auto"/>
            </w:tcBorders>
          </w:tcPr>
          <w:p w14:paraId="75D83ED9"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3B405A32" w14:textId="77777777">
        <w:trPr>
          <w:trHeight w:val="244"/>
        </w:trPr>
        <w:tc>
          <w:tcPr>
            <w:tcW w:w="1797" w:type="dxa"/>
            <w:tcBorders>
              <w:top w:val="single" w:sz="4" w:space="0" w:color="auto"/>
              <w:bottom w:val="single" w:sz="4" w:space="0" w:color="auto"/>
            </w:tcBorders>
          </w:tcPr>
          <w:p w14:paraId="537A9155" w14:textId="77777777" w:rsidR="000F7AD3" w:rsidRDefault="000F7AD3">
            <w:pPr>
              <w:pStyle w:val="NormalWeb"/>
              <w:jc w:val="both"/>
              <w:rPr>
                <w:rFonts w:ascii="Arial" w:eastAsia="Calibri" w:hAnsi="Arial" w:cs="Arial"/>
                <w:b/>
                <w:color w:val="000000"/>
                <w:sz w:val="20"/>
                <w:szCs w:val="20"/>
              </w:rPr>
            </w:pPr>
          </w:p>
        </w:tc>
        <w:tc>
          <w:tcPr>
            <w:tcW w:w="2089" w:type="dxa"/>
            <w:tcBorders>
              <w:top w:val="single" w:sz="4" w:space="0" w:color="auto"/>
              <w:bottom w:val="single" w:sz="4" w:space="0" w:color="auto"/>
            </w:tcBorders>
          </w:tcPr>
          <w:p w14:paraId="18FE6C42" w14:textId="77777777" w:rsidR="000F7AD3" w:rsidRDefault="000F7AD3">
            <w:pPr>
              <w:pStyle w:val="NormalWeb"/>
              <w:jc w:val="both"/>
              <w:rPr>
                <w:rFonts w:ascii="Arial" w:eastAsia="Calibri" w:hAnsi="Arial" w:cs="Arial"/>
                <w:color w:val="000000"/>
                <w:sz w:val="20"/>
                <w:szCs w:val="20"/>
              </w:rPr>
            </w:pPr>
          </w:p>
        </w:tc>
        <w:tc>
          <w:tcPr>
            <w:tcW w:w="3104" w:type="dxa"/>
            <w:tcBorders>
              <w:top w:val="single" w:sz="4" w:space="0" w:color="auto"/>
              <w:bottom w:val="single" w:sz="4" w:space="0" w:color="auto"/>
            </w:tcBorders>
          </w:tcPr>
          <w:p w14:paraId="1A0470BB"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Nematodes</w:t>
            </w:r>
          </w:p>
        </w:tc>
        <w:tc>
          <w:tcPr>
            <w:tcW w:w="1497" w:type="dxa"/>
            <w:tcBorders>
              <w:top w:val="single" w:sz="4" w:space="0" w:color="auto"/>
              <w:bottom w:val="single" w:sz="4" w:space="0" w:color="auto"/>
            </w:tcBorders>
          </w:tcPr>
          <w:p w14:paraId="58FCDAB2" w14:textId="77777777" w:rsidR="000F7AD3" w:rsidRDefault="000F7AD3">
            <w:pPr>
              <w:pStyle w:val="NormalWeb"/>
              <w:jc w:val="both"/>
              <w:rPr>
                <w:rFonts w:ascii="Arial" w:eastAsia="Calibri" w:hAnsi="Arial" w:cs="Arial"/>
                <w:color w:val="000000"/>
                <w:sz w:val="20"/>
                <w:szCs w:val="20"/>
                <w:vertAlign w:val="superscript"/>
              </w:rPr>
            </w:pPr>
          </w:p>
        </w:tc>
        <w:tc>
          <w:tcPr>
            <w:tcW w:w="1576" w:type="dxa"/>
            <w:tcBorders>
              <w:top w:val="single" w:sz="4" w:space="0" w:color="auto"/>
              <w:bottom w:val="single" w:sz="4" w:space="0" w:color="auto"/>
            </w:tcBorders>
          </w:tcPr>
          <w:p w14:paraId="6D3F863B" w14:textId="77777777" w:rsidR="000F7AD3" w:rsidRDefault="000F7AD3">
            <w:pPr>
              <w:pStyle w:val="NormalWeb"/>
              <w:jc w:val="both"/>
              <w:rPr>
                <w:rFonts w:ascii="Arial" w:eastAsia="Calibri" w:hAnsi="Arial" w:cs="Arial"/>
                <w:color w:val="000000"/>
                <w:sz w:val="20"/>
                <w:szCs w:val="20"/>
              </w:rPr>
            </w:pPr>
          </w:p>
        </w:tc>
      </w:tr>
      <w:tr w:rsidR="000F7AD3" w14:paraId="2F82545C" w14:textId="77777777">
        <w:trPr>
          <w:trHeight w:val="399"/>
        </w:trPr>
        <w:tc>
          <w:tcPr>
            <w:tcW w:w="1797" w:type="dxa"/>
            <w:tcBorders>
              <w:top w:val="single" w:sz="4" w:space="0" w:color="auto"/>
            </w:tcBorders>
          </w:tcPr>
          <w:p w14:paraId="210DC0CF"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3CDBF0D1"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7A805192"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189.00</w:t>
            </w:r>
            <w:r>
              <w:rPr>
                <w:rFonts w:ascii="Arial" w:eastAsia="Calibri" w:hAnsi="Arial" w:cs="Arial"/>
                <w:color w:val="000000"/>
                <w:sz w:val="20"/>
                <w:szCs w:val="20"/>
                <w:vertAlign w:val="superscript"/>
              </w:rPr>
              <w:t>a</w:t>
            </w:r>
          </w:p>
        </w:tc>
        <w:tc>
          <w:tcPr>
            <w:tcW w:w="1497" w:type="dxa"/>
            <w:tcBorders>
              <w:top w:val="single" w:sz="4" w:space="0" w:color="auto"/>
            </w:tcBorders>
          </w:tcPr>
          <w:p w14:paraId="4F3BEEAE"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1.105</w:t>
            </w:r>
          </w:p>
        </w:tc>
        <w:tc>
          <w:tcPr>
            <w:tcW w:w="1576" w:type="dxa"/>
            <w:vMerge w:val="restart"/>
            <w:tcBorders>
              <w:top w:val="single" w:sz="4" w:space="0" w:color="auto"/>
            </w:tcBorders>
          </w:tcPr>
          <w:p w14:paraId="70BC2CEE" w14:textId="77777777" w:rsidR="000F7AD3" w:rsidRDefault="000F7AD3">
            <w:pPr>
              <w:pStyle w:val="NormalWeb"/>
              <w:jc w:val="both"/>
              <w:rPr>
                <w:rFonts w:ascii="Arial" w:eastAsia="Calibri" w:hAnsi="Arial" w:cs="Arial"/>
                <w:color w:val="000000"/>
                <w:sz w:val="20"/>
                <w:szCs w:val="20"/>
              </w:rPr>
            </w:pPr>
          </w:p>
          <w:p w14:paraId="78B71AD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0.763</w:t>
            </w:r>
          </w:p>
        </w:tc>
      </w:tr>
      <w:tr w:rsidR="000F7AD3" w14:paraId="43AA9032" w14:textId="77777777">
        <w:trPr>
          <w:trHeight w:val="160"/>
        </w:trPr>
        <w:tc>
          <w:tcPr>
            <w:tcW w:w="1797" w:type="dxa"/>
            <w:tcBorders>
              <w:bottom w:val="nil"/>
            </w:tcBorders>
          </w:tcPr>
          <w:p w14:paraId="79FA7D55"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06678BCE"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bottom w:val="nil"/>
            </w:tcBorders>
          </w:tcPr>
          <w:p w14:paraId="634EF50A"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171.00</w:t>
            </w:r>
            <w:r>
              <w:rPr>
                <w:rFonts w:ascii="Arial" w:eastAsia="Calibri" w:hAnsi="Arial" w:cs="Arial"/>
                <w:color w:val="000000"/>
                <w:sz w:val="20"/>
                <w:szCs w:val="20"/>
                <w:vertAlign w:val="superscript"/>
              </w:rPr>
              <w:t>a</w:t>
            </w:r>
          </w:p>
        </w:tc>
        <w:tc>
          <w:tcPr>
            <w:tcW w:w="1497" w:type="dxa"/>
            <w:tcBorders>
              <w:bottom w:val="nil"/>
            </w:tcBorders>
          </w:tcPr>
          <w:p w14:paraId="3A70A84A"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70E0C795" w14:textId="77777777" w:rsidR="000F7AD3" w:rsidRDefault="000F7AD3">
            <w:pPr>
              <w:pStyle w:val="NormalWeb"/>
              <w:jc w:val="both"/>
              <w:rPr>
                <w:rFonts w:ascii="Arial" w:eastAsia="Calibri" w:hAnsi="Arial" w:cs="Arial"/>
                <w:color w:val="000000"/>
                <w:sz w:val="20"/>
                <w:szCs w:val="20"/>
              </w:rPr>
            </w:pPr>
          </w:p>
        </w:tc>
      </w:tr>
      <w:tr w:rsidR="000F7AD3" w14:paraId="15792CBD" w14:textId="77777777">
        <w:trPr>
          <w:trHeight w:val="357"/>
        </w:trPr>
        <w:tc>
          <w:tcPr>
            <w:tcW w:w="1797" w:type="dxa"/>
            <w:tcBorders>
              <w:top w:val="nil"/>
              <w:bottom w:val="single" w:sz="4" w:space="0" w:color="auto"/>
            </w:tcBorders>
          </w:tcPr>
          <w:p w14:paraId="61AE20C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713FC28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1AAEA083"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Coccidia</w:t>
            </w:r>
          </w:p>
        </w:tc>
        <w:tc>
          <w:tcPr>
            <w:tcW w:w="1497" w:type="dxa"/>
            <w:tcBorders>
              <w:top w:val="nil"/>
              <w:bottom w:val="single" w:sz="4" w:space="0" w:color="auto"/>
            </w:tcBorders>
          </w:tcPr>
          <w:p w14:paraId="3B7B2925"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1B5FC89" w14:textId="77777777" w:rsidR="000F7AD3" w:rsidRDefault="000F7AD3">
            <w:pPr>
              <w:pStyle w:val="NormalWeb"/>
              <w:jc w:val="both"/>
              <w:rPr>
                <w:rFonts w:ascii="Arial" w:eastAsia="Calibri" w:hAnsi="Arial" w:cs="Arial"/>
                <w:color w:val="000000"/>
                <w:sz w:val="20"/>
                <w:szCs w:val="20"/>
              </w:rPr>
            </w:pPr>
          </w:p>
        </w:tc>
      </w:tr>
      <w:tr w:rsidR="000F7AD3" w14:paraId="60DA5B59" w14:textId="77777777">
        <w:trPr>
          <w:trHeight w:val="244"/>
        </w:trPr>
        <w:tc>
          <w:tcPr>
            <w:tcW w:w="1797" w:type="dxa"/>
            <w:tcBorders>
              <w:top w:val="single" w:sz="4" w:space="0" w:color="auto"/>
            </w:tcBorders>
          </w:tcPr>
          <w:p w14:paraId="7D5D769B"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03A73CC"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1F7409A3"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299.60</w:t>
            </w:r>
            <w:r>
              <w:rPr>
                <w:rFonts w:ascii="Arial" w:eastAsia="Calibri" w:hAnsi="Arial" w:cs="Arial"/>
                <w:color w:val="000000"/>
                <w:sz w:val="20"/>
                <w:szCs w:val="20"/>
                <w:vertAlign w:val="superscript"/>
              </w:rPr>
              <w:t>a</w:t>
            </w:r>
          </w:p>
        </w:tc>
        <w:tc>
          <w:tcPr>
            <w:tcW w:w="1497" w:type="dxa"/>
            <w:tcBorders>
              <w:top w:val="single" w:sz="4" w:space="0" w:color="auto"/>
            </w:tcBorders>
          </w:tcPr>
          <w:p w14:paraId="7E2C40F1"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0.294</w:t>
            </w:r>
          </w:p>
        </w:tc>
        <w:tc>
          <w:tcPr>
            <w:tcW w:w="1576" w:type="dxa"/>
            <w:vMerge w:val="restart"/>
            <w:tcBorders>
              <w:top w:val="single" w:sz="4" w:space="0" w:color="auto"/>
            </w:tcBorders>
          </w:tcPr>
          <w:p w14:paraId="77D3F3D7" w14:textId="77777777" w:rsidR="000F7AD3" w:rsidRDefault="000F7AD3">
            <w:pPr>
              <w:pStyle w:val="NormalWeb"/>
              <w:jc w:val="both"/>
              <w:rPr>
                <w:rFonts w:ascii="Arial" w:eastAsia="Calibri" w:hAnsi="Arial" w:cs="Arial"/>
                <w:color w:val="000000"/>
                <w:sz w:val="20"/>
                <w:szCs w:val="20"/>
              </w:rPr>
            </w:pPr>
          </w:p>
          <w:p w14:paraId="71558B90"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0.003</w:t>
            </w:r>
          </w:p>
        </w:tc>
      </w:tr>
      <w:tr w:rsidR="000F7AD3" w14:paraId="2B4069BE" w14:textId="77777777">
        <w:trPr>
          <w:trHeight w:val="248"/>
        </w:trPr>
        <w:tc>
          <w:tcPr>
            <w:tcW w:w="1797" w:type="dxa"/>
            <w:tcBorders>
              <w:bottom w:val="nil"/>
            </w:tcBorders>
          </w:tcPr>
          <w:p w14:paraId="7FA69FA3"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67861A2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Borders>
              <w:bottom w:val="nil"/>
            </w:tcBorders>
          </w:tcPr>
          <w:p w14:paraId="248DC21D"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1019.8</w:t>
            </w:r>
            <w:r>
              <w:rPr>
                <w:rFonts w:ascii="Arial" w:eastAsia="Calibri" w:hAnsi="Arial" w:cs="Arial"/>
                <w:color w:val="000000"/>
                <w:sz w:val="20"/>
                <w:szCs w:val="20"/>
                <w:vertAlign w:val="superscript"/>
              </w:rPr>
              <w:t>b</w:t>
            </w:r>
          </w:p>
        </w:tc>
        <w:tc>
          <w:tcPr>
            <w:tcW w:w="1497" w:type="dxa"/>
            <w:tcBorders>
              <w:bottom w:val="nil"/>
            </w:tcBorders>
          </w:tcPr>
          <w:p w14:paraId="3D11BA4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2B7B804D" w14:textId="77777777" w:rsidR="000F7AD3" w:rsidRDefault="000F7AD3">
            <w:pPr>
              <w:pStyle w:val="NormalWeb"/>
              <w:jc w:val="both"/>
              <w:rPr>
                <w:rFonts w:ascii="Arial" w:eastAsia="Calibri" w:hAnsi="Arial" w:cs="Arial"/>
                <w:color w:val="000000"/>
                <w:sz w:val="20"/>
                <w:szCs w:val="20"/>
              </w:rPr>
            </w:pPr>
          </w:p>
        </w:tc>
      </w:tr>
      <w:tr w:rsidR="000F7AD3" w14:paraId="0959F1BC" w14:textId="77777777">
        <w:trPr>
          <w:trHeight w:val="120"/>
        </w:trPr>
        <w:tc>
          <w:tcPr>
            <w:tcW w:w="1797" w:type="dxa"/>
            <w:tcBorders>
              <w:top w:val="nil"/>
              <w:bottom w:val="single" w:sz="4" w:space="0" w:color="auto"/>
            </w:tcBorders>
          </w:tcPr>
          <w:p w14:paraId="45495A2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348DAEF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543681CD"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Cestodes</w:t>
            </w:r>
          </w:p>
        </w:tc>
        <w:tc>
          <w:tcPr>
            <w:tcW w:w="1497" w:type="dxa"/>
            <w:tcBorders>
              <w:top w:val="nil"/>
              <w:bottom w:val="single" w:sz="4" w:space="0" w:color="auto"/>
            </w:tcBorders>
          </w:tcPr>
          <w:p w14:paraId="7460D804"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DDB5411" w14:textId="77777777" w:rsidR="000F7AD3" w:rsidRDefault="000F7AD3">
            <w:pPr>
              <w:pStyle w:val="NormalWeb"/>
              <w:jc w:val="both"/>
              <w:rPr>
                <w:rFonts w:ascii="Arial" w:eastAsia="Calibri" w:hAnsi="Arial" w:cs="Arial"/>
                <w:color w:val="000000"/>
                <w:sz w:val="20"/>
                <w:szCs w:val="20"/>
              </w:rPr>
            </w:pPr>
          </w:p>
        </w:tc>
      </w:tr>
      <w:tr w:rsidR="000F7AD3" w14:paraId="10B51BD8" w14:textId="77777777">
        <w:trPr>
          <w:trHeight w:val="378"/>
        </w:trPr>
        <w:tc>
          <w:tcPr>
            <w:tcW w:w="1797" w:type="dxa"/>
            <w:tcBorders>
              <w:top w:val="single" w:sz="4" w:space="0" w:color="auto"/>
            </w:tcBorders>
          </w:tcPr>
          <w:p w14:paraId="19AF3FA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1466168"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01D86AA8"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90.00</w:t>
            </w:r>
            <w:r>
              <w:rPr>
                <w:rFonts w:ascii="Arial" w:eastAsia="Calibri" w:hAnsi="Arial" w:cs="Arial"/>
                <w:color w:val="000000"/>
                <w:sz w:val="20"/>
                <w:szCs w:val="20"/>
                <w:vertAlign w:val="superscript"/>
              </w:rPr>
              <w:t>a</w:t>
            </w:r>
          </w:p>
        </w:tc>
        <w:tc>
          <w:tcPr>
            <w:tcW w:w="1497" w:type="dxa"/>
            <w:tcBorders>
              <w:top w:val="single" w:sz="4" w:space="0" w:color="auto"/>
            </w:tcBorders>
          </w:tcPr>
          <w:p w14:paraId="2C621355"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1.233</w:t>
            </w:r>
          </w:p>
        </w:tc>
        <w:tc>
          <w:tcPr>
            <w:tcW w:w="1576" w:type="dxa"/>
            <w:vMerge w:val="restart"/>
            <w:tcBorders>
              <w:top w:val="single" w:sz="4" w:space="0" w:color="auto"/>
            </w:tcBorders>
          </w:tcPr>
          <w:p w14:paraId="5A23853C" w14:textId="77777777" w:rsidR="000F7AD3" w:rsidRDefault="000F7AD3">
            <w:pPr>
              <w:pStyle w:val="NormalWeb"/>
              <w:jc w:val="both"/>
              <w:rPr>
                <w:rFonts w:ascii="Arial" w:eastAsia="Calibri" w:hAnsi="Arial" w:cs="Arial"/>
                <w:color w:val="000000"/>
                <w:sz w:val="20"/>
                <w:szCs w:val="20"/>
              </w:rPr>
            </w:pPr>
          </w:p>
          <w:p w14:paraId="141FD5EC"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0.562</w:t>
            </w:r>
          </w:p>
        </w:tc>
      </w:tr>
      <w:tr w:rsidR="000F7AD3" w14:paraId="1735B4B4" w14:textId="77777777">
        <w:trPr>
          <w:trHeight w:val="259"/>
        </w:trPr>
        <w:tc>
          <w:tcPr>
            <w:tcW w:w="1797" w:type="dxa"/>
          </w:tcPr>
          <w:p w14:paraId="4E0E08FD"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Pr>
          <w:p w14:paraId="03BEA06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Pr>
          <w:p w14:paraId="390AFEC1"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73.00</w:t>
            </w:r>
            <w:r>
              <w:rPr>
                <w:rFonts w:ascii="Arial" w:eastAsia="Calibri" w:hAnsi="Arial" w:cs="Arial"/>
                <w:color w:val="000000"/>
                <w:sz w:val="20"/>
                <w:szCs w:val="20"/>
                <w:vertAlign w:val="superscript"/>
              </w:rPr>
              <w:t>a</w:t>
            </w:r>
          </w:p>
        </w:tc>
        <w:tc>
          <w:tcPr>
            <w:tcW w:w="1497" w:type="dxa"/>
          </w:tcPr>
          <w:p w14:paraId="315BC9A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Pr>
          <w:p w14:paraId="05B84048" w14:textId="77777777" w:rsidR="000F7AD3" w:rsidRDefault="000F7AD3">
            <w:pPr>
              <w:pStyle w:val="NormalWeb"/>
              <w:jc w:val="both"/>
              <w:rPr>
                <w:rFonts w:ascii="Arial" w:eastAsia="Calibri" w:hAnsi="Arial" w:cs="Arial"/>
                <w:color w:val="000000"/>
                <w:sz w:val="20"/>
                <w:szCs w:val="20"/>
              </w:rPr>
            </w:pPr>
          </w:p>
        </w:tc>
      </w:tr>
    </w:tbl>
    <w:p w14:paraId="3F907FFF"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79366A5F" w14:textId="77777777" w:rsidR="000F7AD3" w:rsidRDefault="000F7AD3">
      <w:pPr>
        <w:pStyle w:val="Body"/>
        <w:spacing w:after="0"/>
        <w:rPr>
          <w:rFonts w:ascii="Arial" w:hAnsi="Arial" w:cs="Arial"/>
        </w:rPr>
      </w:pPr>
    </w:p>
    <w:p w14:paraId="7188C04B" w14:textId="77777777" w:rsidR="000F7AD3" w:rsidRDefault="00AD2271">
      <w:pPr>
        <w:pStyle w:val="ConcHead"/>
        <w:spacing w:after="0"/>
        <w:jc w:val="both"/>
        <w:rPr>
          <w:rFonts w:ascii="Arial" w:hAnsi="Arial" w:cs="Arial"/>
        </w:rPr>
      </w:pPr>
      <w:r>
        <w:rPr>
          <w:rFonts w:ascii="Arial" w:hAnsi="Arial" w:cs="Arial"/>
        </w:rPr>
        <w:t>4. Conclusion</w:t>
      </w:r>
    </w:p>
    <w:p w14:paraId="7AC6EE04" w14:textId="77777777" w:rsidR="000F7AD3" w:rsidRDefault="000F7AD3">
      <w:pPr>
        <w:pStyle w:val="ConcHead"/>
        <w:spacing w:after="0"/>
        <w:jc w:val="both"/>
        <w:rPr>
          <w:rFonts w:ascii="Arial" w:hAnsi="Arial" w:cs="Arial"/>
        </w:rPr>
      </w:pPr>
    </w:p>
    <w:p w14:paraId="3D2BB14C" w14:textId="77777777" w:rsidR="000F7AD3" w:rsidRDefault="00AD2271">
      <w:pPr>
        <w:jc w:val="both"/>
        <w:rPr>
          <w:rFonts w:ascii="Arial" w:eastAsia="Calibri" w:hAnsi="Arial" w:cs="Arial"/>
        </w:rPr>
      </w:pPr>
      <w:r>
        <w:rPr>
          <w:rFonts w:ascii="Arial" w:eastAsia="Calibri" w:hAnsi="Arial" w:cs="Arial"/>
        </w:rPr>
        <w:t xml:space="preserve">The study concludes that, despite the significant role of poultry production as a source of animal protein, both </w:t>
      </w:r>
      <w:proofErr w:type="spellStart"/>
      <w:r>
        <w:rPr>
          <w:rFonts w:ascii="Arial" w:eastAsia="Calibri" w:hAnsi="Arial" w:cs="Arial"/>
        </w:rPr>
        <w:t>agro</w:t>
      </w:r>
      <w:proofErr w:type="spellEnd"/>
      <w:r>
        <w:rPr>
          <w:rFonts w:ascii="Arial" w:eastAsia="Calibri" w:hAnsi="Arial" w:cs="Arial"/>
        </w:rPr>
        <w:t>-ecological zones in the study were highly exposed with high parasitic burden, which leads to low productivity. In urban areas there was hi</w:t>
      </w:r>
      <w:r>
        <w:rPr>
          <w:rFonts w:ascii="Arial" w:eastAsia="Calibri" w:hAnsi="Arial" w:cs="Arial"/>
        </w:rPr>
        <w:t xml:space="preserve">gher parasites </w:t>
      </w:r>
      <w:r>
        <w:rPr>
          <w:rFonts w:ascii="Arial" w:eastAsia="Calibri" w:hAnsi="Arial" w:cs="Arial"/>
          <w:lang w:val="en-GB"/>
        </w:rPr>
        <w:t>faecal egg count</w:t>
      </w:r>
      <w:r>
        <w:rPr>
          <w:rFonts w:ascii="Arial" w:eastAsia="Calibri" w:hAnsi="Arial" w:cs="Arial"/>
        </w:rPr>
        <w:t xml:space="preserve"> than in semi-urban area. The present study clearly indicates that broilers kept in semi-urban area had a better bio-security than chicken kept in urban area. The study concludes that the </w:t>
      </w:r>
      <w:r>
        <w:rPr>
          <w:rFonts w:ascii="Arial" w:eastAsia="Calibri" w:hAnsi="Arial" w:cs="Arial"/>
          <w:lang w:val="en-GB"/>
        </w:rPr>
        <w:t>faecal egg count</w:t>
      </w:r>
      <w:r>
        <w:rPr>
          <w:rFonts w:ascii="Arial" w:eastAsia="Calibri" w:hAnsi="Arial" w:cs="Arial"/>
        </w:rPr>
        <w:t xml:space="preserve"> of gastrointestinal parasites infection is not significantly different in the two </w:t>
      </w:r>
      <w:proofErr w:type="spellStart"/>
      <w:r>
        <w:rPr>
          <w:rFonts w:ascii="Arial" w:eastAsia="Calibri" w:hAnsi="Arial" w:cs="Arial"/>
        </w:rPr>
        <w:t>agro</w:t>
      </w:r>
      <w:proofErr w:type="spellEnd"/>
      <w:r>
        <w:rPr>
          <w:rFonts w:ascii="Arial" w:eastAsia="Calibri" w:hAnsi="Arial" w:cs="Arial"/>
        </w:rPr>
        <w:t xml:space="preserve">-ecological zone based on farmer’s interview. Again, the </w:t>
      </w:r>
      <w:r>
        <w:rPr>
          <w:rFonts w:ascii="Arial" w:eastAsia="Calibri" w:hAnsi="Arial" w:cs="Arial"/>
          <w:lang w:val="en-GB"/>
        </w:rPr>
        <w:t>faecal egg count</w:t>
      </w:r>
      <w:r>
        <w:rPr>
          <w:rFonts w:ascii="Arial" w:eastAsia="Calibri" w:hAnsi="Arial" w:cs="Arial"/>
        </w:rPr>
        <w:t xml:space="preserve"> of gastrointestinal parasites infection is lower in broiler age group between 4-3 weeks than in</w:t>
      </w:r>
      <w:r>
        <w:rPr>
          <w:rFonts w:ascii="Arial" w:eastAsia="Calibri" w:hAnsi="Arial" w:cs="Arial"/>
        </w:rPr>
        <w:t xml:space="preserve"> older chickens of age group between 6-5 weeks. The results showed that traditional medicine can lower the incidence of the GIP of broiler chickens compared to scientific medicine.</w:t>
      </w:r>
      <w:bookmarkStart w:id="23" w:name="_Toc7035"/>
      <w:bookmarkStart w:id="24" w:name="_Toc16107"/>
      <w:bookmarkStart w:id="25" w:name="_Toc107034747"/>
      <w:bookmarkStart w:id="26" w:name="_Toc4033"/>
      <w:bookmarkStart w:id="27" w:name="_Toc30793"/>
      <w:bookmarkStart w:id="28" w:name="_Toc683"/>
      <w:bookmarkEnd w:id="23"/>
      <w:bookmarkEnd w:id="24"/>
      <w:bookmarkEnd w:id="25"/>
      <w:bookmarkEnd w:id="26"/>
      <w:bookmarkEnd w:id="27"/>
      <w:bookmarkEnd w:id="28"/>
    </w:p>
    <w:p w14:paraId="246E803F" w14:textId="77777777" w:rsidR="000F7AD3" w:rsidRDefault="000F7AD3">
      <w:pPr>
        <w:pStyle w:val="AcknHead"/>
        <w:spacing w:after="0"/>
        <w:jc w:val="both"/>
        <w:rPr>
          <w:rFonts w:ascii="Arial" w:hAnsi="Arial" w:cs="Arial"/>
        </w:rPr>
      </w:pPr>
    </w:p>
    <w:p w14:paraId="5FCE9335" w14:textId="77777777" w:rsidR="000F7AD3" w:rsidRDefault="000F7AD3">
      <w:pPr>
        <w:pStyle w:val="ReferHead"/>
        <w:spacing w:after="0"/>
        <w:jc w:val="both"/>
        <w:rPr>
          <w:rFonts w:ascii="Arial" w:hAnsi="Arial" w:cs="Arial"/>
          <w:b w:val="0"/>
          <w:caps w:val="0"/>
          <w:sz w:val="20"/>
        </w:rPr>
      </w:pPr>
    </w:p>
    <w:p w14:paraId="570261AA" w14:textId="77777777" w:rsidR="000F7AD3" w:rsidRDefault="00AD2271">
      <w:pPr>
        <w:pStyle w:val="ReferHead"/>
        <w:spacing w:after="0"/>
        <w:jc w:val="both"/>
        <w:rPr>
          <w:rFonts w:ascii="Arial" w:hAnsi="Arial" w:cs="Arial"/>
          <w:bCs/>
        </w:rPr>
      </w:pPr>
      <w:r>
        <w:rPr>
          <w:rFonts w:ascii="Arial" w:hAnsi="Arial" w:cs="Arial"/>
          <w:bCs/>
        </w:rPr>
        <w:t>Ethical approval (where ever applicable)</w:t>
      </w:r>
    </w:p>
    <w:p w14:paraId="0E919BEC" w14:textId="77777777" w:rsidR="000F7AD3" w:rsidRDefault="000F7AD3">
      <w:pPr>
        <w:pStyle w:val="ReferHead"/>
        <w:spacing w:after="0"/>
        <w:jc w:val="both"/>
        <w:rPr>
          <w:rFonts w:ascii="Arial" w:hAnsi="Arial" w:cs="Arial"/>
          <w:bCs/>
        </w:rPr>
      </w:pPr>
    </w:p>
    <w:p w14:paraId="6C98C2FB" w14:textId="77777777" w:rsidR="000F7AD3" w:rsidRDefault="00AD2271">
      <w:pPr>
        <w:jc w:val="both"/>
        <w:rPr>
          <w:rFonts w:ascii="Arial" w:eastAsia="Calibri" w:hAnsi="Arial" w:cs="Arial"/>
        </w:rPr>
      </w:pPr>
      <w:r>
        <w:rPr>
          <w:rFonts w:ascii="Arial" w:hAnsi="Arial" w:cs="Arial"/>
        </w:rPr>
        <w:t xml:space="preserve">The research and </w:t>
      </w:r>
      <w:r>
        <w:rPr>
          <w:rFonts w:ascii="Arial" w:hAnsi="Arial" w:cs="Arial"/>
        </w:rPr>
        <w:t>ethics committee in the Department of Animal Science of the National University of Lesotho approved the current study based on international welfare standards for use of animals in conducting research.</w:t>
      </w:r>
    </w:p>
    <w:p w14:paraId="15BD4B57" w14:textId="77777777" w:rsidR="000F7AD3" w:rsidRDefault="000F7AD3">
      <w:pPr>
        <w:pStyle w:val="ReferHead"/>
        <w:spacing w:after="0"/>
        <w:jc w:val="both"/>
        <w:rPr>
          <w:rFonts w:ascii="Arial" w:hAnsi="Arial" w:cs="Arial"/>
        </w:rPr>
      </w:pPr>
    </w:p>
    <w:p w14:paraId="45079646" w14:textId="77777777" w:rsidR="000F7AD3" w:rsidRDefault="00AD2271">
      <w:pPr>
        <w:pStyle w:val="ReferHead"/>
        <w:spacing w:after="0"/>
        <w:jc w:val="both"/>
        <w:rPr>
          <w:rFonts w:ascii="Arial" w:hAnsi="Arial" w:cs="Arial"/>
        </w:rPr>
      </w:pPr>
      <w:r>
        <w:rPr>
          <w:rFonts w:ascii="Arial" w:hAnsi="Arial" w:cs="Arial"/>
        </w:rPr>
        <w:t>References</w:t>
      </w:r>
    </w:p>
    <w:p w14:paraId="3842C386" w14:textId="77777777" w:rsidR="000F7AD3" w:rsidRDefault="00AD2271">
      <w:pPr>
        <w:pStyle w:val="NormalWeb"/>
      </w:pPr>
      <w:r>
        <w:t>Agyare, C., Boamah, E. V., Zumbi, N. C., &amp;</w:t>
      </w:r>
      <w:r>
        <w:t xml:space="preserve"> Osei, B. V. (2018). Antibiotic use in poultry production and its effects on bacterial resistance. </w:t>
      </w:r>
      <w:r>
        <w:rPr>
          <w:rStyle w:val="Emphasis"/>
        </w:rPr>
        <w:t>Antimicrobial Resistance</w:t>
      </w:r>
      <w:r>
        <w:t xml:space="preserve">, 30(4), 50–65. </w:t>
      </w:r>
      <w:hyperlink r:id="rId15" w:history="1">
        <w:r w:rsidR="000F7AD3">
          <w:rPr>
            <w:rStyle w:val="Hyperlink"/>
          </w:rPr>
          <w:t>https://www.researchgate.net/publication/330292301</w:t>
        </w:r>
      </w:hyperlink>
    </w:p>
    <w:p w14:paraId="5BEA3EBB" w14:textId="77777777" w:rsidR="000F7AD3" w:rsidRDefault="00AD2271">
      <w:pPr>
        <w:pStyle w:val="NormalWeb"/>
      </w:pPr>
      <w:r>
        <w:t xml:space="preserve">Ahmed, M. (2018). Major constraints and health management of village poultry production in Ethiopia. </w:t>
      </w:r>
      <w:r>
        <w:rPr>
          <w:rStyle w:val="Emphasis"/>
        </w:rPr>
        <w:t>International Journal of Research in Management and Business Studies</w:t>
      </w:r>
      <w:r>
        <w:t xml:space="preserve">, 1, 2–10. </w:t>
      </w:r>
      <w:hyperlink r:id="rId16" w:history="1">
        <w:r w:rsidR="000F7AD3">
          <w:rPr>
            <w:rStyle w:val="Hyperlink"/>
          </w:rPr>
          <w:t>https://dx.doi.org/10.20431/2454-9428.0401001</w:t>
        </w:r>
      </w:hyperlink>
    </w:p>
    <w:p w14:paraId="0E1C3089" w14:textId="77777777" w:rsidR="000F7AD3" w:rsidRDefault="00AD2271">
      <w:pPr>
        <w:pStyle w:val="NormalWeb"/>
      </w:pPr>
      <w:r>
        <w:t xml:space="preserve">Aman, M., Mersha, C., &amp; </w:t>
      </w:r>
      <w:proofErr w:type="spellStart"/>
      <w:r>
        <w:t>Basaznew</w:t>
      </w:r>
      <w:proofErr w:type="spellEnd"/>
      <w:r>
        <w:t xml:space="preserve">, B. (2013). Major constraints of village poultry production in </w:t>
      </w:r>
      <w:proofErr w:type="spellStart"/>
      <w:r>
        <w:t>Dembagofa</w:t>
      </w:r>
      <w:proofErr w:type="spellEnd"/>
      <w:r>
        <w:t xml:space="preserve"> District of Southern Region, Ethiopia. </w:t>
      </w:r>
      <w:r>
        <w:rPr>
          <w:rStyle w:val="Emphasis"/>
        </w:rPr>
        <w:t>British Journal of Poultry Science</w:t>
      </w:r>
      <w:r>
        <w:t xml:space="preserve">, 2, 1–6. </w:t>
      </w:r>
      <w:hyperlink r:id="rId17" w:history="1">
        <w:r w:rsidR="000F7AD3">
          <w:rPr>
            <w:rStyle w:val="Hyperlink"/>
          </w:rPr>
          <w:t>https://doi.org/10.5829/idosi.bjps.2013.2.1.7465</w:t>
        </w:r>
      </w:hyperlink>
    </w:p>
    <w:p w14:paraId="58D55756" w14:textId="77777777" w:rsidR="000F7AD3" w:rsidRDefault="00AD2271">
      <w:pPr>
        <w:pStyle w:val="NormalWeb"/>
      </w:pPr>
      <w:r>
        <w:lastRenderedPageBreak/>
        <w:t xml:space="preserve">Amare, A., Worku, W., &amp; Negussie, H. (2021). Coccidiosis prevailing in parent stocks: A comparative study between growers and adult layers in </w:t>
      </w:r>
      <w:proofErr w:type="spellStart"/>
      <w:r>
        <w:t>Kombolcha</w:t>
      </w:r>
      <w:proofErr w:type="spellEnd"/>
      <w:r>
        <w:t xml:space="preserve"> poultry bre</w:t>
      </w:r>
      <w:r>
        <w:t xml:space="preserve">eding and multiplication center, Ethiopia. </w:t>
      </w:r>
      <w:r>
        <w:rPr>
          <w:rStyle w:val="Emphasis"/>
        </w:rPr>
        <w:t xml:space="preserve">Global </w:t>
      </w:r>
      <w:proofErr w:type="spellStart"/>
      <w:r>
        <w:rPr>
          <w:rStyle w:val="Emphasis"/>
        </w:rPr>
        <w:t>Veterinaria</w:t>
      </w:r>
      <w:proofErr w:type="spellEnd"/>
      <w:r>
        <w:t xml:space="preserve">, 8, 285–291. </w:t>
      </w:r>
      <w:hyperlink r:id="rId18" w:history="1">
        <w:r w:rsidR="000F7AD3">
          <w:rPr>
            <w:rStyle w:val="Hyperlink"/>
          </w:rPr>
          <w:t>https://doi.org/10.31559/VMPH2024.5.3.1</w:t>
        </w:r>
      </w:hyperlink>
    </w:p>
    <w:p w14:paraId="0EB19D33" w14:textId="77777777" w:rsidR="000F7AD3" w:rsidRDefault="00AD2271">
      <w:pPr>
        <w:pStyle w:val="NormalWeb"/>
      </w:pPr>
      <w:r>
        <w:t xml:space="preserve">Apata, D. F. (2009). Antibiotic resistance in poultry. </w:t>
      </w:r>
      <w:r>
        <w:rPr>
          <w:rStyle w:val="Emphasis"/>
        </w:rPr>
        <w:t>International Journal of Poult</w:t>
      </w:r>
      <w:r>
        <w:rPr>
          <w:rStyle w:val="Emphasis"/>
        </w:rPr>
        <w:t>ry Science</w:t>
      </w:r>
      <w:r>
        <w:t xml:space="preserve">, 8, 404–408. </w:t>
      </w:r>
      <w:hyperlink r:id="rId19" w:history="1">
        <w:r w:rsidR="000F7AD3">
          <w:rPr>
            <w:rStyle w:val="Hyperlink"/>
          </w:rPr>
          <w:t>https://doi.org/10.3923/ijps.2009.404.408</w:t>
        </w:r>
      </w:hyperlink>
    </w:p>
    <w:p w14:paraId="5F17862D" w14:textId="77777777" w:rsidR="000F7AD3" w:rsidRDefault="00AD2271">
      <w:pPr>
        <w:pStyle w:val="NormalWeb"/>
      </w:pPr>
      <w:r>
        <w:t xml:space="preserve">Ashenafi, H., &amp; </w:t>
      </w:r>
      <w:proofErr w:type="spellStart"/>
      <w:r>
        <w:t>Yime</w:t>
      </w:r>
      <w:proofErr w:type="spellEnd"/>
      <w:r>
        <w:t xml:space="preserve">, E. (2004). Study on gastrointestinal helminths of local chickens in central Ethiopia. </w:t>
      </w:r>
      <w:r>
        <w:rPr>
          <w:rStyle w:val="Emphasis"/>
        </w:rPr>
        <w:t>Ethiopian Veterinary Jou</w:t>
      </w:r>
      <w:r>
        <w:rPr>
          <w:rStyle w:val="Emphasis"/>
        </w:rPr>
        <w:t>rnal</w:t>
      </w:r>
      <w:r>
        <w:t xml:space="preserve">, 6(2), 47–53. </w:t>
      </w:r>
      <w:hyperlink r:id="rId20" w:history="1">
        <w:r w:rsidR="000F7AD3">
          <w:rPr>
            <w:rStyle w:val="Hyperlink"/>
          </w:rPr>
          <w:t>https://doi.org/10.12691/ajzr-7-1-1</w:t>
        </w:r>
      </w:hyperlink>
    </w:p>
    <w:p w14:paraId="347A808F" w14:textId="77777777" w:rsidR="000F7AD3" w:rsidRDefault="00AD2271">
      <w:pPr>
        <w:pStyle w:val="NormalWeb"/>
      </w:pPr>
      <w:r>
        <w:t xml:space="preserve">Asher, R. (2012). Prevalence of helminths parasites in chickens slaughtered at Gumbo main market, Nigeria. </w:t>
      </w:r>
      <w:r>
        <w:rPr>
          <w:rStyle w:val="Emphasis"/>
        </w:rPr>
        <w:t>International Network for Natural Sciences</w:t>
      </w:r>
      <w:r>
        <w:t xml:space="preserve">. </w:t>
      </w:r>
      <w:hyperlink r:id="rId21" w:history="1">
        <w:r w:rsidR="000F7AD3">
          <w:rPr>
            <w:rStyle w:val="Hyperlink"/>
          </w:rPr>
          <w:t>https://www.innspub.net</w:t>
        </w:r>
      </w:hyperlink>
    </w:p>
    <w:p w14:paraId="7AA5757A" w14:textId="77777777" w:rsidR="000F7AD3" w:rsidRDefault="00AD2271">
      <w:pPr>
        <w:pStyle w:val="NormalWeb"/>
      </w:pPr>
      <w:r>
        <w:t xml:space="preserve">Baker, D. G. (2008). </w:t>
      </w:r>
      <w:r>
        <w:rPr>
          <w:rStyle w:val="Emphasis"/>
        </w:rPr>
        <w:t>Parasites of laboratory animals</w:t>
      </w:r>
      <w:r>
        <w:t xml:space="preserve"> (2nd ed., pp. 236–237). Blackwell Publishers. </w:t>
      </w:r>
      <w:hyperlink r:id="rId22" w:history="1">
        <w:r w:rsidR="000F7AD3">
          <w:rPr>
            <w:rStyle w:val="Hyperlink"/>
          </w:rPr>
          <w:t>https://doi.org/10.1002/9780470344552</w:t>
        </w:r>
      </w:hyperlink>
    </w:p>
    <w:p w14:paraId="122B40C5" w14:textId="77777777" w:rsidR="000F7AD3" w:rsidRDefault="00AD2271">
      <w:pPr>
        <w:pStyle w:val="NormalWeb"/>
      </w:pPr>
      <w:r>
        <w:t xml:space="preserve">Bera, A. K., Bhattacharya, D., Pan, D., Dhara, A., Kumar, S., &amp; Das, S. K. (2010). Evaluation of economic losses due to coccidiosis in poultry industry in India. </w:t>
      </w:r>
      <w:r>
        <w:rPr>
          <w:rStyle w:val="Emphasis"/>
        </w:rPr>
        <w:t>Agricultural Economics Research Review</w:t>
      </w:r>
      <w:r>
        <w:t xml:space="preserve">, 23, 91–96. </w:t>
      </w:r>
      <w:hyperlink r:id="rId23" w:history="1">
        <w:r w:rsidR="000F7AD3">
          <w:rPr>
            <w:rStyle w:val="Hyperlink"/>
          </w:rPr>
          <w:t>https://doi.org/10.22004/AG.ECON.92156</w:t>
        </w:r>
      </w:hyperlink>
    </w:p>
    <w:p w14:paraId="5E0DE126" w14:textId="77777777" w:rsidR="000F7AD3" w:rsidRDefault="00AD2271">
      <w:pPr>
        <w:pStyle w:val="NormalWeb"/>
      </w:pPr>
      <w:r>
        <w:t xml:space="preserve">Belete, A., Addis, M., &amp; Ayele, M. (2010). Review on major gastrointestinal parasites that affect chickens. </w:t>
      </w:r>
      <w:r>
        <w:rPr>
          <w:rStyle w:val="Emphasis"/>
        </w:rPr>
        <w:t>Journal of Biology, Agriculture and Healthcare</w:t>
      </w:r>
      <w:r>
        <w:t>, 6(11), 55–60.</w:t>
      </w:r>
    </w:p>
    <w:p w14:paraId="591FA33E" w14:textId="77777777" w:rsidR="000F7AD3" w:rsidRDefault="00AD2271">
      <w:pPr>
        <w:pStyle w:val="NormalWeb"/>
      </w:pPr>
      <w:proofErr w:type="spellStart"/>
      <w:r>
        <w:t>Bessei</w:t>
      </w:r>
      <w:proofErr w:type="spellEnd"/>
      <w:r>
        <w:t>, W. (2006). Welfare of bro</w:t>
      </w:r>
      <w:r>
        <w:t xml:space="preserve">iler chickens: A review. </w:t>
      </w:r>
      <w:r>
        <w:rPr>
          <w:rStyle w:val="Emphasis"/>
        </w:rPr>
        <w:t>World’s Poultry Science Journal</w:t>
      </w:r>
      <w:r>
        <w:t xml:space="preserve">, 62(3), 455–477. </w:t>
      </w:r>
      <w:hyperlink r:id="rId24" w:history="1">
        <w:r w:rsidR="000F7AD3">
          <w:rPr>
            <w:rStyle w:val="Hyperlink"/>
          </w:rPr>
          <w:t>http://dx.doi.org/10.3382/japr/pfy002</w:t>
        </w:r>
      </w:hyperlink>
    </w:p>
    <w:p w14:paraId="6F511885" w14:textId="77777777" w:rsidR="000F7AD3" w:rsidRDefault="00AD2271">
      <w:pPr>
        <w:pStyle w:val="NormalWeb"/>
      </w:pPr>
      <w:proofErr w:type="spellStart"/>
      <w:r>
        <w:t>Chuppava</w:t>
      </w:r>
      <w:proofErr w:type="spellEnd"/>
      <w:r>
        <w:t xml:space="preserve">, B., Visscher, C., &amp; </w:t>
      </w:r>
      <w:proofErr w:type="spellStart"/>
      <w:r>
        <w:t>Kamphues</w:t>
      </w:r>
      <w:proofErr w:type="spellEnd"/>
      <w:r>
        <w:t>, J. (2018). Effect of different flooring designs on</w:t>
      </w:r>
      <w:r>
        <w:t xml:space="preserve"> performance and foot pad health in broilers and turkeys. </w:t>
      </w:r>
      <w:r>
        <w:rPr>
          <w:rStyle w:val="Emphasis"/>
        </w:rPr>
        <w:t>Animals</w:t>
      </w:r>
      <w:r>
        <w:t xml:space="preserve">, 8, 1–12. </w:t>
      </w:r>
      <w:hyperlink r:id="rId25" w:history="1">
        <w:r w:rsidR="000F7AD3">
          <w:rPr>
            <w:rStyle w:val="Hyperlink"/>
          </w:rPr>
          <w:t>https://doi.org/10.3390/ani8050070</w:t>
        </w:r>
      </w:hyperlink>
    </w:p>
    <w:p w14:paraId="51240423" w14:textId="77777777" w:rsidR="000F7AD3" w:rsidRDefault="00AD2271">
      <w:pPr>
        <w:pStyle w:val="NormalWeb"/>
      </w:pPr>
      <w:r>
        <w:t>De Jong, I. C., Moya, T. P., Gunnink, H., Heuvel, H. V. D., Mul, M., &amp; Reenen, K. V. (2011). S</w:t>
      </w:r>
      <w:r>
        <w:t xml:space="preserve">implifying the welfare quality assessment protocol for broilers. </w:t>
      </w:r>
      <w:r>
        <w:rPr>
          <w:rStyle w:val="Emphasis"/>
        </w:rPr>
        <w:t>Partner in Livestock Innovations</w:t>
      </w:r>
      <w:r>
        <w:t xml:space="preserve">. </w:t>
      </w:r>
      <w:hyperlink r:id="rId26" w:history="1">
        <w:r w:rsidR="000F7AD3">
          <w:rPr>
            <w:rStyle w:val="Hyperlink"/>
          </w:rPr>
          <w:t>https://edepot.wur.nl/196648</w:t>
        </w:r>
      </w:hyperlink>
    </w:p>
    <w:p w14:paraId="43A6CF30" w14:textId="77777777" w:rsidR="000F7AD3" w:rsidRDefault="00AD2271">
      <w:pPr>
        <w:pStyle w:val="NormalWeb"/>
      </w:pPr>
      <w:r>
        <w:t xml:space="preserve">Dube, S., Zindi, P., </w:t>
      </w:r>
      <w:proofErr w:type="spellStart"/>
      <w:r>
        <w:t>Mbanga</w:t>
      </w:r>
      <w:proofErr w:type="spellEnd"/>
      <w:r>
        <w:t>, J., &amp; Dube, C. (2010). A study of scavenging poultry g</w:t>
      </w:r>
      <w:r>
        <w:t xml:space="preserve">astrointestinal and ectoparasites in rural areas of </w:t>
      </w:r>
      <w:proofErr w:type="spellStart"/>
      <w:r>
        <w:t>Matebeleland</w:t>
      </w:r>
      <w:proofErr w:type="spellEnd"/>
      <w:r>
        <w:t xml:space="preserve"> Province, Zimbabwe. </w:t>
      </w:r>
      <w:r>
        <w:rPr>
          <w:rStyle w:val="Emphasis"/>
        </w:rPr>
        <w:t>International Journal of Poultry Science</w:t>
      </w:r>
      <w:r>
        <w:t xml:space="preserve">, 9(9), 911–915. </w:t>
      </w:r>
      <w:hyperlink r:id="rId27" w:history="1">
        <w:r w:rsidR="000F7AD3">
          <w:rPr>
            <w:rStyle w:val="Hyperlink"/>
          </w:rPr>
          <w:t>https://doi.org/10.3923/ijps.2010.911.915</w:t>
        </w:r>
      </w:hyperlink>
    </w:p>
    <w:p w14:paraId="7277A87B" w14:textId="77777777" w:rsidR="000F7AD3" w:rsidRDefault="00AD2271">
      <w:pPr>
        <w:pStyle w:val="NormalWeb"/>
      </w:pPr>
      <w:r>
        <w:t xml:space="preserve">Eshetu, Y. (2011). Study of gastrointestinal helminths of scavenging chickens in four districts of Amhara Region, Ethiopia. </w:t>
      </w:r>
      <w:r>
        <w:rPr>
          <w:rStyle w:val="Emphasis"/>
        </w:rPr>
        <w:t xml:space="preserve">Revue </w:t>
      </w:r>
      <w:proofErr w:type="spellStart"/>
      <w:r>
        <w:rPr>
          <w:rStyle w:val="Emphasis"/>
        </w:rPr>
        <w:t>Scientifique</w:t>
      </w:r>
      <w:proofErr w:type="spellEnd"/>
      <w:r>
        <w:rPr>
          <w:rStyle w:val="Emphasis"/>
        </w:rPr>
        <w:t xml:space="preserve"> et Technique</w:t>
      </w:r>
      <w:r>
        <w:t xml:space="preserve">, 20, 791–796. </w:t>
      </w:r>
      <w:hyperlink r:id="rId28" w:history="1">
        <w:r w:rsidR="000F7AD3">
          <w:rPr>
            <w:rStyle w:val="Hyperlink"/>
          </w:rPr>
          <w:t>https://doi.org/10.20506/rst.20.3.1310</w:t>
        </w:r>
      </w:hyperlink>
    </w:p>
    <w:p w14:paraId="57BD1972" w14:textId="77777777" w:rsidR="000F7AD3" w:rsidRDefault="00AD2271">
      <w:pPr>
        <w:pStyle w:val="NormalWeb"/>
      </w:pPr>
      <w:r>
        <w:t xml:space="preserve">Gary, D. B., &amp; Richard, D. M. (2012). Intestinal parasites in backyard chicken flocks. </w:t>
      </w:r>
      <w:r>
        <w:rPr>
          <w:rStyle w:val="Emphasis"/>
        </w:rPr>
        <w:t>Cooperative Extension Service, Institute of Food and Agricultural Sciences, University of Florida</w:t>
      </w:r>
      <w:r>
        <w:t xml:space="preserve">. </w:t>
      </w:r>
      <w:hyperlink r:id="rId29" w:history="1">
        <w:r w:rsidR="000F7AD3">
          <w:rPr>
            <w:rStyle w:val="Hyperlink"/>
          </w:rPr>
          <w:t>https://edis.ifas.ufl.edu</w:t>
        </w:r>
      </w:hyperlink>
    </w:p>
    <w:p w14:paraId="13DA120E" w14:textId="77777777" w:rsidR="000F7AD3" w:rsidRDefault="00AD2271">
      <w:pPr>
        <w:pStyle w:val="NormalWeb"/>
      </w:pPr>
      <w:proofErr w:type="spellStart"/>
      <w:r>
        <w:t>Hunduma</w:t>
      </w:r>
      <w:proofErr w:type="spellEnd"/>
      <w:r>
        <w:t xml:space="preserve">, D., Regassa, C., </w:t>
      </w:r>
      <w:proofErr w:type="spellStart"/>
      <w:r>
        <w:t>Fufa</w:t>
      </w:r>
      <w:proofErr w:type="spellEnd"/>
      <w:r>
        <w:t xml:space="preserve">, D., Endale, B., &amp; Samson, L. (2010). Major constraints and health management of village poultry production in Rift Valley of Oromia, Ethiopia. </w:t>
      </w:r>
      <w:r>
        <w:rPr>
          <w:rStyle w:val="Emphasis"/>
        </w:rPr>
        <w:t>American-Eurasian Journal of Agriculture and Environmental Science</w:t>
      </w:r>
      <w:r>
        <w:t xml:space="preserve">, 9(5), 529–533. </w:t>
      </w:r>
      <w:hyperlink r:id="rId30" w:history="1">
        <w:r w:rsidR="000F7AD3">
          <w:rPr>
            <w:rStyle w:val="Hyperlink"/>
          </w:rPr>
          <w:t>https://www.idosi.org/aejaes/jaes9(5)/12</w:t>
        </w:r>
      </w:hyperlink>
    </w:p>
    <w:p w14:paraId="261048FD" w14:textId="77777777" w:rsidR="000F7AD3" w:rsidRDefault="00AD2271">
      <w:pPr>
        <w:pStyle w:val="NormalWeb"/>
      </w:pPr>
      <w:r>
        <w:t xml:space="preserve">Irungu, L. W., Kimani, R. N., &amp; Kisia, S. M. (2004). Helminth parasites in the intestinal tract of indigenous poultry in parts of Kenya. </w:t>
      </w:r>
      <w:r>
        <w:rPr>
          <w:rStyle w:val="Emphasis"/>
        </w:rPr>
        <w:t>Jour</w:t>
      </w:r>
      <w:r>
        <w:rPr>
          <w:rStyle w:val="Emphasis"/>
        </w:rPr>
        <w:t>nal of the South African Veterinary Association</w:t>
      </w:r>
      <w:r>
        <w:t xml:space="preserve">, 75(1), 58–59. </w:t>
      </w:r>
      <w:hyperlink r:id="rId31" w:history="1">
        <w:r w:rsidR="000F7AD3">
          <w:rPr>
            <w:rStyle w:val="Hyperlink"/>
          </w:rPr>
          <w:t>https://doi.org/10.4102/jsava.v75i1.452</w:t>
        </w:r>
      </w:hyperlink>
    </w:p>
    <w:p w14:paraId="28107CE8" w14:textId="77777777" w:rsidR="000F7AD3" w:rsidRDefault="00AD2271">
      <w:pPr>
        <w:pStyle w:val="NormalWeb"/>
      </w:pPr>
      <w:r>
        <w:lastRenderedPageBreak/>
        <w:t>Islam, M. S., Islam, M. N., Khatun, H., Faruque, S., Afroz, M. A., &amp; Alam, M. A. (2015). Effect o</w:t>
      </w:r>
      <w:r>
        <w:t xml:space="preserve">f family training on profitability of small-scale broiler farming in </w:t>
      </w:r>
      <w:proofErr w:type="spellStart"/>
      <w:r>
        <w:t>Joypurhat</w:t>
      </w:r>
      <w:proofErr w:type="spellEnd"/>
      <w:r>
        <w:t xml:space="preserve"> District. </w:t>
      </w:r>
      <w:r>
        <w:rPr>
          <w:rStyle w:val="Emphasis"/>
        </w:rPr>
        <w:t>The Agriculturists</w:t>
      </w:r>
      <w:r>
        <w:t xml:space="preserve">, 12(2), 137–141. </w:t>
      </w:r>
      <w:hyperlink r:id="rId32" w:history="1">
        <w:r w:rsidR="000F7AD3">
          <w:rPr>
            <w:rStyle w:val="Hyperlink"/>
          </w:rPr>
          <w:t>https://doi.org/10.3329/agric.v12i.21742</w:t>
        </w:r>
      </w:hyperlink>
    </w:p>
    <w:p w14:paraId="4FB69770" w14:textId="77777777" w:rsidR="000F7AD3" w:rsidRDefault="00AD2271">
      <w:pPr>
        <w:pStyle w:val="NormalWeb"/>
      </w:pPr>
      <w:r>
        <w:t>Jacobs, R. D., Hogsette, J. A., &amp;</w:t>
      </w:r>
      <w:r>
        <w:t xml:space="preserve"> Butcher, J. D. (2003). Nematode parasites of poultry (and where to find them). </w:t>
      </w:r>
      <w:r>
        <w:rPr>
          <w:rStyle w:val="Emphasis"/>
        </w:rPr>
        <w:t>Institute of Food and Agricultural Sciences (IFAS) Series PS18, University of Florida</w:t>
      </w:r>
      <w:r>
        <w:t xml:space="preserve">, 13. </w:t>
      </w:r>
      <w:hyperlink r:id="rId33" w:history="1">
        <w:r w:rsidR="000F7AD3">
          <w:rPr>
            <w:rStyle w:val="Hyperlink"/>
          </w:rPr>
          <w:t>https://www.researchgate.net/publication/34460209</w:t>
        </w:r>
      </w:hyperlink>
    </w:p>
    <w:p w14:paraId="71386CDA" w14:textId="77777777" w:rsidR="000F7AD3" w:rsidRDefault="00AD2271">
      <w:pPr>
        <w:pStyle w:val="NormalWeb"/>
      </w:pPr>
      <w:r>
        <w:t xml:space="preserve">Jacobs, R. D., Hogsette, J. A., &amp; Gainesville, G. D. (2012). Multi-country poultry extension agent, cooperative extension service. </w:t>
      </w:r>
      <w:r>
        <w:rPr>
          <w:rStyle w:val="Emphasis"/>
        </w:rPr>
        <w:t>Institute of Food and Agricultural Sciences</w:t>
      </w:r>
      <w:r>
        <w:t xml:space="preserve">, 40–53. </w:t>
      </w:r>
      <w:hyperlink r:id="rId34" w:history="1">
        <w:r w:rsidR="000F7AD3">
          <w:rPr>
            <w:rStyle w:val="Hyperlink"/>
          </w:rPr>
          <w:t>https://www.dr.subhirn@rediffmail.com</w:t>
        </w:r>
      </w:hyperlink>
    </w:p>
    <w:p w14:paraId="3EDA9ADE" w14:textId="77777777" w:rsidR="000F7AD3" w:rsidRDefault="00AD2271">
      <w:pPr>
        <w:pStyle w:val="NormalWeb"/>
      </w:pPr>
      <w:r>
        <w:t xml:space="preserve">Jamil, M., Aleem, M. T., Shaukat, A., Khan, A., Mohsin, M., Rehman, T. U., Abbas, R. Z., et al. (2022). Medicinal plants as an alternative to control poultry parasitic diseases. </w:t>
      </w:r>
      <w:r>
        <w:rPr>
          <w:rStyle w:val="Emphasis"/>
        </w:rPr>
        <w:t>Life</w:t>
      </w:r>
      <w:r>
        <w:t xml:space="preserve">, 12, 449. </w:t>
      </w:r>
      <w:hyperlink r:id="rId35" w:history="1">
        <w:r w:rsidR="000F7AD3">
          <w:rPr>
            <w:rStyle w:val="Hyperlink"/>
          </w:rPr>
          <w:t>https://doi.org/10.3390/life12030449</w:t>
        </w:r>
      </w:hyperlink>
    </w:p>
    <w:p w14:paraId="75388A3F" w14:textId="77777777" w:rsidR="000F7AD3" w:rsidRDefault="00AD2271">
      <w:pPr>
        <w:pStyle w:val="NormalWeb"/>
      </w:pPr>
      <w:r>
        <w:t xml:space="preserve">Kruchten, T. (2012). National Agricultural Statistics Service (NASS), Agricultural Statistics Board, U.S. Department of Agriculture: U.S. broiler industry structure. </w:t>
      </w:r>
      <w:r>
        <w:rPr>
          <w:rStyle w:val="Emphasis"/>
        </w:rPr>
        <w:t>Agricultural</w:t>
      </w:r>
      <w:r>
        <w:rPr>
          <w:rStyle w:val="Emphasis"/>
        </w:rPr>
        <w:t xml:space="preserve"> Statistics</w:t>
      </w:r>
      <w:r>
        <w:t xml:space="preserve">, 10, 63–70. </w:t>
      </w:r>
      <w:hyperlink r:id="rId36" w:history="1">
        <w:r w:rsidR="000F7AD3">
          <w:rPr>
            <w:rStyle w:val="Hyperlink"/>
          </w:rPr>
          <w:t>https://www.nass.usda.gov</w:t>
        </w:r>
      </w:hyperlink>
    </w:p>
    <w:p w14:paraId="3643675C" w14:textId="77777777" w:rsidR="000F7AD3" w:rsidRDefault="000F7AD3">
      <w:pPr>
        <w:pStyle w:val="Appendix"/>
        <w:spacing w:after="0"/>
        <w:jc w:val="both"/>
        <w:rPr>
          <w:rFonts w:ascii="Arial" w:hAnsi="Arial" w:cs="Arial"/>
          <w:b w:val="0"/>
        </w:rPr>
      </w:pPr>
    </w:p>
    <w:sectPr w:rsidR="000F7AD3" w:rsidSect="00D847C1">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1ED8" w14:textId="77777777" w:rsidR="00AD2271" w:rsidRDefault="00AD2271">
      <w:r>
        <w:separator/>
      </w:r>
    </w:p>
  </w:endnote>
  <w:endnote w:type="continuationSeparator" w:id="0">
    <w:p w14:paraId="1A87B8D9" w14:textId="77777777" w:rsidR="00AD2271" w:rsidRDefault="00AD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6952" w14:textId="77777777" w:rsidR="00D847C1" w:rsidRDefault="00D84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6324" w14:textId="74C3E5FF" w:rsidR="000F7AD3" w:rsidRPr="005D741B" w:rsidRDefault="000F7AD3" w:rsidP="005D7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0231" w14:textId="587A5506" w:rsidR="000F7AD3" w:rsidRPr="00D847C1" w:rsidRDefault="000F7AD3" w:rsidP="00D847C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1C15" w14:textId="77777777" w:rsidR="000F7AD3" w:rsidRDefault="000F7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17B1" w14:textId="77777777" w:rsidR="00AD2271" w:rsidRDefault="00AD2271">
      <w:r>
        <w:separator/>
      </w:r>
    </w:p>
  </w:footnote>
  <w:footnote w:type="continuationSeparator" w:id="0">
    <w:p w14:paraId="6EC29176" w14:textId="77777777" w:rsidR="00AD2271" w:rsidRDefault="00AD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53CE" w14:textId="726996A6" w:rsidR="00D847C1" w:rsidRDefault="00D847C1">
    <w:pPr>
      <w:pStyle w:val="Header"/>
    </w:pPr>
    <w:r>
      <w:rPr>
        <w:noProof/>
      </w:rPr>
      <w:pict w14:anchorId="3100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222C" w14:textId="482030AD" w:rsidR="00D847C1" w:rsidRDefault="00D847C1">
    <w:pPr>
      <w:pStyle w:val="Header"/>
    </w:pPr>
    <w:r>
      <w:rPr>
        <w:noProof/>
      </w:rPr>
      <w:pict w14:anchorId="2F576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9543" w14:textId="49CB9725" w:rsidR="000F7AD3" w:rsidRDefault="00D847C1">
    <w:pPr>
      <w:ind w:left="2160"/>
      <w:jc w:val="center"/>
      <w:rPr>
        <w:rFonts w:ascii="Times New Roman" w:eastAsia="Calibri" w:hAnsi="Times New Roman"/>
        <w:i/>
        <w:sz w:val="18"/>
        <w:szCs w:val="22"/>
      </w:rPr>
    </w:pPr>
    <w:r>
      <w:rPr>
        <w:noProof/>
      </w:rPr>
      <w:pict w14:anchorId="75228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F84DC8" w14:textId="77777777" w:rsidR="000F7AD3" w:rsidRDefault="00AD227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146BF4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w:t>
    </w:r>
  </w:p>
  <w:p w14:paraId="1E529960" w14:textId="77777777" w:rsidR="000F7AD3" w:rsidRDefault="00AD227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0A0D0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499671" w14:textId="77777777" w:rsidR="000F7AD3" w:rsidRDefault="00AD227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96062A" w14:textId="77777777" w:rsidR="000F7AD3" w:rsidRDefault="00AD22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D65A" w14:textId="215991CD" w:rsidR="00D847C1" w:rsidRDefault="00D847C1">
    <w:pPr>
      <w:pStyle w:val="Header"/>
    </w:pPr>
    <w:r>
      <w:rPr>
        <w:noProof/>
      </w:rPr>
      <w:pict w14:anchorId="6EBE9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5CAB" w14:textId="6B1B510E" w:rsidR="00D847C1" w:rsidRDefault="00D847C1">
    <w:pPr>
      <w:pStyle w:val="Header"/>
    </w:pPr>
    <w:r>
      <w:rPr>
        <w:noProof/>
      </w:rPr>
      <w:pict w14:anchorId="7775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249D" w14:textId="347DED55" w:rsidR="00D847C1" w:rsidRDefault="00D847C1">
    <w:pPr>
      <w:pStyle w:val="Header"/>
    </w:pPr>
    <w:r>
      <w:rPr>
        <w:noProof/>
      </w:rPr>
      <w:pict w14:anchorId="281E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FFEB43F6"/>
    <w:rsid w:val="00000F8F"/>
    <w:rsid w:val="00030174"/>
    <w:rsid w:val="0004579C"/>
    <w:rsid w:val="000A47FA"/>
    <w:rsid w:val="000A65D3"/>
    <w:rsid w:val="000B1E33"/>
    <w:rsid w:val="000D45C3"/>
    <w:rsid w:val="000D689F"/>
    <w:rsid w:val="000E3CE8"/>
    <w:rsid w:val="000E7B7B"/>
    <w:rsid w:val="000E7D62"/>
    <w:rsid w:val="000F7AD3"/>
    <w:rsid w:val="00103357"/>
    <w:rsid w:val="001156FE"/>
    <w:rsid w:val="00123C9F"/>
    <w:rsid w:val="00126190"/>
    <w:rsid w:val="00130F17"/>
    <w:rsid w:val="001320BF"/>
    <w:rsid w:val="00163BC4"/>
    <w:rsid w:val="00191062"/>
    <w:rsid w:val="00192B72"/>
    <w:rsid w:val="001A29D8"/>
    <w:rsid w:val="001A5CAA"/>
    <w:rsid w:val="001B0427"/>
    <w:rsid w:val="001D39F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1721"/>
    <w:rsid w:val="003E2904"/>
    <w:rsid w:val="00401927"/>
    <w:rsid w:val="0041027F"/>
    <w:rsid w:val="00412475"/>
    <w:rsid w:val="00423789"/>
    <w:rsid w:val="00440F43"/>
    <w:rsid w:val="00441B6F"/>
    <w:rsid w:val="00446221"/>
    <w:rsid w:val="00450E62"/>
    <w:rsid w:val="004520B0"/>
    <w:rsid w:val="004539DB"/>
    <w:rsid w:val="00471A80"/>
    <w:rsid w:val="004D305E"/>
    <w:rsid w:val="004D4277"/>
    <w:rsid w:val="00502516"/>
    <w:rsid w:val="00505F06"/>
    <w:rsid w:val="00506828"/>
    <w:rsid w:val="0053056E"/>
    <w:rsid w:val="00554FDA"/>
    <w:rsid w:val="005C2843"/>
    <w:rsid w:val="005C784C"/>
    <w:rsid w:val="005D17F6"/>
    <w:rsid w:val="005D741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0DE6"/>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0E52"/>
    <w:rsid w:val="008B459E"/>
    <w:rsid w:val="008E13AE"/>
    <w:rsid w:val="008E1506"/>
    <w:rsid w:val="008E710C"/>
    <w:rsid w:val="008F69D6"/>
    <w:rsid w:val="00902823"/>
    <w:rsid w:val="00915CA6"/>
    <w:rsid w:val="00927834"/>
    <w:rsid w:val="00927FBF"/>
    <w:rsid w:val="009500A6"/>
    <w:rsid w:val="00957C18"/>
    <w:rsid w:val="009659BA"/>
    <w:rsid w:val="00983040"/>
    <w:rsid w:val="009B3FB9"/>
    <w:rsid w:val="009C2465"/>
    <w:rsid w:val="009D35A0"/>
    <w:rsid w:val="009D388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271"/>
    <w:rsid w:val="00AE008F"/>
    <w:rsid w:val="00AF2EFA"/>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62DE"/>
    <w:rsid w:val="00D66F6D"/>
    <w:rsid w:val="00D74CB0"/>
    <w:rsid w:val="00D8295D"/>
    <w:rsid w:val="00D847C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08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5301EB8"/>
  <w15:docId w15:val="{4F4EF895-1D14-754F-94CC-FBEDA77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bidi="fa-IR"/>
    </w:rPr>
  </w:style>
  <w:style w:type="paragraph" w:styleId="Signature">
    <w:name w:val="Signature"/>
    <w:basedOn w:val="Normal"/>
    <w:pPr>
      <w:ind w:left="4320"/>
    </w:pPr>
  </w:style>
  <w:style w:type="character" w:styleId="Strong">
    <w:name w:val="Strong"/>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ls-Affiliation">
    <w:name w:val="Els-Affiliation"/>
    <w:next w:val="Normal"/>
    <w:pPr>
      <w:suppressAutoHyphens/>
      <w:spacing w:line="200" w:lineRule="exact"/>
      <w:jc w:val="center"/>
    </w:pPr>
    <w:rPr>
      <w:rFonts w:eastAsia="Times New Roman"/>
      <w:i/>
      <w:sz w:val="16"/>
      <w:lang w:eastAsia="en-US"/>
    </w:rPr>
  </w:style>
  <w:style w:type="character" w:styleId="UnresolvedMention">
    <w:name w:val="Unresolved Mention"/>
    <w:basedOn w:val="DefaultParagraphFont"/>
    <w:uiPriority w:val="99"/>
    <w:semiHidden/>
    <w:unhideWhenUsed/>
    <w:rsid w:val="005D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1559/VMPH2024.5.3.1" TargetMode="External"/><Relationship Id="rId26" Type="http://schemas.openxmlformats.org/officeDocument/2006/relationships/hyperlink" Target="https://edepot.wur.nl/196648" TargetMode="External"/><Relationship Id="rId39" Type="http://schemas.openxmlformats.org/officeDocument/2006/relationships/footer" Target="footer4.xml"/><Relationship Id="rId21" Type="http://schemas.openxmlformats.org/officeDocument/2006/relationships/hyperlink" Target="https://www.innspub.net/" TargetMode="External"/><Relationship Id="rId34" Type="http://schemas.openxmlformats.org/officeDocument/2006/relationships/hyperlink" Target="https://www.dr.subhirn@rediffmail.com/"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x.doi.org/10.20431/2454-9428.0401001" TargetMode="External"/><Relationship Id="rId20" Type="http://schemas.openxmlformats.org/officeDocument/2006/relationships/hyperlink" Target="https://doi.org/10.12691/ajzr-7-1-1" TargetMode="External"/><Relationship Id="rId29" Type="http://schemas.openxmlformats.org/officeDocument/2006/relationships/hyperlink" Target="https://edis.ifas.ufl.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3382/japr/pfy002" TargetMode="External"/><Relationship Id="rId32" Type="http://schemas.openxmlformats.org/officeDocument/2006/relationships/hyperlink" Target="https://doi.org/10.3329/agric.v12i.21742"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researchgate.net/publication/330292301" TargetMode="External"/><Relationship Id="rId23" Type="http://schemas.openxmlformats.org/officeDocument/2006/relationships/hyperlink" Target="https://doi.org/10.22004/AG.ECON.92156" TargetMode="External"/><Relationship Id="rId28" Type="http://schemas.openxmlformats.org/officeDocument/2006/relationships/hyperlink" Target="https://doi.org/10.20506/rst.20.3.1310" TargetMode="External"/><Relationship Id="rId36" Type="http://schemas.openxmlformats.org/officeDocument/2006/relationships/hyperlink" Target="https://www.nass.usda.gov/" TargetMode="External"/><Relationship Id="rId10" Type="http://schemas.openxmlformats.org/officeDocument/2006/relationships/header" Target="header2.xml"/><Relationship Id="rId19" Type="http://schemas.openxmlformats.org/officeDocument/2006/relationships/hyperlink" Target="https://doi.org/10.3923/ijps.2009.404.408" TargetMode="External"/><Relationship Id="rId31" Type="http://schemas.openxmlformats.org/officeDocument/2006/relationships/hyperlink" Target="https://doi.org/10.4102/jsava.v75i1.45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2/9780470344552" TargetMode="External"/><Relationship Id="rId27" Type="http://schemas.openxmlformats.org/officeDocument/2006/relationships/hyperlink" Target="https://doi.org/10.3923/ijps.2010.911.915" TargetMode="External"/><Relationship Id="rId30" Type="http://schemas.openxmlformats.org/officeDocument/2006/relationships/hyperlink" Target="https://www.idosi.org/aejaes/jaes9(5)/12" TargetMode="External"/><Relationship Id="rId35" Type="http://schemas.openxmlformats.org/officeDocument/2006/relationships/hyperlink" Target="https://doi.org/10.3390/life12030449"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5829/idosi.bjps.2013.2.1.7465" TargetMode="External"/><Relationship Id="rId25" Type="http://schemas.openxmlformats.org/officeDocument/2006/relationships/hyperlink" Target="https://doi.org/10.3390/ani8050070" TargetMode="External"/><Relationship Id="rId33" Type="http://schemas.openxmlformats.org/officeDocument/2006/relationships/hyperlink" Target="https://www.researchgate.net/publication/34460209"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76470-EA11-4EA4-9B74-430F5AC7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2929</Words>
  <Characters>16701</Characters>
  <Application>Microsoft Office Word</Application>
  <DocSecurity>0</DocSecurity>
  <Lines>139</Lines>
  <Paragraphs>39</Paragraphs>
  <ScaleCrop>false</ScaleCrop>
  <Company>aaaa</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1999-07-06T13:00:00Z</cp:lastPrinted>
  <dcterms:created xsi:type="dcterms:W3CDTF">2014-10-25T16:34:00Z</dcterms:created>
  <dcterms:modified xsi:type="dcterms:W3CDTF">2025-09-16T09:53:00Z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68E4F66DDF9269D9310CC8684D67E636_42</vt:lpwstr>
  </property>
</Properties>
</file>