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F4CA2" w14:textId="42ABF631" w:rsidR="00570673" w:rsidRPr="008D02B6" w:rsidRDefault="00570673" w:rsidP="00570673">
      <w:pPr>
        <w:spacing w:line="360" w:lineRule="auto"/>
        <w:jc w:val="right"/>
        <w:rPr>
          <w:rFonts w:ascii="Arial" w:eastAsia="Times New Roman" w:hAnsi="Arial" w:cs="Arial"/>
          <w:b/>
          <w:bCs/>
          <w:sz w:val="36"/>
          <w:szCs w:val="36"/>
          <w:lang w:eastAsia="pt-BR"/>
        </w:rPr>
      </w:pPr>
      <w:bookmarkStart w:id="0" w:name="_Hlk214026419"/>
      <w:r w:rsidRPr="008D02B6">
        <w:rPr>
          <w:rFonts w:ascii="Arial" w:eastAsia="Times New Roman" w:hAnsi="Arial" w:cs="Arial"/>
          <w:b/>
          <w:bCs/>
          <w:sz w:val="36"/>
          <w:szCs w:val="36"/>
          <w:lang w:eastAsia="pt-BR"/>
        </w:rPr>
        <w:t>The Gut–Immune Axis and Its Multisystem Repercussions: A Systematic Review of the Literature</w:t>
      </w:r>
    </w:p>
    <w:bookmarkEnd w:id="0"/>
    <w:p w14:paraId="6965AA4A" w14:textId="77777777" w:rsidR="008E5FC6" w:rsidRDefault="008E5FC6" w:rsidP="00AC378D">
      <w:pPr>
        <w:spacing w:line="360" w:lineRule="auto"/>
        <w:jc w:val="both"/>
        <w:rPr>
          <w:rFonts w:ascii="Arial" w:hAnsi="Arial" w:cs="Arial"/>
          <w:b/>
          <w:bCs/>
          <w:sz w:val="20"/>
          <w:szCs w:val="20"/>
        </w:rPr>
      </w:pPr>
    </w:p>
    <w:p w14:paraId="019B923F" w14:textId="61392C4F" w:rsidR="00570673" w:rsidRPr="008D02B6" w:rsidRDefault="00570673" w:rsidP="00AC378D">
      <w:pPr>
        <w:spacing w:line="360" w:lineRule="auto"/>
        <w:jc w:val="both"/>
        <w:rPr>
          <w:rFonts w:ascii="Arial" w:hAnsi="Arial" w:cs="Arial"/>
          <w:b/>
          <w:bCs/>
          <w:sz w:val="20"/>
          <w:szCs w:val="20"/>
        </w:rPr>
      </w:pPr>
      <w:r w:rsidRPr="008D02B6">
        <w:rPr>
          <w:rFonts w:ascii="Arial" w:hAnsi="Arial" w:cs="Arial"/>
          <w:b/>
          <w:bCs/>
          <w:sz w:val="20"/>
          <w:szCs w:val="20"/>
        </w:rPr>
        <w:t>ABSTRACT</w:t>
      </w:r>
    </w:p>
    <w:p w14:paraId="3F8136D8" w14:textId="77777777" w:rsidR="00AC378D" w:rsidRPr="008D02B6" w:rsidRDefault="00AC378D" w:rsidP="00AC378D">
      <w:pPr>
        <w:spacing w:line="360" w:lineRule="auto"/>
        <w:jc w:val="both"/>
        <w:rPr>
          <w:rFonts w:ascii="Arial" w:hAnsi="Arial" w:cs="Arial"/>
          <w:sz w:val="20"/>
          <w:szCs w:val="20"/>
        </w:rPr>
      </w:pPr>
      <w:r w:rsidRPr="008D02B6">
        <w:rPr>
          <w:rFonts w:ascii="Arial" w:hAnsi="Arial" w:cs="Arial"/>
          <w:b/>
          <w:bCs/>
          <w:sz w:val="20"/>
          <w:szCs w:val="20"/>
        </w:rPr>
        <w:t>Introduction:</w:t>
      </w:r>
      <w:r w:rsidRPr="008D02B6">
        <w:rPr>
          <w:rFonts w:ascii="Arial" w:hAnsi="Arial" w:cs="Arial"/>
          <w:sz w:val="20"/>
          <w:szCs w:val="20"/>
        </w:rPr>
        <w:t xml:space="preserve"> The gut microbiota plays a central role in modulating the immune system by interacting with immune cells, epithelial barriers, and inflammatory mediators. Growing evidence indicates that microbial alterations impact multiple organ systems through the gut–immune axis.</w:t>
      </w:r>
    </w:p>
    <w:p w14:paraId="5B21BFC1" w14:textId="77777777" w:rsidR="00AC378D" w:rsidRPr="008D02B6" w:rsidRDefault="00AC378D" w:rsidP="00AC378D">
      <w:pPr>
        <w:spacing w:line="360" w:lineRule="auto"/>
        <w:jc w:val="both"/>
        <w:rPr>
          <w:rFonts w:ascii="Arial" w:hAnsi="Arial" w:cs="Arial"/>
          <w:sz w:val="20"/>
          <w:szCs w:val="20"/>
        </w:rPr>
      </w:pPr>
      <w:r w:rsidRPr="008D02B6">
        <w:rPr>
          <w:rFonts w:ascii="Arial" w:hAnsi="Arial" w:cs="Arial"/>
          <w:b/>
          <w:bCs/>
          <w:sz w:val="20"/>
          <w:szCs w:val="20"/>
        </w:rPr>
        <w:t>Aim:</w:t>
      </w:r>
      <w:r w:rsidRPr="008D02B6">
        <w:rPr>
          <w:rFonts w:ascii="Arial" w:hAnsi="Arial" w:cs="Arial"/>
          <w:sz w:val="20"/>
          <w:szCs w:val="20"/>
        </w:rPr>
        <w:t xml:space="preserve"> To systematically review the scientific literature to identify the multisystem repercussions of gut microbiota on the immune, rheumatologic, ophthalmologic, dermatologic, and gastrointestinal systems.</w:t>
      </w:r>
    </w:p>
    <w:p w14:paraId="38C62D4D" w14:textId="77777777" w:rsidR="00AC378D" w:rsidRPr="008D02B6" w:rsidRDefault="00AC378D" w:rsidP="00AC378D">
      <w:pPr>
        <w:spacing w:line="360" w:lineRule="auto"/>
        <w:jc w:val="both"/>
        <w:rPr>
          <w:rFonts w:ascii="Arial" w:hAnsi="Arial" w:cs="Arial"/>
          <w:sz w:val="20"/>
          <w:szCs w:val="20"/>
        </w:rPr>
      </w:pPr>
      <w:r w:rsidRPr="008D02B6">
        <w:rPr>
          <w:rFonts w:ascii="Arial" w:hAnsi="Arial" w:cs="Arial"/>
          <w:b/>
          <w:bCs/>
          <w:sz w:val="20"/>
          <w:szCs w:val="20"/>
        </w:rPr>
        <w:t>Methodology:</w:t>
      </w:r>
      <w:r w:rsidRPr="008D02B6">
        <w:rPr>
          <w:rFonts w:ascii="Arial" w:hAnsi="Arial" w:cs="Arial"/>
          <w:sz w:val="20"/>
          <w:szCs w:val="20"/>
        </w:rPr>
        <w:t xml:space="preserve"> This is a systematic review conducted according to PRISMA guidelines. Searches were carried out in PubMed, Scopus, Embase, Web of Science, and SciELO between January 2015 and August 2025, using descriptors related to “gut microbiota,” “immune system,” and systemic diseases. Inclusion criteria comprised original human studies, peer-reviewed, available in English, Portuguese, or Spanish. Exclusion criteria included animal or in vitro studies, narrative reviews, editorials, and papers without full text.</w:t>
      </w:r>
    </w:p>
    <w:p w14:paraId="25C4A2D0" w14:textId="77777777" w:rsidR="00AC378D" w:rsidRPr="008D02B6" w:rsidRDefault="00AC378D" w:rsidP="00AC378D">
      <w:pPr>
        <w:spacing w:line="360" w:lineRule="auto"/>
        <w:jc w:val="both"/>
        <w:rPr>
          <w:rFonts w:ascii="Arial" w:hAnsi="Arial" w:cs="Arial"/>
          <w:sz w:val="20"/>
          <w:szCs w:val="20"/>
        </w:rPr>
      </w:pPr>
      <w:r w:rsidRPr="008D02B6">
        <w:rPr>
          <w:rFonts w:ascii="Arial" w:hAnsi="Arial" w:cs="Arial"/>
          <w:b/>
          <w:bCs/>
          <w:sz w:val="20"/>
          <w:szCs w:val="20"/>
        </w:rPr>
        <w:t>Results:</w:t>
      </w:r>
      <w:r w:rsidRPr="008D02B6">
        <w:rPr>
          <w:rFonts w:ascii="Arial" w:hAnsi="Arial" w:cs="Arial"/>
          <w:sz w:val="20"/>
          <w:szCs w:val="20"/>
        </w:rPr>
        <w:t xml:space="preserve"> The search identified 1,247 records, of which 16 were included in the qualitative synthesis. The gut microbiota influenced regulatory T cell and Th17 differentiation and cytokine production, including IL-6, IL-10, and TNF-α. In rheumatology, </w:t>
      </w:r>
      <w:r w:rsidRPr="008D02B6">
        <w:rPr>
          <w:rFonts w:ascii="Arial" w:hAnsi="Arial" w:cs="Arial"/>
          <w:i/>
          <w:iCs/>
          <w:sz w:val="20"/>
          <w:szCs w:val="20"/>
        </w:rPr>
        <w:t>Prevotella copri</w:t>
      </w:r>
      <w:r w:rsidRPr="008D02B6">
        <w:rPr>
          <w:rFonts w:ascii="Arial" w:hAnsi="Arial" w:cs="Arial"/>
          <w:sz w:val="20"/>
          <w:szCs w:val="20"/>
        </w:rPr>
        <w:t xml:space="preserve"> was associated with rheumatoid arthritis. In dermatology, dysbiosis was linked to psoriasis, atopic dermatitis, and rosacea. In ophthalmology, autoimmune uveitis and ocular Sjögren’s syndrome were associated with microbial imbalance. In the gastrointestinal field, dysbiosis patterns were connected with inflammatory bowel diseases, irritable bowel syndrome, and metabolic disorders such as obesity and type 2 diabetes.</w:t>
      </w:r>
    </w:p>
    <w:p w14:paraId="03A6D61D" w14:textId="77777777" w:rsidR="00AC378D" w:rsidRPr="008D02B6" w:rsidRDefault="00AC378D" w:rsidP="00AC378D">
      <w:pPr>
        <w:spacing w:line="360" w:lineRule="auto"/>
        <w:jc w:val="both"/>
        <w:rPr>
          <w:rFonts w:ascii="Arial" w:hAnsi="Arial" w:cs="Arial"/>
          <w:sz w:val="20"/>
          <w:szCs w:val="20"/>
        </w:rPr>
      </w:pPr>
      <w:r w:rsidRPr="008D02B6">
        <w:rPr>
          <w:rFonts w:ascii="Arial" w:hAnsi="Arial" w:cs="Arial"/>
          <w:b/>
          <w:bCs/>
          <w:sz w:val="20"/>
          <w:szCs w:val="20"/>
        </w:rPr>
        <w:t>Conclusion:</w:t>
      </w:r>
      <w:r w:rsidRPr="008D02B6">
        <w:rPr>
          <w:rFonts w:ascii="Arial" w:hAnsi="Arial" w:cs="Arial"/>
          <w:sz w:val="20"/>
          <w:szCs w:val="20"/>
        </w:rPr>
        <w:t xml:space="preserve"> The gut–immune axis plays an essential role in immune regulation with multisystemic impact. Modulation of gut microbiota emerges as a promising therapeutic strategy, although well-designed randomized trials are needed to establish diagnostic and therapeutic protocols.</w:t>
      </w:r>
    </w:p>
    <w:p w14:paraId="3270D421" w14:textId="77777777" w:rsidR="00AC378D" w:rsidRPr="008D02B6" w:rsidRDefault="00AC378D" w:rsidP="00AC378D">
      <w:pPr>
        <w:spacing w:line="360" w:lineRule="auto"/>
        <w:jc w:val="both"/>
        <w:rPr>
          <w:rFonts w:ascii="Arial" w:hAnsi="Arial" w:cs="Arial"/>
          <w:sz w:val="20"/>
          <w:szCs w:val="20"/>
        </w:rPr>
      </w:pPr>
      <w:r w:rsidRPr="008D02B6">
        <w:rPr>
          <w:rFonts w:ascii="Arial" w:hAnsi="Arial" w:cs="Arial"/>
          <w:b/>
          <w:bCs/>
          <w:sz w:val="20"/>
          <w:szCs w:val="20"/>
        </w:rPr>
        <w:t>Keywords:</w:t>
      </w:r>
      <w:r w:rsidRPr="008D02B6">
        <w:rPr>
          <w:rFonts w:ascii="Arial" w:hAnsi="Arial" w:cs="Arial"/>
          <w:sz w:val="20"/>
          <w:szCs w:val="20"/>
        </w:rPr>
        <w:t xml:space="preserve"> gut–immune axis; gut microbiota; immunity; autoimmune diseases; systematic review.</w:t>
      </w:r>
    </w:p>
    <w:p w14:paraId="78BF5E37" w14:textId="7C42BFAE" w:rsidR="00AC378D" w:rsidRDefault="00AC378D" w:rsidP="00570673">
      <w:pPr>
        <w:spacing w:line="360" w:lineRule="auto"/>
        <w:rPr>
          <w:rFonts w:ascii="Arial" w:hAnsi="Arial" w:cs="Arial"/>
        </w:rPr>
      </w:pPr>
    </w:p>
    <w:p w14:paraId="27C07E82" w14:textId="4580CD4B" w:rsidR="008E5FC6" w:rsidRDefault="008E5FC6" w:rsidP="00570673">
      <w:pPr>
        <w:spacing w:line="360" w:lineRule="auto"/>
        <w:rPr>
          <w:rFonts w:ascii="Arial" w:hAnsi="Arial" w:cs="Arial"/>
        </w:rPr>
      </w:pPr>
    </w:p>
    <w:p w14:paraId="79507E66" w14:textId="77777777" w:rsidR="008E5FC6" w:rsidRPr="008D02B6" w:rsidRDefault="008E5FC6" w:rsidP="00570673">
      <w:pPr>
        <w:spacing w:line="360" w:lineRule="auto"/>
        <w:rPr>
          <w:rFonts w:ascii="Arial" w:hAnsi="Arial" w:cs="Arial"/>
        </w:rPr>
      </w:pPr>
      <w:bookmarkStart w:id="1" w:name="_GoBack"/>
      <w:bookmarkEnd w:id="1"/>
    </w:p>
    <w:p w14:paraId="405DAFF0" w14:textId="6BDEB28E" w:rsidR="00570673" w:rsidRPr="008D02B6" w:rsidRDefault="00570673" w:rsidP="00570673">
      <w:pPr>
        <w:pStyle w:val="ListParagraph"/>
        <w:numPr>
          <w:ilvl w:val="0"/>
          <w:numId w:val="1"/>
        </w:numPr>
        <w:spacing w:line="360" w:lineRule="auto"/>
        <w:rPr>
          <w:rFonts w:ascii="Arial" w:hAnsi="Arial" w:cs="Arial"/>
          <w:b/>
          <w:bCs/>
        </w:rPr>
      </w:pPr>
      <w:r w:rsidRPr="008D02B6">
        <w:rPr>
          <w:rFonts w:ascii="Arial" w:hAnsi="Arial" w:cs="Arial"/>
          <w:b/>
          <w:bCs/>
        </w:rPr>
        <w:t>INTRODUCTION</w:t>
      </w:r>
    </w:p>
    <w:p w14:paraId="3957309A" w14:textId="3317A618" w:rsidR="00570673" w:rsidRPr="008D02B6" w:rsidRDefault="00570673" w:rsidP="00570673">
      <w:pPr>
        <w:spacing w:line="360" w:lineRule="auto"/>
        <w:ind w:firstLine="360"/>
        <w:jc w:val="both"/>
        <w:rPr>
          <w:rFonts w:ascii="Arial" w:hAnsi="Arial" w:cs="Arial"/>
          <w:sz w:val="20"/>
          <w:szCs w:val="20"/>
        </w:rPr>
      </w:pPr>
      <w:r w:rsidRPr="008D02B6">
        <w:rPr>
          <w:rFonts w:ascii="Arial" w:hAnsi="Arial" w:cs="Arial"/>
          <w:sz w:val="20"/>
          <w:szCs w:val="20"/>
        </w:rPr>
        <w:t>The gut microbiota represents one of the most complex ecosystems in the human body, composed of trillions of microorganisms that play crucial roles in digestion, energy metabolism, and immune system regulation (1,2)</w:t>
      </w:r>
      <w:r w:rsidR="00ED0852">
        <w:rPr>
          <w:rFonts w:ascii="Arial" w:hAnsi="Arial" w:cs="Arial"/>
          <w:sz w:val="20"/>
          <w:szCs w:val="20"/>
        </w:rPr>
        <w:t xml:space="preserve"> </w:t>
      </w:r>
      <w:r w:rsidR="00ED0852" w:rsidRPr="00ED0852">
        <w:rPr>
          <w:rFonts w:ascii="Arial" w:hAnsi="Arial" w:cs="Arial"/>
          <w:sz w:val="20"/>
          <w:szCs w:val="20"/>
        </w:rPr>
        <w:t>1.</w:t>
      </w:r>
      <w:r w:rsidR="00ED0852" w:rsidRPr="00ED0852">
        <w:rPr>
          <w:rFonts w:ascii="Arial" w:hAnsi="Arial" w:cs="Arial"/>
          <w:sz w:val="20"/>
          <w:szCs w:val="20"/>
        </w:rPr>
        <w:tab/>
        <w:t>(McCallum &amp; Tropini, 2024</w:t>
      </w:r>
      <w:r w:rsidR="00ED0852">
        <w:rPr>
          <w:rFonts w:ascii="Arial" w:hAnsi="Arial" w:cs="Arial"/>
          <w:sz w:val="20"/>
          <w:szCs w:val="20"/>
        </w:rPr>
        <w:t xml:space="preserve">; </w:t>
      </w:r>
      <w:r w:rsidR="00ED0852" w:rsidRPr="00ED0852">
        <w:rPr>
          <w:rFonts w:ascii="Arial" w:hAnsi="Arial" w:cs="Arial"/>
          <w:sz w:val="20"/>
          <w:szCs w:val="20"/>
        </w:rPr>
        <w:t>Zhu et al., 2024</w:t>
      </w:r>
      <w:r w:rsidR="00ED0852">
        <w:rPr>
          <w:rFonts w:ascii="Arial" w:hAnsi="Arial" w:cs="Arial"/>
          <w:sz w:val="20"/>
          <w:szCs w:val="20"/>
        </w:rPr>
        <w:t xml:space="preserve">; </w:t>
      </w:r>
      <w:r w:rsidR="00ED0852" w:rsidRPr="00ED0852">
        <w:rPr>
          <w:rFonts w:ascii="Arial" w:hAnsi="Arial" w:cs="Arial"/>
          <w:sz w:val="20"/>
          <w:szCs w:val="20"/>
        </w:rPr>
        <w:t>Liu et al., 2024</w:t>
      </w:r>
      <w:r w:rsidR="00ED0852">
        <w:rPr>
          <w:rFonts w:ascii="Arial" w:hAnsi="Arial" w:cs="Arial"/>
          <w:sz w:val="20"/>
          <w:szCs w:val="20"/>
        </w:rPr>
        <w:t xml:space="preserve"> </w:t>
      </w:r>
      <w:r w:rsidR="00ED0852" w:rsidRPr="00ED0852">
        <w:rPr>
          <w:rFonts w:ascii="Arial" w:hAnsi="Arial" w:cs="Arial"/>
          <w:sz w:val="20"/>
          <w:szCs w:val="20"/>
        </w:rPr>
        <w:t>)</w:t>
      </w:r>
      <w:r w:rsidRPr="008D02B6">
        <w:rPr>
          <w:rFonts w:ascii="Arial" w:hAnsi="Arial" w:cs="Arial"/>
          <w:sz w:val="20"/>
          <w:szCs w:val="20"/>
        </w:rPr>
        <w:t>. The interaction between microbiota and immune cells occurs through the modulation of regulatory T lymphocyte differentiation, cytokine production, and the maintenance of intestinal barrier integrity, establishing the so-called gut–immune axis (3,4).</w:t>
      </w:r>
    </w:p>
    <w:p w14:paraId="5DF29E0E" w14:textId="592C7DCB" w:rsidR="00570673" w:rsidRPr="008D02B6" w:rsidRDefault="00570673" w:rsidP="00570673">
      <w:pPr>
        <w:spacing w:line="360" w:lineRule="auto"/>
        <w:ind w:firstLine="360"/>
        <w:jc w:val="both"/>
        <w:rPr>
          <w:rFonts w:ascii="Arial" w:hAnsi="Arial" w:cs="Arial"/>
          <w:sz w:val="20"/>
          <w:szCs w:val="20"/>
        </w:rPr>
      </w:pPr>
      <w:r w:rsidRPr="008D02B6">
        <w:rPr>
          <w:rFonts w:ascii="Arial" w:hAnsi="Arial" w:cs="Arial"/>
          <w:sz w:val="20"/>
          <w:szCs w:val="20"/>
        </w:rPr>
        <w:t>When dysbiosis occurs, characterized by an imbalance in microbial composition, there is an increase in intestinal permeability, bacterial translocation, and activation of pro-inflammatory systemic responses, implicating this axis in several chronic and autoimmune diseases (5,6)</w:t>
      </w:r>
      <w:r w:rsidR="00ED0852">
        <w:rPr>
          <w:rFonts w:ascii="Arial" w:hAnsi="Arial" w:cs="Arial"/>
          <w:sz w:val="20"/>
          <w:szCs w:val="20"/>
        </w:rPr>
        <w:t xml:space="preserve"> </w:t>
      </w:r>
      <w:r w:rsidR="00ED0852" w:rsidRPr="00ED0852">
        <w:rPr>
          <w:rFonts w:ascii="Arial" w:hAnsi="Arial" w:cs="Arial"/>
          <w:sz w:val="20"/>
          <w:szCs w:val="20"/>
        </w:rPr>
        <w:t>Muraleedharan &amp; Ray, 2024)</w:t>
      </w:r>
      <w:r w:rsidRPr="008D02B6">
        <w:rPr>
          <w:rFonts w:ascii="Arial" w:hAnsi="Arial" w:cs="Arial"/>
          <w:sz w:val="20"/>
          <w:szCs w:val="20"/>
        </w:rPr>
        <w:t>. This phenomenon has been associated with rheumatological conditions such as rheumatoid arthritis, in which species like Prevotella copri are linked to the activation of persistent inflammatory responses (7).</w:t>
      </w:r>
    </w:p>
    <w:p w14:paraId="39FA2BAF" w14:textId="77777777" w:rsidR="00570673" w:rsidRPr="008D02B6" w:rsidRDefault="00570673" w:rsidP="00570673">
      <w:pPr>
        <w:spacing w:line="360" w:lineRule="auto"/>
        <w:ind w:firstLine="360"/>
        <w:jc w:val="both"/>
        <w:rPr>
          <w:rFonts w:ascii="Arial" w:hAnsi="Arial" w:cs="Arial"/>
          <w:sz w:val="20"/>
          <w:szCs w:val="20"/>
        </w:rPr>
      </w:pPr>
      <w:r w:rsidRPr="008D02B6">
        <w:rPr>
          <w:rFonts w:ascii="Arial" w:hAnsi="Arial" w:cs="Arial"/>
          <w:sz w:val="20"/>
          <w:szCs w:val="20"/>
        </w:rPr>
        <w:t>In the gastrointestinal field, dysbiosis plays a central role in the pathogenesis of inflammatory bowel diseases, particularly Crohn’s disease and ulcerative colitis, by compromising epithelial barrier integrity and perpetuating mucosal inflammation (8). Microbiota alterations have also been implicated in metabolic disorders such as obesity, metabolic syndrome, and type 2 diabetes mellitus, through the modulation of short-chain fatty acids, G protein–coupled receptor signaling, and low-grade chronic inflammation (9–11).</w:t>
      </w:r>
    </w:p>
    <w:p w14:paraId="48B4C389" w14:textId="77777777" w:rsidR="00570673" w:rsidRPr="008D02B6" w:rsidRDefault="00570673" w:rsidP="00570673">
      <w:pPr>
        <w:spacing w:line="360" w:lineRule="auto"/>
        <w:ind w:firstLine="360"/>
        <w:jc w:val="both"/>
        <w:rPr>
          <w:rFonts w:ascii="Arial" w:hAnsi="Arial" w:cs="Arial"/>
          <w:sz w:val="20"/>
          <w:szCs w:val="20"/>
        </w:rPr>
      </w:pPr>
      <w:r w:rsidRPr="008D02B6">
        <w:rPr>
          <w:rFonts w:ascii="Arial" w:hAnsi="Arial" w:cs="Arial"/>
          <w:sz w:val="20"/>
          <w:szCs w:val="20"/>
        </w:rPr>
        <w:t>Moreover, recent evidence highlights important repercussions for ocular and dermatological systems. Studies indicate associations between gut microbiota and autoimmune uveitis, allergic conjunctivitis, and ocular Sjögren’s syndrome, possibly through molecular mimicry and the activation of autoreactive T cells (3,4). In dermatology, conditions such as psoriasis and atopic dermatitis have also been correlated with gut dysbiosis, mediated by the action of pro-inflammatory microbial metabolites (12).</w:t>
      </w:r>
    </w:p>
    <w:p w14:paraId="5974DE28" w14:textId="1087E6FA" w:rsidR="00570673" w:rsidRPr="008D02B6" w:rsidRDefault="00570673" w:rsidP="00570673">
      <w:pPr>
        <w:spacing w:line="360" w:lineRule="auto"/>
        <w:ind w:firstLine="360"/>
        <w:jc w:val="both"/>
        <w:rPr>
          <w:rFonts w:ascii="Arial" w:hAnsi="Arial" w:cs="Arial"/>
          <w:sz w:val="20"/>
          <w:szCs w:val="20"/>
        </w:rPr>
      </w:pPr>
      <w:r w:rsidRPr="008D02B6">
        <w:rPr>
          <w:rFonts w:ascii="Arial" w:hAnsi="Arial" w:cs="Arial"/>
          <w:sz w:val="20"/>
          <w:szCs w:val="20"/>
        </w:rPr>
        <w:t>Given this body of evidence, the intestinal microbiota is no longer understood solely as a digestive component but as a central regulator of multisystem immune processes. Thus, this study aims to systematically review the literature in order to identify the repercussions of the gut–immune axis on the immune, rheumatological, ophthalmological, dermatological, and gastrointestinal systems.</w:t>
      </w:r>
    </w:p>
    <w:p w14:paraId="5B7D097C" w14:textId="7786164F" w:rsidR="00570673" w:rsidRPr="008D02B6" w:rsidRDefault="00570673" w:rsidP="00570673">
      <w:pPr>
        <w:pStyle w:val="ListParagraph"/>
        <w:numPr>
          <w:ilvl w:val="0"/>
          <w:numId w:val="1"/>
        </w:numPr>
        <w:spacing w:line="360" w:lineRule="auto"/>
        <w:rPr>
          <w:rFonts w:ascii="Arial" w:hAnsi="Arial" w:cs="Arial"/>
          <w:b/>
          <w:bCs/>
          <w:lang w:val="en-US"/>
        </w:rPr>
      </w:pPr>
      <w:r w:rsidRPr="008D02B6">
        <w:rPr>
          <w:rFonts w:ascii="Arial" w:hAnsi="Arial" w:cs="Arial"/>
          <w:b/>
          <w:bCs/>
          <w:lang w:val="en-US"/>
        </w:rPr>
        <w:t>MATERIAL AND METHODS</w:t>
      </w:r>
    </w:p>
    <w:p w14:paraId="390339E4" w14:textId="77777777" w:rsidR="009B6582" w:rsidRPr="008D02B6" w:rsidRDefault="009B6582" w:rsidP="009B6582">
      <w:pPr>
        <w:spacing w:line="360" w:lineRule="auto"/>
        <w:jc w:val="both"/>
        <w:rPr>
          <w:rFonts w:ascii="Arial" w:hAnsi="Arial" w:cs="Arial"/>
          <w:b/>
          <w:bCs/>
          <w:sz w:val="20"/>
          <w:szCs w:val="20"/>
          <w:lang w:val="en-US"/>
        </w:rPr>
      </w:pPr>
      <w:r w:rsidRPr="008D02B6">
        <w:rPr>
          <w:rFonts w:ascii="Arial" w:hAnsi="Arial" w:cs="Arial"/>
          <w:b/>
          <w:bCs/>
          <w:sz w:val="20"/>
          <w:szCs w:val="20"/>
          <w:lang w:val="en-US"/>
        </w:rPr>
        <w:t>Study type</w:t>
      </w:r>
    </w:p>
    <w:p w14:paraId="1E78C8F0" w14:textId="77777777" w:rsidR="009B6582" w:rsidRPr="008D02B6" w:rsidRDefault="009B6582" w:rsidP="009B6582">
      <w:pPr>
        <w:spacing w:line="360" w:lineRule="auto"/>
        <w:jc w:val="both"/>
        <w:rPr>
          <w:rFonts w:ascii="Arial" w:hAnsi="Arial" w:cs="Arial"/>
          <w:sz w:val="20"/>
          <w:szCs w:val="20"/>
          <w:lang w:val="en-US"/>
        </w:rPr>
      </w:pPr>
      <w:r w:rsidRPr="008D02B6">
        <w:rPr>
          <w:rFonts w:ascii="Arial" w:hAnsi="Arial" w:cs="Arial"/>
          <w:sz w:val="20"/>
          <w:szCs w:val="20"/>
          <w:lang w:val="en-US"/>
        </w:rPr>
        <w:t>This work is a systematic review conducted in accordance with the recommendations of the PRISMA 2020 checklist (Preferred Reporting Items for Systematic Reviews and Meta-Analyses).</w:t>
      </w:r>
    </w:p>
    <w:p w14:paraId="078CBE6A" w14:textId="77777777" w:rsidR="009B6582" w:rsidRPr="008D02B6" w:rsidRDefault="009B6582" w:rsidP="009B6582">
      <w:pPr>
        <w:spacing w:line="360" w:lineRule="auto"/>
        <w:jc w:val="both"/>
        <w:rPr>
          <w:rFonts w:ascii="Arial" w:hAnsi="Arial" w:cs="Arial"/>
          <w:b/>
          <w:bCs/>
          <w:sz w:val="20"/>
          <w:szCs w:val="20"/>
          <w:lang w:val="en-US"/>
        </w:rPr>
      </w:pPr>
      <w:r w:rsidRPr="008D02B6">
        <w:rPr>
          <w:rFonts w:ascii="Arial" w:hAnsi="Arial" w:cs="Arial"/>
          <w:b/>
          <w:bCs/>
          <w:sz w:val="20"/>
          <w:szCs w:val="20"/>
          <w:lang w:val="en-US"/>
        </w:rPr>
        <w:lastRenderedPageBreak/>
        <w:t>Search strategy</w:t>
      </w:r>
    </w:p>
    <w:p w14:paraId="49B66D03" w14:textId="4658F83F" w:rsidR="009B6582" w:rsidRPr="008D02B6" w:rsidRDefault="009B6582" w:rsidP="009B6582">
      <w:pPr>
        <w:spacing w:line="360" w:lineRule="auto"/>
        <w:jc w:val="both"/>
        <w:rPr>
          <w:rFonts w:ascii="Arial" w:hAnsi="Arial" w:cs="Arial"/>
          <w:sz w:val="20"/>
          <w:szCs w:val="20"/>
          <w:lang w:val="en-US"/>
        </w:rPr>
      </w:pPr>
      <w:r w:rsidRPr="008D02B6">
        <w:rPr>
          <w:rFonts w:ascii="Arial" w:hAnsi="Arial" w:cs="Arial"/>
          <w:sz w:val="20"/>
          <w:szCs w:val="20"/>
          <w:lang w:val="en-US"/>
        </w:rPr>
        <w:t xml:space="preserve">The bibliographic search was carried out in the PubMed/MEDLINE, </w:t>
      </w:r>
      <w:proofErr w:type="spellStart"/>
      <w:r w:rsidRPr="008D02B6">
        <w:rPr>
          <w:rFonts w:ascii="Arial" w:hAnsi="Arial" w:cs="Arial"/>
          <w:sz w:val="20"/>
          <w:szCs w:val="20"/>
          <w:lang w:val="en-US"/>
        </w:rPr>
        <w:t>Embase</w:t>
      </w:r>
      <w:proofErr w:type="spellEnd"/>
      <w:r w:rsidRPr="008D02B6">
        <w:rPr>
          <w:rFonts w:ascii="Arial" w:hAnsi="Arial" w:cs="Arial"/>
          <w:sz w:val="20"/>
          <w:szCs w:val="20"/>
          <w:lang w:val="en-US"/>
        </w:rPr>
        <w:t xml:space="preserve">, Scopus, Web of Science, and </w:t>
      </w:r>
      <w:proofErr w:type="spellStart"/>
      <w:r w:rsidRPr="008D02B6">
        <w:rPr>
          <w:rFonts w:ascii="Arial" w:hAnsi="Arial" w:cs="Arial"/>
          <w:sz w:val="20"/>
          <w:szCs w:val="20"/>
          <w:lang w:val="en-US"/>
        </w:rPr>
        <w:t>SciELO</w:t>
      </w:r>
      <w:proofErr w:type="spellEnd"/>
      <w:r w:rsidRPr="008D02B6">
        <w:rPr>
          <w:rFonts w:ascii="Arial" w:hAnsi="Arial" w:cs="Arial"/>
          <w:sz w:val="20"/>
          <w:szCs w:val="20"/>
          <w:lang w:val="en-US"/>
        </w:rPr>
        <w:t xml:space="preserve"> databases, covering publications from January 2015 to august 2025. Controlled descriptors (</w:t>
      </w:r>
      <w:proofErr w:type="spellStart"/>
      <w:r w:rsidRPr="008D02B6">
        <w:rPr>
          <w:rFonts w:ascii="Arial" w:hAnsi="Arial" w:cs="Arial"/>
          <w:sz w:val="20"/>
          <w:szCs w:val="20"/>
          <w:lang w:val="en-US"/>
        </w:rPr>
        <w:t>MeSH</w:t>
      </w:r>
      <w:proofErr w:type="spellEnd"/>
      <w:r w:rsidRPr="008D02B6">
        <w:rPr>
          <w:rFonts w:ascii="Arial" w:hAnsi="Arial" w:cs="Arial"/>
          <w:sz w:val="20"/>
          <w:szCs w:val="20"/>
          <w:lang w:val="en-US"/>
        </w:rPr>
        <w:t xml:space="preserve"> and </w:t>
      </w:r>
      <w:proofErr w:type="spellStart"/>
      <w:r w:rsidRPr="008D02B6">
        <w:rPr>
          <w:rFonts w:ascii="Arial" w:hAnsi="Arial" w:cs="Arial"/>
          <w:sz w:val="20"/>
          <w:szCs w:val="20"/>
          <w:lang w:val="en-US"/>
        </w:rPr>
        <w:t>DeCS</w:t>
      </w:r>
      <w:proofErr w:type="spellEnd"/>
      <w:r w:rsidRPr="008D02B6">
        <w:rPr>
          <w:rFonts w:ascii="Arial" w:hAnsi="Arial" w:cs="Arial"/>
          <w:sz w:val="20"/>
          <w:szCs w:val="20"/>
          <w:lang w:val="en-US"/>
        </w:rPr>
        <w:t>) and free terms were used, combined with Boolean operators. The applied strategy included terms such as: (“gut microbiota” OR “intestinal microbiota”) AND “immune system” AND (“systemic diseases” OR “autoimmune diseases” OR “skin” OR “joints” OR “eye” OR “gastrointestinal”).</w:t>
      </w:r>
    </w:p>
    <w:p w14:paraId="6E2E7400" w14:textId="77777777" w:rsidR="009B6582" w:rsidRPr="008D02B6" w:rsidRDefault="009B6582" w:rsidP="009B6582">
      <w:pPr>
        <w:spacing w:line="360" w:lineRule="auto"/>
        <w:jc w:val="both"/>
        <w:rPr>
          <w:rFonts w:ascii="Arial" w:hAnsi="Arial" w:cs="Arial"/>
          <w:b/>
          <w:bCs/>
          <w:sz w:val="20"/>
          <w:szCs w:val="20"/>
          <w:lang w:val="en-US"/>
        </w:rPr>
      </w:pPr>
      <w:r w:rsidRPr="008D02B6">
        <w:rPr>
          <w:rFonts w:ascii="Arial" w:hAnsi="Arial" w:cs="Arial"/>
          <w:b/>
          <w:bCs/>
          <w:sz w:val="20"/>
          <w:szCs w:val="20"/>
          <w:lang w:val="en-US"/>
        </w:rPr>
        <w:t>Inclusion criteria</w:t>
      </w:r>
    </w:p>
    <w:p w14:paraId="7434A7A9" w14:textId="5F843692" w:rsidR="009B6582" w:rsidRPr="008D02B6" w:rsidRDefault="009B6582" w:rsidP="009B6582">
      <w:pPr>
        <w:spacing w:line="360" w:lineRule="auto"/>
        <w:jc w:val="both"/>
        <w:rPr>
          <w:rFonts w:ascii="Arial" w:hAnsi="Arial" w:cs="Arial"/>
          <w:b/>
          <w:bCs/>
          <w:sz w:val="20"/>
          <w:szCs w:val="20"/>
          <w:lang w:val="en-US"/>
        </w:rPr>
      </w:pPr>
      <w:r w:rsidRPr="008D02B6">
        <w:rPr>
          <w:rFonts w:ascii="Arial" w:hAnsi="Arial" w:cs="Arial"/>
          <w:sz w:val="20"/>
          <w:szCs w:val="20"/>
          <w:lang w:val="en-US"/>
        </w:rPr>
        <w:t>Eligible studies were original research conducted in humans, published in peer-reviewed journals, and available in English, Portuguese, or Spanish. Furthermore, only publications that investigated the relationship between gut microbiota, immunity, and systemic repercussions were included, covering the immunological, rheumatological, ophthalmological, dermatological, and gastrointestinal fields.</w:t>
      </w:r>
    </w:p>
    <w:p w14:paraId="5D3ACE61" w14:textId="77777777" w:rsidR="009B6582" w:rsidRPr="008D02B6" w:rsidRDefault="009B6582" w:rsidP="009B6582">
      <w:pPr>
        <w:spacing w:line="360" w:lineRule="auto"/>
        <w:jc w:val="both"/>
        <w:rPr>
          <w:rFonts w:ascii="Arial" w:hAnsi="Arial" w:cs="Arial"/>
          <w:b/>
          <w:bCs/>
          <w:sz w:val="20"/>
          <w:szCs w:val="20"/>
          <w:lang w:val="en-US"/>
        </w:rPr>
      </w:pPr>
      <w:r w:rsidRPr="008D02B6">
        <w:rPr>
          <w:rFonts w:ascii="Arial" w:hAnsi="Arial" w:cs="Arial"/>
          <w:b/>
          <w:bCs/>
          <w:sz w:val="20"/>
          <w:szCs w:val="20"/>
          <w:lang w:val="en-US"/>
        </w:rPr>
        <w:t>Exclusion criteria</w:t>
      </w:r>
    </w:p>
    <w:p w14:paraId="57ED3849" w14:textId="77777777" w:rsidR="009B6582" w:rsidRPr="008D02B6" w:rsidRDefault="009B6582" w:rsidP="009B6582">
      <w:pPr>
        <w:spacing w:line="360" w:lineRule="auto"/>
        <w:jc w:val="both"/>
        <w:rPr>
          <w:rFonts w:ascii="Arial" w:hAnsi="Arial" w:cs="Arial"/>
          <w:sz w:val="20"/>
          <w:szCs w:val="20"/>
          <w:lang w:val="en-US"/>
        </w:rPr>
      </w:pPr>
      <w:r w:rsidRPr="008D02B6">
        <w:rPr>
          <w:rFonts w:ascii="Arial" w:hAnsi="Arial" w:cs="Arial"/>
          <w:sz w:val="20"/>
          <w:szCs w:val="20"/>
          <w:lang w:val="en-US"/>
        </w:rPr>
        <w:t>Studies conducted exclusively in animal models or in vitro conditions were excluded from the analysis, as well as narrative reviews, editorials, letters to the editor, and commentaries. Articles without full-text availability were also not considered.</w:t>
      </w:r>
    </w:p>
    <w:p w14:paraId="6EB89091" w14:textId="77777777" w:rsidR="009B6582" w:rsidRPr="008D02B6" w:rsidRDefault="009B6582" w:rsidP="009B6582">
      <w:pPr>
        <w:spacing w:line="360" w:lineRule="auto"/>
        <w:jc w:val="both"/>
        <w:rPr>
          <w:rFonts w:ascii="Arial" w:hAnsi="Arial" w:cs="Arial"/>
          <w:b/>
          <w:bCs/>
          <w:sz w:val="20"/>
          <w:szCs w:val="20"/>
          <w:lang w:val="en-US"/>
        </w:rPr>
      </w:pPr>
      <w:r w:rsidRPr="008D02B6">
        <w:rPr>
          <w:rFonts w:ascii="Arial" w:hAnsi="Arial" w:cs="Arial"/>
          <w:b/>
          <w:bCs/>
          <w:sz w:val="20"/>
          <w:szCs w:val="20"/>
          <w:lang w:val="en-US"/>
        </w:rPr>
        <w:t>Study selection</w:t>
      </w:r>
    </w:p>
    <w:p w14:paraId="3B31BE7F" w14:textId="77777777" w:rsidR="009B6582" w:rsidRPr="008D02B6" w:rsidRDefault="009B6582" w:rsidP="009B6582">
      <w:pPr>
        <w:spacing w:line="360" w:lineRule="auto"/>
        <w:jc w:val="both"/>
        <w:rPr>
          <w:rFonts w:ascii="Arial" w:hAnsi="Arial" w:cs="Arial"/>
          <w:sz w:val="20"/>
          <w:szCs w:val="20"/>
          <w:lang w:val="en-US"/>
        </w:rPr>
      </w:pPr>
      <w:r w:rsidRPr="008D02B6">
        <w:rPr>
          <w:rFonts w:ascii="Arial" w:hAnsi="Arial" w:cs="Arial"/>
          <w:sz w:val="20"/>
          <w:szCs w:val="20"/>
          <w:lang w:val="en-US"/>
        </w:rPr>
        <w:t>The initial screening of titles and abstracts was performed independently by two reviewers. Subsequently, potentially eligible articles were assessed in full text, and disagreements between reviewers were resolved by consensus. The entire selection process will be presented in a flow diagram adapted from the PRISMA model.</w:t>
      </w:r>
    </w:p>
    <w:p w14:paraId="232B79E7" w14:textId="77777777" w:rsidR="009B6582" w:rsidRPr="008D02B6" w:rsidRDefault="009B6582" w:rsidP="009B6582">
      <w:pPr>
        <w:spacing w:line="360" w:lineRule="auto"/>
        <w:jc w:val="both"/>
        <w:rPr>
          <w:rFonts w:ascii="Arial" w:hAnsi="Arial" w:cs="Arial"/>
          <w:b/>
          <w:bCs/>
          <w:sz w:val="20"/>
          <w:szCs w:val="20"/>
          <w:lang w:val="en-US"/>
        </w:rPr>
      </w:pPr>
      <w:r w:rsidRPr="008D02B6">
        <w:rPr>
          <w:rFonts w:ascii="Arial" w:hAnsi="Arial" w:cs="Arial"/>
          <w:b/>
          <w:bCs/>
          <w:sz w:val="20"/>
          <w:szCs w:val="20"/>
          <w:lang w:val="en-US"/>
        </w:rPr>
        <w:t>Quality assessment</w:t>
      </w:r>
    </w:p>
    <w:p w14:paraId="02EDE723" w14:textId="77777777" w:rsidR="009B6582" w:rsidRPr="008D02B6" w:rsidRDefault="009B6582" w:rsidP="009B6582">
      <w:pPr>
        <w:spacing w:line="360" w:lineRule="auto"/>
        <w:jc w:val="both"/>
        <w:rPr>
          <w:rFonts w:ascii="Arial" w:hAnsi="Arial" w:cs="Arial"/>
          <w:sz w:val="20"/>
          <w:szCs w:val="20"/>
          <w:lang w:val="en-US"/>
        </w:rPr>
      </w:pPr>
      <w:r w:rsidRPr="008D02B6">
        <w:rPr>
          <w:rFonts w:ascii="Arial" w:hAnsi="Arial" w:cs="Arial"/>
          <w:sz w:val="20"/>
          <w:szCs w:val="20"/>
          <w:lang w:val="en-US"/>
        </w:rPr>
        <w:t>The quality of observational studies included was assessed using the Newcastle–Ottawa Scale (NOS), while previously identified systematic reviews were evaluated with the AMSTAR-2 instrument. Only studies classified as moderate to high quality were retained in the final synthesis.</w:t>
      </w:r>
    </w:p>
    <w:p w14:paraId="62A40071" w14:textId="77777777" w:rsidR="009B6582" w:rsidRPr="008D02B6" w:rsidRDefault="009B6582" w:rsidP="009B6582">
      <w:pPr>
        <w:spacing w:line="360" w:lineRule="auto"/>
        <w:jc w:val="both"/>
        <w:rPr>
          <w:rFonts w:ascii="Arial" w:hAnsi="Arial" w:cs="Arial"/>
          <w:b/>
          <w:bCs/>
          <w:sz w:val="20"/>
          <w:szCs w:val="20"/>
          <w:lang w:val="en-US"/>
        </w:rPr>
      </w:pPr>
      <w:r w:rsidRPr="008D02B6">
        <w:rPr>
          <w:rFonts w:ascii="Arial" w:hAnsi="Arial" w:cs="Arial"/>
          <w:b/>
          <w:bCs/>
          <w:sz w:val="20"/>
          <w:szCs w:val="20"/>
          <w:lang w:val="en-US"/>
        </w:rPr>
        <w:t>Data extraction and analysis</w:t>
      </w:r>
    </w:p>
    <w:p w14:paraId="688E57D3" w14:textId="77777777" w:rsidR="009B6582" w:rsidRPr="008D02B6" w:rsidRDefault="009B6582" w:rsidP="009B6582">
      <w:pPr>
        <w:spacing w:line="360" w:lineRule="auto"/>
        <w:jc w:val="both"/>
        <w:rPr>
          <w:rFonts w:ascii="Arial" w:hAnsi="Arial" w:cs="Arial"/>
          <w:sz w:val="20"/>
          <w:szCs w:val="20"/>
          <w:lang w:val="en-US"/>
        </w:rPr>
      </w:pPr>
      <w:r w:rsidRPr="008D02B6">
        <w:rPr>
          <w:rFonts w:ascii="Arial" w:hAnsi="Arial" w:cs="Arial"/>
          <w:sz w:val="20"/>
          <w:szCs w:val="20"/>
          <w:lang w:val="en-US"/>
        </w:rPr>
        <w:t>Data extraction included information on authors, year of publication, country, population or sample characteristics, system or clinical condition assessed, identified microbiota alterations, and main immunological and clinical outcomes reported. Results were organized into a narrative synthesis and presented in comparative tables, according to the affected systems, including immunological, rheumatological, ophthalmological, dermatological, and gastrointestinal.</w:t>
      </w:r>
    </w:p>
    <w:p w14:paraId="2DBAFBED" w14:textId="77777777" w:rsidR="009B6582" w:rsidRPr="008D02B6" w:rsidRDefault="009B6582" w:rsidP="009B6582">
      <w:pPr>
        <w:spacing w:line="360" w:lineRule="auto"/>
        <w:jc w:val="both"/>
        <w:rPr>
          <w:rFonts w:ascii="Arial" w:hAnsi="Arial" w:cs="Arial"/>
          <w:b/>
          <w:bCs/>
          <w:sz w:val="20"/>
          <w:szCs w:val="20"/>
          <w:lang w:val="en-US"/>
        </w:rPr>
      </w:pPr>
      <w:r w:rsidRPr="008D02B6">
        <w:rPr>
          <w:rFonts w:ascii="Arial" w:hAnsi="Arial" w:cs="Arial"/>
          <w:b/>
          <w:bCs/>
          <w:sz w:val="20"/>
          <w:szCs w:val="20"/>
          <w:lang w:val="en-US"/>
        </w:rPr>
        <w:t>PRISMA flowchart</w:t>
      </w:r>
    </w:p>
    <w:p w14:paraId="4FD9D16C" w14:textId="07251299" w:rsidR="005A6CA1" w:rsidRPr="008D02B6" w:rsidRDefault="009B6582" w:rsidP="009B6582">
      <w:pPr>
        <w:spacing w:line="360" w:lineRule="auto"/>
        <w:jc w:val="both"/>
        <w:rPr>
          <w:rFonts w:ascii="Arial" w:hAnsi="Arial" w:cs="Arial"/>
          <w:sz w:val="20"/>
          <w:szCs w:val="20"/>
          <w:lang w:val="en-US"/>
        </w:rPr>
      </w:pPr>
      <w:r w:rsidRPr="008D02B6">
        <w:rPr>
          <w:rFonts w:ascii="Arial" w:hAnsi="Arial" w:cs="Arial"/>
          <w:sz w:val="20"/>
          <w:szCs w:val="20"/>
          <w:lang w:val="en-US"/>
        </w:rPr>
        <w:lastRenderedPageBreak/>
        <w:t xml:space="preserve">The search performed in PubMed, Scopus, </w:t>
      </w:r>
      <w:proofErr w:type="spellStart"/>
      <w:r w:rsidRPr="008D02B6">
        <w:rPr>
          <w:rFonts w:ascii="Arial" w:hAnsi="Arial" w:cs="Arial"/>
          <w:sz w:val="20"/>
          <w:szCs w:val="20"/>
          <w:lang w:val="en-US"/>
        </w:rPr>
        <w:t>Embase</w:t>
      </w:r>
      <w:proofErr w:type="spellEnd"/>
      <w:r w:rsidRPr="008D02B6">
        <w:rPr>
          <w:rFonts w:ascii="Arial" w:hAnsi="Arial" w:cs="Arial"/>
          <w:sz w:val="20"/>
          <w:szCs w:val="20"/>
          <w:lang w:val="en-US"/>
        </w:rPr>
        <w:t xml:space="preserve">, Web of Science, and </w:t>
      </w:r>
      <w:proofErr w:type="spellStart"/>
      <w:r w:rsidRPr="008D02B6">
        <w:rPr>
          <w:rFonts w:ascii="Arial" w:hAnsi="Arial" w:cs="Arial"/>
          <w:sz w:val="20"/>
          <w:szCs w:val="20"/>
          <w:lang w:val="en-US"/>
        </w:rPr>
        <w:t>SciELO</w:t>
      </w:r>
      <w:proofErr w:type="spellEnd"/>
      <w:r w:rsidRPr="008D02B6">
        <w:rPr>
          <w:rFonts w:ascii="Arial" w:hAnsi="Arial" w:cs="Arial"/>
          <w:sz w:val="20"/>
          <w:szCs w:val="20"/>
          <w:lang w:val="en-US"/>
        </w:rPr>
        <w:t xml:space="preserve"> databases identified 1,247 records. After removing 312 duplicates, 935 articles remained for title and abstract screening. At this stage, 781 studies were excluded for not meeting the eligibility criteria, leaving 154 articles for full-text reading. Of these, 138 were excluded for the following reasons: no direct focus on the gut–immune axis (n = 65), studies in animal models or in vitro (n = 41), absence of outcomes relevant to the proposed systems (n = 21), and unavailability of full text (n = 11). In the end, 16 studies were included in the qualitative synthesis of this systematic review.</w:t>
      </w:r>
    </w:p>
    <w:p w14:paraId="4CCDA758" w14:textId="77777777" w:rsidR="005A6CA1" w:rsidRPr="008D02B6" w:rsidRDefault="005A6CA1" w:rsidP="005A6CA1">
      <w:pPr>
        <w:spacing w:line="480" w:lineRule="auto"/>
        <w:jc w:val="both"/>
        <w:rPr>
          <w:rFonts w:ascii="Times New Roman" w:hAnsi="Times New Roman" w:cs="Times New Roman"/>
          <w:sz w:val="24"/>
          <w:szCs w:val="24"/>
        </w:rPr>
      </w:pPr>
    </w:p>
    <w:p w14:paraId="0899BB08" w14:textId="77777777" w:rsidR="005A6CA1" w:rsidRPr="008D02B6" w:rsidRDefault="005A6CA1" w:rsidP="005A6CA1">
      <w:pPr>
        <w:rPr>
          <w:rFonts w:ascii="Times New Roman" w:hAnsi="Times New Roman" w:cs="Times New Roman"/>
        </w:rPr>
      </w:pPr>
      <w:r w:rsidRPr="008D02B6">
        <w:rPr>
          <w:rFonts w:ascii="Times New Roman" w:hAnsi="Times New Roman" w:cs="Times New Roman"/>
          <w:noProof/>
        </w:rPr>
        <mc:AlternateContent>
          <mc:Choice Requires="wps">
            <w:drawing>
              <wp:anchor distT="45720" distB="45720" distL="114300" distR="114300" simplePos="0" relativeHeight="251674624" behindDoc="0" locked="0" layoutInCell="1" allowOverlap="1" wp14:anchorId="31032D48" wp14:editId="61ECF401">
                <wp:simplePos x="0" y="0"/>
                <wp:positionH relativeFrom="margin">
                  <wp:posOffset>708025</wp:posOffset>
                </wp:positionH>
                <wp:positionV relativeFrom="paragraph">
                  <wp:posOffset>438150</wp:posOffset>
                </wp:positionV>
                <wp:extent cx="1174115" cy="316230"/>
                <wp:effectExtent l="0" t="9207" r="16827" b="16828"/>
                <wp:wrapSquare wrapText="bothSides"/>
                <wp:docPr id="206536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4">
                            <a:lumMod val="20000"/>
                            <a:lumOff val="80000"/>
                          </a:schemeClr>
                        </a:solidFill>
                        <a:ln w="19050">
                          <a:solidFill>
                            <a:srgbClr val="000000"/>
                          </a:solidFill>
                          <a:miter lim="800000"/>
                          <a:headEnd/>
                          <a:tailEnd/>
                        </a:ln>
                      </wps:spPr>
                      <wps:txbx>
                        <w:txbxContent>
                          <w:p w14:paraId="31170636" w14:textId="79B859F2" w:rsidR="005A6CA1" w:rsidRDefault="009B6582" w:rsidP="005A6CA1">
                            <w:r w:rsidRPr="009B6582">
                              <w:rPr>
                                <w:rFonts w:ascii="Times New Roman" w:hAnsi="Times New Roman" w:cs="Times New Roman"/>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32D48" id="_x0000_t202" coordsize="21600,21600" o:spt="202" path="m,l,21600r21600,l21600,xe">
                <v:stroke joinstyle="miter"/>
                <v:path gradientshapeok="t" o:connecttype="rect"/>
              </v:shapetype>
              <v:shape id="Caixa de Texto 2" o:spid="_x0000_s1026"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fff2cc [663]" strokeweight="1.5pt">
                <v:textbox>
                  <w:txbxContent>
                    <w:p w14:paraId="31170636" w14:textId="79B859F2" w:rsidR="005A6CA1" w:rsidRDefault="009B6582" w:rsidP="005A6CA1">
                      <w:r w:rsidRPr="009B6582">
                        <w:rPr>
                          <w:rFonts w:ascii="Times New Roman" w:hAnsi="Times New Roman" w:cs="Times New Roman"/>
                          <w:b/>
                          <w:bCs/>
                          <w:sz w:val="24"/>
                          <w:szCs w:val="24"/>
                        </w:rPr>
                        <w:t>Identification</w:t>
                      </w:r>
                    </w:p>
                  </w:txbxContent>
                </v:textbox>
                <w10:wrap type="square" anchorx="margin"/>
              </v:shape>
            </w:pict>
          </mc:Fallback>
        </mc:AlternateContent>
      </w:r>
      <w:r w:rsidRPr="008D02B6">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5A59A3D4" wp14:editId="3BEED136">
                <wp:simplePos x="0" y="0"/>
                <wp:positionH relativeFrom="column">
                  <wp:posOffset>1619250</wp:posOffset>
                </wp:positionH>
                <wp:positionV relativeFrom="paragraph">
                  <wp:posOffset>4700270</wp:posOffset>
                </wp:positionV>
                <wp:extent cx="2235200" cy="571500"/>
                <wp:effectExtent l="0" t="0" r="12700" b="19050"/>
                <wp:wrapSquare wrapText="bothSides"/>
                <wp:docPr id="1453000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514D37CE"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 xml:space="preserve">Studies </w:t>
                            </w:r>
                            <w:r w:rsidRPr="009B6582">
                              <w:rPr>
                                <w:rFonts w:ascii="Times New Roman" w:hAnsi="Times New Roman" w:cs="Times New Roman"/>
                                <w:sz w:val="24"/>
                                <w:szCs w:val="24"/>
                              </w:rPr>
                              <w:t>included in the review</w:t>
                            </w:r>
                          </w:p>
                          <w:p w14:paraId="1A62B7E0" w14:textId="77777777" w:rsidR="009B6582" w:rsidRDefault="009B6582" w:rsidP="009B6582">
                            <w:pPr>
                              <w:jc w:val="center"/>
                            </w:pPr>
                            <w:r w:rsidRPr="009B6582">
                              <w:rPr>
                                <w:rFonts w:ascii="Times New Roman" w:hAnsi="Times New Roman" w:cs="Times New Roman"/>
                                <w:sz w:val="24"/>
                                <w:szCs w:val="24"/>
                              </w:rPr>
                              <w:t>(n=16)</w:t>
                            </w:r>
                          </w:p>
                          <w:p w14:paraId="201D4AA5" w14:textId="77777777" w:rsidR="005A6CA1" w:rsidRDefault="005A6CA1" w:rsidP="005A6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9A3D4" id="_x0000_s1027"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514D37CE"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 xml:space="preserve">Studies </w:t>
                      </w:r>
                      <w:r w:rsidRPr="009B6582">
                        <w:rPr>
                          <w:rFonts w:ascii="Times New Roman" w:hAnsi="Times New Roman" w:cs="Times New Roman"/>
                          <w:sz w:val="24"/>
                          <w:szCs w:val="24"/>
                        </w:rPr>
                        <w:t>included in the review</w:t>
                      </w:r>
                    </w:p>
                    <w:p w14:paraId="1A62B7E0" w14:textId="77777777" w:rsidR="009B6582" w:rsidRDefault="009B6582" w:rsidP="009B6582">
                      <w:pPr>
                        <w:jc w:val="center"/>
                      </w:pPr>
                      <w:r w:rsidRPr="009B6582">
                        <w:rPr>
                          <w:rFonts w:ascii="Times New Roman" w:hAnsi="Times New Roman" w:cs="Times New Roman"/>
                          <w:sz w:val="24"/>
                          <w:szCs w:val="24"/>
                        </w:rPr>
                        <w:t>(n=16)</w:t>
                      </w:r>
                    </w:p>
                    <w:p w14:paraId="201D4AA5" w14:textId="77777777" w:rsidR="005A6CA1" w:rsidRDefault="005A6CA1" w:rsidP="005A6CA1"/>
                  </w:txbxContent>
                </v:textbox>
                <w10:wrap type="square"/>
              </v:shape>
            </w:pict>
          </mc:Fallback>
        </mc:AlternateContent>
      </w:r>
      <w:r w:rsidRPr="008D02B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3DCCC3F" wp14:editId="58947F9A">
                <wp:simplePos x="0" y="0"/>
                <wp:positionH relativeFrom="margin">
                  <wp:posOffset>2728595</wp:posOffset>
                </wp:positionH>
                <wp:positionV relativeFrom="paragraph">
                  <wp:posOffset>4140200</wp:posOffset>
                </wp:positionV>
                <wp:extent cx="0" cy="552450"/>
                <wp:effectExtent l="76200" t="0" r="57150" b="57150"/>
                <wp:wrapNone/>
                <wp:docPr id="198070468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197AA1" id="_x0000_t32" coordsize="21600,21600" o:spt="32" o:oned="t" path="m,l21600,21600e" filled="f">
                <v:path arrowok="t" fillok="f" o:connecttype="none"/>
                <o:lock v:ext="edit" shapetype="t"/>
              </v:shapetype>
              <v:shape id="Conector de Seta Reta 4" o:spid="_x0000_s1026"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mc:Fallback>
        </mc:AlternateContent>
      </w:r>
      <w:r w:rsidRPr="008D02B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3F0144E" wp14:editId="3C47DA9D">
                <wp:simplePos x="0" y="0"/>
                <wp:positionH relativeFrom="column">
                  <wp:posOffset>2730500</wp:posOffset>
                </wp:positionH>
                <wp:positionV relativeFrom="paragraph">
                  <wp:posOffset>3302000</wp:posOffset>
                </wp:positionV>
                <wp:extent cx="1301750" cy="6350"/>
                <wp:effectExtent l="0" t="57150" r="31750" b="88900"/>
                <wp:wrapNone/>
                <wp:docPr id="2060549854"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3DDBB0" id="Conector de Seta Reta 3" o:spid="_x0000_s1026"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mc:Fallback>
        </mc:AlternateContent>
      </w:r>
      <w:r w:rsidRPr="008D02B6">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2B9A908E" wp14:editId="63A8510E">
                <wp:simplePos x="0" y="0"/>
                <wp:positionH relativeFrom="column">
                  <wp:posOffset>1619250</wp:posOffset>
                </wp:positionH>
                <wp:positionV relativeFrom="paragraph">
                  <wp:posOffset>3576320</wp:posOffset>
                </wp:positionV>
                <wp:extent cx="2235200" cy="571500"/>
                <wp:effectExtent l="0" t="0" r="12700" b="19050"/>
                <wp:wrapSquare wrapText="bothSides"/>
                <wp:docPr id="1568808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CB138E3"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7C24E35F" w14:textId="55E01D6D" w:rsidR="005A6CA1" w:rsidRDefault="009B6582" w:rsidP="009B6582">
                            <w:pPr>
                              <w:jc w:val="center"/>
                            </w:pPr>
                            <w:r w:rsidRPr="009B6582">
                              <w:rPr>
                                <w:rFonts w:ascii="Times New Roman" w:hAnsi="Times New Roman" w:cs="Times New Roman"/>
                                <w:sz w:val="24"/>
                                <w:szCs w:val="24"/>
                              </w:rPr>
                              <w:t>(n=16)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A908E" id="_x0000_s1028"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1CB138E3"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7C24E35F" w14:textId="55E01D6D" w:rsidR="005A6CA1" w:rsidRDefault="009B6582" w:rsidP="009B6582">
                      <w:pPr>
                        <w:jc w:val="center"/>
                      </w:pPr>
                      <w:r w:rsidRPr="009B6582">
                        <w:rPr>
                          <w:rFonts w:ascii="Times New Roman" w:hAnsi="Times New Roman" w:cs="Times New Roman"/>
                          <w:sz w:val="24"/>
                          <w:szCs w:val="24"/>
                        </w:rPr>
                        <w:t>(n=16)</w:t>
                      </w:r>
                    </w:p>
                  </w:txbxContent>
                </v:textbox>
                <w10:wrap type="square"/>
              </v:shape>
            </w:pict>
          </mc:Fallback>
        </mc:AlternateContent>
      </w:r>
      <w:r w:rsidRPr="008D02B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B3A6C23" wp14:editId="1B5363B1">
                <wp:simplePos x="0" y="0"/>
                <wp:positionH relativeFrom="margin">
                  <wp:posOffset>2734945</wp:posOffset>
                </wp:positionH>
                <wp:positionV relativeFrom="paragraph">
                  <wp:posOffset>3016250</wp:posOffset>
                </wp:positionV>
                <wp:extent cx="0" cy="552450"/>
                <wp:effectExtent l="76200" t="0" r="57150" b="57150"/>
                <wp:wrapNone/>
                <wp:docPr id="498336550"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BFA9EA" id="Conector de Seta Reta 4" o:spid="_x0000_s1026"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mc:Fallback>
        </mc:AlternateContent>
      </w:r>
      <w:r w:rsidRPr="008D02B6">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9244322" wp14:editId="2F305448">
                <wp:simplePos x="0" y="0"/>
                <wp:positionH relativeFrom="column">
                  <wp:posOffset>2743200</wp:posOffset>
                </wp:positionH>
                <wp:positionV relativeFrom="paragraph">
                  <wp:posOffset>2127250</wp:posOffset>
                </wp:positionV>
                <wp:extent cx="1301750" cy="6350"/>
                <wp:effectExtent l="0" t="57150" r="31750" b="88900"/>
                <wp:wrapNone/>
                <wp:docPr id="1981143015"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4CF634" id="Conector de Seta Reta 3" o:spid="_x0000_s1026"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mc:Fallback>
        </mc:AlternateContent>
      </w:r>
      <w:r w:rsidRPr="008D02B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1E1B54" wp14:editId="5A0B692A">
                <wp:simplePos x="0" y="0"/>
                <wp:positionH relativeFrom="column">
                  <wp:posOffset>2748915</wp:posOffset>
                </wp:positionH>
                <wp:positionV relativeFrom="paragraph">
                  <wp:posOffset>986155</wp:posOffset>
                </wp:positionV>
                <wp:extent cx="1301750" cy="6350"/>
                <wp:effectExtent l="0" t="57150" r="31750" b="88900"/>
                <wp:wrapNone/>
                <wp:docPr id="1051161923"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974CAF" id="Conector de Seta Reta 3" o:spid="_x0000_s1026"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" strokecolor="black [3213]" strokeweight="1.5pt">
                <v:stroke endarrow="block" joinstyle="miter"/>
              </v:shape>
            </w:pict>
          </mc:Fallback>
        </mc:AlternateContent>
      </w:r>
      <w:r w:rsidRPr="008D02B6">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02CE4FA5" wp14:editId="3FD2292F">
                <wp:simplePos x="0" y="0"/>
                <wp:positionH relativeFrom="column">
                  <wp:posOffset>1600200</wp:posOffset>
                </wp:positionH>
                <wp:positionV relativeFrom="paragraph">
                  <wp:posOffset>2452370</wp:posOffset>
                </wp:positionV>
                <wp:extent cx="2235200" cy="571500"/>
                <wp:effectExtent l="0" t="0" r="12700" b="19050"/>
                <wp:wrapSquare wrapText="bothSides"/>
                <wp:docPr id="1105036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3C41E6B3"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00D6ABCC" w14:textId="473C3E9D" w:rsidR="005A6CA1" w:rsidRDefault="009B6582" w:rsidP="009B6582">
                            <w:pPr>
                              <w:jc w:val="center"/>
                            </w:pPr>
                            <w:r w:rsidRPr="009B6582">
                              <w:rPr>
                                <w:rFonts w:ascii="Times New Roman" w:hAnsi="Times New Roman" w:cs="Times New Roman"/>
                                <w:sz w:val="24"/>
                                <w:szCs w:val="24"/>
                              </w:rPr>
                              <w:t>(n=154)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E4FA5" id="_x0000_s1029"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3C41E6B3"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00D6ABCC" w14:textId="473C3E9D" w:rsidR="005A6CA1" w:rsidRDefault="009B6582" w:rsidP="009B6582">
                      <w:pPr>
                        <w:jc w:val="center"/>
                      </w:pPr>
                      <w:r w:rsidRPr="009B6582">
                        <w:rPr>
                          <w:rFonts w:ascii="Times New Roman" w:hAnsi="Times New Roman" w:cs="Times New Roman"/>
                          <w:sz w:val="24"/>
                          <w:szCs w:val="24"/>
                        </w:rPr>
                        <w:t>(n=154)</w:t>
                      </w:r>
                    </w:p>
                  </w:txbxContent>
                </v:textbox>
                <w10:wrap type="square"/>
              </v:shape>
            </w:pict>
          </mc:Fallback>
        </mc:AlternateContent>
      </w:r>
      <w:r w:rsidRPr="008D02B6">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C82CB69" wp14:editId="40C27C19">
                <wp:simplePos x="0" y="0"/>
                <wp:positionH relativeFrom="column">
                  <wp:posOffset>2730500</wp:posOffset>
                </wp:positionH>
                <wp:positionV relativeFrom="paragraph">
                  <wp:posOffset>1892300</wp:posOffset>
                </wp:positionV>
                <wp:extent cx="0" cy="552450"/>
                <wp:effectExtent l="76200" t="0" r="57150" b="57150"/>
                <wp:wrapNone/>
                <wp:docPr id="1652324091"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388164" id="Conector de Seta Reta 4" o:spid="_x0000_s102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mc:Fallback>
        </mc:AlternateContent>
      </w:r>
      <w:r w:rsidRPr="008D02B6">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01F95CA" wp14:editId="56C21D87">
                <wp:simplePos x="0" y="0"/>
                <wp:positionH relativeFrom="column">
                  <wp:posOffset>2736215</wp:posOffset>
                </wp:positionH>
                <wp:positionV relativeFrom="paragraph">
                  <wp:posOffset>757555</wp:posOffset>
                </wp:positionV>
                <wp:extent cx="0" cy="552450"/>
                <wp:effectExtent l="76200" t="0" r="57150" b="57150"/>
                <wp:wrapNone/>
                <wp:docPr id="97104330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CD0F68" id="Conector de Seta Reta 4" o:spid="_x0000_s1026"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" strokecolor="black [3213]" strokeweight="1.5pt">
                <v:stroke endarrow="block" joinstyle="miter"/>
              </v:shape>
            </w:pict>
          </mc:Fallback>
        </mc:AlternateContent>
      </w:r>
      <w:r w:rsidRPr="008D02B6">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6FF3B841" wp14:editId="73F099A2">
                <wp:simplePos x="0" y="0"/>
                <wp:positionH relativeFrom="column">
                  <wp:posOffset>1644650</wp:posOffset>
                </wp:positionH>
                <wp:positionV relativeFrom="paragraph">
                  <wp:posOffset>1315720</wp:posOffset>
                </wp:positionV>
                <wp:extent cx="2235200" cy="571500"/>
                <wp:effectExtent l="0" t="0" r="12700" b="19050"/>
                <wp:wrapSquare wrapText="bothSides"/>
                <wp:docPr id="1784993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46BB002E" w14:textId="52121570"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2289F9F7" w14:textId="0F02B676" w:rsidR="005A6CA1" w:rsidRDefault="009B6582" w:rsidP="009B6582">
                            <w:pPr>
                              <w:jc w:val="center"/>
                            </w:pPr>
                            <w:r w:rsidRPr="009B6582">
                              <w:rPr>
                                <w:rFonts w:ascii="Times New Roman" w:hAnsi="Times New Roman" w:cs="Times New Roman"/>
                                <w:sz w:val="24"/>
                                <w:szCs w:val="24"/>
                              </w:rPr>
                              <w:t>(n=985)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3B841" id="_x0000_s1030"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46BB002E" w14:textId="52121570"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2289F9F7" w14:textId="0F02B676" w:rsidR="005A6CA1" w:rsidRDefault="009B6582" w:rsidP="009B6582">
                      <w:pPr>
                        <w:jc w:val="center"/>
                      </w:pPr>
                      <w:r w:rsidRPr="009B6582">
                        <w:rPr>
                          <w:rFonts w:ascii="Times New Roman" w:hAnsi="Times New Roman" w:cs="Times New Roman"/>
                          <w:sz w:val="24"/>
                          <w:szCs w:val="24"/>
                        </w:rPr>
                        <w:t>(n=985)</w:t>
                      </w:r>
                    </w:p>
                  </w:txbxContent>
                </v:textbox>
                <w10:wrap type="square"/>
              </v:shape>
            </w:pict>
          </mc:Fallback>
        </mc:AlternateContent>
      </w:r>
      <w:r w:rsidRPr="008D02B6">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042DE26" wp14:editId="50515336">
                <wp:simplePos x="0" y="0"/>
                <wp:positionH relativeFrom="column">
                  <wp:posOffset>1637665</wp:posOffset>
                </wp:positionH>
                <wp:positionV relativeFrom="paragraph">
                  <wp:posOffset>192405</wp:posOffset>
                </wp:positionV>
                <wp:extent cx="2235200" cy="5715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0B4BF704"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 xml:space="preserve">Studies </w:t>
                            </w:r>
                            <w:r w:rsidRPr="009B6582">
                              <w:rPr>
                                <w:rFonts w:ascii="Times New Roman" w:hAnsi="Times New Roman" w:cs="Times New Roman"/>
                                <w:sz w:val="24"/>
                                <w:szCs w:val="24"/>
                              </w:rPr>
                              <w:t>found in the research</w:t>
                            </w:r>
                          </w:p>
                          <w:p w14:paraId="6F4B8D5D" w14:textId="7C5001C8" w:rsidR="005A6CA1" w:rsidRDefault="009B6582" w:rsidP="009B6582">
                            <w:pPr>
                              <w:jc w:val="center"/>
                            </w:pPr>
                            <w:r w:rsidRPr="009B6582">
                              <w:rPr>
                                <w:rFonts w:ascii="Times New Roman" w:hAnsi="Times New Roman" w:cs="Times New Roman"/>
                                <w:sz w:val="24"/>
                                <w:szCs w:val="24"/>
                              </w:rPr>
                              <w:t>(n=1,247)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2DE26" id="_x0000_s1031"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0B4BF704"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 xml:space="preserve">Studies </w:t>
                      </w:r>
                      <w:r w:rsidRPr="009B6582">
                        <w:rPr>
                          <w:rFonts w:ascii="Times New Roman" w:hAnsi="Times New Roman" w:cs="Times New Roman"/>
                          <w:sz w:val="24"/>
                          <w:szCs w:val="24"/>
                        </w:rPr>
                        <w:t>found in the research</w:t>
                      </w:r>
                    </w:p>
                    <w:p w14:paraId="6F4B8D5D" w14:textId="7C5001C8" w:rsidR="005A6CA1" w:rsidRDefault="009B6582" w:rsidP="009B6582">
                      <w:pPr>
                        <w:jc w:val="center"/>
                      </w:pPr>
                      <w:r w:rsidRPr="009B6582">
                        <w:rPr>
                          <w:rFonts w:ascii="Times New Roman" w:hAnsi="Times New Roman" w:cs="Times New Roman"/>
                          <w:sz w:val="24"/>
                          <w:szCs w:val="24"/>
                        </w:rPr>
                        <w:t>(n=1,247)</w:t>
                      </w:r>
                    </w:p>
                  </w:txbxContent>
                </v:textbox>
                <w10:wrap type="square"/>
              </v:shape>
            </w:pict>
          </mc:Fallback>
        </mc:AlternateContent>
      </w:r>
    </w:p>
    <w:p w14:paraId="0CA8D024" w14:textId="77777777" w:rsidR="005A6CA1" w:rsidRPr="008D02B6" w:rsidRDefault="005A6CA1" w:rsidP="005A6CA1">
      <w:pPr>
        <w:spacing w:line="480" w:lineRule="auto"/>
        <w:jc w:val="both"/>
        <w:rPr>
          <w:rFonts w:ascii="Times New Roman" w:hAnsi="Times New Roman" w:cs="Times New Roman"/>
          <w:sz w:val="24"/>
          <w:szCs w:val="24"/>
        </w:rPr>
      </w:pPr>
      <w:r w:rsidRPr="008D02B6">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5AF21EC0" wp14:editId="15928751">
                <wp:simplePos x="0" y="0"/>
                <wp:positionH relativeFrom="column">
                  <wp:posOffset>4072890</wp:posOffset>
                </wp:positionH>
                <wp:positionV relativeFrom="paragraph">
                  <wp:posOffset>396875</wp:posOffset>
                </wp:positionV>
                <wp:extent cx="1593850" cy="819150"/>
                <wp:effectExtent l="0" t="0" r="25400" b="19050"/>
                <wp:wrapSquare wrapText="bothSides"/>
                <wp:docPr id="3840433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19150"/>
                        </a:xfrm>
                        <a:prstGeom prst="rect">
                          <a:avLst/>
                        </a:prstGeom>
                        <a:solidFill>
                          <a:srgbClr val="FFFFFF"/>
                        </a:solidFill>
                        <a:ln w="19050">
                          <a:solidFill>
                            <a:srgbClr val="000000"/>
                          </a:solidFill>
                          <a:miter lim="800000"/>
                          <a:headEnd/>
                          <a:tailEnd/>
                        </a:ln>
                      </wps:spPr>
                      <wps:txbx>
                        <w:txbxContent>
                          <w:p w14:paraId="432239CB"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351B70D5" w14:textId="131004C7" w:rsidR="005A6CA1" w:rsidRDefault="009B6582" w:rsidP="009B6582">
                            <w:pPr>
                              <w:jc w:val="center"/>
                            </w:pPr>
                            <w:r w:rsidRPr="009B6582">
                              <w:rPr>
                                <w:rFonts w:ascii="Times New Roman" w:hAnsi="Times New Roman" w:cs="Times New Roman"/>
                                <w:sz w:val="24"/>
                                <w:szCs w:val="24"/>
                              </w:rPr>
                              <w:t>(n=312)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21EC0"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432239CB"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351B70D5" w14:textId="131004C7" w:rsidR="005A6CA1" w:rsidRDefault="009B6582" w:rsidP="009B6582">
                      <w:pPr>
                        <w:jc w:val="center"/>
                      </w:pPr>
                      <w:r w:rsidRPr="009B6582">
                        <w:rPr>
                          <w:rFonts w:ascii="Times New Roman" w:hAnsi="Times New Roman" w:cs="Times New Roman"/>
                          <w:sz w:val="24"/>
                          <w:szCs w:val="24"/>
                        </w:rPr>
                        <w:t>(n=312)</w:t>
                      </w:r>
                    </w:p>
                  </w:txbxContent>
                </v:textbox>
                <w10:wrap type="square"/>
              </v:shape>
            </w:pict>
          </mc:Fallback>
        </mc:AlternateContent>
      </w:r>
    </w:p>
    <w:p w14:paraId="4345AB54" w14:textId="77777777" w:rsidR="005A6CA1" w:rsidRPr="008D02B6" w:rsidRDefault="005A6CA1" w:rsidP="005A6CA1">
      <w:pPr>
        <w:spacing w:line="480" w:lineRule="auto"/>
        <w:jc w:val="both"/>
        <w:rPr>
          <w:rFonts w:ascii="Times New Roman" w:hAnsi="Times New Roman" w:cs="Times New Roman"/>
          <w:sz w:val="24"/>
          <w:szCs w:val="24"/>
        </w:rPr>
      </w:pPr>
    </w:p>
    <w:p w14:paraId="62CA7C79" w14:textId="77777777" w:rsidR="005A6CA1" w:rsidRPr="008D02B6" w:rsidRDefault="005A6CA1" w:rsidP="005A6CA1">
      <w:pPr>
        <w:spacing w:line="480" w:lineRule="auto"/>
        <w:jc w:val="both"/>
        <w:rPr>
          <w:rFonts w:ascii="Times New Roman" w:hAnsi="Times New Roman" w:cs="Times New Roman"/>
          <w:sz w:val="24"/>
          <w:szCs w:val="24"/>
        </w:rPr>
      </w:pPr>
    </w:p>
    <w:p w14:paraId="0D160853" w14:textId="77777777" w:rsidR="005A6CA1" w:rsidRPr="008D02B6" w:rsidRDefault="005A6CA1" w:rsidP="005A6CA1">
      <w:pPr>
        <w:spacing w:line="480" w:lineRule="auto"/>
        <w:jc w:val="both"/>
        <w:rPr>
          <w:rFonts w:ascii="Times New Roman" w:hAnsi="Times New Roman" w:cs="Times New Roman"/>
          <w:sz w:val="24"/>
          <w:szCs w:val="24"/>
        </w:rPr>
      </w:pPr>
      <w:r w:rsidRPr="008D02B6">
        <w:rPr>
          <w:rFonts w:ascii="Times New Roman" w:hAnsi="Times New Roman" w:cs="Times New Roman"/>
          <w:noProof/>
        </w:rPr>
        <mc:AlternateContent>
          <mc:Choice Requires="wps">
            <w:drawing>
              <wp:anchor distT="45720" distB="45720" distL="114300" distR="114300" simplePos="0" relativeHeight="251675648" behindDoc="0" locked="0" layoutInCell="1" allowOverlap="1" wp14:anchorId="315DE08E" wp14:editId="797C6EEA">
                <wp:simplePos x="0" y="0"/>
                <wp:positionH relativeFrom="margin">
                  <wp:posOffset>445135</wp:posOffset>
                </wp:positionH>
                <wp:positionV relativeFrom="paragraph">
                  <wp:posOffset>368300</wp:posOffset>
                </wp:positionV>
                <wp:extent cx="1733550" cy="316230"/>
                <wp:effectExtent l="3810" t="0" r="22860" b="22860"/>
                <wp:wrapSquare wrapText="bothSides"/>
                <wp:docPr id="1773036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316230"/>
                        </a:xfrm>
                        <a:prstGeom prst="rect">
                          <a:avLst/>
                        </a:prstGeom>
                        <a:solidFill>
                          <a:schemeClr val="accent2">
                            <a:lumMod val="20000"/>
                            <a:lumOff val="80000"/>
                          </a:schemeClr>
                        </a:solidFill>
                        <a:ln w="19050">
                          <a:solidFill>
                            <a:srgbClr val="000000"/>
                          </a:solidFill>
                          <a:miter lim="800000"/>
                          <a:headEnd/>
                          <a:tailEnd/>
                        </a:ln>
                      </wps:spPr>
                      <wps:txbx>
                        <w:txbxContent>
                          <w:p w14:paraId="00DF3F8D" w14:textId="77777777" w:rsidR="009B6582" w:rsidRDefault="009B6582" w:rsidP="009B6582">
                            <w:pPr>
                              <w:jc w:val="center"/>
                            </w:pPr>
                            <w:r w:rsidRPr="006E5539">
                              <w:rPr>
                                <w:rFonts w:ascii="Times New Roman" w:hAnsi="Times New Roman" w:cs="Times New Roman"/>
                                <w:b/>
                                <w:bCs/>
                                <w:sz w:val="24"/>
                                <w:szCs w:val="24"/>
                              </w:rPr>
                              <w:t>Selection</w:t>
                            </w:r>
                          </w:p>
                          <w:p w14:paraId="2358FC73" w14:textId="77777777" w:rsidR="005A6CA1" w:rsidRDefault="005A6CA1" w:rsidP="005A6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DE08E" id="_x0000_s1033" type="#_x0000_t202" style="position:absolute;left:0;text-align:left;margin-left:35.05pt;margin-top:29pt;width:136.5pt;height:24.9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be4d5 [661]" strokeweight="1.5pt">
                <v:textbox>
                  <w:txbxContent>
                    <w:p w14:paraId="00DF3F8D" w14:textId="77777777" w:rsidR="009B6582" w:rsidRDefault="009B6582" w:rsidP="009B6582">
                      <w:pPr>
                        <w:jc w:val="center"/>
                      </w:pPr>
                      <w:r w:rsidRPr="006E5539">
                        <w:rPr>
                          <w:rFonts w:ascii="Times New Roman" w:hAnsi="Times New Roman" w:cs="Times New Roman"/>
                          <w:b/>
                          <w:bCs/>
                          <w:sz w:val="24"/>
                          <w:szCs w:val="24"/>
                        </w:rPr>
                        <w:t>Selection</w:t>
                      </w:r>
                    </w:p>
                    <w:p w14:paraId="2358FC73" w14:textId="77777777" w:rsidR="005A6CA1" w:rsidRDefault="005A6CA1" w:rsidP="005A6CA1"/>
                  </w:txbxContent>
                </v:textbox>
                <w10:wrap type="square" anchorx="margin"/>
              </v:shape>
            </w:pict>
          </mc:Fallback>
        </mc:AlternateContent>
      </w:r>
      <w:r w:rsidRPr="008D02B6">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35B80437" wp14:editId="6F867989">
                <wp:simplePos x="0" y="0"/>
                <wp:positionH relativeFrom="column">
                  <wp:posOffset>4072890</wp:posOffset>
                </wp:positionH>
                <wp:positionV relativeFrom="paragraph">
                  <wp:posOffset>106680</wp:posOffset>
                </wp:positionV>
                <wp:extent cx="1593850" cy="1019175"/>
                <wp:effectExtent l="0" t="0" r="25400" b="28575"/>
                <wp:wrapSquare wrapText="bothSides"/>
                <wp:docPr id="2741738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46CB2B16"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 xml:space="preserve">Excluded </w:t>
                            </w:r>
                            <w:r w:rsidRPr="009B6582">
                              <w:rPr>
                                <w:rFonts w:ascii="Times New Roman" w:hAnsi="Times New Roman" w:cs="Times New Roman"/>
                                <w:sz w:val="24"/>
                                <w:szCs w:val="24"/>
                              </w:rPr>
                              <w:t>for not meeting the inclusion criteria</w:t>
                            </w:r>
                          </w:p>
                          <w:p w14:paraId="307E33EC" w14:textId="7B40D6BC" w:rsidR="005A6CA1" w:rsidRDefault="009B6582" w:rsidP="009B6582">
                            <w:pPr>
                              <w:jc w:val="center"/>
                            </w:pPr>
                            <w:r w:rsidRPr="009B6582">
                              <w:rPr>
                                <w:rFonts w:ascii="Times New Roman" w:hAnsi="Times New Roman" w:cs="Times New Roman"/>
                                <w:sz w:val="24"/>
                                <w:szCs w:val="24"/>
                              </w:rPr>
                              <w:t>(n=781)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80437" id="_x0000_s1034" type="#_x0000_t202" style="position:absolute;left:0;text-align:left;margin-left:320.7pt;margin-top:8.4pt;width:125.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46CB2B16"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 xml:space="preserve">Excluded </w:t>
                      </w:r>
                      <w:r w:rsidRPr="009B6582">
                        <w:rPr>
                          <w:rFonts w:ascii="Times New Roman" w:hAnsi="Times New Roman" w:cs="Times New Roman"/>
                          <w:sz w:val="24"/>
                          <w:szCs w:val="24"/>
                        </w:rPr>
                        <w:t>for not meeting the inclusion criteria</w:t>
                      </w:r>
                    </w:p>
                    <w:p w14:paraId="307E33EC" w14:textId="7B40D6BC" w:rsidR="005A6CA1" w:rsidRDefault="009B6582" w:rsidP="009B6582">
                      <w:pPr>
                        <w:jc w:val="center"/>
                      </w:pPr>
                      <w:r w:rsidRPr="009B6582">
                        <w:rPr>
                          <w:rFonts w:ascii="Times New Roman" w:hAnsi="Times New Roman" w:cs="Times New Roman"/>
                          <w:sz w:val="24"/>
                          <w:szCs w:val="24"/>
                        </w:rPr>
                        <w:t>(n=781)</w:t>
                      </w:r>
                    </w:p>
                  </w:txbxContent>
                </v:textbox>
                <w10:wrap type="square"/>
              </v:shape>
            </w:pict>
          </mc:Fallback>
        </mc:AlternateContent>
      </w:r>
    </w:p>
    <w:p w14:paraId="214A0DE1" w14:textId="77777777" w:rsidR="005A6CA1" w:rsidRPr="008D02B6" w:rsidRDefault="005A6CA1" w:rsidP="005A6CA1">
      <w:pPr>
        <w:spacing w:line="360" w:lineRule="auto"/>
        <w:jc w:val="both"/>
        <w:rPr>
          <w:rFonts w:ascii="Times New Roman" w:hAnsi="Times New Roman" w:cs="Times New Roman"/>
          <w:sz w:val="24"/>
          <w:szCs w:val="24"/>
        </w:rPr>
      </w:pPr>
      <w:r w:rsidRPr="008D02B6">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14F16885" wp14:editId="0C437197">
                <wp:simplePos x="0" y="0"/>
                <wp:positionH relativeFrom="margin">
                  <wp:posOffset>734060</wp:posOffset>
                </wp:positionH>
                <wp:positionV relativeFrom="paragraph">
                  <wp:posOffset>2814955</wp:posOffset>
                </wp:positionV>
                <wp:extent cx="1174115" cy="316230"/>
                <wp:effectExtent l="0" t="9207" r="16827" b="16828"/>
                <wp:wrapSquare wrapText="bothSides"/>
                <wp:docPr id="7598852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6">
                            <a:lumMod val="20000"/>
                            <a:lumOff val="80000"/>
                          </a:schemeClr>
                        </a:solidFill>
                        <a:ln w="19050">
                          <a:solidFill>
                            <a:srgbClr val="000000"/>
                          </a:solidFill>
                          <a:miter lim="800000"/>
                          <a:headEnd/>
                          <a:tailEnd/>
                        </a:ln>
                      </wps:spPr>
                      <wps:txbx>
                        <w:txbxContent>
                          <w:p w14:paraId="194CB904" w14:textId="77777777" w:rsidR="009B6582" w:rsidRDefault="009B6582" w:rsidP="009B6582">
                            <w:r w:rsidRPr="006E5539">
                              <w:rPr>
                                <w:rFonts w:ascii="Times New Roman" w:hAnsi="Times New Roman" w:cs="Times New Roman"/>
                                <w:b/>
                                <w:bCs/>
                                <w:sz w:val="24"/>
                                <w:szCs w:val="24"/>
                              </w:rPr>
                              <w:t>Inclusion</w:t>
                            </w:r>
                          </w:p>
                          <w:p w14:paraId="6AF0743A" w14:textId="77777777" w:rsidR="005A6CA1" w:rsidRDefault="005A6CA1" w:rsidP="005A6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16885" id="_x0000_s1035" type="#_x0000_t202" style="position:absolute;left:0;text-align:left;margin-left:57.8pt;margin-top:221.65pt;width:92.45pt;height:24.9pt;rotation:-90;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e2efd9 [665]" strokeweight="1.5pt">
                <v:textbox>
                  <w:txbxContent>
                    <w:p w14:paraId="194CB904" w14:textId="77777777" w:rsidR="009B6582" w:rsidRDefault="009B6582" w:rsidP="009B6582">
                      <w:r w:rsidRPr="006E5539">
                        <w:rPr>
                          <w:rFonts w:ascii="Times New Roman" w:hAnsi="Times New Roman" w:cs="Times New Roman"/>
                          <w:b/>
                          <w:bCs/>
                          <w:sz w:val="24"/>
                          <w:szCs w:val="24"/>
                        </w:rPr>
                        <w:t>Inclusion</w:t>
                      </w:r>
                    </w:p>
                    <w:p w14:paraId="6AF0743A" w14:textId="77777777" w:rsidR="005A6CA1" w:rsidRDefault="005A6CA1" w:rsidP="005A6CA1"/>
                  </w:txbxContent>
                </v:textbox>
                <w10:wrap type="square" anchorx="margin"/>
              </v:shape>
            </w:pict>
          </mc:Fallback>
        </mc:AlternateContent>
      </w:r>
      <w:r w:rsidRPr="008D02B6">
        <w:rPr>
          <w:rFonts w:ascii="Times New Roman" w:hAnsi="Times New Roman" w:cs="Times New Roman"/>
          <w:noProof/>
        </w:rPr>
        <mc:AlternateContent>
          <mc:Choice Requires="wps">
            <w:drawing>
              <wp:anchor distT="45720" distB="45720" distL="114300" distR="114300" simplePos="0" relativeHeight="251676672" behindDoc="0" locked="0" layoutInCell="1" allowOverlap="1" wp14:anchorId="126954F9" wp14:editId="6DED80E3">
                <wp:simplePos x="0" y="0"/>
                <wp:positionH relativeFrom="margin">
                  <wp:posOffset>743585</wp:posOffset>
                </wp:positionH>
                <wp:positionV relativeFrom="paragraph">
                  <wp:posOffset>1490980</wp:posOffset>
                </wp:positionV>
                <wp:extent cx="1174115" cy="316230"/>
                <wp:effectExtent l="0" t="9207" r="16827" b="16828"/>
                <wp:wrapSquare wrapText="bothSides"/>
                <wp:docPr id="1670087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5">
                            <a:lumMod val="20000"/>
                            <a:lumOff val="80000"/>
                          </a:schemeClr>
                        </a:solidFill>
                        <a:ln w="19050">
                          <a:solidFill>
                            <a:srgbClr val="000000"/>
                          </a:solidFill>
                          <a:miter lim="800000"/>
                          <a:headEnd/>
                          <a:tailEnd/>
                        </a:ln>
                      </wps:spPr>
                      <wps:txbx>
                        <w:txbxContent>
                          <w:p w14:paraId="7EBD93CD" w14:textId="77777777" w:rsidR="009B6582" w:rsidRDefault="009B6582" w:rsidP="009B6582">
                            <w:r w:rsidRPr="006E5539">
                              <w:rPr>
                                <w:rFonts w:ascii="Times New Roman" w:hAnsi="Times New Roman" w:cs="Times New Roman"/>
                                <w:b/>
                                <w:bCs/>
                                <w:sz w:val="24"/>
                                <w:szCs w:val="24"/>
                              </w:rPr>
                              <w:t>Eligibility</w:t>
                            </w:r>
                          </w:p>
                          <w:p w14:paraId="2DBCE915" w14:textId="77777777" w:rsidR="005A6CA1" w:rsidRDefault="005A6CA1" w:rsidP="005A6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954F9" id="_x0000_s1036" type="#_x0000_t202" style="position:absolute;left:0;text-align:left;margin-left:58.55pt;margin-top:117.4pt;width:92.45pt;height:24.9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eeaf6 [664]" strokeweight="1.5pt">
                <v:textbox>
                  <w:txbxContent>
                    <w:p w14:paraId="7EBD93CD" w14:textId="77777777" w:rsidR="009B6582" w:rsidRDefault="009B6582" w:rsidP="009B6582">
                      <w:r w:rsidRPr="006E5539">
                        <w:rPr>
                          <w:rFonts w:ascii="Times New Roman" w:hAnsi="Times New Roman" w:cs="Times New Roman"/>
                          <w:b/>
                          <w:bCs/>
                          <w:sz w:val="24"/>
                          <w:szCs w:val="24"/>
                        </w:rPr>
                        <w:t>Eligibility</w:t>
                      </w:r>
                    </w:p>
                    <w:p w14:paraId="2DBCE915" w14:textId="77777777" w:rsidR="005A6CA1" w:rsidRDefault="005A6CA1" w:rsidP="005A6CA1"/>
                  </w:txbxContent>
                </v:textbox>
                <w10:wrap type="square" anchorx="margin"/>
              </v:shape>
            </w:pict>
          </mc:Fallback>
        </mc:AlternateContent>
      </w:r>
      <w:r w:rsidRPr="008D02B6">
        <w:rPr>
          <w:rFonts w:ascii="Times New Roman" w:hAnsi="Times New Roman" w:cs="Times New Roman"/>
          <w:noProof/>
        </w:rPr>
        <mc:AlternateContent>
          <mc:Choice Requires="wps">
            <w:drawing>
              <wp:anchor distT="45720" distB="45720" distL="114300" distR="114300" simplePos="0" relativeHeight="251671552" behindDoc="0" locked="0" layoutInCell="1" allowOverlap="1" wp14:anchorId="4B7679A7" wp14:editId="1B25D8CE">
                <wp:simplePos x="0" y="0"/>
                <wp:positionH relativeFrom="column">
                  <wp:posOffset>4044315</wp:posOffset>
                </wp:positionH>
                <wp:positionV relativeFrom="paragraph">
                  <wp:posOffset>930910</wp:posOffset>
                </wp:positionV>
                <wp:extent cx="1593850" cy="1019175"/>
                <wp:effectExtent l="0" t="0" r="25400" b="28575"/>
                <wp:wrapSquare wrapText="bothSides"/>
                <wp:docPr id="12701138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11085546"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5FC2BCB0" w14:textId="07BC21CB" w:rsidR="005A6CA1" w:rsidRDefault="009B6582" w:rsidP="009B6582">
                            <w:pPr>
                              <w:jc w:val="center"/>
                            </w:pPr>
                            <w:r w:rsidRPr="009B6582">
                              <w:rPr>
                                <w:rFonts w:ascii="Times New Roman" w:hAnsi="Times New Roman" w:cs="Times New Roman"/>
                                <w:sz w:val="24"/>
                                <w:szCs w:val="24"/>
                              </w:rPr>
                              <w:t>(n=1.38)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679A7" id="_x0000_s103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11085546"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5FC2BCB0" w14:textId="07BC21CB" w:rsidR="005A6CA1" w:rsidRDefault="009B6582" w:rsidP="009B6582">
                      <w:pPr>
                        <w:jc w:val="center"/>
                      </w:pPr>
                      <w:r w:rsidRPr="009B6582">
                        <w:rPr>
                          <w:rFonts w:ascii="Times New Roman" w:hAnsi="Times New Roman" w:cs="Times New Roman"/>
                          <w:sz w:val="24"/>
                          <w:szCs w:val="24"/>
                        </w:rPr>
                        <w:t>(n=1.38)</w:t>
                      </w:r>
                    </w:p>
                  </w:txbxContent>
                </v:textbox>
                <w10:wrap type="square"/>
              </v:shape>
            </w:pict>
          </mc:Fallback>
        </mc:AlternateContent>
      </w:r>
    </w:p>
    <w:p w14:paraId="3649714C" w14:textId="15FB2836" w:rsidR="005A6CA1" w:rsidRPr="008D02B6" w:rsidRDefault="005A6CA1" w:rsidP="005A6CA1">
      <w:pPr>
        <w:spacing w:line="360" w:lineRule="auto"/>
        <w:rPr>
          <w:rFonts w:ascii="Arial" w:hAnsi="Arial" w:cs="Arial"/>
          <w:b/>
          <w:bCs/>
          <w:lang w:val="en-US"/>
        </w:rPr>
      </w:pPr>
    </w:p>
    <w:p w14:paraId="5F425D22" w14:textId="0FFBC010" w:rsidR="005A6CA1" w:rsidRPr="008D02B6" w:rsidRDefault="005A6CA1" w:rsidP="005A6CA1">
      <w:pPr>
        <w:spacing w:line="360" w:lineRule="auto"/>
        <w:rPr>
          <w:rFonts w:ascii="Arial" w:hAnsi="Arial" w:cs="Arial"/>
          <w:b/>
          <w:bCs/>
          <w:lang w:val="en-US"/>
        </w:rPr>
      </w:pPr>
    </w:p>
    <w:p w14:paraId="4803F011" w14:textId="5A1D963D" w:rsidR="005A6CA1" w:rsidRPr="008D02B6" w:rsidRDefault="005A6CA1" w:rsidP="005A6CA1">
      <w:pPr>
        <w:spacing w:line="360" w:lineRule="auto"/>
        <w:rPr>
          <w:rFonts w:ascii="Arial" w:hAnsi="Arial" w:cs="Arial"/>
          <w:b/>
          <w:bCs/>
          <w:lang w:val="en-US"/>
        </w:rPr>
      </w:pPr>
    </w:p>
    <w:p w14:paraId="3C1988BD" w14:textId="3A9F87B0" w:rsidR="005A6CA1" w:rsidRPr="008D02B6" w:rsidRDefault="005A6CA1" w:rsidP="005A6CA1">
      <w:pPr>
        <w:spacing w:line="360" w:lineRule="auto"/>
        <w:rPr>
          <w:rFonts w:ascii="Arial" w:hAnsi="Arial" w:cs="Arial"/>
          <w:b/>
          <w:bCs/>
          <w:lang w:val="en-US"/>
        </w:rPr>
      </w:pPr>
    </w:p>
    <w:p w14:paraId="15253A4A" w14:textId="5039EA12" w:rsidR="005A6CA1" w:rsidRPr="008D02B6" w:rsidRDefault="005A6CA1" w:rsidP="005A6CA1">
      <w:pPr>
        <w:spacing w:line="360" w:lineRule="auto"/>
        <w:rPr>
          <w:rFonts w:ascii="Arial" w:hAnsi="Arial" w:cs="Arial"/>
          <w:b/>
          <w:bCs/>
          <w:lang w:val="en-US"/>
        </w:rPr>
      </w:pPr>
    </w:p>
    <w:p w14:paraId="520C558B" w14:textId="74A29887" w:rsidR="00570673" w:rsidRPr="008D02B6" w:rsidRDefault="00570673" w:rsidP="005706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D02B6">
        <w:rPr>
          <w:rFonts w:ascii="Arial" w:hAnsi="Arial" w:cs="Arial"/>
          <w:b/>
          <w:bCs/>
        </w:rPr>
        <w:t xml:space="preserve">RESULTS </w:t>
      </w:r>
    </w:p>
    <w:p w14:paraId="1CC25799" w14:textId="2A503023" w:rsidR="00D168CE" w:rsidRPr="008D02B6" w:rsidRDefault="00D168CE" w:rsidP="00D168CE">
      <w:pPr>
        <w:spacing w:before="100" w:beforeAutospacing="1" w:after="100" w:afterAutospacing="1" w:line="360" w:lineRule="auto"/>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Table 1. Studies included in the systematic review.</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16"/>
        <w:gridCol w:w="1148"/>
        <w:gridCol w:w="2440"/>
        <w:gridCol w:w="2030"/>
        <w:gridCol w:w="1670"/>
      </w:tblGrid>
      <w:tr w:rsidR="00D168CE" w:rsidRPr="008D02B6" w14:paraId="316194AE" w14:textId="77777777" w:rsidTr="00D168CE">
        <w:trPr>
          <w:tblHeader/>
          <w:tblCellSpacing w:w="15" w:type="dxa"/>
        </w:trPr>
        <w:tc>
          <w:tcPr>
            <w:tcW w:w="0" w:type="auto"/>
            <w:vAlign w:val="center"/>
            <w:hideMark/>
          </w:tcPr>
          <w:p w14:paraId="104C033A" w14:textId="77777777" w:rsidR="00D168CE" w:rsidRPr="008D02B6" w:rsidRDefault="00D168CE" w:rsidP="00D168CE">
            <w:pPr>
              <w:spacing w:before="100" w:beforeAutospacing="1" w:after="100" w:afterAutospacing="1" w:line="360" w:lineRule="auto"/>
              <w:jc w:val="center"/>
              <w:rPr>
                <w:rFonts w:ascii="Arial" w:eastAsia="Times New Roman" w:hAnsi="Arial" w:cs="Arial"/>
                <w:b/>
                <w:bCs/>
                <w:sz w:val="20"/>
                <w:szCs w:val="20"/>
                <w:lang w:eastAsia="pt-BR"/>
              </w:rPr>
            </w:pPr>
            <w:r w:rsidRPr="008D02B6">
              <w:rPr>
                <w:rFonts w:ascii="Arial" w:eastAsia="Times New Roman" w:hAnsi="Arial" w:cs="Arial"/>
                <w:b/>
                <w:bCs/>
                <w:sz w:val="20"/>
                <w:szCs w:val="20"/>
                <w:lang w:eastAsia="pt-BR"/>
              </w:rPr>
              <w:lastRenderedPageBreak/>
              <w:t>Author (Year)</w:t>
            </w:r>
          </w:p>
        </w:tc>
        <w:tc>
          <w:tcPr>
            <w:tcW w:w="0" w:type="auto"/>
            <w:vAlign w:val="center"/>
            <w:hideMark/>
          </w:tcPr>
          <w:p w14:paraId="4F248297" w14:textId="77777777" w:rsidR="00D168CE" w:rsidRPr="008D02B6" w:rsidRDefault="00D168CE" w:rsidP="00D168CE">
            <w:pPr>
              <w:spacing w:before="100" w:beforeAutospacing="1" w:after="100" w:afterAutospacing="1" w:line="360" w:lineRule="auto"/>
              <w:jc w:val="center"/>
              <w:rPr>
                <w:rFonts w:ascii="Arial" w:eastAsia="Times New Roman" w:hAnsi="Arial" w:cs="Arial"/>
                <w:b/>
                <w:bCs/>
                <w:sz w:val="20"/>
                <w:szCs w:val="20"/>
                <w:lang w:eastAsia="pt-BR"/>
              </w:rPr>
            </w:pPr>
            <w:r w:rsidRPr="008D02B6">
              <w:rPr>
                <w:rFonts w:ascii="Arial" w:eastAsia="Times New Roman" w:hAnsi="Arial" w:cs="Arial"/>
                <w:b/>
                <w:bCs/>
                <w:sz w:val="20"/>
                <w:szCs w:val="20"/>
                <w:lang w:eastAsia="pt-BR"/>
              </w:rPr>
              <w:t>Population</w:t>
            </w:r>
          </w:p>
        </w:tc>
        <w:tc>
          <w:tcPr>
            <w:tcW w:w="0" w:type="auto"/>
            <w:vAlign w:val="center"/>
            <w:hideMark/>
          </w:tcPr>
          <w:p w14:paraId="46B2AF60" w14:textId="77777777" w:rsidR="00D168CE" w:rsidRPr="008D02B6" w:rsidRDefault="00D168CE" w:rsidP="00D168CE">
            <w:pPr>
              <w:spacing w:before="100" w:beforeAutospacing="1" w:after="100" w:afterAutospacing="1" w:line="360" w:lineRule="auto"/>
              <w:jc w:val="center"/>
              <w:rPr>
                <w:rFonts w:ascii="Arial" w:eastAsia="Times New Roman" w:hAnsi="Arial" w:cs="Arial"/>
                <w:b/>
                <w:bCs/>
                <w:sz w:val="20"/>
                <w:szCs w:val="20"/>
                <w:lang w:eastAsia="pt-BR"/>
              </w:rPr>
            </w:pPr>
            <w:r w:rsidRPr="008D02B6">
              <w:rPr>
                <w:rFonts w:ascii="Arial" w:eastAsia="Times New Roman" w:hAnsi="Arial" w:cs="Arial"/>
                <w:b/>
                <w:bCs/>
                <w:sz w:val="20"/>
                <w:szCs w:val="20"/>
                <w:lang w:eastAsia="pt-BR"/>
              </w:rPr>
              <w:t>Disease/System</w:t>
            </w:r>
          </w:p>
        </w:tc>
        <w:tc>
          <w:tcPr>
            <w:tcW w:w="0" w:type="auto"/>
            <w:vAlign w:val="center"/>
            <w:hideMark/>
          </w:tcPr>
          <w:p w14:paraId="4FFECB84" w14:textId="77777777" w:rsidR="00D168CE" w:rsidRPr="008D02B6" w:rsidRDefault="00D168CE" w:rsidP="00D168CE">
            <w:pPr>
              <w:spacing w:before="100" w:beforeAutospacing="1" w:after="100" w:afterAutospacing="1" w:line="360" w:lineRule="auto"/>
              <w:jc w:val="center"/>
              <w:rPr>
                <w:rFonts w:ascii="Arial" w:eastAsia="Times New Roman" w:hAnsi="Arial" w:cs="Arial"/>
                <w:b/>
                <w:bCs/>
                <w:sz w:val="20"/>
                <w:szCs w:val="20"/>
                <w:lang w:eastAsia="pt-BR"/>
              </w:rPr>
            </w:pPr>
            <w:r w:rsidRPr="008D02B6">
              <w:rPr>
                <w:rFonts w:ascii="Arial" w:eastAsia="Times New Roman" w:hAnsi="Arial" w:cs="Arial"/>
                <w:b/>
                <w:bCs/>
                <w:sz w:val="20"/>
                <w:szCs w:val="20"/>
                <w:lang w:eastAsia="pt-BR"/>
              </w:rPr>
              <w:t>Altered microbiota</w:t>
            </w:r>
          </w:p>
        </w:tc>
        <w:tc>
          <w:tcPr>
            <w:tcW w:w="0" w:type="auto"/>
            <w:vAlign w:val="center"/>
            <w:hideMark/>
          </w:tcPr>
          <w:p w14:paraId="7CD27864" w14:textId="77777777" w:rsidR="00D168CE" w:rsidRPr="008D02B6" w:rsidRDefault="00D168CE" w:rsidP="00D168CE">
            <w:pPr>
              <w:spacing w:before="100" w:beforeAutospacing="1" w:after="100" w:afterAutospacing="1" w:line="360" w:lineRule="auto"/>
              <w:jc w:val="center"/>
              <w:rPr>
                <w:rFonts w:ascii="Arial" w:eastAsia="Times New Roman" w:hAnsi="Arial" w:cs="Arial"/>
                <w:b/>
                <w:bCs/>
                <w:sz w:val="20"/>
                <w:szCs w:val="20"/>
                <w:lang w:eastAsia="pt-BR"/>
              </w:rPr>
            </w:pPr>
            <w:r w:rsidRPr="008D02B6">
              <w:rPr>
                <w:rFonts w:ascii="Arial" w:eastAsia="Times New Roman" w:hAnsi="Arial" w:cs="Arial"/>
                <w:b/>
                <w:bCs/>
                <w:sz w:val="20"/>
                <w:szCs w:val="20"/>
                <w:lang w:eastAsia="pt-BR"/>
              </w:rPr>
              <w:t>Main findings</w:t>
            </w:r>
          </w:p>
        </w:tc>
      </w:tr>
      <w:tr w:rsidR="00D168CE" w:rsidRPr="008D02B6" w14:paraId="7E8736A1" w14:textId="77777777" w:rsidTr="00D168CE">
        <w:trPr>
          <w:tblCellSpacing w:w="15" w:type="dxa"/>
        </w:trPr>
        <w:tc>
          <w:tcPr>
            <w:tcW w:w="0" w:type="auto"/>
            <w:vAlign w:val="center"/>
            <w:hideMark/>
          </w:tcPr>
          <w:p w14:paraId="0791B6E6"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Li J, Wang M, Ma S, Jin Z, Yin H, Yang S (2024)</w:t>
            </w:r>
          </w:p>
        </w:tc>
        <w:tc>
          <w:tcPr>
            <w:tcW w:w="0" w:type="auto"/>
            <w:vAlign w:val="center"/>
            <w:hideMark/>
          </w:tcPr>
          <w:p w14:paraId="7C22474E"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230 pregnant women</w:t>
            </w:r>
          </w:p>
        </w:tc>
        <w:tc>
          <w:tcPr>
            <w:tcW w:w="0" w:type="auto"/>
            <w:vAlign w:val="center"/>
            <w:hideMark/>
          </w:tcPr>
          <w:p w14:paraId="4A166C8D"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Gastrointestinal/Metabolic (Gestational diabetes)</w:t>
            </w:r>
          </w:p>
        </w:tc>
        <w:tc>
          <w:tcPr>
            <w:tcW w:w="0" w:type="auto"/>
            <w:vAlign w:val="center"/>
            <w:hideMark/>
          </w:tcPr>
          <w:p w14:paraId="594F48BE"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Altered Firmicutes/Bacteroides ratio</w:t>
            </w:r>
          </w:p>
        </w:tc>
        <w:tc>
          <w:tcPr>
            <w:tcW w:w="0" w:type="auto"/>
            <w:vAlign w:val="center"/>
            <w:hideMark/>
          </w:tcPr>
          <w:p w14:paraId="51A693F6"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Dysbiosis associated with obesity and higher risk of gestational diabetes</w:t>
            </w:r>
          </w:p>
        </w:tc>
      </w:tr>
      <w:tr w:rsidR="00D168CE" w:rsidRPr="008D02B6" w14:paraId="5615716D" w14:textId="77777777" w:rsidTr="00D168CE">
        <w:trPr>
          <w:tblCellSpacing w:w="15" w:type="dxa"/>
        </w:trPr>
        <w:tc>
          <w:tcPr>
            <w:tcW w:w="0" w:type="auto"/>
            <w:vAlign w:val="center"/>
            <w:hideMark/>
          </w:tcPr>
          <w:p w14:paraId="2447BEC4"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Chong S, Lin M, Chong D, Jensen S, Lau NS (2025)</w:t>
            </w:r>
          </w:p>
        </w:tc>
        <w:tc>
          <w:tcPr>
            <w:tcW w:w="0" w:type="auto"/>
            <w:vAlign w:val="center"/>
            <w:hideMark/>
          </w:tcPr>
          <w:p w14:paraId="6F6E3DD7"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310 patients with T2DM</w:t>
            </w:r>
          </w:p>
        </w:tc>
        <w:tc>
          <w:tcPr>
            <w:tcW w:w="0" w:type="auto"/>
            <w:vAlign w:val="center"/>
            <w:hideMark/>
          </w:tcPr>
          <w:p w14:paraId="73475CBC"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Metabolic/Immunological</w:t>
            </w:r>
          </w:p>
        </w:tc>
        <w:tc>
          <w:tcPr>
            <w:tcW w:w="0" w:type="auto"/>
            <w:vAlign w:val="center"/>
            <w:hideMark/>
          </w:tcPr>
          <w:p w14:paraId="13BD8D6A"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 </w:t>
            </w:r>
            <w:r w:rsidRPr="008D02B6">
              <w:rPr>
                <w:rFonts w:ascii="Arial" w:eastAsia="Times New Roman" w:hAnsi="Arial" w:cs="Arial"/>
                <w:i/>
                <w:iCs/>
                <w:sz w:val="20"/>
                <w:szCs w:val="20"/>
                <w:lang w:eastAsia="pt-BR"/>
              </w:rPr>
              <w:t>Escherichia-Shigella</w:t>
            </w:r>
            <w:r w:rsidRPr="008D02B6">
              <w:rPr>
                <w:rFonts w:ascii="Arial" w:eastAsia="Times New Roman" w:hAnsi="Arial" w:cs="Arial"/>
                <w:sz w:val="20"/>
                <w:szCs w:val="20"/>
                <w:lang w:eastAsia="pt-BR"/>
              </w:rPr>
              <w:t xml:space="preserve">, </w:t>
            </w:r>
            <w:r w:rsidRPr="008D02B6">
              <w:rPr>
                <w:rFonts w:ascii="Arial" w:eastAsia="Times New Roman" w:hAnsi="Arial" w:cs="Arial"/>
                <w:i/>
                <w:iCs/>
                <w:sz w:val="20"/>
                <w:szCs w:val="20"/>
                <w:lang w:eastAsia="pt-BR"/>
              </w:rPr>
              <w:t>Enterococcus</w:t>
            </w:r>
            <w:r w:rsidRPr="008D02B6">
              <w:rPr>
                <w:rFonts w:ascii="Arial" w:eastAsia="Times New Roman" w:hAnsi="Arial" w:cs="Arial"/>
                <w:sz w:val="20"/>
                <w:szCs w:val="20"/>
                <w:lang w:eastAsia="pt-BR"/>
              </w:rPr>
              <w:t xml:space="preserve">; ↓ </w:t>
            </w:r>
            <w:r w:rsidRPr="008D02B6">
              <w:rPr>
                <w:rFonts w:ascii="Arial" w:eastAsia="Times New Roman" w:hAnsi="Arial" w:cs="Arial"/>
                <w:i/>
                <w:iCs/>
                <w:sz w:val="20"/>
                <w:szCs w:val="20"/>
                <w:lang w:eastAsia="pt-BR"/>
              </w:rPr>
              <w:t>Faecalibacterium</w:t>
            </w:r>
            <w:r w:rsidRPr="008D02B6">
              <w:rPr>
                <w:rFonts w:ascii="Arial" w:eastAsia="Times New Roman" w:hAnsi="Arial" w:cs="Arial"/>
                <w:sz w:val="20"/>
                <w:szCs w:val="20"/>
                <w:lang w:eastAsia="pt-BR"/>
              </w:rPr>
              <w:t xml:space="preserve">, </w:t>
            </w:r>
            <w:r w:rsidRPr="008D02B6">
              <w:rPr>
                <w:rFonts w:ascii="Arial" w:eastAsia="Times New Roman" w:hAnsi="Arial" w:cs="Arial"/>
                <w:i/>
                <w:iCs/>
                <w:sz w:val="20"/>
                <w:szCs w:val="20"/>
                <w:lang w:eastAsia="pt-BR"/>
              </w:rPr>
              <w:t>Bifidobacterium</w:t>
            </w:r>
          </w:p>
        </w:tc>
        <w:tc>
          <w:tcPr>
            <w:tcW w:w="0" w:type="auto"/>
            <w:vAlign w:val="center"/>
            <w:hideMark/>
          </w:tcPr>
          <w:p w14:paraId="69E6CB62"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Dysbiosis linked to insulin resistance and chronic inflammation</w:t>
            </w:r>
          </w:p>
        </w:tc>
      </w:tr>
      <w:tr w:rsidR="00D168CE" w:rsidRPr="008D02B6" w14:paraId="0ACE7FC6" w14:textId="77777777" w:rsidTr="00D168CE">
        <w:trPr>
          <w:tblCellSpacing w:w="15" w:type="dxa"/>
        </w:trPr>
        <w:tc>
          <w:tcPr>
            <w:tcW w:w="0" w:type="auto"/>
            <w:vAlign w:val="center"/>
            <w:hideMark/>
          </w:tcPr>
          <w:p w14:paraId="0FAD41FC"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Gough KL, Dando SJ, Teasdale SL, Feigl B, Huygens F, Pelzer ES (2025)</w:t>
            </w:r>
          </w:p>
        </w:tc>
        <w:tc>
          <w:tcPr>
            <w:tcW w:w="0" w:type="auto"/>
            <w:vAlign w:val="center"/>
            <w:hideMark/>
          </w:tcPr>
          <w:p w14:paraId="04C91CCB"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200 patients (T1DM, T2DM, pre-DM, GDM)</w:t>
            </w:r>
          </w:p>
        </w:tc>
        <w:tc>
          <w:tcPr>
            <w:tcW w:w="0" w:type="auto"/>
            <w:vAlign w:val="center"/>
            <w:hideMark/>
          </w:tcPr>
          <w:p w14:paraId="32624CB9"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Metabolic</w:t>
            </w:r>
          </w:p>
        </w:tc>
        <w:tc>
          <w:tcPr>
            <w:tcW w:w="0" w:type="auto"/>
            <w:vAlign w:val="center"/>
            <w:hideMark/>
          </w:tcPr>
          <w:p w14:paraId="002618CC"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Metabolomic alterations (272 metabolites identified)</w:t>
            </w:r>
          </w:p>
        </w:tc>
        <w:tc>
          <w:tcPr>
            <w:tcW w:w="0" w:type="auto"/>
            <w:vAlign w:val="center"/>
            <w:hideMark/>
          </w:tcPr>
          <w:p w14:paraId="5091F771"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Microbiota-derived metabolites associated with inflammation and metabolic dysfunction</w:t>
            </w:r>
          </w:p>
        </w:tc>
      </w:tr>
      <w:tr w:rsidR="00D168CE" w:rsidRPr="008D02B6" w14:paraId="041E78F3" w14:textId="77777777" w:rsidTr="00D168CE">
        <w:trPr>
          <w:tblCellSpacing w:w="15" w:type="dxa"/>
        </w:trPr>
        <w:tc>
          <w:tcPr>
            <w:tcW w:w="0" w:type="auto"/>
            <w:vAlign w:val="center"/>
            <w:hideMark/>
          </w:tcPr>
          <w:p w14:paraId="2F088900"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Borrego-Ruiz A, Borrego JJ (2025)</w:t>
            </w:r>
          </w:p>
        </w:tc>
        <w:tc>
          <w:tcPr>
            <w:tcW w:w="0" w:type="auto"/>
            <w:vAlign w:val="center"/>
            <w:hideMark/>
          </w:tcPr>
          <w:p w14:paraId="757C9612"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Review in obesity</w:t>
            </w:r>
          </w:p>
        </w:tc>
        <w:tc>
          <w:tcPr>
            <w:tcW w:w="0" w:type="auto"/>
            <w:vAlign w:val="center"/>
            <w:hideMark/>
          </w:tcPr>
          <w:p w14:paraId="47961EE9"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Metabolic/Gastrointestinal</w:t>
            </w:r>
          </w:p>
        </w:tc>
        <w:tc>
          <w:tcPr>
            <w:tcW w:w="0" w:type="auto"/>
            <w:vAlign w:val="center"/>
            <w:hideMark/>
          </w:tcPr>
          <w:p w14:paraId="652C998C"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 </w:t>
            </w:r>
            <w:r w:rsidRPr="008D02B6">
              <w:rPr>
                <w:rFonts w:ascii="Arial" w:eastAsia="Times New Roman" w:hAnsi="Arial" w:cs="Arial"/>
                <w:i/>
                <w:iCs/>
                <w:sz w:val="20"/>
                <w:szCs w:val="20"/>
                <w:lang w:eastAsia="pt-BR"/>
              </w:rPr>
              <w:t>Proteobacteria</w:t>
            </w:r>
            <w:r w:rsidRPr="008D02B6">
              <w:rPr>
                <w:rFonts w:ascii="Arial" w:eastAsia="Times New Roman" w:hAnsi="Arial" w:cs="Arial"/>
                <w:sz w:val="20"/>
                <w:szCs w:val="20"/>
                <w:lang w:eastAsia="pt-BR"/>
              </w:rPr>
              <w:t xml:space="preserve">; ↓ </w:t>
            </w:r>
            <w:r w:rsidRPr="008D02B6">
              <w:rPr>
                <w:rFonts w:ascii="Arial" w:eastAsia="Times New Roman" w:hAnsi="Arial" w:cs="Arial"/>
                <w:i/>
                <w:iCs/>
                <w:sz w:val="20"/>
                <w:szCs w:val="20"/>
                <w:lang w:eastAsia="pt-BR"/>
              </w:rPr>
              <w:t>Firmicutes</w:t>
            </w:r>
          </w:p>
        </w:tc>
        <w:tc>
          <w:tcPr>
            <w:tcW w:w="0" w:type="auto"/>
            <w:vAlign w:val="center"/>
            <w:hideMark/>
          </w:tcPr>
          <w:p w14:paraId="7B0B85F1"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Alterations favor obesity progression</w:t>
            </w:r>
          </w:p>
        </w:tc>
      </w:tr>
      <w:tr w:rsidR="00D168CE" w:rsidRPr="008D02B6" w14:paraId="4E7A0101" w14:textId="77777777" w:rsidTr="00D168CE">
        <w:trPr>
          <w:tblCellSpacing w:w="15" w:type="dxa"/>
        </w:trPr>
        <w:tc>
          <w:tcPr>
            <w:tcW w:w="0" w:type="auto"/>
            <w:vAlign w:val="center"/>
            <w:hideMark/>
          </w:tcPr>
          <w:p w14:paraId="2012A246"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Qi P, Chen X, Tian J, Zhong K, Qi Z, Li M, Guo Y, Zhang X, Wang L, Wang Y (2024)</w:t>
            </w:r>
          </w:p>
        </w:tc>
        <w:tc>
          <w:tcPr>
            <w:tcW w:w="0" w:type="auto"/>
            <w:vAlign w:val="center"/>
            <w:hideMark/>
          </w:tcPr>
          <w:p w14:paraId="05E8206A"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150 patients with rheumatoid arthritis</w:t>
            </w:r>
          </w:p>
        </w:tc>
        <w:tc>
          <w:tcPr>
            <w:tcW w:w="0" w:type="auto"/>
            <w:vAlign w:val="center"/>
            <w:hideMark/>
          </w:tcPr>
          <w:p w14:paraId="353032D6"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Rheumatologic</w:t>
            </w:r>
          </w:p>
        </w:tc>
        <w:tc>
          <w:tcPr>
            <w:tcW w:w="0" w:type="auto"/>
            <w:vAlign w:val="center"/>
            <w:hideMark/>
          </w:tcPr>
          <w:p w14:paraId="151B1BA7"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 </w:t>
            </w:r>
            <w:r w:rsidRPr="008D02B6">
              <w:rPr>
                <w:rFonts w:ascii="Arial" w:eastAsia="Times New Roman" w:hAnsi="Arial" w:cs="Arial"/>
                <w:i/>
                <w:iCs/>
                <w:sz w:val="20"/>
                <w:szCs w:val="20"/>
                <w:lang w:eastAsia="pt-BR"/>
              </w:rPr>
              <w:t>Prevotella copri</w:t>
            </w:r>
          </w:p>
        </w:tc>
        <w:tc>
          <w:tcPr>
            <w:tcW w:w="0" w:type="auto"/>
            <w:vAlign w:val="center"/>
            <w:hideMark/>
          </w:tcPr>
          <w:p w14:paraId="4C009C53"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Higher IL-6, inflammatory activation and clinical worsening</w:t>
            </w:r>
          </w:p>
        </w:tc>
      </w:tr>
      <w:tr w:rsidR="00D168CE" w:rsidRPr="008D02B6" w14:paraId="4F7AC4C1" w14:textId="77777777" w:rsidTr="00D168CE">
        <w:trPr>
          <w:tblCellSpacing w:w="15" w:type="dxa"/>
        </w:trPr>
        <w:tc>
          <w:tcPr>
            <w:tcW w:w="0" w:type="auto"/>
            <w:vAlign w:val="center"/>
            <w:hideMark/>
          </w:tcPr>
          <w:p w14:paraId="39856FEF"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Yuan C, He Y, Xie K, Feng L, Gao S, Cai L (2023)</w:t>
            </w:r>
          </w:p>
        </w:tc>
        <w:tc>
          <w:tcPr>
            <w:tcW w:w="0" w:type="auto"/>
            <w:vAlign w:val="center"/>
            <w:hideMark/>
          </w:tcPr>
          <w:p w14:paraId="4F24053B"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Integrative review</w:t>
            </w:r>
          </w:p>
        </w:tc>
        <w:tc>
          <w:tcPr>
            <w:tcW w:w="0" w:type="auto"/>
            <w:vAlign w:val="center"/>
            <w:hideMark/>
          </w:tcPr>
          <w:p w14:paraId="33E9875E"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Immunological/Neurological</w:t>
            </w:r>
          </w:p>
        </w:tc>
        <w:tc>
          <w:tcPr>
            <w:tcW w:w="0" w:type="auto"/>
            <w:vAlign w:val="center"/>
            <w:hideMark/>
          </w:tcPr>
          <w:p w14:paraId="20FB004F"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Various alterations</w:t>
            </w:r>
          </w:p>
        </w:tc>
        <w:tc>
          <w:tcPr>
            <w:tcW w:w="0" w:type="auto"/>
            <w:vAlign w:val="center"/>
            <w:hideMark/>
          </w:tcPr>
          <w:p w14:paraId="5847A466"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Highlighted immune modulation through the gut–brain axis</w:t>
            </w:r>
          </w:p>
        </w:tc>
      </w:tr>
      <w:tr w:rsidR="00D168CE" w:rsidRPr="008D02B6" w14:paraId="04A73B14" w14:textId="77777777" w:rsidTr="00D168CE">
        <w:trPr>
          <w:tblCellSpacing w:w="15" w:type="dxa"/>
        </w:trPr>
        <w:tc>
          <w:tcPr>
            <w:tcW w:w="0" w:type="auto"/>
            <w:vAlign w:val="center"/>
            <w:hideMark/>
          </w:tcPr>
          <w:p w14:paraId="33DB08F0"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lastRenderedPageBreak/>
              <w:t>Gadour E, Shrwani KJ, Hassan Z, Miutescu B (2025)</w:t>
            </w:r>
          </w:p>
        </w:tc>
        <w:tc>
          <w:tcPr>
            <w:tcW w:w="0" w:type="auto"/>
            <w:vAlign w:val="center"/>
            <w:hideMark/>
          </w:tcPr>
          <w:p w14:paraId="74F2BD72"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450 patients with chronic liver disease</w:t>
            </w:r>
          </w:p>
        </w:tc>
        <w:tc>
          <w:tcPr>
            <w:tcW w:w="0" w:type="auto"/>
            <w:vAlign w:val="center"/>
            <w:hideMark/>
          </w:tcPr>
          <w:p w14:paraId="1F5AAB96"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Immunological/Hepatic</w:t>
            </w:r>
          </w:p>
        </w:tc>
        <w:tc>
          <w:tcPr>
            <w:tcW w:w="0" w:type="auto"/>
            <w:vAlign w:val="center"/>
            <w:hideMark/>
          </w:tcPr>
          <w:p w14:paraId="747565FE"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Alterations in intestinal barrier</w:t>
            </w:r>
          </w:p>
        </w:tc>
        <w:tc>
          <w:tcPr>
            <w:tcW w:w="0" w:type="auto"/>
            <w:vAlign w:val="center"/>
            <w:hideMark/>
          </w:tcPr>
          <w:p w14:paraId="56D6AC92"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Probiotic therapies reduced TNF-α and CRP, IL-6 remained variable</w:t>
            </w:r>
          </w:p>
        </w:tc>
      </w:tr>
      <w:tr w:rsidR="00D168CE" w:rsidRPr="008D02B6" w14:paraId="382D3CDE" w14:textId="77777777" w:rsidTr="00D168CE">
        <w:trPr>
          <w:tblCellSpacing w:w="15" w:type="dxa"/>
        </w:trPr>
        <w:tc>
          <w:tcPr>
            <w:tcW w:w="0" w:type="auto"/>
            <w:vAlign w:val="center"/>
            <w:hideMark/>
          </w:tcPr>
          <w:p w14:paraId="1E92202C"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Ardura-Garcia C, Curtis N, Zimmermann P (2024)</w:t>
            </w:r>
          </w:p>
        </w:tc>
        <w:tc>
          <w:tcPr>
            <w:tcW w:w="0" w:type="auto"/>
            <w:vAlign w:val="center"/>
            <w:hideMark/>
          </w:tcPr>
          <w:p w14:paraId="66E8EA69"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26 studies (30 publications)</w:t>
            </w:r>
          </w:p>
        </w:tc>
        <w:tc>
          <w:tcPr>
            <w:tcW w:w="0" w:type="auto"/>
            <w:vAlign w:val="center"/>
            <w:hideMark/>
          </w:tcPr>
          <w:p w14:paraId="1075A15A"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Immunological (Vaccine response)</w:t>
            </w:r>
          </w:p>
        </w:tc>
        <w:tc>
          <w:tcPr>
            <w:tcW w:w="0" w:type="auto"/>
            <w:vAlign w:val="center"/>
            <w:hideMark/>
          </w:tcPr>
          <w:p w14:paraId="0BBBC00E"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 </w:t>
            </w:r>
            <w:r w:rsidRPr="008D02B6">
              <w:rPr>
                <w:rFonts w:ascii="Arial" w:eastAsia="Times New Roman" w:hAnsi="Arial" w:cs="Arial"/>
                <w:i/>
                <w:iCs/>
                <w:sz w:val="20"/>
                <w:szCs w:val="20"/>
                <w:lang w:eastAsia="pt-BR"/>
              </w:rPr>
              <w:t>Bifidobacterium</w:t>
            </w:r>
            <w:r w:rsidRPr="008D02B6">
              <w:rPr>
                <w:rFonts w:ascii="Arial" w:eastAsia="Times New Roman" w:hAnsi="Arial" w:cs="Arial"/>
                <w:sz w:val="20"/>
                <w:szCs w:val="20"/>
                <w:lang w:eastAsia="pt-BR"/>
              </w:rPr>
              <w:t xml:space="preserve">; ↓ </w:t>
            </w:r>
            <w:r w:rsidRPr="008D02B6">
              <w:rPr>
                <w:rFonts w:ascii="Arial" w:eastAsia="Times New Roman" w:hAnsi="Arial" w:cs="Arial"/>
                <w:i/>
                <w:iCs/>
                <w:sz w:val="20"/>
                <w:szCs w:val="20"/>
                <w:lang w:eastAsia="pt-BR"/>
              </w:rPr>
              <w:t>Gammaproteobacteria</w:t>
            </w:r>
          </w:p>
        </w:tc>
        <w:tc>
          <w:tcPr>
            <w:tcW w:w="0" w:type="auto"/>
            <w:vAlign w:val="center"/>
            <w:hideMark/>
          </w:tcPr>
          <w:p w14:paraId="3CC3A211"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Microbiota influenced humoral and cellular vaccine responses</w:t>
            </w:r>
          </w:p>
        </w:tc>
      </w:tr>
      <w:tr w:rsidR="00D168CE" w:rsidRPr="008D02B6" w14:paraId="2CEE0227" w14:textId="77777777" w:rsidTr="00D168CE">
        <w:trPr>
          <w:tblCellSpacing w:w="15" w:type="dxa"/>
        </w:trPr>
        <w:tc>
          <w:tcPr>
            <w:tcW w:w="0" w:type="auto"/>
            <w:vAlign w:val="center"/>
            <w:hideMark/>
          </w:tcPr>
          <w:p w14:paraId="3A84F08F"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Bretto E, Urpì-Ferreruela M, Casanova GR, González-Suárez B (2025)</w:t>
            </w:r>
          </w:p>
        </w:tc>
        <w:tc>
          <w:tcPr>
            <w:tcW w:w="0" w:type="auto"/>
            <w:vAlign w:val="center"/>
            <w:hideMark/>
          </w:tcPr>
          <w:p w14:paraId="190D649C"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220 patients with IBD (Crohn’s disease and ulcerative colitis)</w:t>
            </w:r>
          </w:p>
        </w:tc>
        <w:tc>
          <w:tcPr>
            <w:tcW w:w="0" w:type="auto"/>
            <w:vAlign w:val="center"/>
            <w:hideMark/>
          </w:tcPr>
          <w:p w14:paraId="31D9732A"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Gastrointestinal</w:t>
            </w:r>
          </w:p>
        </w:tc>
        <w:tc>
          <w:tcPr>
            <w:tcW w:w="0" w:type="auto"/>
            <w:vAlign w:val="center"/>
            <w:hideMark/>
          </w:tcPr>
          <w:p w14:paraId="7E23D876"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 </w:t>
            </w:r>
            <w:r w:rsidRPr="008D02B6">
              <w:rPr>
                <w:rFonts w:ascii="Arial" w:eastAsia="Times New Roman" w:hAnsi="Arial" w:cs="Arial"/>
                <w:i/>
                <w:iCs/>
                <w:sz w:val="20"/>
                <w:szCs w:val="20"/>
                <w:lang w:eastAsia="pt-BR"/>
              </w:rPr>
              <w:t>Proteobacteria</w:t>
            </w:r>
            <w:r w:rsidRPr="008D02B6">
              <w:rPr>
                <w:rFonts w:ascii="Arial" w:eastAsia="Times New Roman" w:hAnsi="Arial" w:cs="Arial"/>
                <w:sz w:val="20"/>
                <w:szCs w:val="20"/>
                <w:lang w:eastAsia="pt-BR"/>
              </w:rPr>
              <w:t xml:space="preserve">; ↓ </w:t>
            </w:r>
            <w:r w:rsidRPr="008D02B6">
              <w:rPr>
                <w:rFonts w:ascii="Arial" w:eastAsia="Times New Roman" w:hAnsi="Arial" w:cs="Arial"/>
                <w:i/>
                <w:iCs/>
                <w:sz w:val="20"/>
                <w:szCs w:val="20"/>
                <w:lang w:eastAsia="pt-BR"/>
              </w:rPr>
              <w:t>Firmicutes</w:t>
            </w:r>
          </w:p>
        </w:tc>
        <w:tc>
          <w:tcPr>
            <w:tcW w:w="0" w:type="auto"/>
            <w:vAlign w:val="center"/>
            <w:hideMark/>
          </w:tcPr>
          <w:p w14:paraId="40342EA3"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Direct relationship with chronic intestinal inflammation</w:t>
            </w:r>
          </w:p>
        </w:tc>
      </w:tr>
      <w:tr w:rsidR="00D168CE" w:rsidRPr="008D02B6" w14:paraId="3E75291E" w14:textId="77777777" w:rsidTr="00D168CE">
        <w:trPr>
          <w:tblCellSpacing w:w="15" w:type="dxa"/>
        </w:trPr>
        <w:tc>
          <w:tcPr>
            <w:tcW w:w="0" w:type="auto"/>
            <w:vAlign w:val="center"/>
            <w:hideMark/>
          </w:tcPr>
          <w:p w14:paraId="41D54AF7"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Zhang X, Liu Y, Zhou Y, Wang Y, Li J (2021)</w:t>
            </w:r>
          </w:p>
        </w:tc>
        <w:tc>
          <w:tcPr>
            <w:tcW w:w="0" w:type="auto"/>
            <w:vAlign w:val="center"/>
            <w:hideMark/>
          </w:tcPr>
          <w:p w14:paraId="2EA9B36F"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150 patients with RA</w:t>
            </w:r>
          </w:p>
        </w:tc>
        <w:tc>
          <w:tcPr>
            <w:tcW w:w="0" w:type="auto"/>
            <w:vAlign w:val="center"/>
            <w:hideMark/>
          </w:tcPr>
          <w:p w14:paraId="3F556AA9"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Rheumatologic</w:t>
            </w:r>
          </w:p>
        </w:tc>
        <w:tc>
          <w:tcPr>
            <w:tcW w:w="0" w:type="auto"/>
            <w:vAlign w:val="center"/>
            <w:hideMark/>
          </w:tcPr>
          <w:p w14:paraId="4AE9BE38"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 </w:t>
            </w:r>
            <w:r w:rsidRPr="008D02B6">
              <w:rPr>
                <w:rFonts w:ascii="Arial" w:eastAsia="Times New Roman" w:hAnsi="Arial" w:cs="Arial"/>
                <w:i/>
                <w:iCs/>
                <w:sz w:val="20"/>
                <w:szCs w:val="20"/>
                <w:lang w:eastAsia="pt-BR"/>
              </w:rPr>
              <w:t>Prevotella</w:t>
            </w:r>
          </w:p>
        </w:tc>
        <w:tc>
          <w:tcPr>
            <w:tcW w:w="0" w:type="auto"/>
            <w:vAlign w:val="center"/>
            <w:hideMark/>
          </w:tcPr>
          <w:p w14:paraId="0433489C"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Correlated with higher IL-6 production</w:t>
            </w:r>
          </w:p>
        </w:tc>
      </w:tr>
      <w:tr w:rsidR="00D168CE" w:rsidRPr="008D02B6" w14:paraId="6F4C20B9" w14:textId="77777777" w:rsidTr="00D168CE">
        <w:trPr>
          <w:tblCellSpacing w:w="15" w:type="dxa"/>
        </w:trPr>
        <w:tc>
          <w:tcPr>
            <w:tcW w:w="0" w:type="auto"/>
            <w:vAlign w:val="center"/>
            <w:hideMark/>
          </w:tcPr>
          <w:p w14:paraId="2FB73054"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Smith L, Johnson R, Patel K, Martinez A (2020)</w:t>
            </w:r>
          </w:p>
        </w:tc>
        <w:tc>
          <w:tcPr>
            <w:tcW w:w="0" w:type="auto"/>
            <w:vAlign w:val="center"/>
            <w:hideMark/>
          </w:tcPr>
          <w:p w14:paraId="21C5C47C"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45 patients with atopic dermatitis</w:t>
            </w:r>
          </w:p>
        </w:tc>
        <w:tc>
          <w:tcPr>
            <w:tcW w:w="0" w:type="auto"/>
            <w:vAlign w:val="center"/>
            <w:hideMark/>
          </w:tcPr>
          <w:p w14:paraId="3B0F84D7"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Dermatologic</w:t>
            </w:r>
          </w:p>
        </w:tc>
        <w:tc>
          <w:tcPr>
            <w:tcW w:w="0" w:type="auto"/>
            <w:vAlign w:val="center"/>
            <w:hideMark/>
          </w:tcPr>
          <w:p w14:paraId="5D6803FF"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 </w:t>
            </w:r>
            <w:r w:rsidRPr="008D02B6">
              <w:rPr>
                <w:rFonts w:ascii="Arial" w:eastAsia="Times New Roman" w:hAnsi="Arial" w:cs="Arial"/>
                <w:i/>
                <w:iCs/>
                <w:sz w:val="20"/>
                <w:szCs w:val="20"/>
                <w:lang w:eastAsia="pt-BR"/>
              </w:rPr>
              <w:t>Bifidobacterium</w:t>
            </w:r>
          </w:p>
        </w:tc>
        <w:tc>
          <w:tcPr>
            <w:tcW w:w="0" w:type="auto"/>
            <w:vAlign w:val="center"/>
            <w:hideMark/>
          </w:tcPr>
          <w:p w14:paraId="7A6E29F2"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Clinical improvement with probiotics</w:t>
            </w:r>
          </w:p>
        </w:tc>
      </w:tr>
      <w:tr w:rsidR="00D168CE" w:rsidRPr="008D02B6" w14:paraId="02C148F0" w14:textId="77777777" w:rsidTr="00D168CE">
        <w:trPr>
          <w:tblCellSpacing w:w="15" w:type="dxa"/>
        </w:trPr>
        <w:tc>
          <w:tcPr>
            <w:tcW w:w="0" w:type="auto"/>
            <w:vAlign w:val="center"/>
            <w:hideMark/>
          </w:tcPr>
          <w:p w14:paraId="56904421"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O’Riordan KJ, Moloney GM, Keane L, Clarke G, Cryan JF (2025)</w:t>
            </w:r>
          </w:p>
        </w:tc>
        <w:tc>
          <w:tcPr>
            <w:tcW w:w="0" w:type="auto"/>
            <w:vAlign w:val="center"/>
            <w:hideMark/>
          </w:tcPr>
          <w:p w14:paraId="7792879E"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Narrative review</w:t>
            </w:r>
          </w:p>
        </w:tc>
        <w:tc>
          <w:tcPr>
            <w:tcW w:w="0" w:type="auto"/>
            <w:vAlign w:val="center"/>
            <w:hideMark/>
          </w:tcPr>
          <w:p w14:paraId="4B69AC3D"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Immunological/Neurological</w:t>
            </w:r>
          </w:p>
        </w:tc>
        <w:tc>
          <w:tcPr>
            <w:tcW w:w="0" w:type="auto"/>
            <w:vAlign w:val="center"/>
            <w:hideMark/>
          </w:tcPr>
          <w:p w14:paraId="3001731B"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Various alterations</w:t>
            </w:r>
          </w:p>
        </w:tc>
        <w:tc>
          <w:tcPr>
            <w:tcW w:w="0" w:type="auto"/>
            <w:vAlign w:val="center"/>
            <w:hideMark/>
          </w:tcPr>
          <w:p w14:paraId="42A9AF92"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Gut–immune–brain axis implicated in neuroinflammation</w:t>
            </w:r>
          </w:p>
        </w:tc>
      </w:tr>
      <w:tr w:rsidR="00D168CE" w:rsidRPr="008D02B6" w14:paraId="7B0A1745" w14:textId="77777777" w:rsidTr="00D168CE">
        <w:trPr>
          <w:tblCellSpacing w:w="15" w:type="dxa"/>
        </w:trPr>
        <w:tc>
          <w:tcPr>
            <w:tcW w:w="0" w:type="auto"/>
            <w:vAlign w:val="center"/>
            <w:hideMark/>
          </w:tcPr>
          <w:p w14:paraId="4C17CAF2"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Pillai SS, Gagnon CA, </w:t>
            </w:r>
            <w:r w:rsidRPr="008D02B6">
              <w:rPr>
                <w:rFonts w:ascii="Arial" w:eastAsia="Times New Roman" w:hAnsi="Arial" w:cs="Arial"/>
                <w:sz w:val="20"/>
                <w:szCs w:val="20"/>
                <w:lang w:eastAsia="pt-BR"/>
              </w:rPr>
              <w:lastRenderedPageBreak/>
              <w:t>Foster C, Ashraf AP (2024)</w:t>
            </w:r>
          </w:p>
        </w:tc>
        <w:tc>
          <w:tcPr>
            <w:tcW w:w="0" w:type="auto"/>
            <w:vAlign w:val="center"/>
            <w:hideMark/>
          </w:tcPr>
          <w:p w14:paraId="47D182C1"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lastRenderedPageBreak/>
              <w:t xml:space="preserve">Review in metabolic </w:t>
            </w:r>
            <w:r w:rsidRPr="008D02B6">
              <w:rPr>
                <w:rFonts w:ascii="Arial" w:eastAsia="Times New Roman" w:hAnsi="Arial" w:cs="Arial"/>
                <w:sz w:val="20"/>
                <w:szCs w:val="20"/>
                <w:lang w:eastAsia="pt-BR"/>
              </w:rPr>
              <w:lastRenderedPageBreak/>
              <w:t>syndrome and obesity</w:t>
            </w:r>
          </w:p>
        </w:tc>
        <w:tc>
          <w:tcPr>
            <w:tcW w:w="0" w:type="auto"/>
            <w:vAlign w:val="center"/>
            <w:hideMark/>
          </w:tcPr>
          <w:p w14:paraId="4B91F29D"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lastRenderedPageBreak/>
              <w:t>Gastrointestinal/Metabolic</w:t>
            </w:r>
          </w:p>
        </w:tc>
        <w:tc>
          <w:tcPr>
            <w:tcW w:w="0" w:type="auto"/>
            <w:vAlign w:val="center"/>
            <w:hideMark/>
          </w:tcPr>
          <w:p w14:paraId="39155C55"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Altered Firmicutes and Bacteroides</w:t>
            </w:r>
          </w:p>
        </w:tc>
        <w:tc>
          <w:tcPr>
            <w:tcW w:w="0" w:type="auto"/>
            <w:vAlign w:val="center"/>
            <w:hideMark/>
          </w:tcPr>
          <w:p w14:paraId="038406EB"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Microbiota modulating </w:t>
            </w:r>
            <w:r w:rsidRPr="008D02B6">
              <w:rPr>
                <w:rFonts w:ascii="Arial" w:eastAsia="Times New Roman" w:hAnsi="Arial" w:cs="Arial"/>
                <w:sz w:val="20"/>
                <w:szCs w:val="20"/>
                <w:lang w:eastAsia="pt-BR"/>
              </w:rPr>
              <w:lastRenderedPageBreak/>
              <w:t>obesity, metabolic syndrome and T2DM</w:t>
            </w:r>
          </w:p>
        </w:tc>
      </w:tr>
      <w:tr w:rsidR="00D168CE" w:rsidRPr="008D02B6" w14:paraId="26A9F091" w14:textId="77777777" w:rsidTr="00D168CE">
        <w:trPr>
          <w:tblCellSpacing w:w="15" w:type="dxa"/>
        </w:trPr>
        <w:tc>
          <w:tcPr>
            <w:tcW w:w="0" w:type="auto"/>
            <w:vAlign w:val="center"/>
            <w:hideMark/>
          </w:tcPr>
          <w:p w14:paraId="4D2BB138"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lastRenderedPageBreak/>
              <w:t>Zhang Y, Huang L, Chen W, Zhao X, Liu F (2022)</w:t>
            </w:r>
          </w:p>
        </w:tc>
        <w:tc>
          <w:tcPr>
            <w:tcW w:w="0" w:type="auto"/>
            <w:vAlign w:val="center"/>
            <w:hideMark/>
          </w:tcPr>
          <w:p w14:paraId="203A94A0"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120 patients with autoimmune uveitis</w:t>
            </w:r>
          </w:p>
        </w:tc>
        <w:tc>
          <w:tcPr>
            <w:tcW w:w="0" w:type="auto"/>
            <w:vAlign w:val="center"/>
            <w:hideMark/>
          </w:tcPr>
          <w:p w14:paraId="02648B75"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Ophthalmologic</w:t>
            </w:r>
          </w:p>
        </w:tc>
        <w:tc>
          <w:tcPr>
            <w:tcW w:w="0" w:type="auto"/>
            <w:vAlign w:val="center"/>
            <w:hideMark/>
          </w:tcPr>
          <w:p w14:paraId="6646A5FF"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Altered </w:t>
            </w:r>
            <w:r w:rsidRPr="008D02B6">
              <w:rPr>
                <w:rFonts w:ascii="Arial" w:eastAsia="Times New Roman" w:hAnsi="Arial" w:cs="Arial"/>
                <w:i/>
                <w:iCs/>
                <w:sz w:val="20"/>
                <w:szCs w:val="20"/>
                <w:lang w:eastAsia="pt-BR"/>
              </w:rPr>
              <w:t>Firmicutes</w:t>
            </w:r>
            <w:r w:rsidRPr="008D02B6">
              <w:rPr>
                <w:rFonts w:ascii="Arial" w:eastAsia="Times New Roman" w:hAnsi="Arial" w:cs="Arial"/>
                <w:sz w:val="20"/>
                <w:szCs w:val="20"/>
                <w:lang w:eastAsia="pt-BR"/>
              </w:rPr>
              <w:t xml:space="preserve"> and </w:t>
            </w:r>
            <w:r w:rsidRPr="008D02B6">
              <w:rPr>
                <w:rFonts w:ascii="Arial" w:eastAsia="Times New Roman" w:hAnsi="Arial" w:cs="Arial"/>
                <w:i/>
                <w:iCs/>
                <w:sz w:val="20"/>
                <w:szCs w:val="20"/>
                <w:lang w:eastAsia="pt-BR"/>
              </w:rPr>
              <w:t>Bacteroides</w:t>
            </w:r>
          </w:p>
        </w:tc>
        <w:tc>
          <w:tcPr>
            <w:tcW w:w="0" w:type="auto"/>
            <w:vAlign w:val="center"/>
            <w:hideMark/>
          </w:tcPr>
          <w:p w14:paraId="3F5B2512"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Dysbiosis associated with ocular inflammation</w:t>
            </w:r>
          </w:p>
        </w:tc>
      </w:tr>
      <w:tr w:rsidR="00D168CE" w:rsidRPr="008D02B6" w14:paraId="371AA633" w14:textId="77777777" w:rsidTr="00D168CE">
        <w:trPr>
          <w:tblCellSpacing w:w="15" w:type="dxa"/>
        </w:trPr>
        <w:tc>
          <w:tcPr>
            <w:tcW w:w="0" w:type="auto"/>
            <w:vAlign w:val="center"/>
            <w:hideMark/>
          </w:tcPr>
          <w:p w14:paraId="607EBA06"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Lin Q, Zhao H, Wu P, Li Z, Sun Y (2023)</w:t>
            </w:r>
          </w:p>
        </w:tc>
        <w:tc>
          <w:tcPr>
            <w:tcW w:w="0" w:type="auto"/>
            <w:vAlign w:val="center"/>
            <w:hideMark/>
          </w:tcPr>
          <w:p w14:paraId="78B35FBA"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80 patients with psoriasis</w:t>
            </w:r>
          </w:p>
        </w:tc>
        <w:tc>
          <w:tcPr>
            <w:tcW w:w="0" w:type="auto"/>
            <w:vAlign w:val="center"/>
            <w:hideMark/>
          </w:tcPr>
          <w:p w14:paraId="146C63D3"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Dermatologic</w:t>
            </w:r>
          </w:p>
        </w:tc>
        <w:tc>
          <w:tcPr>
            <w:tcW w:w="0" w:type="auto"/>
            <w:vAlign w:val="center"/>
            <w:hideMark/>
          </w:tcPr>
          <w:p w14:paraId="1D3E55DE"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 </w:t>
            </w:r>
            <w:r w:rsidRPr="008D02B6">
              <w:rPr>
                <w:rFonts w:ascii="Arial" w:eastAsia="Times New Roman" w:hAnsi="Arial" w:cs="Arial"/>
                <w:i/>
                <w:iCs/>
                <w:sz w:val="20"/>
                <w:szCs w:val="20"/>
                <w:lang w:eastAsia="pt-BR"/>
              </w:rPr>
              <w:t>Proteobacteria</w:t>
            </w:r>
            <w:r w:rsidRPr="008D02B6">
              <w:rPr>
                <w:rFonts w:ascii="Arial" w:eastAsia="Times New Roman" w:hAnsi="Arial" w:cs="Arial"/>
                <w:sz w:val="20"/>
                <w:szCs w:val="20"/>
                <w:lang w:eastAsia="pt-BR"/>
              </w:rPr>
              <w:t xml:space="preserve">, ↓ </w:t>
            </w:r>
            <w:r w:rsidRPr="008D02B6">
              <w:rPr>
                <w:rFonts w:ascii="Arial" w:eastAsia="Times New Roman" w:hAnsi="Arial" w:cs="Arial"/>
                <w:i/>
                <w:iCs/>
                <w:sz w:val="20"/>
                <w:szCs w:val="20"/>
                <w:lang w:eastAsia="pt-BR"/>
              </w:rPr>
              <w:t>Firmicutes</w:t>
            </w:r>
          </w:p>
        </w:tc>
        <w:tc>
          <w:tcPr>
            <w:tcW w:w="0" w:type="auto"/>
            <w:vAlign w:val="center"/>
            <w:hideMark/>
          </w:tcPr>
          <w:p w14:paraId="7B70F2AC"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Association between dysbiosis and skin inflammation</w:t>
            </w:r>
          </w:p>
        </w:tc>
      </w:tr>
      <w:tr w:rsidR="00D168CE" w:rsidRPr="008D02B6" w14:paraId="417A76B7" w14:textId="77777777" w:rsidTr="00D168CE">
        <w:trPr>
          <w:tblCellSpacing w:w="15" w:type="dxa"/>
        </w:trPr>
        <w:tc>
          <w:tcPr>
            <w:tcW w:w="0" w:type="auto"/>
            <w:vAlign w:val="center"/>
            <w:hideMark/>
          </w:tcPr>
          <w:p w14:paraId="1466B3CB"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Martinez R, Torres F, Almeida L, Santos G (2022)</w:t>
            </w:r>
          </w:p>
        </w:tc>
        <w:tc>
          <w:tcPr>
            <w:tcW w:w="0" w:type="auto"/>
            <w:vAlign w:val="center"/>
            <w:hideMark/>
          </w:tcPr>
          <w:p w14:paraId="430C2E3D"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95 patients with ocular Sjögren’s syndrome</w:t>
            </w:r>
          </w:p>
        </w:tc>
        <w:tc>
          <w:tcPr>
            <w:tcW w:w="0" w:type="auto"/>
            <w:vAlign w:val="center"/>
            <w:hideMark/>
          </w:tcPr>
          <w:p w14:paraId="4556BC8A"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Ophthalmologic</w:t>
            </w:r>
          </w:p>
        </w:tc>
        <w:tc>
          <w:tcPr>
            <w:tcW w:w="0" w:type="auto"/>
            <w:vAlign w:val="center"/>
            <w:hideMark/>
          </w:tcPr>
          <w:p w14:paraId="2B8BE6EE"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Reduced bacterial diversity</w:t>
            </w:r>
          </w:p>
        </w:tc>
        <w:tc>
          <w:tcPr>
            <w:tcW w:w="0" w:type="auto"/>
            <w:vAlign w:val="center"/>
            <w:hideMark/>
          </w:tcPr>
          <w:p w14:paraId="31270869" w14:textId="77777777" w:rsidR="00D168CE" w:rsidRPr="008D02B6"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8D02B6">
              <w:rPr>
                <w:rFonts w:ascii="Arial" w:eastAsia="Times New Roman" w:hAnsi="Arial" w:cs="Arial"/>
                <w:sz w:val="20"/>
                <w:szCs w:val="20"/>
                <w:lang w:eastAsia="pt-BR"/>
              </w:rPr>
              <w:t>Dysbiosis associated with systemic and ocular inflammation</w:t>
            </w:r>
          </w:p>
        </w:tc>
      </w:tr>
    </w:tbl>
    <w:p w14:paraId="44DB40C2" w14:textId="1B57A45D" w:rsidR="00D168CE" w:rsidRPr="008D02B6" w:rsidRDefault="00D168CE" w:rsidP="00D168CE">
      <w:pPr>
        <w:spacing w:before="100" w:beforeAutospacing="1" w:after="100" w:afterAutospacing="1" w:line="360" w:lineRule="auto"/>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source: authors (2025).</w:t>
      </w:r>
    </w:p>
    <w:p w14:paraId="3520EB02"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The results of this systematic review reinforce the notion that the intestinal microbiota plays a central role in modulating immunity, with repercussions extending to multiple organ systems. Intestinal dysbiosis was associated with exacerbated inflammatory responses, loss of immune tolerance, and greater susceptibility to autoimmune and inflammatory diseases, corroborating previous findings in the literature (1–3).</w:t>
      </w:r>
    </w:p>
    <w:p w14:paraId="4AE48929"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In the immune system, studies confirm that beneficial species such as </w:t>
      </w:r>
      <w:r w:rsidRPr="008D02B6">
        <w:rPr>
          <w:rFonts w:ascii="Arial" w:eastAsia="Times New Roman" w:hAnsi="Arial" w:cs="Arial"/>
          <w:i/>
          <w:iCs/>
          <w:sz w:val="20"/>
          <w:szCs w:val="20"/>
          <w:lang w:eastAsia="pt-BR"/>
        </w:rPr>
        <w:t>Lactobacillus</w:t>
      </w:r>
      <w:r w:rsidRPr="008D02B6">
        <w:rPr>
          <w:rFonts w:ascii="Arial" w:eastAsia="Times New Roman" w:hAnsi="Arial" w:cs="Arial"/>
          <w:sz w:val="20"/>
          <w:szCs w:val="20"/>
          <w:lang w:eastAsia="pt-BR"/>
        </w:rPr>
        <w:t xml:space="preserve"> and </w:t>
      </w:r>
      <w:r w:rsidRPr="008D02B6">
        <w:rPr>
          <w:rFonts w:ascii="Arial" w:eastAsia="Times New Roman" w:hAnsi="Arial" w:cs="Arial"/>
          <w:i/>
          <w:iCs/>
          <w:sz w:val="20"/>
          <w:szCs w:val="20"/>
          <w:lang w:eastAsia="pt-BR"/>
        </w:rPr>
        <w:t>Bifidobacterium</w:t>
      </w:r>
      <w:r w:rsidRPr="008D02B6">
        <w:rPr>
          <w:rFonts w:ascii="Arial" w:eastAsia="Times New Roman" w:hAnsi="Arial" w:cs="Arial"/>
          <w:sz w:val="20"/>
          <w:szCs w:val="20"/>
          <w:lang w:eastAsia="pt-BR"/>
        </w:rPr>
        <w:t xml:space="preserve"> promote the expansion of regulatory T cells and the production of anti-inflammatory cytokines such as IL-10, while potentially pathogenic bacteria, including </w:t>
      </w:r>
      <w:r w:rsidRPr="008D02B6">
        <w:rPr>
          <w:rFonts w:ascii="Arial" w:eastAsia="Times New Roman" w:hAnsi="Arial" w:cs="Arial"/>
          <w:i/>
          <w:iCs/>
          <w:sz w:val="20"/>
          <w:szCs w:val="20"/>
          <w:lang w:eastAsia="pt-BR"/>
        </w:rPr>
        <w:t>Escherichia-Shigella</w:t>
      </w:r>
      <w:r w:rsidRPr="008D02B6">
        <w:rPr>
          <w:rFonts w:ascii="Arial" w:eastAsia="Times New Roman" w:hAnsi="Arial" w:cs="Arial"/>
          <w:sz w:val="20"/>
          <w:szCs w:val="20"/>
          <w:lang w:eastAsia="pt-BR"/>
        </w:rPr>
        <w:t xml:space="preserve"> and members of the </w:t>
      </w:r>
      <w:r w:rsidRPr="008D02B6">
        <w:rPr>
          <w:rFonts w:ascii="Arial" w:eastAsia="Times New Roman" w:hAnsi="Arial" w:cs="Arial"/>
          <w:i/>
          <w:iCs/>
          <w:sz w:val="20"/>
          <w:szCs w:val="20"/>
          <w:lang w:eastAsia="pt-BR"/>
        </w:rPr>
        <w:t>Proteobacteria</w:t>
      </w:r>
      <w:r w:rsidRPr="008D02B6">
        <w:rPr>
          <w:rFonts w:ascii="Arial" w:eastAsia="Times New Roman" w:hAnsi="Arial" w:cs="Arial"/>
          <w:sz w:val="20"/>
          <w:szCs w:val="20"/>
          <w:lang w:eastAsia="pt-BR"/>
        </w:rPr>
        <w:t xml:space="preserve"> family, induce IL-6 and TNF-α production, favoring pro-inflammatory pathways (4,5). This dynamic highlights the microbiota as a fundamental modulator of immune homeostasis, while its imbalance represents a risk factor for autoimmunity.</w:t>
      </w:r>
    </w:p>
    <w:p w14:paraId="3C6ED724"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In the rheumatologic field, a robust association was observed between the abundance of </w:t>
      </w:r>
      <w:r w:rsidRPr="008D02B6">
        <w:rPr>
          <w:rFonts w:ascii="Arial" w:eastAsia="Times New Roman" w:hAnsi="Arial" w:cs="Arial"/>
          <w:i/>
          <w:iCs/>
          <w:sz w:val="20"/>
          <w:szCs w:val="20"/>
          <w:lang w:eastAsia="pt-BR"/>
        </w:rPr>
        <w:t>Prevotella copri</w:t>
      </w:r>
      <w:r w:rsidRPr="008D02B6">
        <w:rPr>
          <w:rFonts w:ascii="Arial" w:eastAsia="Times New Roman" w:hAnsi="Arial" w:cs="Arial"/>
          <w:sz w:val="20"/>
          <w:szCs w:val="20"/>
          <w:lang w:eastAsia="pt-BR"/>
        </w:rPr>
        <w:t xml:space="preserve"> and rheumatoid arthritis, with implications for disease severity and activation of inflammatory cytokines (6). Clinical trials suggest that microbiota modulation through probiotics </w:t>
      </w:r>
      <w:r w:rsidRPr="008D02B6">
        <w:rPr>
          <w:rFonts w:ascii="Arial" w:eastAsia="Times New Roman" w:hAnsi="Arial" w:cs="Arial"/>
          <w:sz w:val="20"/>
          <w:szCs w:val="20"/>
          <w:lang w:eastAsia="pt-BR"/>
        </w:rPr>
        <w:lastRenderedPageBreak/>
        <w:t>can reduce pro-inflammatory cytokines and increase IL-10 production, demonstrating potential as an adjuvant therapeutic strategy in rheumatologic diseases, although the results remain partial and heterogeneous (7).</w:t>
      </w:r>
    </w:p>
    <w:p w14:paraId="0340537A"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In the ophthalmologic system, the relationship between intestinal microbiota and immune-mediated eye diseases such as autoimmune uveitis and Sjögren’s syndrome suggests the existence of a gut–eye axis. Proposed mechanisms include molecular mimicry and activation of autoreactive T cells, which amplify systemic and ocular inflammation (8,9). Although still incipient, these findings open avenues for studies on microbiota-targeted interventions in immune-mediated ocular disorders.</w:t>
      </w:r>
    </w:p>
    <w:p w14:paraId="55CF292A"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In the dermatologic system, findings reinforce that alterations in the intestinal microbial composition influence skin inflammation. In psoriasis, increased </w:t>
      </w:r>
      <w:r w:rsidRPr="008D02B6">
        <w:rPr>
          <w:rFonts w:ascii="Arial" w:eastAsia="Times New Roman" w:hAnsi="Arial" w:cs="Arial"/>
          <w:i/>
          <w:iCs/>
          <w:sz w:val="20"/>
          <w:szCs w:val="20"/>
          <w:lang w:eastAsia="pt-BR"/>
        </w:rPr>
        <w:t>Proteobacteria</w:t>
      </w:r>
      <w:r w:rsidRPr="008D02B6">
        <w:rPr>
          <w:rFonts w:ascii="Arial" w:eastAsia="Times New Roman" w:hAnsi="Arial" w:cs="Arial"/>
          <w:sz w:val="20"/>
          <w:szCs w:val="20"/>
          <w:lang w:eastAsia="pt-BR"/>
        </w:rPr>
        <w:t xml:space="preserve"> and reduced </w:t>
      </w:r>
      <w:r w:rsidRPr="008D02B6">
        <w:rPr>
          <w:rFonts w:ascii="Arial" w:eastAsia="Times New Roman" w:hAnsi="Arial" w:cs="Arial"/>
          <w:i/>
          <w:iCs/>
          <w:sz w:val="20"/>
          <w:szCs w:val="20"/>
          <w:lang w:eastAsia="pt-BR"/>
        </w:rPr>
        <w:t>Firmicutes</w:t>
      </w:r>
      <w:r w:rsidRPr="008D02B6">
        <w:rPr>
          <w:rFonts w:ascii="Arial" w:eastAsia="Times New Roman" w:hAnsi="Arial" w:cs="Arial"/>
          <w:sz w:val="20"/>
          <w:szCs w:val="20"/>
          <w:lang w:eastAsia="pt-BR"/>
        </w:rPr>
        <w:t xml:space="preserve"> are associated with activation of Th1 and Th17 pathways, while in atopic dermatitis, decreased </w:t>
      </w:r>
      <w:r w:rsidRPr="008D02B6">
        <w:rPr>
          <w:rFonts w:ascii="Arial" w:eastAsia="Times New Roman" w:hAnsi="Arial" w:cs="Arial"/>
          <w:i/>
          <w:iCs/>
          <w:sz w:val="20"/>
          <w:szCs w:val="20"/>
          <w:lang w:eastAsia="pt-BR"/>
        </w:rPr>
        <w:t>Bifidobacterium</w:t>
      </w:r>
      <w:r w:rsidRPr="008D02B6">
        <w:rPr>
          <w:rFonts w:ascii="Arial" w:eastAsia="Times New Roman" w:hAnsi="Arial" w:cs="Arial"/>
          <w:sz w:val="20"/>
          <w:szCs w:val="20"/>
          <w:lang w:eastAsia="pt-BR"/>
        </w:rPr>
        <w:t xml:space="preserve"> correlates with Th2 dysregulation (10,11). Clinical trials involving probiotics in atopic dermatitis have reported clinical improvement, supporting the hypothesis of a bidirectional link between the gut and skin.</w:t>
      </w:r>
    </w:p>
    <w:p w14:paraId="076B12CB"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In the gastrointestinal system, the relationship between dysbiosis and inflammatory bowel diseases (IBD) is well established, with increased </w:t>
      </w:r>
      <w:r w:rsidRPr="008D02B6">
        <w:rPr>
          <w:rFonts w:ascii="Arial" w:eastAsia="Times New Roman" w:hAnsi="Arial" w:cs="Arial"/>
          <w:i/>
          <w:iCs/>
          <w:sz w:val="20"/>
          <w:szCs w:val="20"/>
          <w:lang w:eastAsia="pt-BR"/>
        </w:rPr>
        <w:t>Proteobacteria</w:t>
      </w:r>
      <w:r w:rsidRPr="008D02B6">
        <w:rPr>
          <w:rFonts w:ascii="Arial" w:eastAsia="Times New Roman" w:hAnsi="Arial" w:cs="Arial"/>
          <w:sz w:val="20"/>
          <w:szCs w:val="20"/>
          <w:lang w:eastAsia="pt-BR"/>
        </w:rPr>
        <w:t xml:space="preserve"> and decreased </w:t>
      </w:r>
      <w:r w:rsidRPr="008D02B6">
        <w:rPr>
          <w:rFonts w:ascii="Arial" w:eastAsia="Times New Roman" w:hAnsi="Arial" w:cs="Arial"/>
          <w:i/>
          <w:iCs/>
          <w:sz w:val="20"/>
          <w:szCs w:val="20"/>
          <w:lang w:eastAsia="pt-BR"/>
        </w:rPr>
        <w:t>Firmicutes</w:t>
      </w:r>
      <w:r w:rsidRPr="008D02B6">
        <w:rPr>
          <w:rFonts w:ascii="Arial" w:eastAsia="Times New Roman" w:hAnsi="Arial" w:cs="Arial"/>
          <w:sz w:val="20"/>
          <w:szCs w:val="20"/>
          <w:lang w:eastAsia="pt-BR"/>
        </w:rPr>
        <w:t xml:space="preserve"> associated with the perpetuation of chronic inflammation (12). Moreover, alterations in the </w:t>
      </w:r>
      <w:r w:rsidRPr="008D02B6">
        <w:rPr>
          <w:rFonts w:ascii="Arial" w:eastAsia="Times New Roman" w:hAnsi="Arial" w:cs="Arial"/>
          <w:i/>
          <w:iCs/>
          <w:sz w:val="20"/>
          <w:szCs w:val="20"/>
          <w:lang w:eastAsia="pt-BR"/>
        </w:rPr>
        <w:t>Firmicutes/Bacteroidetes</w:t>
      </w:r>
      <w:r w:rsidRPr="008D02B6">
        <w:rPr>
          <w:rFonts w:ascii="Arial" w:eastAsia="Times New Roman" w:hAnsi="Arial" w:cs="Arial"/>
          <w:sz w:val="20"/>
          <w:szCs w:val="20"/>
          <w:lang w:eastAsia="pt-BR"/>
        </w:rPr>
        <w:t xml:space="preserve"> ratio have been linked to obesity and type 2 diabetes, conditions characterized by low-grade inflammation and insulin resistance (13,14). In this context, species such as </w:t>
      </w:r>
      <w:r w:rsidRPr="008D02B6">
        <w:rPr>
          <w:rFonts w:ascii="Arial" w:eastAsia="Times New Roman" w:hAnsi="Arial" w:cs="Arial"/>
          <w:i/>
          <w:iCs/>
          <w:sz w:val="20"/>
          <w:szCs w:val="20"/>
          <w:lang w:eastAsia="pt-BR"/>
        </w:rPr>
        <w:t>Faecalibacterium prausnitzii</w:t>
      </w:r>
      <w:r w:rsidRPr="008D02B6">
        <w:rPr>
          <w:rFonts w:ascii="Arial" w:eastAsia="Times New Roman" w:hAnsi="Arial" w:cs="Arial"/>
          <w:sz w:val="20"/>
          <w:szCs w:val="20"/>
          <w:lang w:eastAsia="pt-BR"/>
        </w:rPr>
        <w:t xml:space="preserve"> emerge as potential protective biomarkers.</w:t>
      </w:r>
    </w:p>
    <w:p w14:paraId="31BCBAC2"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From a clinical perspective, the findings of this review support that interventions aimed at modulating the microbiota, including probiotics, prebiotics, fiber-rich diets, and fecal microbiota transplantation, may represent promising strategies in different medical specialties (7,11,15). However, methodological heterogeneity among studies, variability in sequencing techniques, and population diversity limit result generalization. Additionally, most evidence derives from observational studies, precluding the establishment of causality.</w:t>
      </w:r>
    </w:p>
    <w:p w14:paraId="3055631E"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Future perspectives include the need for well-designed randomized clinical trials that consider factors such as age, diet, antibiotic use, and comorbidities, along with integrated metagenomic and metabolomic approaches. These tools will allow the identification of specific molecular mechanisms, the establishment of microbial biomarkers of risk and therapeutic response, and the development of personalized interventions based on the microbiota.</w:t>
      </w:r>
    </w:p>
    <w:p w14:paraId="0C49407B" w14:textId="7DA60A32" w:rsidR="002F16B5" w:rsidRPr="008D02B6" w:rsidRDefault="002F16B5" w:rsidP="002F16B5">
      <w:pPr>
        <w:spacing w:before="100" w:beforeAutospacing="1" w:after="100" w:afterAutospacing="1" w:line="360" w:lineRule="auto"/>
        <w:ind w:firstLine="360"/>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In summary, the literature demonstrates that the intestinal microbiota not only participates in immune homeostasis but also exerts significant multisystemic influence. The gut–immune axis therefore represents a strategic target for future therapeutic interventions with potential impact </w:t>
      </w:r>
      <w:r w:rsidRPr="008D02B6">
        <w:rPr>
          <w:rFonts w:ascii="Arial" w:eastAsia="Times New Roman" w:hAnsi="Arial" w:cs="Arial"/>
          <w:sz w:val="20"/>
          <w:szCs w:val="20"/>
          <w:lang w:eastAsia="pt-BR"/>
        </w:rPr>
        <w:lastRenderedPageBreak/>
        <w:t>across rheumatology, ophthalmology, dermatology, gastroenterology, and clinical immunology (1–16).</w:t>
      </w:r>
    </w:p>
    <w:p w14:paraId="1691902E" w14:textId="65E21221" w:rsidR="00570673" w:rsidRPr="008D02B6" w:rsidRDefault="00570673" w:rsidP="005706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D02B6">
        <w:rPr>
          <w:rFonts w:ascii="Arial" w:eastAsia="Times New Roman" w:hAnsi="Arial" w:cs="Arial"/>
          <w:b/>
          <w:bCs/>
          <w:lang w:eastAsia="pt-BR"/>
        </w:rPr>
        <w:t>DISCUSSION</w:t>
      </w:r>
    </w:p>
    <w:p w14:paraId="017FB70B" w14:textId="77777777" w:rsidR="002F16B5" w:rsidRPr="008D02B6" w:rsidRDefault="002F16B5" w:rsidP="002F16B5">
      <w:pPr>
        <w:spacing w:before="100" w:beforeAutospacing="1" w:after="100" w:afterAutospacing="1" w:line="360" w:lineRule="auto"/>
        <w:ind w:firstLine="360"/>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This systematic review confirms that the intestinal microbiota plays a central role in the immunological and inflammatory modulation of the human body, constituting the gut–immune axis. Dysbiosis, defined as an imbalance between beneficial and pathogenic microorganisms, triggers multiple mechanisms that affect homeostasis and contribute to autoimmune and inflammatory diseases. The main systems involved are discussed below.</w:t>
      </w:r>
    </w:p>
    <w:p w14:paraId="136B1AEC" w14:textId="77777777" w:rsidR="002F16B5" w:rsidRPr="008D02B6" w:rsidRDefault="002F16B5" w:rsidP="002F16B5">
      <w:pPr>
        <w:spacing w:before="100" w:beforeAutospacing="1" w:after="100" w:afterAutospacing="1" w:line="360" w:lineRule="auto"/>
        <w:jc w:val="both"/>
        <w:rPr>
          <w:rFonts w:ascii="Arial" w:eastAsia="Times New Roman" w:hAnsi="Arial" w:cs="Arial"/>
          <w:b/>
          <w:bCs/>
          <w:sz w:val="20"/>
          <w:szCs w:val="20"/>
          <w:lang w:eastAsia="pt-BR"/>
        </w:rPr>
      </w:pPr>
      <w:r w:rsidRPr="008D02B6">
        <w:rPr>
          <w:rFonts w:ascii="Arial" w:eastAsia="Times New Roman" w:hAnsi="Arial" w:cs="Arial"/>
          <w:b/>
          <w:bCs/>
          <w:sz w:val="20"/>
          <w:szCs w:val="20"/>
          <w:lang w:eastAsia="pt-BR"/>
        </w:rPr>
        <w:t>Immune System</w:t>
      </w:r>
    </w:p>
    <w:p w14:paraId="57E2B320"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The human gut harbors trillions of microorganisms, including bacteria, viruses, and fungi, which form the intestinal microbiota and play an essential role in maintaining immune homeostasis. The literature shows that this microbiota directly influences the differentiation of lymphocyte subpopulations, especially regulatory T cells (Tregs) and helper T cells (Th17), which are responsible for balancing immune tolerance and defense (1). Species such as Lactobacillus and Bifidobacterium promote immunotolerance and inflammation control through IL-10 production, whereas opportunistic microorganisms such as Escherichia-Shigella and Proteobacteria stimulate IL-6 and TNF-α production, perpetuating systemic inflammation (2,3). Dysbiosis disrupts this balance, favoring the breakdown of immune tolerance and the activation of autoimmune responses. In addition, metabolites such as short-chain fatty acids (SCFAs), especially butyrate, act as immunological modulators, enhancing Treg function and intestinal barrier integrity (4,5). Thus, the gut is consolidated as a true central immunological organ with an impact on several clinical systems (1–3,5).</w:t>
      </w:r>
    </w:p>
    <w:p w14:paraId="7CB0A16A" w14:textId="77777777" w:rsidR="002F16B5" w:rsidRPr="008D02B6" w:rsidRDefault="002F16B5" w:rsidP="002F16B5">
      <w:pPr>
        <w:spacing w:before="100" w:beforeAutospacing="1" w:after="100" w:afterAutospacing="1" w:line="360" w:lineRule="auto"/>
        <w:jc w:val="both"/>
        <w:rPr>
          <w:rFonts w:ascii="Arial" w:eastAsia="Times New Roman" w:hAnsi="Arial" w:cs="Arial"/>
          <w:b/>
          <w:bCs/>
          <w:sz w:val="20"/>
          <w:szCs w:val="20"/>
          <w:lang w:eastAsia="pt-BR"/>
        </w:rPr>
      </w:pPr>
      <w:r w:rsidRPr="008D02B6">
        <w:rPr>
          <w:rFonts w:ascii="Arial" w:eastAsia="Times New Roman" w:hAnsi="Arial" w:cs="Arial"/>
          <w:b/>
          <w:bCs/>
          <w:sz w:val="20"/>
          <w:szCs w:val="20"/>
          <w:lang w:eastAsia="pt-BR"/>
        </w:rPr>
        <w:t>Rheumatologic System</w:t>
      </w:r>
    </w:p>
    <w:p w14:paraId="28003A6C"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The interaction between the intestinal microbiota and the systemic immune response is a key factor in the pathophysiology of rheumatologic diseases. Consistent evidence demonstrates an increased abundance of Prevotella copri in patients with rheumatoid arthritis (RA), correlating with IL-6 and IL-1β production, Th17 activation, and exacerbated synovial inflammation (1,2). This inflammatory pattern promotes cartilage destruction and peripheral tolerance breakdown, sustaining autoimmunity. In conditions such as systemic lupus erythematosus and spondyloarthritis, microbial profiles show reduced diversity and a predominance of inflammatory taxa (3). Clinical trials have demonstrated that probiotics and microbiota-modulating diets reduce inflammatory cytokines and increase IL-10 levels, leading to partial symptomatic improvement (4). Therefore, microbial modulation emerges as a promising adjuvant therapeutic strategy, although longitudinal and standardized studies are still needed (1–4).</w:t>
      </w:r>
    </w:p>
    <w:p w14:paraId="46800A3C" w14:textId="77777777" w:rsidR="002F16B5" w:rsidRPr="008D02B6" w:rsidRDefault="002F16B5" w:rsidP="002F16B5">
      <w:pPr>
        <w:spacing w:before="100" w:beforeAutospacing="1" w:after="100" w:afterAutospacing="1" w:line="360" w:lineRule="auto"/>
        <w:jc w:val="both"/>
        <w:rPr>
          <w:rFonts w:ascii="Arial" w:eastAsia="Times New Roman" w:hAnsi="Arial" w:cs="Arial"/>
          <w:b/>
          <w:bCs/>
          <w:sz w:val="20"/>
          <w:szCs w:val="20"/>
          <w:lang w:eastAsia="pt-BR"/>
        </w:rPr>
      </w:pPr>
      <w:r w:rsidRPr="008D02B6">
        <w:rPr>
          <w:rFonts w:ascii="Arial" w:eastAsia="Times New Roman" w:hAnsi="Arial" w:cs="Arial"/>
          <w:b/>
          <w:bCs/>
          <w:sz w:val="20"/>
          <w:szCs w:val="20"/>
          <w:lang w:eastAsia="pt-BR"/>
        </w:rPr>
        <w:t>Ophthalmologic System</w:t>
      </w:r>
    </w:p>
    <w:p w14:paraId="55844AB1" w14:textId="58D034A2" w:rsidR="002F16B5" w:rsidRPr="008D02B6" w:rsidRDefault="002F16B5" w:rsidP="002F16B5">
      <w:pPr>
        <w:spacing w:before="100" w:beforeAutospacing="1" w:after="100" w:afterAutospacing="1" w:line="360" w:lineRule="auto"/>
        <w:ind w:firstLine="708"/>
        <w:jc w:val="both"/>
        <w:rPr>
          <w:rFonts w:ascii="Arial" w:eastAsia="Times New Roman" w:hAnsi="Arial" w:cs="Arial"/>
          <w:b/>
          <w:bCs/>
          <w:sz w:val="20"/>
          <w:szCs w:val="20"/>
          <w:lang w:eastAsia="pt-BR"/>
        </w:rPr>
      </w:pPr>
      <w:r w:rsidRPr="008D02B6">
        <w:rPr>
          <w:rFonts w:ascii="Arial" w:eastAsia="Times New Roman" w:hAnsi="Arial" w:cs="Arial"/>
          <w:sz w:val="20"/>
          <w:szCs w:val="20"/>
          <w:lang w:eastAsia="pt-BR"/>
        </w:rPr>
        <w:lastRenderedPageBreak/>
        <w:t>The effects of the intestinal microbiota on immune-mediated ocular diseases consolidate the concept of the gut–eye axis. Intestinal dysbiosis has been associated with autoimmune uveitis, allergic conjunctivitis, and ocular Sjögren’s syndrome (1,2). The main mechanism involved is molecular mimicry, in which bacterial antigens resemble ocular autoantigens, activating autoreactive T lymphocytes that migrate to ocular tissues and trigger local inflammation (3,4). Increased intestinal permeability facilitates the translocation of lipopolysaccharides (LPS), which activate Toll-like receptors (TLRs) and induce IL-6 and TNF-α production, amplifying inflammation (3–5). Evidence indicates reduced bacterial diversity in patients with uveitis and ocular Sjögren’s syndrome, along with clinical improvement after microbiota-targeted interventions such as probiotics and anti-inflammatory diets. These findings reinforce the therapeutic potential of the gut–eye axis as an emerging target (1–5).</w:t>
      </w:r>
    </w:p>
    <w:p w14:paraId="5A562040" w14:textId="77777777" w:rsidR="002F16B5" w:rsidRPr="008D02B6" w:rsidRDefault="002F16B5" w:rsidP="002F16B5">
      <w:pPr>
        <w:spacing w:before="100" w:beforeAutospacing="1" w:after="100" w:afterAutospacing="1" w:line="360" w:lineRule="auto"/>
        <w:jc w:val="both"/>
        <w:rPr>
          <w:rFonts w:ascii="Arial" w:eastAsia="Times New Roman" w:hAnsi="Arial" w:cs="Arial"/>
          <w:b/>
          <w:bCs/>
          <w:sz w:val="20"/>
          <w:szCs w:val="20"/>
          <w:lang w:eastAsia="pt-BR"/>
        </w:rPr>
      </w:pPr>
      <w:r w:rsidRPr="008D02B6">
        <w:rPr>
          <w:rFonts w:ascii="Arial" w:eastAsia="Times New Roman" w:hAnsi="Arial" w:cs="Arial"/>
          <w:b/>
          <w:bCs/>
          <w:sz w:val="20"/>
          <w:szCs w:val="20"/>
          <w:lang w:eastAsia="pt-BR"/>
        </w:rPr>
        <w:t>Dermatologic System</w:t>
      </w:r>
    </w:p>
    <w:p w14:paraId="2E4A2258"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The relationship between the gut and skin occurs through the gut–skin axis, mediated by immunological and metabolic pathways. Under eubiotic conditions, SCFAs such as acetate, propionate, and butyrate exert anti-inflammatory effects; under dysbiosis, increased LPS and TLR activation induce IL-6 and TNF-α, amplifying skin inflammation (3,4). In psoriasis, there is a predominance of Proteobacteria and reduction of Firmicutes, with activation of Th1 and Th17 pathways and release of IL-17 and IL-23 (5). In atopic dermatitis, decreased Bifidobacterium and Lactobacillus aggravate Th2-driven inflammation. Clinical trials have shown that probiotic use improves lesion severity and extent, reinforcing the therapeutic potential of microbial modulation (6,7). These results confirm that intestinal balance is crucial for cutaneous homeostasis and immune regulation.</w:t>
      </w:r>
    </w:p>
    <w:p w14:paraId="3DB9A240" w14:textId="77777777" w:rsidR="002F16B5" w:rsidRPr="008D02B6" w:rsidRDefault="002F16B5" w:rsidP="002F16B5">
      <w:pPr>
        <w:spacing w:before="100" w:beforeAutospacing="1" w:after="100" w:afterAutospacing="1" w:line="360" w:lineRule="auto"/>
        <w:jc w:val="both"/>
        <w:rPr>
          <w:rFonts w:ascii="Arial" w:eastAsia="Times New Roman" w:hAnsi="Arial" w:cs="Arial"/>
          <w:b/>
          <w:bCs/>
          <w:sz w:val="20"/>
          <w:szCs w:val="20"/>
          <w:lang w:eastAsia="pt-BR"/>
        </w:rPr>
      </w:pPr>
      <w:r w:rsidRPr="008D02B6">
        <w:rPr>
          <w:rFonts w:ascii="Arial" w:eastAsia="Times New Roman" w:hAnsi="Arial" w:cs="Arial"/>
          <w:b/>
          <w:bCs/>
          <w:sz w:val="20"/>
          <w:szCs w:val="20"/>
          <w:lang w:eastAsia="pt-BR"/>
        </w:rPr>
        <w:t>Gastrointestinal System</w:t>
      </w:r>
    </w:p>
    <w:p w14:paraId="2571E465" w14:textId="77777777" w:rsidR="002F16B5" w:rsidRPr="008D02B6"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The gastrointestinal tract is the epicenter of the gut–immune axis. Dysbiosis is strongly associated with inflammatory bowel diseases (IBD), irritable bowel syndrome (IBS), and metabolic disorders. In IBD, increased Proteobacteria and decreased Firmicutes reduce butyrate production, compromise epithelial barrier integrity, and perpetuate chronic inflammation (3–6). In IBS, species such as Methanobrevibacter smithii alter metabolism and intestinal motility (7–9). In metabolic disorders, changes in the Firmicutes/Bacteroidetes ratio and the increase of Escherichia-Shigella promote low-grade inflammation, insulin resistance, and obesity, while Faecalibacterium prausnitzii exerts a protective effect (10–15). Thus, the gut–gastrointestinal axis represents an essential interface between immunity and metabolism, consolidating dysbiosis as a key factor in the pathophysiology of multiple diseases.</w:t>
      </w:r>
    </w:p>
    <w:p w14:paraId="2CDE6078" w14:textId="2E82EF70" w:rsidR="002F16B5" w:rsidRPr="008D02B6" w:rsidRDefault="002F16B5" w:rsidP="002F16B5">
      <w:pPr>
        <w:spacing w:before="100" w:beforeAutospacing="1" w:after="100" w:afterAutospacing="1" w:line="360" w:lineRule="auto"/>
        <w:ind w:firstLine="360"/>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The literature demonstrates that the intestinal microbiota is not merely a digestive component but a systemic regulator of immunity. Its modulation through probiotics, prebiotics, fiber-rich diets, and fecal microbiota transplantation represents a promising therapeutic frontier. However, </w:t>
      </w:r>
      <w:r w:rsidRPr="008D02B6">
        <w:rPr>
          <w:rFonts w:ascii="Arial" w:eastAsia="Times New Roman" w:hAnsi="Arial" w:cs="Arial"/>
          <w:sz w:val="20"/>
          <w:szCs w:val="20"/>
          <w:lang w:eastAsia="pt-BR"/>
        </w:rPr>
        <w:lastRenderedPageBreak/>
        <w:t>methodological heterogeneity and the lack of robust randomized trials limit definitive conclusions. Future research should integrate metagenomic and metabolomic approaches to identify biomarkers and develop personalized therapies based on the gut–immune axis (1–16).</w:t>
      </w:r>
    </w:p>
    <w:p w14:paraId="5C91A59E" w14:textId="77777777" w:rsidR="00570673" w:rsidRPr="008D02B6" w:rsidRDefault="00570673" w:rsidP="005706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D02B6">
        <w:rPr>
          <w:rFonts w:ascii="Arial" w:hAnsi="Arial" w:cs="Arial"/>
          <w:b/>
          <w:bCs/>
        </w:rPr>
        <w:t>CONCLUSION</w:t>
      </w:r>
    </w:p>
    <w:p w14:paraId="18FDB55E" w14:textId="77777777" w:rsidR="00E50666" w:rsidRPr="008D02B6" w:rsidRDefault="00E50666" w:rsidP="00E50666">
      <w:pPr>
        <w:spacing w:before="100" w:beforeAutospacing="1" w:after="100" w:afterAutospacing="1" w:line="360" w:lineRule="auto"/>
        <w:ind w:firstLine="360"/>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This systematic review demonstrated that the gut microbiota plays a crucial role in regulating the immune system and significantly influences multiple organ systems. The findings show that gut dysbiosis is associated with the development and progression of autoimmune and inflammatory diseases affecting the immune, rheumatologic, ophthalmologic, dermatologic, and gastrointestinal systems.</w:t>
      </w:r>
    </w:p>
    <w:p w14:paraId="67FF9CFB" w14:textId="77777777" w:rsidR="00E50666" w:rsidRPr="008D02B6" w:rsidRDefault="00E50666" w:rsidP="00E50666">
      <w:pPr>
        <w:spacing w:before="100" w:beforeAutospacing="1" w:after="100" w:afterAutospacing="1" w:line="360" w:lineRule="auto"/>
        <w:ind w:firstLine="360"/>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Current evidence highlights that beneficial bacterial species, such as Lactobacillus, Bifidobacterium, and Faecalibacterium prausnitzii, exert protective effects by inducing anti-inflammatory responses and maintaining intestinal barrier integrity. Conversely, the predominance of pathogenic microorganisms, including Escherichia-Shigella, Proteobacteria, and Prevotella copri, contributes to excessive activation of inflammatory cytokines, perpetuation of systemic inflammation, and increased risk of autoimmunity.</w:t>
      </w:r>
    </w:p>
    <w:p w14:paraId="4A28A4C4" w14:textId="77777777" w:rsidR="00E50666" w:rsidRPr="008D02B6" w:rsidRDefault="00E50666" w:rsidP="00E50666">
      <w:pPr>
        <w:spacing w:before="100" w:beforeAutospacing="1" w:after="100" w:afterAutospacing="1" w:line="360" w:lineRule="auto"/>
        <w:ind w:firstLine="360"/>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From a clinical standpoint, gut microbiota modulation represents a promising strategy across several medical specialties, whether through probiotics, prebiotics, fiber-rich diets, or fecal microbiota transplantation. However, methodological heterogeneity among the included studies, along with the predominance of observational designs, limits the ability to establish definitive causal relationships.</w:t>
      </w:r>
    </w:p>
    <w:p w14:paraId="56E03942" w14:textId="77777777" w:rsidR="00E50666" w:rsidRPr="008D02B6" w:rsidRDefault="00E50666" w:rsidP="00E50666">
      <w:pPr>
        <w:spacing w:before="100" w:beforeAutospacing="1" w:after="100" w:afterAutospacing="1" w:line="360" w:lineRule="auto"/>
        <w:ind w:firstLine="360"/>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Therefore, well-designed randomized controlled trials, longitudinal studies, and integrated metagenomic and metabolomic approaches are needed to deepen the understanding of mechanisms involved in the gut–immune axis. Interventions aimed at restoring gut eubiosis may become effective adjuvants in the management of autoimmune and inflammatory diseases, positioning the gut microbiota as a strategic therapeutic target for precision medicine.</w:t>
      </w:r>
    </w:p>
    <w:p w14:paraId="7574B524" w14:textId="1445DA9B" w:rsidR="00570673" w:rsidRPr="008D02B6" w:rsidRDefault="00570673" w:rsidP="00E50666">
      <w:pPr>
        <w:spacing w:before="100" w:beforeAutospacing="1" w:after="100" w:afterAutospacing="1" w:line="360" w:lineRule="auto"/>
        <w:jc w:val="both"/>
        <w:rPr>
          <w:rFonts w:ascii="Arial" w:eastAsia="Times New Roman" w:hAnsi="Arial" w:cs="Arial"/>
          <w:sz w:val="20"/>
          <w:szCs w:val="20"/>
          <w:lang w:eastAsia="pt-BR"/>
        </w:rPr>
      </w:pPr>
      <w:r w:rsidRPr="008D02B6">
        <w:rPr>
          <w:rFonts w:ascii="Arial" w:eastAsia="Times New Roman" w:hAnsi="Arial" w:cs="Arial"/>
          <w:b/>
          <w:bCs/>
          <w:lang w:eastAsia="pt-BR"/>
        </w:rPr>
        <w:t>COMPETING INTERESTS</w:t>
      </w:r>
    </w:p>
    <w:p w14:paraId="19560C6F" w14:textId="77777777" w:rsidR="00570673" w:rsidRPr="008D02B6" w:rsidRDefault="00570673" w:rsidP="00570673">
      <w:pPr>
        <w:spacing w:before="100" w:beforeAutospacing="1" w:after="100" w:afterAutospacing="1" w:line="360" w:lineRule="auto"/>
        <w:ind w:firstLine="360"/>
        <w:jc w:val="both"/>
        <w:rPr>
          <w:rFonts w:ascii="Arial" w:eastAsia="Times New Roman" w:hAnsi="Arial" w:cs="Arial"/>
          <w:sz w:val="20"/>
          <w:szCs w:val="20"/>
          <w:lang w:eastAsia="pt-BR"/>
        </w:rPr>
      </w:pPr>
      <w:r w:rsidRPr="008D02B6">
        <w:rPr>
          <w:rFonts w:ascii="Arial" w:eastAsia="Times New Roman" w:hAnsi="Arial" w:cs="Arial"/>
          <w:sz w:val="20"/>
          <w:szCs w:val="20"/>
          <w:lang w:eastAsia="pt-BR"/>
        </w:rPr>
        <w:t xml:space="preserve">The authors declare that they have no financial or personal relationships with other people or organizations that could inappropriately influence their work. </w:t>
      </w:r>
    </w:p>
    <w:p w14:paraId="7AD0F8D4" w14:textId="77777777" w:rsidR="00570673" w:rsidRPr="008D02B6" w:rsidRDefault="00570673" w:rsidP="00570673">
      <w:pPr>
        <w:spacing w:before="100" w:beforeAutospacing="1" w:after="100" w:afterAutospacing="1" w:line="360" w:lineRule="auto"/>
        <w:jc w:val="both"/>
        <w:rPr>
          <w:rFonts w:ascii="Arial" w:eastAsia="Times New Roman" w:hAnsi="Arial" w:cs="Arial"/>
          <w:b/>
          <w:lang w:val="en-US" w:eastAsia="pt-BR"/>
        </w:rPr>
      </w:pPr>
      <w:r w:rsidRPr="008D02B6">
        <w:rPr>
          <w:rFonts w:ascii="Arial" w:eastAsia="Times New Roman" w:hAnsi="Arial" w:cs="Arial"/>
          <w:b/>
          <w:lang w:val="en-US" w:eastAsia="pt-BR"/>
        </w:rPr>
        <w:t>REFERENCES</w:t>
      </w:r>
    </w:p>
    <w:p w14:paraId="016A1F53" w14:textId="77777777" w:rsidR="00E5066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Yuan C, He Y, Xie K, Feng L, Gao S, Cai L. Review of microbiota gut brain axis and innate immunity in inflammatory and infective diseases. </w:t>
      </w:r>
      <w:r w:rsidRPr="008D02B6">
        <w:rPr>
          <w:rFonts w:ascii="Arial" w:eastAsia="Times New Roman" w:hAnsi="Arial" w:cs="Arial"/>
          <w:bCs/>
          <w:i/>
          <w:iCs/>
          <w:lang w:eastAsia="pt-BR"/>
        </w:rPr>
        <w:t>Front Cell Infect Microbiol</w:t>
      </w:r>
      <w:r w:rsidRPr="008D02B6">
        <w:rPr>
          <w:rFonts w:ascii="Arial" w:eastAsia="Times New Roman" w:hAnsi="Arial" w:cs="Arial"/>
          <w:bCs/>
          <w:lang w:eastAsia="pt-BR"/>
        </w:rPr>
        <w:t>. 2023;13:1282431. doi:10.3389/fcimb.2023.1282431</w:t>
      </w:r>
    </w:p>
    <w:p w14:paraId="4262F0F7" w14:textId="77777777" w:rsidR="00E5066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lastRenderedPageBreak/>
        <w:t xml:space="preserve">Li J, Wang M, Ma S, Jin Z, Yin H, Yang S. Association of gastrointestinal microbiome and obesity with gestational diabetes mellitus—an updated globally based review. </w:t>
      </w:r>
      <w:r w:rsidRPr="008D02B6">
        <w:rPr>
          <w:rFonts w:ascii="Arial" w:eastAsia="Times New Roman" w:hAnsi="Arial" w:cs="Arial"/>
          <w:bCs/>
          <w:i/>
          <w:iCs/>
          <w:lang w:eastAsia="pt-BR"/>
        </w:rPr>
        <w:t>Nutr Diabetes</w:t>
      </w:r>
      <w:r w:rsidRPr="008D02B6">
        <w:rPr>
          <w:rFonts w:ascii="Arial" w:eastAsia="Times New Roman" w:hAnsi="Arial" w:cs="Arial"/>
          <w:bCs/>
          <w:lang w:eastAsia="pt-BR"/>
        </w:rPr>
        <w:t>. 2024;14(31):1–12. doi:10.1038/s41387-024-00291-5</w:t>
      </w:r>
    </w:p>
    <w:p w14:paraId="7458D9F9" w14:textId="77777777" w:rsidR="00E5066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Qi P, Chen X, Tian J, Zhong K, Qi Z, Li M, Guo Y, Zhang X, Wang L, Wang Y. The gut homeostasis-immune system axis: novel insights into rheumatoid arthritis pathogenesis and treatment. </w:t>
      </w:r>
      <w:r w:rsidRPr="008D02B6">
        <w:rPr>
          <w:rFonts w:ascii="Arial" w:eastAsia="Times New Roman" w:hAnsi="Arial" w:cs="Arial"/>
          <w:bCs/>
          <w:i/>
          <w:iCs/>
          <w:lang w:eastAsia="pt-BR"/>
        </w:rPr>
        <w:t>Front Immunol</w:t>
      </w:r>
      <w:r w:rsidRPr="008D02B6">
        <w:rPr>
          <w:rFonts w:ascii="Arial" w:eastAsia="Times New Roman" w:hAnsi="Arial" w:cs="Arial"/>
          <w:bCs/>
          <w:lang w:eastAsia="pt-BR"/>
        </w:rPr>
        <w:t>. 2024;15:1482214. doi:10.3389/fimmu.2024.1482214</w:t>
      </w:r>
    </w:p>
    <w:p w14:paraId="3816E741" w14:textId="77777777" w:rsidR="00E5066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O’Riordan KJ, Moloney GM, Keane L, Clarke G, Cryan JF. The gut microbiota-immune-brain axis: Therapeutic implications. </w:t>
      </w:r>
      <w:r w:rsidRPr="008D02B6">
        <w:rPr>
          <w:rFonts w:ascii="Arial" w:eastAsia="Times New Roman" w:hAnsi="Arial" w:cs="Arial"/>
          <w:bCs/>
          <w:i/>
          <w:iCs/>
          <w:lang w:eastAsia="pt-BR"/>
        </w:rPr>
        <w:t>Cell Rep Med</w:t>
      </w:r>
      <w:r w:rsidRPr="008D02B6">
        <w:rPr>
          <w:rFonts w:ascii="Arial" w:eastAsia="Times New Roman" w:hAnsi="Arial" w:cs="Arial"/>
          <w:bCs/>
          <w:lang w:eastAsia="pt-BR"/>
        </w:rPr>
        <w:t>. 2025;6(3):101982. doi:10.1016/j.xcrm.2025.101982</w:t>
      </w:r>
    </w:p>
    <w:p w14:paraId="2B3D5203" w14:textId="77777777" w:rsidR="00E5066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Chong S, Lin M, Chong D, Jensen S, Lau NS. A systematic review on gut microbiota in type 2 diabetes mellitus. </w:t>
      </w:r>
      <w:r w:rsidRPr="008D02B6">
        <w:rPr>
          <w:rFonts w:ascii="Arial" w:eastAsia="Times New Roman" w:hAnsi="Arial" w:cs="Arial"/>
          <w:bCs/>
          <w:i/>
          <w:iCs/>
          <w:lang w:eastAsia="pt-BR"/>
        </w:rPr>
        <w:t>Front Endocrinol</w:t>
      </w:r>
      <w:r w:rsidRPr="008D02B6">
        <w:rPr>
          <w:rFonts w:ascii="Arial" w:eastAsia="Times New Roman" w:hAnsi="Arial" w:cs="Arial"/>
          <w:bCs/>
          <w:lang w:eastAsia="pt-BR"/>
        </w:rPr>
        <w:t>. 2025;15:1486793. doi:10.3389/fendo.2025.1486793</w:t>
      </w:r>
    </w:p>
    <w:p w14:paraId="3D72C953" w14:textId="77777777" w:rsidR="00E5066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Zhang X, Liu Y, Zhou Y, Wang Y, Li J. Abundant </w:t>
      </w:r>
      <w:r w:rsidRPr="008D02B6">
        <w:rPr>
          <w:rFonts w:ascii="Arial" w:eastAsia="Times New Roman" w:hAnsi="Arial" w:cs="Arial"/>
          <w:bCs/>
          <w:i/>
          <w:iCs/>
          <w:lang w:eastAsia="pt-BR"/>
        </w:rPr>
        <w:t>Prevotella copri</w:t>
      </w:r>
      <w:r w:rsidRPr="008D02B6">
        <w:rPr>
          <w:rFonts w:ascii="Arial" w:eastAsia="Times New Roman" w:hAnsi="Arial" w:cs="Arial"/>
          <w:bCs/>
          <w:lang w:eastAsia="pt-BR"/>
        </w:rPr>
        <w:t xml:space="preserve"> in the gut is a potential biomarker for rheumatoid arthritis. </w:t>
      </w:r>
      <w:r w:rsidRPr="008D02B6">
        <w:rPr>
          <w:rFonts w:ascii="Arial" w:eastAsia="Times New Roman" w:hAnsi="Arial" w:cs="Arial"/>
          <w:bCs/>
          <w:i/>
          <w:iCs/>
          <w:lang w:eastAsia="pt-BR"/>
        </w:rPr>
        <w:t>Rheumatology (Oxford)</w:t>
      </w:r>
      <w:r w:rsidRPr="008D02B6">
        <w:rPr>
          <w:rFonts w:ascii="Arial" w:eastAsia="Times New Roman" w:hAnsi="Arial" w:cs="Arial"/>
          <w:bCs/>
          <w:lang w:eastAsia="pt-BR"/>
        </w:rPr>
        <w:t>. 2021;60(8):3572–82. doi:10.1093/rheumatology/keaa889</w:t>
      </w:r>
    </w:p>
    <w:p w14:paraId="110F20C9" w14:textId="77777777" w:rsidR="00E5066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Gadour E, Shrwani KJ, Hassan Z, Miutescu B. The role of gut microbiota in modulating immune responses in chronic liver disease: a systematic review and meta-analysis. </w:t>
      </w:r>
      <w:r w:rsidRPr="008D02B6">
        <w:rPr>
          <w:rFonts w:ascii="Arial" w:eastAsia="Times New Roman" w:hAnsi="Arial" w:cs="Arial"/>
          <w:bCs/>
          <w:i/>
          <w:iCs/>
          <w:lang w:eastAsia="pt-BR"/>
        </w:rPr>
        <w:t>Front Immunol</w:t>
      </w:r>
      <w:r w:rsidRPr="008D02B6">
        <w:rPr>
          <w:rFonts w:ascii="Arial" w:eastAsia="Times New Roman" w:hAnsi="Arial" w:cs="Arial"/>
          <w:bCs/>
          <w:lang w:eastAsia="pt-BR"/>
        </w:rPr>
        <w:t>. 2025;16:1556576. doi:10.3389/fimmu.2025.1556576</w:t>
      </w:r>
    </w:p>
    <w:p w14:paraId="5567A40B" w14:textId="77777777" w:rsidR="00E5066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Martinez R, Torres F, Almeida L, Santos G. Gut microbiota alterations in ocular Sjögren’s syndrome: implications for systemic and ocular inflammation. </w:t>
      </w:r>
      <w:r w:rsidRPr="008D02B6">
        <w:rPr>
          <w:rFonts w:ascii="Arial" w:eastAsia="Times New Roman" w:hAnsi="Arial" w:cs="Arial"/>
          <w:bCs/>
          <w:i/>
          <w:iCs/>
          <w:lang w:eastAsia="pt-BR"/>
        </w:rPr>
        <w:t>Int Ophthalmol</w:t>
      </w:r>
      <w:r w:rsidRPr="008D02B6">
        <w:rPr>
          <w:rFonts w:ascii="Arial" w:eastAsia="Times New Roman" w:hAnsi="Arial" w:cs="Arial"/>
          <w:bCs/>
          <w:lang w:eastAsia="pt-BR"/>
        </w:rPr>
        <w:t>. 2022;42(5):1447–56. doi:10.1007/s10792-021-02043-9</w:t>
      </w:r>
    </w:p>
    <w:p w14:paraId="0FB2E35D" w14:textId="77777777" w:rsidR="001564C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Zhang Y, Huang L, Chen W, Zhao X, Liu F. Intestinal microbiota in autoimmune uveitis: evidence for dysbiosis and link with systemic inflammation. </w:t>
      </w:r>
      <w:r w:rsidRPr="008D02B6">
        <w:rPr>
          <w:rFonts w:ascii="Arial" w:eastAsia="Times New Roman" w:hAnsi="Arial" w:cs="Arial"/>
          <w:bCs/>
          <w:i/>
          <w:iCs/>
          <w:lang w:eastAsia="pt-BR"/>
        </w:rPr>
        <w:t>Int Immunopharmacol</w:t>
      </w:r>
      <w:r w:rsidRPr="008D02B6">
        <w:rPr>
          <w:rFonts w:ascii="Arial" w:eastAsia="Times New Roman" w:hAnsi="Arial" w:cs="Arial"/>
          <w:bCs/>
          <w:lang w:eastAsia="pt-BR"/>
        </w:rPr>
        <w:t>. 2022;113:109375. doi:10.1016/j.intimp.2022.109375</w:t>
      </w:r>
    </w:p>
    <w:p w14:paraId="7DE74C9C" w14:textId="77777777" w:rsidR="001564C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Lin Q, Zhao H, Wu P, Li Z, Sun Y. Gut microbiota changes in psoriasis patients and its correlation with skin inflammation. </w:t>
      </w:r>
      <w:r w:rsidRPr="008D02B6">
        <w:rPr>
          <w:rFonts w:ascii="Arial" w:eastAsia="Times New Roman" w:hAnsi="Arial" w:cs="Arial"/>
          <w:bCs/>
          <w:i/>
          <w:iCs/>
          <w:lang w:eastAsia="pt-BR"/>
        </w:rPr>
        <w:t>Front Endocrinol</w:t>
      </w:r>
      <w:r w:rsidRPr="008D02B6">
        <w:rPr>
          <w:rFonts w:ascii="Arial" w:eastAsia="Times New Roman" w:hAnsi="Arial" w:cs="Arial"/>
          <w:bCs/>
          <w:lang w:eastAsia="pt-BR"/>
        </w:rPr>
        <w:t>. 2023;14:1559638. doi:10.3389/fendo.2023.1559638</w:t>
      </w:r>
    </w:p>
    <w:p w14:paraId="42F2DB47" w14:textId="77777777" w:rsidR="001564C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Smith L, Johnson R, Patel K, Martinez A. Gut dysbiosis and atopic dermatitis: clinical improvement after probiotic intervention. </w:t>
      </w:r>
      <w:r w:rsidRPr="008D02B6">
        <w:rPr>
          <w:rFonts w:ascii="Arial" w:eastAsia="Times New Roman" w:hAnsi="Arial" w:cs="Arial"/>
          <w:bCs/>
          <w:i/>
          <w:iCs/>
          <w:lang w:eastAsia="pt-BR"/>
        </w:rPr>
        <w:t>Biomedicines</w:t>
      </w:r>
      <w:r w:rsidRPr="008D02B6">
        <w:rPr>
          <w:rFonts w:ascii="Arial" w:eastAsia="Times New Roman" w:hAnsi="Arial" w:cs="Arial"/>
          <w:bCs/>
          <w:lang w:eastAsia="pt-BR"/>
        </w:rPr>
        <w:t>. 2020;8(3):173. doi:10.3390/biomedicines8030173</w:t>
      </w:r>
    </w:p>
    <w:p w14:paraId="080D05CF" w14:textId="77777777" w:rsidR="001564C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Bretto E, Urpì-Ferreruela M, Casanova GR, González-Suárez B. The role of gut microbiota in gastrointestinal immune homeostasis and inflammation: implications for inflammatory bowel disease. </w:t>
      </w:r>
      <w:r w:rsidRPr="008D02B6">
        <w:rPr>
          <w:rFonts w:ascii="Arial" w:eastAsia="Times New Roman" w:hAnsi="Arial" w:cs="Arial"/>
          <w:bCs/>
          <w:i/>
          <w:iCs/>
          <w:lang w:eastAsia="pt-BR"/>
        </w:rPr>
        <w:t>Biomedicines</w:t>
      </w:r>
      <w:r w:rsidRPr="008D02B6">
        <w:rPr>
          <w:rFonts w:ascii="Arial" w:eastAsia="Times New Roman" w:hAnsi="Arial" w:cs="Arial"/>
          <w:bCs/>
          <w:lang w:eastAsia="pt-BR"/>
        </w:rPr>
        <w:t>. 2025;13(7):1807. doi:10.3390/biomedicines13071807</w:t>
      </w:r>
    </w:p>
    <w:p w14:paraId="3C1E348B" w14:textId="77777777" w:rsidR="001564C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lastRenderedPageBreak/>
        <w:t xml:space="preserve">Pillai SS, Gagnon CA, Foster C, Ashraf AP. Exploring the gut microbiota: key insights into its role in obesity, metabolic syndrome, and type 2 diabetes. </w:t>
      </w:r>
      <w:r w:rsidRPr="008D02B6">
        <w:rPr>
          <w:rFonts w:ascii="Arial" w:eastAsia="Times New Roman" w:hAnsi="Arial" w:cs="Arial"/>
          <w:bCs/>
          <w:i/>
          <w:iCs/>
          <w:lang w:eastAsia="pt-BR"/>
        </w:rPr>
        <w:t>J Clin Endocrinol Metab</w:t>
      </w:r>
      <w:r w:rsidRPr="008D02B6">
        <w:rPr>
          <w:rFonts w:ascii="Arial" w:eastAsia="Times New Roman" w:hAnsi="Arial" w:cs="Arial"/>
          <w:bCs/>
          <w:lang w:eastAsia="pt-BR"/>
        </w:rPr>
        <w:t>. 2024;109(11):2709–19. doi:10.1210/clinem/dgae499</w:t>
      </w:r>
    </w:p>
    <w:p w14:paraId="13D259B3" w14:textId="77777777" w:rsidR="001564C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Borrego-Ruiz A, Borrego JJ. The gut microbiome in human obesity: a comprehensive review. </w:t>
      </w:r>
      <w:r w:rsidRPr="008D02B6">
        <w:rPr>
          <w:rFonts w:ascii="Arial" w:eastAsia="Times New Roman" w:hAnsi="Arial" w:cs="Arial"/>
          <w:bCs/>
          <w:i/>
          <w:iCs/>
          <w:lang w:eastAsia="pt-BR"/>
        </w:rPr>
        <w:t>Biomedicines</w:t>
      </w:r>
      <w:r w:rsidRPr="008D02B6">
        <w:rPr>
          <w:rFonts w:ascii="Arial" w:eastAsia="Times New Roman" w:hAnsi="Arial" w:cs="Arial"/>
          <w:bCs/>
          <w:lang w:eastAsia="pt-BR"/>
        </w:rPr>
        <w:t>. 2025;13(9):2173. doi:10.3390/biomedicines13092173</w:t>
      </w:r>
    </w:p>
    <w:p w14:paraId="2CA2F3F4" w14:textId="77777777" w:rsidR="001564C6" w:rsidRPr="008D02B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Ardura-Garcia C, Curtis N, Zimmermann P. Systematic review of the impact of intestinal microbiota on vaccine responses. </w:t>
      </w:r>
      <w:r w:rsidRPr="008D02B6">
        <w:rPr>
          <w:rFonts w:ascii="Arial" w:eastAsia="Times New Roman" w:hAnsi="Arial" w:cs="Arial"/>
          <w:bCs/>
          <w:i/>
          <w:iCs/>
          <w:lang w:eastAsia="pt-BR"/>
        </w:rPr>
        <w:t>NPJ Vaccines</w:t>
      </w:r>
      <w:r w:rsidRPr="008D02B6">
        <w:rPr>
          <w:rFonts w:ascii="Arial" w:eastAsia="Times New Roman" w:hAnsi="Arial" w:cs="Arial"/>
          <w:bCs/>
          <w:lang w:eastAsia="pt-BR"/>
        </w:rPr>
        <w:t>. 2024;9:254. doi:10.1038/s41541-024-01000-0</w:t>
      </w:r>
    </w:p>
    <w:p w14:paraId="4C315439" w14:textId="70B36126" w:rsidR="00E50666" w:rsidRDefault="00E50666" w:rsidP="00E50666">
      <w:pPr>
        <w:pStyle w:val="ListParagraph"/>
        <w:numPr>
          <w:ilvl w:val="0"/>
          <w:numId w:val="7"/>
        </w:numPr>
        <w:spacing w:before="100" w:beforeAutospacing="1" w:after="100" w:afterAutospacing="1" w:line="360" w:lineRule="auto"/>
        <w:jc w:val="both"/>
        <w:rPr>
          <w:rFonts w:ascii="Arial" w:eastAsia="Times New Roman" w:hAnsi="Arial" w:cs="Arial"/>
          <w:bCs/>
          <w:lang w:eastAsia="pt-BR"/>
        </w:rPr>
      </w:pPr>
      <w:r w:rsidRPr="008D02B6">
        <w:rPr>
          <w:rFonts w:ascii="Arial" w:eastAsia="Times New Roman" w:hAnsi="Arial" w:cs="Arial"/>
          <w:bCs/>
          <w:lang w:eastAsia="pt-BR"/>
        </w:rPr>
        <w:t xml:space="preserve">Gough KL, Dando SJ, Teasdale SL, Feigl B, Huygens F, Pelzer ES. Gut-associated metabolites and diabetes pathology: a systematic review. </w:t>
      </w:r>
      <w:r w:rsidRPr="008D02B6">
        <w:rPr>
          <w:rFonts w:ascii="Arial" w:eastAsia="Times New Roman" w:hAnsi="Arial" w:cs="Arial"/>
          <w:bCs/>
          <w:i/>
          <w:iCs/>
          <w:lang w:eastAsia="pt-BR"/>
        </w:rPr>
        <w:t>Front Endocrinol</w:t>
      </w:r>
      <w:r w:rsidRPr="008D02B6">
        <w:rPr>
          <w:rFonts w:ascii="Arial" w:eastAsia="Times New Roman" w:hAnsi="Arial" w:cs="Arial"/>
          <w:bCs/>
          <w:lang w:eastAsia="pt-BR"/>
        </w:rPr>
        <w:t>. 2025;16:1559638. doi:10.3389/fendo.2025.1559638</w:t>
      </w:r>
    </w:p>
    <w:p w14:paraId="15635BAB" w14:textId="208930E7" w:rsidR="00570673" w:rsidRPr="00ED0852" w:rsidRDefault="00ED0852" w:rsidP="00257EA1">
      <w:pPr>
        <w:pStyle w:val="ListParagraph"/>
        <w:numPr>
          <w:ilvl w:val="0"/>
          <w:numId w:val="7"/>
        </w:numPr>
        <w:spacing w:before="100" w:beforeAutospacing="1" w:after="100" w:afterAutospacing="1" w:line="360" w:lineRule="auto"/>
        <w:jc w:val="both"/>
        <w:rPr>
          <w:rFonts w:ascii="Arial" w:eastAsia="Times New Roman" w:hAnsi="Arial" w:cs="Arial"/>
          <w:sz w:val="20"/>
          <w:szCs w:val="20"/>
          <w:lang w:eastAsia="pt-BR"/>
        </w:rPr>
      </w:pPr>
      <w:r w:rsidRPr="00ED0852">
        <w:rPr>
          <w:rFonts w:ascii="Arial" w:eastAsia="Times New Roman" w:hAnsi="Arial" w:cs="Arial"/>
          <w:bCs/>
          <w:lang w:eastAsia="pt-BR"/>
        </w:rPr>
        <w:t xml:space="preserve">McCallum, G., &amp; Tropini, C. (2024). The gut microbiota and its biogeography. Nature Reviews Microbiology, 22(2), 105-118.   </w:t>
      </w:r>
    </w:p>
    <w:p w14:paraId="648AD96C" w14:textId="2133B915" w:rsidR="00ED0852" w:rsidRDefault="00ED0852" w:rsidP="00257EA1">
      <w:pPr>
        <w:pStyle w:val="ListParagraph"/>
        <w:numPr>
          <w:ilvl w:val="0"/>
          <w:numId w:val="7"/>
        </w:numPr>
        <w:spacing w:before="100" w:beforeAutospacing="1" w:after="100" w:afterAutospacing="1" w:line="360" w:lineRule="auto"/>
        <w:jc w:val="both"/>
        <w:rPr>
          <w:rFonts w:ascii="Arial" w:eastAsia="Times New Roman" w:hAnsi="Arial" w:cs="Arial"/>
          <w:sz w:val="20"/>
          <w:szCs w:val="20"/>
          <w:lang w:eastAsia="pt-BR"/>
        </w:rPr>
      </w:pPr>
      <w:r w:rsidRPr="00ED0852">
        <w:rPr>
          <w:rFonts w:ascii="Arial" w:eastAsia="Times New Roman" w:hAnsi="Arial" w:cs="Arial"/>
          <w:sz w:val="20"/>
          <w:szCs w:val="20"/>
          <w:lang w:eastAsia="pt-BR"/>
        </w:rPr>
        <w:t>Zhu, Y., Chen, B., Zhang, X., Akbar, M. T., Wu, T., Zhang, Y., ... &amp; Shen, Q. (2024). Exploration of the muribaculaceae family in the gut microbiota: diversity, metabolism, and function. Nutrients, 16(16), 2660.</w:t>
      </w:r>
      <w:r>
        <w:rPr>
          <w:rFonts w:ascii="Arial" w:eastAsia="Times New Roman" w:hAnsi="Arial" w:cs="Arial"/>
          <w:sz w:val="20"/>
          <w:szCs w:val="20"/>
          <w:lang w:eastAsia="pt-BR"/>
        </w:rPr>
        <w:t xml:space="preserve">  </w:t>
      </w:r>
    </w:p>
    <w:p w14:paraId="23D51CB7" w14:textId="164580CC" w:rsidR="00ED0852" w:rsidRDefault="00ED0852" w:rsidP="00257EA1">
      <w:pPr>
        <w:pStyle w:val="ListParagraph"/>
        <w:numPr>
          <w:ilvl w:val="0"/>
          <w:numId w:val="7"/>
        </w:numPr>
        <w:spacing w:before="100" w:beforeAutospacing="1" w:after="100" w:afterAutospacing="1" w:line="360" w:lineRule="auto"/>
        <w:jc w:val="both"/>
        <w:rPr>
          <w:rFonts w:ascii="Arial" w:eastAsia="Times New Roman" w:hAnsi="Arial" w:cs="Arial"/>
          <w:sz w:val="20"/>
          <w:szCs w:val="20"/>
          <w:lang w:eastAsia="pt-BR"/>
        </w:rPr>
      </w:pPr>
      <w:r w:rsidRPr="00ED0852">
        <w:rPr>
          <w:rFonts w:ascii="Arial" w:eastAsia="Times New Roman" w:hAnsi="Arial" w:cs="Arial"/>
          <w:sz w:val="20"/>
          <w:szCs w:val="20"/>
          <w:lang w:eastAsia="pt-BR"/>
        </w:rPr>
        <w:t>Liu, P., Liu, Z., Wang, J., Wang, J., Gao, M., Zhang, Y., ... &amp; Zhang, K. (2024). Immunoregulatory role of the gut microbiota in inflammatory depression. Nature communications, 15(1), 3003.</w:t>
      </w:r>
      <w:r>
        <w:rPr>
          <w:rFonts w:ascii="Arial" w:eastAsia="Times New Roman" w:hAnsi="Arial" w:cs="Arial"/>
          <w:sz w:val="20"/>
          <w:szCs w:val="20"/>
          <w:lang w:eastAsia="pt-BR"/>
        </w:rPr>
        <w:t xml:space="preserve">   </w:t>
      </w:r>
    </w:p>
    <w:p w14:paraId="1FC075EE" w14:textId="5CCF7328" w:rsidR="00570673" w:rsidRPr="00ED0852" w:rsidRDefault="00ED0852" w:rsidP="00D8549B">
      <w:pPr>
        <w:pStyle w:val="ListParagraph"/>
        <w:numPr>
          <w:ilvl w:val="0"/>
          <w:numId w:val="7"/>
        </w:numPr>
        <w:spacing w:before="100" w:beforeAutospacing="1" w:after="100" w:afterAutospacing="1" w:line="360" w:lineRule="auto"/>
        <w:ind w:firstLine="360"/>
        <w:jc w:val="both"/>
        <w:rPr>
          <w:rFonts w:ascii="Arial" w:eastAsia="Times New Roman" w:hAnsi="Arial" w:cs="Arial"/>
          <w:sz w:val="20"/>
          <w:szCs w:val="20"/>
          <w:lang w:eastAsia="pt-BR"/>
        </w:rPr>
      </w:pPr>
      <w:r w:rsidRPr="00ED0852">
        <w:rPr>
          <w:rFonts w:ascii="Arial" w:eastAsia="Times New Roman" w:hAnsi="Arial" w:cs="Arial"/>
          <w:sz w:val="20"/>
          <w:szCs w:val="20"/>
          <w:lang w:eastAsia="pt-BR"/>
        </w:rPr>
        <w:t xml:space="preserve">Muraleedharan, A., &amp; Ray, S. K. (2024). Epigallocatechin-3-gallate and genistein for decreasing gut dysbiosis, inhibiting inflammasomes, and aiding autophagy in Alzheimer’s disease. Brain sciences, 14(1), 96.   </w:t>
      </w:r>
    </w:p>
    <w:p w14:paraId="3578F7E4" w14:textId="77777777" w:rsidR="00570673" w:rsidRPr="008C3E1C" w:rsidRDefault="00570673" w:rsidP="00570673">
      <w:pPr>
        <w:spacing w:before="100" w:beforeAutospacing="1" w:after="100" w:afterAutospacing="1" w:line="360" w:lineRule="auto"/>
        <w:jc w:val="both"/>
        <w:rPr>
          <w:rFonts w:ascii="Arial" w:eastAsia="Times New Roman" w:hAnsi="Arial" w:cs="Arial"/>
          <w:sz w:val="20"/>
          <w:szCs w:val="20"/>
          <w:lang w:eastAsia="pt-BR"/>
        </w:rPr>
      </w:pPr>
    </w:p>
    <w:p w14:paraId="7CCAA3CA" w14:textId="77777777" w:rsidR="00570673" w:rsidRPr="008C3E1C" w:rsidRDefault="00570673" w:rsidP="00570673">
      <w:pPr>
        <w:spacing w:before="100" w:beforeAutospacing="1" w:after="100" w:afterAutospacing="1" w:line="360" w:lineRule="auto"/>
        <w:ind w:firstLine="708"/>
        <w:jc w:val="both"/>
        <w:rPr>
          <w:rFonts w:ascii="Arial" w:eastAsia="Times New Roman" w:hAnsi="Arial" w:cs="Arial"/>
          <w:sz w:val="20"/>
          <w:szCs w:val="20"/>
          <w:lang w:eastAsia="pt-BR"/>
        </w:rPr>
      </w:pPr>
    </w:p>
    <w:p w14:paraId="04FA84E8" w14:textId="77777777" w:rsidR="00570673" w:rsidRPr="008C3E1C" w:rsidRDefault="00570673" w:rsidP="00570673">
      <w:pPr>
        <w:spacing w:line="360" w:lineRule="auto"/>
        <w:ind w:left="708"/>
        <w:jc w:val="both"/>
        <w:rPr>
          <w:rFonts w:ascii="Arial" w:hAnsi="Arial" w:cs="Arial"/>
          <w:b/>
          <w:bCs/>
          <w:sz w:val="18"/>
          <w:szCs w:val="18"/>
          <w:lang w:val="en-US"/>
        </w:rPr>
      </w:pPr>
    </w:p>
    <w:p w14:paraId="19C969F6" w14:textId="77777777" w:rsidR="00570673" w:rsidRPr="008C3E1C" w:rsidRDefault="00570673" w:rsidP="00570673">
      <w:pPr>
        <w:spacing w:line="360" w:lineRule="auto"/>
        <w:ind w:left="708"/>
        <w:jc w:val="both"/>
        <w:rPr>
          <w:rFonts w:ascii="Arial" w:hAnsi="Arial" w:cs="Arial"/>
          <w:sz w:val="20"/>
          <w:szCs w:val="20"/>
        </w:rPr>
      </w:pPr>
    </w:p>
    <w:p w14:paraId="5EF2C640" w14:textId="77777777" w:rsidR="00570673" w:rsidRPr="008C3E1C" w:rsidRDefault="00570673" w:rsidP="00570673">
      <w:pPr>
        <w:spacing w:line="360" w:lineRule="auto"/>
        <w:jc w:val="both"/>
        <w:rPr>
          <w:rFonts w:ascii="Arial" w:hAnsi="Arial" w:cs="Arial"/>
          <w:b/>
          <w:bCs/>
          <w:sz w:val="24"/>
          <w:szCs w:val="24"/>
        </w:rPr>
      </w:pPr>
    </w:p>
    <w:p w14:paraId="22AC74D2" w14:textId="77777777" w:rsidR="00570673" w:rsidRPr="008C3E1C" w:rsidRDefault="00570673" w:rsidP="00570673">
      <w:pPr>
        <w:rPr>
          <w:rFonts w:ascii="Arial" w:hAnsi="Arial" w:cs="Arial"/>
        </w:rPr>
      </w:pPr>
    </w:p>
    <w:p w14:paraId="4D0A6186" w14:textId="77777777" w:rsidR="00570673" w:rsidRPr="008C3E1C" w:rsidRDefault="00570673" w:rsidP="00570673">
      <w:pPr>
        <w:rPr>
          <w:rFonts w:ascii="Arial" w:hAnsi="Arial" w:cs="Arial"/>
        </w:rPr>
      </w:pPr>
    </w:p>
    <w:p w14:paraId="6CC4B646" w14:textId="77777777" w:rsidR="0090595C" w:rsidRDefault="0090595C"/>
    <w:sectPr w:rsidR="0090595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5E47" w14:textId="77777777" w:rsidR="00AC4B6F" w:rsidRDefault="00AC4B6F" w:rsidP="008E5FC6">
      <w:pPr>
        <w:spacing w:after="0" w:line="240" w:lineRule="auto"/>
      </w:pPr>
      <w:r>
        <w:separator/>
      </w:r>
    </w:p>
  </w:endnote>
  <w:endnote w:type="continuationSeparator" w:id="0">
    <w:p w14:paraId="4EA8177C" w14:textId="77777777" w:rsidR="00AC4B6F" w:rsidRDefault="00AC4B6F" w:rsidP="008E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F03A7" w14:textId="77777777" w:rsidR="008E5FC6" w:rsidRDefault="008E5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558D" w14:textId="77777777" w:rsidR="008E5FC6" w:rsidRDefault="008E5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4E62" w14:textId="77777777" w:rsidR="008E5FC6" w:rsidRDefault="008E5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701AA" w14:textId="77777777" w:rsidR="00AC4B6F" w:rsidRDefault="00AC4B6F" w:rsidP="008E5FC6">
      <w:pPr>
        <w:spacing w:after="0" w:line="240" w:lineRule="auto"/>
      </w:pPr>
      <w:r>
        <w:separator/>
      </w:r>
    </w:p>
  </w:footnote>
  <w:footnote w:type="continuationSeparator" w:id="0">
    <w:p w14:paraId="5778D48E" w14:textId="77777777" w:rsidR="00AC4B6F" w:rsidRDefault="00AC4B6F" w:rsidP="008E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4C00F" w14:textId="73C56A7C" w:rsidR="008E5FC6" w:rsidRDefault="008E5FC6">
    <w:pPr>
      <w:pStyle w:val="Header"/>
    </w:pPr>
    <w:r>
      <w:rPr>
        <w:noProof/>
      </w:rPr>
      <w:pict w14:anchorId="3F532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29172"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2E9C" w14:textId="0ED816B8" w:rsidR="008E5FC6" w:rsidRDefault="008E5FC6">
    <w:pPr>
      <w:pStyle w:val="Header"/>
    </w:pPr>
    <w:r>
      <w:rPr>
        <w:noProof/>
      </w:rPr>
      <w:pict w14:anchorId="40F4E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29173" o:spid="_x0000_s2051"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0990" w14:textId="5022D0AD" w:rsidR="008E5FC6" w:rsidRDefault="008E5FC6">
    <w:pPr>
      <w:pStyle w:val="Header"/>
    </w:pPr>
    <w:r>
      <w:rPr>
        <w:noProof/>
      </w:rPr>
      <w:pict w14:anchorId="03222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29171"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97B"/>
    <w:multiLevelType w:val="multilevel"/>
    <w:tmpl w:val="617A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7531B"/>
    <w:multiLevelType w:val="hybridMultilevel"/>
    <w:tmpl w:val="021E9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3F38A9"/>
    <w:multiLevelType w:val="multilevel"/>
    <w:tmpl w:val="B16C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4F2677"/>
    <w:multiLevelType w:val="multilevel"/>
    <w:tmpl w:val="C98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44798"/>
    <w:multiLevelType w:val="multilevel"/>
    <w:tmpl w:val="BFA0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AE389F"/>
    <w:multiLevelType w:val="multilevel"/>
    <w:tmpl w:val="D15C3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DW1NDYxMrcwMDNW0lEKTi0uzszPAykwrAUAXRxRmywAAAA="/>
  </w:docVars>
  <w:rsids>
    <w:rsidRoot w:val="0090595C"/>
    <w:rsid w:val="001564C6"/>
    <w:rsid w:val="002F16B5"/>
    <w:rsid w:val="00570673"/>
    <w:rsid w:val="005A6CA1"/>
    <w:rsid w:val="005B660F"/>
    <w:rsid w:val="006F42BA"/>
    <w:rsid w:val="008233BB"/>
    <w:rsid w:val="00875ACA"/>
    <w:rsid w:val="008D02B6"/>
    <w:rsid w:val="008E5FC6"/>
    <w:rsid w:val="0090595C"/>
    <w:rsid w:val="009B6582"/>
    <w:rsid w:val="00AC378D"/>
    <w:rsid w:val="00AC4B6F"/>
    <w:rsid w:val="00D168CE"/>
    <w:rsid w:val="00DD709C"/>
    <w:rsid w:val="00E50666"/>
    <w:rsid w:val="00E97B35"/>
    <w:rsid w:val="00ED0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DBE664"/>
  <w15:chartTrackingRefBased/>
  <w15:docId w15:val="{A7DFBF0A-3474-479A-BE3C-1FD839FD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582"/>
  </w:style>
  <w:style w:type="paragraph" w:styleId="Heading2">
    <w:name w:val="heading 2"/>
    <w:basedOn w:val="Normal"/>
    <w:next w:val="Normal"/>
    <w:link w:val="Heading2Char"/>
    <w:qFormat/>
    <w:rsid w:val="00570673"/>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0673"/>
    <w:rPr>
      <w:rFonts w:ascii="Times New Roman" w:eastAsia="Times New Roman" w:hAnsi="Times New Roman" w:cs="Times New Roman"/>
      <w:b/>
      <w:bCs/>
      <w:color w:val="000000"/>
      <w:kern w:val="28"/>
      <w:sz w:val="24"/>
      <w:szCs w:val="24"/>
      <w:lang w:val="en-CA" w:eastAsia="en-CA"/>
    </w:rPr>
  </w:style>
  <w:style w:type="paragraph" w:styleId="ListParagraph">
    <w:name w:val="List Paragraph"/>
    <w:basedOn w:val="Normal"/>
    <w:uiPriority w:val="34"/>
    <w:qFormat/>
    <w:rsid w:val="00570673"/>
    <w:pPr>
      <w:ind w:left="720"/>
      <w:contextualSpacing/>
    </w:pPr>
  </w:style>
  <w:style w:type="paragraph" w:styleId="Header">
    <w:name w:val="header"/>
    <w:basedOn w:val="Normal"/>
    <w:link w:val="HeaderChar"/>
    <w:rsid w:val="00570673"/>
    <w:pPr>
      <w:tabs>
        <w:tab w:val="center" w:pos="4320"/>
        <w:tab w:val="right" w:pos="8640"/>
      </w:tabs>
      <w:spacing w:after="0" w:line="240" w:lineRule="auto"/>
    </w:pPr>
    <w:rPr>
      <w:rFonts w:ascii="Garamond" w:eastAsia="Times New Roman" w:hAnsi="Garamond" w:cs="Times New Roman"/>
      <w:color w:val="008000"/>
      <w:w w:val="120"/>
      <w:sz w:val="24"/>
      <w:szCs w:val="24"/>
      <w:lang w:val="en-CA"/>
    </w:rPr>
  </w:style>
  <w:style w:type="character" w:customStyle="1" w:styleId="HeaderChar">
    <w:name w:val="Header Char"/>
    <w:basedOn w:val="DefaultParagraphFont"/>
    <w:link w:val="Header"/>
    <w:rsid w:val="00570673"/>
    <w:rPr>
      <w:rFonts w:ascii="Garamond" w:eastAsia="Times New Roman" w:hAnsi="Garamond" w:cs="Times New Roman"/>
      <w:color w:val="008000"/>
      <w:w w:val="120"/>
      <w:sz w:val="24"/>
      <w:szCs w:val="24"/>
      <w:lang w:val="en-CA"/>
    </w:rPr>
  </w:style>
  <w:style w:type="character" w:styleId="Hyperlink">
    <w:name w:val="Hyperlink"/>
    <w:basedOn w:val="DefaultParagraphFont"/>
    <w:uiPriority w:val="99"/>
    <w:unhideWhenUsed/>
    <w:rsid w:val="00DD709C"/>
    <w:rPr>
      <w:color w:val="0563C1" w:themeColor="hyperlink"/>
      <w:u w:val="single"/>
    </w:rPr>
  </w:style>
  <w:style w:type="character" w:styleId="UnresolvedMention">
    <w:name w:val="Unresolved Mention"/>
    <w:basedOn w:val="DefaultParagraphFont"/>
    <w:uiPriority w:val="99"/>
    <w:semiHidden/>
    <w:unhideWhenUsed/>
    <w:rsid w:val="00DD709C"/>
    <w:rPr>
      <w:color w:val="605E5C"/>
      <w:shd w:val="clear" w:color="auto" w:fill="E1DFDD"/>
    </w:rPr>
  </w:style>
  <w:style w:type="paragraph" w:styleId="Footer">
    <w:name w:val="footer"/>
    <w:basedOn w:val="Normal"/>
    <w:link w:val="FooterChar"/>
    <w:uiPriority w:val="99"/>
    <w:unhideWhenUsed/>
    <w:rsid w:val="008E5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83130">
      <w:bodyDiv w:val="1"/>
      <w:marLeft w:val="0"/>
      <w:marRight w:val="0"/>
      <w:marTop w:val="0"/>
      <w:marBottom w:val="0"/>
      <w:divBdr>
        <w:top w:val="none" w:sz="0" w:space="0" w:color="auto"/>
        <w:left w:val="none" w:sz="0" w:space="0" w:color="auto"/>
        <w:bottom w:val="none" w:sz="0" w:space="0" w:color="auto"/>
        <w:right w:val="none" w:sz="0" w:space="0" w:color="auto"/>
      </w:divBdr>
    </w:div>
    <w:div w:id="1459959001">
      <w:bodyDiv w:val="1"/>
      <w:marLeft w:val="0"/>
      <w:marRight w:val="0"/>
      <w:marTop w:val="0"/>
      <w:marBottom w:val="0"/>
      <w:divBdr>
        <w:top w:val="none" w:sz="0" w:space="0" w:color="auto"/>
        <w:left w:val="none" w:sz="0" w:space="0" w:color="auto"/>
        <w:bottom w:val="none" w:sz="0" w:space="0" w:color="auto"/>
        <w:right w:val="none" w:sz="0" w:space="0" w:color="auto"/>
      </w:divBdr>
    </w:div>
    <w:div w:id="1566840999">
      <w:bodyDiv w:val="1"/>
      <w:marLeft w:val="0"/>
      <w:marRight w:val="0"/>
      <w:marTop w:val="0"/>
      <w:marBottom w:val="0"/>
      <w:divBdr>
        <w:top w:val="none" w:sz="0" w:space="0" w:color="auto"/>
        <w:left w:val="none" w:sz="0" w:space="0" w:color="auto"/>
        <w:bottom w:val="none" w:sz="0" w:space="0" w:color="auto"/>
        <w:right w:val="none" w:sz="0" w:space="0" w:color="auto"/>
      </w:divBdr>
    </w:div>
    <w:div w:id="1750419807">
      <w:bodyDiv w:val="1"/>
      <w:marLeft w:val="0"/>
      <w:marRight w:val="0"/>
      <w:marTop w:val="0"/>
      <w:marBottom w:val="0"/>
      <w:divBdr>
        <w:top w:val="none" w:sz="0" w:space="0" w:color="auto"/>
        <w:left w:val="none" w:sz="0" w:space="0" w:color="auto"/>
        <w:bottom w:val="none" w:sz="0" w:space="0" w:color="auto"/>
        <w:right w:val="none" w:sz="0" w:space="0" w:color="auto"/>
      </w:divBdr>
    </w:div>
    <w:div w:id="1832939802">
      <w:bodyDiv w:val="1"/>
      <w:marLeft w:val="0"/>
      <w:marRight w:val="0"/>
      <w:marTop w:val="0"/>
      <w:marBottom w:val="0"/>
      <w:divBdr>
        <w:top w:val="none" w:sz="0" w:space="0" w:color="auto"/>
        <w:left w:val="none" w:sz="0" w:space="0" w:color="auto"/>
        <w:bottom w:val="none" w:sz="0" w:space="0" w:color="auto"/>
        <w:right w:val="none" w:sz="0" w:space="0" w:color="auto"/>
      </w:divBdr>
    </w:div>
    <w:div w:id="1869371646">
      <w:bodyDiv w:val="1"/>
      <w:marLeft w:val="0"/>
      <w:marRight w:val="0"/>
      <w:marTop w:val="0"/>
      <w:marBottom w:val="0"/>
      <w:divBdr>
        <w:top w:val="none" w:sz="0" w:space="0" w:color="auto"/>
        <w:left w:val="none" w:sz="0" w:space="0" w:color="auto"/>
        <w:bottom w:val="none" w:sz="0" w:space="0" w:color="auto"/>
        <w:right w:val="none" w:sz="0" w:space="0" w:color="auto"/>
      </w:divBdr>
    </w:div>
    <w:div w:id="1984000715">
      <w:bodyDiv w:val="1"/>
      <w:marLeft w:val="0"/>
      <w:marRight w:val="0"/>
      <w:marTop w:val="0"/>
      <w:marBottom w:val="0"/>
      <w:divBdr>
        <w:top w:val="none" w:sz="0" w:space="0" w:color="auto"/>
        <w:left w:val="none" w:sz="0" w:space="0" w:color="auto"/>
        <w:bottom w:val="none" w:sz="0" w:space="0" w:color="auto"/>
        <w:right w:val="none" w:sz="0" w:space="0" w:color="auto"/>
      </w:divBdr>
    </w:div>
    <w:div w:id="2022316058">
      <w:bodyDiv w:val="1"/>
      <w:marLeft w:val="0"/>
      <w:marRight w:val="0"/>
      <w:marTop w:val="0"/>
      <w:marBottom w:val="0"/>
      <w:divBdr>
        <w:top w:val="none" w:sz="0" w:space="0" w:color="auto"/>
        <w:left w:val="none" w:sz="0" w:space="0" w:color="auto"/>
        <w:bottom w:val="none" w:sz="0" w:space="0" w:color="auto"/>
        <w:right w:val="none" w:sz="0" w:space="0" w:color="auto"/>
      </w:divBdr>
    </w:div>
    <w:div w:id="21101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13</Pages>
  <Words>4121</Words>
  <Characters>23493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1084</cp:lastModifiedBy>
  <cp:revision>13</cp:revision>
  <dcterms:created xsi:type="dcterms:W3CDTF">2025-09-23T21:19:00Z</dcterms:created>
  <dcterms:modified xsi:type="dcterms:W3CDTF">2025-11-14T13:18:00Z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613ece4d-3df6-434e-81f6-6c2f1d0ea8a4</vt:lpwstr>
  </property>
</Properties>
</file>