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64154" w14:textId="77777777" w:rsidR="00620B15" w:rsidRPr="00FB472F" w:rsidRDefault="00620B15" w:rsidP="00B46DB3">
      <w:pPr>
        <w:jc w:val="center"/>
        <w:rPr>
          <w:rFonts w:ascii="Times New Roman" w:hAnsi="Times New Roman" w:cs="Times New Roman"/>
          <w:b/>
          <w:bCs/>
          <w:sz w:val="28"/>
          <w:szCs w:val="24"/>
        </w:rPr>
      </w:pPr>
      <w:r w:rsidRPr="00FB472F">
        <w:rPr>
          <w:rFonts w:ascii="Times New Roman" w:hAnsi="Times New Roman" w:cs="Times New Roman"/>
          <w:b/>
          <w:bCs/>
          <w:sz w:val="28"/>
          <w:szCs w:val="24"/>
        </w:rPr>
        <w:t>Comparative Analysis of Nutritional Composition and Metabolic Profiles in Diverse Field Pea Genotypes</w:t>
      </w:r>
    </w:p>
    <w:p w14:paraId="004853C9" w14:textId="59B10445" w:rsidR="00A55ABB" w:rsidRDefault="00A55ABB" w:rsidP="000A1F85">
      <w:pPr>
        <w:jc w:val="center"/>
        <w:rPr>
          <w:rFonts w:ascii="Times New Roman" w:hAnsi="Times New Roman" w:cs="Times New Roman"/>
          <w:b/>
          <w:bCs/>
          <w:sz w:val="28"/>
          <w:szCs w:val="28"/>
        </w:rPr>
      </w:pPr>
    </w:p>
    <w:p w14:paraId="76FDB5B0" w14:textId="77777777" w:rsidR="00490B44" w:rsidRPr="00FB472F" w:rsidRDefault="00490B44" w:rsidP="000A1F85">
      <w:pPr>
        <w:jc w:val="center"/>
        <w:rPr>
          <w:rFonts w:ascii="Times New Roman" w:hAnsi="Times New Roman" w:cs="Times New Roman"/>
          <w:b/>
          <w:bCs/>
          <w:sz w:val="28"/>
          <w:szCs w:val="28"/>
        </w:rPr>
      </w:pPr>
    </w:p>
    <w:p w14:paraId="795F2C8B" w14:textId="318EAF46" w:rsidR="005E3974" w:rsidRPr="00FB472F" w:rsidRDefault="00505D57">
      <w:pPr>
        <w:rPr>
          <w:rFonts w:ascii="Times New Roman" w:hAnsi="Times New Roman" w:cs="Times New Roman"/>
          <w:b/>
          <w:bCs/>
          <w:sz w:val="28"/>
          <w:szCs w:val="24"/>
          <w:lang w:val="en-US"/>
        </w:rPr>
      </w:pPr>
      <w:r w:rsidRPr="00FB472F">
        <w:rPr>
          <w:rFonts w:ascii="Times New Roman" w:hAnsi="Times New Roman" w:cs="Times New Roman"/>
          <w:b/>
          <w:bCs/>
          <w:sz w:val="28"/>
          <w:szCs w:val="24"/>
          <w:lang w:val="en-US"/>
        </w:rPr>
        <w:t xml:space="preserve">Abstract </w:t>
      </w:r>
    </w:p>
    <w:p w14:paraId="7CBAA28F" w14:textId="546BAE1E" w:rsidR="00BA6A84" w:rsidRPr="00FB472F" w:rsidRDefault="003B7A6F"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growing interest in field peas is largely due to their nutritional value and health-promoting properties. Typically, peas are processed by dehulling, splitting, and grinding into </w:t>
      </w:r>
      <w:r w:rsidR="00CE46E5" w:rsidRPr="00FB472F">
        <w:rPr>
          <w:rFonts w:ascii="Times New Roman" w:hAnsi="Times New Roman" w:cs="Times New Roman"/>
          <w:sz w:val="24"/>
          <w:szCs w:val="22"/>
        </w:rPr>
        <w:t>dal</w:t>
      </w:r>
      <w:r w:rsidRPr="00FB472F">
        <w:rPr>
          <w:rFonts w:ascii="Times New Roman" w:hAnsi="Times New Roman" w:cs="Times New Roman"/>
          <w:sz w:val="24"/>
          <w:szCs w:val="22"/>
        </w:rPr>
        <w:t xml:space="preserve"> </w:t>
      </w:r>
      <w:r w:rsidR="000A1F85" w:rsidRPr="00FB472F">
        <w:rPr>
          <w:rFonts w:ascii="Times New Roman" w:hAnsi="Times New Roman" w:cs="Times New Roman"/>
          <w:sz w:val="24"/>
          <w:szCs w:val="22"/>
        </w:rPr>
        <w:t xml:space="preserve">or powder form prior to </w:t>
      </w:r>
      <w:r w:rsidRPr="00FB472F">
        <w:rPr>
          <w:rFonts w:ascii="Times New Roman" w:hAnsi="Times New Roman" w:cs="Times New Roman"/>
          <w:sz w:val="24"/>
          <w:szCs w:val="22"/>
        </w:rPr>
        <w:t>consumption. In this study, the impact of genotype, and their interaction was assessed in relation to</w:t>
      </w:r>
      <w:r w:rsidR="00CE46E5" w:rsidRPr="00FB472F">
        <w:rPr>
          <w:rFonts w:ascii="Times New Roman" w:hAnsi="Times New Roman" w:cs="Times New Roman"/>
          <w:sz w:val="24"/>
          <w:szCs w:val="22"/>
        </w:rPr>
        <w:t xml:space="preserve"> </w:t>
      </w:r>
      <w:r w:rsidR="000A1F85" w:rsidRPr="00FB472F">
        <w:rPr>
          <w:rFonts w:ascii="Times New Roman" w:hAnsi="Times New Roman" w:cs="Times New Roman"/>
          <w:sz w:val="24"/>
          <w:szCs w:val="22"/>
        </w:rPr>
        <w:t xml:space="preserve">milling performance (dal recovery) of </w:t>
      </w:r>
      <w:r w:rsidR="00CE46E5" w:rsidRPr="00FB472F">
        <w:rPr>
          <w:rFonts w:ascii="Times New Roman" w:hAnsi="Times New Roman" w:cs="Times New Roman"/>
          <w:sz w:val="24"/>
          <w:szCs w:val="22"/>
        </w:rPr>
        <w:t>field</w:t>
      </w:r>
      <w:r w:rsidRPr="00FB472F">
        <w:rPr>
          <w:rFonts w:ascii="Times New Roman" w:hAnsi="Times New Roman" w:cs="Times New Roman"/>
          <w:sz w:val="24"/>
          <w:szCs w:val="22"/>
        </w:rPr>
        <w:t xml:space="preserve"> pea</w:t>
      </w:r>
      <w:r w:rsidR="000A1F85" w:rsidRPr="00FB472F">
        <w:rPr>
          <w:rFonts w:ascii="Times New Roman" w:hAnsi="Times New Roman" w:cs="Times New Roman"/>
          <w:sz w:val="24"/>
          <w:szCs w:val="22"/>
        </w:rPr>
        <w:t>.</w:t>
      </w:r>
      <w:r w:rsidRPr="00FB472F">
        <w:rPr>
          <w:rFonts w:ascii="Times New Roman" w:hAnsi="Times New Roman" w:cs="Times New Roman"/>
          <w:sz w:val="24"/>
          <w:szCs w:val="22"/>
        </w:rPr>
        <w:t xml:space="preserve"> </w:t>
      </w:r>
      <w:r w:rsidR="000A1F85" w:rsidRPr="00FB472F">
        <w:rPr>
          <w:rFonts w:ascii="Times New Roman" w:hAnsi="Times New Roman" w:cs="Times New Roman"/>
          <w:sz w:val="24"/>
          <w:szCs w:val="22"/>
        </w:rPr>
        <w:t>B</w:t>
      </w:r>
      <w:r w:rsidR="00CE46E5" w:rsidRPr="00FB472F">
        <w:rPr>
          <w:rFonts w:ascii="Times New Roman" w:hAnsi="Times New Roman" w:cs="Times New Roman"/>
          <w:sz w:val="24"/>
          <w:szCs w:val="22"/>
        </w:rPr>
        <w:t>io</w:t>
      </w:r>
      <w:r w:rsidRPr="00FB472F">
        <w:rPr>
          <w:rFonts w:ascii="Times New Roman" w:hAnsi="Times New Roman" w:cs="Times New Roman"/>
          <w:sz w:val="24"/>
          <w:szCs w:val="22"/>
        </w:rPr>
        <w:t xml:space="preserve">chemical characteristics of the </w:t>
      </w:r>
      <w:r w:rsidR="000A1F85" w:rsidRPr="00FB472F">
        <w:rPr>
          <w:rFonts w:ascii="Times New Roman" w:hAnsi="Times New Roman" w:cs="Times New Roman"/>
          <w:sz w:val="24"/>
          <w:szCs w:val="22"/>
        </w:rPr>
        <w:t xml:space="preserve">whole grain, dehusked dal and milling byproduct and its fractions were </w:t>
      </w:r>
      <w:proofErr w:type="spellStart"/>
      <w:r w:rsidR="000A1F85" w:rsidRPr="00FB472F">
        <w:rPr>
          <w:rFonts w:ascii="Times New Roman" w:hAnsi="Times New Roman" w:cs="Times New Roman"/>
          <w:sz w:val="24"/>
          <w:szCs w:val="22"/>
        </w:rPr>
        <w:t>analyzed</w:t>
      </w:r>
      <w:proofErr w:type="spellEnd"/>
      <w:r w:rsidRPr="00FB472F">
        <w:rPr>
          <w:rFonts w:ascii="Times New Roman" w:hAnsi="Times New Roman" w:cs="Times New Roman"/>
          <w:sz w:val="24"/>
          <w:szCs w:val="22"/>
        </w:rPr>
        <w:t>. Three genotypes</w:t>
      </w:r>
      <w:r w:rsidR="00FA2281" w:rsidRPr="00FB472F">
        <w:rPr>
          <w:rFonts w:ascii="Times New Roman" w:hAnsi="Times New Roman" w:cs="Times New Roman"/>
          <w:sz w:val="24"/>
          <w:szCs w:val="22"/>
        </w:rPr>
        <w:t xml:space="preserve"> </w:t>
      </w:r>
      <w:r w:rsidRPr="00FB472F">
        <w:rPr>
          <w:rFonts w:ascii="Times New Roman" w:hAnsi="Times New Roman" w:cs="Times New Roman"/>
          <w:sz w:val="24"/>
          <w:szCs w:val="22"/>
        </w:rPr>
        <w:t>IPFD-99-13, IPF-5-19, and IPFD-1-10</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were examined for their biochemical diversity. The highest protein content (24.71%) was recorded in the</w:t>
      </w:r>
      <w:r w:rsidR="000A1F85" w:rsidRPr="00FB472F">
        <w:rPr>
          <w:rFonts w:ascii="Times New Roman" w:hAnsi="Times New Roman" w:cs="Times New Roman"/>
          <w:sz w:val="24"/>
          <w:szCs w:val="22"/>
        </w:rPr>
        <w:t xml:space="preserve"> powder fr</w:t>
      </w:r>
      <w:r w:rsidR="00BA6A84" w:rsidRPr="00FB472F">
        <w:rPr>
          <w:rFonts w:ascii="Times New Roman" w:hAnsi="Times New Roman" w:cs="Times New Roman"/>
          <w:sz w:val="24"/>
          <w:szCs w:val="22"/>
        </w:rPr>
        <w:t>action (</w:t>
      </w:r>
      <w:r w:rsidRPr="00FB472F">
        <w:rPr>
          <w:rFonts w:ascii="Times New Roman" w:hAnsi="Times New Roman" w:cs="Times New Roman"/>
          <w:sz w:val="24"/>
          <w:szCs w:val="22"/>
        </w:rPr>
        <w:t>&lt;0.25 mm</w:t>
      </w:r>
      <w:r w:rsidR="00BA6A84" w:rsidRPr="00FB472F">
        <w:rPr>
          <w:rFonts w:ascii="Times New Roman" w:hAnsi="Times New Roman" w:cs="Times New Roman"/>
          <w:sz w:val="24"/>
          <w:szCs w:val="22"/>
        </w:rPr>
        <w:t>)</w:t>
      </w:r>
      <w:r w:rsidRPr="00FB472F">
        <w:rPr>
          <w:rFonts w:ascii="Times New Roman" w:hAnsi="Times New Roman" w:cs="Times New Roman"/>
          <w:sz w:val="24"/>
          <w:szCs w:val="22"/>
        </w:rPr>
        <w:t xml:space="preserve"> </w:t>
      </w:r>
      <w:r w:rsidR="00BA6A84" w:rsidRPr="00FB472F">
        <w:rPr>
          <w:rFonts w:ascii="Times New Roman" w:hAnsi="Times New Roman" w:cs="Times New Roman"/>
          <w:sz w:val="24"/>
          <w:szCs w:val="22"/>
        </w:rPr>
        <w:t>extracted from milling byproduct</w:t>
      </w:r>
      <w:r w:rsidRPr="00FB472F">
        <w:rPr>
          <w:rFonts w:ascii="Times New Roman" w:hAnsi="Times New Roman" w:cs="Times New Roman"/>
          <w:sz w:val="24"/>
          <w:szCs w:val="22"/>
        </w:rPr>
        <w:t xml:space="preserve"> of IPF-5-19, while </w:t>
      </w:r>
      <w:r w:rsidR="00D92A06" w:rsidRPr="00FB472F">
        <w:rPr>
          <w:rFonts w:ascii="Times New Roman" w:hAnsi="Times New Roman" w:cs="Times New Roman"/>
          <w:sz w:val="24"/>
          <w:szCs w:val="22"/>
        </w:rPr>
        <w:t xml:space="preserve">powder fraction of </w:t>
      </w:r>
      <w:r w:rsidRPr="00FB472F">
        <w:rPr>
          <w:rFonts w:ascii="Times New Roman" w:hAnsi="Times New Roman" w:cs="Times New Roman"/>
          <w:sz w:val="24"/>
          <w:szCs w:val="22"/>
        </w:rPr>
        <w:t xml:space="preserve">IPFD-99-13 and IPFD-1-10 contained 19.43% and 24.05%, respectively. Conversely, the </w:t>
      </w:r>
      <w:r w:rsidR="00BA6A84" w:rsidRPr="00FB472F">
        <w:rPr>
          <w:rFonts w:ascii="Times New Roman" w:hAnsi="Times New Roman" w:cs="Times New Roman"/>
          <w:sz w:val="24"/>
          <w:szCs w:val="22"/>
        </w:rPr>
        <w:t xml:space="preserve">highest </w:t>
      </w:r>
      <w:r w:rsidR="001B4EBB" w:rsidRPr="00FB472F">
        <w:rPr>
          <w:rFonts w:ascii="Times New Roman" w:hAnsi="Times New Roman" w:cs="Times New Roman"/>
          <w:sz w:val="24"/>
          <w:szCs w:val="22"/>
        </w:rPr>
        <w:t xml:space="preserve">total phenolic content </w:t>
      </w:r>
      <w:r w:rsidR="00BA6A84" w:rsidRPr="00FB472F">
        <w:rPr>
          <w:rFonts w:ascii="Times New Roman" w:hAnsi="Times New Roman" w:cs="Times New Roman"/>
          <w:sz w:val="24"/>
          <w:szCs w:val="22"/>
        </w:rPr>
        <w:t xml:space="preserve">and </w:t>
      </w:r>
      <w:r w:rsidR="001B4EBB" w:rsidRPr="00FB472F">
        <w:rPr>
          <w:rFonts w:ascii="Times New Roman" w:hAnsi="Times New Roman" w:cs="Times New Roman"/>
          <w:sz w:val="24"/>
          <w:szCs w:val="22"/>
        </w:rPr>
        <w:t xml:space="preserve">antioxidant activity </w:t>
      </w:r>
      <w:r w:rsidRPr="00FB472F">
        <w:rPr>
          <w:rFonts w:ascii="Times New Roman" w:hAnsi="Times New Roman" w:cs="Times New Roman"/>
          <w:sz w:val="24"/>
          <w:szCs w:val="22"/>
        </w:rPr>
        <w:t xml:space="preserve">was observed </w:t>
      </w:r>
      <w:r w:rsidR="00BA6A84" w:rsidRPr="00FB472F">
        <w:rPr>
          <w:rFonts w:ascii="Times New Roman" w:hAnsi="Times New Roman" w:cs="Times New Roman"/>
          <w:sz w:val="24"/>
          <w:szCs w:val="22"/>
        </w:rPr>
        <w:t xml:space="preserve">to be </w:t>
      </w:r>
      <w:r w:rsidR="001B4EBB" w:rsidRPr="00FB472F">
        <w:rPr>
          <w:rFonts w:ascii="Times New Roman" w:hAnsi="Times New Roman" w:cs="Times New Roman"/>
          <w:sz w:val="24"/>
          <w:szCs w:val="22"/>
        </w:rPr>
        <w:t xml:space="preserve">175.36 </w:t>
      </w:r>
      <w:proofErr w:type="spellStart"/>
      <w:r w:rsidR="001B4EBB" w:rsidRPr="00FB472F">
        <w:rPr>
          <w:rFonts w:ascii="Times New Roman" w:hAnsi="Times New Roman" w:cs="Times New Roman"/>
          <w:sz w:val="24"/>
          <w:szCs w:val="22"/>
        </w:rPr>
        <w:t>mgGAE</w:t>
      </w:r>
      <w:proofErr w:type="spellEnd"/>
      <w:r w:rsidR="001B4EBB" w:rsidRPr="00FB472F">
        <w:rPr>
          <w:rFonts w:ascii="Times New Roman" w:hAnsi="Times New Roman" w:cs="Times New Roman"/>
          <w:sz w:val="24"/>
          <w:szCs w:val="22"/>
        </w:rPr>
        <w:t>/100mg</w:t>
      </w:r>
      <w:r w:rsidR="00BA6A84" w:rsidRPr="00FB472F">
        <w:rPr>
          <w:rFonts w:ascii="Times New Roman" w:hAnsi="Times New Roman" w:cs="Times New Roman"/>
          <w:sz w:val="24"/>
          <w:szCs w:val="22"/>
        </w:rPr>
        <w:t xml:space="preserve"> and </w:t>
      </w:r>
      <w:r w:rsidR="001B4EBB" w:rsidRPr="00FB472F">
        <w:rPr>
          <w:rFonts w:ascii="Times New Roman" w:hAnsi="Times New Roman" w:cs="Times New Roman"/>
          <w:sz w:val="24"/>
          <w:szCs w:val="22"/>
        </w:rPr>
        <w:t xml:space="preserve">4.23 </w:t>
      </w:r>
      <w:proofErr w:type="spellStart"/>
      <w:r w:rsidR="001B4EBB" w:rsidRPr="00FB472F">
        <w:rPr>
          <w:rFonts w:ascii="Times New Roman" w:hAnsi="Times New Roman" w:cs="Times New Roman"/>
          <w:sz w:val="24"/>
          <w:szCs w:val="22"/>
        </w:rPr>
        <w:t>mmole</w:t>
      </w:r>
      <w:proofErr w:type="spellEnd"/>
      <w:r w:rsidR="001B4EBB" w:rsidRPr="00FB472F">
        <w:rPr>
          <w:rFonts w:ascii="Times New Roman" w:hAnsi="Times New Roman" w:cs="Times New Roman"/>
          <w:sz w:val="24"/>
          <w:szCs w:val="22"/>
        </w:rPr>
        <w:t xml:space="preserve"> TE/100 g</w:t>
      </w:r>
      <w:r w:rsidR="00BA6A84" w:rsidRPr="00FB472F">
        <w:rPr>
          <w:rFonts w:ascii="Times New Roman" w:hAnsi="Times New Roman" w:cs="Times New Roman"/>
          <w:sz w:val="24"/>
          <w:szCs w:val="22"/>
        </w:rPr>
        <w:t xml:space="preserve"> for </w:t>
      </w:r>
      <w:r w:rsidR="00D92A06" w:rsidRPr="00FB472F">
        <w:rPr>
          <w:rFonts w:ascii="Times New Roman" w:hAnsi="Times New Roman" w:cs="Times New Roman"/>
          <w:sz w:val="24"/>
          <w:szCs w:val="22"/>
        </w:rPr>
        <w:t xml:space="preserve">powder fraction of milling byproduct of </w:t>
      </w:r>
      <w:r w:rsidR="00BA6A84" w:rsidRPr="00FB472F">
        <w:rPr>
          <w:rFonts w:ascii="Times New Roman" w:hAnsi="Times New Roman" w:cs="Times New Roman"/>
          <w:sz w:val="24"/>
          <w:szCs w:val="22"/>
        </w:rPr>
        <w:t>IPFD-</w:t>
      </w:r>
      <w:r w:rsidR="001B4EBB" w:rsidRPr="00FB472F">
        <w:rPr>
          <w:rFonts w:ascii="Times New Roman" w:hAnsi="Times New Roman" w:cs="Times New Roman"/>
          <w:sz w:val="24"/>
          <w:szCs w:val="22"/>
        </w:rPr>
        <w:t>99</w:t>
      </w:r>
      <w:r w:rsidR="00BA6A84" w:rsidRPr="00FB472F">
        <w:rPr>
          <w:rFonts w:ascii="Times New Roman" w:hAnsi="Times New Roman" w:cs="Times New Roman"/>
          <w:sz w:val="24"/>
          <w:szCs w:val="22"/>
        </w:rPr>
        <w:t>-1</w:t>
      </w:r>
      <w:r w:rsidR="001B4EBB" w:rsidRPr="00FB472F">
        <w:rPr>
          <w:rFonts w:ascii="Times New Roman" w:hAnsi="Times New Roman" w:cs="Times New Roman"/>
          <w:sz w:val="24"/>
          <w:szCs w:val="22"/>
        </w:rPr>
        <w:t>3</w:t>
      </w:r>
      <w:r w:rsidR="00BA6A84" w:rsidRPr="00FB472F">
        <w:rPr>
          <w:rFonts w:ascii="Times New Roman" w:hAnsi="Times New Roman" w:cs="Times New Roman"/>
          <w:sz w:val="24"/>
          <w:szCs w:val="22"/>
        </w:rPr>
        <w:t>.</w:t>
      </w:r>
    </w:p>
    <w:p w14:paraId="36D6D076" w14:textId="7ED48786" w:rsidR="002D7B9D" w:rsidRPr="00FB472F" w:rsidRDefault="002D7B9D" w:rsidP="00CE46E5">
      <w:pPr>
        <w:spacing w:line="360" w:lineRule="auto"/>
        <w:jc w:val="both"/>
        <w:rPr>
          <w:rFonts w:ascii="Times New Roman" w:hAnsi="Times New Roman" w:cs="Times New Roman"/>
          <w:b/>
          <w:bCs/>
          <w:sz w:val="28"/>
          <w:szCs w:val="24"/>
          <w:lang w:val="en-US"/>
        </w:rPr>
      </w:pPr>
      <w:r w:rsidRPr="00FB472F">
        <w:rPr>
          <w:rFonts w:ascii="Times New Roman" w:hAnsi="Times New Roman" w:cs="Times New Roman"/>
          <w:b/>
          <w:bCs/>
          <w:sz w:val="24"/>
          <w:szCs w:val="22"/>
        </w:rPr>
        <w:t>Keywords:</w:t>
      </w:r>
      <w:r w:rsidRPr="00FB472F">
        <w:rPr>
          <w:rFonts w:ascii="Times New Roman" w:hAnsi="Times New Roman" w:cs="Times New Roman"/>
          <w:sz w:val="24"/>
          <w:szCs w:val="22"/>
        </w:rPr>
        <w:t xml:space="preserve"> Field pea</w:t>
      </w:r>
      <w:r w:rsidR="00CE46E5" w:rsidRPr="00FB472F">
        <w:rPr>
          <w:rFonts w:ascii="Times New Roman" w:hAnsi="Times New Roman" w:cs="Times New Roman"/>
          <w:sz w:val="24"/>
          <w:szCs w:val="22"/>
        </w:rPr>
        <w:t>,</w:t>
      </w:r>
      <w:r w:rsidRPr="00FB472F">
        <w:rPr>
          <w:rFonts w:ascii="Times New Roman" w:hAnsi="Times New Roman" w:cs="Times New Roman"/>
          <w:sz w:val="24"/>
          <w:szCs w:val="22"/>
        </w:rPr>
        <w:t xml:space="preserve"> milling</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splitting</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protein content</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consumption</w:t>
      </w:r>
      <w:r w:rsidR="00CE46E5" w:rsidRPr="00FB472F">
        <w:rPr>
          <w:rFonts w:ascii="Times New Roman" w:hAnsi="Times New Roman" w:cs="Times New Roman"/>
          <w:sz w:val="24"/>
          <w:szCs w:val="22"/>
        </w:rPr>
        <w:t>,</w:t>
      </w:r>
      <w:r w:rsidRPr="00FB472F">
        <w:rPr>
          <w:rFonts w:ascii="Times New Roman" w:hAnsi="Times New Roman" w:cs="Times New Roman"/>
          <w:sz w:val="24"/>
          <w:szCs w:val="22"/>
        </w:rPr>
        <w:t xml:space="preserve"> antioxidant activity</w:t>
      </w:r>
    </w:p>
    <w:p w14:paraId="64BAD7F1" w14:textId="0AC0EF62" w:rsidR="005E3974" w:rsidRPr="00FB472F" w:rsidRDefault="005E3974" w:rsidP="003E2A0A">
      <w:pPr>
        <w:pStyle w:val="ListParagraph"/>
        <w:numPr>
          <w:ilvl w:val="0"/>
          <w:numId w:val="3"/>
        </w:numPr>
        <w:spacing w:line="360" w:lineRule="auto"/>
        <w:ind w:left="284" w:hanging="284"/>
        <w:rPr>
          <w:rFonts w:ascii="Times New Roman" w:hAnsi="Times New Roman" w:cs="Times New Roman"/>
          <w:b/>
          <w:bCs/>
          <w:sz w:val="24"/>
          <w:szCs w:val="24"/>
          <w:lang w:val="en-US"/>
        </w:rPr>
      </w:pPr>
      <w:r w:rsidRPr="00FB472F">
        <w:rPr>
          <w:rFonts w:ascii="Times New Roman" w:hAnsi="Times New Roman" w:cs="Times New Roman"/>
          <w:b/>
          <w:bCs/>
          <w:sz w:val="24"/>
          <w:szCs w:val="24"/>
          <w:lang w:val="en-US"/>
        </w:rPr>
        <w:t>I</w:t>
      </w:r>
      <w:r w:rsidR="009F0876" w:rsidRPr="00FB472F">
        <w:rPr>
          <w:rFonts w:ascii="Times New Roman" w:hAnsi="Times New Roman" w:cs="Times New Roman"/>
          <w:b/>
          <w:bCs/>
          <w:sz w:val="24"/>
          <w:szCs w:val="24"/>
          <w:lang w:val="en-US"/>
        </w:rPr>
        <w:t>NTRODUCTION</w:t>
      </w:r>
    </w:p>
    <w:p w14:paraId="06EC79AC" w14:textId="5C72C8DD" w:rsidR="00F70D17" w:rsidRPr="00FB472F" w:rsidRDefault="00846BAC" w:rsidP="003E2A0A">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t>Legumes have played a vital role in human civilization and ecological balance, serving as a significant source of nourishment and environmental sustainability. Belonging to a large group that includes pulses and oilseeds, legumes contribute not only to human nutrition but also to soil fertility through their symbiotic relationship with Rhizobium bacteria, which fix atmospheric nitrogen and reduce fertilizer requirements (Tiwari</w:t>
      </w:r>
      <w:r w:rsidR="00471A74" w:rsidRPr="00FB472F">
        <w:rPr>
          <w:rFonts w:ascii="Times New Roman" w:hAnsi="Times New Roman" w:cs="Times New Roman"/>
          <w:sz w:val="24"/>
          <w:szCs w:val="24"/>
        </w:rPr>
        <w:t xml:space="preserve"> et al.</w:t>
      </w:r>
      <w:r w:rsidRPr="00FB472F">
        <w:rPr>
          <w:rFonts w:ascii="Times New Roman" w:hAnsi="Times New Roman" w:cs="Times New Roman"/>
          <w:sz w:val="24"/>
          <w:szCs w:val="24"/>
        </w:rPr>
        <w:t>, 2021). Regular consumption of legumes has been associated with numerous health benefits, including cholesterol reduction</w:t>
      </w:r>
      <w:r w:rsidR="008C66EC"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anticarcinogenic, antiatherogenic, and </w:t>
      </w:r>
      <w:r w:rsidR="009F3A88" w:rsidRPr="00FB472F">
        <w:rPr>
          <w:rFonts w:ascii="Times New Roman" w:hAnsi="Times New Roman" w:cs="Times New Roman"/>
          <w:sz w:val="24"/>
          <w:szCs w:val="24"/>
        </w:rPr>
        <w:t>hypoglycaemic</w:t>
      </w:r>
      <w:r w:rsidRPr="00FB472F">
        <w:rPr>
          <w:rFonts w:ascii="Times New Roman" w:hAnsi="Times New Roman" w:cs="Times New Roman"/>
          <w:sz w:val="24"/>
          <w:szCs w:val="24"/>
        </w:rPr>
        <w:t xml:space="preserve"> effects. These properties are primarily attributed to their diverse phytochemicals and antioxidant compounds (Singh et al., 2017). Among leguminous crops, field pea (</w:t>
      </w:r>
      <w:r w:rsidRPr="00FB472F">
        <w:rPr>
          <w:rFonts w:ascii="Times New Roman" w:hAnsi="Times New Roman" w:cs="Times New Roman"/>
          <w:i/>
          <w:iCs/>
          <w:sz w:val="24"/>
          <w:szCs w:val="24"/>
        </w:rPr>
        <w:t>Pisum sativum</w:t>
      </w:r>
      <w:r w:rsidRPr="00FB472F">
        <w:rPr>
          <w:rFonts w:ascii="Times New Roman" w:hAnsi="Times New Roman" w:cs="Times New Roman"/>
          <w:sz w:val="24"/>
          <w:szCs w:val="24"/>
        </w:rPr>
        <w:t xml:space="preserve"> L.) holds major global importance. It is cultivated in over 80 countries and accounts for approximately 36% of the world’s total pulse production (Dahl</w:t>
      </w:r>
      <w:r w:rsidR="008C66EC" w:rsidRPr="00FB472F">
        <w:rPr>
          <w:rFonts w:ascii="Times New Roman" w:hAnsi="Times New Roman" w:cs="Times New Roman"/>
          <w:sz w:val="24"/>
          <w:szCs w:val="24"/>
        </w:rPr>
        <w:t xml:space="preserve"> et al.,</w:t>
      </w:r>
      <w:r w:rsidRPr="00FB472F">
        <w:rPr>
          <w:rFonts w:ascii="Times New Roman" w:hAnsi="Times New Roman" w:cs="Times New Roman"/>
          <w:sz w:val="24"/>
          <w:szCs w:val="24"/>
        </w:rPr>
        <w:t xml:space="preserve"> 2012). In 2018, global dry pea production exceeded 13.5 million tonnes, with Canada, Russia, and China recognized as the leading producers, while </w:t>
      </w:r>
      <w:r w:rsidRPr="00FB472F">
        <w:rPr>
          <w:rFonts w:ascii="Times New Roman" w:hAnsi="Times New Roman" w:cs="Times New Roman"/>
          <w:sz w:val="24"/>
          <w:szCs w:val="24"/>
        </w:rPr>
        <w:lastRenderedPageBreak/>
        <w:t xml:space="preserve">Latvia contributed around 22,500 tonnes annually (FAOSTAT, 2020). Field pea seeds are nutritionally rich, containing about 20–25% protein, 40–50% starch, and 10–20% </w:t>
      </w:r>
      <w:r w:rsidR="009F3A88" w:rsidRPr="00FB472F">
        <w:rPr>
          <w:rFonts w:ascii="Times New Roman" w:hAnsi="Times New Roman" w:cs="Times New Roman"/>
          <w:sz w:val="24"/>
          <w:szCs w:val="24"/>
        </w:rPr>
        <w:t>fibres</w:t>
      </w:r>
      <w:r w:rsidRPr="00FB472F">
        <w:rPr>
          <w:rFonts w:ascii="Times New Roman" w:hAnsi="Times New Roman" w:cs="Times New Roman"/>
          <w:sz w:val="24"/>
          <w:szCs w:val="24"/>
        </w:rPr>
        <w:t xml:space="preserve"> (Dahl</w:t>
      </w:r>
      <w:r w:rsidR="008C66EC" w:rsidRPr="00FB472F">
        <w:rPr>
          <w:rFonts w:ascii="Times New Roman" w:hAnsi="Times New Roman" w:cs="Times New Roman"/>
          <w:sz w:val="24"/>
          <w:szCs w:val="24"/>
        </w:rPr>
        <w:t xml:space="preserve"> et al.</w:t>
      </w:r>
      <w:r w:rsidRPr="00FB472F">
        <w:rPr>
          <w:rFonts w:ascii="Times New Roman" w:hAnsi="Times New Roman" w:cs="Times New Roman"/>
          <w:sz w:val="24"/>
          <w:szCs w:val="24"/>
        </w:rPr>
        <w:t xml:space="preserve">, 2012; </w:t>
      </w:r>
      <w:proofErr w:type="spellStart"/>
      <w:r w:rsidRPr="00FB472F">
        <w:rPr>
          <w:rFonts w:ascii="Times New Roman" w:hAnsi="Times New Roman" w:cs="Times New Roman"/>
          <w:sz w:val="24"/>
          <w:szCs w:val="24"/>
        </w:rPr>
        <w:t>Tulbek</w:t>
      </w:r>
      <w:proofErr w:type="spellEnd"/>
      <w:r w:rsidRPr="00FB472F">
        <w:rPr>
          <w:rFonts w:ascii="Times New Roman" w:hAnsi="Times New Roman" w:cs="Times New Roman"/>
          <w:sz w:val="24"/>
          <w:szCs w:val="24"/>
        </w:rPr>
        <w:t xml:space="preserve"> et al., 2016). Their consumption is linked to a lower risk of diet-related disorders such as obesity, diabetes, cardiovascular diseases, and certain cancers, largely due to their balanced nutrient composition and low </w:t>
      </w:r>
      <w:r w:rsidR="009F3A88" w:rsidRPr="00FB472F">
        <w:rPr>
          <w:rFonts w:ascii="Times New Roman" w:hAnsi="Times New Roman" w:cs="Times New Roman"/>
          <w:sz w:val="24"/>
          <w:szCs w:val="24"/>
        </w:rPr>
        <w:t>glycaemic</w:t>
      </w:r>
      <w:r w:rsidRPr="00FB472F">
        <w:rPr>
          <w:rFonts w:ascii="Times New Roman" w:hAnsi="Times New Roman" w:cs="Times New Roman"/>
          <w:sz w:val="24"/>
          <w:szCs w:val="24"/>
        </w:rPr>
        <w:t xml:space="preserve"> index (Michaels, 2016; </w:t>
      </w:r>
      <w:proofErr w:type="spellStart"/>
      <w:r w:rsidRPr="00FB472F">
        <w:rPr>
          <w:rFonts w:ascii="Times New Roman" w:hAnsi="Times New Roman" w:cs="Times New Roman"/>
          <w:sz w:val="24"/>
          <w:szCs w:val="24"/>
        </w:rPr>
        <w:t>Rohn</w:t>
      </w:r>
      <w:proofErr w:type="spellEnd"/>
      <w:r w:rsidRPr="00FB472F">
        <w:rPr>
          <w:rFonts w:ascii="Times New Roman" w:hAnsi="Times New Roman" w:cs="Times New Roman"/>
          <w:sz w:val="24"/>
          <w:szCs w:val="24"/>
        </w:rPr>
        <w:t xml:space="preserve"> &amp; van </w:t>
      </w:r>
      <w:proofErr w:type="spellStart"/>
      <w:r w:rsidRPr="00FB472F">
        <w:rPr>
          <w:rFonts w:ascii="Times New Roman" w:hAnsi="Times New Roman" w:cs="Times New Roman"/>
          <w:sz w:val="24"/>
          <w:szCs w:val="24"/>
        </w:rPr>
        <w:t>Griensven</w:t>
      </w:r>
      <w:proofErr w:type="spellEnd"/>
      <w:r w:rsidRPr="00FB472F">
        <w:rPr>
          <w:rFonts w:ascii="Times New Roman" w:hAnsi="Times New Roman" w:cs="Times New Roman"/>
          <w:sz w:val="24"/>
          <w:szCs w:val="24"/>
        </w:rPr>
        <w:t xml:space="preserve">, 2015). The most common field pea types include the yellow cotyledon variety, followed by green cotyledon types and a few </w:t>
      </w:r>
      <w:proofErr w:type="gramStart"/>
      <w:r w:rsidRPr="00FB472F">
        <w:rPr>
          <w:rFonts w:ascii="Times New Roman" w:hAnsi="Times New Roman" w:cs="Times New Roman"/>
          <w:sz w:val="24"/>
          <w:szCs w:val="24"/>
        </w:rPr>
        <w:t>less</w:t>
      </w:r>
      <w:proofErr w:type="gramEnd"/>
      <w:r w:rsidRPr="00FB472F">
        <w:rPr>
          <w:rFonts w:ascii="Times New Roman" w:hAnsi="Times New Roman" w:cs="Times New Roman"/>
          <w:sz w:val="24"/>
          <w:szCs w:val="24"/>
        </w:rPr>
        <w:t xml:space="preserve"> common species (</w:t>
      </w:r>
      <w:proofErr w:type="spellStart"/>
      <w:r w:rsidRPr="00FB472F">
        <w:rPr>
          <w:rFonts w:ascii="Times New Roman" w:hAnsi="Times New Roman" w:cs="Times New Roman"/>
          <w:sz w:val="24"/>
          <w:szCs w:val="24"/>
        </w:rPr>
        <w:t>Rasskazova</w:t>
      </w:r>
      <w:proofErr w:type="spellEnd"/>
      <w:r w:rsidR="00471A74" w:rsidRPr="00FB472F">
        <w:rPr>
          <w:rFonts w:ascii="Times New Roman" w:hAnsi="Times New Roman" w:cs="Times New Roman"/>
          <w:sz w:val="24"/>
          <w:szCs w:val="24"/>
        </w:rPr>
        <w:t xml:space="preserve"> &amp;</w:t>
      </w:r>
      <w:r w:rsidR="00471A74" w:rsidRPr="00FB472F">
        <w:rPr>
          <w:rFonts w:ascii="Times New Roman" w:hAnsi="Times New Roman" w:cs="Times New Roman"/>
          <w:b/>
          <w:bCs/>
          <w:sz w:val="24"/>
          <w:szCs w:val="24"/>
        </w:rPr>
        <w:t xml:space="preserve"> </w:t>
      </w:r>
      <w:proofErr w:type="spellStart"/>
      <w:r w:rsidR="00471A74" w:rsidRPr="00FB472F">
        <w:rPr>
          <w:rStyle w:val="BookTitle"/>
          <w:rFonts w:ascii="Times New Roman" w:hAnsi="Times New Roman" w:cs="Times New Roman"/>
          <w:b w:val="0"/>
          <w:i w:val="0"/>
          <w:iCs w:val="0"/>
          <w:sz w:val="24"/>
          <w:szCs w:val="24"/>
        </w:rPr>
        <w:t>Kirse-Ozolina</w:t>
      </w:r>
      <w:proofErr w:type="spellEnd"/>
      <w:r w:rsidRPr="00FB472F">
        <w:rPr>
          <w:rFonts w:ascii="Times New Roman" w:hAnsi="Times New Roman" w:cs="Times New Roman"/>
          <w:sz w:val="24"/>
          <w:szCs w:val="24"/>
        </w:rPr>
        <w:t xml:space="preserve">, 2020). Several studies have highlighted that seed characteristics, such as wrinkled or smooth textures, significantly influence their proximate composition, including protein, lipid, and ash contents (Bishnoi &amp; </w:t>
      </w:r>
      <w:proofErr w:type="spellStart"/>
      <w:r w:rsidRPr="00FB472F">
        <w:rPr>
          <w:rFonts w:ascii="Times New Roman" w:hAnsi="Times New Roman" w:cs="Times New Roman"/>
          <w:sz w:val="24"/>
          <w:szCs w:val="24"/>
        </w:rPr>
        <w:t>Khetarpaul</w:t>
      </w:r>
      <w:proofErr w:type="spellEnd"/>
      <w:r w:rsidR="009F0876" w:rsidRPr="00FB472F">
        <w:rPr>
          <w:rFonts w:ascii="Times New Roman" w:hAnsi="Times New Roman" w:cs="Times New Roman"/>
          <w:sz w:val="24"/>
          <w:szCs w:val="24"/>
        </w:rPr>
        <w:t>.,</w:t>
      </w:r>
      <w:r w:rsidRPr="00FB472F">
        <w:rPr>
          <w:rFonts w:ascii="Times New Roman" w:hAnsi="Times New Roman" w:cs="Times New Roman"/>
          <w:sz w:val="24"/>
          <w:szCs w:val="24"/>
        </w:rPr>
        <w:t xml:space="preserve"> 1993; </w:t>
      </w:r>
      <w:proofErr w:type="spellStart"/>
      <w:r w:rsidRPr="00FB472F">
        <w:rPr>
          <w:rFonts w:ascii="Times New Roman" w:hAnsi="Times New Roman" w:cs="Times New Roman"/>
          <w:sz w:val="24"/>
          <w:szCs w:val="24"/>
        </w:rPr>
        <w:t>Kosson</w:t>
      </w:r>
      <w:proofErr w:type="spellEnd"/>
      <w:r w:rsidR="00471A74" w:rsidRPr="00FB472F">
        <w:rPr>
          <w:rFonts w:ascii="Times New Roman" w:hAnsi="Times New Roman" w:cs="Times New Roman"/>
          <w:sz w:val="24"/>
          <w:szCs w:val="24"/>
        </w:rPr>
        <w:t xml:space="preserve"> et al.</w:t>
      </w:r>
      <w:r w:rsidRPr="00FB472F">
        <w:rPr>
          <w:rFonts w:ascii="Times New Roman" w:hAnsi="Times New Roman" w:cs="Times New Roman"/>
          <w:sz w:val="24"/>
          <w:szCs w:val="24"/>
        </w:rPr>
        <w:t>, 1994).</w:t>
      </w:r>
      <w:r w:rsidR="00F70D17" w:rsidRPr="00FB472F">
        <w:rPr>
          <w:rFonts w:ascii="Times New Roman" w:hAnsi="Times New Roman" w:cs="Times New Roman"/>
          <w:sz w:val="24"/>
          <w:szCs w:val="24"/>
        </w:rPr>
        <w:t xml:space="preserve"> </w:t>
      </w:r>
    </w:p>
    <w:p w14:paraId="5D2B8B76" w14:textId="5A1ED925" w:rsidR="00846BAC" w:rsidRPr="00FB472F" w:rsidRDefault="00F70D17" w:rsidP="003E2A0A">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t xml:space="preserve">In Indian subcontinent more than 75% of the pulses are marketed and consumed as dehulled splits, which is commonly termed as dhal or dal in India. </w:t>
      </w:r>
      <w:r w:rsidR="009F3A88" w:rsidRPr="00FB472F">
        <w:rPr>
          <w:rFonts w:ascii="Times New Roman" w:hAnsi="Times New Roman" w:cs="Times New Roman"/>
          <w:sz w:val="24"/>
          <w:szCs w:val="24"/>
        </w:rPr>
        <w:t xml:space="preserve">Dehulling, or milling, is a crucial step in pulse processing. During this operation, pulses are separated into different fractions such as dehusked </w:t>
      </w:r>
      <w:r w:rsidR="008C66EC" w:rsidRPr="00FB472F">
        <w:rPr>
          <w:rFonts w:ascii="Times New Roman" w:hAnsi="Times New Roman" w:cs="Times New Roman"/>
          <w:sz w:val="24"/>
          <w:szCs w:val="24"/>
        </w:rPr>
        <w:t xml:space="preserve">whole or </w:t>
      </w:r>
      <w:r w:rsidR="009F3A88" w:rsidRPr="00FB472F">
        <w:rPr>
          <w:rFonts w:ascii="Times New Roman" w:hAnsi="Times New Roman" w:cs="Times New Roman"/>
          <w:sz w:val="24"/>
          <w:szCs w:val="24"/>
        </w:rPr>
        <w:t xml:space="preserve">dal, broken grains, and </w:t>
      </w:r>
      <w:r w:rsidR="008C66EC" w:rsidRPr="00FB472F">
        <w:rPr>
          <w:rFonts w:ascii="Times New Roman" w:hAnsi="Times New Roman" w:cs="Times New Roman"/>
          <w:sz w:val="24"/>
          <w:szCs w:val="24"/>
        </w:rPr>
        <w:t xml:space="preserve">milling byproduct, comprising of powder of outer layer of cotyledons and husk. </w:t>
      </w:r>
      <w:r w:rsidR="009F3A88" w:rsidRPr="00FB472F">
        <w:rPr>
          <w:rFonts w:ascii="Times New Roman" w:hAnsi="Times New Roman" w:cs="Times New Roman"/>
          <w:sz w:val="24"/>
          <w:szCs w:val="24"/>
        </w:rPr>
        <w:t xml:space="preserve"> </w:t>
      </w:r>
      <w:r w:rsidR="008C66EC" w:rsidRPr="00FB472F">
        <w:rPr>
          <w:rFonts w:ascii="Times New Roman" w:hAnsi="Times New Roman" w:cs="Times New Roman"/>
          <w:sz w:val="24"/>
          <w:szCs w:val="24"/>
        </w:rPr>
        <w:t xml:space="preserve">Dehusked dal can </w:t>
      </w:r>
      <w:r w:rsidR="009F3A88" w:rsidRPr="00FB472F">
        <w:rPr>
          <w:rFonts w:ascii="Times New Roman" w:hAnsi="Times New Roman" w:cs="Times New Roman"/>
          <w:sz w:val="24"/>
          <w:szCs w:val="24"/>
        </w:rPr>
        <w:t xml:space="preserve">either </w:t>
      </w:r>
      <w:r w:rsidR="008C66EC" w:rsidRPr="00FB472F">
        <w:rPr>
          <w:rFonts w:ascii="Times New Roman" w:hAnsi="Times New Roman" w:cs="Times New Roman"/>
          <w:sz w:val="24"/>
          <w:szCs w:val="24"/>
        </w:rPr>
        <w:t xml:space="preserve">be </w:t>
      </w:r>
      <w:r w:rsidR="009F3A88" w:rsidRPr="00FB472F">
        <w:rPr>
          <w:rFonts w:ascii="Times New Roman" w:hAnsi="Times New Roman" w:cs="Times New Roman"/>
          <w:sz w:val="24"/>
          <w:szCs w:val="24"/>
        </w:rPr>
        <w:t xml:space="preserve">used directly for </w:t>
      </w:r>
      <w:r w:rsidR="008C66EC" w:rsidRPr="00FB472F">
        <w:rPr>
          <w:rFonts w:ascii="Times New Roman" w:hAnsi="Times New Roman" w:cs="Times New Roman"/>
          <w:sz w:val="24"/>
          <w:szCs w:val="24"/>
        </w:rPr>
        <w:t xml:space="preserve">human </w:t>
      </w:r>
      <w:r w:rsidR="009F3A88" w:rsidRPr="00FB472F">
        <w:rPr>
          <w:rFonts w:ascii="Times New Roman" w:hAnsi="Times New Roman" w:cs="Times New Roman"/>
          <w:sz w:val="24"/>
          <w:szCs w:val="24"/>
        </w:rPr>
        <w:t>consumption or serve as ingredients in various value-added products.</w:t>
      </w:r>
      <w:r w:rsidR="008C66EC" w:rsidRPr="00FB472F">
        <w:rPr>
          <w:rFonts w:ascii="Times New Roman" w:hAnsi="Times New Roman" w:cs="Times New Roman"/>
          <w:sz w:val="24"/>
          <w:szCs w:val="24"/>
        </w:rPr>
        <w:t xml:space="preserve"> Pulse milling byproduct is often utilized as cattle or animal feed.</w:t>
      </w:r>
      <w:r w:rsidR="009F3A88" w:rsidRPr="00FB472F">
        <w:rPr>
          <w:rFonts w:ascii="Times New Roman" w:hAnsi="Times New Roman" w:cs="Times New Roman"/>
          <w:sz w:val="24"/>
          <w:szCs w:val="24"/>
        </w:rPr>
        <w:t xml:space="preserve"> </w:t>
      </w:r>
      <w:r w:rsidR="00846BAC" w:rsidRPr="00FB472F">
        <w:rPr>
          <w:rFonts w:ascii="Times New Roman" w:hAnsi="Times New Roman" w:cs="Times New Roman"/>
          <w:sz w:val="24"/>
          <w:szCs w:val="24"/>
        </w:rPr>
        <w:t>Incorporation of pulse milling byproducts in food products has been shown to improve both nutritional and functional qualities, especially when used as a partial replacement for wheat or in gluten-free formulations (Malcomson</w:t>
      </w:r>
      <w:r w:rsidR="00471A74" w:rsidRPr="00FB472F">
        <w:rPr>
          <w:rFonts w:ascii="Times New Roman" w:hAnsi="Times New Roman" w:cs="Times New Roman"/>
          <w:sz w:val="24"/>
          <w:szCs w:val="24"/>
        </w:rPr>
        <w:t xml:space="preserve"> &amp; Han</w:t>
      </w:r>
      <w:r w:rsidR="009F0876" w:rsidRPr="00FB472F">
        <w:rPr>
          <w:rFonts w:ascii="Times New Roman" w:hAnsi="Times New Roman" w:cs="Times New Roman"/>
          <w:sz w:val="24"/>
          <w:szCs w:val="24"/>
        </w:rPr>
        <w:t>.,</w:t>
      </w:r>
      <w:r w:rsidR="00846BAC" w:rsidRPr="00FB472F">
        <w:rPr>
          <w:rFonts w:ascii="Times New Roman" w:hAnsi="Times New Roman" w:cs="Times New Roman"/>
          <w:sz w:val="24"/>
          <w:szCs w:val="24"/>
        </w:rPr>
        <w:t xml:space="preserve"> 2019; </w:t>
      </w:r>
      <w:proofErr w:type="spellStart"/>
      <w:r w:rsidR="00846BAC" w:rsidRPr="00FB472F">
        <w:rPr>
          <w:rFonts w:ascii="Times New Roman" w:hAnsi="Times New Roman" w:cs="Times New Roman"/>
          <w:sz w:val="24"/>
          <w:szCs w:val="24"/>
        </w:rPr>
        <w:t>Lagassé</w:t>
      </w:r>
      <w:proofErr w:type="spellEnd"/>
      <w:r w:rsidR="00471A74" w:rsidRPr="00FB472F">
        <w:rPr>
          <w:rFonts w:ascii="Times New Roman" w:hAnsi="Times New Roman" w:cs="Times New Roman"/>
          <w:sz w:val="24"/>
          <w:szCs w:val="24"/>
        </w:rPr>
        <w:t xml:space="preserve"> et al.</w:t>
      </w:r>
      <w:r w:rsidR="00846BAC" w:rsidRPr="00FB472F">
        <w:rPr>
          <w:rFonts w:ascii="Times New Roman" w:hAnsi="Times New Roman" w:cs="Times New Roman"/>
          <w:sz w:val="24"/>
          <w:szCs w:val="24"/>
        </w:rPr>
        <w:t>, 2022).</w:t>
      </w:r>
      <w:r w:rsidR="009F3A88" w:rsidRPr="00FB472F">
        <w:rPr>
          <w:rFonts w:ascii="Times New Roman" w:hAnsi="Times New Roman" w:cs="Times New Roman"/>
          <w:sz w:val="24"/>
          <w:szCs w:val="24"/>
        </w:rPr>
        <w:t xml:space="preserve"> </w:t>
      </w:r>
      <w:r w:rsidR="00846BAC" w:rsidRPr="00FB472F">
        <w:rPr>
          <w:rFonts w:ascii="Times New Roman" w:hAnsi="Times New Roman" w:cs="Times New Roman"/>
          <w:sz w:val="24"/>
          <w:szCs w:val="24"/>
        </w:rPr>
        <w:t xml:space="preserve">Despite the global significance of field pea as a protein-rich food crop, limited research has focused on how different cultivars influence the biochemical characteristics of seeds following the milling process. Understanding these variations is crucial for improving the nutritional quality and functionality of pea-based products. </w:t>
      </w:r>
      <w:r w:rsidR="008934E3" w:rsidRPr="00FB472F">
        <w:rPr>
          <w:rFonts w:ascii="Times New Roman" w:hAnsi="Times New Roman" w:cs="Times New Roman"/>
          <w:sz w:val="24"/>
          <w:szCs w:val="24"/>
        </w:rPr>
        <w:t xml:space="preserve">Protein rich powder component of pulse milling </w:t>
      </w:r>
      <w:r w:rsidR="007F43F2" w:rsidRPr="00FB472F">
        <w:rPr>
          <w:rFonts w:ascii="Times New Roman" w:hAnsi="Times New Roman" w:cs="Times New Roman"/>
          <w:sz w:val="24"/>
          <w:szCs w:val="24"/>
        </w:rPr>
        <w:t>byproduct</w:t>
      </w:r>
      <w:r w:rsidR="008934E3" w:rsidRPr="00FB472F">
        <w:rPr>
          <w:rFonts w:ascii="Times New Roman" w:hAnsi="Times New Roman" w:cs="Times New Roman"/>
          <w:sz w:val="24"/>
          <w:szCs w:val="24"/>
        </w:rPr>
        <w:t xml:space="preserve"> can find direct application as substitute to dal whereas phenol, antioxidant and fibre rich fraction can be used as nutraceuticals and functional food with therapeutic advantages. </w:t>
      </w:r>
      <w:r w:rsidR="00846BAC" w:rsidRPr="00FB472F">
        <w:rPr>
          <w:rFonts w:ascii="Times New Roman" w:hAnsi="Times New Roman" w:cs="Times New Roman"/>
          <w:sz w:val="24"/>
          <w:szCs w:val="24"/>
        </w:rPr>
        <w:t xml:space="preserve">Therefore, the present study aims to evaluate the biochemical attributes of different field pea cultivars </w:t>
      </w:r>
      <w:r w:rsidR="008C66EC" w:rsidRPr="00FB472F">
        <w:rPr>
          <w:rFonts w:ascii="Times New Roman" w:hAnsi="Times New Roman" w:cs="Times New Roman"/>
          <w:sz w:val="24"/>
          <w:szCs w:val="24"/>
        </w:rPr>
        <w:t xml:space="preserve">before and </w:t>
      </w:r>
      <w:r w:rsidR="00846BAC" w:rsidRPr="00FB472F">
        <w:rPr>
          <w:rFonts w:ascii="Times New Roman" w:hAnsi="Times New Roman" w:cs="Times New Roman"/>
          <w:sz w:val="24"/>
          <w:szCs w:val="24"/>
        </w:rPr>
        <w:t>after milling, providing insights into cultivar-specific differences and their implications for food processing and nutrition.</w:t>
      </w:r>
    </w:p>
    <w:p w14:paraId="618FB30B" w14:textId="14B514D2" w:rsidR="002B2D17" w:rsidRPr="00FB472F" w:rsidRDefault="009F0876" w:rsidP="00B16402">
      <w:pPr>
        <w:pStyle w:val="ListParagraph"/>
        <w:numPr>
          <w:ilvl w:val="0"/>
          <w:numId w:val="3"/>
        </w:numPr>
        <w:spacing w:line="360" w:lineRule="auto"/>
        <w:ind w:left="284" w:hanging="284"/>
        <w:jc w:val="both"/>
        <w:rPr>
          <w:rFonts w:ascii="Times New Roman" w:hAnsi="Times New Roman" w:cs="Times New Roman"/>
          <w:b/>
          <w:bCs/>
          <w:sz w:val="24"/>
          <w:szCs w:val="24"/>
        </w:rPr>
      </w:pPr>
      <w:r w:rsidRPr="00FB472F">
        <w:rPr>
          <w:rFonts w:ascii="Times New Roman" w:hAnsi="Times New Roman" w:cs="Times New Roman"/>
          <w:b/>
          <w:bCs/>
          <w:sz w:val="24"/>
          <w:szCs w:val="24"/>
        </w:rPr>
        <w:t>MATERIAL AND METHODS</w:t>
      </w:r>
    </w:p>
    <w:p w14:paraId="5539E66C" w14:textId="5721222B" w:rsidR="002B2D17" w:rsidRPr="00FB472F" w:rsidRDefault="00CE46E5" w:rsidP="00CE46E5">
      <w:pPr>
        <w:spacing w:line="360" w:lineRule="auto"/>
        <w:jc w:val="both"/>
        <w:rPr>
          <w:rFonts w:ascii="Times New Roman" w:hAnsi="Times New Roman" w:cs="Times New Roman"/>
          <w:b/>
          <w:bCs/>
          <w:sz w:val="24"/>
          <w:szCs w:val="24"/>
        </w:rPr>
      </w:pPr>
      <w:r w:rsidRPr="00FB472F">
        <w:rPr>
          <w:rFonts w:ascii="Times New Roman" w:hAnsi="Times New Roman" w:cs="Times New Roman"/>
          <w:b/>
          <w:bCs/>
          <w:sz w:val="24"/>
          <w:szCs w:val="24"/>
        </w:rPr>
        <w:t xml:space="preserve">2.1 </w:t>
      </w:r>
      <w:r w:rsidR="002B2D17" w:rsidRPr="00FB472F">
        <w:rPr>
          <w:rFonts w:ascii="Times New Roman" w:hAnsi="Times New Roman" w:cs="Times New Roman"/>
          <w:b/>
          <w:bCs/>
          <w:sz w:val="24"/>
          <w:szCs w:val="24"/>
        </w:rPr>
        <w:t>Materials</w:t>
      </w:r>
    </w:p>
    <w:p w14:paraId="6CD8810D" w14:textId="6C7D4E95" w:rsidR="00CA0BF2" w:rsidRPr="00FB472F" w:rsidRDefault="00CA0BF2" w:rsidP="00CE46E5">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t>Three different field pea cultivars</w:t>
      </w:r>
      <w:r w:rsidR="00E85840" w:rsidRPr="00FB472F">
        <w:rPr>
          <w:rFonts w:ascii="Times New Roman" w:hAnsi="Times New Roman" w:cs="Times New Roman"/>
          <w:sz w:val="24"/>
          <w:szCs w:val="24"/>
        </w:rPr>
        <w:t xml:space="preserve"> </w:t>
      </w:r>
      <w:r w:rsidRPr="00FB472F">
        <w:rPr>
          <w:rFonts w:ascii="Times New Roman" w:hAnsi="Times New Roman" w:cs="Times New Roman"/>
          <w:sz w:val="24"/>
          <w:szCs w:val="24"/>
        </w:rPr>
        <w:t>IPFD-99-13, IPF-5-19, and IPFD-1-10</w:t>
      </w:r>
      <w:r w:rsidR="00124ECD" w:rsidRPr="00FB472F">
        <w:rPr>
          <w:rFonts w:ascii="Times New Roman" w:hAnsi="Times New Roman" w:cs="Times New Roman"/>
          <w:sz w:val="24"/>
          <w:szCs w:val="24"/>
        </w:rPr>
        <w:t xml:space="preserve"> </w:t>
      </w:r>
      <w:r w:rsidRPr="00FB472F">
        <w:rPr>
          <w:rFonts w:ascii="Times New Roman" w:hAnsi="Times New Roman" w:cs="Times New Roman"/>
          <w:sz w:val="24"/>
          <w:szCs w:val="24"/>
        </w:rPr>
        <w:t>were obtained as whole grains from the</w:t>
      </w:r>
      <w:r w:rsidR="00124ECD" w:rsidRPr="00FB472F">
        <w:rPr>
          <w:rFonts w:ascii="Times New Roman" w:hAnsi="Times New Roman" w:cs="Times New Roman"/>
          <w:sz w:val="24"/>
          <w:szCs w:val="24"/>
        </w:rPr>
        <w:t xml:space="preserve"> Indian Institute of Pulse Research</w:t>
      </w:r>
      <w:r w:rsidR="008C66EC" w:rsidRPr="00FB472F">
        <w:rPr>
          <w:rFonts w:ascii="Times New Roman" w:hAnsi="Times New Roman" w:cs="Times New Roman"/>
          <w:sz w:val="24"/>
          <w:szCs w:val="24"/>
        </w:rPr>
        <w:t>,</w:t>
      </w:r>
      <w:r w:rsidRPr="00FB472F">
        <w:rPr>
          <w:rFonts w:ascii="Times New Roman" w:hAnsi="Times New Roman" w:cs="Times New Roman"/>
          <w:sz w:val="24"/>
          <w:szCs w:val="24"/>
        </w:rPr>
        <w:t xml:space="preserve"> </w:t>
      </w:r>
      <w:r w:rsidR="008C66EC" w:rsidRPr="00FB472F">
        <w:rPr>
          <w:rFonts w:ascii="Times New Roman" w:hAnsi="Times New Roman" w:cs="Times New Roman"/>
          <w:sz w:val="24"/>
          <w:szCs w:val="24"/>
        </w:rPr>
        <w:t>Kanpur farms</w:t>
      </w:r>
      <w:r w:rsidRPr="00FB472F">
        <w:rPr>
          <w:rFonts w:ascii="Times New Roman" w:hAnsi="Times New Roman" w:cs="Times New Roman"/>
          <w:sz w:val="24"/>
          <w:szCs w:val="24"/>
        </w:rPr>
        <w:t xml:space="preserve">. The grains arrived </w:t>
      </w:r>
      <w:r w:rsidRPr="00FB472F">
        <w:rPr>
          <w:rFonts w:ascii="Times New Roman" w:hAnsi="Times New Roman" w:cs="Times New Roman"/>
          <w:sz w:val="24"/>
          <w:szCs w:val="24"/>
        </w:rPr>
        <w:lastRenderedPageBreak/>
        <w:t xml:space="preserve">with initial moisture contents of approximately </w:t>
      </w:r>
      <w:r w:rsidR="007A0168" w:rsidRPr="00FB472F">
        <w:rPr>
          <w:rFonts w:ascii="Times New Roman" w:hAnsi="Times New Roman" w:cs="Times New Roman"/>
          <w:sz w:val="24"/>
          <w:szCs w:val="24"/>
        </w:rPr>
        <w:t xml:space="preserve">10.4 to </w:t>
      </w:r>
      <w:r w:rsidRPr="00FB472F">
        <w:rPr>
          <w:rFonts w:ascii="Times New Roman" w:hAnsi="Times New Roman" w:cs="Times New Roman"/>
          <w:sz w:val="24"/>
          <w:szCs w:val="24"/>
        </w:rPr>
        <w:t>11.65 % on a wet basis. To measure the moisture levels accurately, about 10 grams of each grain sample were dried in triplicate at 105°C for 72 hours using a hot-air convection oven.</w:t>
      </w:r>
    </w:p>
    <w:p w14:paraId="09D9491E" w14:textId="787BD969" w:rsidR="00291CE8" w:rsidRPr="00FB472F" w:rsidRDefault="00CE46E5" w:rsidP="00CE46E5">
      <w:pPr>
        <w:spacing w:line="360" w:lineRule="auto"/>
        <w:jc w:val="both"/>
        <w:rPr>
          <w:rFonts w:ascii="Times New Roman" w:hAnsi="Times New Roman" w:cs="Times New Roman"/>
          <w:b/>
          <w:bCs/>
          <w:sz w:val="24"/>
          <w:szCs w:val="24"/>
        </w:rPr>
      </w:pPr>
      <w:r w:rsidRPr="00FB472F">
        <w:rPr>
          <w:rFonts w:ascii="Times New Roman" w:hAnsi="Times New Roman" w:cs="Times New Roman"/>
          <w:b/>
          <w:bCs/>
          <w:sz w:val="24"/>
          <w:szCs w:val="24"/>
        </w:rPr>
        <w:t xml:space="preserve">2.2 </w:t>
      </w:r>
      <w:r w:rsidR="00291CE8" w:rsidRPr="00FB472F">
        <w:rPr>
          <w:rFonts w:ascii="Times New Roman" w:hAnsi="Times New Roman" w:cs="Times New Roman"/>
          <w:b/>
          <w:bCs/>
          <w:sz w:val="24"/>
          <w:szCs w:val="24"/>
        </w:rPr>
        <w:t xml:space="preserve">Sample </w:t>
      </w:r>
      <w:r w:rsidR="009F0876" w:rsidRPr="00FB472F">
        <w:rPr>
          <w:rFonts w:ascii="Times New Roman" w:hAnsi="Times New Roman" w:cs="Times New Roman"/>
          <w:b/>
          <w:bCs/>
          <w:sz w:val="24"/>
          <w:szCs w:val="24"/>
        </w:rPr>
        <w:t>P</w:t>
      </w:r>
      <w:r w:rsidR="00291CE8" w:rsidRPr="00FB472F">
        <w:rPr>
          <w:rFonts w:ascii="Times New Roman" w:hAnsi="Times New Roman" w:cs="Times New Roman"/>
          <w:b/>
          <w:bCs/>
          <w:sz w:val="24"/>
          <w:szCs w:val="24"/>
        </w:rPr>
        <w:t>reparation</w:t>
      </w:r>
    </w:p>
    <w:p w14:paraId="0849CB28" w14:textId="0730ED58"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4"/>
        </w:rPr>
        <w:t xml:space="preserve">Whole field pea grains were cleaned, graded, washed, and </w:t>
      </w:r>
      <w:r w:rsidR="007A0168" w:rsidRPr="00FB472F">
        <w:rPr>
          <w:rFonts w:ascii="Times New Roman" w:hAnsi="Times New Roman" w:cs="Times New Roman"/>
          <w:sz w:val="24"/>
          <w:szCs w:val="24"/>
        </w:rPr>
        <w:t>dried</w:t>
      </w:r>
      <w:r w:rsidRPr="00FB472F">
        <w:rPr>
          <w:rFonts w:ascii="Times New Roman" w:hAnsi="Times New Roman" w:cs="Times New Roman"/>
          <w:sz w:val="24"/>
          <w:szCs w:val="24"/>
        </w:rPr>
        <w:t xml:space="preserve">. The dried </w:t>
      </w:r>
      <w:r w:rsidR="007A0168" w:rsidRPr="00FB472F">
        <w:rPr>
          <w:rFonts w:ascii="Times New Roman" w:hAnsi="Times New Roman" w:cs="Times New Roman"/>
          <w:sz w:val="24"/>
          <w:szCs w:val="24"/>
        </w:rPr>
        <w:t xml:space="preserve">grains were </w:t>
      </w:r>
      <w:r w:rsidRPr="00FB472F">
        <w:rPr>
          <w:rFonts w:ascii="Times New Roman" w:hAnsi="Times New Roman" w:cs="Times New Roman"/>
          <w:sz w:val="24"/>
          <w:szCs w:val="24"/>
        </w:rPr>
        <w:t>milled in lab scale universal grain testing mill</w:t>
      </w:r>
      <w:r w:rsidR="007A0168" w:rsidRPr="00FB472F">
        <w:rPr>
          <w:rFonts w:ascii="Times New Roman" w:hAnsi="Times New Roman" w:cs="Times New Roman"/>
          <w:sz w:val="24"/>
          <w:szCs w:val="24"/>
        </w:rPr>
        <w:t xml:space="preserve"> (</w:t>
      </w:r>
      <w:proofErr w:type="spellStart"/>
      <w:r w:rsidR="007A0168" w:rsidRPr="00FB472F">
        <w:rPr>
          <w:rFonts w:ascii="Times New Roman" w:hAnsi="Times New Roman" w:cs="Times New Roman"/>
          <w:sz w:val="24"/>
          <w:szCs w:val="24"/>
        </w:rPr>
        <w:t>Indosaw</w:t>
      </w:r>
      <w:proofErr w:type="spellEnd"/>
      <w:r w:rsidR="007A0168" w:rsidRPr="00FB472F">
        <w:rPr>
          <w:rFonts w:ascii="Times New Roman" w:hAnsi="Times New Roman" w:cs="Times New Roman"/>
          <w:sz w:val="24"/>
          <w:szCs w:val="24"/>
        </w:rPr>
        <w:t xml:space="preserve"> Make)</w:t>
      </w:r>
      <w:r w:rsidRPr="00FB472F">
        <w:rPr>
          <w:rFonts w:ascii="Times New Roman" w:hAnsi="Times New Roman" w:cs="Times New Roman"/>
          <w:sz w:val="24"/>
          <w:szCs w:val="24"/>
        </w:rPr>
        <w:t xml:space="preserve"> using abrasive</w:t>
      </w:r>
      <w:r w:rsidR="00CA0BF2" w:rsidRPr="00FB472F">
        <w:rPr>
          <w:rFonts w:ascii="Times New Roman" w:hAnsi="Times New Roman" w:cs="Times New Roman"/>
          <w:sz w:val="24"/>
          <w:szCs w:val="24"/>
        </w:rPr>
        <w:t xml:space="preserve"> </w:t>
      </w:r>
      <w:r w:rsidR="007A0168" w:rsidRPr="00FB472F">
        <w:rPr>
          <w:rFonts w:ascii="Times New Roman" w:hAnsi="Times New Roman" w:cs="Times New Roman"/>
          <w:sz w:val="24"/>
          <w:szCs w:val="24"/>
        </w:rPr>
        <w:t xml:space="preserve">emery disk (26 mesh) as </w:t>
      </w:r>
      <w:r w:rsidRPr="00FB472F">
        <w:rPr>
          <w:rFonts w:ascii="Times New Roman" w:hAnsi="Times New Roman" w:cs="Times New Roman"/>
          <w:sz w:val="24"/>
          <w:szCs w:val="24"/>
        </w:rPr>
        <w:t xml:space="preserve">dehusking surface to obtain dal and milling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Dehusked splits and broken of cotyledon falls into the central compartment of the universal grain testing mill</w:t>
      </w:r>
      <w:r w:rsidR="007A0168" w:rsidRPr="00FB472F">
        <w:rPr>
          <w:rFonts w:ascii="Times New Roman" w:hAnsi="Times New Roman" w:cs="Times New Roman"/>
          <w:sz w:val="24"/>
          <w:szCs w:val="24"/>
        </w:rPr>
        <w:t xml:space="preserve">, whereas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was collected in the outer box. The milling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was fractionated with the help of </w:t>
      </w:r>
      <w:r w:rsidR="00C12B9E" w:rsidRPr="00FB472F">
        <w:rPr>
          <w:rFonts w:ascii="Times New Roman" w:hAnsi="Times New Roman" w:cs="Times New Roman"/>
          <w:sz w:val="24"/>
          <w:szCs w:val="24"/>
        </w:rPr>
        <w:t>electromagnetic</w:t>
      </w:r>
      <w:r w:rsidRPr="00FB472F">
        <w:rPr>
          <w:rFonts w:ascii="Times New Roman" w:hAnsi="Times New Roman" w:cs="Times New Roman"/>
          <w:sz w:val="24"/>
          <w:szCs w:val="24"/>
        </w:rPr>
        <w:t xml:space="preserve"> sieve shaker (</w:t>
      </w:r>
      <w:proofErr w:type="spellStart"/>
      <w:r w:rsidRPr="00FB472F">
        <w:rPr>
          <w:rFonts w:ascii="Times New Roman" w:hAnsi="Times New Roman" w:cs="Times New Roman"/>
          <w:sz w:val="24"/>
          <w:szCs w:val="24"/>
        </w:rPr>
        <w:t>Electrolab</w:t>
      </w:r>
      <w:proofErr w:type="spellEnd"/>
      <w:r w:rsidRPr="00FB472F">
        <w:rPr>
          <w:rFonts w:ascii="Times New Roman" w:hAnsi="Times New Roman" w:cs="Times New Roman"/>
          <w:sz w:val="24"/>
          <w:szCs w:val="24"/>
        </w:rPr>
        <w:t xml:space="preserve"> EMS-8) into three fractions</w:t>
      </w:r>
      <w:r w:rsidRPr="00FB472F">
        <w:rPr>
          <w:rFonts w:ascii="Times New Roman" w:hAnsi="Times New Roman" w:cs="Times New Roman"/>
          <w:sz w:val="28"/>
          <w:szCs w:val="24"/>
        </w:rPr>
        <w:t xml:space="preserve">, </w:t>
      </w:r>
      <w:r w:rsidRPr="00FB472F">
        <w:rPr>
          <w:rFonts w:ascii="Times New Roman" w:hAnsi="Times New Roman" w:cs="Times New Roman"/>
          <w:sz w:val="24"/>
          <w:szCs w:val="22"/>
        </w:rPr>
        <w:t>viz., &gt;1 mm size, &gt; 0.25 mm size and &lt; 0.25 mm size</w:t>
      </w:r>
      <w:r w:rsidR="009570E1"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The samples of dried whole seeds, dal, </w:t>
      </w:r>
      <w:r w:rsidR="007F43F2" w:rsidRPr="00FB472F">
        <w:rPr>
          <w:rFonts w:ascii="Times New Roman" w:hAnsi="Times New Roman" w:cs="Times New Roman"/>
          <w:sz w:val="24"/>
          <w:szCs w:val="22"/>
        </w:rPr>
        <w:t>byproduct</w:t>
      </w:r>
      <w:r w:rsidR="00C12B9E" w:rsidRPr="00FB472F">
        <w:rPr>
          <w:rFonts w:ascii="Times New Roman" w:hAnsi="Times New Roman" w:cs="Times New Roman"/>
          <w:sz w:val="24"/>
          <w:szCs w:val="22"/>
        </w:rPr>
        <w:t>,</w:t>
      </w:r>
      <w:r w:rsidRPr="00FB472F">
        <w:rPr>
          <w:rFonts w:ascii="Times New Roman" w:hAnsi="Times New Roman" w:cs="Times New Roman"/>
          <w:sz w:val="24"/>
          <w:szCs w:val="22"/>
        </w:rPr>
        <w:t xml:space="preserve"> and fractions of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were further converted into powder form using laboratory grinder (</w:t>
      </w:r>
      <w:proofErr w:type="spellStart"/>
      <w:r w:rsidRPr="00FB472F">
        <w:rPr>
          <w:rFonts w:ascii="Times New Roman" w:hAnsi="Times New Roman" w:cs="Times New Roman"/>
          <w:sz w:val="24"/>
          <w:szCs w:val="22"/>
        </w:rPr>
        <w:t>Perten</w:t>
      </w:r>
      <w:proofErr w:type="spellEnd"/>
      <w:r w:rsidRPr="00FB472F">
        <w:rPr>
          <w:rFonts w:ascii="Times New Roman" w:hAnsi="Times New Roman" w:cs="Times New Roman"/>
          <w:sz w:val="24"/>
          <w:szCs w:val="22"/>
        </w:rPr>
        <w:t>) for biochemical analysis.</w:t>
      </w:r>
    </w:p>
    <w:p w14:paraId="734043BC" w14:textId="26CB21C1" w:rsidR="006F0A67"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2.3 </w:t>
      </w:r>
      <w:r w:rsidR="006F0A67" w:rsidRPr="00FB472F">
        <w:rPr>
          <w:rFonts w:ascii="Times New Roman" w:hAnsi="Times New Roman" w:cs="Times New Roman"/>
          <w:b/>
          <w:bCs/>
          <w:sz w:val="24"/>
          <w:szCs w:val="22"/>
        </w:rPr>
        <w:t xml:space="preserve">Protein </w:t>
      </w:r>
      <w:r w:rsidR="009F0876" w:rsidRPr="00FB472F">
        <w:rPr>
          <w:rFonts w:ascii="Times New Roman" w:hAnsi="Times New Roman" w:cs="Times New Roman"/>
          <w:b/>
          <w:bCs/>
          <w:sz w:val="24"/>
          <w:szCs w:val="22"/>
        </w:rPr>
        <w:t>C</w:t>
      </w:r>
      <w:r w:rsidR="006F0A67" w:rsidRPr="00FB472F">
        <w:rPr>
          <w:rFonts w:ascii="Times New Roman" w:hAnsi="Times New Roman" w:cs="Times New Roman"/>
          <w:b/>
          <w:bCs/>
          <w:sz w:val="24"/>
          <w:szCs w:val="22"/>
        </w:rPr>
        <w:t>ontent</w:t>
      </w:r>
    </w:p>
    <w:p w14:paraId="75190E83" w14:textId="5EAB2E87"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100 mg of powdered sample was grinded in the 10 ml of grinding solution (0.1M NaOH in 3.5 % NaCl). Further, mixture solution was incubated at 60ºC in water bath for 90 min</w:t>
      </w:r>
      <w:r w:rsidR="00F74E6A" w:rsidRPr="00FB472F">
        <w:rPr>
          <w:rFonts w:ascii="Times New Roman" w:hAnsi="Times New Roman" w:cs="Times New Roman"/>
          <w:sz w:val="24"/>
          <w:szCs w:val="22"/>
        </w:rPr>
        <w:t>utes</w:t>
      </w:r>
      <w:r w:rsidRPr="00FB472F">
        <w:rPr>
          <w:rFonts w:ascii="Times New Roman" w:hAnsi="Times New Roman" w:cs="Times New Roman"/>
          <w:sz w:val="24"/>
          <w:szCs w:val="22"/>
        </w:rPr>
        <w:t xml:space="preserve"> followed by centrifugation at 6000 rpm for 10 minutes. 50µl of supernatant was used for protein quantification using the Lowry’s method (Lowry et al., 1951).</w:t>
      </w:r>
    </w:p>
    <w:p w14:paraId="66959A5F" w14:textId="1FA91AF0" w:rsidR="00D86841"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2.4 </w:t>
      </w:r>
      <w:r w:rsidR="00D86841"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P</w:t>
      </w:r>
      <w:r w:rsidR="00D86841" w:rsidRPr="00FB472F">
        <w:rPr>
          <w:rFonts w:ascii="Times New Roman" w:hAnsi="Times New Roman" w:cs="Times New Roman"/>
          <w:b/>
          <w:bCs/>
          <w:sz w:val="24"/>
          <w:szCs w:val="22"/>
        </w:rPr>
        <w:t xml:space="preserve">henolic </w:t>
      </w:r>
      <w:r w:rsidR="009F0876" w:rsidRPr="00FB472F">
        <w:rPr>
          <w:rFonts w:ascii="Times New Roman" w:hAnsi="Times New Roman" w:cs="Times New Roman"/>
          <w:b/>
          <w:bCs/>
          <w:sz w:val="24"/>
          <w:szCs w:val="22"/>
        </w:rPr>
        <w:t>C</w:t>
      </w:r>
      <w:r w:rsidR="00D86841" w:rsidRPr="00FB472F">
        <w:rPr>
          <w:rFonts w:ascii="Times New Roman" w:hAnsi="Times New Roman" w:cs="Times New Roman"/>
          <w:b/>
          <w:bCs/>
          <w:sz w:val="24"/>
          <w:szCs w:val="22"/>
        </w:rPr>
        <w:t>ontent</w:t>
      </w:r>
    </w:p>
    <w:p w14:paraId="29FDA9BE" w14:textId="2F023238"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Total phenol was extracted and analysed in the sample using spectrophotometric method (Singleton and </w:t>
      </w:r>
      <w:proofErr w:type="spellStart"/>
      <w:r w:rsidRPr="00FB472F">
        <w:rPr>
          <w:rFonts w:ascii="Times New Roman" w:hAnsi="Times New Roman" w:cs="Times New Roman"/>
          <w:sz w:val="24"/>
          <w:szCs w:val="22"/>
        </w:rPr>
        <w:t>Lamuela-Raventos</w:t>
      </w:r>
      <w:proofErr w:type="spellEnd"/>
      <w:r w:rsidRPr="00FB472F">
        <w:rPr>
          <w:rFonts w:ascii="Times New Roman" w:hAnsi="Times New Roman" w:cs="Times New Roman"/>
          <w:sz w:val="24"/>
          <w:szCs w:val="22"/>
        </w:rPr>
        <w:t xml:space="preserve"> 1999). 500 mg of ground sample was mixed in 70% ethanol followed by shaking at 200 rpm for 3 hours in shaker. Then, mixed sample was centrifuged at 6000 rpm for 15 minutes and supernatant was collected. Pellet was re-extracted and supernatant of both were pooled together. 200 µl of supernatant was kept in test tube followed by addition of 250 µL of 1 N </w:t>
      </w:r>
      <w:proofErr w:type="spellStart"/>
      <w:r w:rsidRPr="00FB472F">
        <w:rPr>
          <w:rFonts w:ascii="Times New Roman" w:hAnsi="Times New Roman" w:cs="Times New Roman"/>
          <w:sz w:val="24"/>
          <w:szCs w:val="22"/>
        </w:rPr>
        <w:t>Folin-Ciocalteu’s</w:t>
      </w:r>
      <w:proofErr w:type="spellEnd"/>
      <w:r w:rsidRPr="00FB472F">
        <w:rPr>
          <w:rFonts w:ascii="Times New Roman" w:hAnsi="Times New Roman" w:cs="Times New Roman"/>
          <w:sz w:val="24"/>
          <w:szCs w:val="22"/>
        </w:rPr>
        <w:t xml:space="preserve"> reagent, 3 ml of double distilled water and 750 µL Na</w:t>
      </w:r>
      <w:r w:rsidRPr="00FB472F">
        <w:rPr>
          <w:rFonts w:ascii="Times New Roman" w:hAnsi="Times New Roman" w:cs="Times New Roman"/>
          <w:sz w:val="24"/>
          <w:szCs w:val="22"/>
          <w:vertAlign w:val="subscript"/>
        </w:rPr>
        <w:t>2</w:t>
      </w:r>
      <w:r w:rsidRPr="00FB472F">
        <w:rPr>
          <w:rFonts w:ascii="Times New Roman" w:hAnsi="Times New Roman" w:cs="Times New Roman"/>
          <w:sz w:val="24"/>
          <w:szCs w:val="22"/>
        </w:rPr>
        <w:t>CO</w:t>
      </w:r>
      <w:r w:rsidRPr="00FB472F">
        <w:rPr>
          <w:rFonts w:ascii="Times New Roman" w:hAnsi="Times New Roman" w:cs="Times New Roman"/>
          <w:sz w:val="24"/>
          <w:szCs w:val="22"/>
          <w:vertAlign w:val="subscript"/>
        </w:rPr>
        <w:t>3</w:t>
      </w:r>
      <w:r w:rsidRPr="00FB472F">
        <w:rPr>
          <w:rFonts w:ascii="Times New Roman" w:hAnsi="Times New Roman" w:cs="Times New Roman"/>
          <w:sz w:val="24"/>
          <w:szCs w:val="22"/>
        </w:rPr>
        <w:t xml:space="preserve"> (7%) sequentially. The reaction mixture was subjected to </w:t>
      </w:r>
      <w:proofErr w:type="spellStart"/>
      <w:r w:rsidRPr="00FB472F">
        <w:rPr>
          <w:rFonts w:ascii="Times New Roman" w:hAnsi="Times New Roman" w:cs="Times New Roman"/>
          <w:sz w:val="24"/>
          <w:szCs w:val="22"/>
        </w:rPr>
        <w:t>vortexing</w:t>
      </w:r>
      <w:proofErr w:type="spellEnd"/>
      <w:r w:rsidRPr="00FB472F">
        <w:rPr>
          <w:rFonts w:ascii="Times New Roman" w:hAnsi="Times New Roman" w:cs="Times New Roman"/>
          <w:sz w:val="24"/>
          <w:szCs w:val="22"/>
        </w:rPr>
        <w:t xml:space="preserve"> followed by incubation of 8 minutes. After 30 minutes, 800 µL of double distilled water was added and absorbance was measured at 765 nm in spectrophotometer. Phenols in the sample were calculated as gallic acid equivalents (mg of GAE /100 g sample).</w:t>
      </w:r>
    </w:p>
    <w:p w14:paraId="05CBCC54" w14:textId="568DC457" w:rsidR="00D86841"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2.5 </w:t>
      </w:r>
      <w:r w:rsidR="00D86841"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A</w:t>
      </w:r>
      <w:r w:rsidR="00D86841" w:rsidRPr="00FB472F">
        <w:rPr>
          <w:rFonts w:ascii="Times New Roman" w:hAnsi="Times New Roman" w:cs="Times New Roman"/>
          <w:b/>
          <w:bCs/>
          <w:sz w:val="24"/>
          <w:szCs w:val="22"/>
        </w:rPr>
        <w:t xml:space="preserve">ntioxidant </w:t>
      </w:r>
      <w:r w:rsidR="009F0876" w:rsidRPr="00FB472F">
        <w:rPr>
          <w:rFonts w:ascii="Times New Roman" w:hAnsi="Times New Roman" w:cs="Times New Roman"/>
          <w:b/>
          <w:bCs/>
          <w:sz w:val="24"/>
          <w:szCs w:val="22"/>
        </w:rPr>
        <w:t>A</w:t>
      </w:r>
      <w:r w:rsidR="00D86841" w:rsidRPr="00FB472F">
        <w:rPr>
          <w:rFonts w:ascii="Times New Roman" w:hAnsi="Times New Roman" w:cs="Times New Roman"/>
          <w:b/>
          <w:bCs/>
          <w:sz w:val="24"/>
          <w:szCs w:val="22"/>
        </w:rPr>
        <w:t>ctivity</w:t>
      </w:r>
    </w:p>
    <w:p w14:paraId="2DBE3BEC" w14:textId="38006360"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lastRenderedPageBreak/>
        <w:t>Total antioxidant in the sample was measured using CUPRAC method (Apak et al. 2007). 200 mg of</w:t>
      </w:r>
      <w:r w:rsidR="00F74E6A" w:rsidRPr="00FB472F">
        <w:rPr>
          <w:rFonts w:ascii="Times New Roman" w:hAnsi="Times New Roman" w:cs="Times New Roman"/>
          <w:sz w:val="24"/>
          <w:szCs w:val="22"/>
        </w:rPr>
        <w:t xml:space="preserve"> </w:t>
      </w:r>
      <w:r w:rsidR="006B35AB" w:rsidRPr="00FB472F">
        <w:rPr>
          <w:rFonts w:ascii="Times New Roman" w:hAnsi="Times New Roman" w:cs="Times New Roman"/>
          <w:sz w:val="24"/>
          <w:szCs w:val="22"/>
        </w:rPr>
        <w:t xml:space="preserve">sample was kept in 20 ml of 70% acetone overnight. Then, it was centrifuged at 6000 rpm for 10 min. 100 µL of supernatant was taken in the test-tube containing 1 ml </w:t>
      </w:r>
      <w:proofErr w:type="spellStart"/>
      <w:r w:rsidR="006B35AB" w:rsidRPr="00FB472F">
        <w:rPr>
          <w:rFonts w:ascii="Times New Roman" w:hAnsi="Times New Roman" w:cs="Times New Roman"/>
          <w:sz w:val="24"/>
          <w:szCs w:val="22"/>
        </w:rPr>
        <w:t>Neocuproine</w:t>
      </w:r>
      <w:proofErr w:type="spellEnd"/>
      <w:r w:rsidR="006B35AB" w:rsidRPr="00FB472F">
        <w:rPr>
          <w:rFonts w:ascii="Times New Roman" w:hAnsi="Times New Roman" w:cs="Times New Roman"/>
          <w:sz w:val="24"/>
          <w:szCs w:val="22"/>
        </w:rPr>
        <w:t xml:space="preserve"> (2,9-dimethyl-1,10-phenanthroline) alcoholic solution, a copper (II) chloride solution, and 1 ml ammonium acetate aqueous buffer at pH 7 in a test tube. The absorbance was recorded at 450 nm against reagent blank after 30 minutes incubation and antioxidant capacity </w:t>
      </w:r>
      <w:proofErr w:type="gramStart"/>
      <w:r w:rsidR="006B35AB" w:rsidRPr="00FB472F">
        <w:rPr>
          <w:rFonts w:ascii="Times New Roman" w:hAnsi="Times New Roman" w:cs="Times New Roman"/>
          <w:sz w:val="24"/>
          <w:szCs w:val="22"/>
        </w:rPr>
        <w:t>was</w:t>
      </w:r>
      <w:proofErr w:type="gramEnd"/>
      <w:r w:rsidR="006B35AB" w:rsidRPr="00FB472F">
        <w:rPr>
          <w:rFonts w:ascii="Times New Roman" w:hAnsi="Times New Roman" w:cs="Times New Roman"/>
          <w:sz w:val="24"/>
          <w:szCs w:val="22"/>
        </w:rPr>
        <w:t xml:space="preserve"> expressed as Trolox (6 hydroxy-2,5,7,8- tetramethylchroman-2-carboxylic acid) equivalent in terms of m mole TE/100 g sample using following formula.</w:t>
      </w:r>
    </w:p>
    <w:p w14:paraId="6C1AC10C" w14:textId="79D93ED2" w:rsidR="006F0A67" w:rsidRPr="00FB472F" w:rsidRDefault="009570E1" w:rsidP="00CE46E5">
      <w:pPr>
        <w:spacing w:line="360" w:lineRule="auto"/>
        <w:jc w:val="both"/>
        <w:rPr>
          <w:rFonts w:ascii="Times New Roman" w:hAnsi="Times New Roman" w:cs="Times New Roman"/>
          <w:bCs/>
          <w:iCs/>
          <w:sz w:val="24"/>
          <w:szCs w:val="22"/>
        </w:rPr>
      </w:pPr>
      <m:oMathPara>
        <m:oMath>
          <m:r>
            <m:rPr>
              <m:sty m:val="p"/>
            </m:rPr>
            <w:rPr>
              <w:rFonts w:ascii="Cambria Math" w:hAnsi="Cambria Math" w:cs="Times New Roman"/>
              <w:sz w:val="24"/>
              <w:szCs w:val="22"/>
            </w:rPr>
            <m:t>μmolTE/g=</m:t>
          </m:r>
          <m:d>
            <m:dPr>
              <m:ctrlPr>
                <w:rPr>
                  <w:rFonts w:ascii="Cambria Math" w:hAnsi="Cambria Math" w:cs="Times New Roman"/>
                  <w:bCs/>
                  <w:iCs/>
                  <w:sz w:val="24"/>
                  <w:szCs w:val="22"/>
                </w:rPr>
              </m:ctrlPr>
            </m:dPr>
            <m:e>
              <m:f>
                <m:fPr>
                  <m:ctrlPr>
                    <w:rPr>
                      <w:rFonts w:ascii="Cambria Math" w:hAnsi="Cambria Math" w:cs="Times New Roman"/>
                      <w:bCs/>
                      <w:iCs/>
                      <w:sz w:val="24"/>
                      <w:szCs w:val="22"/>
                    </w:rPr>
                  </m:ctrlPr>
                </m:fPr>
                <m:num>
                  <m:r>
                    <m:rPr>
                      <m:sty m:val="p"/>
                    </m:rPr>
                    <w:rPr>
                      <w:rFonts w:ascii="Cambria Math" w:hAnsi="Cambria Math" w:cs="Times New Roman"/>
                      <w:sz w:val="24"/>
                      <w:szCs w:val="22"/>
                    </w:rPr>
                    <m:t>Af</m:t>
                  </m:r>
                </m:num>
                <m:den>
                  <m:r>
                    <m:rPr>
                      <m:sty m:val="p"/>
                    </m:rPr>
                    <w:rPr>
                      <w:rFonts w:ascii="Cambria Math" w:hAnsi="Cambria Math" w:cs="Times New Roman"/>
                      <w:sz w:val="24"/>
                      <w:szCs w:val="22"/>
                    </w:rPr>
                    <m:t>€TR</m:t>
                  </m:r>
                </m:den>
              </m:f>
            </m:e>
          </m:d>
          <m:r>
            <m:rPr>
              <m:sty m:val="p"/>
            </m:rPr>
            <w:rPr>
              <w:rFonts w:ascii="Cambria Math" w:hAnsi="Cambria Math" w:cs="Times New Roman"/>
              <w:sz w:val="24"/>
              <w:szCs w:val="22"/>
            </w:rPr>
            <m:t>(Vf/Vs)r(Vinitial/m)</m:t>
          </m:r>
        </m:oMath>
      </m:oMathPara>
    </w:p>
    <w:p w14:paraId="44304E33" w14:textId="7029C78D" w:rsidR="00CB1F4C" w:rsidRPr="00FB472F" w:rsidRDefault="006B35AB"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where, </w:t>
      </w:r>
      <w:proofErr w:type="spellStart"/>
      <w:r w:rsidRPr="00FB472F">
        <w:rPr>
          <w:rFonts w:ascii="Times New Roman" w:hAnsi="Times New Roman" w:cs="Times New Roman"/>
          <w:sz w:val="24"/>
          <w:szCs w:val="22"/>
        </w:rPr>
        <w:t>V</w:t>
      </w:r>
      <w:r w:rsidRPr="00FB472F">
        <w:rPr>
          <w:rFonts w:ascii="Times New Roman" w:hAnsi="Times New Roman" w:cs="Times New Roman"/>
          <w:sz w:val="24"/>
          <w:szCs w:val="22"/>
          <w:vertAlign w:val="subscript"/>
        </w:rPr>
        <w:t>initial</w:t>
      </w:r>
      <w:proofErr w:type="spellEnd"/>
      <w:r w:rsidRPr="00FB472F">
        <w:rPr>
          <w:rFonts w:ascii="Times New Roman" w:hAnsi="Times New Roman" w:cs="Times New Roman"/>
          <w:sz w:val="24"/>
          <w:szCs w:val="22"/>
        </w:rPr>
        <w:t xml:space="preserve"> = initial volume m = weight of sample r = dilution factor </w:t>
      </w:r>
      <w:proofErr w:type="spellStart"/>
      <w:r w:rsidRPr="00FB472F">
        <w:rPr>
          <w:rFonts w:ascii="Times New Roman" w:hAnsi="Times New Roman" w:cs="Times New Roman"/>
          <w:sz w:val="24"/>
          <w:szCs w:val="22"/>
        </w:rPr>
        <w:t>V</w:t>
      </w:r>
      <w:r w:rsidRPr="00FB472F">
        <w:rPr>
          <w:rFonts w:ascii="Times New Roman" w:hAnsi="Times New Roman" w:cs="Times New Roman"/>
          <w:sz w:val="24"/>
          <w:szCs w:val="22"/>
          <w:vertAlign w:val="subscript"/>
        </w:rPr>
        <w:t>f</w:t>
      </w:r>
      <w:proofErr w:type="spellEnd"/>
      <w:r w:rsidRPr="00FB472F">
        <w:rPr>
          <w:rFonts w:ascii="Times New Roman" w:hAnsi="Times New Roman" w:cs="Times New Roman"/>
          <w:sz w:val="24"/>
          <w:szCs w:val="22"/>
          <w:vertAlign w:val="subscript"/>
        </w:rPr>
        <w:t xml:space="preserve"> </w:t>
      </w:r>
      <w:r w:rsidRPr="00FB472F">
        <w:rPr>
          <w:rFonts w:ascii="Times New Roman" w:hAnsi="Times New Roman" w:cs="Times New Roman"/>
          <w:sz w:val="24"/>
          <w:szCs w:val="22"/>
        </w:rPr>
        <w:t>= final volume V</w:t>
      </w:r>
      <w:r w:rsidRPr="00FB472F">
        <w:rPr>
          <w:rFonts w:ascii="Times New Roman" w:hAnsi="Times New Roman" w:cs="Times New Roman"/>
          <w:sz w:val="24"/>
          <w:szCs w:val="22"/>
          <w:vertAlign w:val="subscript"/>
        </w:rPr>
        <w:t>s</w:t>
      </w:r>
      <w:r w:rsidRPr="00FB472F">
        <w:rPr>
          <w:rFonts w:ascii="Times New Roman" w:hAnsi="Times New Roman" w:cs="Times New Roman"/>
          <w:sz w:val="24"/>
          <w:szCs w:val="22"/>
        </w:rPr>
        <w:t xml:space="preserve"> = volume of aliquot </w:t>
      </w:r>
      <w:proofErr w:type="spellStart"/>
      <w:r w:rsidRPr="00FB472F">
        <w:rPr>
          <w:rFonts w:ascii="Times New Roman" w:hAnsi="Times New Roman" w:cs="Times New Roman"/>
          <w:sz w:val="24"/>
          <w:szCs w:val="22"/>
        </w:rPr>
        <w:t>A</w:t>
      </w:r>
      <w:r w:rsidRPr="00FB472F">
        <w:rPr>
          <w:rFonts w:ascii="Times New Roman" w:hAnsi="Times New Roman" w:cs="Times New Roman"/>
          <w:sz w:val="24"/>
          <w:szCs w:val="22"/>
          <w:vertAlign w:val="subscript"/>
        </w:rPr>
        <w:t>f</w:t>
      </w:r>
      <w:proofErr w:type="spellEnd"/>
      <w:r w:rsidRPr="00FB472F">
        <w:rPr>
          <w:rFonts w:ascii="Times New Roman" w:hAnsi="Times New Roman" w:cs="Times New Roman"/>
          <w:sz w:val="24"/>
          <w:szCs w:val="22"/>
          <w:vertAlign w:val="subscript"/>
        </w:rPr>
        <w:t xml:space="preserve"> </w:t>
      </w:r>
      <w:r w:rsidRPr="00FB472F">
        <w:rPr>
          <w:rFonts w:ascii="Times New Roman" w:hAnsi="Times New Roman" w:cs="Times New Roman"/>
          <w:sz w:val="24"/>
          <w:szCs w:val="22"/>
        </w:rPr>
        <w:t>= absorbance €</w:t>
      </w:r>
      <w:r w:rsidRPr="00FB472F">
        <w:rPr>
          <w:rFonts w:ascii="Times New Roman" w:hAnsi="Times New Roman" w:cs="Times New Roman"/>
          <w:sz w:val="24"/>
          <w:szCs w:val="22"/>
          <w:vertAlign w:val="subscript"/>
        </w:rPr>
        <w:t xml:space="preserve">TR </w:t>
      </w:r>
      <w:r w:rsidRPr="00FB472F">
        <w:rPr>
          <w:rFonts w:ascii="Times New Roman" w:hAnsi="Times New Roman" w:cs="Times New Roman"/>
          <w:sz w:val="24"/>
          <w:szCs w:val="22"/>
        </w:rPr>
        <w:t xml:space="preserve">= 1.67 X 10 4 </w:t>
      </w:r>
      <w:proofErr w:type="spellStart"/>
      <w:r w:rsidRPr="00FB472F">
        <w:rPr>
          <w:rFonts w:ascii="Times New Roman" w:hAnsi="Times New Roman" w:cs="Times New Roman"/>
          <w:sz w:val="24"/>
          <w:szCs w:val="22"/>
        </w:rPr>
        <w:t>Lmol</w:t>
      </w:r>
      <w:proofErr w:type="spellEnd"/>
      <w:r w:rsidRPr="00FB472F">
        <w:rPr>
          <w:rFonts w:ascii="Times New Roman" w:hAnsi="Times New Roman" w:cs="Times New Roman"/>
          <w:sz w:val="24"/>
          <w:szCs w:val="22"/>
        </w:rPr>
        <w:t xml:space="preserve"> </w:t>
      </w:r>
      <w:r w:rsidRPr="00FB472F">
        <w:rPr>
          <w:rFonts w:ascii="Times New Roman" w:hAnsi="Times New Roman" w:cs="Times New Roman"/>
          <w:sz w:val="24"/>
          <w:szCs w:val="22"/>
          <w:vertAlign w:val="superscript"/>
        </w:rPr>
        <w:t>-1</w:t>
      </w:r>
      <w:r w:rsidRPr="00FB472F">
        <w:rPr>
          <w:rFonts w:ascii="Times New Roman" w:hAnsi="Times New Roman" w:cs="Times New Roman"/>
          <w:sz w:val="24"/>
          <w:szCs w:val="22"/>
        </w:rPr>
        <w:t xml:space="preserve"> cm </w:t>
      </w:r>
      <w:r w:rsidRPr="00FB472F">
        <w:rPr>
          <w:rFonts w:ascii="Times New Roman" w:hAnsi="Times New Roman" w:cs="Times New Roman"/>
          <w:sz w:val="24"/>
          <w:szCs w:val="22"/>
          <w:vertAlign w:val="superscript"/>
        </w:rPr>
        <w:t>-1</w:t>
      </w:r>
    </w:p>
    <w:p w14:paraId="51F51022" w14:textId="27179821" w:rsidR="00DB4303"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2.6 </w:t>
      </w:r>
      <w:r w:rsidR="00DB4303" w:rsidRPr="00FB472F">
        <w:rPr>
          <w:rFonts w:ascii="Times New Roman" w:hAnsi="Times New Roman" w:cs="Times New Roman"/>
          <w:b/>
          <w:bCs/>
          <w:sz w:val="24"/>
          <w:szCs w:val="22"/>
        </w:rPr>
        <w:t xml:space="preserve">Calorific </w:t>
      </w:r>
      <w:r w:rsidR="009F0876" w:rsidRPr="00FB472F">
        <w:rPr>
          <w:rFonts w:ascii="Times New Roman" w:hAnsi="Times New Roman" w:cs="Times New Roman"/>
          <w:b/>
          <w:bCs/>
          <w:sz w:val="24"/>
          <w:szCs w:val="22"/>
        </w:rPr>
        <w:t>V</w:t>
      </w:r>
      <w:r w:rsidR="00DB4303" w:rsidRPr="00FB472F">
        <w:rPr>
          <w:rFonts w:ascii="Times New Roman" w:hAnsi="Times New Roman" w:cs="Times New Roman"/>
          <w:b/>
          <w:bCs/>
          <w:sz w:val="24"/>
          <w:szCs w:val="22"/>
        </w:rPr>
        <w:t>alue</w:t>
      </w:r>
    </w:p>
    <w:p w14:paraId="369BD1FD" w14:textId="6AB281CB" w:rsidR="00DB4303" w:rsidRPr="00FB472F" w:rsidRDefault="00DB4303"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calorific value of each sample of </w:t>
      </w:r>
      <w:r w:rsidR="00F74E6A" w:rsidRPr="00FB472F">
        <w:rPr>
          <w:rFonts w:ascii="Times New Roman" w:hAnsi="Times New Roman" w:cs="Times New Roman"/>
          <w:sz w:val="24"/>
          <w:szCs w:val="22"/>
        </w:rPr>
        <w:t xml:space="preserve">field </w:t>
      </w:r>
      <w:r w:rsidR="001C7889" w:rsidRPr="00FB472F">
        <w:rPr>
          <w:rFonts w:ascii="Times New Roman" w:hAnsi="Times New Roman" w:cs="Times New Roman"/>
          <w:sz w:val="24"/>
          <w:szCs w:val="22"/>
        </w:rPr>
        <w:t>pea</w:t>
      </w:r>
      <w:r w:rsidRPr="00FB472F">
        <w:rPr>
          <w:rFonts w:ascii="Times New Roman" w:hAnsi="Times New Roman" w:cs="Times New Roman"/>
          <w:sz w:val="24"/>
          <w:szCs w:val="22"/>
        </w:rPr>
        <w:t xml:space="preserve"> was determined with the help of IKA C200 Bomb Calorimeter. The readings were calibrated as per benzoic acid tablets. For </w:t>
      </w:r>
      <w:proofErr w:type="spellStart"/>
      <w:r w:rsidRPr="00FB472F">
        <w:rPr>
          <w:rFonts w:ascii="Times New Roman" w:hAnsi="Times New Roman" w:cs="Times New Roman"/>
          <w:sz w:val="24"/>
          <w:szCs w:val="22"/>
        </w:rPr>
        <w:t>isoperibol</w:t>
      </w:r>
      <w:proofErr w:type="spellEnd"/>
      <w:r w:rsidRPr="00FB472F">
        <w:rPr>
          <w:rFonts w:ascii="Times New Roman" w:hAnsi="Times New Roman" w:cs="Times New Roman"/>
          <w:sz w:val="24"/>
          <w:szCs w:val="22"/>
        </w:rPr>
        <w:t xml:space="preserve"> testing water temperature was maintained at 20-25</w:t>
      </w:r>
      <w:r w:rsidRPr="00FB472F">
        <w:rPr>
          <w:rFonts w:ascii="Times New Roman" w:hAnsi="Times New Roman" w:cs="Times New Roman"/>
          <w:sz w:val="24"/>
          <w:szCs w:val="22"/>
          <w:vertAlign w:val="superscript"/>
        </w:rPr>
        <w:t>0</w:t>
      </w:r>
      <w:r w:rsidRPr="00FB472F">
        <w:rPr>
          <w:rFonts w:ascii="Times New Roman" w:hAnsi="Times New Roman" w:cs="Times New Roman"/>
          <w:sz w:val="24"/>
          <w:szCs w:val="22"/>
        </w:rPr>
        <w:t xml:space="preserve">C. Bomb is placed in calorimeter after filling oxygen at 30 psi. Observations </w:t>
      </w:r>
      <w:r w:rsidR="001C7889" w:rsidRPr="00FB472F">
        <w:rPr>
          <w:rFonts w:ascii="Times New Roman" w:hAnsi="Times New Roman" w:cs="Times New Roman"/>
          <w:sz w:val="24"/>
          <w:szCs w:val="22"/>
        </w:rPr>
        <w:t>were</w:t>
      </w:r>
      <w:r w:rsidRPr="00FB472F">
        <w:rPr>
          <w:rFonts w:ascii="Times New Roman" w:hAnsi="Times New Roman" w:cs="Times New Roman"/>
          <w:sz w:val="24"/>
          <w:szCs w:val="22"/>
        </w:rPr>
        <w:t xml:space="preserve"> recorded in </w:t>
      </w:r>
      <w:proofErr w:type="spellStart"/>
      <w:r w:rsidR="00F74E6A" w:rsidRPr="00FB472F">
        <w:rPr>
          <w:rFonts w:ascii="Times New Roman" w:hAnsi="Times New Roman" w:cs="Times New Roman"/>
          <w:sz w:val="24"/>
          <w:szCs w:val="22"/>
        </w:rPr>
        <w:t>cal</w:t>
      </w:r>
      <w:proofErr w:type="spellEnd"/>
      <w:r w:rsidRPr="00FB472F">
        <w:rPr>
          <w:rFonts w:ascii="Times New Roman" w:hAnsi="Times New Roman" w:cs="Times New Roman"/>
          <w:sz w:val="24"/>
          <w:szCs w:val="22"/>
        </w:rPr>
        <w:t>/g and expressed in kcal/100 g. Procedure recommended by the manufacturer of the calorimeter was adopted.</w:t>
      </w:r>
    </w:p>
    <w:p w14:paraId="59968262" w14:textId="17E2E071" w:rsidR="00DB4303"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2.7 </w:t>
      </w:r>
      <w:r w:rsidR="00DB4303" w:rsidRPr="00FB472F">
        <w:rPr>
          <w:rFonts w:ascii="Times New Roman" w:hAnsi="Times New Roman" w:cs="Times New Roman"/>
          <w:b/>
          <w:bCs/>
          <w:sz w:val="24"/>
          <w:szCs w:val="22"/>
        </w:rPr>
        <w:t xml:space="preserve">Statical </w:t>
      </w:r>
      <w:r w:rsidR="009F0876" w:rsidRPr="00FB472F">
        <w:rPr>
          <w:rFonts w:ascii="Times New Roman" w:hAnsi="Times New Roman" w:cs="Times New Roman"/>
          <w:b/>
          <w:bCs/>
          <w:sz w:val="24"/>
          <w:szCs w:val="22"/>
        </w:rPr>
        <w:t>A</w:t>
      </w:r>
      <w:r w:rsidR="00DB4303" w:rsidRPr="00FB472F">
        <w:rPr>
          <w:rFonts w:ascii="Times New Roman" w:hAnsi="Times New Roman" w:cs="Times New Roman"/>
          <w:b/>
          <w:bCs/>
          <w:sz w:val="24"/>
          <w:szCs w:val="22"/>
        </w:rPr>
        <w:t>nalysis</w:t>
      </w:r>
    </w:p>
    <w:p w14:paraId="066FDED2" w14:textId="3B83A11F" w:rsidR="00DB4303" w:rsidRPr="00FB472F" w:rsidRDefault="00635648"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All the observations were recorded in triplicates and the data presented with average mean values (± S.D.). Significance test was accepted at p </w:t>
      </w:r>
      <w:r w:rsidRPr="00FB472F">
        <w:rPr>
          <w:rFonts w:ascii="Times New Roman" w:hAnsi="Times New Roman" w:cs="Times New Roman"/>
          <w:sz w:val="24"/>
          <w:szCs w:val="22"/>
        </w:rPr>
        <w:sym w:font="Symbol" w:char="F0A3"/>
      </w:r>
      <w:r w:rsidRPr="00FB472F">
        <w:rPr>
          <w:rFonts w:ascii="Times New Roman" w:hAnsi="Times New Roman" w:cs="Times New Roman"/>
          <w:sz w:val="24"/>
          <w:szCs w:val="22"/>
        </w:rPr>
        <w:t xml:space="preserve"> 0.05.</w:t>
      </w:r>
    </w:p>
    <w:p w14:paraId="278B0530" w14:textId="7C70563E" w:rsidR="00640010" w:rsidRPr="00FB472F" w:rsidRDefault="009F0876" w:rsidP="00F74E6A">
      <w:pPr>
        <w:pStyle w:val="ListParagraph"/>
        <w:numPr>
          <w:ilvl w:val="0"/>
          <w:numId w:val="3"/>
        </w:numPr>
        <w:spacing w:line="360" w:lineRule="auto"/>
        <w:ind w:left="284" w:hanging="284"/>
        <w:jc w:val="both"/>
        <w:rPr>
          <w:rFonts w:ascii="Times New Roman" w:hAnsi="Times New Roman" w:cs="Times New Roman"/>
          <w:b/>
          <w:bCs/>
          <w:sz w:val="24"/>
          <w:szCs w:val="22"/>
        </w:rPr>
      </w:pPr>
      <w:r w:rsidRPr="00FB472F">
        <w:rPr>
          <w:rFonts w:ascii="Times New Roman" w:hAnsi="Times New Roman" w:cs="Times New Roman"/>
          <w:b/>
          <w:bCs/>
          <w:sz w:val="24"/>
          <w:szCs w:val="22"/>
        </w:rPr>
        <w:t>RESULT AND DISCUSSION</w:t>
      </w:r>
    </w:p>
    <w:p w14:paraId="2895E182" w14:textId="0173D05F" w:rsidR="00640010"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3.1 </w:t>
      </w:r>
      <w:r w:rsidR="00640010" w:rsidRPr="00FB472F">
        <w:rPr>
          <w:rFonts w:ascii="Times New Roman" w:hAnsi="Times New Roman" w:cs="Times New Roman"/>
          <w:b/>
          <w:bCs/>
          <w:sz w:val="24"/>
          <w:szCs w:val="22"/>
        </w:rPr>
        <w:t xml:space="preserve">Dal and </w:t>
      </w:r>
      <w:r w:rsidR="009F0876" w:rsidRPr="00FB472F">
        <w:rPr>
          <w:rFonts w:ascii="Times New Roman" w:hAnsi="Times New Roman" w:cs="Times New Roman"/>
          <w:b/>
          <w:bCs/>
          <w:sz w:val="24"/>
          <w:szCs w:val="22"/>
        </w:rPr>
        <w:t>B</w:t>
      </w:r>
      <w:r w:rsidR="007F43F2" w:rsidRPr="00FB472F">
        <w:rPr>
          <w:rFonts w:ascii="Times New Roman" w:hAnsi="Times New Roman" w:cs="Times New Roman"/>
          <w:b/>
          <w:bCs/>
          <w:sz w:val="24"/>
          <w:szCs w:val="22"/>
        </w:rPr>
        <w:t>yproduct</w:t>
      </w:r>
      <w:r w:rsidR="00640010" w:rsidRPr="00FB472F">
        <w:rPr>
          <w:rFonts w:ascii="Times New Roman" w:hAnsi="Times New Roman" w:cs="Times New Roman"/>
          <w:b/>
          <w:bCs/>
          <w:sz w:val="24"/>
          <w:szCs w:val="22"/>
        </w:rPr>
        <w:t xml:space="preserve"> </w:t>
      </w:r>
      <w:r w:rsidR="009F0876" w:rsidRPr="00FB472F">
        <w:rPr>
          <w:rFonts w:ascii="Times New Roman" w:hAnsi="Times New Roman" w:cs="Times New Roman"/>
          <w:b/>
          <w:bCs/>
          <w:sz w:val="24"/>
          <w:szCs w:val="22"/>
        </w:rPr>
        <w:t>R</w:t>
      </w:r>
      <w:r w:rsidR="00640010" w:rsidRPr="00FB472F">
        <w:rPr>
          <w:rFonts w:ascii="Times New Roman" w:hAnsi="Times New Roman" w:cs="Times New Roman"/>
          <w:b/>
          <w:bCs/>
          <w:sz w:val="24"/>
          <w:szCs w:val="22"/>
        </w:rPr>
        <w:t>ecovery</w:t>
      </w:r>
    </w:p>
    <w:p w14:paraId="07ECC875" w14:textId="06F81EDD" w:rsidR="00E9635B" w:rsidRPr="00FB472F" w:rsidRDefault="00AD248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The dehusked split cotyledons (dal) produced from the selected field pea cultivars</w:t>
      </w:r>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IPFD-99-13, IPF-5-19, and IPFD-1-10</w:t>
      </w:r>
      <w:r w:rsidR="00445F3B"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showed recovery percentages of 73.40%, 71.46%, and 72.40%, respectively. Alongside dal production, significant quantities of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were also generated. For IPFD-99-13, the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yield was </w:t>
      </w:r>
      <w:r w:rsidR="001562BD" w:rsidRPr="00FB472F">
        <w:rPr>
          <w:rFonts w:ascii="Times New Roman" w:hAnsi="Times New Roman" w:cs="Times New Roman"/>
          <w:sz w:val="24"/>
          <w:szCs w:val="22"/>
        </w:rPr>
        <w:t>26.41</w:t>
      </w:r>
      <w:r w:rsidRPr="00FB472F">
        <w:rPr>
          <w:rFonts w:ascii="Times New Roman" w:hAnsi="Times New Roman" w:cs="Times New Roman"/>
          <w:sz w:val="24"/>
          <w:szCs w:val="22"/>
        </w:rPr>
        <w:t xml:space="preserve">%, whereas for IPF-5-19 and IPFD-1-10, it was </w:t>
      </w:r>
      <w:r w:rsidR="001562BD" w:rsidRPr="00FB472F">
        <w:rPr>
          <w:rFonts w:ascii="Times New Roman" w:hAnsi="Times New Roman" w:cs="Times New Roman"/>
          <w:sz w:val="24"/>
          <w:szCs w:val="22"/>
        </w:rPr>
        <w:t>28</w:t>
      </w:r>
      <w:r w:rsidRPr="00FB472F">
        <w:rPr>
          <w:rFonts w:ascii="Times New Roman" w:hAnsi="Times New Roman" w:cs="Times New Roman"/>
          <w:sz w:val="24"/>
          <w:szCs w:val="22"/>
        </w:rPr>
        <w:t>.</w:t>
      </w:r>
      <w:r w:rsidR="001562BD" w:rsidRPr="00FB472F">
        <w:rPr>
          <w:rFonts w:ascii="Times New Roman" w:hAnsi="Times New Roman" w:cs="Times New Roman"/>
          <w:sz w:val="24"/>
          <w:szCs w:val="22"/>
        </w:rPr>
        <w:t>04</w:t>
      </w:r>
      <w:r w:rsidRPr="00FB472F">
        <w:rPr>
          <w:rFonts w:ascii="Times New Roman" w:hAnsi="Times New Roman" w:cs="Times New Roman"/>
          <w:sz w:val="24"/>
          <w:szCs w:val="22"/>
        </w:rPr>
        <w:t>% and 27.</w:t>
      </w:r>
      <w:r w:rsidR="001562BD" w:rsidRPr="00FB472F">
        <w:rPr>
          <w:rFonts w:ascii="Times New Roman" w:hAnsi="Times New Roman" w:cs="Times New Roman"/>
          <w:sz w:val="24"/>
          <w:szCs w:val="22"/>
        </w:rPr>
        <w:t>46</w:t>
      </w:r>
      <w:r w:rsidRPr="00FB472F">
        <w:rPr>
          <w:rFonts w:ascii="Times New Roman" w:hAnsi="Times New Roman" w:cs="Times New Roman"/>
          <w:sz w:val="24"/>
          <w:szCs w:val="22"/>
        </w:rPr>
        <w:t xml:space="preserve">%, respectively. Upon further fractionation of these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a considerable proportion comprised husk and broken seed particles that were </w:t>
      </w:r>
      <w:r w:rsidRPr="00FB472F">
        <w:rPr>
          <w:rFonts w:ascii="Times New Roman" w:hAnsi="Times New Roman" w:cs="Times New Roman"/>
          <w:sz w:val="24"/>
          <w:szCs w:val="22"/>
        </w:rPr>
        <w:lastRenderedPageBreak/>
        <w:t xml:space="preserve">retained on a sieve with openings greater than 0.25 mm. These coarse fractions were recorded as 41.51% for IPFD-99-13, 44.12% for IPF-5-19, and 40.53% for IPFD-1-10. In addition to the coarse fraction, a fine powder fraction was also obtained, which passed through the 0.25 mm sieve. This powder fraction accounted for 24.28%, 26.47%, and 27.91% of the total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for the respective cultivars. These findings suggest that approximately 26% of </w:t>
      </w:r>
      <w:r w:rsidR="001562BD" w:rsidRPr="00FB472F">
        <w:rPr>
          <w:rFonts w:ascii="Times New Roman" w:hAnsi="Times New Roman" w:cs="Times New Roman"/>
          <w:sz w:val="24"/>
          <w:szCs w:val="22"/>
        </w:rPr>
        <w:t xml:space="preserve">cotyledon powder can be recovered from </w:t>
      </w:r>
      <w:r w:rsidRPr="00FB472F">
        <w:rPr>
          <w:rFonts w:ascii="Times New Roman" w:hAnsi="Times New Roman" w:cs="Times New Roman"/>
          <w:sz w:val="24"/>
          <w:szCs w:val="22"/>
        </w:rPr>
        <w:t xml:space="preserve">the total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w:t>
      </w:r>
      <w:r w:rsidR="001562BD" w:rsidRPr="00FB472F">
        <w:rPr>
          <w:rFonts w:ascii="Times New Roman" w:hAnsi="Times New Roman" w:cs="Times New Roman"/>
          <w:sz w:val="24"/>
          <w:szCs w:val="22"/>
        </w:rPr>
        <w:t xml:space="preserve">produced </w:t>
      </w:r>
      <w:r w:rsidRPr="00FB472F">
        <w:rPr>
          <w:rFonts w:ascii="Times New Roman" w:hAnsi="Times New Roman" w:cs="Times New Roman"/>
          <w:sz w:val="24"/>
          <w:szCs w:val="22"/>
        </w:rPr>
        <w:t>from the abrasive dehusking of field pea</w:t>
      </w:r>
      <w:r w:rsidR="001562BD" w:rsidRPr="00FB472F">
        <w:rPr>
          <w:rFonts w:ascii="Times New Roman" w:hAnsi="Times New Roman" w:cs="Times New Roman"/>
          <w:sz w:val="24"/>
          <w:szCs w:val="22"/>
        </w:rPr>
        <w:t>.</w:t>
      </w:r>
      <w:r w:rsidRPr="00FB472F">
        <w:rPr>
          <w:rFonts w:ascii="Times New Roman" w:hAnsi="Times New Roman" w:cs="Times New Roman"/>
          <w:sz w:val="24"/>
          <w:szCs w:val="22"/>
        </w:rPr>
        <w:t xml:space="preserve"> This component holds potential for utilization in value-added products or functional food formulations, highlighting the efficiency of the abrasive dehusking process in not only producing dal but also in generating useful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r w:rsidR="00506B4A" w:rsidRPr="00FB472F">
        <w:rPr>
          <w:rFonts w:ascii="Times New Roman" w:hAnsi="Times New Roman" w:cs="Times New Roman"/>
          <w:sz w:val="24"/>
          <w:szCs w:val="22"/>
        </w:rPr>
        <w:t xml:space="preserve"> Verma</w:t>
      </w:r>
      <w:r w:rsidR="00471A74" w:rsidRPr="00FB472F">
        <w:rPr>
          <w:rFonts w:ascii="Times New Roman" w:hAnsi="Times New Roman" w:cs="Times New Roman"/>
          <w:sz w:val="24"/>
          <w:szCs w:val="22"/>
        </w:rPr>
        <w:t xml:space="preserve"> et al.,</w:t>
      </w:r>
      <w:r w:rsidR="00506B4A" w:rsidRPr="00FB472F">
        <w:rPr>
          <w:rFonts w:ascii="Times New Roman" w:hAnsi="Times New Roman" w:cs="Times New Roman"/>
          <w:sz w:val="24"/>
          <w:szCs w:val="22"/>
        </w:rPr>
        <w:t xml:space="preserve"> (2022) reported the dal recovery percentages in </w:t>
      </w:r>
      <w:proofErr w:type="spellStart"/>
      <w:r w:rsidR="00506B4A" w:rsidRPr="00FB472F">
        <w:rPr>
          <w:rFonts w:ascii="Times New Roman" w:hAnsi="Times New Roman" w:cs="Times New Roman"/>
          <w:sz w:val="24"/>
          <w:szCs w:val="22"/>
        </w:rPr>
        <w:t>mungbean</w:t>
      </w:r>
      <w:proofErr w:type="spellEnd"/>
      <w:r w:rsidR="00506B4A" w:rsidRPr="00FB472F">
        <w:rPr>
          <w:rFonts w:ascii="Times New Roman" w:hAnsi="Times New Roman" w:cs="Times New Roman"/>
          <w:sz w:val="24"/>
          <w:szCs w:val="22"/>
        </w:rPr>
        <w:t xml:space="preserve"> seeds for different fractions. The study found that the </w:t>
      </w:r>
      <w:proofErr w:type="spellStart"/>
      <w:r w:rsidR="001562BD" w:rsidRPr="00FB472F">
        <w:rPr>
          <w:rFonts w:ascii="Times New Roman" w:hAnsi="Times New Roman" w:cs="Times New Roman"/>
          <w:sz w:val="24"/>
          <w:szCs w:val="22"/>
        </w:rPr>
        <w:t>mungbean</w:t>
      </w:r>
      <w:proofErr w:type="spellEnd"/>
      <w:r w:rsidR="001562BD" w:rsidRPr="00FB472F">
        <w:rPr>
          <w:rFonts w:ascii="Times New Roman" w:hAnsi="Times New Roman" w:cs="Times New Roman"/>
          <w:sz w:val="24"/>
          <w:szCs w:val="22"/>
        </w:rPr>
        <w:t xml:space="preserve"> </w:t>
      </w:r>
      <w:r w:rsidR="00506B4A" w:rsidRPr="00FB472F">
        <w:rPr>
          <w:rFonts w:ascii="Times New Roman" w:hAnsi="Times New Roman" w:cs="Times New Roman"/>
          <w:sz w:val="24"/>
          <w:szCs w:val="22"/>
        </w:rPr>
        <w:t>dal recovery was approximately 76.7% for the Shikha variety and 73.6% for the Virat variety.</w:t>
      </w:r>
      <w:r w:rsidR="00E37613" w:rsidRPr="00FB472F">
        <w:rPr>
          <w:rFonts w:ascii="Times New Roman" w:hAnsi="Times New Roman" w:cs="Times New Roman"/>
          <w:sz w:val="24"/>
          <w:szCs w:val="22"/>
        </w:rPr>
        <w:t xml:space="preserve">  </w:t>
      </w:r>
      <w:proofErr w:type="spellStart"/>
      <w:r w:rsidR="00E37613" w:rsidRPr="00FB472F">
        <w:rPr>
          <w:rFonts w:ascii="Times New Roman" w:hAnsi="Times New Roman" w:cs="Times New Roman"/>
          <w:sz w:val="24"/>
          <w:szCs w:val="22"/>
        </w:rPr>
        <w:t>Hiregoudar</w:t>
      </w:r>
      <w:proofErr w:type="spellEnd"/>
      <w:r w:rsidR="00F233B2" w:rsidRPr="00FB472F">
        <w:rPr>
          <w:rFonts w:ascii="Times New Roman" w:hAnsi="Times New Roman" w:cs="Times New Roman"/>
          <w:sz w:val="24"/>
          <w:szCs w:val="22"/>
        </w:rPr>
        <w:t xml:space="preserve"> et al.</w:t>
      </w:r>
      <w:r w:rsidR="00E37613" w:rsidRPr="00FB472F">
        <w:rPr>
          <w:rFonts w:ascii="Times New Roman" w:hAnsi="Times New Roman" w:cs="Times New Roman"/>
          <w:sz w:val="24"/>
          <w:szCs w:val="22"/>
        </w:rPr>
        <w:t xml:space="preserve"> (2014)</w:t>
      </w:r>
      <w:r w:rsidR="00F233B2" w:rsidRPr="00FB472F">
        <w:rPr>
          <w:rFonts w:ascii="Times New Roman" w:hAnsi="Times New Roman" w:cs="Times New Roman"/>
          <w:sz w:val="24"/>
          <w:szCs w:val="22"/>
        </w:rPr>
        <w:t>,</w:t>
      </w:r>
      <w:r w:rsidR="00E37613" w:rsidRPr="00FB472F">
        <w:rPr>
          <w:rFonts w:ascii="Times New Roman" w:hAnsi="Times New Roman" w:cs="Times New Roman"/>
          <w:sz w:val="24"/>
          <w:szCs w:val="22"/>
        </w:rPr>
        <w:t xml:space="preserve"> observed that among the pigeon pea varieties tested, </w:t>
      </w:r>
      <w:proofErr w:type="spellStart"/>
      <w:r w:rsidR="00E37613" w:rsidRPr="00FB472F">
        <w:rPr>
          <w:rFonts w:ascii="Times New Roman" w:hAnsi="Times New Roman" w:cs="Times New Roman"/>
          <w:sz w:val="24"/>
          <w:szCs w:val="22"/>
        </w:rPr>
        <w:t>Gulyal</w:t>
      </w:r>
      <w:proofErr w:type="spellEnd"/>
      <w:r w:rsidR="001562BD" w:rsidRPr="00FB472F">
        <w:rPr>
          <w:rFonts w:ascii="Times New Roman" w:hAnsi="Times New Roman" w:cs="Times New Roman"/>
          <w:sz w:val="24"/>
          <w:szCs w:val="22"/>
        </w:rPr>
        <w:t>,</w:t>
      </w:r>
      <w:r w:rsidR="00E37613" w:rsidRPr="00FB472F">
        <w:rPr>
          <w:rFonts w:ascii="Times New Roman" w:hAnsi="Times New Roman" w:cs="Times New Roman"/>
          <w:sz w:val="24"/>
          <w:szCs w:val="22"/>
        </w:rPr>
        <w:t xml:space="preserve"> treated with mustard oil exhibited the highest hulling efficiency at 79.4%, along with the highest finished product yield of 68.8</w:t>
      </w:r>
      <w:r w:rsidR="001562BD" w:rsidRPr="00FB472F">
        <w:rPr>
          <w:rFonts w:ascii="Times New Roman" w:hAnsi="Times New Roman" w:cs="Times New Roman"/>
          <w:sz w:val="24"/>
          <w:szCs w:val="22"/>
        </w:rPr>
        <w:t>0</w:t>
      </w:r>
      <w:r w:rsidR="00E37613" w:rsidRPr="00FB472F">
        <w:rPr>
          <w:rFonts w:ascii="Times New Roman" w:hAnsi="Times New Roman" w:cs="Times New Roman"/>
          <w:sz w:val="24"/>
          <w:szCs w:val="22"/>
        </w:rPr>
        <w:t>%, in comparison to Maruti and Asha varieties. In contrast, when treated with acetic acid, the Maruti variety showed improved hulling efficiency of 76.5%, followed by Asha, which recorded 56.9%.</w:t>
      </w:r>
      <w:r w:rsidR="00E9635B" w:rsidRPr="00FB472F">
        <w:rPr>
          <w:rFonts w:ascii="Times New Roman" w:hAnsi="Times New Roman" w:cs="Times New Roman"/>
          <w:sz w:val="28"/>
          <w:szCs w:val="24"/>
        </w:rPr>
        <w:t xml:space="preserve"> </w:t>
      </w:r>
      <w:r w:rsidR="00E9635B" w:rsidRPr="00FB472F">
        <w:rPr>
          <w:rFonts w:ascii="Times New Roman" w:hAnsi="Times New Roman" w:cs="Times New Roman"/>
          <w:sz w:val="24"/>
          <w:szCs w:val="22"/>
        </w:rPr>
        <w:t xml:space="preserve">Srivastava </w:t>
      </w:r>
      <w:r w:rsidR="00F233B2" w:rsidRPr="00FB472F">
        <w:rPr>
          <w:rFonts w:ascii="Times New Roman" w:hAnsi="Times New Roman" w:cs="Times New Roman"/>
          <w:sz w:val="24"/>
          <w:szCs w:val="22"/>
        </w:rPr>
        <w:t>et al.</w:t>
      </w:r>
      <w:r w:rsidR="00E9635B" w:rsidRPr="00FB472F">
        <w:rPr>
          <w:rFonts w:ascii="Times New Roman" w:hAnsi="Times New Roman" w:cs="Times New Roman"/>
          <w:sz w:val="24"/>
          <w:szCs w:val="22"/>
        </w:rPr>
        <w:t xml:space="preserve"> (2009)</w:t>
      </w:r>
      <w:r w:rsidR="00F233B2" w:rsidRPr="00FB472F">
        <w:rPr>
          <w:rFonts w:ascii="Times New Roman" w:hAnsi="Times New Roman" w:cs="Times New Roman"/>
          <w:sz w:val="24"/>
          <w:szCs w:val="22"/>
        </w:rPr>
        <w:t>,</w:t>
      </w:r>
      <w:r w:rsidR="00E9635B" w:rsidRPr="00FB472F">
        <w:rPr>
          <w:rFonts w:ascii="Times New Roman" w:hAnsi="Times New Roman" w:cs="Times New Roman"/>
          <w:sz w:val="24"/>
          <w:szCs w:val="22"/>
        </w:rPr>
        <w:t xml:space="preserve"> reported that among different varieties of field pea, the maximum soluble protein content was observed to be 22.9% in JP-885.</w:t>
      </w:r>
    </w:p>
    <w:p w14:paraId="120BEDA0" w14:textId="745729B0" w:rsidR="006327CE" w:rsidRPr="00FB472F" w:rsidRDefault="006327CE" w:rsidP="00CE46E5">
      <w:pPr>
        <w:spacing w:line="360" w:lineRule="auto"/>
        <w:jc w:val="both"/>
        <w:rPr>
          <w:rFonts w:ascii="Times New Roman" w:hAnsi="Times New Roman" w:cs="Times New Roman"/>
          <w:b/>
          <w:bCs/>
          <w:sz w:val="24"/>
          <w:szCs w:val="24"/>
        </w:rPr>
      </w:pPr>
      <w:r w:rsidRPr="00FB472F">
        <w:rPr>
          <w:rFonts w:ascii="Times New Roman" w:hAnsi="Times New Roman" w:cs="Times New Roman"/>
          <w:b/>
          <w:bCs/>
          <w:sz w:val="24"/>
          <w:szCs w:val="24"/>
        </w:rPr>
        <w:t>Table 1</w:t>
      </w:r>
      <w:r w:rsidR="009F0876" w:rsidRPr="00FB472F">
        <w:rPr>
          <w:rFonts w:ascii="Times New Roman" w:hAnsi="Times New Roman" w:cs="Times New Roman"/>
          <w:b/>
          <w:bCs/>
          <w:sz w:val="24"/>
          <w:szCs w:val="24"/>
        </w:rPr>
        <w:t>.</w:t>
      </w:r>
      <w:r w:rsidRPr="00FB472F">
        <w:rPr>
          <w:rFonts w:ascii="Times New Roman" w:hAnsi="Times New Roman" w:cs="Times New Roman"/>
          <w:b/>
          <w:bCs/>
          <w:sz w:val="24"/>
          <w:szCs w:val="24"/>
        </w:rPr>
        <w:t xml:space="preserve"> Percentage recovery of dal and </w:t>
      </w:r>
      <w:r w:rsidR="007F43F2" w:rsidRPr="00FB472F">
        <w:rPr>
          <w:rFonts w:ascii="Times New Roman" w:hAnsi="Times New Roman" w:cs="Times New Roman"/>
          <w:b/>
          <w:bCs/>
          <w:sz w:val="24"/>
          <w:szCs w:val="24"/>
        </w:rPr>
        <w:t>byproduct</w:t>
      </w:r>
      <w:r w:rsidRPr="00FB472F">
        <w:rPr>
          <w:rFonts w:ascii="Times New Roman" w:hAnsi="Times New Roman" w:cs="Times New Roman"/>
          <w:b/>
          <w:bCs/>
          <w:sz w:val="24"/>
          <w:szCs w:val="24"/>
        </w:rPr>
        <w:t xml:space="preserve">, and fractions of milling </w:t>
      </w:r>
      <w:r w:rsidR="007F43F2" w:rsidRPr="00FB472F">
        <w:rPr>
          <w:rFonts w:ascii="Times New Roman" w:hAnsi="Times New Roman" w:cs="Times New Roman"/>
          <w:b/>
          <w:bCs/>
          <w:sz w:val="24"/>
          <w:szCs w:val="24"/>
        </w:rPr>
        <w:t>byproduct</w:t>
      </w:r>
      <w:r w:rsidRPr="00FB472F">
        <w:rPr>
          <w:rFonts w:ascii="Times New Roman" w:hAnsi="Times New Roman" w:cs="Times New Roman"/>
          <w:b/>
          <w:bCs/>
          <w:sz w:val="24"/>
          <w:szCs w:val="24"/>
        </w:rPr>
        <w:t xml:space="preserve"> </w:t>
      </w:r>
    </w:p>
    <w:tbl>
      <w:tblPr>
        <w:tblStyle w:val="TableGrid"/>
        <w:tblW w:w="9628" w:type="dxa"/>
        <w:tblInd w:w="-318" w:type="dxa"/>
        <w:tblLook w:val="04A0" w:firstRow="1" w:lastRow="0" w:firstColumn="1" w:lastColumn="0" w:noHBand="0" w:noVBand="1"/>
      </w:tblPr>
      <w:tblGrid>
        <w:gridCol w:w="3154"/>
        <w:gridCol w:w="2164"/>
        <w:gridCol w:w="1437"/>
        <w:gridCol w:w="1437"/>
        <w:gridCol w:w="1436"/>
      </w:tblGrid>
      <w:tr w:rsidR="00A3154B" w:rsidRPr="00FB472F" w14:paraId="3756AE28" w14:textId="77777777" w:rsidTr="00BC3686">
        <w:trPr>
          <w:trHeight w:val="397"/>
        </w:trPr>
        <w:tc>
          <w:tcPr>
            <w:tcW w:w="3154" w:type="dxa"/>
            <w:noWrap/>
            <w:hideMark/>
          </w:tcPr>
          <w:p w14:paraId="0CD3D8C8"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 xml:space="preserve">              Samples</w:t>
            </w:r>
          </w:p>
        </w:tc>
        <w:tc>
          <w:tcPr>
            <w:tcW w:w="2164" w:type="dxa"/>
            <w:noWrap/>
            <w:hideMark/>
          </w:tcPr>
          <w:p w14:paraId="36302D6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   </w:t>
            </w:r>
            <w:r w:rsidRPr="00FB472F">
              <w:rPr>
                <w:rFonts w:ascii="Times New Roman" w:hAnsi="Times New Roman" w:cs="Times New Roman"/>
                <w:b/>
                <w:bCs/>
                <w:sz w:val="24"/>
                <w:szCs w:val="24"/>
              </w:rPr>
              <w:t xml:space="preserve">  Sieve Size</w:t>
            </w:r>
          </w:p>
        </w:tc>
        <w:tc>
          <w:tcPr>
            <w:tcW w:w="1437" w:type="dxa"/>
          </w:tcPr>
          <w:p w14:paraId="714B6DFC"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IPFD-99-13</w:t>
            </w:r>
          </w:p>
        </w:tc>
        <w:tc>
          <w:tcPr>
            <w:tcW w:w="1437" w:type="dxa"/>
          </w:tcPr>
          <w:p w14:paraId="75C75002"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IPF-5-19</w:t>
            </w:r>
          </w:p>
        </w:tc>
        <w:tc>
          <w:tcPr>
            <w:tcW w:w="1436" w:type="dxa"/>
          </w:tcPr>
          <w:p w14:paraId="7A55597B"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IPFD-1-10</w:t>
            </w:r>
          </w:p>
        </w:tc>
      </w:tr>
      <w:tr w:rsidR="00A3154B" w:rsidRPr="00FB472F" w14:paraId="1802DBB0" w14:textId="77777777" w:rsidTr="00BC3686">
        <w:trPr>
          <w:trHeight w:val="371"/>
        </w:trPr>
        <w:tc>
          <w:tcPr>
            <w:tcW w:w="3154" w:type="dxa"/>
            <w:noWrap/>
            <w:hideMark/>
          </w:tcPr>
          <w:p w14:paraId="136412B8"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Whole seed </w:t>
            </w:r>
          </w:p>
        </w:tc>
        <w:tc>
          <w:tcPr>
            <w:tcW w:w="2164" w:type="dxa"/>
            <w:noWrap/>
            <w:hideMark/>
          </w:tcPr>
          <w:p w14:paraId="012EDCB0"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1437" w:type="dxa"/>
          </w:tcPr>
          <w:p w14:paraId="7DD4F61E" w14:textId="77777777" w:rsidR="00A3154B" w:rsidRPr="00FB472F" w:rsidRDefault="00A3154B" w:rsidP="008E4365">
            <w:pPr>
              <w:rPr>
                <w:rFonts w:ascii="Times New Roman" w:hAnsi="Times New Roman" w:cs="Times New Roman"/>
                <w:sz w:val="24"/>
                <w:szCs w:val="24"/>
              </w:rPr>
            </w:pPr>
          </w:p>
        </w:tc>
        <w:tc>
          <w:tcPr>
            <w:tcW w:w="1437" w:type="dxa"/>
          </w:tcPr>
          <w:p w14:paraId="6DF2E737" w14:textId="77777777" w:rsidR="00A3154B" w:rsidRPr="00FB472F" w:rsidRDefault="00A3154B" w:rsidP="008E4365">
            <w:pPr>
              <w:rPr>
                <w:rFonts w:ascii="Times New Roman" w:hAnsi="Times New Roman" w:cs="Times New Roman"/>
                <w:sz w:val="24"/>
                <w:szCs w:val="24"/>
              </w:rPr>
            </w:pPr>
          </w:p>
        </w:tc>
        <w:tc>
          <w:tcPr>
            <w:tcW w:w="1436" w:type="dxa"/>
          </w:tcPr>
          <w:p w14:paraId="1A9D1A33" w14:textId="77777777" w:rsidR="00A3154B" w:rsidRPr="00FB472F" w:rsidRDefault="00A3154B" w:rsidP="008E4365">
            <w:pPr>
              <w:rPr>
                <w:rFonts w:ascii="Times New Roman" w:hAnsi="Times New Roman" w:cs="Times New Roman"/>
                <w:sz w:val="24"/>
                <w:szCs w:val="24"/>
              </w:rPr>
            </w:pPr>
          </w:p>
        </w:tc>
      </w:tr>
      <w:tr w:rsidR="00A3154B" w:rsidRPr="00FB472F" w14:paraId="7DDFB6CB" w14:textId="77777777" w:rsidTr="00BC3686">
        <w:trPr>
          <w:trHeight w:val="371"/>
        </w:trPr>
        <w:tc>
          <w:tcPr>
            <w:tcW w:w="3154" w:type="dxa"/>
            <w:noWrap/>
            <w:hideMark/>
          </w:tcPr>
          <w:p w14:paraId="40B2BB84"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Dal </w:t>
            </w:r>
          </w:p>
        </w:tc>
        <w:tc>
          <w:tcPr>
            <w:tcW w:w="2164" w:type="dxa"/>
            <w:noWrap/>
            <w:hideMark/>
          </w:tcPr>
          <w:p w14:paraId="23D082D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1437" w:type="dxa"/>
          </w:tcPr>
          <w:p w14:paraId="1138E57A"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73.40±1.01</w:t>
            </w:r>
          </w:p>
        </w:tc>
        <w:tc>
          <w:tcPr>
            <w:tcW w:w="1437" w:type="dxa"/>
          </w:tcPr>
          <w:p w14:paraId="4EC82B99"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71.46±2.34</w:t>
            </w:r>
          </w:p>
        </w:tc>
        <w:tc>
          <w:tcPr>
            <w:tcW w:w="1436" w:type="dxa"/>
          </w:tcPr>
          <w:p w14:paraId="703D61D9"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72.4±1.56</w:t>
            </w:r>
          </w:p>
        </w:tc>
      </w:tr>
      <w:tr w:rsidR="00A3154B" w:rsidRPr="00FB472F" w14:paraId="6FE2AE19" w14:textId="77777777" w:rsidTr="00BC3686">
        <w:trPr>
          <w:trHeight w:val="371"/>
        </w:trPr>
        <w:tc>
          <w:tcPr>
            <w:tcW w:w="3154" w:type="dxa"/>
            <w:noWrap/>
            <w:hideMark/>
          </w:tcPr>
          <w:p w14:paraId="0A74786B" w14:textId="0333FFEF" w:rsidR="00A3154B" w:rsidRPr="00FB472F" w:rsidRDefault="007F43F2" w:rsidP="008E4365">
            <w:pPr>
              <w:rPr>
                <w:rFonts w:ascii="Times New Roman" w:hAnsi="Times New Roman" w:cs="Times New Roman"/>
                <w:sz w:val="24"/>
                <w:szCs w:val="24"/>
              </w:rPr>
            </w:pPr>
            <w:r w:rsidRPr="00FB472F">
              <w:rPr>
                <w:rFonts w:ascii="Times New Roman" w:hAnsi="Times New Roman" w:cs="Times New Roman"/>
                <w:sz w:val="24"/>
                <w:szCs w:val="24"/>
              </w:rPr>
              <w:t>Byproduct</w:t>
            </w:r>
            <w:r w:rsidR="00A3154B" w:rsidRPr="00FB472F">
              <w:rPr>
                <w:rFonts w:ascii="Times New Roman" w:hAnsi="Times New Roman" w:cs="Times New Roman"/>
                <w:sz w:val="24"/>
                <w:szCs w:val="24"/>
              </w:rPr>
              <w:t xml:space="preserve"> </w:t>
            </w:r>
          </w:p>
        </w:tc>
        <w:tc>
          <w:tcPr>
            <w:tcW w:w="2164" w:type="dxa"/>
            <w:noWrap/>
            <w:hideMark/>
          </w:tcPr>
          <w:p w14:paraId="313C5F4A"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1437" w:type="dxa"/>
          </w:tcPr>
          <w:p w14:paraId="7420591F" w14:textId="1DBA4A2B"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w:t>
            </w:r>
            <w:r w:rsidR="006327CE" w:rsidRPr="00FB472F">
              <w:rPr>
                <w:rFonts w:ascii="Times New Roman" w:hAnsi="Times New Roman" w:cs="Times New Roman"/>
                <w:sz w:val="24"/>
                <w:szCs w:val="24"/>
              </w:rPr>
              <w:t>6</w:t>
            </w:r>
            <w:r w:rsidRPr="00FB472F">
              <w:rPr>
                <w:rFonts w:ascii="Times New Roman" w:hAnsi="Times New Roman" w:cs="Times New Roman"/>
                <w:sz w:val="24"/>
                <w:szCs w:val="24"/>
              </w:rPr>
              <w:t>.</w:t>
            </w:r>
            <w:r w:rsidR="006327CE" w:rsidRPr="00FB472F">
              <w:rPr>
                <w:rFonts w:ascii="Times New Roman" w:hAnsi="Times New Roman" w:cs="Times New Roman"/>
                <w:sz w:val="24"/>
                <w:szCs w:val="24"/>
              </w:rPr>
              <w:t>41</w:t>
            </w:r>
            <w:r w:rsidRPr="00FB472F">
              <w:rPr>
                <w:rFonts w:ascii="Times New Roman" w:hAnsi="Times New Roman" w:cs="Times New Roman"/>
                <w:sz w:val="24"/>
                <w:szCs w:val="24"/>
              </w:rPr>
              <w:t>±2.1</w:t>
            </w:r>
          </w:p>
        </w:tc>
        <w:tc>
          <w:tcPr>
            <w:tcW w:w="1437" w:type="dxa"/>
          </w:tcPr>
          <w:p w14:paraId="1807DFCB" w14:textId="7F5217CF"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w:t>
            </w:r>
            <w:r w:rsidR="006327CE" w:rsidRPr="00FB472F">
              <w:rPr>
                <w:rFonts w:ascii="Times New Roman" w:hAnsi="Times New Roman" w:cs="Times New Roman"/>
                <w:sz w:val="24"/>
                <w:szCs w:val="24"/>
              </w:rPr>
              <w:t>8</w:t>
            </w:r>
            <w:r w:rsidRPr="00FB472F">
              <w:rPr>
                <w:rFonts w:ascii="Times New Roman" w:hAnsi="Times New Roman" w:cs="Times New Roman"/>
                <w:sz w:val="24"/>
                <w:szCs w:val="24"/>
              </w:rPr>
              <w:t>.</w:t>
            </w:r>
            <w:r w:rsidR="006327CE" w:rsidRPr="00FB472F">
              <w:rPr>
                <w:rFonts w:ascii="Times New Roman" w:hAnsi="Times New Roman" w:cs="Times New Roman"/>
                <w:sz w:val="24"/>
                <w:szCs w:val="24"/>
              </w:rPr>
              <w:t>34</w:t>
            </w:r>
            <w:r w:rsidRPr="00FB472F">
              <w:rPr>
                <w:rFonts w:ascii="Times New Roman" w:hAnsi="Times New Roman" w:cs="Times New Roman"/>
                <w:sz w:val="24"/>
                <w:szCs w:val="24"/>
              </w:rPr>
              <w:t>±1.77</w:t>
            </w:r>
          </w:p>
        </w:tc>
        <w:tc>
          <w:tcPr>
            <w:tcW w:w="1436" w:type="dxa"/>
          </w:tcPr>
          <w:p w14:paraId="01212705" w14:textId="142BF311"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27.</w:t>
            </w:r>
            <w:r w:rsidR="006327CE" w:rsidRPr="00FB472F">
              <w:rPr>
                <w:rFonts w:ascii="Times New Roman" w:hAnsi="Times New Roman" w:cs="Times New Roman"/>
                <w:sz w:val="24"/>
                <w:szCs w:val="24"/>
              </w:rPr>
              <w:t>4</w:t>
            </w:r>
            <w:r w:rsidRPr="00FB472F">
              <w:rPr>
                <w:rFonts w:ascii="Times New Roman" w:hAnsi="Times New Roman" w:cs="Times New Roman"/>
                <w:sz w:val="24"/>
                <w:szCs w:val="24"/>
              </w:rPr>
              <w:t>6±1.79</w:t>
            </w:r>
          </w:p>
        </w:tc>
      </w:tr>
      <w:tr w:rsidR="00A3154B" w:rsidRPr="00FB472F" w14:paraId="0C920824" w14:textId="77777777" w:rsidTr="00BC3686">
        <w:trPr>
          <w:trHeight w:val="371"/>
        </w:trPr>
        <w:tc>
          <w:tcPr>
            <w:tcW w:w="3154" w:type="dxa"/>
            <w:noWrap/>
            <w:hideMark/>
          </w:tcPr>
          <w:p w14:paraId="663DF9A1"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Byproduct sieved fractions </w:t>
            </w:r>
          </w:p>
        </w:tc>
        <w:tc>
          <w:tcPr>
            <w:tcW w:w="2164" w:type="dxa"/>
            <w:noWrap/>
            <w:hideMark/>
          </w:tcPr>
          <w:p w14:paraId="729E874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&gt;1.00 mm</w:t>
            </w:r>
          </w:p>
        </w:tc>
        <w:tc>
          <w:tcPr>
            <w:tcW w:w="1437" w:type="dxa"/>
          </w:tcPr>
          <w:p w14:paraId="46B991CE"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41.51±1.89</w:t>
            </w:r>
          </w:p>
        </w:tc>
        <w:tc>
          <w:tcPr>
            <w:tcW w:w="1437" w:type="dxa"/>
          </w:tcPr>
          <w:p w14:paraId="581B56F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44.12±1.91</w:t>
            </w:r>
          </w:p>
        </w:tc>
        <w:tc>
          <w:tcPr>
            <w:tcW w:w="1436" w:type="dxa"/>
          </w:tcPr>
          <w:p w14:paraId="2BE508DE"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40.53±2.05</w:t>
            </w:r>
          </w:p>
        </w:tc>
      </w:tr>
      <w:tr w:rsidR="00A3154B" w:rsidRPr="00FB472F" w14:paraId="1A14BDDA" w14:textId="77777777" w:rsidTr="00BC3686">
        <w:trPr>
          <w:trHeight w:val="371"/>
        </w:trPr>
        <w:tc>
          <w:tcPr>
            <w:tcW w:w="3154" w:type="dxa"/>
            <w:noWrap/>
            <w:hideMark/>
          </w:tcPr>
          <w:p w14:paraId="594EF83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2164" w:type="dxa"/>
            <w:noWrap/>
            <w:hideMark/>
          </w:tcPr>
          <w:p w14:paraId="4596079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&gt; 0.25 mm</w:t>
            </w:r>
          </w:p>
        </w:tc>
        <w:tc>
          <w:tcPr>
            <w:tcW w:w="1437" w:type="dxa"/>
          </w:tcPr>
          <w:p w14:paraId="27AEE881"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24.28±1.34</w:t>
            </w:r>
          </w:p>
        </w:tc>
        <w:tc>
          <w:tcPr>
            <w:tcW w:w="1437" w:type="dxa"/>
          </w:tcPr>
          <w:p w14:paraId="7C1A67D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26.47±2.54</w:t>
            </w:r>
          </w:p>
        </w:tc>
        <w:tc>
          <w:tcPr>
            <w:tcW w:w="1436" w:type="dxa"/>
          </w:tcPr>
          <w:p w14:paraId="1C0F82A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27.91±1.88</w:t>
            </w:r>
          </w:p>
        </w:tc>
      </w:tr>
      <w:tr w:rsidR="00A3154B" w:rsidRPr="00FB472F" w14:paraId="07918FA9" w14:textId="77777777" w:rsidTr="00BC3686">
        <w:trPr>
          <w:trHeight w:val="371"/>
        </w:trPr>
        <w:tc>
          <w:tcPr>
            <w:tcW w:w="3154" w:type="dxa"/>
            <w:noWrap/>
            <w:hideMark/>
          </w:tcPr>
          <w:p w14:paraId="28C424F8"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2164" w:type="dxa"/>
            <w:noWrap/>
            <w:hideMark/>
          </w:tcPr>
          <w:p w14:paraId="07CB1098"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&lt;0.25mm (Bottom)</w:t>
            </w:r>
          </w:p>
        </w:tc>
        <w:tc>
          <w:tcPr>
            <w:tcW w:w="1437" w:type="dxa"/>
          </w:tcPr>
          <w:p w14:paraId="14484A2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34.2±1.56</w:t>
            </w:r>
          </w:p>
        </w:tc>
        <w:tc>
          <w:tcPr>
            <w:tcW w:w="1437" w:type="dxa"/>
          </w:tcPr>
          <w:p w14:paraId="3452413E"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29.41±2.13</w:t>
            </w:r>
          </w:p>
        </w:tc>
        <w:tc>
          <w:tcPr>
            <w:tcW w:w="1436" w:type="dxa"/>
          </w:tcPr>
          <w:p w14:paraId="529DB765"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31.55±1.91</w:t>
            </w:r>
          </w:p>
        </w:tc>
      </w:tr>
    </w:tbl>
    <w:p w14:paraId="164C66BD" w14:textId="77777777" w:rsidR="006327CE" w:rsidRPr="00FB472F" w:rsidRDefault="006327CE" w:rsidP="00D92A06">
      <w:pPr>
        <w:spacing w:line="360" w:lineRule="auto"/>
        <w:jc w:val="both"/>
        <w:rPr>
          <w:rFonts w:ascii="Times New Roman" w:hAnsi="Times New Roman" w:cs="Times New Roman"/>
          <w:b/>
          <w:bCs/>
          <w:sz w:val="24"/>
          <w:szCs w:val="22"/>
        </w:rPr>
      </w:pPr>
    </w:p>
    <w:p w14:paraId="299F2AF6" w14:textId="197C8604" w:rsidR="00D92A06" w:rsidRPr="00FB472F" w:rsidRDefault="00D92A06" w:rsidP="00D92A06">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3.2</w:t>
      </w:r>
      <w:r w:rsidRPr="00FB472F">
        <w:rPr>
          <w:rFonts w:ascii="Times New Roman" w:hAnsi="Times New Roman" w:cs="Times New Roman"/>
          <w:sz w:val="24"/>
          <w:szCs w:val="22"/>
        </w:rPr>
        <w:t xml:space="preserve"> </w:t>
      </w:r>
      <w:r w:rsidRPr="00FB472F">
        <w:rPr>
          <w:rFonts w:ascii="Times New Roman" w:hAnsi="Times New Roman" w:cs="Times New Roman"/>
          <w:b/>
          <w:bCs/>
          <w:sz w:val="24"/>
          <w:szCs w:val="22"/>
        </w:rPr>
        <w:t xml:space="preserve">Protein </w:t>
      </w:r>
      <w:r w:rsidR="009F0876" w:rsidRPr="00FB472F">
        <w:rPr>
          <w:rFonts w:ascii="Times New Roman" w:hAnsi="Times New Roman" w:cs="Times New Roman"/>
          <w:b/>
          <w:bCs/>
          <w:sz w:val="24"/>
          <w:szCs w:val="22"/>
        </w:rPr>
        <w:t>C</w:t>
      </w:r>
      <w:r w:rsidRPr="00FB472F">
        <w:rPr>
          <w:rFonts w:ascii="Times New Roman" w:hAnsi="Times New Roman" w:cs="Times New Roman"/>
          <w:b/>
          <w:bCs/>
          <w:sz w:val="24"/>
          <w:szCs w:val="22"/>
        </w:rPr>
        <w:t>ontent</w:t>
      </w:r>
    </w:p>
    <w:p w14:paraId="5A3FECB1" w14:textId="32CE9F52" w:rsidR="00D92A06" w:rsidRPr="00FB472F" w:rsidRDefault="00D92A06" w:rsidP="00D92A06">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protein content in whole seeds of the three selected chickpea cultivars IPFD-99-13, IPF-5-19, and IPFD-1-10 was recorded as 15.02%, 17.52%, and 18.33%, respectively. After the dehusking process, the resulting dehusked splits (commonly referred to as dal) showed a slight increase in protein concentration. The protein content of dal for the cultivars was measured at </w:t>
      </w:r>
      <w:r w:rsidRPr="00FB472F">
        <w:rPr>
          <w:rFonts w:ascii="Times New Roman" w:hAnsi="Times New Roman" w:cs="Times New Roman"/>
          <w:sz w:val="24"/>
          <w:szCs w:val="22"/>
        </w:rPr>
        <w:lastRenderedPageBreak/>
        <w:t>16.36% for IPFD-99-13, 19.24% for IPF-5-19, and 18.98% for IPFD-1-10. Th</w:t>
      </w:r>
      <w:r w:rsidR="00F233B2" w:rsidRPr="00FB472F">
        <w:rPr>
          <w:rFonts w:ascii="Times New Roman" w:hAnsi="Times New Roman" w:cs="Times New Roman"/>
          <w:sz w:val="24"/>
          <w:szCs w:val="22"/>
        </w:rPr>
        <w:t>e</w:t>
      </w:r>
      <w:r w:rsidRPr="00FB472F">
        <w:rPr>
          <w:rFonts w:ascii="Times New Roman" w:hAnsi="Times New Roman" w:cs="Times New Roman"/>
          <w:sz w:val="24"/>
          <w:szCs w:val="22"/>
        </w:rPr>
        <w:t xml:space="preserve"> increase </w:t>
      </w:r>
      <w:r w:rsidR="00F233B2" w:rsidRPr="00FB472F">
        <w:rPr>
          <w:rFonts w:ascii="Times New Roman" w:hAnsi="Times New Roman" w:cs="Times New Roman"/>
          <w:sz w:val="24"/>
          <w:szCs w:val="22"/>
        </w:rPr>
        <w:t xml:space="preserve">in protein content of dal, </w:t>
      </w:r>
      <w:r w:rsidRPr="00FB472F">
        <w:rPr>
          <w:rFonts w:ascii="Times New Roman" w:hAnsi="Times New Roman" w:cs="Times New Roman"/>
          <w:sz w:val="24"/>
          <w:szCs w:val="22"/>
        </w:rPr>
        <w:t xml:space="preserve">can be attributed to the removal of </w:t>
      </w:r>
      <w:r w:rsidR="00F233B2" w:rsidRPr="00FB472F">
        <w:rPr>
          <w:rFonts w:ascii="Times New Roman" w:hAnsi="Times New Roman" w:cs="Times New Roman"/>
          <w:sz w:val="24"/>
          <w:szCs w:val="22"/>
        </w:rPr>
        <w:t>outer</w:t>
      </w:r>
      <w:r w:rsidRPr="00FB472F">
        <w:rPr>
          <w:rFonts w:ascii="Times New Roman" w:hAnsi="Times New Roman" w:cs="Times New Roman"/>
          <w:sz w:val="24"/>
          <w:szCs w:val="22"/>
        </w:rPr>
        <w:t xml:space="preserve"> seed coat, which </w:t>
      </w:r>
      <w:r w:rsidR="00F233B2" w:rsidRPr="00FB472F">
        <w:rPr>
          <w:rFonts w:ascii="Times New Roman" w:hAnsi="Times New Roman" w:cs="Times New Roman"/>
          <w:sz w:val="24"/>
          <w:szCs w:val="22"/>
        </w:rPr>
        <w:t xml:space="preserve">mainly </w:t>
      </w:r>
      <w:r w:rsidRPr="00FB472F">
        <w:rPr>
          <w:rFonts w:ascii="Times New Roman" w:hAnsi="Times New Roman" w:cs="Times New Roman"/>
          <w:sz w:val="24"/>
          <w:szCs w:val="22"/>
        </w:rPr>
        <w:t xml:space="preserve">contains </w:t>
      </w:r>
      <w:proofErr w:type="spellStart"/>
      <w:r w:rsidR="00F233B2" w:rsidRPr="00FB472F">
        <w:rPr>
          <w:rFonts w:ascii="Times New Roman" w:hAnsi="Times New Roman" w:cs="Times New Roman"/>
          <w:sz w:val="24"/>
          <w:szCs w:val="22"/>
        </w:rPr>
        <w:t>fiber</w:t>
      </w:r>
      <w:proofErr w:type="spellEnd"/>
      <w:r w:rsidR="00F233B2"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In contrast,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comprising mainly the husk and other seed outer layers demonstrated a considerably lower protein content. The average protein content across the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from all three cultivars was found to be 11.53%. When these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 were further fractionated by particle size using sieving, notable differences in protein content were observed among the various fractions. The coarsest fraction retained on the &gt;1.00 mm sieve, which primarily consists of larger husk particles, had the lowest protein values. Protein contents in this fraction were recorded as 6.57% for IPFD-99-13, 10.38% for IPF-5-19, and 11.19% for IPFD-1-10. These results indicate that the outermost parts of the seed</w:t>
      </w:r>
      <w:r w:rsidR="00F233B2" w:rsidRPr="00FB472F">
        <w:rPr>
          <w:rFonts w:ascii="Times New Roman" w:hAnsi="Times New Roman" w:cs="Times New Roman"/>
          <w:sz w:val="24"/>
          <w:szCs w:val="22"/>
        </w:rPr>
        <w:t>, i.e., seed coat,</w:t>
      </w:r>
      <w:r w:rsidRPr="00FB472F">
        <w:rPr>
          <w:rFonts w:ascii="Times New Roman" w:hAnsi="Times New Roman" w:cs="Times New Roman"/>
          <w:sz w:val="24"/>
          <w:szCs w:val="22"/>
        </w:rPr>
        <w:t xml:space="preserve"> have minimal protein concentration. In contrast, the finest sieved fraction (&lt;0.25 mm), likely containing finely </w:t>
      </w:r>
      <w:r w:rsidR="00F233B2" w:rsidRPr="00FB472F">
        <w:rPr>
          <w:rFonts w:ascii="Times New Roman" w:hAnsi="Times New Roman" w:cs="Times New Roman"/>
          <w:sz w:val="24"/>
          <w:szCs w:val="22"/>
        </w:rPr>
        <w:t>powder of peripheral region of</w:t>
      </w:r>
      <w:r w:rsidRPr="00FB472F">
        <w:rPr>
          <w:rFonts w:ascii="Times New Roman" w:hAnsi="Times New Roman" w:cs="Times New Roman"/>
          <w:sz w:val="24"/>
          <w:szCs w:val="22"/>
        </w:rPr>
        <w:t xml:space="preserve"> cotyledon and minute fragments of the seed coat, showed the highest protein concentration. Protein values in this fraction were observed to be 19.43%, 24.71%, and 24.05% for IPFD-99-13, IPF-5-19, and IPFD-1-10, respectively, suggesting that finer milling </w:t>
      </w:r>
      <w:r w:rsidR="00F233B2" w:rsidRPr="00FB472F">
        <w:rPr>
          <w:rFonts w:ascii="Times New Roman" w:hAnsi="Times New Roman" w:cs="Times New Roman"/>
          <w:sz w:val="24"/>
          <w:szCs w:val="22"/>
        </w:rPr>
        <w:t>fractions have</w:t>
      </w:r>
      <w:r w:rsidRPr="00FB472F">
        <w:rPr>
          <w:rFonts w:ascii="Times New Roman" w:hAnsi="Times New Roman" w:cs="Times New Roman"/>
          <w:sz w:val="24"/>
          <w:szCs w:val="22"/>
        </w:rPr>
        <w:t xml:space="preserve"> more protein-rich components. The intermediate fraction, obtained from particles &gt;0.25 mm but &lt;1.00 mm, showed moderate protein content</w:t>
      </w:r>
      <w:r w:rsidR="00F233B2" w:rsidRPr="00FB472F">
        <w:rPr>
          <w:rFonts w:ascii="Times New Roman" w:hAnsi="Times New Roman" w:cs="Times New Roman"/>
          <w:sz w:val="24"/>
          <w:szCs w:val="22"/>
        </w:rPr>
        <w:t xml:space="preserve"> due to presence broken cotyledons. </w:t>
      </w:r>
      <w:r w:rsidRPr="00FB472F">
        <w:rPr>
          <w:rFonts w:ascii="Times New Roman" w:hAnsi="Times New Roman" w:cs="Times New Roman"/>
          <w:sz w:val="24"/>
          <w:szCs w:val="22"/>
        </w:rPr>
        <w:t xml:space="preserve">This fraction recorded protein values of 15.50% for IPFD-99-13, 11.69% for IPF-5-19, and 17.60% for IPFD-1-10. The distribution pattern of protein across the fractions reflects the physical separation of seed tissues during milling, where finer fractions tend to retain more nutritious elements, particularly proteins. </w:t>
      </w:r>
      <w:r w:rsidR="00AE7908" w:rsidRPr="00FB472F">
        <w:rPr>
          <w:rFonts w:ascii="Times New Roman" w:hAnsi="Times New Roman" w:cs="Times New Roman"/>
          <w:sz w:val="24"/>
          <w:szCs w:val="22"/>
        </w:rPr>
        <w:t>The protein content of isolate extracted from dehusked cotyledons of field pea variety IC 342028 was reported to range from 90.8% to 94.7% on a dry weight basis (</w:t>
      </w:r>
      <w:proofErr w:type="spellStart"/>
      <w:r w:rsidR="00AE7908" w:rsidRPr="00FB472F">
        <w:rPr>
          <w:rFonts w:ascii="Times New Roman" w:hAnsi="Times New Roman" w:cs="Times New Roman"/>
          <w:sz w:val="24"/>
          <w:szCs w:val="22"/>
        </w:rPr>
        <w:t>Shevkani</w:t>
      </w:r>
      <w:proofErr w:type="spellEnd"/>
      <w:r w:rsidR="00AE7908" w:rsidRPr="00FB472F">
        <w:rPr>
          <w:rFonts w:ascii="Times New Roman" w:hAnsi="Times New Roman" w:cs="Times New Roman"/>
          <w:sz w:val="24"/>
          <w:szCs w:val="22"/>
        </w:rPr>
        <w:t xml:space="preserve"> K. 2015). The powder fraction of milling byproduct, having higher protein content than dehusked dal, can be utilized in developing protein isolates. </w:t>
      </w:r>
    </w:p>
    <w:p w14:paraId="61682D85" w14:textId="77777777" w:rsidR="00D92A06" w:rsidRPr="00FB472F" w:rsidRDefault="00D92A06" w:rsidP="00D92A06">
      <w:pPr>
        <w:spacing w:line="360" w:lineRule="auto"/>
        <w:jc w:val="center"/>
        <w:rPr>
          <w:rFonts w:ascii="Times New Roman" w:hAnsi="Times New Roman" w:cs="Times New Roman"/>
          <w:sz w:val="24"/>
          <w:szCs w:val="22"/>
        </w:rPr>
      </w:pPr>
      <w:r w:rsidRPr="00FB472F">
        <w:rPr>
          <w:noProof/>
        </w:rPr>
        <w:lastRenderedPageBreak/>
        <w:drawing>
          <wp:inline distT="0" distB="0" distL="0" distR="0" wp14:anchorId="50052FC6" wp14:editId="156B9556">
            <wp:extent cx="4572000" cy="2921000"/>
            <wp:effectExtent l="0" t="0" r="0" b="12700"/>
            <wp:docPr id="1" name="Chart 1">
              <a:extLst xmlns:a="http://schemas.openxmlformats.org/drawingml/2006/main">
                <a:ext uri="{FF2B5EF4-FFF2-40B4-BE49-F238E27FC236}">
                  <a16:creationId xmlns:a16="http://schemas.microsoft.com/office/drawing/2014/main" id="{F5B5CECE-4B6C-F382-4873-4A4DA07C85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A744BE" w14:textId="0E8D5476" w:rsidR="00D92A06" w:rsidRPr="00FB472F" w:rsidRDefault="00D92A06" w:rsidP="00D92A06">
      <w:pPr>
        <w:spacing w:line="360" w:lineRule="auto"/>
        <w:jc w:val="center"/>
        <w:rPr>
          <w:rFonts w:ascii="Times New Roman" w:hAnsi="Times New Roman" w:cs="Times New Roman"/>
          <w:b/>
          <w:bCs/>
          <w:sz w:val="24"/>
          <w:szCs w:val="22"/>
        </w:rPr>
      </w:pPr>
      <w:r w:rsidRPr="00FB472F">
        <w:rPr>
          <w:rFonts w:ascii="Times New Roman" w:hAnsi="Times New Roman" w:cs="Times New Roman"/>
          <w:b/>
          <w:bCs/>
          <w:sz w:val="24"/>
          <w:szCs w:val="22"/>
        </w:rPr>
        <w:t>Fig.</w:t>
      </w:r>
      <w:r w:rsidR="00AE7908" w:rsidRPr="00FB472F">
        <w:rPr>
          <w:rFonts w:ascii="Times New Roman" w:hAnsi="Times New Roman" w:cs="Times New Roman"/>
          <w:b/>
          <w:bCs/>
          <w:sz w:val="24"/>
          <w:szCs w:val="22"/>
        </w:rPr>
        <w:t xml:space="preserve"> 1</w:t>
      </w:r>
      <w:r w:rsidR="009F0876" w:rsidRPr="00FB472F">
        <w:rPr>
          <w:rFonts w:ascii="Times New Roman" w:hAnsi="Times New Roman" w:cs="Times New Roman"/>
          <w:b/>
          <w:bCs/>
          <w:sz w:val="24"/>
          <w:szCs w:val="22"/>
        </w:rPr>
        <w:t xml:space="preserve">. </w:t>
      </w:r>
      <w:r w:rsidR="00AE7908" w:rsidRPr="00FB472F">
        <w:rPr>
          <w:rFonts w:ascii="Times New Roman" w:hAnsi="Times New Roman" w:cs="Times New Roman"/>
          <w:b/>
          <w:bCs/>
          <w:sz w:val="24"/>
          <w:szCs w:val="22"/>
        </w:rPr>
        <w:t xml:space="preserve"> </w:t>
      </w:r>
      <w:r w:rsidR="00760213" w:rsidRPr="00FB472F">
        <w:rPr>
          <w:rFonts w:ascii="Times New Roman" w:hAnsi="Times New Roman" w:cs="Times New Roman"/>
          <w:b/>
          <w:bCs/>
          <w:sz w:val="24"/>
          <w:szCs w:val="22"/>
        </w:rPr>
        <w:t>P</w:t>
      </w:r>
      <w:r w:rsidRPr="00FB472F">
        <w:rPr>
          <w:rFonts w:ascii="Times New Roman" w:hAnsi="Times New Roman" w:cs="Times New Roman"/>
          <w:b/>
          <w:bCs/>
          <w:sz w:val="24"/>
          <w:szCs w:val="22"/>
        </w:rPr>
        <w:t xml:space="preserve">rotein content </w:t>
      </w:r>
      <w:r w:rsidR="00760213" w:rsidRPr="00FB472F">
        <w:rPr>
          <w:rFonts w:ascii="Times New Roman" w:hAnsi="Times New Roman" w:cs="Times New Roman"/>
          <w:b/>
          <w:bCs/>
          <w:sz w:val="24"/>
          <w:szCs w:val="22"/>
        </w:rPr>
        <w:t>of</w:t>
      </w:r>
      <w:r w:rsidRPr="00FB472F">
        <w:rPr>
          <w:rFonts w:ascii="Times New Roman" w:hAnsi="Times New Roman" w:cs="Times New Roman"/>
          <w:b/>
          <w:bCs/>
          <w:sz w:val="24"/>
          <w:szCs w:val="22"/>
        </w:rPr>
        <w:t xml:space="preserve"> </w:t>
      </w:r>
      <w:r w:rsidR="00760213" w:rsidRPr="00FB472F">
        <w:rPr>
          <w:rFonts w:ascii="Times New Roman" w:hAnsi="Times New Roman" w:cs="Times New Roman"/>
          <w:b/>
          <w:bCs/>
          <w:sz w:val="24"/>
          <w:szCs w:val="22"/>
        </w:rPr>
        <w:t xml:space="preserve">whole, dehusked dal, </w:t>
      </w:r>
      <w:r w:rsidR="007F43F2" w:rsidRPr="00FB472F">
        <w:rPr>
          <w:rFonts w:ascii="Times New Roman" w:hAnsi="Times New Roman" w:cs="Times New Roman"/>
          <w:b/>
          <w:bCs/>
          <w:sz w:val="24"/>
          <w:szCs w:val="22"/>
        </w:rPr>
        <w:t>byproduct</w:t>
      </w:r>
      <w:r w:rsidR="00760213" w:rsidRPr="00FB472F">
        <w:rPr>
          <w:rFonts w:ascii="Times New Roman" w:hAnsi="Times New Roman" w:cs="Times New Roman"/>
          <w:b/>
          <w:bCs/>
          <w:sz w:val="24"/>
          <w:szCs w:val="22"/>
        </w:rPr>
        <w:t xml:space="preserve"> and its fractions in </w:t>
      </w:r>
      <w:r w:rsidRPr="00FB472F">
        <w:rPr>
          <w:rFonts w:ascii="Times New Roman" w:hAnsi="Times New Roman" w:cs="Times New Roman"/>
          <w:b/>
          <w:bCs/>
          <w:sz w:val="24"/>
          <w:szCs w:val="22"/>
        </w:rPr>
        <w:t>fieldpea</w:t>
      </w:r>
    </w:p>
    <w:p w14:paraId="47E806C0" w14:textId="357BDE29" w:rsidR="00D80CDC"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3.</w:t>
      </w:r>
      <w:r w:rsidR="00381468" w:rsidRPr="00FB472F">
        <w:rPr>
          <w:rFonts w:ascii="Times New Roman" w:hAnsi="Times New Roman" w:cs="Times New Roman"/>
          <w:b/>
          <w:bCs/>
          <w:sz w:val="24"/>
          <w:szCs w:val="22"/>
        </w:rPr>
        <w:t xml:space="preserve">3 </w:t>
      </w:r>
      <w:r w:rsidR="00D80CDC"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P</w:t>
      </w:r>
      <w:r w:rsidR="00D80CDC" w:rsidRPr="00FB472F">
        <w:rPr>
          <w:rFonts w:ascii="Times New Roman" w:hAnsi="Times New Roman" w:cs="Times New Roman"/>
          <w:b/>
          <w:bCs/>
          <w:sz w:val="24"/>
          <w:szCs w:val="22"/>
        </w:rPr>
        <w:t xml:space="preserve">henolic </w:t>
      </w:r>
      <w:r w:rsidR="009F0876" w:rsidRPr="00FB472F">
        <w:rPr>
          <w:rFonts w:ascii="Times New Roman" w:hAnsi="Times New Roman" w:cs="Times New Roman"/>
          <w:b/>
          <w:bCs/>
          <w:sz w:val="24"/>
          <w:szCs w:val="22"/>
        </w:rPr>
        <w:t>C</w:t>
      </w:r>
      <w:r w:rsidR="00D80CDC" w:rsidRPr="00FB472F">
        <w:rPr>
          <w:rFonts w:ascii="Times New Roman" w:hAnsi="Times New Roman" w:cs="Times New Roman"/>
          <w:b/>
          <w:bCs/>
          <w:sz w:val="24"/>
          <w:szCs w:val="22"/>
        </w:rPr>
        <w:t>ontent</w:t>
      </w:r>
    </w:p>
    <w:p w14:paraId="483E898B" w14:textId="452BF3A8" w:rsidR="00A84E9B" w:rsidRPr="00FB472F" w:rsidRDefault="00A84E9B"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total phenolic content (TPC) was </w:t>
      </w:r>
      <w:proofErr w:type="spellStart"/>
      <w:r w:rsidRPr="00FB472F">
        <w:rPr>
          <w:rFonts w:ascii="Times New Roman" w:hAnsi="Times New Roman" w:cs="Times New Roman"/>
          <w:sz w:val="24"/>
          <w:szCs w:val="22"/>
        </w:rPr>
        <w:t>analyzed</w:t>
      </w:r>
      <w:proofErr w:type="spellEnd"/>
      <w:r w:rsidRPr="00FB472F">
        <w:rPr>
          <w:rFonts w:ascii="Times New Roman" w:hAnsi="Times New Roman" w:cs="Times New Roman"/>
          <w:sz w:val="24"/>
          <w:szCs w:val="22"/>
        </w:rPr>
        <w:t xml:space="preserve"> in different components of field pea</w:t>
      </w:r>
      <w:r w:rsidR="00D76270"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namely, the whole grain, dehusked dal,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 and their respective fractions</w:t>
      </w:r>
      <w:r w:rsidR="00D76270" w:rsidRPr="00FB472F">
        <w:rPr>
          <w:rFonts w:ascii="Times New Roman" w:hAnsi="Times New Roman" w:cs="Times New Roman"/>
          <w:sz w:val="24"/>
          <w:szCs w:val="22"/>
        </w:rPr>
        <w:t xml:space="preserve"> </w:t>
      </w:r>
      <w:r w:rsidR="004A7994" w:rsidRPr="00FB472F">
        <w:rPr>
          <w:rFonts w:ascii="Times New Roman" w:hAnsi="Times New Roman" w:cs="Times New Roman"/>
          <w:sz w:val="24"/>
          <w:szCs w:val="22"/>
        </w:rPr>
        <w:t xml:space="preserve">for </w:t>
      </w:r>
      <w:r w:rsidRPr="00FB472F">
        <w:rPr>
          <w:rFonts w:ascii="Times New Roman" w:hAnsi="Times New Roman" w:cs="Times New Roman"/>
          <w:sz w:val="24"/>
          <w:szCs w:val="22"/>
        </w:rPr>
        <w:t xml:space="preserve">three selected varieties: IPFD-99-13, IPF-5-19, and IPFD-1-10. The TPC values measured in the whole grains were 111.59 mg GAE/100 g for IPFD-99-13, 85.40 mg GAE/100 g for IPF-5-19, and 94.55 mg GAE/100 g for IPFD-1-10. These values indicate the presence of significant amounts of phenolic compounds in the unprocessed </w:t>
      </w:r>
      <w:r w:rsidR="004A7994" w:rsidRPr="00FB472F">
        <w:rPr>
          <w:rFonts w:ascii="Times New Roman" w:hAnsi="Times New Roman" w:cs="Times New Roman"/>
          <w:sz w:val="24"/>
          <w:szCs w:val="22"/>
        </w:rPr>
        <w:t>grains</w:t>
      </w:r>
      <w:r w:rsidRPr="00FB472F">
        <w:rPr>
          <w:rFonts w:ascii="Times New Roman" w:hAnsi="Times New Roman" w:cs="Times New Roman"/>
          <w:sz w:val="24"/>
          <w:szCs w:val="22"/>
        </w:rPr>
        <w:t>.</w:t>
      </w:r>
      <w:r w:rsidR="00445F3B" w:rsidRPr="00FB472F">
        <w:rPr>
          <w:rFonts w:ascii="Times New Roman" w:hAnsi="Times New Roman" w:cs="Times New Roman"/>
          <w:sz w:val="24"/>
          <w:szCs w:val="22"/>
        </w:rPr>
        <w:t xml:space="preserve"> </w:t>
      </w:r>
      <w:r w:rsidRPr="00FB472F">
        <w:rPr>
          <w:rFonts w:ascii="Times New Roman" w:hAnsi="Times New Roman" w:cs="Times New Roman"/>
          <w:sz w:val="24"/>
          <w:szCs w:val="22"/>
        </w:rPr>
        <w:t>Following dehusking, the dal (cotyledons) exhibited a noticeable reduction in phenolic content, with values of 89.65, 71.84, and 71.77 mg GAE/100 g for the respective varieties. This decline is primarily attributed to the removal of the seed coat (husk), which is known to concentrate a large proportion of phenolic compounds.</w:t>
      </w:r>
    </w:p>
    <w:p w14:paraId="4ADDABFD" w14:textId="35BD488D" w:rsidR="0075695E" w:rsidRPr="00FB472F" w:rsidRDefault="00A84E9B"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In contrast,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 which consist largely of husk and broken seed material, demonstrated higher TPC values</w:t>
      </w:r>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155.28 mg GAE/100 g for IPFD-99-13, 104.97 mg GAE/100 g for IPF-5-19, and 137.75 mg GAE/100 g for IPFD-1-10. These findings reaffirm the role of the seed coat in contributing significantly to the phenolic content of field peas. Further fractionation of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revealed that the intermediate-sized husk and broken particles retained on the sieve (between &lt;1.00 mm and &gt;0.25 mm) possessed relatively high phenolic content, registering values of 142.65, 119.77, and 129.47 mg GAE/100 g across the three cultivars. Interestingly, the finest powder fraction, which passed through the 0.25 mm </w:t>
      </w:r>
      <w:r w:rsidRPr="00FB472F">
        <w:rPr>
          <w:rFonts w:ascii="Times New Roman" w:hAnsi="Times New Roman" w:cs="Times New Roman"/>
          <w:sz w:val="24"/>
          <w:szCs w:val="22"/>
        </w:rPr>
        <w:lastRenderedPageBreak/>
        <w:t xml:space="preserve">sieve, showed the highest concentration of phenolic compounds among all components </w:t>
      </w:r>
      <w:proofErr w:type="spellStart"/>
      <w:r w:rsidRPr="00FB472F">
        <w:rPr>
          <w:rFonts w:ascii="Times New Roman" w:hAnsi="Times New Roman" w:cs="Times New Roman"/>
          <w:sz w:val="24"/>
          <w:szCs w:val="22"/>
        </w:rPr>
        <w:t>analyzed</w:t>
      </w:r>
      <w:proofErr w:type="spellEnd"/>
      <w:r w:rsidRPr="00FB472F">
        <w:rPr>
          <w:rFonts w:ascii="Times New Roman" w:hAnsi="Times New Roman" w:cs="Times New Roman"/>
          <w:sz w:val="24"/>
          <w:szCs w:val="22"/>
        </w:rPr>
        <w:t xml:space="preserve">. The TPC for this sieved fraction was 175.36 mg GAE/100 g in IPFD-99-13, 155.49 mg GAE/100 g in IPF-5-19, and 152.93 mg GAE/100 g in IPFD-1-10. Statistical analysis using a t-test confirmed that the differences in TPC across these fractions were highly significant (p ≤ 0.05). These results highlight that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 especially the fine powder fraction, are rich sources of phenolic compounds and could be utilized in the development of functional or nutraceutical food products.</w:t>
      </w:r>
      <w:r w:rsidR="0075695E" w:rsidRPr="00FB472F">
        <w:rPr>
          <w:rFonts w:ascii="Times New Roman" w:hAnsi="Times New Roman" w:cs="Times New Roman"/>
          <w:sz w:val="24"/>
          <w:szCs w:val="22"/>
        </w:rPr>
        <w:t xml:space="preserve"> Devi</w:t>
      </w:r>
      <w:r w:rsidR="003B181B" w:rsidRPr="00FB472F">
        <w:rPr>
          <w:rFonts w:ascii="Times New Roman" w:hAnsi="Times New Roman" w:cs="Times New Roman"/>
          <w:sz w:val="24"/>
          <w:szCs w:val="22"/>
        </w:rPr>
        <w:t xml:space="preserve"> et al.</w:t>
      </w:r>
      <w:r w:rsidR="0075695E" w:rsidRPr="00FB472F">
        <w:rPr>
          <w:rFonts w:ascii="Times New Roman" w:hAnsi="Times New Roman" w:cs="Times New Roman"/>
          <w:sz w:val="24"/>
          <w:szCs w:val="22"/>
        </w:rPr>
        <w:t xml:space="preserve"> (2019) reported that the total phenolic content in </w:t>
      </w:r>
      <w:r w:rsidR="003E2A0A" w:rsidRPr="00FB472F">
        <w:rPr>
          <w:rFonts w:ascii="Times New Roman" w:hAnsi="Times New Roman" w:cs="Times New Roman"/>
          <w:sz w:val="24"/>
          <w:szCs w:val="22"/>
        </w:rPr>
        <w:t xml:space="preserve">22 </w:t>
      </w:r>
      <w:r w:rsidR="0075695E" w:rsidRPr="00FB472F">
        <w:rPr>
          <w:rFonts w:ascii="Times New Roman" w:hAnsi="Times New Roman" w:cs="Times New Roman"/>
          <w:sz w:val="24"/>
          <w:szCs w:val="22"/>
        </w:rPr>
        <w:t xml:space="preserve">different genotypes of garden pea ranged </w:t>
      </w:r>
      <w:r w:rsidR="003E2A0A" w:rsidRPr="00FB472F">
        <w:rPr>
          <w:rFonts w:ascii="Times New Roman" w:hAnsi="Times New Roman" w:cs="Times New Roman"/>
          <w:sz w:val="24"/>
          <w:szCs w:val="22"/>
        </w:rPr>
        <w:t>between</w:t>
      </w:r>
      <w:r w:rsidR="0075695E" w:rsidRPr="00FB472F">
        <w:rPr>
          <w:rFonts w:ascii="Times New Roman" w:hAnsi="Times New Roman" w:cs="Times New Roman"/>
          <w:sz w:val="24"/>
          <w:szCs w:val="22"/>
        </w:rPr>
        <w:t xml:space="preserve"> 12.6 to 128.6</w:t>
      </w:r>
      <w:r w:rsidR="00760213" w:rsidRPr="00FB472F">
        <w:rPr>
          <w:rFonts w:ascii="Times New Roman" w:hAnsi="Times New Roman" w:cs="Times New Roman"/>
          <w:sz w:val="24"/>
          <w:szCs w:val="22"/>
        </w:rPr>
        <w:t xml:space="preserve"> </w:t>
      </w:r>
      <w:proofErr w:type="spellStart"/>
      <w:r w:rsidR="0075695E" w:rsidRPr="00FB472F">
        <w:rPr>
          <w:rFonts w:ascii="Times New Roman" w:hAnsi="Times New Roman" w:cs="Times New Roman"/>
          <w:sz w:val="24"/>
          <w:szCs w:val="22"/>
        </w:rPr>
        <w:t>mgGAE</w:t>
      </w:r>
      <w:proofErr w:type="spellEnd"/>
      <w:r w:rsidR="0075695E" w:rsidRPr="00FB472F">
        <w:rPr>
          <w:rFonts w:ascii="Times New Roman" w:hAnsi="Times New Roman" w:cs="Times New Roman"/>
          <w:sz w:val="24"/>
          <w:szCs w:val="22"/>
        </w:rPr>
        <w:t>/100g.</w:t>
      </w:r>
    </w:p>
    <w:p w14:paraId="742DA972" w14:textId="77777777" w:rsidR="00CE46E5" w:rsidRPr="00FB472F" w:rsidRDefault="003B7A6F" w:rsidP="00CE46E5">
      <w:pPr>
        <w:spacing w:line="360" w:lineRule="auto"/>
        <w:jc w:val="center"/>
        <w:rPr>
          <w:rFonts w:ascii="Times New Roman" w:hAnsi="Times New Roman" w:cs="Times New Roman"/>
          <w:sz w:val="24"/>
          <w:szCs w:val="22"/>
        </w:rPr>
      </w:pPr>
      <w:r w:rsidRPr="00FB472F">
        <w:rPr>
          <w:noProof/>
        </w:rPr>
        <w:drawing>
          <wp:inline distT="0" distB="0" distL="0" distR="0" wp14:anchorId="4AB6DE99" wp14:editId="593F1612">
            <wp:extent cx="4572000" cy="2743200"/>
            <wp:effectExtent l="0" t="0" r="0" b="0"/>
            <wp:docPr id="501006608" name="Chart 1">
              <a:extLst xmlns:a="http://schemas.openxmlformats.org/drawingml/2006/main">
                <a:ext uri="{FF2B5EF4-FFF2-40B4-BE49-F238E27FC236}">
                  <a16:creationId xmlns:a16="http://schemas.microsoft.com/office/drawing/2014/main" id="{9A4294C3-B772-0ED7-920A-C48B98A2D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2C2099" w14:textId="43108900" w:rsidR="00CE46E5" w:rsidRPr="00FB472F" w:rsidRDefault="00CE46E5" w:rsidP="00CE46E5">
      <w:pPr>
        <w:spacing w:line="360" w:lineRule="auto"/>
        <w:jc w:val="center"/>
        <w:rPr>
          <w:rFonts w:ascii="Times New Roman" w:hAnsi="Times New Roman" w:cs="Times New Roman"/>
          <w:b/>
          <w:bCs/>
          <w:sz w:val="24"/>
          <w:szCs w:val="22"/>
        </w:rPr>
      </w:pPr>
      <w:r w:rsidRPr="00FB472F">
        <w:rPr>
          <w:rFonts w:ascii="Times New Roman" w:hAnsi="Times New Roman" w:cs="Times New Roman"/>
          <w:b/>
          <w:bCs/>
          <w:sz w:val="24"/>
          <w:szCs w:val="22"/>
        </w:rPr>
        <w:t>Fig.</w:t>
      </w:r>
      <w:r w:rsidR="009F0876" w:rsidRPr="00FB472F">
        <w:rPr>
          <w:rFonts w:ascii="Times New Roman" w:hAnsi="Times New Roman" w:cs="Times New Roman"/>
          <w:b/>
          <w:bCs/>
          <w:sz w:val="24"/>
          <w:szCs w:val="22"/>
        </w:rPr>
        <w:t xml:space="preserve"> </w:t>
      </w:r>
      <w:r w:rsidR="003B181B" w:rsidRPr="00FB472F">
        <w:rPr>
          <w:rFonts w:ascii="Times New Roman" w:hAnsi="Times New Roman" w:cs="Times New Roman"/>
          <w:b/>
          <w:bCs/>
          <w:sz w:val="24"/>
          <w:szCs w:val="22"/>
        </w:rPr>
        <w:t>2</w:t>
      </w:r>
      <w:r w:rsidR="009F0876" w:rsidRPr="00FB472F">
        <w:rPr>
          <w:rFonts w:ascii="Times New Roman" w:hAnsi="Times New Roman" w:cs="Times New Roman"/>
          <w:b/>
          <w:bCs/>
          <w:sz w:val="24"/>
          <w:szCs w:val="22"/>
        </w:rPr>
        <w:t>.</w:t>
      </w:r>
      <w:r w:rsidRPr="00FB472F">
        <w:rPr>
          <w:rFonts w:ascii="Times New Roman" w:hAnsi="Times New Roman" w:cs="Times New Roman"/>
          <w:b/>
          <w:bCs/>
          <w:sz w:val="24"/>
          <w:szCs w:val="22"/>
        </w:rPr>
        <w:t xml:space="preserve"> </w:t>
      </w:r>
      <w:r w:rsidR="00760213" w:rsidRPr="00FB472F">
        <w:rPr>
          <w:rFonts w:ascii="Times New Roman" w:hAnsi="Times New Roman" w:cs="Times New Roman"/>
          <w:b/>
          <w:bCs/>
          <w:sz w:val="24"/>
          <w:szCs w:val="22"/>
        </w:rPr>
        <w:t xml:space="preserve">Total phenolic content of whole, dehusked dal, </w:t>
      </w:r>
      <w:r w:rsidR="007F43F2" w:rsidRPr="00FB472F">
        <w:rPr>
          <w:rFonts w:ascii="Times New Roman" w:hAnsi="Times New Roman" w:cs="Times New Roman"/>
          <w:b/>
          <w:bCs/>
          <w:sz w:val="24"/>
          <w:szCs w:val="22"/>
        </w:rPr>
        <w:t>byproduct</w:t>
      </w:r>
      <w:r w:rsidR="00760213" w:rsidRPr="00FB472F">
        <w:rPr>
          <w:rFonts w:ascii="Times New Roman" w:hAnsi="Times New Roman" w:cs="Times New Roman"/>
          <w:b/>
          <w:bCs/>
          <w:sz w:val="24"/>
          <w:szCs w:val="22"/>
        </w:rPr>
        <w:t xml:space="preserve"> and its fractions in fieldpea</w:t>
      </w:r>
      <w:r w:rsidR="00760213" w:rsidRPr="00FB472F" w:rsidDel="00760213">
        <w:rPr>
          <w:rFonts w:ascii="Times New Roman" w:hAnsi="Times New Roman" w:cs="Times New Roman"/>
          <w:b/>
          <w:bCs/>
          <w:sz w:val="24"/>
          <w:szCs w:val="22"/>
        </w:rPr>
        <w:t xml:space="preserve"> </w:t>
      </w:r>
    </w:p>
    <w:p w14:paraId="1C0A069B" w14:textId="6EEE0AF6" w:rsidR="00046D85" w:rsidRPr="00FB472F" w:rsidRDefault="00CE46E5" w:rsidP="00CE46E5">
      <w:pPr>
        <w:spacing w:line="360" w:lineRule="auto"/>
        <w:rPr>
          <w:rFonts w:ascii="Times New Roman" w:hAnsi="Times New Roman" w:cs="Times New Roman"/>
          <w:sz w:val="24"/>
          <w:szCs w:val="22"/>
        </w:rPr>
      </w:pPr>
      <w:r w:rsidRPr="00FB472F">
        <w:rPr>
          <w:rFonts w:ascii="Times New Roman" w:hAnsi="Times New Roman" w:cs="Times New Roman"/>
          <w:b/>
          <w:bCs/>
          <w:sz w:val="24"/>
          <w:szCs w:val="22"/>
        </w:rPr>
        <w:t>3.</w:t>
      </w:r>
      <w:r w:rsidR="003B181B" w:rsidRPr="00FB472F">
        <w:rPr>
          <w:rFonts w:ascii="Times New Roman" w:hAnsi="Times New Roman" w:cs="Times New Roman"/>
          <w:b/>
          <w:bCs/>
          <w:sz w:val="24"/>
          <w:szCs w:val="22"/>
        </w:rPr>
        <w:t xml:space="preserve">4 </w:t>
      </w:r>
      <w:r w:rsidR="00046D85"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A</w:t>
      </w:r>
      <w:r w:rsidR="00046D85" w:rsidRPr="00FB472F">
        <w:rPr>
          <w:rFonts w:ascii="Times New Roman" w:hAnsi="Times New Roman" w:cs="Times New Roman"/>
          <w:b/>
          <w:bCs/>
          <w:sz w:val="24"/>
          <w:szCs w:val="22"/>
        </w:rPr>
        <w:t xml:space="preserve">ntioxidant </w:t>
      </w:r>
      <w:r w:rsidR="009F0876" w:rsidRPr="00FB472F">
        <w:rPr>
          <w:rFonts w:ascii="Times New Roman" w:hAnsi="Times New Roman" w:cs="Times New Roman"/>
          <w:b/>
          <w:bCs/>
          <w:sz w:val="24"/>
          <w:szCs w:val="22"/>
        </w:rPr>
        <w:t>A</w:t>
      </w:r>
      <w:r w:rsidR="00046D85" w:rsidRPr="00FB472F">
        <w:rPr>
          <w:rFonts w:ascii="Times New Roman" w:hAnsi="Times New Roman" w:cs="Times New Roman"/>
          <w:b/>
          <w:bCs/>
          <w:sz w:val="24"/>
          <w:szCs w:val="22"/>
        </w:rPr>
        <w:t>ctivity</w:t>
      </w:r>
    </w:p>
    <w:p w14:paraId="7E868B0D" w14:textId="65A2CE9F" w:rsidR="007A756C" w:rsidRPr="00FB472F" w:rsidRDefault="007A756C"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The antioxidant activity of whole seeds of three chickpea cultivars</w:t>
      </w:r>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IPFD-99-13, IPF-5-19, and IPFD-1-10</w:t>
      </w:r>
      <w:r w:rsidR="007F7D1C"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was measured and found to be 2.57, 1.94, and 2.69 </w:t>
      </w:r>
      <w:proofErr w:type="spellStart"/>
      <w:r w:rsidRPr="00FB472F">
        <w:rPr>
          <w:rFonts w:ascii="Times New Roman" w:hAnsi="Times New Roman" w:cs="Times New Roman"/>
          <w:sz w:val="24"/>
          <w:szCs w:val="22"/>
        </w:rPr>
        <w:t>mmole</w:t>
      </w:r>
      <w:proofErr w:type="spellEnd"/>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Trolox Equivalent (TE)/100 g, respectively. Upon dehusking, which results in the production of dal (split cotyledons), a notable reduction in antioxidant capacity was observed. The antioxidant values for dal were 1.88, 1.81, and 2.12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the cultivars IPFD-99-13, IPF-5-19, and IPFD-1-10, respectively. This decline is primarily attributed to the removal of the seed coat (husk), which is rich in phenolic compounds that contribute significantly to antioxidant activity. In contrast,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primarily composed of husk and other outer layers separated during the dehusking process exhibited higher antioxidant values of 3.50, 2.82, and 3.01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the respective cultivars. Among the various sieved fractions of the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the </w:t>
      </w:r>
      <w:r w:rsidRPr="00FB472F">
        <w:rPr>
          <w:rFonts w:ascii="Times New Roman" w:hAnsi="Times New Roman" w:cs="Times New Roman"/>
          <w:sz w:val="24"/>
          <w:szCs w:val="22"/>
        </w:rPr>
        <w:lastRenderedPageBreak/>
        <w:t xml:space="preserve">coarse fraction retained </w:t>
      </w:r>
      <w:r w:rsidR="004A7994" w:rsidRPr="00FB472F">
        <w:rPr>
          <w:rFonts w:ascii="Times New Roman" w:hAnsi="Times New Roman" w:cs="Times New Roman"/>
          <w:sz w:val="24"/>
          <w:szCs w:val="22"/>
        </w:rPr>
        <w:t>over</w:t>
      </w:r>
      <w:r w:rsidRPr="00FB472F">
        <w:rPr>
          <w:rFonts w:ascii="Times New Roman" w:hAnsi="Times New Roman" w:cs="Times New Roman"/>
          <w:sz w:val="24"/>
          <w:szCs w:val="22"/>
        </w:rPr>
        <w:t xml:space="preserve"> &gt;1.00 mm sieve demonstrated the highest antioxidant levels, with values recorded at 2.88, 2.92, and 3.26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the three cultivars</w:t>
      </w:r>
      <w:r w:rsidR="004A7994" w:rsidRPr="00FB472F">
        <w:rPr>
          <w:rFonts w:ascii="Times New Roman" w:hAnsi="Times New Roman" w:cs="Times New Roman"/>
          <w:sz w:val="24"/>
          <w:szCs w:val="22"/>
        </w:rPr>
        <w:t>, respectively</w:t>
      </w:r>
      <w:r w:rsidRPr="00FB472F">
        <w:rPr>
          <w:rFonts w:ascii="Times New Roman" w:hAnsi="Times New Roman" w:cs="Times New Roman"/>
          <w:sz w:val="24"/>
          <w:szCs w:val="22"/>
        </w:rPr>
        <w:t>. This suggests that a significant portion of the antioxidant</w:t>
      </w:r>
      <w:r w:rsidR="004A7994"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rich husk material remains in this coarser fraction, as the &gt;1.00 mm sieve appears to effectively retain most of the husk. The average antioxidant activity of the &gt;1.00 mm fraction was calculated as 3.45, 2.76, and 3.16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IPFD-99-13, IPF-5-19, and IPFD-1-10, respectively. Additionally, antioxidant levels in another fraction</w:t>
      </w:r>
      <w:r w:rsidR="004A7994" w:rsidRPr="00FB472F">
        <w:rPr>
          <w:rFonts w:ascii="Times New Roman" w:hAnsi="Times New Roman" w:cs="Times New Roman"/>
          <w:sz w:val="24"/>
          <w:szCs w:val="22"/>
        </w:rPr>
        <w:t xml:space="preserve"> - </w:t>
      </w:r>
      <w:r w:rsidRPr="00FB472F">
        <w:rPr>
          <w:rFonts w:ascii="Times New Roman" w:hAnsi="Times New Roman" w:cs="Times New Roman"/>
          <w:sz w:val="24"/>
          <w:szCs w:val="22"/>
        </w:rPr>
        <w:t>likely between &gt;0.25 mm and &lt;1.00 mm sieve size</w:t>
      </w:r>
      <w:r w:rsidR="007F7D1C"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were observed to be </w:t>
      </w:r>
      <w:r w:rsidR="009213EA" w:rsidRPr="00FB472F">
        <w:rPr>
          <w:rFonts w:ascii="Times New Roman" w:hAnsi="Times New Roman" w:cs="Times New Roman"/>
          <w:sz w:val="24"/>
          <w:szCs w:val="22"/>
        </w:rPr>
        <w:t>3.45, 2.77</w:t>
      </w:r>
      <w:r w:rsidRPr="00FB472F">
        <w:rPr>
          <w:rFonts w:ascii="Times New Roman" w:hAnsi="Times New Roman" w:cs="Times New Roman"/>
          <w:sz w:val="24"/>
          <w:szCs w:val="22"/>
        </w:rPr>
        <w:t xml:space="preserve"> and</w:t>
      </w:r>
      <w:r w:rsidR="009213EA" w:rsidRPr="00FB472F">
        <w:rPr>
          <w:rFonts w:ascii="Times New Roman" w:hAnsi="Times New Roman" w:cs="Times New Roman"/>
          <w:sz w:val="24"/>
          <w:szCs w:val="22"/>
        </w:rPr>
        <w:t>3.16</w:t>
      </w: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for </w:t>
      </w:r>
      <w:r w:rsidR="009213EA" w:rsidRPr="00FB472F">
        <w:rPr>
          <w:rFonts w:ascii="Times New Roman" w:hAnsi="Times New Roman" w:cs="Times New Roman"/>
          <w:sz w:val="24"/>
          <w:szCs w:val="22"/>
        </w:rPr>
        <w:t xml:space="preserve">the three </w:t>
      </w:r>
      <w:r w:rsidRPr="00FB472F">
        <w:rPr>
          <w:rFonts w:ascii="Times New Roman" w:hAnsi="Times New Roman" w:cs="Times New Roman"/>
          <w:sz w:val="24"/>
          <w:szCs w:val="22"/>
        </w:rPr>
        <w:t xml:space="preserve">cultivars, with an average value of </w:t>
      </w:r>
      <w:r w:rsidR="009213EA" w:rsidRPr="00FB472F">
        <w:rPr>
          <w:rFonts w:ascii="Times New Roman" w:hAnsi="Times New Roman" w:cs="Times New Roman"/>
          <w:sz w:val="24"/>
          <w:szCs w:val="22"/>
        </w:rPr>
        <w:t xml:space="preserve">3.12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Interestingly, the finest sieved fraction (&lt;0.25 mm), which may include powdered husk and fine particles, exhibited the highest antioxidant potential, with values of 4.23, 3.76, and 3.55 </w:t>
      </w:r>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TE/100 g across the three cultivars. These findings highlight that although the coarser husk fraction (&gt;1.00 mm) retains a high antioxidant content, finer fractions, especially those &lt;0.25 mm, possess even greater antioxidant activity. Therefore, for therapeutic or nutraceutical applications, both coarse (&gt;1.00 mm) and fine (&lt;0.25 mm)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fractions can be effectively utilized due to their superior antioxidant profiles.</w:t>
      </w:r>
      <w:r w:rsidR="007F7D1C" w:rsidRPr="00FB472F">
        <w:rPr>
          <w:rFonts w:ascii="Times New Roman" w:hAnsi="Times New Roman" w:cs="Times New Roman"/>
          <w:sz w:val="24"/>
          <w:szCs w:val="22"/>
        </w:rPr>
        <w:t xml:space="preserve"> </w:t>
      </w:r>
      <w:r w:rsidR="00FF5F0B" w:rsidRPr="00FB472F">
        <w:rPr>
          <w:rFonts w:ascii="Times New Roman" w:hAnsi="Times New Roman" w:cs="Times New Roman"/>
          <w:sz w:val="24"/>
          <w:szCs w:val="22"/>
        </w:rPr>
        <w:t xml:space="preserve">Zhao et al., 2020, evaluated sixteen field pea varieties and observed that 16WDS021 had the highest </w:t>
      </w:r>
      <w:r w:rsidR="00AA07DD" w:rsidRPr="00FB472F">
        <w:rPr>
          <w:rFonts w:ascii="Times New Roman" w:hAnsi="Times New Roman" w:cs="Times New Roman"/>
          <w:sz w:val="24"/>
          <w:szCs w:val="22"/>
        </w:rPr>
        <w:t>a</w:t>
      </w:r>
      <w:r w:rsidR="007F7D1C" w:rsidRPr="00FB472F">
        <w:rPr>
          <w:rFonts w:ascii="Times New Roman" w:hAnsi="Times New Roman" w:cs="Times New Roman"/>
          <w:sz w:val="24"/>
          <w:szCs w:val="22"/>
        </w:rPr>
        <w:t>ntioxidant activity</w:t>
      </w:r>
      <w:r w:rsidR="00AA07DD" w:rsidRPr="00FB472F">
        <w:rPr>
          <w:rFonts w:ascii="Times New Roman" w:hAnsi="Times New Roman" w:cs="Times New Roman"/>
          <w:sz w:val="24"/>
          <w:szCs w:val="22"/>
        </w:rPr>
        <w:t xml:space="preserve"> indicating dark seeded peas have potential benefits compare to light coloured varieties.</w:t>
      </w:r>
      <w:r w:rsidR="007F7D1C" w:rsidRPr="00FB472F">
        <w:rPr>
          <w:rFonts w:ascii="Times New Roman" w:hAnsi="Times New Roman" w:cs="Times New Roman"/>
          <w:sz w:val="24"/>
          <w:szCs w:val="22"/>
        </w:rPr>
        <w:t xml:space="preserve"> </w:t>
      </w:r>
    </w:p>
    <w:p w14:paraId="4B04C123" w14:textId="2278EC73" w:rsidR="003B7A6F" w:rsidRPr="00FB472F" w:rsidRDefault="003B7A6F" w:rsidP="00CE46E5">
      <w:pPr>
        <w:spacing w:line="360" w:lineRule="auto"/>
        <w:jc w:val="center"/>
        <w:rPr>
          <w:rFonts w:ascii="Times New Roman" w:hAnsi="Times New Roman" w:cs="Times New Roman"/>
          <w:sz w:val="24"/>
          <w:szCs w:val="22"/>
        </w:rPr>
      </w:pPr>
      <w:r w:rsidRPr="00FB472F">
        <w:rPr>
          <w:noProof/>
        </w:rPr>
        <w:drawing>
          <wp:inline distT="0" distB="0" distL="0" distR="0" wp14:anchorId="1413C03C" wp14:editId="4485ED77">
            <wp:extent cx="4572000" cy="2743200"/>
            <wp:effectExtent l="0" t="0" r="0" b="0"/>
            <wp:docPr id="406205288" name="Chart 1">
              <a:extLst xmlns:a="http://schemas.openxmlformats.org/drawingml/2006/main">
                <a:ext uri="{FF2B5EF4-FFF2-40B4-BE49-F238E27FC236}">
                  <a16:creationId xmlns:a16="http://schemas.microsoft.com/office/drawing/2014/main" id="{97AA6C62-71F0-067A-9B60-E2968348C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6A5556" w14:textId="2AF4C839" w:rsidR="009F28C6" w:rsidRPr="00FB472F" w:rsidRDefault="009F28C6" w:rsidP="009F28C6">
      <w:pPr>
        <w:spacing w:line="360" w:lineRule="auto"/>
        <w:jc w:val="center"/>
        <w:rPr>
          <w:rFonts w:ascii="Times New Roman" w:hAnsi="Times New Roman" w:cs="Times New Roman"/>
          <w:b/>
          <w:bCs/>
          <w:sz w:val="24"/>
          <w:szCs w:val="22"/>
        </w:rPr>
      </w:pPr>
      <w:r w:rsidRPr="00FB472F">
        <w:rPr>
          <w:rFonts w:ascii="Times New Roman" w:hAnsi="Times New Roman" w:cs="Times New Roman"/>
          <w:b/>
          <w:bCs/>
          <w:sz w:val="24"/>
          <w:szCs w:val="22"/>
        </w:rPr>
        <w:t>Fig.</w:t>
      </w:r>
      <w:r w:rsidR="00AA07DD" w:rsidRPr="00FB472F">
        <w:rPr>
          <w:rFonts w:ascii="Times New Roman" w:hAnsi="Times New Roman" w:cs="Times New Roman"/>
          <w:b/>
          <w:bCs/>
          <w:sz w:val="24"/>
          <w:szCs w:val="22"/>
        </w:rPr>
        <w:t xml:space="preserve"> 3</w:t>
      </w:r>
      <w:r w:rsidR="009F0876" w:rsidRPr="00FB472F">
        <w:rPr>
          <w:rFonts w:ascii="Times New Roman" w:hAnsi="Times New Roman" w:cs="Times New Roman"/>
          <w:b/>
          <w:bCs/>
          <w:sz w:val="24"/>
          <w:szCs w:val="22"/>
        </w:rPr>
        <w:t>.</w:t>
      </w:r>
      <w:r w:rsidRPr="00FB472F">
        <w:rPr>
          <w:rFonts w:ascii="Times New Roman" w:hAnsi="Times New Roman" w:cs="Times New Roman"/>
          <w:b/>
          <w:bCs/>
          <w:sz w:val="24"/>
          <w:szCs w:val="22"/>
        </w:rPr>
        <w:t xml:space="preserve"> </w:t>
      </w:r>
      <w:r w:rsidR="00AA07DD" w:rsidRPr="00FB472F">
        <w:rPr>
          <w:rFonts w:ascii="Times New Roman" w:hAnsi="Times New Roman" w:cs="Times New Roman"/>
          <w:b/>
          <w:bCs/>
          <w:sz w:val="24"/>
          <w:szCs w:val="22"/>
        </w:rPr>
        <w:t xml:space="preserve">Total antioxidant activity of whole, dehusked dal, </w:t>
      </w:r>
      <w:r w:rsidR="007F43F2" w:rsidRPr="00FB472F">
        <w:rPr>
          <w:rFonts w:ascii="Times New Roman" w:hAnsi="Times New Roman" w:cs="Times New Roman"/>
          <w:b/>
          <w:bCs/>
          <w:sz w:val="24"/>
          <w:szCs w:val="22"/>
        </w:rPr>
        <w:t>byproduct</w:t>
      </w:r>
      <w:r w:rsidR="00AA07DD" w:rsidRPr="00FB472F">
        <w:rPr>
          <w:rFonts w:ascii="Times New Roman" w:hAnsi="Times New Roman" w:cs="Times New Roman"/>
          <w:b/>
          <w:bCs/>
          <w:sz w:val="24"/>
          <w:szCs w:val="22"/>
        </w:rPr>
        <w:t xml:space="preserve"> and its fractions in fieldpea </w:t>
      </w:r>
    </w:p>
    <w:p w14:paraId="701ED3E1" w14:textId="48F70443" w:rsidR="003A4CB8"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3.5 </w:t>
      </w:r>
      <w:r w:rsidR="003A4CB8" w:rsidRPr="00FB472F">
        <w:rPr>
          <w:rFonts w:ascii="Times New Roman" w:hAnsi="Times New Roman" w:cs="Times New Roman"/>
          <w:b/>
          <w:bCs/>
          <w:sz w:val="24"/>
          <w:szCs w:val="22"/>
        </w:rPr>
        <w:t xml:space="preserve">Calorific </w:t>
      </w:r>
      <w:r w:rsidR="009F0876" w:rsidRPr="00FB472F">
        <w:rPr>
          <w:rFonts w:ascii="Times New Roman" w:hAnsi="Times New Roman" w:cs="Times New Roman"/>
          <w:b/>
          <w:bCs/>
          <w:sz w:val="24"/>
          <w:szCs w:val="22"/>
        </w:rPr>
        <w:t>V</w:t>
      </w:r>
      <w:r w:rsidR="003A4CB8" w:rsidRPr="00FB472F">
        <w:rPr>
          <w:rFonts w:ascii="Times New Roman" w:hAnsi="Times New Roman" w:cs="Times New Roman"/>
          <w:b/>
          <w:bCs/>
          <w:sz w:val="24"/>
          <w:szCs w:val="22"/>
        </w:rPr>
        <w:t>alue</w:t>
      </w:r>
    </w:p>
    <w:p w14:paraId="2017E3DF" w14:textId="69D51B85" w:rsidR="00820A48" w:rsidRPr="00FB472F" w:rsidRDefault="00820A48" w:rsidP="00CE46E5">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lastRenderedPageBreak/>
        <w:t>During the milling process of field pea varieties, noticeable changes in calorific values were observed across different components</w:t>
      </w:r>
      <w:r w:rsidR="007A701B"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whole seeds, dal (dehusked cotyledons), milling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s, and their sieve fractions.  IPFD-99-13, the energy content was found to be 377.66 kcal/100g for whole seeds, 378.21 kcal/100g for dehusked splits (dal), and 378.93 kcal/100g for the milling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The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was further fractionated based on particle size using sieves, and the calorific values for the respective fractions were 363.79 kcal/100g for particles larger than 1.00 mm, 382.08 kcal/100g for particles between 0.25 mm and 1.00 mm, and 388.91 kcal/100g for particles smaller than 0.25 mm his variation can be attributed to the differential distribution of macronutrients. </w:t>
      </w:r>
      <w:r w:rsidR="00D76270" w:rsidRPr="00FB472F">
        <w:rPr>
          <w:rFonts w:ascii="Times New Roman" w:hAnsi="Times New Roman" w:cs="Times New Roman"/>
          <w:sz w:val="24"/>
          <w:szCs w:val="24"/>
        </w:rPr>
        <w:t xml:space="preserve">Generally, whole seeds and dal exhibited slightly lower calorific values compared to certain milling </w:t>
      </w:r>
      <w:r w:rsidR="007F43F2" w:rsidRPr="00FB472F">
        <w:rPr>
          <w:rFonts w:ascii="Times New Roman" w:hAnsi="Times New Roman" w:cs="Times New Roman"/>
          <w:sz w:val="24"/>
          <w:szCs w:val="24"/>
        </w:rPr>
        <w:t>byproduct</w:t>
      </w:r>
      <w:r w:rsidR="00D76270" w:rsidRPr="00FB472F">
        <w:rPr>
          <w:rFonts w:ascii="Times New Roman" w:hAnsi="Times New Roman" w:cs="Times New Roman"/>
          <w:sz w:val="24"/>
          <w:szCs w:val="24"/>
        </w:rPr>
        <w:t xml:space="preserve"> fractions, especially the finest particles (&lt;0.25 mm).</w:t>
      </w:r>
      <w:r w:rsidR="007007E9"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Whole seeds and dal primarily consist of starch-rich cotyledons, which contribute to the bulk of the energy content. However, during dehulling and milling, the outer seed coat (rich in dietary </w:t>
      </w:r>
      <w:r w:rsidR="00F336A4" w:rsidRPr="00FB472F">
        <w:rPr>
          <w:rFonts w:ascii="Times New Roman" w:hAnsi="Times New Roman" w:cs="Times New Roman"/>
          <w:sz w:val="24"/>
          <w:szCs w:val="24"/>
        </w:rPr>
        <w:t>fibre</w:t>
      </w:r>
      <w:r w:rsidRPr="00FB472F">
        <w:rPr>
          <w:rFonts w:ascii="Times New Roman" w:hAnsi="Times New Roman" w:cs="Times New Roman"/>
          <w:sz w:val="24"/>
          <w:szCs w:val="24"/>
        </w:rPr>
        <w:t xml:space="preserve">, lipids, and some residual proteins) is separated as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Finer particles in the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fractions are more likely to contain concentrated lipid and protein residues, which have higher energy density than carbohydrates. Similarly, for the variety IPF-5-19, the calorific values were 368.16 kcal/100g (whole seeds), 368.52 kcal/100g (dal), and 356.79 kcal/100g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The sieved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fractions recorded energy values of 350.05 kcal/100g (&gt;1.00 mm), 366.65 kcal/100g (0.25–1.00 mm), and 371.76 kcal/100g (&lt;0.25 mm).</w:t>
      </w:r>
      <w:r w:rsidR="00D76270"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In </w:t>
      </w:r>
      <w:r w:rsidR="00D76270" w:rsidRPr="00FB472F">
        <w:rPr>
          <w:rFonts w:ascii="Times New Roman" w:hAnsi="Times New Roman" w:cs="Times New Roman"/>
          <w:sz w:val="24"/>
          <w:szCs w:val="24"/>
        </w:rPr>
        <w:t>other variety of field pea (</w:t>
      </w:r>
      <w:r w:rsidRPr="00FB472F">
        <w:rPr>
          <w:rFonts w:ascii="Times New Roman" w:hAnsi="Times New Roman" w:cs="Times New Roman"/>
          <w:sz w:val="24"/>
          <w:szCs w:val="24"/>
        </w:rPr>
        <w:t>IPFD-1-10</w:t>
      </w:r>
      <w:r w:rsidR="00D76270" w:rsidRPr="00FB472F">
        <w:rPr>
          <w:rFonts w:ascii="Times New Roman" w:hAnsi="Times New Roman" w:cs="Times New Roman"/>
          <w:sz w:val="24"/>
          <w:szCs w:val="24"/>
        </w:rPr>
        <w:t>)</w:t>
      </w:r>
      <w:r w:rsidRPr="00FB472F">
        <w:rPr>
          <w:rFonts w:ascii="Times New Roman" w:hAnsi="Times New Roman" w:cs="Times New Roman"/>
          <w:sz w:val="24"/>
          <w:szCs w:val="24"/>
        </w:rPr>
        <w:t xml:space="preserve">, the calorific values were 373.08 kcal/100g for whole seeds, 372.41 kcal/100g for dal, and 370.71 kcal/100g for the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The corresponding values for the size-based fractions were 379.50 kcal/100g (&gt;1.00 mm), 380.98 kcal/100g (0.25–1.00 mm), and 376.56 kcal/100g (&lt;0.25 mm).</w:t>
      </w:r>
    </w:p>
    <w:p w14:paraId="1664C81B" w14:textId="58E139ED" w:rsidR="00820A48" w:rsidRPr="00FB472F" w:rsidRDefault="00A3154B" w:rsidP="00A3154B">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4. </w:t>
      </w:r>
      <w:r w:rsidR="009F0876" w:rsidRPr="00FB472F">
        <w:rPr>
          <w:rFonts w:ascii="Times New Roman" w:hAnsi="Times New Roman" w:cs="Times New Roman"/>
          <w:b/>
          <w:bCs/>
          <w:sz w:val="24"/>
          <w:szCs w:val="22"/>
        </w:rPr>
        <w:t>CONCLUSIONS</w:t>
      </w:r>
    </w:p>
    <w:p w14:paraId="6B0C2457" w14:textId="5FE03605" w:rsidR="00A3154B" w:rsidRPr="00FB472F" w:rsidRDefault="0065259A" w:rsidP="00A3154B">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Fieldpea is often consumed as whole</w:t>
      </w:r>
      <w:r w:rsidR="000108A3" w:rsidRPr="00FB472F">
        <w:rPr>
          <w:rFonts w:ascii="Times New Roman" w:hAnsi="Times New Roman" w:cs="Times New Roman"/>
          <w:sz w:val="24"/>
          <w:szCs w:val="22"/>
        </w:rPr>
        <w:t>,</w:t>
      </w:r>
      <w:r w:rsidRPr="00FB472F">
        <w:rPr>
          <w:rFonts w:ascii="Times New Roman" w:hAnsi="Times New Roman" w:cs="Times New Roman"/>
          <w:sz w:val="24"/>
          <w:szCs w:val="22"/>
        </w:rPr>
        <w:t xml:space="preserve"> or dehusked splits (dal) or powder prepared from dal. Husk removal </w:t>
      </w:r>
      <w:r w:rsidR="000108A3" w:rsidRPr="00FB472F">
        <w:rPr>
          <w:rFonts w:ascii="Times New Roman" w:hAnsi="Times New Roman" w:cs="Times New Roman"/>
          <w:sz w:val="24"/>
          <w:szCs w:val="22"/>
        </w:rPr>
        <w:t xml:space="preserve">through abrasive surfaces </w:t>
      </w:r>
      <w:r w:rsidRPr="00FB472F">
        <w:rPr>
          <w:rFonts w:ascii="Times New Roman" w:hAnsi="Times New Roman" w:cs="Times New Roman"/>
          <w:sz w:val="24"/>
          <w:szCs w:val="22"/>
        </w:rPr>
        <w:t xml:space="preserve">is essential process of </w:t>
      </w:r>
      <w:r w:rsidR="000108A3" w:rsidRPr="00FB472F">
        <w:rPr>
          <w:rFonts w:ascii="Times New Roman" w:hAnsi="Times New Roman" w:cs="Times New Roman"/>
          <w:sz w:val="24"/>
          <w:szCs w:val="22"/>
        </w:rPr>
        <w:t xml:space="preserve">field pea milling, which produces dal and milling </w:t>
      </w:r>
      <w:r w:rsidR="007F43F2" w:rsidRPr="00FB472F">
        <w:rPr>
          <w:rFonts w:ascii="Times New Roman" w:hAnsi="Times New Roman" w:cs="Times New Roman"/>
          <w:sz w:val="24"/>
          <w:szCs w:val="22"/>
        </w:rPr>
        <w:t>byproduct</w:t>
      </w:r>
      <w:r w:rsidR="000108A3" w:rsidRPr="00FB472F">
        <w:rPr>
          <w:rFonts w:ascii="Times New Roman" w:hAnsi="Times New Roman" w:cs="Times New Roman"/>
          <w:sz w:val="24"/>
          <w:szCs w:val="22"/>
        </w:rPr>
        <w:t xml:space="preserve">. In the study, biochemical analysis field pea milling byproduct and its fractions were determined to assess </w:t>
      </w:r>
      <w:proofErr w:type="spellStart"/>
      <w:proofErr w:type="gramStart"/>
      <w:r w:rsidR="000108A3" w:rsidRPr="00FB472F">
        <w:rPr>
          <w:rFonts w:ascii="Times New Roman" w:hAnsi="Times New Roman" w:cs="Times New Roman"/>
          <w:sz w:val="24"/>
          <w:szCs w:val="22"/>
        </w:rPr>
        <w:t>it’s</w:t>
      </w:r>
      <w:proofErr w:type="spellEnd"/>
      <w:proofErr w:type="gramEnd"/>
      <w:r w:rsidR="000108A3" w:rsidRPr="00FB472F">
        <w:rPr>
          <w:rFonts w:ascii="Times New Roman" w:hAnsi="Times New Roman" w:cs="Times New Roman"/>
          <w:sz w:val="24"/>
          <w:szCs w:val="22"/>
        </w:rPr>
        <w:t xml:space="preserve"> suitability of edible </w:t>
      </w:r>
      <w:r w:rsidR="00A94711" w:rsidRPr="00FB472F">
        <w:rPr>
          <w:rFonts w:ascii="Times New Roman" w:hAnsi="Times New Roman" w:cs="Times New Roman"/>
          <w:sz w:val="24"/>
          <w:szCs w:val="22"/>
        </w:rPr>
        <w:t>usage</w:t>
      </w:r>
      <w:r w:rsidR="000108A3" w:rsidRPr="00FB472F">
        <w:rPr>
          <w:rFonts w:ascii="Times New Roman" w:hAnsi="Times New Roman" w:cs="Times New Roman"/>
          <w:sz w:val="24"/>
          <w:szCs w:val="22"/>
        </w:rPr>
        <w:t>.</w:t>
      </w:r>
      <w:r w:rsidR="00A94711" w:rsidRPr="00FB472F">
        <w:rPr>
          <w:rFonts w:ascii="Times New Roman" w:hAnsi="Times New Roman" w:cs="Times New Roman"/>
          <w:sz w:val="24"/>
          <w:szCs w:val="22"/>
        </w:rPr>
        <w:t xml:space="preserve"> Presently it is consumed as low value cattle feed. The biochemical analysis indicates that </w:t>
      </w:r>
      <w:proofErr w:type="spellStart"/>
      <w:r w:rsidR="00A94711" w:rsidRPr="00FB472F">
        <w:rPr>
          <w:rFonts w:ascii="Times New Roman" w:hAnsi="Times New Roman" w:cs="Times New Roman"/>
          <w:sz w:val="24"/>
          <w:szCs w:val="22"/>
        </w:rPr>
        <w:t>byproduct</w:t>
      </w:r>
      <w:proofErr w:type="spellEnd"/>
      <w:r w:rsidR="00A94711" w:rsidRPr="00FB472F">
        <w:rPr>
          <w:rFonts w:ascii="Times New Roman" w:hAnsi="Times New Roman" w:cs="Times New Roman"/>
          <w:sz w:val="24"/>
          <w:szCs w:val="22"/>
        </w:rPr>
        <w:t xml:space="preserve"> </w:t>
      </w:r>
      <w:proofErr w:type="spellStart"/>
      <w:r w:rsidR="00A94711" w:rsidRPr="00FB472F">
        <w:rPr>
          <w:rFonts w:ascii="Times New Roman" w:hAnsi="Times New Roman" w:cs="Times New Roman"/>
          <w:sz w:val="24"/>
          <w:szCs w:val="22"/>
        </w:rPr>
        <w:t>raction</w:t>
      </w:r>
      <w:proofErr w:type="spellEnd"/>
      <w:r w:rsidR="00A94711" w:rsidRPr="00FB472F">
        <w:rPr>
          <w:rFonts w:ascii="Times New Roman" w:hAnsi="Times New Roman" w:cs="Times New Roman"/>
          <w:sz w:val="24"/>
          <w:szCs w:val="22"/>
        </w:rPr>
        <w:t xml:space="preserve"> &gt;1.00 mm </w:t>
      </w:r>
      <w:r w:rsidR="00A61821" w:rsidRPr="00FB472F">
        <w:rPr>
          <w:rFonts w:ascii="Times New Roman" w:hAnsi="Times New Roman" w:cs="Times New Roman"/>
          <w:sz w:val="24"/>
          <w:szCs w:val="22"/>
        </w:rPr>
        <w:t>contains</w:t>
      </w:r>
      <w:r w:rsidR="00A94711" w:rsidRPr="00FB472F">
        <w:rPr>
          <w:rFonts w:ascii="Times New Roman" w:hAnsi="Times New Roman" w:cs="Times New Roman"/>
          <w:sz w:val="24"/>
          <w:szCs w:val="22"/>
        </w:rPr>
        <w:t xml:space="preserve"> phenols and antioxidants, and can </w:t>
      </w:r>
      <w:r w:rsidR="00A61821" w:rsidRPr="00FB472F">
        <w:rPr>
          <w:rFonts w:ascii="Times New Roman" w:hAnsi="Times New Roman" w:cs="Times New Roman"/>
          <w:sz w:val="24"/>
          <w:szCs w:val="22"/>
        </w:rPr>
        <w:t>be utilized in</w:t>
      </w:r>
      <w:r w:rsidR="00A94711" w:rsidRPr="00FB472F">
        <w:rPr>
          <w:rFonts w:ascii="Times New Roman" w:hAnsi="Times New Roman" w:cs="Times New Roman"/>
          <w:sz w:val="24"/>
          <w:szCs w:val="22"/>
        </w:rPr>
        <w:t xml:space="preserve"> </w:t>
      </w:r>
      <w:r w:rsidR="00A61821" w:rsidRPr="00FB472F">
        <w:rPr>
          <w:rFonts w:ascii="Times New Roman" w:hAnsi="Times New Roman" w:cs="Times New Roman"/>
          <w:sz w:val="24"/>
          <w:szCs w:val="22"/>
        </w:rPr>
        <w:t xml:space="preserve">developing novel food with </w:t>
      </w:r>
      <w:r w:rsidR="00F73F0B" w:rsidRPr="00FB472F">
        <w:rPr>
          <w:rFonts w:ascii="Times New Roman" w:hAnsi="Times New Roman" w:cs="Times New Roman"/>
          <w:sz w:val="24"/>
          <w:szCs w:val="22"/>
        </w:rPr>
        <w:t xml:space="preserve">health and </w:t>
      </w:r>
      <w:r w:rsidR="00A94711" w:rsidRPr="00FB472F">
        <w:rPr>
          <w:rFonts w:ascii="Times New Roman" w:hAnsi="Times New Roman" w:cs="Times New Roman"/>
          <w:sz w:val="24"/>
          <w:szCs w:val="22"/>
        </w:rPr>
        <w:t>therapeutic</w:t>
      </w:r>
      <w:r w:rsidR="00A61821" w:rsidRPr="00FB472F">
        <w:rPr>
          <w:rFonts w:ascii="Times New Roman" w:hAnsi="Times New Roman" w:cs="Times New Roman"/>
          <w:sz w:val="24"/>
          <w:szCs w:val="22"/>
        </w:rPr>
        <w:t xml:space="preserve"> advantages</w:t>
      </w:r>
      <w:r w:rsidR="00F73F0B" w:rsidRPr="00FB472F">
        <w:rPr>
          <w:rFonts w:ascii="Times New Roman" w:hAnsi="Times New Roman" w:cs="Times New Roman"/>
          <w:sz w:val="24"/>
          <w:szCs w:val="22"/>
        </w:rPr>
        <w:t>.</w:t>
      </w:r>
      <w:r w:rsidR="00A61821" w:rsidRPr="00FB472F">
        <w:rPr>
          <w:rFonts w:ascii="Times New Roman" w:hAnsi="Times New Roman" w:cs="Times New Roman"/>
          <w:sz w:val="24"/>
          <w:szCs w:val="22"/>
        </w:rPr>
        <w:t xml:space="preserve"> This </w:t>
      </w:r>
      <w:proofErr w:type="spellStart"/>
      <w:r w:rsidR="00A61821" w:rsidRPr="00FB472F">
        <w:rPr>
          <w:rFonts w:ascii="Times New Roman" w:hAnsi="Times New Roman" w:cs="Times New Roman"/>
          <w:sz w:val="24"/>
          <w:szCs w:val="22"/>
        </w:rPr>
        <w:t>fiber</w:t>
      </w:r>
      <w:proofErr w:type="spellEnd"/>
      <w:r w:rsidR="00A61821" w:rsidRPr="00FB472F">
        <w:rPr>
          <w:rFonts w:ascii="Times New Roman" w:hAnsi="Times New Roman" w:cs="Times New Roman"/>
          <w:sz w:val="24"/>
          <w:szCs w:val="22"/>
        </w:rPr>
        <w:t xml:space="preserve">, phenol and antioxidant rich fraction of milling </w:t>
      </w:r>
      <w:r w:rsidR="007F43F2" w:rsidRPr="00FB472F">
        <w:rPr>
          <w:rFonts w:ascii="Times New Roman" w:hAnsi="Times New Roman" w:cs="Times New Roman"/>
          <w:sz w:val="24"/>
          <w:szCs w:val="22"/>
        </w:rPr>
        <w:t>byproduct</w:t>
      </w:r>
      <w:r w:rsidR="00A61821" w:rsidRPr="00FB472F">
        <w:rPr>
          <w:rFonts w:ascii="Times New Roman" w:hAnsi="Times New Roman" w:cs="Times New Roman"/>
          <w:sz w:val="24"/>
          <w:szCs w:val="22"/>
        </w:rPr>
        <w:t xml:space="preserve"> can be useful in reduction of cholesterol and preventing cancer. The milling </w:t>
      </w:r>
      <w:r w:rsidR="007F43F2" w:rsidRPr="00FB472F">
        <w:rPr>
          <w:rFonts w:ascii="Times New Roman" w:hAnsi="Times New Roman" w:cs="Times New Roman"/>
          <w:sz w:val="24"/>
          <w:szCs w:val="22"/>
        </w:rPr>
        <w:t>byproduct</w:t>
      </w:r>
      <w:r w:rsidR="00A61821" w:rsidRPr="00FB472F">
        <w:rPr>
          <w:rFonts w:ascii="Times New Roman" w:hAnsi="Times New Roman" w:cs="Times New Roman"/>
          <w:sz w:val="24"/>
          <w:szCs w:val="22"/>
        </w:rPr>
        <w:t xml:space="preserve"> fraction, &lt;0.25 mm, comprises of protein rich cotyledon powder produced due to scouring of peripheral region of the cotyledons. This fraction </w:t>
      </w:r>
      <w:r w:rsidR="00E1706D" w:rsidRPr="00FB472F">
        <w:rPr>
          <w:rFonts w:ascii="Times New Roman" w:hAnsi="Times New Roman" w:cs="Times New Roman"/>
          <w:sz w:val="24"/>
          <w:szCs w:val="22"/>
        </w:rPr>
        <w:t xml:space="preserve">of fine cotyledon powder </w:t>
      </w:r>
      <w:r w:rsidR="00A61821" w:rsidRPr="00FB472F">
        <w:rPr>
          <w:rFonts w:ascii="Times New Roman" w:hAnsi="Times New Roman" w:cs="Times New Roman"/>
          <w:sz w:val="24"/>
          <w:szCs w:val="22"/>
        </w:rPr>
        <w:t xml:space="preserve">can </w:t>
      </w:r>
      <w:r w:rsidR="00A61821" w:rsidRPr="00FB472F">
        <w:rPr>
          <w:rFonts w:ascii="Times New Roman" w:hAnsi="Times New Roman" w:cs="Times New Roman"/>
          <w:sz w:val="24"/>
          <w:szCs w:val="22"/>
        </w:rPr>
        <w:lastRenderedPageBreak/>
        <w:t xml:space="preserve">directly </w:t>
      </w:r>
      <w:r w:rsidR="00E1706D" w:rsidRPr="00FB472F">
        <w:rPr>
          <w:rFonts w:ascii="Times New Roman" w:hAnsi="Times New Roman" w:cs="Times New Roman"/>
          <w:sz w:val="24"/>
          <w:szCs w:val="22"/>
        </w:rPr>
        <w:t xml:space="preserve">be </w:t>
      </w:r>
      <w:r w:rsidR="00A61821" w:rsidRPr="00FB472F">
        <w:rPr>
          <w:rFonts w:ascii="Times New Roman" w:hAnsi="Times New Roman" w:cs="Times New Roman"/>
          <w:sz w:val="24"/>
          <w:szCs w:val="22"/>
        </w:rPr>
        <w:t>utilize</w:t>
      </w:r>
      <w:r w:rsidR="00E1706D" w:rsidRPr="00FB472F">
        <w:rPr>
          <w:rFonts w:ascii="Times New Roman" w:hAnsi="Times New Roman" w:cs="Times New Roman"/>
          <w:sz w:val="24"/>
          <w:szCs w:val="22"/>
        </w:rPr>
        <w:t>d as source of pulse proteins in traditional recipes and in developing protein, phenol and antioxidant rich value</w:t>
      </w:r>
      <w:r w:rsidR="00E02123" w:rsidRPr="00FB472F">
        <w:rPr>
          <w:rFonts w:ascii="Times New Roman" w:hAnsi="Times New Roman" w:cs="Times New Roman"/>
          <w:sz w:val="24"/>
          <w:szCs w:val="22"/>
        </w:rPr>
        <w:t>-</w:t>
      </w:r>
      <w:r w:rsidR="00E1706D" w:rsidRPr="00FB472F">
        <w:rPr>
          <w:rFonts w:ascii="Times New Roman" w:hAnsi="Times New Roman" w:cs="Times New Roman"/>
          <w:sz w:val="24"/>
          <w:szCs w:val="22"/>
        </w:rPr>
        <w:t xml:space="preserve">added products. The milling byproduct, which is often considered as low value waste, can be utilized for nutritious high value edible products.   </w:t>
      </w:r>
    </w:p>
    <w:p w14:paraId="3F54C2C2" w14:textId="77777777" w:rsidR="009F0876" w:rsidRPr="00FB472F" w:rsidRDefault="009F0876" w:rsidP="00A3154B">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DISCLAIMER (ARTIFICIAL INTELLIGENCE)</w:t>
      </w:r>
    </w:p>
    <w:p w14:paraId="40085808" w14:textId="3BDFE8EB" w:rsidR="009F0876" w:rsidRPr="00FB472F" w:rsidRDefault="009F0876" w:rsidP="00A3154B">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Author(s) hereby declares that NO generative AI technologies such as Large Language Models (ChatGPT, COPILOT, etc) and text-to-image generators have been used during writing or editing of this manuscript.</w:t>
      </w:r>
    </w:p>
    <w:p w14:paraId="392A43D7" w14:textId="7E300CFB" w:rsidR="00BC3686" w:rsidRDefault="00BC3686" w:rsidP="00BC3686">
      <w:pPr>
        <w:jc w:val="both"/>
        <w:rPr>
          <w:rFonts w:ascii="Times New Roman" w:hAnsi="Times New Roman" w:cs="Times New Roman"/>
          <w:b/>
          <w:bCs/>
          <w:sz w:val="24"/>
          <w:szCs w:val="22"/>
        </w:rPr>
      </w:pPr>
    </w:p>
    <w:p w14:paraId="146EF6B1" w14:textId="77777777" w:rsidR="00490B44" w:rsidRPr="00FB472F" w:rsidRDefault="00490B44" w:rsidP="00BC3686">
      <w:pPr>
        <w:jc w:val="both"/>
        <w:rPr>
          <w:rFonts w:ascii="Times New Roman" w:hAnsi="Times New Roman" w:cs="Times New Roman"/>
          <w:b/>
          <w:bCs/>
          <w:sz w:val="24"/>
          <w:szCs w:val="22"/>
        </w:rPr>
      </w:pPr>
      <w:bookmarkStart w:id="0" w:name="_GoBack"/>
      <w:bookmarkEnd w:id="0"/>
    </w:p>
    <w:p w14:paraId="624B1134" w14:textId="5CB6D733" w:rsidR="00CB1F4C" w:rsidRPr="00FB472F" w:rsidRDefault="00626A07" w:rsidP="00BC3686">
      <w:pPr>
        <w:jc w:val="both"/>
        <w:rPr>
          <w:rFonts w:ascii="Times New Roman" w:hAnsi="Times New Roman" w:cs="Times New Roman"/>
          <w:b/>
          <w:bCs/>
          <w:sz w:val="24"/>
          <w:szCs w:val="22"/>
          <w:lang w:val="en-US"/>
        </w:rPr>
      </w:pPr>
      <w:bookmarkStart w:id="1" w:name="_Hlk212731994"/>
      <w:r w:rsidRPr="00FB472F">
        <w:rPr>
          <w:rFonts w:ascii="Times New Roman" w:hAnsi="Times New Roman" w:cs="Times New Roman"/>
          <w:b/>
          <w:bCs/>
          <w:sz w:val="24"/>
          <w:szCs w:val="22"/>
        </w:rPr>
        <w:t>REFERENCES</w:t>
      </w:r>
    </w:p>
    <w:bookmarkEnd w:id="1"/>
    <w:p w14:paraId="6A77DEF7" w14:textId="77777777"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Apak, R., </w:t>
      </w:r>
      <w:proofErr w:type="spellStart"/>
      <w:r w:rsidRPr="00FB472F">
        <w:rPr>
          <w:rFonts w:ascii="Times New Roman" w:hAnsi="Times New Roman" w:cs="Times New Roman"/>
          <w:sz w:val="24"/>
          <w:szCs w:val="22"/>
        </w:rPr>
        <w:t>Guçlu</w:t>
      </w:r>
      <w:proofErr w:type="spellEnd"/>
      <w:r w:rsidRPr="00FB472F">
        <w:rPr>
          <w:rFonts w:ascii="Times New Roman" w:hAnsi="Times New Roman" w:cs="Times New Roman"/>
          <w:sz w:val="24"/>
          <w:szCs w:val="22"/>
        </w:rPr>
        <w:t xml:space="preserve">, K., </w:t>
      </w:r>
      <w:proofErr w:type="spellStart"/>
      <w:r w:rsidRPr="00FB472F">
        <w:rPr>
          <w:rFonts w:ascii="Times New Roman" w:hAnsi="Times New Roman" w:cs="Times New Roman"/>
          <w:sz w:val="24"/>
          <w:szCs w:val="22"/>
        </w:rPr>
        <w:t>Demirata</w:t>
      </w:r>
      <w:proofErr w:type="spellEnd"/>
      <w:r w:rsidRPr="00FB472F">
        <w:rPr>
          <w:rFonts w:ascii="Times New Roman" w:hAnsi="Times New Roman" w:cs="Times New Roman"/>
          <w:sz w:val="24"/>
          <w:szCs w:val="22"/>
        </w:rPr>
        <w:t xml:space="preserve">, B., </w:t>
      </w:r>
      <w:proofErr w:type="spellStart"/>
      <w:r w:rsidRPr="00FB472F">
        <w:rPr>
          <w:rFonts w:ascii="Times New Roman" w:hAnsi="Times New Roman" w:cs="Times New Roman"/>
          <w:sz w:val="24"/>
          <w:szCs w:val="22"/>
        </w:rPr>
        <w:t>Ozyurek</w:t>
      </w:r>
      <w:proofErr w:type="spellEnd"/>
      <w:r w:rsidRPr="00FB472F">
        <w:rPr>
          <w:rFonts w:ascii="Times New Roman" w:hAnsi="Times New Roman" w:cs="Times New Roman"/>
          <w:sz w:val="24"/>
          <w:szCs w:val="22"/>
        </w:rPr>
        <w:t xml:space="preserve">, M., </w:t>
      </w:r>
      <w:proofErr w:type="spellStart"/>
      <w:r w:rsidRPr="00FB472F">
        <w:rPr>
          <w:rFonts w:ascii="Times New Roman" w:hAnsi="Times New Roman" w:cs="Times New Roman"/>
          <w:sz w:val="24"/>
          <w:szCs w:val="22"/>
        </w:rPr>
        <w:t>Çelik</w:t>
      </w:r>
      <w:proofErr w:type="spellEnd"/>
      <w:r w:rsidRPr="00FB472F">
        <w:rPr>
          <w:rFonts w:ascii="Times New Roman" w:hAnsi="Times New Roman" w:cs="Times New Roman"/>
          <w:sz w:val="24"/>
          <w:szCs w:val="22"/>
        </w:rPr>
        <w:t xml:space="preserve">, S.E., </w:t>
      </w:r>
      <w:proofErr w:type="spellStart"/>
      <w:r w:rsidRPr="00FB472F">
        <w:rPr>
          <w:rFonts w:ascii="Times New Roman" w:hAnsi="Times New Roman" w:cs="Times New Roman"/>
          <w:sz w:val="24"/>
          <w:szCs w:val="22"/>
        </w:rPr>
        <w:t>Bektaşoglu</w:t>
      </w:r>
      <w:proofErr w:type="spellEnd"/>
      <w:r w:rsidRPr="00FB472F">
        <w:rPr>
          <w:rFonts w:ascii="Times New Roman" w:hAnsi="Times New Roman" w:cs="Times New Roman"/>
          <w:sz w:val="24"/>
          <w:szCs w:val="22"/>
        </w:rPr>
        <w:t xml:space="preserve">, B., Berker, K.I. and Ozyurt, D. (2007). Comparative evaluation of various total antioxidant capacity assays applied to phenolic compounds with the CUPRAC assay. </w:t>
      </w:r>
      <w:r w:rsidRPr="00FB472F">
        <w:rPr>
          <w:rFonts w:ascii="Times New Roman" w:hAnsi="Times New Roman" w:cs="Times New Roman"/>
          <w:i/>
          <w:iCs/>
          <w:sz w:val="24"/>
          <w:szCs w:val="22"/>
        </w:rPr>
        <w:t>Molecules</w:t>
      </w:r>
      <w:r w:rsidRPr="00FB472F">
        <w:rPr>
          <w:rFonts w:ascii="Times New Roman" w:hAnsi="Times New Roman" w:cs="Times New Roman"/>
          <w:sz w:val="24"/>
          <w:szCs w:val="22"/>
        </w:rPr>
        <w:t>, 12, 1496–1547.</w:t>
      </w:r>
    </w:p>
    <w:p w14:paraId="7F0B6B37" w14:textId="3A7D0D66"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Bishnoi, S. and </w:t>
      </w:r>
      <w:proofErr w:type="spellStart"/>
      <w:r w:rsidRPr="00FB472F">
        <w:rPr>
          <w:rFonts w:ascii="Times New Roman" w:hAnsi="Times New Roman" w:cs="Times New Roman"/>
          <w:sz w:val="24"/>
          <w:szCs w:val="22"/>
        </w:rPr>
        <w:t>Khetarpaul</w:t>
      </w:r>
      <w:proofErr w:type="spellEnd"/>
      <w:r w:rsidRPr="00FB472F">
        <w:rPr>
          <w:rFonts w:ascii="Times New Roman" w:hAnsi="Times New Roman" w:cs="Times New Roman"/>
          <w:sz w:val="24"/>
          <w:szCs w:val="22"/>
        </w:rPr>
        <w:t xml:space="preserve">, N. (1993). Variability in </w:t>
      </w:r>
      <w:proofErr w:type="spellStart"/>
      <w:r w:rsidRPr="00FB472F">
        <w:rPr>
          <w:rFonts w:ascii="Times New Roman" w:hAnsi="Times New Roman" w:cs="Times New Roman"/>
          <w:sz w:val="24"/>
          <w:szCs w:val="22"/>
        </w:rPr>
        <w:t>physico</w:t>
      </w:r>
      <w:proofErr w:type="spellEnd"/>
      <w:r w:rsidRPr="00FB472F">
        <w:rPr>
          <w:rFonts w:ascii="Times New Roman" w:hAnsi="Times New Roman" w:cs="Times New Roman"/>
          <w:sz w:val="24"/>
          <w:szCs w:val="22"/>
        </w:rPr>
        <w:t xml:space="preserve">-chemical properties and nutrient composition of different pea cultivars. </w:t>
      </w:r>
      <w:r w:rsidRPr="00FB472F">
        <w:rPr>
          <w:rFonts w:ascii="Times New Roman" w:hAnsi="Times New Roman" w:cs="Times New Roman"/>
          <w:i/>
          <w:iCs/>
          <w:sz w:val="24"/>
          <w:szCs w:val="22"/>
        </w:rPr>
        <w:t>Food Chemistry</w:t>
      </w:r>
      <w:r w:rsidRPr="00FB472F">
        <w:rPr>
          <w:rFonts w:ascii="Times New Roman" w:hAnsi="Times New Roman" w:cs="Times New Roman"/>
          <w:sz w:val="24"/>
          <w:szCs w:val="22"/>
        </w:rPr>
        <w:t>, 47(4), 371–373.</w:t>
      </w:r>
    </w:p>
    <w:p w14:paraId="741D14F0" w14:textId="1D6A3A32"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Dahl, W.J., Foster, L.M. and Tyler, R.T. (2012). Review of the health benefits of peas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w:t>
      </w:r>
      <w:r w:rsidRPr="00FB472F">
        <w:rPr>
          <w:rFonts w:ascii="Times New Roman" w:hAnsi="Times New Roman" w:cs="Times New Roman"/>
          <w:i/>
          <w:iCs/>
          <w:sz w:val="24"/>
          <w:szCs w:val="22"/>
        </w:rPr>
        <w:t>British Journal of Nutrition</w:t>
      </w:r>
      <w:r w:rsidRPr="00FB472F">
        <w:rPr>
          <w:rFonts w:ascii="Times New Roman" w:hAnsi="Times New Roman" w:cs="Times New Roman"/>
          <w:sz w:val="24"/>
          <w:szCs w:val="22"/>
        </w:rPr>
        <w:t>, 108(S1), S3–S10. https://doi.org/10.1017/S0007114512000852</w:t>
      </w:r>
    </w:p>
    <w:p w14:paraId="1AB9340D" w14:textId="3C8A75C9"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Devi, J., </w:t>
      </w:r>
      <w:proofErr w:type="spellStart"/>
      <w:r w:rsidRPr="00FB472F">
        <w:rPr>
          <w:rFonts w:ascii="Times New Roman" w:hAnsi="Times New Roman" w:cs="Times New Roman"/>
          <w:sz w:val="24"/>
          <w:szCs w:val="22"/>
        </w:rPr>
        <w:t>Sanwal</w:t>
      </w:r>
      <w:proofErr w:type="spellEnd"/>
      <w:r w:rsidRPr="00FB472F">
        <w:rPr>
          <w:rFonts w:ascii="Times New Roman" w:hAnsi="Times New Roman" w:cs="Times New Roman"/>
          <w:sz w:val="24"/>
          <w:szCs w:val="22"/>
        </w:rPr>
        <w:t xml:space="preserve">, S.K., </w:t>
      </w:r>
      <w:proofErr w:type="spellStart"/>
      <w:r w:rsidRPr="00FB472F">
        <w:rPr>
          <w:rFonts w:ascii="Times New Roman" w:hAnsi="Times New Roman" w:cs="Times New Roman"/>
          <w:sz w:val="24"/>
          <w:szCs w:val="22"/>
        </w:rPr>
        <w:t>Koley</w:t>
      </w:r>
      <w:proofErr w:type="spellEnd"/>
      <w:r w:rsidRPr="00FB472F">
        <w:rPr>
          <w:rFonts w:ascii="Times New Roman" w:hAnsi="Times New Roman" w:cs="Times New Roman"/>
          <w:sz w:val="24"/>
          <w:szCs w:val="22"/>
        </w:rPr>
        <w:t>, T.K., Mishra, G.P., Karmakar, P., Singh, P.M. and Singh, B. (2019). Variations in total phenolics and antioxidant activities among garden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genotypes differing for maturity duration, seed and flower traits, and their association with yield. </w:t>
      </w:r>
      <w:r w:rsidRPr="00FB472F">
        <w:rPr>
          <w:rFonts w:ascii="Times New Roman" w:hAnsi="Times New Roman" w:cs="Times New Roman"/>
          <w:i/>
          <w:iCs/>
          <w:sz w:val="24"/>
          <w:szCs w:val="22"/>
        </w:rPr>
        <w:t xml:space="preserve">Scientia </w:t>
      </w:r>
      <w:proofErr w:type="spellStart"/>
      <w:r w:rsidRPr="00FB472F">
        <w:rPr>
          <w:rFonts w:ascii="Times New Roman" w:hAnsi="Times New Roman" w:cs="Times New Roman"/>
          <w:i/>
          <w:iCs/>
          <w:sz w:val="24"/>
          <w:szCs w:val="22"/>
        </w:rPr>
        <w:t>Horticulturae</w:t>
      </w:r>
      <w:proofErr w:type="spellEnd"/>
      <w:r w:rsidRPr="00FB472F">
        <w:rPr>
          <w:rFonts w:ascii="Times New Roman" w:hAnsi="Times New Roman" w:cs="Times New Roman"/>
          <w:sz w:val="24"/>
          <w:szCs w:val="22"/>
        </w:rPr>
        <w:t>, 244, 141–150.</w:t>
      </w:r>
    </w:p>
    <w:p w14:paraId="4E0E89C0" w14:textId="37A3940A" w:rsidR="00AF2691" w:rsidRPr="00FB472F" w:rsidRDefault="00AF2691" w:rsidP="00AF2691">
      <w:pPr>
        <w:pStyle w:val="ListParagraph"/>
        <w:numPr>
          <w:ilvl w:val="0"/>
          <w:numId w:val="4"/>
        </w:numPr>
        <w:jc w:val="both"/>
        <w:rPr>
          <w:rFonts w:ascii="Times New Roman" w:hAnsi="Times New Roman" w:cs="Times New Roman"/>
          <w:color w:val="000000" w:themeColor="text1"/>
          <w:sz w:val="24"/>
          <w:szCs w:val="22"/>
        </w:rPr>
      </w:pPr>
      <w:r w:rsidRPr="00FB472F">
        <w:rPr>
          <w:rFonts w:ascii="Times New Roman" w:hAnsi="Times New Roman" w:cs="Times New Roman"/>
          <w:sz w:val="24"/>
          <w:szCs w:val="22"/>
        </w:rPr>
        <w:t xml:space="preserve">FAOSTAT. (2020). FAOSTAT. Retrieved February 6, 2020, from: </w:t>
      </w:r>
      <w:hyperlink r:id="rId10" w:anchor="data/QC/visualize" w:tgtFrame="_new" w:history="1">
        <w:r w:rsidRPr="00FB472F">
          <w:rPr>
            <w:rStyle w:val="Hyperlink"/>
            <w:rFonts w:ascii="Times New Roman" w:hAnsi="Times New Roman" w:cs="Times New Roman"/>
            <w:color w:val="000000" w:themeColor="text1"/>
            <w:sz w:val="24"/>
            <w:szCs w:val="22"/>
            <w:u w:val="none"/>
          </w:rPr>
          <w:t>http://www.fao.org/faostat/en/#data/QC/visualize</w:t>
        </w:r>
      </w:hyperlink>
      <w:r w:rsidRPr="00FB472F">
        <w:rPr>
          <w:rFonts w:ascii="Times New Roman" w:hAnsi="Times New Roman" w:cs="Times New Roman"/>
          <w:color w:val="000000" w:themeColor="text1"/>
          <w:sz w:val="24"/>
          <w:szCs w:val="22"/>
        </w:rPr>
        <w:t>.</w:t>
      </w:r>
    </w:p>
    <w:p w14:paraId="1EC758FA" w14:textId="57B81C03" w:rsidR="00AF2691" w:rsidRPr="00FB472F" w:rsidRDefault="00AF2691" w:rsidP="00AF2691">
      <w:pPr>
        <w:pStyle w:val="ListParagraph"/>
        <w:numPr>
          <w:ilvl w:val="0"/>
          <w:numId w:val="4"/>
        </w:numPr>
        <w:jc w:val="both"/>
        <w:rPr>
          <w:rFonts w:ascii="Times New Roman" w:hAnsi="Times New Roman" w:cs="Times New Roman"/>
          <w:sz w:val="24"/>
          <w:szCs w:val="22"/>
        </w:rPr>
      </w:pPr>
      <w:proofErr w:type="spellStart"/>
      <w:r w:rsidRPr="00FB472F">
        <w:rPr>
          <w:rFonts w:ascii="Times New Roman" w:hAnsi="Times New Roman" w:cs="Times New Roman"/>
          <w:sz w:val="24"/>
          <w:szCs w:val="22"/>
        </w:rPr>
        <w:t>Hiregoudar</w:t>
      </w:r>
      <w:proofErr w:type="spellEnd"/>
      <w:r w:rsidRPr="00FB472F">
        <w:rPr>
          <w:rFonts w:ascii="Times New Roman" w:hAnsi="Times New Roman" w:cs="Times New Roman"/>
          <w:sz w:val="24"/>
          <w:szCs w:val="22"/>
        </w:rPr>
        <w:t xml:space="preserve">, S., Sandeep, T.N., </w:t>
      </w:r>
      <w:proofErr w:type="spellStart"/>
      <w:r w:rsidRPr="00FB472F">
        <w:rPr>
          <w:rFonts w:ascii="Times New Roman" w:hAnsi="Times New Roman" w:cs="Times New Roman"/>
          <w:sz w:val="24"/>
          <w:szCs w:val="22"/>
        </w:rPr>
        <w:t>Nidoni</w:t>
      </w:r>
      <w:proofErr w:type="spellEnd"/>
      <w:r w:rsidRPr="00FB472F">
        <w:rPr>
          <w:rFonts w:ascii="Times New Roman" w:hAnsi="Times New Roman" w:cs="Times New Roman"/>
          <w:sz w:val="24"/>
          <w:szCs w:val="22"/>
        </w:rPr>
        <w:t>, U., Shrestha, B. and Meda, V. (2014). Studies on dhal recovery from pre-treated pigeon pea (</w:t>
      </w:r>
      <w:proofErr w:type="spellStart"/>
      <w:r w:rsidRPr="00FB472F">
        <w:rPr>
          <w:rFonts w:ascii="Times New Roman" w:hAnsi="Times New Roman" w:cs="Times New Roman"/>
          <w:i/>
          <w:iCs/>
          <w:sz w:val="24"/>
          <w:szCs w:val="22"/>
        </w:rPr>
        <w:t>Cajanus</w:t>
      </w:r>
      <w:proofErr w:type="spellEnd"/>
      <w:r w:rsidRPr="00FB472F">
        <w:rPr>
          <w:rFonts w:ascii="Times New Roman" w:hAnsi="Times New Roman" w:cs="Times New Roman"/>
          <w:i/>
          <w:iCs/>
          <w:sz w:val="24"/>
          <w:szCs w:val="22"/>
        </w:rPr>
        <w:t xml:space="preserve"> </w:t>
      </w:r>
      <w:proofErr w:type="spellStart"/>
      <w:r w:rsidRPr="00FB472F">
        <w:rPr>
          <w:rFonts w:ascii="Times New Roman" w:hAnsi="Times New Roman" w:cs="Times New Roman"/>
          <w:i/>
          <w:iCs/>
          <w:sz w:val="24"/>
          <w:szCs w:val="22"/>
        </w:rPr>
        <w:t>cajan</w:t>
      </w:r>
      <w:proofErr w:type="spellEnd"/>
      <w:r w:rsidRPr="00FB472F">
        <w:rPr>
          <w:rFonts w:ascii="Times New Roman" w:hAnsi="Times New Roman" w:cs="Times New Roman"/>
          <w:sz w:val="24"/>
          <w:szCs w:val="22"/>
        </w:rPr>
        <w:t xml:space="preserve"> L.) cultivars. </w:t>
      </w:r>
      <w:r w:rsidRPr="00FB472F">
        <w:rPr>
          <w:rFonts w:ascii="Times New Roman" w:hAnsi="Times New Roman" w:cs="Times New Roman"/>
          <w:i/>
          <w:iCs/>
          <w:sz w:val="24"/>
          <w:szCs w:val="22"/>
        </w:rPr>
        <w:t>Journal of Food Science and Technology</w:t>
      </w:r>
      <w:r w:rsidRPr="00FB472F">
        <w:rPr>
          <w:rFonts w:ascii="Times New Roman" w:hAnsi="Times New Roman" w:cs="Times New Roman"/>
          <w:sz w:val="24"/>
          <w:szCs w:val="22"/>
        </w:rPr>
        <w:t>, 51, 922–928.</w:t>
      </w:r>
    </w:p>
    <w:p w14:paraId="60AD3A92" w14:textId="4ECA1D26"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Kosson, R., </w:t>
      </w:r>
      <w:proofErr w:type="spellStart"/>
      <w:r w:rsidRPr="00FB472F">
        <w:rPr>
          <w:rFonts w:ascii="Times New Roman" w:hAnsi="Times New Roman" w:cs="Times New Roman"/>
          <w:sz w:val="24"/>
          <w:szCs w:val="22"/>
        </w:rPr>
        <w:t>Czuchajowska</w:t>
      </w:r>
      <w:proofErr w:type="spellEnd"/>
      <w:r w:rsidRPr="00FB472F">
        <w:rPr>
          <w:rFonts w:ascii="Times New Roman" w:hAnsi="Times New Roman" w:cs="Times New Roman"/>
          <w:sz w:val="24"/>
          <w:szCs w:val="22"/>
        </w:rPr>
        <w:t xml:space="preserve">, Z. and Pomeranz, Y. (1994). Smooth and wrinkled peas. 1. General physical and chemical characteristics. </w:t>
      </w:r>
      <w:r w:rsidRPr="00FB472F">
        <w:rPr>
          <w:rFonts w:ascii="Times New Roman" w:hAnsi="Times New Roman" w:cs="Times New Roman"/>
          <w:i/>
          <w:iCs/>
          <w:sz w:val="24"/>
          <w:szCs w:val="22"/>
        </w:rPr>
        <w:t>Journal of Agricultural and Food Chemistry</w:t>
      </w:r>
      <w:r w:rsidRPr="00FB472F">
        <w:rPr>
          <w:rFonts w:ascii="Times New Roman" w:hAnsi="Times New Roman" w:cs="Times New Roman"/>
          <w:sz w:val="24"/>
          <w:szCs w:val="22"/>
        </w:rPr>
        <w:t>, 42(1), 91–95.</w:t>
      </w:r>
    </w:p>
    <w:p w14:paraId="70ACE561" w14:textId="73749E35" w:rsidR="00AF2691" w:rsidRPr="00FB472F" w:rsidRDefault="00AF2691" w:rsidP="00AF2691">
      <w:pPr>
        <w:pStyle w:val="ListParagraph"/>
        <w:numPr>
          <w:ilvl w:val="0"/>
          <w:numId w:val="4"/>
        </w:numPr>
        <w:jc w:val="both"/>
        <w:rPr>
          <w:rFonts w:ascii="Times New Roman" w:hAnsi="Times New Roman" w:cs="Times New Roman"/>
          <w:sz w:val="24"/>
          <w:szCs w:val="22"/>
        </w:rPr>
      </w:pPr>
      <w:proofErr w:type="spellStart"/>
      <w:r w:rsidRPr="00FB472F">
        <w:rPr>
          <w:rFonts w:ascii="Times New Roman" w:hAnsi="Times New Roman" w:cs="Times New Roman"/>
          <w:sz w:val="24"/>
          <w:szCs w:val="22"/>
        </w:rPr>
        <w:t>Lagassé</w:t>
      </w:r>
      <w:proofErr w:type="spellEnd"/>
      <w:r w:rsidRPr="00FB472F">
        <w:rPr>
          <w:rFonts w:ascii="Times New Roman" w:hAnsi="Times New Roman" w:cs="Times New Roman"/>
          <w:sz w:val="24"/>
          <w:szCs w:val="22"/>
        </w:rPr>
        <w:t xml:space="preserve">, S., Boyd, L., Young, G., Frohlich, P., Boyd, R. and </w:t>
      </w:r>
      <w:proofErr w:type="spellStart"/>
      <w:r w:rsidRPr="00FB472F">
        <w:rPr>
          <w:rFonts w:ascii="Times New Roman" w:hAnsi="Times New Roman" w:cs="Times New Roman"/>
          <w:sz w:val="24"/>
          <w:szCs w:val="22"/>
        </w:rPr>
        <w:t>Bourré</w:t>
      </w:r>
      <w:proofErr w:type="spellEnd"/>
      <w:r w:rsidRPr="00FB472F">
        <w:rPr>
          <w:rFonts w:ascii="Times New Roman" w:hAnsi="Times New Roman" w:cs="Times New Roman"/>
          <w:sz w:val="24"/>
          <w:szCs w:val="22"/>
        </w:rPr>
        <w:t xml:space="preserve">, L. (2022). Influence of genotype and environment on the flour and bread baking properties of peas and lentils. </w:t>
      </w:r>
      <w:r w:rsidRPr="00FB472F">
        <w:rPr>
          <w:rFonts w:ascii="Times New Roman" w:hAnsi="Times New Roman" w:cs="Times New Roman"/>
          <w:i/>
          <w:iCs/>
          <w:sz w:val="24"/>
          <w:szCs w:val="22"/>
        </w:rPr>
        <w:t>Cereal Chemistry</w:t>
      </w:r>
      <w:r w:rsidRPr="00FB472F">
        <w:rPr>
          <w:rFonts w:ascii="Times New Roman" w:hAnsi="Times New Roman" w:cs="Times New Roman"/>
          <w:sz w:val="24"/>
          <w:szCs w:val="22"/>
        </w:rPr>
        <w:t>, 99, 325–342.</w:t>
      </w:r>
    </w:p>
    <w:p w14:paraId="33E89B1F" w14:textId="2C67B73D"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Lowry, O.H., Rosebrough, N.J., Farr, A.L. and Randall, R.J. (1951). Protein measurement with the Folin Phenol reagent. </w:t>
      </w:r>
      <w:r w:rsidRPr="00FB472F">
        <w:rPr>
          <w:rFonts w:ascii="Times New Roman" w:hAnsi="Times New Roman" w:cs="Times New Roman"/>
          <w:i/>
          <w:iCs/>
          <w:sz w:val="24"/>
          <w:szCs w:val="22"/>
        </w:rPr>
        <w:t>Journal of Biological Chemistry</w:t>
      </w:r>
      <w:r w:rsidRPr="00FB472F">
        <w:rPr>
          <w:rFonts w:ascii="Times New Roman" w:hAnsi="Times New Roman" w:cs="Times New Roman"/>
          <w:sz w:val="24"/>
          <w:szCs w:val="22"/>
        </w:rPr>
        <w:t>, 193, 265–275.</w:t>
      </w:r>
    </w:p>
    <w:p w14:paraId="7D93C8DA" w14:textId="68485C0F"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lastRenderedPageBreak/>
        <w:t xml:space="preserve">Malcomson, L. and Han, J. (2019). Pulse processing and utilization of pulse ingredients in foods. In: Dahl, W.J. (ed.), </w:t>
      </w:r>
      <w:r w:rsidRPr="00FB472F">
        <w:rPr>
          <w:rFonts w:ascii="Times New Roman" w:hAnsi="Times New Roman" w:cs="Times New Roman"/>
          <w:i/>
          <w:iCs/>
          <w:sz w:val="24"/>
          <w:szCs w:val="22"/>
        </w:rPr>
        <w:t>Health Benefits of Pulses</w:t>
      </w:r>
      <w:r w:rsidRPr="00FB472F">
        <w:rPr>
          <w:rFonts w:ascii="Times New Roman" w:hAnsi="Times New Roman" w:cs="Times New Roman"/>
          <w:sz w:val="24"/>
          <w:szCs w:val="22"/>
        </w:rPr>
        <w:t>. Springer, Cham, pp. 129–149.</w:t>
      </w:r>
    </w:p>
    <w:p w14:paraId="298D562C" w14:textId="15AC9AC1"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Michaels, T.E. (2015). Grain legumes and their dietary impact: Overview. In: </w:t>
      </w:r>
      <w:r w:rsidRPr="00FB472F">
        <w:rPr>
          <w:rFonts w:ascii="Times New Roman" w:hAnsi="Times New Roman" w:cs="Times New Roman"/>
          <w:i/>
          <w:iCs/>
          <w:sz w:val="24"/>
          <w:szCs w:val="22"/>
        </w:rPr>
        <w:t>The World of Food Grains</w:t>
      </w:r>
      <w:r w:rsidRPr="00FB472F">
        <w:rPr>
          <w:rFonts w:ascii="Times New Roman" w:hAnsi="Times New Roman" w:cs="Times New Roman"/>
          <w:sz w:val="24"/>
          <w:szCs w:val="22"/>
        </w:rPr>
        <w:t>, Vol. 1–4, Elsevier Inc., pp. 265–273. DOI: 10.1016/B978-0-12-394437-5.00040-1.</w:t>
      </w:r>
    </w:p>
    <w:p w14:paraId="2E2F9CF1" w14:textId="0F612D80"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Rasskazova</w:t>
      </w:r>
      <w:proofErr w:type="spellEnd"/>
      <w:r w:rsidRPr="00FB472F">
        <w:rPr>
          <w:rFonts w:ascii="Times New Roman" w:hAnsi="Times New Roman" w:cs="Times New Roman"/>
          <w:sz w:val="24"/>
          <w:szCs w:val="22"/>
        </w:rPr>
        <w:t xml:space="preserve">, I. and </w:t>
      </w:r>
      <w:proofErr w:type="spellStart"/>
      <w:r w:rsidRPr="00FB472F">
        <w:rPr>
          <w:rFonts w:ascii="Times New Roman" w:hAnsi="Times New Roman" w:cs="Times New Roman"/>
          <w:sz w:val="24"/>
          <w:szCs w:val="22"/>
        </w:rPr>
        <w:t>Kirse-Ozolina</w:t>
      </w:r>
      <w:proofErr w:type="spellEnd"/>
      <w:r w:rsidRPr="00FB472F">
        <w:rPr>
          <w:rFonts w:ascii="Times New Roman" w:hAnsi="Times New Roman" w:cs="Times New Roman"/>
          <w:sz w:val="24"/>
          <w:szCs w:val="22"/>
        </w:rPr>
        <w:t>, A. (2020). Field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as a perspective ingredient for vegan foods: A review. </w:t>
      </w:r>
      <w:r w:rsidRPr="00FB472F">
        <w:rPr>
          <w:rFonts w:ascii="Times New Roman" w:hAnsi="Times New Roman" w:cs="Times New Roman"/>
          <w:i/>
          <w:iCs/>
          <w:sz w:val="24"/>
          <w:szCs w:val="22"/>
        </w:rPr>
        <w:t>Research for Rural Development</w:t>
      </w:r>
      <w:r w:rsidRPr="00FB472F">
        <w:rPr>
          <w:rFonts w:ascii="Times New Roman" w:hAnsi="Times New Roman" w:cs="Times New Roman"/>
          <w:sz w:val="24"/>
          <w:szCs w:val="22"/>
        </w:rPr>
        <w:t>, 35, 125–131.</w:t>
      </w:r>
    </w:p>
    <w:p w14:paraId="73A4A3E9" w14:textId="54300AD1"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Rohn, S. and van </w:t>
      </w:r>
      <w:proofErr w:type="spellStart"/>
      <w:r w:rsidRPr="00FB472F">
        <w:rPr>
          <w:rFonts w:ascii="Times New Roman" w:hAnsi="Times New Roman" w:cs="Times New Roman"/>
          <w:sz w:val="24"/>
          <w:szCs w:val="22"/>
        </w:rPr>
        <w:t>Griensven</w:t>
      </w:r>
      <w:proofErr w:type="spellEnd"/>
      <w:r w:rsidRPr="00FB472F">
        <w:rPr>
          <w:rFonts w:ascii="Times New Roman" w:hAnsi="Times New Roman" w:cs="Times New Roman"/>
          <w:sz w:val="24"/>
          <w:szCs w:val="22"/>
        </w:rPr>
        <w:t xml:space="preserve">, L. (2015). Grain legumes and further gluten-free legumes – Science, technology and impacts on human health. </w:t>
      </w:r>
      <w:r w:rsidRPr="00FB472F">
        <w:rPr>
          <w:rFonts w:ascii="Times New Roman" w:hAnsi="Times New Roman" w:cs="Times New Roman"/>
          <w:i/>
          <w:iCs/>
          <w:sz w:val="24"/>
          <w:szCs w:val="22"/>
        </w:rPr>
        <w:t>Food Research International</w:t>
      </w:r>
      <w:r w:rsidRPr="00FB472F">
        <w:rPr>
          <w:rFonts w:ascii="Times New Roman" w:hAnsi="Times New Roman" w:cs="Times New Roman"/>
          <w:sz w:val="24"/>
          <w:szCs w:val="22"/>
        </w:rPr>
        <w:t>, 76, 1–2. https://doi.org/10.1016/j.foodres.2015.03.010</w:t>
      </w:r>
    </w:p>
    <w:p w14:paraId="0E312419" w14:textId="24B1988B"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Shevkani</w:t>
      </w:r>
      <w:proofErr w:type="spellEnd"/>
      <w:r w:rsidRPr="00FB472F">
        <w:rPr>
          <w:rFonts w:ascii="Times New Roman" w:hAnsi="Times New Roman" w:cs="Times New Roman"/>
          <w:sz w:val="24"/>
          <w:szCs w:val="22"/>
        </w:rPr>
        <w:t xml:space="preserve">, K., Singh, N., Kaur, A. and Rana, J.C. (2015). Structural and functional characterization of kidney bean and field pea protein isolates: A comparative study. </w:t>
      </w:r>
      <w:r w:rsidRPr="00FB472F">
        <w:rPr>
          <w:rFonts w:ascii="Times New Roman" w:hAnsi="Times New Roman" w:cs="Times New Roman"/>
          <w:i/>
          <w:iCs/>
          <w:sz w:val="24"/>
          <w:szCs w:val="22"/>
        </w:rPr>
        <w:t>Food Hydrocolloids</w:t>
      </w:r>
      <w:r w:rsidRPr="00FB472F">
        <w:rPr>
          <w:rFonts w:ascii="Times New Roman" w:hAnsi="Times New Roman" w:cs="Times New Roman"/>
          <w:sz w:val="24"/>
          <w:szCs w:val="22"/>
        </w:rPr>
        <w:t>, 43, 679–689.</w:t>
      </w:r>
    </w:p>
    <w:p w14:paraId="0E428FB4" w14:textId="74C550EA"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Singh, B., Singh, J.P., Kaur, A. and Singh, N. (2017). Phenolic composition and antioxidant potential of grain legume seeds: a review. </w:t>
      </w:r>
      <w:r w:rsidRPr="00FB472F">
        <w:rPr>
          <w:rFonts w:ascii="Times New Roman" w:hAnsi="Times New Roman" w:cs="Times New Roman"/>
          <w:i/>
          <w:iCs/>
          <w:sz w:val="24"/>
          <w:szCs w:val="22"/>
        </w:rPr>
        <w:t>Food Research International</w:t>
      </w:r>
      <w:r w:rsidRPr="00FB472F">
        <w:rPr>
          <w:rFonts w:ascii="Times New Roman" w:hAnsi="Times New Roman" w:cs="Times New Roman"/>
          <w:sz w:val="24"/>
          <w:szCs w:val="22"/>
        </w:rPr>
        <w:t>, 101, 1–16. https://doi.org/10.1016/j.foodres.2017.09.026</w:t>
      </w:r>
    </w:p>
    <w:p w14:paraId="2A8F9DD8" w14:textId="13A264FD"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Singleton, V.L. and Lamuela-Raventos, R.M. (1999). Analysis of total phenols and other oxidation substrates and antioxidants by means of </w:t>
      </w:r>
      <w:proofErr w:type="spellStart"/>
      <w:r w:rsidRPr="00FB472F">
        <w:rPr>
          <w:rFonts w:ascii="Times New Roman" w:hAnsi="Times New Roman" w:cs="Times New Roman"/>
          <w:sz w:val="24"/>
          <w:szCs w:val="22"/>
        </w:rPr>
        <w:t>Folin</w:t>
      </w:r>
      <w:proofErr w:type="spellEnd"/>
      <w:r w:rsidRPr="00FB472F">
        <w:rPr>
          <w:rFonts w:ascii="Times New Roman" w:hAnsi="Times New Roman" w:cs="Times New Roman"/>
          <w:sz w:val="24"/>
          <w:szCs w:val="22"/>
        </w:rPr>
        <w:t>–</w:t>
      </w:r>
      <w:proofErr w:type="spellStart"/>
      <w:r w:rsidRPr="00FB472F">
        <w:rPr>
          <w:rFonts w:ascii="Times New Roman" w:hAnsi="Times New Roman" w:cs="Times New Roman"/>
          <w:sz w:val="24"/>
          <w:szCs w:val="22"/>
        </w:rPr>
        <w:t>Ciocalteu</w:t>
      </w:r>
      <w:proofErr w:type="spellEnd"/>
      <w:r w:rsidRPr="00FB472F">
        <w:rPr>
          <w:rFonts w:ascii="Times New Roman" w:hAnsi="Times New Roman" w:cs="Times New Roman"/>
          <w:sz w:val="24"/>
          <w:szCs w:val="22"/>
        </w:rPr>
        <w:t xml:space="preserve"> reagent. </w:t>
      </w:r>
      <w:r w:rsidRPr="00FB472F">
        <w:rPr>
          <w:rFonts w:ascii="Times New Roman" w:hAnsi="Times New Roman" w:cs="Times New Roman"/>
          <w:i/>
          <w:iCs/>
          <w:sz w:val="24"/>
          <w:szCs w:val="22"/>
        </w:rPr>
        <w:t>Methods in Enzymology</w:t>
      </w:r>
      <w:r w:rsidRPr="00FB472F">
        <w:rPr>
          <w:rFonts w:ascii="Times New Roman" w:hAnsi="Times New Roman" w:cs="Times New Roman"/>
          <w:sz w:val="24"/>
          <w:szCs w:val="22"/>
        </w:rPr>
        <w:t>, 299, 152–178.</w:t>
      </w:r>
    </w:p>
    <w:p w14:paraId="62A73CCF" w14:textId="2FEBF2C5"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Srivastava, R.P., Lalit, K. and Dixit, G.P. (2009). Nutritional composition and fatty acid profile of important genotypes of field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ssp. </w:t>
      </w:r>
      <w:r w:rsidRPr="00FB472F">
        <w:rPr>
          <w:rFonts w:ascii="Times New Roman" w:hAnsi="Times New Roman" w:cs="Times New Roman"/>
          <w:i/>
          <w:iCs/>
          <w:sz w:val="24"/>
          <w:szCs w:val="22"/>
        </w:rPr>
        <w:t>arvense</w:t>
      </w:r>
      <w:r w:rsidRPr="00FB472F">
        <w:rPr>
          <w:rFonts w:ascii="Times New Roman" w:hAnsi="Times New Roman" w:cs="Times New Roman"/>
          <w:sz w:val="24"/>
          <w:szCs w:val="22"/>
        </w:rPr>
        <w:t xml:space="preserve">). </w:t>
      </w:r>
      <w:r w:rsidRPr="00FB472F">
        <w:rPr>
          <w:rFonts w:ascii="Times New Roman" w:hAnsi="Times New Roman" w:cs="Times New Roman"/>
          <w:i/>
          <w:iCs/>
          <w:sz w:val="24"/>
          <w:szCs w:val="22"/>
        </w:rPr>
        <w:t>Journal of Food Legumes</w:t>
      </w:r>
      <w:r w:rsidRPr="00FB472F">
        <w:rPr>
          <w:rFonts w:ascii="Times New Roman" w:hAnsi="Times New Roman" w:cs="Times New Roman"/>
          <w:sz w:val="24"/>
          <w:szCs w:val="22"/>
        </w:rPr>
        <w:t>, 22(2), 115–117.</w:t>
      </w:r>
    </w:p>
    <w:p w14:paraId="44D4CD21" w14:textId="4E2F5031"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Tiwari, B.K., Gowen, A. and McKenna, B. (2021). Advances in pulse milling. In: Tiwari, B.K., Gowen, A. and McKenna, B. (eds.), </w:t>
      </w:r>
      <w:r w:rsidRPr="00FB472F">
        <w:rPr>
          <w:rFonts w:ascii="Times New Roman" w:hAnsi="Times New Roman" w:cs="Times New Roman"/>
          <w:i/>
          <w:iCs/>
          <w:sz w:val="24"/>
          <w:szCs w:val="22"/>
        </w:rPr>
        <w:t>Pulse Foods: Processing, Quality and Nutraceutical Applications</w:t>
      </w:r>
      <w:r w:rsidRPr="00FB472F">
        <w:rPr>
          <w:rFonts w:ascii="Times New Roman" w:hAnsi="Times New Roman" w:cs="Times New Roman"/>
          <w:sz w:val="24"/>
          <w:szCs w:val="22"/>
        </w:rPr>
        <w:t xml:space="preserve">, 2nd </w:t>
      </w:r>
      <w:proofErr w:type="spellStart"/>
      <w:r w:rsidRPr="00FB472F">
        <w:rPr>
          <w:rFonts w:ascii="Times New Roman" w:hAnsi="Times New Roman" w:cs="Times New Roman"/>
          <w:sz w:val="24"/>
          <w:szCs w:val="22"/>
        </w:rPr>
        <w:t>edn</w:t>
      </w:r>
      <w:proofErr w:type="spellEnd"/>
      <w:r w:rsidRPr="00FB472F">
        <w:rPr>
          <w:rFonts w:ascii="Times New Roman" w:hAnsi="Times New Roman" w:cs="Times New Roman"/>
          <w:sz w:val="24"/>
          <w:szCs w:val="22"/>
        </w:rPr>
        <w:t>. Elsevier Science &amp; Technology, San Diego, CA, USA, pp. 1–7.</w:t>
      </w:r>
    </w:p>
    <w:p w14:paraId="32CE5576" w14:textId="4BAE5234"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Tulbek</w:t>
      </w:r>
      <w:proofErr w:type="spellEnd"/>
      <w:r w:rsidRPr="00FB472F">
        <w:rPr>
          <w:rFonts w:ascii="Times New Roman" w:hAnsi="Times New Roman" w:cs="Times New Roman"/>
          <w:sz w:val="24"/>
          <w:szCs w:val="22"/>
        </w:rPr>
        <w:t xml:space="preserve">, M.C., Lam, R.S.H., Wang, Y.C., </w:t>
      </w:r>
      <w:proofErr w:type="spellStart"/>
      <w:r w:rsidRPr="00FB472F">
        <w:rPr>
          <w:rFonts w:ascii="Times New Roman" w:hAnsi="Times New Roman" w:cs="Times New Roman"/>
          <w:sz w:val="24"/>
          <w:szCs w:val="22"/>
        </w:rPr>
        <w:t>Asavajaru</w:t>
      </w:r>
      <w:proofErr w:type="spellEnd"/>
      <w:r w:rsidRPr="00FB472F">
        <w:rPr>
          <w:rFonts w:ascii="Times New Roman" w:hAnsi="Times New Roman" w:cs="Times New Roman"/>
          <w:sz w:val="24"/>
          <w:szCs w:val="22"/>
        </w:rPr>
        <w:t xml:space="preserve">, P. and Lam, A. (2016). Pea: a sustainable vegetable protein crop. In: </w:t>
      </w:r>
      <w:proofErr w:type="spellStart"/>
      <w:r w:rsidRPr="00FB472F">
        <w:rPr>
          <w:rFonts w:ascii="Times New Roman" w:hAnsi="Times New Roman" w:cs="Times New Roman"/>
          <w:sz w:val="24"/>
          <w:szCs w:val="22"/>
        </w:rPr>
        <w:t>Nadathur</w:t>
      </w:r>
      <w:proofErr w:type="spellEnd"/>
      <w:r w:rsidRPr="00FB472F">
        <w:rPr>
          <w:rFonts w:ascii="Times New Roman" w:hAnsi="Times New Roman" w:cs="Times New Roman"/>
          <w:sz w:val="24"/>
          <w:szCs w:val="22"/>
        </w:rPr>
        <w:t xml:space="preserve">, S.R., </w:t>
      </w:r>
      <w:proofErr w:type="spellStart"/>
      <w:r w:rsidRPr="00FB472F">
        <w:rPr>
          <w:rFonts w:ascii="Times New Roman" w:hAnsi="Times New Roman" w:cs="Times New Roman"/>
          <w:sz w:val="24"/>
          <w:szCs w:val="22"/>
        </w:rPr>
        <w:t>Wanasundara</w:t>
      </w:r>
      <w:proofErr w:type="spellEnd"/>
      <w:r w:rsidRPr="00FB472F">
        <w:rPr>
          <w:rFonts w:ascii="Times New Roman" w:hAnsi="Times New Roman" w:cs="Times New Roman"/>
          <w:sz w:val="24"/>
          <w:szCs w:val="22"/>
        </w:rPr>
        <w:t xml:space="preserve">, J.P.D. and Scanlin, L. (eds.), </w:t>
      </w:r>
      <w:r w:rsidRPr="00FB472F">
        <w:rPr>
          <w:rFonts w:ascii="Times New Roman" w:hAnsi="Times New Roman" w:cs="Times New Roman"/>
          <w:i/>
          <w:iCs/>
          <w:sz w:val="24"/>
          <w:szCs w:val="22"/>
        </w:rPr>
        <w:t>Sustainable Protein Sources</w:t>
      </w:r>
      <w:r w:rsidRPr="00FB472F">
        <w:rPr>
          <w:rFonts w:ascii="Times New Roman" w:hAnsi="Times New Roman" w:cs="Times New Roman"/>
          <w:sz w:val="24"/>
          <w:szCs w:val="22"/>
        </w:rPr>
        <w:t>. Academic Press, San Diego, CA, pp. 145–164.</w:t>
      </w:r>
    </w:p>
    <w:p w14:paraId="30B16DFA" w14:textId="6D51CFA8"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Verma, P., Kumar, V., Das, K. and Parashar, M. (2022). Biochemical compositions of milling </w:t>
      </w:r>
      <w:proofErr w:type="spellStart"/>
      <w:r w:rsidRPr="00FB472F">
        <w:rPr>
          <w:rFonts w:ascii="Times New Roman" w:hAnsi="Times New Roman" w:cs="Times New Roman"/>
          <w:sz w:val="24"/>
          <w:szCs w:val="22"/>
        </w:rPr>
        <w:t>byproduct</w:t>
      </w:r>
      <w:proofErr w:type="spellEnd"/>
      <w:r w:rsidRPr="00FB472F">
        <w:rPr>
          <w:rFonts w:ascii="Times New Roman" w:hAnsi="Times New Roman" w:cs="Times New Roman"/>
          <w:sz w:val="24"/>
          <w:szCs w:val="22"/>
        </w:rPr>
        <w:t xml:space="preserve"> of </w:t>
      </w:r>
      <w:proofErr w:type="spellStart"/>
      <w:r w:rsidRPr="00FB472F">
        <w:rPr>
          <w:rFonts w:ascii="Times New Roman" w:hAnsi="Times New Roman" w:cs="Times New Roman"/>
          <w:sz w:val="24"/>
          <w:szCs w:val="22"/>
        </w:rPr>
        <w:t>mungbean</w:t>
      </w:r>
      <w:proofErr w:type="spellEnd"/>
      <w:r w:rsidRPr="00FB472F">
        <w:rPr>
          <w:rFonts w:ascii="Times New Roman" w:hAnsi="Times New Roman" w:cs="Times New Roman"/>
          <w:sz w:val="24"/>
          <w:szCs w:val="22"/>
        </w:rPr>
        <w:t xml:space="preserve"> and its fractions. </w:t>
      </w:r>
      <w:r w:rsidRPr="00FB472F">
        <w:rPr>
          <w:rFonts w:ascii="Times New Roman" w:hAnsi="Times New Roman" w:cs="Times New Roman"/>
          <w:i/>
          <w:iCs/>
          <w:sz w:val="24"/>
          <w:szCs w:val="22"/>
        </w:rPr>
        <w:t>Asian Journal of Dairy &amp; Food Research</w:t>
      </w:r>
      <w:r w:rsidRPr="00FB472F">
        <w:rPr>
          <w:rFonts w:ascii="Times New Roman" w:hAnsi="Times New Roman" w:cs="Times New Roman"/>
          <w:sz w:val="24"/>
          <w:szCs w:val="22"/>
        </w:rPr>
        <w:t>, 41(4).</w:t>
      </w:r>
    </w:p>
    <w:p w14:paraId="21D4EF0E" w14:textId="573E6BD0"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Zhao, T., Su, W., Qin, Y., Wang, L. and Kang, Y. (2020). Phenotypic diversity of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varieties and the polyphenols, flavonoids, and antioxidant activity of their seeds. </w:t>
      </w:r>
      <w:proofErr w:type="spellStart"/>
      <w:r w:rsidRPr="00FB472F">
        <w:rPr>
          <w:rFonts w:ascii="Times New Roman" w:hAnsi="Times New Roman" w:cs="Times New Roman"/>
          <w:i/>
          <w:iCs/>
          <w:sz w:val="24"/>
          <w:szCs w:val="22"/>
        </w:rPr>
        <w:t>Ciência</w:t>
      </w:r>
      <w:proofErr w:type="spellEnd"/>
      <w:r w:rsidRPr="00FB472F">
        <w:rPr>
          <w:rFonts w:ascii="Times New Roman" w:hAnsi="Times New Roman" w:cs="Times New Roman"/>
          <w:i/>
          <w:iCs/>
          <w:sz w:val="24"/>
          <w:szCs w:val="22"/>
        </w:rPr>
        <w:t xml:space="preserve"> Rural</w:t>
      </w:r>
      <w:r w:rsidRPr="00FB472F">
        <w:rPr>
          <w:rFonts w:ascii="Times New Roman" w:hAnsi="Times New Roman" w:cs="Times New Roman"/>
          <w:sz w:val="24"/>
          <w:szCs w:val="22"/>
        </w:rPr>
        <w:t>, 50(5), e20190196.</w:t>
      </w:r>
    </w:p>
    <w:p w14:paraId="2975FDE5" w14:textId="075265E0" w:rsidR="007F7D1C" w:rsidRPr="00EB641E" w:rsidRDefault="007F7D1C" w:rsidP="00AF2691">
      <w:pPr>
        <w:pStyle w:val="ListParagraph"/>
        <w:ind w:left="1080"/>
        <w:jc w:val="both"/>
        <w:rPr>
          <w:rFonts w:ascii="Times New Roman" w:hAnsi="Times New Roman" w:cs="Times New Roman"/>
          <w:sz w:val="24"/>
          <w:szCs w:val="22"/>
          <w:lang w:val="en-US"/>
        </w:rPr>
      </w:pPr>
    </w:p>
    <w:sectPr w:rsidR="007F7D1C" w:rsidRPr="00EB641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C616" w14:textId="77777777" w:rsidR="000E4E45" w:rsidRDefault="000E4E45" w:rsidP="00CA0BF2">
      <w:pPr>
        <w:spacing w:after="0" w:line="240" w:lineRule="auto"/>
      </w:pPr>
      <w:r>
        <w:separator/>
      </w:r>
    </w:p>
  </w:endnote>
  <w:endnote w:type="continuationSeparator" w:id="0">
    <w:p w14:paraId="1641CE87" w14:textId="77777777" w:rsidR="000E4E45" w:rsidRDefault="000E4E45" w:rsidP="00CA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8842F" w14:textId="77777777" w:rsidR="00490B44" w:rsidRDefault="00490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B0AA" w14:textId="77777777" w:rsidR="00490B44" w:rsidRDefault="00490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2F8B" w14:textId="77777777" w:rsidR="00490B44" w:rsidRDefault="0049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DE881" w14:textId="77777777" w:rsidR="000E4E45" w:rsidRDefault="000E4E45" w:rsidP="00CA0BF2">
      <w:pPr>
        <w:spacing w:after="0" w:line="240" w:lineRule="auto"/>
      </w:pPr>
      <w:r>
        <w:separator/>
      </w:r>
    </w:p>
  </w:footnote>
  <w:footnote w:type="continuationSeparator" w:id="0">
    <w:p w14:paraId="1070B6B4" w14:textId="77777777" w:rsidR="000E4E45" w:rsidRDefault="000E4E45" w:rsidP="00CA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6E69" w14:textId="222448DA" w:rsidR="00490B44" w:rsidRDefault="00490B44">
    <w:pPr>
      <w:pStyle w:val="Header"/>
    </w:pPr>
    <w:r>
      <w:rPr>
        <w:noProof/>
      </w:rPr>
      <w:pict w14:anchorId="350BD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37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BF9F" w14:textId="65B5B0BF" w:rsidR="00CA0BF2" w:rsidRDefault="00490B44">
    <w:pPr>
      <w:pStyle w:val="Header"/>
    </w:pPr>
    <w:r>
      <w:rPr>
        <w:noProof/>
      </w:rPr>
      <w:pict w14:anchorId="749DD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37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05B4" w14:textId="6584E397" w:rsidR="00490B44" w:rsidRDefault="00490B44">
    <w:pPr>
      <w:pStyle w:val="Header"/>
    </w:pPr>
    <w:r>
      <w:rPr>
        <w:noProof/>
      </w:rPr>
      <w:pict w14:anchorId="702C1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37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B6D"/>
    <w:multiLevelType w:val="multilevel"/>
    <w:tmpl w:val="39FE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A15B8"/>
    <w:multiLevelType w:val="hybridMultilevel"/>
    <w:tmpl w:val="20B8A7C2"/>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5B36319"/>
    <w:multiLevelType w:val="hybridMultilevel"/>
    <w:tmpl w:val="FD5097AC"/>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AB51F7"/>
    <w:multiLevelType w:val="hybridMultilevel"/>
    <w:tmpl w:val="F1A84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634D6F"/>
    <w:multiLevelType w:val="multilevel"/>
    <w:tmpl w:val="9168CB0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74"/>
    <w:rsid w:val="0000229A"/>
    <w:rsid w:val="000108A3"/>
    <w:rsid w:val="00014FCD"/>
    <w:rsid w:val="00017BC3"/>
    <w:rsid w:val="00046D85"/>
    <w:rsid w:val="000736B6"/>
    <w:rsid w:val="000945E9"/>
    <w:rsid w:val="00097F3D"/>
    <w:rsid w:val="000A0F3E"/>
    <w:rsid w:val="000A1F85"/>
    <w:rsid w:val="000B393A"/>
    <w:rsid w:val="000C14D7"/>
    <w:rsid w:val="000D5103"/>
    <w:rsid w:val="000E1430"/>
    <w:rsid w:val="000E4E45"/>
    <w:rsid w:val="00124ECD"/>
    <w:rsid w:val="00132E07"/>
    <w:rsid w:val="00133F4D"/>
    <w:rsid w:val="001562BD"/>
    <w:rsid w:val="001A540F"/>
    <w:rsid w:val="001B4EBB"/>
    <w:rsid w:val="001C722B"/>
    <w:rsid w:val="001C7889"/>
    <w:rsid w:val="001D23A5"/>
    <w:rsid w:val="00205E51"/>
    <w:rsid w:val="00256FB9"/>
    <w:rsid w:val="00273F8C"/>
    <w:rsid w:val="00274EBB"/>
    <w:rsid w:val="0028045F"/>
    <w:rsid w:val="00291CE8"/>
    <w:rsid w:val="00297357"/>
    <w:rsid w:val="002A51DF"/>
    <w:rsid w:val="002B2D17"/>
    <w:rsid w:val="002D7B9D"/>
    <w:rsid w:val="0031182E"/>
    <w:rsid w:val="00351FFA"/>
    <w:rsid w:val="00381468"/>
    <w:rsid w:val="003A1EC2"/>
    <w:rsid w:val="003A4CB8"/>
    <w:rsid w:val="003B181B"/>
    <w:rsid w:val="003B7A6F"/>
    <w:rsid w:val="003D72B1"/>
    <w:rsid w:val="003E2161"/>
    <w:rsid w:val="003E2A0A"/>
    <w:rsid w:val="003F70F1"/>
    <w:rsid w:val="004139FC"/>
    <w:rsid w:val="004147D9"/>
    <w:rsid w:val="00422150"/>
    <w:rsid w:val="00445F3B"/>
    <w:rsid w:val="0045607E"/>
    <w:rsid w:val="004612C7"/>
    <w:rsid w:val="00471A74"/>
    <w:rsid w:val="004871A7"/>
    <w:rsid w:val="00490B44"/>
    <w:rsid w:val="004A7994"/>
    <w:rsid w:val="004B1102"/>
    <w:rsid w:val="004E49A1"/>
    <w:rsid w:val="004E4A16"/>
    <w:rsid w:val="00505D57"/>
    <w:rsid w:val="00506B4A"/>
    <w:rsid w:val="00512816"/>
    <w:rsid w:val="00513DEB"/>
    <w:rsid w:val="00532CBE"/>
    <w:rsid w:val="00564BFF"/>
    <w:rsid w:val="00570EA2"/>
    <w:rsid w:val="0057492E"/>
    <w:rsid w:val="00577185"/>
    <w:rsid w:val="005B1EDD"/>
    <w:rsid w:val="005C57A5"/>
    <w:rsid w:val="005D47B4"/>
    <w:rsid w:val="005E3974"/>
    <w:rsid w:val="005F5713"/>
    <w:rsid w:val="00603DC2"/>
    <w:rsid w:val="006068C1"/>
    <w:rsid w:val="006141A2"/>
    <w:rsid w:val="00620B15"/>
    <w:rsid w:val="00626A07"/>
    <w:rsid w:val="006327CE"/>
    <w:rsid w:val="00635648"/>
    <w:rsid w:val="00640010"/>
    <w:rsid w:val="0065259A"/>
    <w:rsid w:val="00692779"/>
    <w:rsid w:val="006B2F7D"/>
    <w:rsid w:val="006B35AB"/>
    <w:rsid w:val="006D22CF"/>
    <w:rsid w:val="006F0A67"/>
    <w:rsid w:val="006F7C20"/>
    <w:rsid w:val="006F7E87"/>
    <w:rsid w:val="007007E9"/>
    <w:rsid w:val="00755647"/>
    <w:rsid w:val="0075695E"/>
    <w:rsid w:val="00760213"/>
    <w:rsid w:val="00760BFD"/>
    <w:rsid w:val="00774AD4"/>
    <w:rsid w:val="007A0168"/>
    <w:rsid w:val="007A2727"/>
    <w:rsid w:val="007A701B"/>
    <w:rsid w:val="007A756C"/>
    <w:rsid w:val="007D42D3"/>
    <w:rsid w:val="007F43F2"/>
    <w:rsid w:val="007F7D1C"/>
    <w:rsid w:val="00820A48"/>
    <w:rsid w:val="008212B1"/>
    <w:rsid w:val="008218A5"/>
    <w:rsid w:val="00846BAC"/>
    <w:rsid w:val="00852112"/>
    <w:rsid w:val="008640EE"/>
    <w:rsid w:val="008645C7"/>
    <w:rsid w:val="0087190E"/>
    <w:rsid w:val="008818EB"/>
    <w:rsid w:val="00891194"/>
    <w:rsid w:val="008934E3"/>
    <w:rsid w:val="008B15F7"/>
    <w:rsid w:val="008C582F"/>
    <w:rsid w:val="008C66EC"/>
    <w:rsid w:val="00902429"/>
    <w:rsid w:val="009213EA"/>
    <w:rsid w:val="00923236"/>
    <w:rsid w:val="00923632"/>
    <w:rsid w:val="0092653A"/>
    <w:rsid w:val="0092746F"/>
    <w:rsid w:val="00952B89"/>
    <w:rsid w:val="009570E1"/>
    <w:rsid w:val="00966B32"/>
    <w:rsid w:val="00977717"/>
    <w:rsid w:val="009F0876"/>
    <w:rsid w:val="009F28C6"/>
    <w:rsid w:val="009F3022"/>
    <w:rsid w:val="009F3A88"/>
    <w:rsid w:val="00A1031A"/>
    <w:rsid w:val="00A3154B"/>
    <w:rsid w:val="00A47F71"/>
    <w:rsid w:val="00A55ABB"/>
    <w:rsid w:val="00A61821"/>
    <w:rsid w:val="00A847B8"/>
    <w:rsid w:val="00A84E9B"/>
    <w:rsid w:val="00A93286"/>
    <w:rsid w:val="00A94711"/>
    <w:rsid w:val="00AA07DD"/>
    <w:rsid w:val="00AA39E3"/>
    <w:rsid w:val="00AB6865"/>
    <w:rsid w:val="00AD2481"/>
    <w:rsid w:val="00AD46C0"/>
    <w:rsid w:val="00AE7908"/>
    <w:rsid w:val="00AF16FA"/>
    <w:rsid w:val="00AF1B80"/>
    <w:rsid w:val="00AF2691"/>
    <w:rsid w:val="00B07159"/>
    <w:rsid w:val="00B077AF"/>
    <w:rsid w:val="00B16402"/>
    <w:rsid w:val="00B201D7"/>
    <w:rsid w:val="00B27088"/>
    <w:rsid w:val="00B407FF"/>
    <w:rsid w:val="00B46571"/>
    <w:rsid w:val="00B46DB3"/>
    <w:rsid w:val="00B51E33"/>
    <w:rsid w:val="00B8137D"/>
    <w:rsid w:val="00B85195"/>
    <w:rsid w:val="00B9440E"/>
    <w:rsid w:val="00BA6A84"/>
    <w:rsid w:val="00BB5A7B"/>
    <w:rsid w:val="00BC2AA7"/>
    <w:rsid w:val="00BC3686"/>
    <w:rsid w:val="00BC37E6"/>
    <w:rsid w:val="00BC611E"/>
    <w:rsid w:val="00BC7599"/>
    <w:rsid w:val="00BD224C"/>
    <w:rsid w:val="00BF0F8D"/>
    <w:rsid w:val="00BF1C42"/>
    <w:rsid w:val="00C07900"/>
    <w:rsid w:val="00C12B9E"/>
    <w:rsid w:val="00C12F29"/>
    <w:rsid w:val="00C1609D"/>
    <w:rsid w:val="00C45890"/>
    <w:rsid w:val="00C81FF1"/>
    <w:rsid w:val="00CA0BF2"/>
    <w:rsid w:val="00CB1F4C"/>
    <w:rsid w:val="00CD698B"/>
    <w:rsid w:val="00CE01AA"/>
    <w:rsid w:val="00CE46E5"/>
    <w:rsid w:val="00CF0B68"/>
    <w:rsid w:val="00CF7166"/>
    <w:rsid w:val="00D009CA"/>
    <w:rsid w:val="00D36E88"/>
    <w:rsid w:val="00D715E8"/>
    <w:rsid w:val="00D76270"/>
    <w:rsid w:val="00D80CDC"/>
    <w:rsid w:val="00D86841"/>
    <w:rsid w:val="00D92A06"/>
    <w:rsid w:val="00DB4303"/>
    <w:rsid w:val="00DE480F"/>
    <w:rsid w:val="00E02123"/>
    <w:rsid w:val="00E13B0E"/>
    <w:rsid w:val="00E1706D"/>
    <w:rsid w:val="00E27AB0"/>
    <w:rsid w:val="00E37613"/>
    <w:rsid w:val="00E63748"/>
    <w:rsid w:val="00E852D0"/>
    <w:rsid w:val="00E85840"/>
    <w:rsid w:val="00E95020"/>
    <w:rsid w:val="00E9635B"/>
    <w:rsid w:val="00EB641E"/>
    <w:rsid w:val="00F233B2"/>
    <w:rsid w:val="00F268FE"/>
    <w:rsid w:val="00F336A4"/>
    <w:rsid w:val="00F3746C"/>
    <w:rsid w:val="00F43A8E"/>
    <w:rsid w:val="00F60B62"/>
    <w:rsid w:val="00F61B1D"/>
    <w:rsid w:val="00F70D17"/>
    <w:rsid w:val="00F73F0B"/>
    <w:rsid w:val="00F74E6A"/>
    <w:rsid w:val="00F910E0"/>
    <w:rsid w:val="00F9438C"/>
    <w:rsid w:val="00FA2281"/>
    <w:rsid w:val="00FB467D"/>
    <w:rsid w:val="00FB472F"/>
    <w:rsid w:val="00FB4C90"/>
    <w:rsid w:val="00FB7583"/>
    <w:rsid w:val="00FC23AA"/>
    <w:rsid w:val="00FD3C84"/>
    <w:rsid w:val="00FF5F0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3A89D5"/>
  <w15:chartTrackingRefBased/>
  <w15:docId w15:val="{7EF27D0E-8224-4C3C-A1A9-BE8CC04D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E3974"/>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5E3974"/>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5E3974"/>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5E39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39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3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974"/>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5E3974"/>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5E3974"/>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5E39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39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3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974"/>
    <w:rPr>
      <w:rFonts w:eastAsiaTheme="majorEastAsia" w:cstheme="majorBidi"/>
      <w:color w:val="272727" w:themeColor="text1" w:themeTint="D8"/>
    </w:rPr>
  </w:style>
  <w:style w:type="paragraph" w:styleId="Title">
    <w:name w:val="Title"/>
    <w:basedOn w:val="Normal"/>
    <w:next w:val="Normal"/>
    <w:link w:val="TitleChar"/>
    <w:uiPriority w:val="10"/>
    <w:qFormat/>
    <w:rsid w:val="005E397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397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3974"/>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397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E39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974"/>
    <w:rPr>
      <w:rFonts w:cs="Mangal"/>
      <w:i/>
      <w:iCs/>
      <w:color w:val="404040" w:themeColor="text1" w:themeTint="BF"/>
    </w:rPr>
  </w:style>
  <w:style w:type="paragraph" w:styleId="ListParagraph">
    <w:name w:val="List Paragraph"/>
    <w:basedOn w:val="Normal"/>
    <w:uiPriority w:val="34"/>
    <w:qFormat/>
    <w:rsid w:val="005E3974"/>
    <w:pPr>
      <w:ind w:left="720"/>
      <w:contextualSpacing/>
    </w:pPr>
  </w:style>
  <w:style w:type="character" w:styleId="IntenseEmphasis">
    <w:name w:val="Intense Emphasis"/>
    <w:basedOn w:val="DefaultParagraphFont"/>
    <w:uiPriority w:val="21"/>
    <w:qFormat/>
    <w:rsid w:val="005E3974"/>
    <w:rPr>
      <w:i/>
      <w:iCs/>
      <w:color w:val="365F91" w:themeColor="accent1" w:themeShade="BF"/>
    </w:rPr>
  </w:style>
  <w:style w:type="paragraph" w:styleId="IntenseQuote">
    <w:name w:val="Intense Quote"/>
    <w:basedOn w:val="Normal"/>
    <w:next w:val="Normal"/>
    <w:link w:val="IntenseQuoteChar"/>
    <w:uiPriority w:val="30"/>
    <w:qFormat/>
    <w:rsid w:val="005E39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3974"/>
    <w:rPr>
      <w:rFonts w:cs="Mangal"/>
      <w:i/>
      <w:iCs/>
      <w:color w:val="365F91" w:themeColor="accent1" w:themeShade="BF"/>
    </w:rPr>
  </w:style>
  <w:style w:type="character" w:styleId="IntenseReference">
    <w:name w:val="Intense Reference"/>
    <w:basedOn w:val="DefaultParagraphFont"/>
    <w:uiPriority w:val="32"/>
    <w:qFormat/>
    <w:rsid w:val="005E3974"/>
    <w:rPr>
      <w:b/>
      <w:bCs/>
      <w:smallCaps/>
      <w:color w:val="365F91" w:themeColor="accent1" w:themeShade="BF"/>
      <w:spacing w:val="5"/>
    </w:rPr>
  </w:style>
  <w:style w:type="character" w:styleId="PlaceholderText">
    <w:name w:val="Placeholder Text"/>
    <w:basedOn w:val="DefaultParagraphFont"/>
    <w:uiPriority w:val="99"/>
    <w:semiHidden/>
    <w:rsid w:val="006B35AB"/>
    <w:rPr>
      <w:color w:val="666666"/>
    </w:rPr>
  </w:style>
  <w:style w:type="paragraph" w:styleId="NormalWeb">
    <w:name w:val="Normal (Web)"/>
    <w:basedOn w:val="Normal"/>
    <w:uiPriority w:val="99"/>
    <w:semiHidden/>
    <w:unhideWhenUsed/>
    <w:rsid w:val="00820A48"/>
    <w:rPr>
      <w:rFonts w:ascii="Times New Roman" w:hAnsi="Times New Roman"/>
      <w:sz w:val="24"/>
      <w:szCs w:val="21"/>
    </w:rPr>
  </w:style>
  <w:style w:type="character" w:styleId="Hyperlink">
    <w:name w:val="Hyperlink"/>
    <w:basedOn w:val="DefaultParagraphFont"/>
    <w:uiPriority w:val="99"/>
    <w:unhideWhenUsed/>
    <w:rsid w:val="00C1609D"/>
    <w:rPr>
      <w:color w:val="0000FF" w:themeColor="hyperlink"/>
      <w:u w:val="single"/>
    </w:rPr>
  </w:style>
  <w:style w:type="character" w:styleId="UnresolvedMention">
    <w:name w:val="Unresolved Mention"/>
    <w:basedOn w:val="DefaultParagraphFont"/>
    <w:uiPriority w:val="99"/>
    <w:semiHidden/>
    <w:unhideWhenUsed/>
    <w:rsid w:val="00C1609D"/>
    <w:rPr>
      <w:color w:val="605E5C"/>
      <w:shd w:val="clear" w:color="auto" w:fill="E1DFDD"/>
    </w:rPr>
  </w:style>
  <w:style w:type="paragraph" w:customStyle="1" w:styleId="html-x">
    <w:name w:val="html-x"/>
    <w:basedOn w:val="Normal"/>
    <w:rsid w:val="00C1609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C1609D"/>
  </w:style>
  <w:style w:type="paragraph" w:styleId="Header">
    <w:name w:val="header"/>
    <w:basedOn w:val="Normal"/>
    <w:link w:val="HeaderChar"/>
    <w:uiPriority w:val="99"/>
    <w:unhideWhenUsed/>
    <w:rsid w:val="00CA0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BF2"/>
    <w:rPr>
      <w:rFonts w:cs="Mangal"/>
    </w:rPr>
  </w:style>
  <w:style w:type="paragraph" w:styleId="Footer">
    <w:name w:val="footer"/>
    <w:basedOn w:val="Normal"/>
    <w:link w:val="FooterChar"/>
    <w:uiPriority w:val="99"/>
    <w:unhideWhenUsed/>
    <w:rsid w:val="00CA0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BF2"/>
    <w:rPr>
      <w:rFonts w:cs="Mangal"/>
    </w:rPr>
  </w:style>
  <w:style w:type="numbering" w:customStyle="1" w:styleId="CurrentList1">
    <w:name w:val="Current List1"/>
    <w:uiPriority w:val="99"/>
    <w:rsid w:val="0092653A"/>
    <w:pPr>
      <w:numPr>
        <w:numId w:val="5"/>
      </w:numPr>
    </w:pPr>
  </w:style>
  <w:style w:type="paragraph" w:styleId="Revision">
    <w:name w:val="Revision"/>
    <w:hidden/>
    <w:uiPriority w:val="99"/>
    <w:semiHidden/>
    <w:rsid w:val="000A1F85"/>
    <w:pPr>
      <w:spacing w:after="0" w:line="240" w:lineRule="auto"/>
    </w:pPr>
    <w:rPr>
      <w:rFonts w:cs="Mangal"/>
    </w:rPr>
  </w:style>
  <w:style w:type="table" w:styleId="TableGrid">
    <w:name w:val="Table Grid"/>
    <w:basedOn w:val="TableNormal"/>
    <w:uiPriority w:val="59"/>
    <w:rsid w:val="00A3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471A74"/>
    <w:rPr>
      <w:b/>
      <w:bCs/>
      <w:i/>
      <w:iCs/>
      <w:spacing w:val="5"/>
    </w:rPr>
  </w:style>
  <w:style w:type="table" w:customStyle="1" w:styleId="TableGrid1">
    <w:name w:val="Table Grid1"/>
    <w:basedOn w:val="TableNormal"/>
    <w:next w:val="TableGrid"/>
    <w:uiPriority w:val="59"/>
    <w:rsid w:val="002A51DF"/>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390638">
      <w:bodyDiv w:val="1"/>
      <w:marLeft w:val="0"/>
      <w:marRight w:val="0"/>
      <w:marTop w:val="0"/>
      <w:marBottom w:val="0"/>
      <w:divBdr>
        <w:top w:val="none" w:sz="0" w:space="0" w:color="auto"/>
        <w:left w:val="none" w:sz="0" w:space="0" w:color="auto"/>
        <w:bottom w:val="none" w:sz="0" w:space="0" w:color="auto"/>
        <w:right w:val="none" w:sz="0" w:space="0" w:color="auto"/>
      </w:divBdr>
    </w:div>
    <w:div w:id="720981224">
      <w:bodyDiv w:val="1"/>
      <w:marLeft w:val="0"/>
      <w:marRight w:val="0"/>
      <w:marTop w:val="0"/>
      <w:marBottom w:val="0"/>
      <w:divBdr>
        <w:top w:val="none" w:sz="0" w:space="0" w:color="auto"/>
        <w:left w:val="none" w:sz="0" w:space="0" w:color="auto"/>
        <w:bottom w:val="none" w:sz="0" w:space="0" w:color="auto"/>
        <w:right w:val="none" w:sz="0" w:space="0" w:color="auto"/>
      </w:divBdr>
    </w:div>
    <w:div w:id="868375294">
      <w:bodyDiv w:val="1"/>
      <w:marLeft w:val="0"/>
      <w:marRight w:val="0"/>
      <w:marTop w:val="0"/>
      <w:marBottom w:val="0"/>
      <w:divBdr>
        <w:top w:val="none" w:sz="0" w:space="0" w:color="auto"/>
        <w:left w:val="none" w:sz="0" w:space="0" w:color="auto"/>
        <w:bottom w:val="none" w:sz="0" w:space="0" w:color="auto"/>
        <w:right w:val="none" w:sz="0" w:space="0" w:color="auto"/>
      </w:divBdr>
    </w:div>
    <w:div w:id="919827309">
      <w:bodyDiv w:val="1"/>
      <w:marLeft w:val="0"/>
      <w:marRight w:val="0"/>
      <w:marTop w:val="0"/>
      <w:marBottom w:val="0"/>
      <w:divBdr>
        <w:top w:val="none" w:sz="0" w:space="0" w:color="auto"/>
        <w:left w:val="none" w:sz="0" w:space="0" w:color="auto"/>
        <w:bottom w:val="none" w:sz="0" w:space="0" w:color="auto"/>
        <w:right w:val="none" w:sz="0" w:space="0" w:color="auto"/>
      </w:divBdr>
    </w:div>
    <w:div w:id="1015351016">
      <w:bodyDiv w:val="1"/>
      <w:marLeft w:val="0"/>
      <w:marRight w:val="0"/>
      <w:marTop w:val="0"/>
      <w:marBottom w:val="0"/>
      <w:divBdr>
        <w:top w:val="none" w:sz="0" w:space="0" w:color="auto"/>
        <w:left w:val="none" w:sz="0" w:space="0" w:color="auto"/>
        <w:bottom w:val="none" w:sz="0" w:space="0" w:color="auto"/>
        <w:right w:val="none" w:sz="0" w:space="0" w:color="auto"/>
      </w:divBdr>
    </w:div>
    <w:div w:id="1022901592">
      <w:bodyDiv w:val="1"/>
      <w:marLeft w:val="0"/>
      <w:marRight w:val="0"/>
      <w:marTop w:val="0"/>
      <w:marBottom w:val="0"/>
      <w:divBdr>
        <w:top w:val="none" w:sz="0" w:space="0" w:color="auto"/>
        <w:left w:val="none" w:sz="0" w:space="0" w:color="auto"/>
        <w:bottom w:val="none" w:sz="0" w:space="0" w:color="auto"/>
        <w:right w:val="none" w:sz="0" w:space="0" w:color="auto"/>
      </w:divBdr>
    </w:div>
    <w:div w:id="1051198202">
      <w:bodyDiv w:val="1"/>
      <w:marLeft w:val="0"/>
      <w:marRight w:val="0"/>
      <w:marTop w:val="0"/>
      <w:marBottom w:val="0"/>
      <w:divBdr>
        <w:top w:val="none" w:sz="0" w:space="0" w:color="auto"/>
        <w:left w:val="none" w:sz="0" w:space="0" w:color="auto"/>
        <w:bottom w:val="none" w:sz="0" w:space="0" w:color="auto"/>
        <w:right w:val="none" w:sz="0" w:space="0" w:color="auto"/>
      </w:divBdr>
    </w:div>
    <w:div w:id="1089812753">
      <w:bodyDiv w:val="1"/>
      <w:marLeft w:val="0"/>
      <w:marRight w:val="0"/>
      <w:marTop w:val="0"/>
      <w:marBottom w:val="0"/>
      <w:divBdr>
        <w:top w:val="none" w:sz="0" w:space="0" w:color="auto"/>
        <w:left w:val="none" w:sz="0" w:space="0" w:color="auto"/>
        <w:bottom w:val="none" w:sz="0" w:space="0" w:color="auto"/>
        <w:right w:val="none" w:sz="0" w:space="0" w:color="auto"/>
      </w:divBdr>
    </w:div>
    <w:div w:id="1097678422">
      <w:bodyDiv w:val="1"/>
      <w:marLeft w:val="0"/>
      <w:marRight w:val="0"/>
      <w:marTop w:val="0"/>
      <w:marBottom w:val="0"/>
      <w:divBdr>
        <w:top w:val="none" w:sz="0" w:space="0" w:color="auto"/>
        <w:left w:val="none" w:sz="0" w:space="0" w:color="auto"/>
        <w:bottom w:val="none" w:sz="0" w:space="0" w:color="auto"/>
        <w:right w:val="none" w:sz="0" w:space="0" w:color="auto"/>
      </w:divBdr>
    </w:div>
    <w:div w:id="1115370601">
      <w:bodyDiv w:val="1"/>
      <w:marLeft w:val="0"/>
      <w:marRight w:val="0"/>
      <w:marTop w:val="0"/>
      <w:marBottom w:val="0"/>
      <w:divBdr>
        <w:top w:val="none" w:sz="0" w:space="0" w:color="auto"/>
        <w:left w:val="none" w:sz="0" w:space="0" w:color="auto"/>
        <w:bottom w:val="none" w:sz="0" w:space="0" w:color="auto"/>
        <w:right w:val="none" w:sz="0" w:space="0" w:color="auto"/>
      </w:divBdr>
    </w:div>
    <w:div w:id="1145584015">
      <w:bodyDiv w:val="1"/>
      <w:marLeft w:val="0"/>
      <w:marRight w:val="0"/>
      <w:marTop w:val="0"/>
      <w:marBottom w:val="0"/>
      <w:divBdr>
        <w:top w:val="none" w:sz="0" w:space="0" w:color="auto"/>
        <w:left w:val="none" w:sz="0" w:space="0" w:color="auto"/>
        <w:bottom w:val="none" w:sz="0" w:space="0" w:color="auto"/>
        <w:right w:val="none" w:sz="0" w:space="0" w:color="auto"/>
      </w:divBdr>
    </w:div>
    <w:div w:id="1165314529">
      <w:bodyDiv w:val="1"/>
      <w:marLeft w:val="0"/>
      <w:marRight w:val="0"/>
      <w:marTop w:val="0"/>
      <w:marBottom w:val="0"/>
      <w:divBdr>
        <w:top w:val="none" w:sz="0" w:space="0" w:color="auto"/>
        <w:left w:val="none" w:sz="0" w:space="0" w:color="auto"/>
        <w:bottom w:val="none" w:sz="0" w:space="0" w:color="auto"/>
        <w:right w:val="none" w:sz="0" w:space="0" w:color="auto"/>
      </w:divBdr>
    </w:div>
    <w:div w:id="1296986537">
      <w:bodyDiv w:val="1"/>
      <w:marLeft w:val="0"/>
      <w:marRight w:val="0"/>
      <w:marTop w:val="0"/>
      <w:marBottom w:val="0"/>
      <w:divBdr>
        <w:top w:val="none" w:sz="0" w:space="0" w:color="auto"/>
        <w:left w:val="none" w:sz="0" w:space="0" w:color="auto"/>
        <w:bottom w:val="none" w:sz="0" w:space="0" w:color="auto"/>
        <w:right w:val="none" w:sz="0" w:space="0" w:color="auto"/>
      </w:divBdr>
    </w:div>
    <w:div w:id="1583180967">
      <w:bodyDiv w:val="1"/>
      <w:marLeft w:val="0"/>
      <w:marRight w:val="0"/>
      <w:marTop w:val="0"/>
      <w:marBottom w:val="0"/>
      <w:divBdr>
        <w:top w:val="none" w:sz="0" w:space="0" w:color="auto"/>
        <w:left w:val="none" w:sz="0" w:space="0" w:color="auto"/>
        <w:bottom w:val="none" w:sz="0" w:space="0" w:color="auto"/>
        <w:right w:val="none" w:sz="0" w:space="0" w:color="auto"/>
      </w:divBdr>
    </w:div>
    <w:div w:id="1621573754">
      <w:bodyDiv w:val="1"/>
      <w:marLeft w:val="0"/>
      <w:marRight w:val="0"/>
      <w:marTop w:val="0"/>
      <w:marBottom w:val="0"/>
      <w:divBdr>
        <w:top w:val="none" w:sz="0" w:space="0" w:color="auto"/>
        <w:left w:val="none" w:sz="0" w:space="0" w:color="auto"/>
        <w:bottom w:val="none" w:sz="0" w:space="0" w:color="auto"/>
        <w:right w:val="none" w:sz="0" w:space="0" w:color="auto"/>
      </w:divBdr>
    </w:div>
    <w:div w:id="1694260325">
      <w:bodyDiv w:val="1"/>
      <w:marLeft w:val="0"/>
      <w:marRight w:val="0"/>
      <w:marTop w:val="0"/>
      <w:marBottom w:val="0"/>
      <w:divBdr>
        <w:top w:val="none" w:sz="0" w:space="0" w:color="auto"/>
        <w:left w:val="none" w:sz="0" w:space="0" w:color="auto"/>
        <w:bottom w:val="none" w:sz="0" w:space="0" w:color="auto"/>
        <w:right w:val="none" w:sz="0" w:space="0" w:color="auto"/>
      </w:divBdr>
    </w:div>
    <w:div w:id="20907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o.org/faostat/en/"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91426071741033E-2"/>
          <c:y val="6.0492639507018137E-2"/>
          <c:w val="0.83341907261592296"/>
          <c:h val="0.7414073947278329"/>
        </c:manualLayout>
      </c:layout>
      <c:barChart>
        <c:barDir val="col"/>
        <c:grouping val="clustered"/>
        <c:varyColors val="0"/>
        <c:ser>
          <c:idx val="0"/>
          <c:order val="0"/>
          <c:tx>
            <c:strRef>
              <c:f>Protein!$C$2</c:f>
              <c:strCache>
                <c:ptCount val="1"/>
                <c:pt idx="0">
                  <c:v>IPFD-99-13</c:v>
                </c:pt>
              </c:strCache>
            </c:strRef>
          </c:tx>
          <c:spPr>
            <a:pattFill prst="dkDnDiag">
              <a:fgClr>
                <a:schemeClr val="tx1">
                  <a:lumMod val="65000"/>
                  <a:lumOff val="3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Protein!$B$3:$B$8</c:f>
              <c:strCache>
                <c:ptCount val="6"/>
                <c:pt idx="0">
                  <c:v>Whole seed </c:v>
                </c:pt>
                <c:pt idx="1">
                  <c:v>Dal </c:v>
                </c:pt>
                <c:pt idx="2">
                  <c:v>By-product </c:v>
                </c:pt>
                <c:pt idx="3">
                  <c:v>&gt;1.00 mm</c:v>
                </c:pt>
                <c:pt idx="4">
                  <c:v>&gt;0.25 mm</c:v>
                </c:pt>
                <c:pt idx="5">
                  <c:v>&lt;0.25 mm</c:v>
                </c:pt>
              </c:strCache>
            </c:strRef>
          </c:cat>
          <c:val>
            <c:numRef>
              <c:f>Protein!$C$3:$C$8</c:f>
              <c:numCache>
                <c:formatCode>General</c:formatCode>
                <c:ptCount val="6"/>
                <c:pt idx="0">
                  <c:v>15.02</c:v>
                </c:pt>
                <c:pt idx="1">
                  <c:v>16.36</c:v>
                </c:pt>
                <c:pt idx="2">
                  <c:v>11.74</c:v>
                </c:pt>
                <c:pt idx="3">
                  <c:v>6.57</c:v>
                </c:pt>
                <c:pt idx="4">
                  <c:v>15.5</c:v>
                </c:pt>
                <c:pt idx="5">
                  <c:v>19.43</c:v>
                </c:pt>
              </c:numCache>
            </c:numRef>
          </c:val>
          <c:extLst>
            <c:ext xmlns:c16="http://schemas.microsoft.com/office/drawing/2014/chart" uri="{C3380CC4-5D6E-409C-BE32-E72D297353CC}">
              <c16:uniqueId val="{00000000-8C70-4B9B-B112-960C70BD9003}"/>
            </c:ext>
          </c:extLst>
        </c:ser>
        <c:ser>
          <c:idx val="1"/>
          <c:order val="1"/>
          <c:tx>
            <c:strRef>
              <c:f>Protein!$D$2</c:f>
              <c:strCache>
                <c:ptCount val="1"/>
                <c:pt idx="0">
                  <c:v>IPF-5-19</c:v>
                </c:pt>
              </c:strCache>
            </c:strRef>
          </c:tx>
          <c:spPr>
            <a:pattFill prst="narHorz">
              <a:fgClr>
                <a:schemeClr val="tx1">
                  <a:lumMod val="65000"/>
                  <a:lumOff val="3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Protein!$B$3:$B$8</c:f>
              <c:strCache>
                <c:ptCount val="6"/>
                <c:pt idx="0">
                  <c:v>Whole seed </c:v>
                </c:pt>
                <c:pt idx="1">
                  <c:v>Dal </c:v>
                </c:pt>
                <c:pt idx="2">
                  <c:v>By-product </c:v>
                </c:pt>
                <c:pt idx="3">
                  <c:v>&gt;1.00 mm</c:v>
                </c:pt>
                <c:pt idx="4">
                  <c:v>&gt;0.25 mm</c:v>
                </c:pt>
                <c:pt idx="5">
                  <c:v>&lt;0.25 mm</c:v>
                </c:pt>
              </c:strCache>
            </c:strRef>
          </c:cat>
          <c:val>
            <c:numRef>
              <c:f>Protein!$D$3:$D$8</c:f>
              <c:numCache>
                <c:formatCode>General</c:formatCode>
                <c:ptCount val="6"/>
                <c:pt idx="0">
                  <c:v>17.52</c:v>
                </c:pt>
                <c:pt idx="1">
                  <c:v>19.239999999999998</c:v>
                </c:pt>
                <c:pt idx="2">
                  <c:v>17.260000000000002</c:v>
                </c:pt>
                <c:pt idx="3">
                  <c:v>10.38</c:v>
                </c:pt>
                <c:pt idx="4">
                  <c:v>11.69</c:v>
                </c:pt>
                <c:pt idx="5">
                  <c:v>24.71</c:v>
                </c:pt>
              </c:numCache>
            </c:numRef>
          </c:val>
          <c:extLst>
            <c:ext xmlns:c16="http://schemas.microsoft.com/office/drawing/2014/chart" uri="{C3380CC4-5D6E-409C-BE32-E72D297353CC}">
              <c16:uniqueId val="{00000001-8C70-4B9B-B112-960C70BD9003}"/>
            </c:ext>
          </c:extLst>
        </c:ser>
        <c:ser>
          <c:idx val="2"/>
          <c:order val="2"/>
          <c:tx>
            <c:strRef>
              <c:f>Protein!$E$2</c:f>
              <c:strCache>
                <c:ptCount val="1"/>
                <c:pt idx="0">
                  <c:v>IPFD-1-10</c:v>
                </c:pt>
              </c:strCache>
            </c:strRef>
          </c:tx>
          <c:spPr>
            <a:pattFill prst="dkUpDiag">
              <a:fgClr>
                <a:schemeClr val="tx1">
                  <a:lumMod val="65000"/>
                  <a:lumOff val="3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Protein!$B$3:$B$8</c:f>
              <c:strCache>
                <c:ptCount val="6"/>
                <c:pt idx="0">
                  <c:v>Whole seed </c:v>
                </c:pt>
                <c:pt idx="1">
                  <c:v>Dal </c:v>
                </c:pt>
                <c:pt idx="2">
                  <c:v>By-product </c:v>
                </c:pt>
                <c:pt idx="3">
                  <c:v>&gt;1.00 mm</c:v>
                </c:pt>
                <c:pt idx="4">
                  <c:v>&gt;0.25 mm</c:v>
                </c:pt>
                <c:pt idx="5">
                  <c:v>&lt;0.25 mm</c:v>
                </c:pt>
              </c:strCache>
            </c:strRef>
          </c:cat>
          <c:val>
            <c:numRef>
              <c:f>Protein!$E$3:$E$8</c:f>
              <c:numCache>
                <c:formatCode>General</c:formatCode>
                <c:ptCount val="6"/>
                <c:pt idx="0">
                  <c:v>18.329999999999998</c:v>
                </c:pt>
                <c:pt idx="1">
                  <c:v>18.98</c:v>
                </c:pt>
                <c:pt idx="2">
                  <c:v>16.21</c:v>
                </c:pt>
                <c:pt idx="3">
                  <c:v>11.19</c:v>
                </c:pt>
                <c:pt idx="4">
                  <c:v>17.600000000000001</c:v>
                </c:pt>
                <c:pt idx="5">
                  <c:v>24.05</c:v>
                </c:pt>
              </c:numCache>
            </c:numRef>
          </c:val>
          <c:extLst>
            <c:ext xmlns:c16="http://schemas.microsoft.com/office/drawing/2014/chart" uri="{C3380CC4-5D6E-409C-BE32-E72D297353CC}">
              <c16:uniqueId val="{00000002-8C70-4B9B-B112-960C70BD9003}"/>
            </c:ext>
          </c:extLst>
        </c:ser>
        <c:dLbls>
          <c:showLegendKey val="0"/>
          <c:showVal val="0"/>
          <c:showCatName val="0"/>
          <c:showSerName val="0"/>
          <c:showPercent val="0"/>
          <c:showBubbleSize val="0"/>
        </c:dLbls>
        <c:gapWidth val="219"/>
        <c:overlap val="-27"/>
        <c:axId val="541125791"/>
        <c:axId val="541126271"/>
      </c:barChart>
      <c:catAx>
        <c:axId val="5411257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26271"/>
        <c:crosses val="autoZero"/>
        <c:auto val="1"/>
        <c:lblAlgn val="ctr"/>
        <c:lblOffset val="100"/>
        <c:noMultiLvlLbl val="0"/>
      </c:catAx>
      <c:valAx>
        <c:axId val="54112627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Protein</a:t>
                </a:r>
                <a:r>
                  <a:rPr lang="en-IN" b="1" baseline="0"/>
                  <a:t> content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25791"/>
        <c:crosses val="autoZero"/>
        <c:crossBetween val="between"/>
      </c:valAx>
      <c:spPr>
        <a:noFill/>
        <a:ln>
          <a:solidFill>
            <a:schemeClr val="tx1"/>
          </a:solidFill>
        </a:ln>
        <a:effectLst/>
      </c:spPr>
    </c:plotArea>
    <c:legend>
      <c:legendPos val="b"/>
      <c:layout>
        <c:manualLayout>
          <c:xMode val="edge"/>
          <c:yMode val="edge"/>
          <c:x val="0.26773600174978135"/>
          <c:y val="0.91503081136597053"/>
          <c:w val="0.45897222222222223"/>
          <c:h val="6.343135912358782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838145231846"/>
          <c:y val="8.3333333333333329E-2"/>
          <c:w val="0.83129396325459315"/>
          <c:h val="0.73482210557013694"/>
        </c:manualLayout>
      </c:layout>
      <c:barChart>
        <c:barDir val="col"/>
        <c:grouping val="clustered"/>
        <c:varyColors val="0"/>
        <c:ser>
          <c:idx val="0"/>
          <c:order val="0"/>
          <c:tx>
            <c:strRef>
              <c:f>TPC!$C$3</c:f>
              <c:strCache>
                <c:ptCount val="1"/>
                <c:pt idx="0">
                  <c:v>IPFD-99-13</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TPC!$B$4:$B$9</c:f>
              <c:strCache>
                <c:ptCount val="6"/>
                <c:pt idx="0">
                  <c:v>Whole seed </c:v>
                </c:pt>
                <c:pt idx="1">
                  <c:v>Dal </c:v>
                </c:pt>
                <c:pt idx="2">
                  <c:v>By-product </c:v>
                </c:pt>
                <c:pt idx="3">
                  <c:v>&gt;1.00 mm</c:v>
                </c:pt>
                <c:pt idx="4">
                  <c:v>&gt;0.25 mm</c:v>
                </c:pt>
                <c:pt idx="5">
                  <c:v>&lt;0.25 mm</c:v>
                </c:pt>
              </c:strCache>
            </c:strRef>
          </c:cat>
          <c:val>
            <c:numRef>
              <c:f>TPC!$C$4:$C$9</c:f>
              <c:numCache>
                <c:formatCode>General</c:formatCode>
                <c:ptCount val="6"/>
                <c:pt idx="0">
                  <c:v>111.59</c:v>
                </c:pt>
                <c:pt idx="1">
                  <c:v>89.65</c:v>
                </c:pt>
                <c:pt idx="2">
                  <c:v>155.28</c:v>
                </c:pt>
                <c:pt idx="3">
                  <c:v>153.41999999999999</c:v>
                </c:pt>
                <c:pt idx="4">
                  <c:v>142.65</c:v>
                </c:pt>
                <c:pt idx="5">
                  <c:v>175.36</c:v>
                </c:pt>
              </c:numCache>
            </c:numRef>
          </c:val>
          <c:extLst>
            <c:ext xmlns:c16="http://schemas.microsoft.com/office/drawing/2014/chart" uri="{C3380CC4-5D6E-409C-BE32-E72D297353CC}">
              <c16:uniqueId val="{00000000-79C7-4002-972E-90BFCFF45917}"/>
            </c:ext>
          </c:extLst>
        </c:ser>
        <c:ser>
          <c:idx val="1"/>
          <c:order val="1"/>
          <c:tx>
            <c:strRef>
              <c:f>TPC!$D$3</c:f>
              <c:strCache>
                <c:ptCount val="1"/>
                <c:pt idx="0">
                  <c:v>IPF-5-19</c:v>
                </c:pt>
              </c:strCache>
            </c:strRef>
          </c:tx>
          <c:spPr>
            <a:pattFill prst="narHorz">
              <a:fgClr>
                <a:schemeClr val="tx1"/>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TPC!$B$4:$B$9</c:f>
              <c:strCache>
                <c:ptCount val="6"/>
                <c:pt idx="0">
                  <c:v>Whole seed </c:v>
                </c:pt>
                <c:pt idx="1">
                  <c:v>Dal </c:v>
                </c:pt>
                <c:pt idx="2">
                  <c:v>By-product </c:v>
                </c:pt>
                <c:pt idx="3">
                  <c:v>&gt;1.00 mm</c:v>
                </c:pt>
                <c:pt idx="4">
                  <c:v>&gt;0.25 mm</c:v>
                </c:pt>
                <c:pt idx="5">
                  <c:v>&lt;0.25 mm</c:v>
                </c:pt>
              </c:strCache>
            </c:strRef>
          </c:cat>
          <c:val>
            <c:numRef>
              <c:f>TPC!$D$4:$D$9</c:f>
              <c:numCache>
                <c:formatCode>General</c:formatCode>
                <c:ptCount val="6"/>
                <c:pt idx="0">
                  <c:v>85.4</c:v>
                </c:pt>
                <c:pt idx="1">
                  <c:v>71.84</c:v>
                </c:pt>
                <c:pt idx="2">
                  <c:v>104.97</c:v>
                </c:pt>
                <c:pt idx="3">
                  <c:v>105.07</c:v>
                </c:pt>
                <c:pt idx="4">
                  <c:v>119.77</c:v>
                </c:pt>
                <c:pt idx="5">
                  <c:v>155.49</c:v>
                </c:pt>
              </c:numCache>
            </c:numRef>
          </c:val>
          <c:extLst>
            <c:ext xmlns:c16="http://schemas.microsoft.com/office/drawing/2014/chart" uri="{C3380CC4-5D6E-409C-BE32-E72D297353CC}">
              <c16:uniqueId val="{00000001-79C7-4002-972E-90BFCFF45917}"/>
            </c:ext>
          </c:extLst>
        </c:ser>
        <c:ser>
          <c:idx val="2"/>
          <c:order val="2"/>
          <c:tx>
            <c:strRef>
              <c:f>TPC!$E$3</c:f>
              <c:strCache>
                <c:ptCount val="1"/>
                <c:pt idx="0">
                  <c:v>IPFD-1-10</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TPC!$B$4:$B$9</c:f>
              <c:strCache>
                <c:ptCount val="6"/>
                <c:pt idx="0">
                  <c:v>Whole seed </c:v>
                </c:pt>
                <c:pt idx="1">
                  <c:v>Dal </c:v>
                </c:pt>
                <c:pt idx="2">
                  <c:v>By-product </c:v>
                </c:pt>
                <c:pt idx="3">
                  <c:v>&gt;1.00 mm</c:v>
                </c:pt>
                <c:pt idx="4">
                  <c:v>&gt;0.25 mm</c:v>
                </c:pt>
                <c:pt idx="5">
                  <c:v>&lt;0.25 mm</c:v>
                </c:pt>
              </c:strCache>
            </c:strRef>
          </c:cat>
          <c:val>
            <c:numRef>
              <c:f>TPC!$E$4:$E$9</c:f>
              <c:numCache>
                <c:formatCode>General</c:formatCode>
                <c:ptCount val="6"/>
                <c:pt idx="0">
                  <c:v>94.55</c:v>
                </c:pt>
                <c:pt idx="1">
                  <c:v>71.77</c:v>
                </c:pt>
                <c:pt idx="2">
                  <c:v>137.75</c:v>
                </c:pt>
                <c:pt idx="3">
                  <c:v>111.94</c:v>
                </c:pt>
                <c:pt idx="4">
                  <c:v>129.47</c:v>
                </c:pt>
                <c:pt idx="5">
                  <c:v>152.93</c:v>
                </c:pt>
              </c:numCache>
            </c:numRef>
          </c:val>
          <c:extLst>
            <c:ext xmlns:c16="http://schemas.microsoft.com/office/drawing/2014/chart" uri="{C3380CC4-5D6E-409C-BE32-E72D297353CC}">
              <c16:uniqueId val="{00000002-79C7-4002-972E-90BFCFF45917}"/>
            </c:ext>
          </c:extLst>
        </c:ser>
        <c:dLbls>
          <c:showLegendKey val="0"/>
          <c:showVal val="0"/>
          <c:showCatName val="0"/>
          <c:showSerName val="0"/>
          <c:showPercent val="0"/>
          <c:showBubbleSize val="0"/>
        </c:dLbls>
        <c:gapWidth val="219"/>
        <c:overlap val="-27"/>
        <c:axId val="541132031"/>
        <c:axId val="541132511"/>
      </c:barChart>
      <c:catAx>
        <c:axId val="54113203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32511"/>
        <c:crosses val="autoZero"/>
        <c:auto val="1"/>
        <c:lblAlgn val="ctr"/>
        <c:lblOffset val="100"/>
        <c:noMultiLvlLbl val="0"/>
      </c:catAx>
      <c:valAx>
        <c:axId val="54113251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TPC</a:t>
                </a:r>
                <a:r>
                  <a:rPr lang="en-IN" b="1" baseline="0"/>
                  <a:t> (mgGAE/100g)</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32031"/>
        <c:crosses val="autoZero"/>
        <c:crossBetween val="between"/>
      </c:valAx>
      <c:spPr>
        <a:noFill/>
        <a:ln>
          <a:solidFill>
            <a:schemeClr val="tx1"/>
          </a:solidFill>
        </a:ln>
        <a:effectLst/>
      </c:spPr>
    </c:plotArea>
    <c:legend>
      <c:legendPos val="b"/>
      <c:layout>
        <c:manualLayout>
          <c:xMode val="edge"/>
          <c:yMode val="edge"/>
          <c:x val="0.28162489063867024"/>
          <c:y val="0.91724482356372106"/>
          <c:w val="0.43119444444444444"/>
          <c:h val="8.275517643627880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Antioxidant!$C$2</c:f>
              <c:strCache>
                <c:ptCount val="1"/>
                <c:pt idx="0">
                  <c:v>IPFD-99-13</c:v>
                </c:pt>
              </c:strCache>
            </c:strRef>
          </c:tx>
          <c:spPr>
            <a:pattFill prst="dkDnDiag">
              <a:fgClr>
                <a:sysClr val="windowText" lastClr="000000"/>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Antioxidant!$B$3:$B$8</c:f>
              <c:strCache>
                <c:ptCount val="6"/>
                <c:pt idx="0">
                  <c:v>Whole seed </c:v>
                </c:pt>
                <c:pt idx="1">
                  <c:v>Dal </c:v>
                </c:pt>
                <c:pt idx="2">
                  <c:v>By-product </c:v>
                </c:pt>
                <c:pt idx="3">
                  <c:v>&gt;1.00 mm</c:v>
                </c:pt>
                <c:pt idx="4">
                  <c:v>&gt;0.25 mm</c:v>
                </c:pt>
                <c:pt idx="5">
                  <c:v>&lt;0.25 mm</c:v>
                </c:pt>
              </c:strCache>
            </c:strRef>
          </c:cat>
          <c:val>
            <c:numRef>
              <c:f>Antioxidant!$C$3:$C$8</c:f>
              <c:numCache>
                <c:formatCode>General</c:formatCode>
                <c:ptCount val="6"/>
                <c:pt idx="0">
                  <c:v>2.57</c:v>
                </c:pt>
                <c:pt idx="1">
                  <c:v>1.88</c:v>
                </c:pt>
                <c:pt idx="2">
                  <c:v>3.5</c:v>
                </c:pt>
                <c:pt idx="3">
                  <c:v>2.88</c:v>
                </c:pt>
                <c:pt idx="4">
                  <c:v>3.45</c:v>
                </c:pt>
                <c:pt idx="5">
                  <c:v>4.2300000000000004</c:v>
                </c:pt>
              </c:numCache>
            </c:numRef>
          </c:val>
          <c:extLst>
            <c:ext xmlns:c16="http://schemas.microsoft.com/office/drawing/2014/chart" uri="{C3380CC4-5D6E-409C-BE32-E72D297353CC}">
              <c16:uniqueId val="{00000000-67ED-41AA-B052-B432E703DC5F}"/>
            </c:ext>
          </c:extLst>
        </c:ser>
        <c:ser>
          <c:idx val="1"/>
          <c:order val="1"/>
          <c:tx>
            <c:strRef>
              <c:f>Antioxidant!$D$2</c:f>
              <c:strCache>
                <c:ptCount val="1"/>
                <c:pt idx="0">
                  <c:v>IPF-5-19</c:v>
                </c:pt>
              </c:strCache>
            </c:strRef>
          </c:tx>
          <c:spPr>
            <a:pattFill prst="narHorz">
              <a:fgClr>
                <a:sysClr val="windowText" lastClr="000000"/>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Antioxidant!$B$3:$B$8</c:f>
              <c:strCache>
                <c:ptCount val="6"/>
                <c:pt idx="0">
                  <c:v>Whole seed </c:v>
                </c:pt>
                <c:pt idx="1">
                  <c:v>Dal </c:v>
                </c:pt>
                <c:pt idx="2">
                  <c:v>By-product </c:v>
                </c:pt>
                <c:pt idx="3">
                  <c:v>&gt;1.00 mm</c:v>
                </c:pt>
                <c:pt idx="4">
                  <c:v>&gt;0.25 mm</c:v>
                </c:pt>
                <c:pt idx="5">
                  <c:v>&lt;0.25 mm</c:v>
                </c:pt>
              </c:strCache>
            </c:strRef>
          </c:cat>
          <c:val>
            <c:numRef>
              <c:f>Antioxidant!$D$3:$D$8</c:f>
              <c:numCache>
                <c:formatCode>General</c:formatCode>
                <c:ptCount val="6"/>
                <c:pt idx="0">
                  <c:v>1.94</c:v>
                </c:pt>
                <c:pt idx="1">
                  <c:v>1.82</c:v>
                </c:pt>
                <c:pt idx="2">
                  <c:v>2.82</c:v>
                </c:pt>
                <c:pt idx="3">
                  <c:v>2.93</c:v>
                </c:pt>
                <c:pt idx="4">
                  <c:v>2.76</c:v>
                </c:pt>
                <c:pt idx="5">
                  <c:v>3.78</c:v>
                </c:pt>
              </c:numCache>
            </c:numRef>
          </c:val>
          <c:extLst>
            <c:ext xmlns:c16="http://schemas.microsoft.com/office/drawing/2014/chart" uri="{C3380CC4-5D6E-409C-BE32-E72D297353CC}">
              <c16:uniqueId val="{00000001-67ED-41AA-B052-B432E703DC5F}"/>
            </c:ext>
          </c:extLst>
        </c:ser>
        <c:ser>
          <c:idx val="2"/>
          <c:order val="2"/>
          <c:tx>
            <c:strRef>
              <c:f>Antioxidant!$E$2</c:f>
              <c:strCache>
                <c:ptCount val="1"/>
                <c:pt idx="0">
                  <c:v>IPFD-1-10</c:v>
                </c:pt>
              </c:strCache>
            </c:strRef>
          </c:tx>
          <c:spPr>
            <a:pattFill prst="dkUpDiag">
              <a:fgClr>
                <a:sysClr val="windowText" lastClr="000000"/>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Antioxidant!$B$3:$B$8</c:f>
              <c:strCache>
                <c:ptCount val="6"/>
                <c:pt idx="0">
                  <c:v>Whole seed </c:v>
                </c:pt>
                <c:pt idx="1">
                  <c:v>Dal </c:v>
                </c:pt>
                <c:pt idx="2">
                  <c:v>By-product </c:v>
                </c:pt>
                <c:pt idx="3">
                  <c:v>&gt;1.00 mm</c:v>
                </c:pt>
                <c:pt idx="4">
                  <c:v>&gt;0.25 mm</c:v>
                </c:pt>
                <c:pt idx="5">
                  <c:v>&lt;0.25 mm</c:v>
                </c:pt>
              </c:strCache>
            </c:strRef>
          </c:cat>
          <c:val>
            <c:numRef>
              <c:f>Antioxidant!$E$3:$E$8</c:f>
              <c:numCache>
                <c:formatCode>General</c:formatCode>
                <c:ptCount val="6"/>
                <c:pt idx="0">
                  <c:v>2.69</c:v>
                </c:pt>
                <c:pt idx="1">
                  <c:v>2.12</c:v>
                </c:pt>
                <c:pt idx="2">
                  <c:v>3.01</c:v>
                </c:pt>
                <c:pt idx="3">
                  <c:v>3.26</c:v>
                </c:pt>
                <c:pt idx="4">
                  <c:v>3.16</c:v>
                </c:pt>
                <c:pt idx="5">
                  <c:v>3.55</c:v>
                </c:pt>
              </c:numCache>
            </c:numRef>
          </c:val>
          <c:extLst>
            <c:ext xmlns:c16="http://schemas.microsoft.com/office/drawing/2014/chart" uri="{C3380CC4-5D6E-409C-BE32-E72D297353CC}">
              <c16:uniqueId val="{00000002-67ED-41AA-B052-B432E703DC5F}"/>
            </c:ext>
          </c:extLst>
        </c:ser>
        <c:dLbls>
          <c:showLegendKey val="0"/>
          <c:showVal val="0"/>
          <c:showCatName val="0"/>
          <c:showSerName val="0"/>
          <c:showPercent val="0"/>
          <c:showBubbleSize val="0"/>
        </c:dLbls>
        <c:gapWidth val="219"/>
        <c:overlap val="-27"/>
        <c:axId val="541111871"/>
        <c:axId val="541104671"/>
      </c:barChart>
      <c:catAx>
        <c:axId val="541111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04671"/>
        <c:crosses val="autoZero"/>
        <c:auto val="1"/>
        <c:lblAlgn val="ctr"/>
        <c:lblOffset val="100"/>
        <c:noMultiLvlLbl val="0"/>
      </c:catAx>
      <c:valAx>
        <c:axId val="54110467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TAA</a:t>
                </a:r>
                <a:r>
                  <a:rPr lang="en-IN" b="1" baseline="0"/>
                  <a:t> (mmoleTE/100g)</a:t>
                </a:r>
                <a:endParaRPr lang="en-IN" b="1"/>
              </a:p>
            </c:rich>
          </c:tx>
          <c:layout>
            <c:manualLayout>
              <c:xMode val="edge"/>
              <c:yMode val="edge"/>
              <c:x val="3.0555555555555555E-2"/>
              <c:y val="0.15022346165062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11871"/>
        <c:crosses val="autoZero"/>
        <c:crossBetween val="between"/>
      </c:valAx>
      <c:spPr>
        <a:noFill/>
        <a:ln>
          <a:solidFill>
            <a:schemeClr val="tx1"/>
          </a:solidFill>
        </a:ln>
        <a:effectLst/>
      </c:spPr>
    </c:plotArea>
    <c:legend>
      <c:legendPos val="b"/>
      <c:layout>
        <c:manualLayout>
          <c:xMode val="edge"/>
          <c:yMode val="edge"/>
          <c:x val="0.30106933508311462"/>
          <c:y val="0.89409667541557303"/>
          <c:w val="0.44230555555555551"/>
          <c:h val="6.886628754738992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Revanasidda Aidbhavi</dc:creator>
  <cp:keywords/>
  <dc:description/>
  <cp:lastModifiedBy>SDI 1084</cp:lastModifiedBy>
  <cp:revision>9</cp:revision>
  <dcterms:created xsi:type="dcterms:W3CDTF">2025-10-31T09:15:00Z</dcterms:created>
  <dcterms:modified xsi:type="dcterms:W3CDTF">2025-10-31T12:35:00Z</dcterms:modified>
</cp:coreProperties>
</file>