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E8B51" w14:textId="77777777" w:rsidR="00754C9A" w:rsidRDefault="00754C9A" w:rsidP="00441B6F">
      <w:pPr>
        <w:pStyle w:val="Title"/>
        <w:spacing w:after="0"/>
        <w:jc w:val="both"/>
        <w:rPr>
          <w:rFonts w:ascii="Arial" w:hAnsi="Arial" w:cs="Arial"/>
        </w:rPr>
      </w:pPr>
    </w:p>
    <w:p w14:paraId="15A82A4B" w14:textId="7CDE7831" w:rsidR="00F5519B" w:rsidRPr="00F5519B" w:rsidRDefault="00F5519B" w:rsidP="00F5519B">
      <w:pPr>
        <w:spacing w:after="240"/>
        <w:jc w:val="both"/>
        <w:rPr>
          <w:rFonts w:ascii="Arial" w:hAnsi="Arial" w:cs="Arial"/>
          <w:b/>
          <w:bCs/>
          <w:sz w:val="36"/>
          <w:szCs w:val="36"/>
          <w:lang w:eastAsia="en-IN"/>
        </w:rPr>
      </w:pPr>
      <w:r w:rsidRPr="00F5519B">
        <w:rPr>
          <w:rFonts w:ascii="Arial" w:hAnsi="Arial" w:cs="Arial"/>
          <w:b/>
          <w:bCs/>
          <w:sz w:val="36"/>
          <w:szCs w:val="36"/>
          <w:lang w:eastAsia="en-IN"/>
        </w:rPr>
        <w:t>FORMULATION AND EVALUATION OF Β-CYCLODEXTRIN INCLUSION COMPLEXES OF DOLUTEGRAVIR SODIUM FOR SOLUBILITY ENHANCEMENT</w:t>
      </w:r>
    </w:p>
    <w:p w14:paraId="784C2A33" w14:textId="7FC454FE" w:rsidR="00F5519B" w:rsidRPr="00F5519B" w:rsidRDefault="00F5519B" w:rsidP="00F5519B">
      <w:pPr>
        <w:jc w:val="both"/>
        <w:rPr>
          <w:rFonts w:ascii="Arial" w:hAnsi="Arial" w:cs="Arial"/>
          <w:i/>
          <w:iCs/>
          <w:sz w:val="16"/>
          <w:szCs w:val="16"/>
        </w:rPr>
      </w:pPr>
    </w:p>
    <w:p w14:paraId="01AC299C" w14:textId="4956990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9845BC" w14:textId="77777777" w:rsidTr="001E44FE">
        <w:tc>
          <w:tcPr>
            <w:tcW w:w="9576" w:type="dxa"/>
            <w:shd w:val="clear" w:color="auto" w:fill="F2F2F2"/>
          </w:tcPr>
          <w:p w14:paraId="44889345" w14:textId="4909C0DD" w:rsidR="000739D9" w:rsidRPr="000739D9" w:rsidRDefault="000739D9" w:rsidP="000739D9">
            <w:pPr>
              <w:pStyle w:val="Body"/>
              <w:spacing w:after="0"/>
              <w:jc w:val="left"/>
              <w:rPr>
                <w:rFonts w:ascii="Arial" w:eastAsia="Calibri" w:hAnsi="Arial" w:cs="Arial"/>
                <w:sz w:val="22"/>
                <w:szCs w:val="22"/>
                <w:lang w:val="en-IN"/>
              </w:rPr>
            </w:pPr>
            <w:r w:rsidRPr="000739D9">
              <w:rPr>
                <w:rFonts w:ascii="Arial" w:eastAsia="Calibri" w:hAnsi="Arial" w:cs="Arial"/>
                <w:b/>
                <w:bCs/>
                <w:sz w:val="22"/>
                <w:szCs w:val="22"/>
                <w:lang w:val="en-IN"/>
              </w:rPr>
              <w:t>Background:</w:t>
            </w:r>
            <w:r w:rsidRPr="000739D9">
              <w:rPr>
                <w:rFonts w:ascii="Arial" w:eastAsia="Calibri" w:hAnsi="Arial" w:cs="Arial"/>
                <w:b/>
                <w:bCs/>
                <w:sz w:val="22"/>
                <w:szCs w:val="22"/>
                <w:lang w:val="en-IN"/>
              </w:rPr>
              <w:br/>
            </w:r>
            <w:r w:rsidRPr="000739D9">
              <w:rPr>
                <w:rFonts w:ascii="Arial" w:eastAsia="Calibri" w:hAnsi="Arial" w:cs="Arial"/>
                <w:sz w:val="22"/>
                <w:szCs w:val="22"/>
                <w:lang w:val="en-IN"/>
              </w:rPr>
              <w:t xml:space="preserve">Dolutegravir sodium, a second-generation integrase strand transfer inhibitor used in the treatment of HIV, exhibits high permeability but poor aqueous solubility, </w:t>
            </w:r>
            <w:r w:rsidR="00936B1F">
              <w:rPr>
                <w:rFonts w:ascii="Arial" w:eastAsia="Calibri" w:hAnsi="Arial" w:cs="Arial"/>
                <w:sz w:val="22"/>
                <w:szCs w:val="22"/>
                <w:lang w:val="en-IN"/>
              </w:rPr>
              <w:t>thereby classifying it as a BCS Class II compound</w:t>
            </w:r>
            <w:r w:rsidRPr="000739D9">
              <w:rPr>
                <w:rFonts w:ascii="Arial" w:eastAsia="Calibri" w:hAnsi="Arial" w:cs="Arial"/>
                <w:sz w:val="22"/>
                <w:szCs w:val="22"/>
                <w:lang w:val="en-IN"/>
              </w:rPr>
              <w:t xml:space="preserve">. Poor solubility limits its oral bioavailability, necessitating </w:t>
            </w:r>
            <w:r w:rsidR="00936B1F">
              <w:rPr>
                <w:rFonts w:ascii="Arial" w:eastAsia="Calibri" w:hAnsi="Arial" w:cs="Arial"/>
                <w:sz w:val="22"/>
                <w:szCs w:val="22"/>
                <w:lang w:val="en-IN"/>
              </w:rPr>
              <w:t xml:space="preserve">the development of </w:t>
            </w:r>
            <w:r w:rsidRPr="000739D9">
              <w:rPr>
                <w:rFonts w:ascii="Arial" w:eastAsia="Calibri" w:hAnsi="Arial" w:cs="Arial"/>
                <w:sz w:val="22"/>
                <w:szCs w:val="22"/>
                <w:lang w:val="en-IN"/>
              </w:rPr>
              <w:t>formulation strategies to enhance dissolution and absorption.</w:t>
            </w:r>
          </w:p>
          <w:p w14:paraId="4686A6E4" w14:textId="77777777" w:rsidR="000739D9" w:rsidRPr="000739D9" w:rsidRDefault="000739D9" w:rsidP="000739D9">
            <w:pPr>
              <w:pStyle w:val="Body"/>
              <w:spacing w:after="0"/>
              <w:jc w:val="left"/>
              <w:rPr>
                <w:rFonts w:ascii="Arial" w:eastAsia="Calibri" w:hAnsi="Arial" w:cs="Arial"/>
                <w:sz w:val="22"/>
                <w:szCs w:val="22"/>
                <w:lang w:val="en-IN"/>
              </w:rPr>
            </w:pPr>
            <w:r w:rsidRPr="000739D9">
              <w:rPr>
                <w:rFonts w:ascii="Arial" w:eastAsia="Calibri" w:hAnsi="Arial" w:cs="Arial"/>
                <w:sz w:val="22"/>
                <w:szCs w:val="22"/>
                <w:lang w:val="en-IN"/>
              </w:rPr>
              <w:t>Objective:</w:t>
            </w:r>
            <w:r w:rsidRPr="000739D9">
              <w:rPr>
                <w:rFonts w:ascii="Arial" w:eastAsia="Calibri" w:hAnsi="Arial" w:cs="Arial"/>
                <w:sz w:val="22"/>
                <w:szCs w:val="22"/>
                <w:lang w:val="en-IN"/>
              </w:rPr>
              <w:br/>
              <w:t>The present study aimed to enhance the solubility and dissolution rate of Dolutegravir sodium through the formation of β-cyclodextrin</w:t>
            </w:r>
            <w:bookmarkStart w:id="0" w:name="_GoBack"/>
            <w:bookmarkEnd w:id="0"/>
            <w:r w:rsidRPr="000739D9">
              <w:rPr>
                <w:rFonts w:ascii="Arial" w:eastAsia="Calibri" w:hAnsi="Arial" w:cs="Arial"/>
                <w:sz w:val="22"/>
                <w:szCs w:val="22"/>
                <w:lang w:val="en-IN"/>
              </w:rPr>
              <w:t xml:space="preserve"> inclusion complexes and to evaluate the physicochemical and pharmaceutical properties of the prepared complexes and tablets.</w:t>
            </w:r>
          </w:p>
          <w:p w14:paraId="36BD5717" w14:textId="77777777" w:rsidR="000739D9" w:rsidRPr="000739D9" w:rsidRDefault="000739D9" w:rsidP="000739D9">
            <w:pPr>
              <w:pStyle w:val="Body"/>
              <w:spacing w:after="0"/>
              <w:jc w:val="left"/>
              <w:rPr>
                <w:rFonts w:ascii="Arial" w:eastAsia="Calibri" w:hAnsi="Arial" w:cs="Arial"/>
                <w:sz w:val="22"/>
                <w:szCs w:val="22"/>
                <w:lang w:val="en-IN"/>
              </w:rPr>
            </w:pPr>
            <w:r w:rsidRPr="000739D9">
              <w:rPr>
                <w:rFonts w:ascii="Arial" w:eastAsia="Calibri" w:hAnsi="Arial" w:cs="Arial"/>
                <w:sz w:val="22"/>
                <w:szCs w:val="22"/>
                <w:lang w:val="en-IN"/>
              </w:rPr>
              <w:t>Methods:</w:t>
            </w:r>
            <w:r w:rsidRPr="000739D9">
              <w:rPr>
                <w:rFonts w:ascii="Arial" w:eastAsia="Calibri" w:hAnsi="Arial" w:cs="Arial"/>
                <w:sz w:val="22"/>
                <w:szCs w:val="22"/>
                <w:lang w:val="en-IN"/>
              </w:rPr>
              <w:br/>
              <w:t>Phase solubility studies were performed following the Higuchi and Connors method to determine the stoichiometry of complexation. Inclusion complexes were prepared using the kneading technique and characterized by FTIR, DSC, XRD, drug content analysis, and in vitro dissolution studies. Tablets were formulated using the direct compression method with spray-dried lactose as a diluent. Stability studies were conducted under ambient and accelerated conditions for two months.</w:t>
            </w:r>
          </w:p>
          <w:p w14:paraId="18C2D42A" w14:textId="77777777" w:rsidR="000739D9" w:rsidRPr="000739D9" w:rsidRDefault="000739D9" w:rsidP="000739D9">
            <w:pPr>
              <w:pStyle w:val="Body"/>
              <w:spacing w:after="0"/>
              <w:jc w:val="left"/>
              <w:rPr>
                <w:rFonts w:ascii="Arial" w:eastAsia="Calibri" w:hAnsi="Arial" w:cs="Arial"/>
                <w:sz w:val="22"/>
                <w:szCs w:val="22"/>
                <w:lang w:val="en-IN"/>
              </w:rPr>
            </w:pPr>
            <w:r w:rsidRPr="000739D9">
              <w:rPr>
                <w:rFonts w:ascii="Arial" w:eastAsia="Calibri" w:hAnsi="Arial" w:cs="Arial"/>
                <w:sz w:val="22"/>
                <w:szCs w:val="22"/>
                <w:lang w:val="en-IN"/>
              </w:rPr>
              <w:t>Results:</w:t>
            </w:r>
            <w:r w:rsidRPr="000739D9">
              <w:rPr>
                <w:rFonts w:ascii="Arial" w:eastAsia="Calibri" w:hAnsi="Arial" w:cs="Arial"/>
                <w:sz w:val="22"/>
                <w:szCs w:val="22"/>
                <w:lang w:val="en-IN"/>
              </w:rPr>
              <w:br/>
              <w:t>FTIR analysis confirmed the absence of chemical interactions between the drug and β-cyclodextrin, indicating compatibility. Phase solubility analysis revealed a 1:1 drug-to-β-cyclodextrin complex formation with a solubility enhancement ratio ranging from 1 to 4. DSC and XRD studies confirmed inclusion complex formation and the transformation of the drug into an amorphous form. The optimized formulation (F5) showed superior drug release—30.70%–38.57% at pH 1.2 and 88.58%–98.60% at pH 6.8—outperforming the marketed formulation. The prepared tablets exhibited excellent flow and compressibility, and stability studies demonstrated no significant change in drug content or dissolution profile.</w:t>
            </w:r>
          </w:p>
          <w:p w14:paraId="05521BB0" w14:textId="77777777" w:rsidR="000739D9" w:rsidRPr="000739D9" w:rsidRDefault="000739D9" w:rsidP="000739D9">
            <w:pPr>
              <w:pStyle w:val="Body"/>
              <w:spacing w:after="0"/>
              <w:jc w:val="left"/>
              <w:rPr>
                <w:rFonts w:ascii="Arial" w:eastAsia="Calibri" w:hAnsi="Arial" w:cs="Arial"/>
                <w:sz w:val="22"/>
                <w:szCs w:val="22"/>
                <w:lang w:val="en-IN"/>
              </w:rPr>
            </w:pPr>
            <w:r w:rsidRPr="000739D9">
              <w:rPr>
                <w:rFonts w:ascii="Arial" w:eastAsia="Calibri" w:hAnsi="Arial" w:cs="Arial"/>
                <w:sz w:val="22"/>
                <w:szCs w:val="22"/>
                <w:lang w:val="en-IN"/>
              </w:rPr>
              <w:t>Conclusion:</w:t>
            </w:r>
            <w:r w:rsidRPr="000739D9">
              <w:rPr>
                <w:rFonts w:ascii="Arial" w:eastAsia="Calibri" w:hAnsi="Arial" w:cs="Arial"/>
                <w:sz w:val="22"/>
                <w:szCs w:val="22"/>
                <w:lang w:val="en-IN"/>
              </w:rPr>
              <w:br/>
              <w:t>The study concludes that inclusion complexation of Dolutegravir sodium with β-cyclodextrin effectively enhances its solubility and dissolution rate, thereby potentially improving its oral bioavailability. The optimized formulation (F5) demonstrated stability and superior performance compared to the marketed product, making it a promising approach for improving the therapeutic efficacy of Dolutegravir sodium.</w:t>
            </w:r>
          </w:p>
          <w:p w14:paraId="73CBA57B" w14:textId="336CF008" w:rsidR="00505F06" w:rsidRPr="00BA1B01" w:rsidRDefault="00505F06" w:rsidP="00441B6F">
            <w:pPr>
              <w:pStyle w:val="Body"/>
              <w:spacing w:after="0"/>
              <w:rPr>
                <w:rFonts w:ascii="Arial" w:eastAsia="Calibri" w:hAnsi="Arial" w:cs="Arial"/>
                <w:szCs w:val="22"/>
              </w:rPr>
            </w:pPr>
          </w:p>
        </w:tc>
      </w:tr>
    </w:tbl>
    <w:p w14:paraId="7AB8266B" w14:textId="77777777" w:rsidR="00636EB2" w:rsidRDefault="00636EB2" w:rsidP="00441B6F">
      <w:pPr>
        <w:pStyle w:val="Body"/>
        <w:spacing w:after="0"/>
        <w:rPr>
          <w:rFonts w:ascii="Arial" w:hAnsi="Arial" w:cs="Arial"/>
          <w:i/>
        </w:rPr>
      </w:pPr>
    </w:p>
    <w:p w14:paraId="218C74A0" w14:textId="77777777" w:rsidR="000739D9" w:rsidRPr="000739D9" w:rsidRDefault="00A24E7E" w:rsidP="000739D9">
      <w:pPr>
        <w:pStyle w:val="Body"/>
        <w:spacing w:after="0"/>
        <w:jc w:val="left"/>
        <w:rPr>
          <w:rFonts w:ascii="Arial" w:hAnsi="Arial" w:cs="Arial"/>
          <w:i/>
          <w:color w:val="000000"/>
          <w:lang w:eastAsia="en-IN"/>
        </w:rPr>
      </w:pPr>
      <w:r w:rsidRPr="000739D9">
        <w:rPr>
          <w:rFonts w:ascii="Arial" w:hAnsi="Arial" w:cs="Arial"/>
          <w:i/>
        </w:rPr>
        <w:lastRenderedPageBreak/>
        <w:t xml:space="preserve">Keywords: </w:t>
      </w:r>
      <w:r w:rsidR="000739D9" w:rsidRPr="000739D9">
        <w:rPr>
          <w:rFonts w:ascii="Arial" w:hAnsi="Arial" w:cs="Arial"/>
          <w:bCs/>
          <w:i/>
          <w:color w:val="000000"/>
          <w:lang w:eastAsia="en-IN"/>
        </w:rPr>
        <w:t>Dolutegravir Sodium</w:t>
      </w:r>
      <w:r w:rsidR="000739D9" w:rsidRPr="000739D9">
        <w:rPr>
          <w:rFonts w:ascii="Arial" w:hAnsi="Arial" w:cs="Arial"/>
          <w:i/>
          <w:color w:val="000000"/>
          <w:lang w:eastAsia="en-IN"/>
        </w:rPr>
        <w:t>, β-cyclodextrin, Solubility Enhancement, Kneading Method, Inclusion Complex</w:t>
      </w:r>
    </w:p>
    <w:p w14:paraId="22205CB2" w14:textId="77777777" w:rsidR="0024282C" w:rsidRDefault="0024282C" w:rsidP="00441B6F">
      <w:pPr>
        <w:pStyle w:val="Body"/>
        <w:spacing w:after="0"/>
        <w:rPr>
          <w:rFonts w:ascii="Arial" w:hAnsi="Arial" w:cs="Arial"/>
          <w:i/>
          <w:sz w:val="18"/>
        </w:rPr>
      </w:pPr>
    </w:p>
    <w:p w14:paraId="4E90D2E2" w14:textId="77777777" w:rsidR="00505F06" w:rsidRPr="00A24E7E" w:rsidRDefault="00505F06" w:rsidP="00441B6F">
      <w:pPr>
        <w:pStyle w:val="Body"/>
        <w:spacing w:after="0"/>
        <w:rPr>
          <w:rFonts w:ascii="Arial" w:hAnsi="Arial" w:cs="Arial"/>
          <w:i/>
        </w:rPr>
      </w:pPr>
    </w:p>
    <w:p w14:paraId="24F7071D" w14:textId="775867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D3C5AB" w14:textId="7706709C" w:rsidR="00790ADA" w:rsidRPr="00A96C9B" w:rsidRDefault="00865544" w:rsidP="00A96C9B">
      <w:pPr>
        <w:spacing w:line="360" w:lineRule="auto"/>
        <w:jc w:val="both"/>
        <w:rPr>
          <w:rFonts w:ascii="Arial" w:hAnsi="Arial" w:cs="Arial"/>
          <w:lang w:val="en-IN" w:eastAsia="en-IN"/>
        </w:rPr>
      </w:pPr>
      <w:r w:rsidRPr="00865544">
        <w:rPr>
          <w:rFonts w:ascii="Arial" w:hAnsi="Arial" w:cs="Arial"/>
          <w:lang w:eastAsia="en-IN"/>
        </w:rPr>
        <w:t xml:space="preserve">Due to its ease of administration and numerous benefits over other dosage forms, such as ease of manufacture, dose precision, and stability, oral medication is currently the most widely used method of drug administration. These days, most newly created drugs that are poorly soluble in water have problems with absorption that cause toxicity and could keep them off the market. The scientists are trying several approaches to improve the dissolution rate of poorly water-soluble compounds like salt precipitation, co-crystallization, co-solvency, </w:t>
      </w:r>
      <w:proofErr w:type="spellStart"/>
      <w:r w:rsidRPr="00865544">
        <w:rPr>
          <w:rFonts w:ascii="Arial" w:hAnsi="Arial" w:cs="Arial"/>
          <w:lang w:eastAsia="en-IN"/>
        </w:rPr>
        <w:t>hydrotropy</w:t>
      </w:r>
      <w:proofErr w:type="spellEnd"/>
      <w:r w:rsidRPr="00865544">
        <w:rPr>
          <w:rFonts w:ascii="Arial" w:hAnsi="Arial" w:cs="Arial"/>
          <w:lang w:eastAsia="en-IN"/>
        </w:rPr>
        <w:t xml:space="preserve">, innovative solubilizer employment, nanotechnology and physical changes like microencapsulation, </w:t>
      </w:r>
      <w:proofErr w:type="spellStart"/>
      <w:r w:rsidRPr="00865544">
        <w:rPr>
          <w:rFonts w:ascii="Arial" w:hAnsi="Arial" w:cs="Arial"/>
          <w:lang w:eastAsia="en-IN"/>
        </w:rPr>
        <w:t>micronization</w:t>
      </w:r>
      <w:proofErr w:type="spellEnd"/>
      <w:r w:rsidRPr="00865544">
        <w:rPr>
          <w:rFonts w:ascii="Arial" w:hAnsi="Arial" w:cs="Arial"/>
          <w:lang w:eastAsia="en-IN"/>
        </w:rPr>
        <w:t xml:space="preserve">, Nano-suspension, polymorphs, complex formation, </w:t>
      </w:r>
      <w:proofErr w:type="spellStart"/>
      <w:r w:rsidRPr="00865544">
        <w:rPr>
          <w:rFonts w:ascii="Arial" w:hAnsi="Arial" w:cs="Arial"/>
          <w:lang w:eastAsia="en-IN"/>
        </w:rPr>
        <w:t>lyophilisation</w:t>
      </w:r>
      <w:proofErr w:type="spellEnd"/>
      <w:r w:rsidRPr="00865544">
        <w:rPr>
          <w:rFonts w:ascii="Arial" w:hAnsi="Arial" w:cs="Arial"/>
          <w:lang w:eastAsia="en-IN"/>
        </w:rPr>
        <w:t xml:space="preserve"> /freeze-drying process, </w:t>
      </w:r>
      <w:r w:rsidR="00E74855">
        <w:rPr>
          <w:rFonts w:ascii="Arial" w:hAnsi="Arial" w:cs="Arial"/>
          <w:lang w:eastAsia="en-IN"/>
        </w:rPr>
        <w:t>micro-emulsions</w:t>
      </w:r>
      <w:r w:rsidRPr="00865544">
        <w:rPr>
          <w:rFonts w:ascii="Arial" w:hAnsi="Arial" w:cs="Arial"/>
          <w:lang w:eastAsia="en-IN"/>
        </w:rPr>
        <w:t>, self-micro-emulsifying controlled drug release, and drug dispersion in crystalline solids and solid dispersions.</w:t>
      </w:r>
      <w:r w:rsidR="00F834BB">
        <w:rPr>
          <w:rFonts w:ascii="Arial" w:hAnsi="Arial" w:cs="Arial"/>
          <w:lang w:eastAsia="en-IN"/>
        </w:rPr>
        <w:t xml:space="preserve"> </w:t>
      </w:r>
      <w:r w:rsidR="00F834BB" w:rsidRPr="00F834BB">
        <w:rPr>
          <w:rFonts w:ascii="Arial" w:hAnsi="Arial" w:cs="Arial"/>
          <w:lang w:val="en-IN" w:eastAsia="en-IN"/>
        </w:rPr>
        <w:t>(Nupur et al., 2023)</w:t>
      </w:r>
      <w:r w:rsidR="00F834BB">
        <w:rPr>
          <w:rFonts w:ascii="Arial" w:hAnsi="Arial" w:cs="Arial"/>
          <w:lang w:val="en-IN" w:eastAsia="en-IN"/>
        </w:rPr>
        <w:t xml:space="preserve"> </w:t>
      </w:r>
      <w:r w:rsidR="00F834BB" w:rsidRPr="00F834BB">
        <w:rPr>
          <w:rFonts w:ascii="Arial" w:hAnsi="Arial" w:cs="Arial"/>
          <w:lang w:val="en-IN" w:eastAsia="en-IN"/>
        </w:rPr>
        <w:t>(</w:t>
      </w:r>
      <w:proofErr w:type="spellStart"/>
      <w:r w:rsidR="00F834BB" w:rsidRPr="00F834BB">
        <w:rPr>
          <w:rFonts w:ascii="Arial" w:hAnsi="Arial" w:cs="Arial"/>
          <w:lang w:val="en-IN" w:eastAsia="en-IN"/>
        </w:rPr>
        <w:t>Pouton</w:t>
      </w:r>
      <w:proofErr w:type="spellEnd"/>
      <w:r w:rsidR="00F834BB" w:rsidRPr="00F834BB">
        <w:rPr>
          <w:rFonts w:ascii="Arial" w:hAnsi="Arial" w:cs="Arial"/>
          <w:lang w:val="en-IN" w:eastAsia="en-IN"/>
        </w:rPr>
        <w:t>, 2006)</w:t>
      </w:r>
      <w:r w:rsidR="00F834BB">
        <w:rPr>
          <w:rFonts w:ascii="Arial" w:hAnsi="Arial" w:cs="Arial"/>
          <w:lang w:val="en-IN" w:eastAsia="en-IN"/>
        </w:rPr>
        <w:t xml:space="preserve"> </w:t>
      </w:r>
      <w:r w:rsidRPr="00865544">
        <w:rPr>
          <w:rFonts w:ascii="Arial" w:hAnsi="Arial" w:cs="Arial"/>
          <w:lang w:eastAsia="en-IN"/>
        </w:rPr>
        <w:t xml:space="preserve">β-Cyclodextrin is a sugar ring molecule with seven members. These are cyclic oligosaccharides with a hydrophilic outer surface and a lipophilic core cavity. Out of the three parent cyclodextrins, β-cyclodextrin (βCD) appears most useful as a pharmaceutical complexing agent because of its complexing ability, low cost and other </w:t>
      </w:r>
      <w:proofErr w:type="gramStart"/>
      <w:r w:rsidRPr="00865544">
        <w:rPr>
          <w:rFonts w:ascii="Arial" w:hAnsi="Arial" w:cs="Arial"/>
          <w:lang w:eastAsia="en-IN"/>
        </w:rPr>
        <w:t>propertie</w:t>
      </w:r>
      <w:r w:rsidR="00F834BB">
        <w:rPr>
          <w:rFonts w:ascii="Arial" w:hAnsi="Arial" w:cs="Arial"/>
          <w:lang w:eastAsia="en-IN"/>
        </w:rPr>
        <w:t>s.</w:t>
      </w:r>
      <w:r w:rsidR="00F834BB" w:rsidRPr="00F834BB">
        <w:rPr>
          <w:rFonts w:ascii="Arial" w:hAnsi="Arial" w:cs="Arial"/>
          <w:lang w:eastAsia="en-IN"/>
        </w:rPr>
        <w:t>(</w:t>
      </w:r>
      <w:proofErr w:type="gramEnd"/>
      <w:r w:rsidR="00F834BB" w:rsidRPr="00F834BB">
        <w:rPr>
          <w:rFonts w:ascii="Arial" w:hAnsi="Arial" w:cs="Arial"/>
          <w:lang w:eastAsia="en-IN"/>
        </w:rPr>
        <w:t>Strickley, 2004)</w:t>
      </w:r>
      <w:r w:rsidR="00F834BB">
        <w:rPr>
          <w:rFonts w:ascii="Arial" w:hAnsi="Arial" w:cs="Arial"/>
          <w:lang w:eastAsia="en-IN"/>
        </w:rPr>
        <w:t xml:space="preserve"> </w:t>
      </w:r>
      <w:r w:rsidRPr="00865544">
        <w:rPr>
          <w:rFonts w:ascii="Arial" w:hAnsi="Arial" w:cs="Arial"/>
          <w:lang w:eastAsia="en-IN"/>
        </w:rPr>
        <w:t>Dolutegravir Sodium is a second-generation integrase strand transferase inhibitor that blocks HIV viral DNA integration into host DNA, which is a necessary stage in viral reproduction. The postulated mechanism of action is the potential of Dolutegravir to precipitate enzyme-linked cations, limiting viral DNA insertion in the host gene. It has a bioavailability of 34%, its 14 hours is the half-life.  The medications in BCS II exhibit high permeability and low water solubility</w:t>
      </w:r>
      <w:r w:rsidRPr="00865544">
        <w:rPr>
          <w:rFonts w:ascii="Arial" w:hAnsi="Arial" w:cs="Arial"/>
          <w:vertAlign w:val="superscript"/>
          <w:lang w:eastAsia="en-IN"/>
        </w:rPr>
        <w:t>.</w:t>
      </w:r>
      <w:r w:rsidR="00F834BB">
        <w:t>(Khatri et al., 2022)</w:t>
      </w:r>
      <w:r w:rsidRPr="00865544">
        <w:rPr>
          <w:rFonts w:ascii="Arial" w:hAnsi="Arial" w:cs="Arial"/>
          <w:lang w:eastAsia="en-IN"/>
        </w:rPr>
        <w:t xml:space="preserve"> Solubility has a major impact on therapeutic efficacy, and the dissociation constant, pH, and buffer capacity of the gastrointestinal fluid all affect the drug dissolution profile</w:t>
      </w:r>
      <w:r w:rsidR="00F834BB">
        <w:rPr>
          <w:rFonts w:ascii="Arial" w:hAnsi="Arial" w:cs="Arial"/>
          <w:lang w:eastAsia="en-IN"/>
        </w:rPr>
        <w:t>.</w:t>
      </w:r>
      <w:r w:rsidR="00F834BB" w:rsidRPr="00F834BB">
        <w:rPr>
          <w:rFonts w:ascii="Arial" w:hAnsi="Arial" w:cs="Arial"/>
          <w:lang w:eastAsia="en-IN"/>
        </w:rPr>
        <w:t>(Li et al., 2017)</w:t>
      </w:r>
      <w:r w:rsidRPr="00865544">
        <w:rPr>
          <w:rFonts w:ascii="Arial" w:hAnsi="Arial" w:cs="Arial"/>
          <w:lang w:eastAsia="en-IN"/>
        </w:rPr>
        <w:t xml:space="preserve"> Since dolutegravir has a mildly acidic </w:t>
      </w:r>
      <w:proofErr w:type="spellStart"/>
      <w:r w:rsidRPr="00865544">
        <w:rPr>
          <w:rFonts w:ascii="Arial" w:hAnsi="Arial" w:cs="Arial"/>
          <w:lang w:eastAsia="en-IN"/>
        </w:rPr>
        <w:t>pKa</w:t>
      </w:r>
      <w:proofErr w:type="spellEnd"/>
      <w:r w:rsidRPr="00865544">
        <w:rPr>
          <w:rFonts w:ascii="Arial" w:hAnsi="Arial" w:cs="Arial"/>
          <w:lang w:eastAsia="en-IN"/>
        </w:rPr>
        <w:t xml:space="preserve"> of 8.2 to 10.1, it mostly stays in a </w:t>
      </w:r>
      <w:proofErr w:type="spellStart"/>
      <w:r w:rsidR="00F834BB">
        <w:rPr>
          <w:rFonts w:ascii="Arial" w:hAnsi="Arial" w:cs="Arial"/>
          <w:lang w:eastAsia="en-IN"/>
        </w:rPr>
        <w:t>unionised</w:t>
      </w:r>
      <w:proofErr w:type="spellEnd"/>
      <w:r w:rsidRPr="00865544">
        <w:rPr>
          <w:rFonts w:ascii="Arial" w:hAnsi="Arial" w:cs="Arial"/>
          <w:lang w:eastAsia="en-IN"/>
        </w:rPr>
        <w:t xml:space="preserve"> state and is hence poorly soluble throughout the gastrointestinal tract (GIT).Dolutegravir is the perfect compound to create solid dispersions because of all the physicochemical characteristics listed above. Therefore, the goal of this study is to improve the solubility and bioavailability of dolutegravir sodium by using β-cyclodextrin inclusion complexes.</w:t>
      </w:r>
    </w:p>
    <w:p w14:paraId="4530544E" w14:textId="17B03512" w:rsidR="00790ADA" w:rsidRDefault="00902823" w:rsidP="00321C32">
      <w:pPr>
        <w:pStyle w:val="AbstHead"/>
        <w:spacing w:after="0"/>
        <w:jc w:val="both"/>
        <w:rPr>
          <w:rFonts w:ascii="Arial" w:hAnsi="Arial" w:cs="Arial"/>
        </w:rPr>
      </w:pPr>
      <w:r>
        <w:rPr>
          <w:rFonts w:ascii="Arial" w:hAnsi="Arial" w:cs="Arial"/>
        </w:rPr>
        <w:t xml:space="preserve">2. </w:t>
      </w:r>
      <w:r w:rsidR="00321C32">
        <w:rPr>
          <w:rFonts w:ascii="Arial" w:hAnsi="Arial" w:cs="Arial"/>
        </w:rPr>
        <w:t>Materials</w:t>
      </w:r>
      <w:r>
        <w:rPr>
          <w:rFonts w:ascii="Arial" w:hAnsi="Arial" w:cs="Arial"/>
        </w:rPr>
        <w:t xml:space="preserve"> and </w:t>
      </w:r>
      <w:r w:rsidR="00321C32">
        <w:rPr>
          <w:rFonts w:ascii="Arial" w:hAnsi="Arial" w:cs="Arial"/>
        </w:rPr>
        <w:t>Methods</w:t>
      </w:r>
      <w:r w:rsidR="00000F8F">
        <w:rPr>
          <w:rFonts w:ascii="Arial" w:hAnsi="Arial" w:cs="Arial"/>
        </w:rPr>
        <w:t xml:space="preserve"> </w:t>
      </w:r>
    </w:p>
    <w:p w14:paraId="0CC8E7BA" w14:textId="77777777" w:rsidR="00321C32" w:rsidRDefault="00321C32" w:rsidP="00321C32">
      <w:pPr>
        <w:spacing w:line="360" w:lineRule="auto"/>
        <w:ind w:right="1440"/>
        <w:jc w:val="both"/>
        <w:rPr>
          <w:rFonts w:ascii="Arial" w:hAnsi="Arial" w:cs="Arial"/>
          <w:b/>
          <w:color w:val="000000"/>
          <w:sz w:val="22"/>
          <w:szCs w:val="22"/>
          <w:lang w:val="en-IN" w:eastAsia="en-IN"/>
        </w:rPr>
      </w:pPr>
      <w:r w:rsidRPr="00321C32">
        <w:rPr>
          <w:rFonts w:ascii="Arial" w:hAnsi="Arial" w:cs="Arial"/>
          <w:b/>
          <w:color w:val="000000"/>
          <w:sz w:val="22"/>
          <w:szCs w:val="22"/>
          <w:lang w:val="en-IN" w:eastAsia="en-IN"/>
        </w:rPr>
        <w:t>Materials</w:t>
      </w:r>
    </w:p>
    <w:p w14:paraId="791ABDA9" w14:textId="3A2FBD4C" w:rsidR="00CC109E" w:rsidRDefault="00321C32" w:rsidP="00A17F81">
      <w:pPr>
        <w:spacing w:line="360" w:lineRule="auto"/>
        <w:ind w:right="128"/>
        <w:jc w:val="both"/>
        <w:rPr>
          <w:rFonts w:ascii="Arial" w:hAnsi="Arial" w:cs="Arial"/>
          <w:color w:val="000000"/>
          <w:lang w:eastAsia="en-IN"/>
        </w:rPr>
      </w:pPr>
      <w:r w:rsidRPr="00321C32">
        <w:rPr>
          <w:rFonts w:ascii="Arial" w:hAnsi="Arial" w:cs="Arial"/>
          <w:color w:val="000000"/>
          <w:lang w:eastAsia="en-IN"/>
        </w:rPr>
        <w:t xml:space="preserve">Dolutegravir sodium was gifted from Hetero Labs Ltd., Telangana, beta cyclodextrin was gifted from JPM Pharma, Mumbai. All the other chemicals used for the study were purchased from Burgoyne </w:t>
      </w:r>
      <w:proofErr w:type="spellStart"/>
      <w:r w:rsidRPr="00321C32">
        <w:rPr>
          <w:rFonts w:ascii="Arial" w:hAnsi="Arial" w:cs="Arial"/>
          <w:color w:val="000000"/>
          <w:lang w:eastAsia="en-IN"/>
        </w:rPr>
        <w:t>Burbidges</w:t>
      </w:r>
      <w:proofErr w:type="spellEnd"/>
      <w:r w:rsidRPr="00321C32">
        <w:rPr>
          <w:rFonts w:ascii="Arial" w:hAnsi="Arial" w:cs="Arial"/>
          <w:color w:val="000000"/>
          <w:lang w:eastAsia="en-IN"/>
        </w:rPr>
        <w:t xml:space="preserve"> and </w:t>
      </w:r>
      <w:r w:rsidR="00D26203">
        <w:rPr>
          <w:rFonts w:ascii="Arial" w:hAnsi="Arial" w:cs="Arial"/>
          <w:color w:val="000000"/>
          <w:lang w:eastAsia="en-IN"/>
        </w:rPr>
        <w:t>Co.</w:t>
      </w:r>
      <w:r w:rsidRPr="00321C32">
        <w:rPr>
          <w:rFonts w:ascii="Arial" w:hAnsi="Arial" w:cs="Arial"/>
          <w:color w:val="000000"/>
          <w:lang w:eastAsia="en-IN"/>
        </w:rPr>
        <w:t>, Mumbai</w:t>
      </w:r>
      <w:r w:rsidR="00CC109E">
        <w:rPr>
          <w:rFonts w:ascii="Arial" w:hAnsi="Arial" w:cs="Arial"/>
          <w:color w:val="000000"/>
          <w:lang w:eastAsia="en-IN"/>
        </w:rPr>
        <w:t>.</w:t>
      </w:r>
    </w:p>
    <w:p w14:paraId="68D7AA18" w14:textId="39F71F86" w:rsidR="00321C32" w:rsidRPr="00CC109E" w:rsidRDefault="00CC109E" w:rsidP="00321C32">
      <w:pPr>
        <w:spacing w:line="360" w:lineRule="auto"/>
        <w:ind w:right="1440"/>
        <w:jc w:val="both"/>
        <w:rPr>
          <w:rFonts w:ascii="Arial" w:hAnsi="Arial" w:cs="Arial"/>
          <w:b/>
          <w:bCs/>
          <w:color w:val="000000"/>
          <w:sz w:val="22"/>
          <w:szCs w:val="22"/>
          <w:lang w:val="en-IN" w:eastAsia="en-IN"/>
        </w:rPr>
      </w:pPr>
      <w:r w:rsidRPr="00CC109E">
        <w:rPr>
          <w:rFonts w:ascii="Arial" w:hAnsi="Arial" w:cs="Arial"/>
          <w:b/>
          <w:bCs/>
          <w:color w:val="000000"/>
          <w:sz w:val="22"/>
          <w:szCs w:val="22"/>
          <w:lang w:eastAsia="en-IN"/>
        </w:rPr>
        <w:lastRenderedPageBreak/>
        <w:t>Methods</w:t>
      </w:r>
      <w:r w:rsidR="00321C32" w:rsidRPr="00CC109E">
        <w:rPr>
          <w:rFonts w:ascii="Arial" w:hAnsi="Arial" w:cs="Arial"/>
          <w:b/>
          <w:bCs/>
          <w:color w:val="000000"/>
          <w:lang w:eastAsia="en-IN"/>
        </w:rPr>
        <w:t xml:space="preserve"> </w:t>
      </w:r>
    </w:p>
    <w:p w14:paraId="60392824" w14:textId="400F4409" w:rsidR="00321C32" w:rsidRDefault="00321C32" w:rsidP="008F404F">
      <w:pPr>
        <w:spacing w:line="360" w:lineRule="auto"/>
        <w:ind w:right="128"/>
        <w:jc w:val="both"/>
        <w:rPr>
          <w:rFonts w:ascii="Arial" w:hAnsi="Arial" w:cs="Arial"/>
          <w:b/>
          <w:color w:val="000000"/>
          <w:sz w:val="22"/>
          <w:szCs w:val="22"/>
          <w:lang w:val="en-IN" w:eastAsia="en-IN"/>
        </w:rPr>
      </w:pPr>
      <w:r w:rsidRPr="00321C32">
        <w:rPr>
          <w:rFonts w:ascii="Arial" w:hAnsi="Arial" w:cs="Arial"/>
          <w:b/>
          <w:lang w:eastAsia="en-IN"/>
        </w:rPr>
        <w:t xml:space="preserve">Phase Solubility Study:  </w:t>
      </w:r>
      <w:r w:rsidRPr="00321C32">
        <w:rPr>
          <w:rFonts w:ascii="Arial" w:eastAsia="SimSun" w:hAnsi="Arial" w:cs="Arial"/>
        </w:rPr>
        <w:t>Phase solubility studies were performed following the method of Higuchi and Connors. Solutions were prepared in distilled water with varying concentrations of β-CD. An excess amount of dolutegravir sodium was added to 10 ml of distilled water containing different β-CD concentrations (0, 4, 8, 12, 20 mM). The conical flasks were placed in an orbital shaker at 37</w:t>
      </w:r>
      <w:r w:rsidRPr="00321C32">
        <w:rPr>
          <w:rFonts w:ascii="Cambria Math" w:eastAsia="SimSun" w:hAnsi="Cambria Math" w:cs="Cambria Math"/>
        </w:rPr>
        <w:t>℃</w:t>
      </w:r>
      <w:r w:rsidRPr="00321C32">
        <w:rPr>
          <w:rFonts w:ascii="Arial" w:eastAsia="SimSun" w:hAnsi="Arial" w:cs="Arial"/>
        </w:rPr>
        <w:t xml:space="preserve"> and shaken for 72 hours until equilibrium was reached. The temperature of 37</w:t>
      </w:r>
      <w:r w:rsidRPr="00321C32">
        <w:rPr>
          <w:rFonts w:ascii="Cambria Math" w:eastAsia="SimSun" w:hAnsi="Cambria Math" w:cs="Cambria Math"/>
        </w:rPr>
        <w:t>℃</w:t>
      </w:r>
      <w:r w:rsidRPr="00321C32">
        <w:rPr>
          <w:rFonts w:ascii="Arial" w:eastAsia="SimSun" w:hAnsi="Arial" w:cs="Arial"/>
        </w:rPr>
        <w:t xml:space="preserve"> was chosen to enhance the complexation coefficient and simulate physiological conditions. After 72 hours, the excess Dolutegravir sodium was subjected to centrifugation at 25°C for 45 minutes. The resulting solutions were then filtered through Whatman filter paper with a pore size of 0.45 µm and </w:t>
      </w:r>
      <w:proofErr w:type="spellStart"/>
      <w:r w:rsidRPr="00321C32">
        <w:rPr>
          <w:rFonts w:ascii="Arial" w:eastAsia="SimSun" w:hAnsi="Arial" w:cs="Arial"/>
        </w:rPr>
        <w:t>analysed</w:t>
      </w:r>
      <w:proofErr w:type="spellEnd"/>
      <w:r w:rsidRPr="00321C32">
        <w:rPr>
          <w:rFonts w:ascii="Arial" w:eastAsia="SimSun" w:hAnsi="Arial" w:cs="Arial"/>
        </w:rPr>
        <w:t xml:space="preserve"> using UV spectrophotometry at a wavelength of 260 nm. To determine the saturation solubility (So) of Dolutegravir sodium, a 10 mL sample of distilled water without cyclodextrin (0 </w:t>
      </w:r>
      <w:proofErr w:type="spellStart"/>
      <w:r w:rsidRPr="00321C32">
        <w:rPr>
          <w:rFonts w:ascii="Arial" w:eastAsia="SimSun" w:hAnsi="Arial" w:cs="Arial"/>
        </w:rPr>
        <w:t>nM</w:t>
      </w:r>
      <w:proofErr w:type="spellEnd"/>
      <w:r w:rsidRPr="00321C32">
        <w:rPr>
          <w:rFonts w:ascii="Arial" w:eastAsia="SimSun" w:hAnsi="Arial" w:cs="Arial"/>
        </w:rPr>
        <w:t xml:space="preserve">) was used. The phase solubility of β-CD was assessed, and the solubility enhancement ratio (SER) was calculated according to </w:t>
      </w:r>
      <w:r w:rsidR="00E975B1" w:rsidRPr="00321C32">
        <w:rPr>
          <w:rFonts w:ascii="Arial" w:eastAsia="SimSun" w:hAnsi="Arial" w:cs="Arial"/>
        </w:rPr>
        <w:t>Equation</w:t>
      </w:r>
      <w:r w:rsidR="00E975B1">
        <w:rPr>
          <w:rFonts w:ascii="Arial" w:eastAsia="SimSun" w:hAnsi="Arial" w:cs="Arial"/>
        </w:rPr>
        <w:t>.</w:t>
      </w:r>
      <w:r w:rsidR="00E975B1" w:rsidRPr="00C711FF">
        <w:rPr>
          <w:rFonts w:ascii="Arial" w:eastAsia="SimSun" w:hAnsi="Arial" w:cs="Arial"/>
        </w:rPr>
        <w:t xml:space="preserve"> (</w:t>
      </w:r>
      <w:r w:rsidR="00C711FF" w:rsidRPr="00C711FF">
        <w:rPr>
          <w:rFonts w:ascii="Arial" w:eastAsia="SimSun" w:hAnsi="Arial" w:cs="Arial"/>
        </w:rPr>
        <w:t>Oktay, 2021)</w:t>
      </w:r>
    </w:p>
    <w:p w14:paraId="742E07FC" w14:textId="4D184B3E" w:rsidR="00CC109E" w:rsidRPr="00CC109E" w:rsidRDefault="00321C32" w:rsidP="00321C32">
      <w:pPr>
        <w:spacing w:line="360" w:lineRule="auto"/>
        <w:ind w:right="1440"/>
        <w:jc w:val="both"/>
        <w:rPr>
          <w:rFonts w:ascii="Arial" w:hAnsi="Arial" w:cs="Arial"/>
          <w:lang w:eastAsia="en-IN"/>
        </w:rPr>
      </w:pPr>
      <w:r w:rsidRPr="00CC109E">
        <w:rPr>
          <w:rFonts w:ascii="Arial" w:hAnsi="Arial" w:cs="Arial"/>
          <w:vertAlign w:val="superscript"/>
          <w:lang w:eastAsia="en-IN"/>
        </w:rPr>
        <w:t xml:space="preserve"> </w:t>
      </w:r>
      <m:oMath>
        <m:r>
          <m:rPr>
            <m:sty m:val="p"/>
          </m:rPr>
          <w:rPr>
            <w:rFonts w:ascii="Cambria Math" w:hAnsi="Cambria Math" w:cs="Arial"/>
            <w:lang w:eastAsia="en-IN"/>
          </w:rPr>
          <m:t xml:space="preserve">Solubility enhancement ratio </m:t>
        </m:r>
        <m:d>
          <m:dPr>
            <m:ctrlPr>
              <w:rPr>
                <w:rFonts w:ascii="Cambria Math" w:hAnsi="Cambria Math" w:cs="Arial"/>
                <w:lang w:eastAsia="en-IN"/>
              </w:rPr>
            </m:ctrlPr>
          </m:dPr>
          <m:e>
            <m:r>
              <m:rPr>
                <m:sty m:val="p"/>
              </m:rPr>
              <w:rPr>
                <w:rFonts w:ascii="Cambria Math" w:hAnsi="Cambria Math" w:cs="Arial"/>
                <w:lang w:eastAsia="en-IN"/>
              </w:rPr>
              <m:t>SER</m:t>
            </m:r>
          </m:e>
        </m:d>
        <m:r>
          <m:rPr>
            <m:sty m:val="p"/>
          </m:rPr>
          <w:rPr>
            <w:rFonts w:ascii="Cambria Math" w:hAnsi="Cambria Math" w:cs="Arial"/>
            <w:lang w:eastAsia="en-IN"/>
          </w:rPr>
          <m:t xml:space="preserve">= </m:t>
        </m:r>
        <m:f>
          <m:fPr>
            <m:ctrlPr>
              <w:rPr>
                <w:rFonts w:ascii="Cambria Math" w:hAnsi="Cambria Math" w:cs="Arial"/>
                <w:lang w:eastAsia="en-IN"/>
              </w:rPr>
            </m:ctrlPr>
          </m:fPr>
          <m:num>
            <m:r>
              <m:rPr>
                <m:sty m:val="p"/>
              </m:rPr>
              <w:rPr>
                <w:rFonts w:ascii="Cambria Math" w:hAnsi="Cambria Math" w:cs="Arial"/>
                <w:lang w:eastAsia="en-IN"/>
              </w:rPr>
              <m:t>Solubility of drug in presence of Polymer</m:t>
            </m:r>
          </m:num>
          <m:den>
            <m:r>
              <m:rPr>
                <m:sty m:val="p"/>
              </m:rPr>
              <w:rPr>
                <w:rFonts w:ascii="Cambria Math" w:hAnsi="Cambria Math" w:cs="Arial"/>
                <w:lang w:eastAsia="en-IN"/>
              </w:rPr>
              <m:t>Solubility of drug in water</m:t>
            </m:r>
          </m:den>
        </m:f>
      </m:oMath>
    </w:p>
    <w:p w14:paraId="5C1A095C" w14:textId="2856BD8E" w:rsidR="00321C32" w:rsidRPr="00B40DFD" w:rsidRDefault="00321C32" w:rsidP="008F404F">
      <w:pPr>
        <w:spacing w:line="360" w:lineRule="auto"/>
        <w:ind w:right="128"/>
        <w:jc w:val="both"/>
        <w:rPr>
          <w:rFonts w:ascii="Arial" w:hAnsi="Arial" w:cs="Arial"/>
          <w:b/>
          <w:color w:val="000000"/>
          <w:sz w:val="22"/>
          <w:szCs w:val="22"/>
          <w:lang w:val="en-IN" w:eastAsia="en-IN"/>
        </w:rPr>
      </w:pPr>
      <m:oMath>
        <m:r>
          <m:rPr>
            <m:sty m:val="p"/>
          </m:rPr>
          <w:rPr>
            <w:rFonts w:ascii="Cambria Math" w:hAnsi="Cambria Math" w:cs="Arial"/>
            <w:lang w:eastAsia="en-IN"/>
          </w:rPr>
          <m:t xml:space="preserve"> </m:t>
        </m:r>
      </m:oMath>
      <w:r w:rsidRPr="00CC109E">
        <w:rPr>
          <w:rFonts w:ascii="Arial" w:hAnsi="Arial" w:cs="Arial"/>
          <w:b/>
          <w:i/>
          <w:iCs/>
          <w:lang w:eastAsia="en-IN"/>
        </w:rPr>
        <w:t xml:space="preserve">Calculation of stability constant (Kc) and </w:t>
      </w:r>
      <w:bookmarkStart w:id="1" w:name="_Hlk211591175"/>
      <w:r w:rsidRPr="00CC109E">
        <w:rPr>
          <w:rFonts w:ascii="Arial" w:hAnsi="Arial" w:cs="Arial"/>
          <w:b/>
          <w:i/>
          <w:iCs/>
          <w:lang w:eastAsia="en-IN"/>
        </w:rPr>
        <w:t xml:space="preserve">complexation efficiency </w:t>
      </w:r>
      <w:bookmarkEnd w:id="1"/>
      <w:r w:rsidRPr="00CC109E">
        <w:rPr>
          <w:rFonts w:ascii="Arial" w:hAnsi="Arial" w:cs="Arial"/>
          <w:b/>
          <w:i/>
          <w:iCs/>
          <w:lang w:eastAsia="en-IN"/>
        </w:rPr>
        <w:t>(CE)</w:t>
      </w:r>
      <w:r w:rsidR="00CC109E">
        <w:rPr>
          <w:rFonts w:ascii="Arial" w:hAnsi="Arial" w:cs="Arial"/>
          <w:b/>
          <w:i/>
          <w:iCs/>
          <w:lang w:eastAsia="en-IN"/>
        </w:rPr>
        <w:t xml:space="preserve">: </w:t>
      </w:r>
      <w:r w:rsidRPr="00321C32">
        <w:rPr>
          <w:rFonts w:ascii="Arial" w:eastAsia="SimSun" w:hAnsi="Arial" w:cs="Arial"/>
        </w:rPr>
        <w:t xml:space="preserve">The apparent stability constant (Kc) was determined by calculating the slope of the phase solubility curve, as described in Equation (1), where So represents the saturation concentration of Dolutegravir sodium without β-CD at 37°C. Complexation efficiency was then calculated using the slope of the curve, as per Equation (2). </w:t>
      </w:r>
      <w:r w:rsidR="00B40DFD" w:rsidRPr="00C711FF">
        <w:rPr>
          <w:rFonts w:ascii="Arial" w:eastAsia="SimSun" w:hAnsi="Arial" w:cs="Arial"/>
        </w:rPr>
        <w:t>(Oktay, 2021)</w:t>
      </w:r>
    </w:p>
    <w:p w14:paraId="7A22651B" w14:textId="77777777" w:rsidR="00B013C2" w:rsidRDefault="007A7A7D" w:rsidP="00B013C2">
      <w:pPr>
        <w:widowControl w:val="0"/>
        <w:tabs>
          <w:tab w:val="left" w:pos="8880"/>
        </w:tabs>
        <w:spacing w:line="360" w:lineRule="auto"/>
        <w:ind w:right="146"/>
        <w:rPr>
          <w:rFonts w:ascii="Arial" w:eastAsia="SimSun" w:hAnsi="Arial" w:cs="Arial"/>
          <w:lang w:eastAsia="en-IN"/>
        </w:rPr>
      </w:pPr>
      <m:oMath>
        <m:r>
          <m:rPr>
            <m:sty m:val="p"/>
          </m:rPr>
          <w:rPr>
            <w:rFonts w:ascii="Cambria Math" w:hAnsi="Cambria Math" w:cs="Arial"/>
            <w:lang w:eastAsia="en-IN"/>
          </w:rPr>
          <m:t>stability constant =</m:t>
        </m:r>
        <m:f>
          <m:fPr>
            <m:ctrlPr>
              <w:rPr>
                <w:rFonts w:ascii="Cambria Math" w:hAnsi="Arial" w:cs="Arial"/>
                <w:lang w:eastAsia="en-IN"/>
              </w:rPr>
            </m:ctrlPr>
          </m:fPr>
          <m:num>
            <m:r>
              <m:rPr>
                <m:sty m:val="p"/>
              </m:rPr>
              <w:rPr>
                <w:rFonts w:ascii="Cambria Math" w:hAnsi="Cambria Math" w:cs="Arial"/>
                <w:lang w:eastAsia="en-IN"/>
              </w:rPr>
              <m:t>Slope</m:t>
            </m:r>
            <m:ctrlPr>
              <w:rPr>
                <w:rFonts w:ascii="Cambria Math" w:hAnsi="Cambria Math" w:cs="Arial"/>
                <w:lang w:eastAsia="en-IN"/>
              </w:rPr>
            </m:ctrlPr>
          </m:num>
          <m:den>
            <m:r>
              <m:rPr>
                <m:sty m:val="p"/>
              </m:rPr>
              <w:rPr>
                <w:rFonts w:ascii="Cambria Math" w:hAnsi="Cambria Math" w:cs="Arial"/>
                <w:lang w:eastAsia="en-IN"/>
              </w:rPr>
              <m:t xml:space="preserve"> [So(1-slope)]  </m:t>
            </m:r>
          </m:den>
        </m:f>
        <m:r>
          <w:rPr>
            <w:rFonts w:ascii="Cambria Math" w:hAnsi="Arial" w:cs="Arial"/>
            <w:lang w:eastAsia="en-IN"/>
          </w:rPr>
          <m:t xml:space="preserve"> </m:t>
        </m:r>
      </m:oMath>
      <w:r w:rsidR="00CC109E">
        <w:rPr>
          <w:rFonts w:ascii="Arial" w:eastAsia="SimSun" w:hAnsi="Arial" w:cs="Arial"/>
          <w:lang w:eastAsia="en-IN"/>
        </w:rPr>
        <w:t xml:space="preserve"> Equation1 </w:t>
      </w:r>
    </w:p>
    <w:p w14:paraId="29DC05B4" w14:textId="4205F8B1" w:rsidR="00321C32" w:rsidRPr="00B013C2" w:rsidRDefault="00CC109E" w:rsidP="00B013C2">
      <w:pPr>
        <w:widowControl w:val="0"/>
        <w:tabs>
          <w:tab w:val="left" w:pos="8880"/>
        </w:tabs>
        <w:spacing w:line="360" w:lineRule="auto"/>
        <w:ind w:right="146"/>
        <w:rPr>
          <w:rFonts w:ascii="Arial" w:eastAsia="SimSun" w:hAnsi="Arial" w:cs="Arial"/>
          <w:lang w:eastAsia="en-IN"/>
        </w:rPr>
      </w:pPr>
      <m:oMath>
        <m:r>
          <m:rPr>
            <m:sty m:val="p"/>
          </m:rPr>
          <w:rPr>
            <w:rFonts w:ascii="Cambria Math" w:hAnsi="Cambria Math" w:cs="Arial"/>
            <w:lang w:eastAsia="en-IN"/>
          </w:rPr>
          <m:t>complexation efficiency =</m:t>
        </m:r>
        <m:f>
          <m:fPr>
            <m:ctrlPr>
              <w:rPr>
                <w:rFonts w:ascii="Cambria Math" w:hAnsi="Arial" w:cs="Arial"/>
                <w:lang w:eastAsia="en-IN"/>
              </w:rPr>
            </m:ctrlPr>
          </m:fPr>
          <m:num>
            <m:r>
              <m:rPr>
                <m:sty m:val="p"/>
              </m:rPr>
              <w:rPr>
                <w:rFonts w:ascii="Cambria Math" w:hAnsi="Cambria Math" w:cs="Arial"/>
                <w:lang w:eastAsia="en-IN"/>
              </w:rPr>
              <m:t>Slope</m:t>
            </m:r>
            <m:ctrlPr>
              <w:rPr>
                <w:rFonts w:ascii="Cambria Math" w:hAnsi="Cambria Math" w:cs="Arial"/>
                <w:lang w:eastAsia="en-IN"/>
              </w:rPr>
            </m:ctrlPr>
          </m:num>
          <m:den>
            <m:r>
              <m:rPr>
                <m:sty m:val="p"/>
              </m:rPr>
              <w:rPr>
                <w:rFonts w:ascii="Cambria Math" w:hAnsi="Cambria Math" w:cs="Arial"/>
                <w:lang w:eastAsia="en-IN"/>
              </w:rPr>
              <m:t xml:space="preserve"> (1-slope) </m:t>
            </m:r>
          </m:den>
        </m:f>
        <m:r>
          <w:rPr>
            <w:rFonts w:ascii="Cambria Math" w:hAnsi="Arial" w:cs="Arial"/>
            <w:lang w:eastAsia="en-IN"/>
          </w:rPr>
          <m:t xml:space="preserve"> </m:t>
        </m:r>
      </m:oMath>
      <w:r>
        <w:rPr>
          <w:rFonts w:ascii="Arial" w:eastAsia="SimSun" w:hAnsi="Arial" w:cs="Arial"/>
          <w:lang w:eastAsia="en-IN"/>
        </w:rPr>
        <w:t xml:space="preserve">Equation 2 </w:t>
      </w:r>
    </w:p>
    <w:p w14:paraId="78D3897A" w14:textId="77777777" w:rsidR="00321C32" w:rsidRPr="00321C32" w:rsidRDefault="00321C32" w:rsidP="00B013C2">
      <w:pPr>
        <w:widowControl w:val="0"/>
        <w:spacing w:line="360" w:lineRule="auto"/>
        <w:ind w:right="1440"/>
        <w:jc w:val="both"/>
        <w:rPr>
          <w:rFonts w:ascii="Arial" w:hAnsi="Arial" w:cs="Arial"/>
          <w:b/>
          <w:lang w:eastAsia="en-IN"/>
        </w:rPr>
      </w:pPr>
      <w:r w:rsidRPr="00321C32">
        <w:rPr>
          <w:rFonts w:ascii="Arial" w:hAnsi="Arial" w:cs="Arial"/>
          <w:b/>
          <w:lang w:eastAsia="en-IN"/>
        </w:rPr>
        <w:t>Preparation of Inclusion Complexes</w:t>
      </w:r>
    </w:p>
    <w:p w14:paraId="1A3918DF" w14:textId="77777777" w:rsidR="00B013C2" w:rsidRDefault="00321C32" w:rsidP="00B013C2">
      <w:pPr>
        <w:widowControl w:val="0"/>
        <w:spacing w:line="360" w:lineRule="auto"/>
        <w:ind w:right="1440"/>
        <w:jc w:val="both"/>
        <w:rPr>
          <w:rFonts w:ascii="Arial" w:hAnsi="Arial" w:cs="Arial"/>
          <w:b/>
          <w:i/>
          <w:iCs/>
          <w:lang w:eastAsia="en-IN"/>
        </w:rPr>
      </w:pPr>
      <w:r w:rsidRPr="00B013C2">
        <w:rPr>
          <w:rFonts w:ascii="Arial" w:hAnsi="Arial" w:cs="Arial"/>
          <w:b/>
          <w:i/>
          <w:iCs/>
          <w:lang w:eastAsia="en-IN"/>
        </w:rPr>
        <w:t>Kneading Method</w:t>
      </w:r>
    </w:p>
    <w:p w14:paraId="3236217E" w14:textId="6D8ED5F9" w:rsidR="000D6BD5" w:rsidRDefault="00321C32" w:rsidP="007452DE">
      <w:pPr>
        <w:widowControl w:val="0"/>
        <w:spacing w:line="360" w:lineRule="auto"/>
        <w:ind w:right="-14"/>
        <w:jc w:val="both"/>
        <w:rPr>
          <w:rFonts w:ascii="Arial" w:hAnsi="Arial" w:cs="Arial"/>
          <w:b/>
          <w:i/>
          <w:iCs/>
          <w:lang w:eastAsia="en-IN"/>
        </w:rPr>
      </w:pPr>
      <w:r w:rsidRPr="00321C32">
        <w:rPr>
          <w:rFonts w:ascii="Arial" w:eastAsia="SimSun" w:hAnsi="Arial" w:cs="Arial"/>
        </w:rPr>
        <w:t xml:space="preserve">β-cyclodextrin and dolutegravir sodium were accurately weighed in 1:1 and 1:2 molar ratios. In a mortar, a small amount of a water-methanol (3:2) solvent mixture was added to triturate the components. The resulting thick slurry was kneaded for 45 minutes, then dried at 55°C until completely dry. The dried mass was </w:t>
      </w:r>
      <w:proofErr w:type="spellStart"/>
      <w:r w:rsidRPr="00321C32">
        <w:rPr>
          <w:rFonts w:ascii="Arial" w:eastAsia="SimSun" w:hAnsi="Arial" w:cs="Arial"/>
        </w:rPr>
        <w:t>pulverised</w:t>
      </w:r>
      <w:proofErr w:type="spellEnd"/>
      <w:r w:rsidRPr="00321C32">
        <w:rPr>
          <w:rFonts w:ascii="Arial" w:eastAsia="SimSun" w:hAnsi="Arial" w:cs="Arial"/>
        </w:rPr>
        <w:t xml:space="preserve"> and sieved through a mesh. 120. The final product was stored in a desiccator until further </w:t>
      </w:r>
      <w:proofErr w:type="gramStart"/>
      <w:r w:rsidRPr="00321C32">
        <w:rPr>
          <w:rFonts w:ascii="Arial" w:eastAsia="SimSun" w:hAnsi="Arial" w:cs="Arial"/>
        </w:rPr>
        <w:t>use</w:t>
      </w:r>
      <w:r w:rsidR="00B40DFD">
        <w:rPr>
          <w:rFonts w:ascii="Arial" w:eastAsia="SimSun" w:hAnsi="Arial" w:cs="Arial"/>
          <w:vertAlign w:val="superscript"/>
        </w:rPr>
        <w:t>.</w:t>
      </w:r>
      <w:r w:rsidR="00B40DFD">
        <w:t>(</w:t>
      </w:r>
      <w:proofErr w:type="gramEnd"/>
      <w:r w:rsidR="00B40DFD">
        <w:t>Chaudhary et al., 2021)</w:t>
      </w:r>
    </w:p>
    <w:p w14:paraId="459D60A0" w14:textId="77777777" w:rsidR="000D6BD5" w:rsidRDefault="00321C32" w:rsidP="000D6BD5">
      <w:pPr>
        <w:widowControl w:val="0"/>
        <w:spacing w:line="360" w:lineRule="auto"/>
        <w:ind w:right="1440"/>
        <w:jc w:val="both"/>
        <w:rPr>
          <w:rFonts w:ascii="Arial" w:hAnsi="Arial" w:cs="Arial"/>
          <w:b/>
          <w:i/>
          <w:iCs/>
          <w:lang w:eastAsia="en-IN"/>
        </w:rPr>
      </w:pPr>
      <w:proofErr w:type="spellStart"/>
      <w:r w:rsidRPr="00321C32">
        <w:rPr>
          <w:rFonts w:ascii="Arial" w:hAnsi="Arial" w:cs="Arial"/>
          <w:b/>
          <w:lang w:eastAsia="en-IN"/>
        </w:rPr>
        <w:t>Characterisation</w:t>
      </w:r>
      <w:proofErr w:type="spellEnd"/>
      <w:r w:rsidRPr="00321C32">
        <w:rPr>
          <w:rFonts w:ascii="Arial" w:hAnsi="Arial" w:cs="Arial"/>
          <w:b/>
          <w:lang w:eastAsia="en-IN"/>
        </w:rPr>
        <w:t xml:space="preserve"> of Prepared Dolutegravir Sodium Inclusion Complexes:</w:t>
      </w:r>
    </w:p>
    <w:p w14:paraId="490B3306" w14:textId="64525540" w:rsidR="00321C32" w:rsidRPr="000D6BD5" w:rsidRDefault="00321C32" w:rsidP="000D6BD5">
      <w:pPr>
        <w:widowControl w:val="0"/>
        <w:spacing w:line="360" w:lineRule="auto"/>
        <w:ind w:right="1440"/>
        <w:jc w:val="both"/>
        <w:rPr>
          <w:rFonts w:ascii="Arial" w:hAnsi="Arial" w:cs="Arial"/>
          <w:b/>
          <w:i/>
          <w:iCs/>
          <w:lang w:eastAsia="en-IN"/>
        </w:rPr>
      </w:pPr>
      <w:r w:rsidRPr="000D6BD5">
        <w:rPr>
          <w:rFonts w:ascii="Arial" w:hAnsi="Arial" w:cs="Arial"/>
          <w:b/>
          <w:i/>
          <w:iCs/>
          <w:lang w:eastAsia="en-IN"/>
        </w:rPr>
        <w:t>Estimation of Drug Content and Percentage Yield</w:t>
      </w:r>
    </w:p>
    <w:p w14:paraId="646AE70B" w14:textId="6A136A54" w:rsidR="00E50D7E" w:rsidRDefault="00321C32" w:rsidP="00E50D7E">
      <w:pPr>
        <w:spacing w:line="360" w:lineRule="auto"/>
        <w:jc w:val="both"/>
        <w:rPr>
          <w:rFonts w:ascii="Arial" w:hAnsi="Arial" w:cs="Arial"/>
          <w:lang w:eastAsia="en-IN"/>
        </w:rPr>
      </w:pPr>
      <w:r w:rsidRPr="00321C32">
        <w:rPr>
          <w:rFonts w:ascii="Arial" w:hAnsi="Arial" w:cs="Arial"/>
          <w:lang w:eastAsia="en-IN"/>
        </w:rPr>
        <w:t xml:space="preserve">After dissolving an appropriate amount of methanol in a weighed quantity of produced inclusion complexes equal to 50 mg of dolutegravir sodium, the mixture was filtered using </w:t>
      </w:r>
      <w:r w:rsidRPr="00321C32">
        <w:rPr>
          <w:rFonts w:ascii="Arial" w:hAnsi="Arial" w:cs="Arial"/>
          <w:lang w:eastAsia="en-IN"/>
        </w:rPr>
        <w:lastRenderedPageBreak/>
        <w:t>Whatman filter paper. After diluting the resultant filtrate with phosphate buffer (pH 6.8), the UV spectroscopic technique was used to measure the quantity of dolutegravir sodium. The percentage yield of Dolutegravir sodium inclusion complex was calculated using Equation</w:t>
      </w:r>
      <w:r w:rsidR="00E41097">
        <w:rPr>
          <w:rFonts w:ascii="Arial" w:hAnsi="Arial" w:cs="Arial"/>
          <w:lang w:eastAsia="en-IN"/>
        </w:rPr>
        <w:t>.</w:t>
      </w:r>
      <w:r w:rsidRPr="00321C32">
        <w:rPr>
          <w:rFonts w:ascii="Arial" w:hAnsi="Arial" w:cs="Arial"/>
          <w:lang w:eastAsia="en-IN"/>
        </w:rPr>
        <w:t xml:space="preserve"> </w:t>
      </w:r>
      <w:r w:rsidR="00E41097">
        <w:t>(Costa et al., 2009)</w:t>
      </w:r>
    </w:p>
    <w:p w14:paraId="596FEF45" w14:textId="77777777" w:rsidR="00E50D7E" w:rsidRDefault="00E50D7E" w:rsidP="00321C32">
      <w:pPr>
        <w:spacing w:line="360" w:lineRule="auto"/>
        <w:jc w:val="both"/>
        <w:rPr>
          <w:rFonts w:ascii="Arial" w:hAnsi="Arial" w:cs="Arial"/>
          <w:lang w:eastAsia="en-IN"/>
        </w:rPr>
      </w:pPr>
      <m:oMathPara>
        <m:oMath>
          <m:r>
            <m:rPr>
              <m:sty m:val="p"/>
            </m:rPr>
            <w:rPr>
              <w:rFonts w:ascii="Cambria Math" w:hAnsi="Cambria Math" w:cs="Arial"/>
              <w:lang w:eastAsia="en-IN"/>
            </w:rPr>
            <m:t>%Yield =</m:t>
          </m:r>
          <m:f>
            <m:fPr>
              <m:ctrlPr>
                <w:rPr>
                  <w:rFonts w:ascii="Cambria Math" w:hAnsi="Cambria Math" w:cs="Arial"/>
                  <w:lang w:eastAsia="en-IN"/>
                </w:rPr>
              </m:ctrlPr>
            </m:fPr>
            <m:num>
              <m:r>
                <m:rPr>
                  <m:sty m:val="p"/>
                </m:rPr>
                <w:rPr>
                  <w:rFonts w:ascii="Cambria Math" w:hAnsi="Cambria Math" w:cs="Arial"/>
                  <w:lang w:eastAsia="en-IN"/>
                </w:rPr>
                <m:t xml:space="preserve"> Practical yield </m:t>
              </m:r>
            </m:num>
            <m:den>
              <m:r>
                <m:rPr>
                  <m:sty m:val="p"/>
                </m:rPr>
                <w:rPr>
                  <w:rFonts w:ascii="Cambria Math" w:hAnsi="Cambria Math" w:cs="Arial"/>
                  <w:lang w:eastAsia="en-IN"/>
                </w:rPr>
                <m:t>Theoretical yield</m:t>
              </m:r>
            </m:den>
          </m:f>
          <m:r>
            <w:rPr>
              <w:rFonts w:ascii="Cambria Math" w:hAnsi="Cambria Math" w:cs="Arial"/>
              <w:lang w:eastAsia="en-IN"/>
            </w:rPr>
            <m:t>*100</m:t>
          </m:r>
        </m:oMath>
      </m:oMathPara>
    </w:p>
    <w:p w14:paraId="3F04F89B" w14:textId="3DA40C12" w:rsidR="00321C32" w:rsidRPr="00E50D7E" w:rsidRDefault="00321C32" w:rsidP="00321C32">
      <w:pPr>
        <w:spacing w:line="360" w:lineRule="auto"/>
        <w:jc w:val="both"/>
        <w:rPr>
          <w:rFonts w:ascii="Arial" w:hAnsi="Arial" w:cs="Arial"/>
          <w:i/>
          <w:lang w:eastAsia="en-IN"/>
        </w:rPr>
      </w:pPr>
      <w:r w:rsidRPr="00321C32">
        <w:rPr>
          <w:rFonts w:ascii="Arial" w:eastAsia="SimSun" w:hAnsi="Arial" w:cs="Arial"/>
          <w:b/>
          <w:bCs/>
          <w:lang w:eastAsia="zh-CN" w:bidi="ar"/>
        </w:rPr>
        <w:t xml:space="preserve"> </w:t>
      </w:r>
      <w:r w:rsidRPr="00E50D7E">
        <w:rPr>
          <w:rFonts w:ascii="Arial" w:hAnsi="Arial" w:cs="Arial"/>
          <w:b/>
          <w:i/>
          <w:color w:val="000000"/>
        </w:rPr>
        <w:t>In-Vitro drug release studies of prepared inclusion complexes</w:t>
      </w:r>
    </w:p>
    <w:p w14:paraId="5C033613" w14:textId="4C1E570B" w:rsidR="00E41097" w:rsidRPr="00E41097" w:rsidRDefault="00321C32" w:rsidP="00E41097">
      <w:pPr>
        <w:spacing w:line="360" w:lineRule="auto"/>
        <w:jc w:val="both"/>
        <w:rPr>
          <w:rFonts w:ascii="Arial" w:hAnsi="Arial" w:cs="Arial"/>
          <w:lang w:val="en-IN" w:eastAsia="en-IN"/>
        </w:rPr>
      </w:pPr>
      <w:r w:rsidRPr="00321C32">
        <w:rPr>
          <w:rFonts w:ascii="Arial" w:hAnsi="Arial" w:cs="Arial"/>
          <w:lang w:eastAsia="en-IN"/>
        </w:rPr>
        <w:t>The in vitro dissolution studies for the Dolutegravir sodium inclusion complex were conducted using a USP Type 2 (Paddle) dissolution apparatus. The dissolution media used were 0.1 N HCl (pH 1.2) and phosphate buffer (pH 6.8), with 900 mL of the medium pre-warmed to 37 ± 0.5°C in each dissolution vessel. The Dolutegravir sodium inclusion complex, containing 50 mg of drug content, was accurately weighed and placed into a tea bag and tied to the paddle. The paddle rotation speed was set to 50 rpm. Samples were withdrawn at intervals of 10, 20, 30, 40, 50, and 60 minutes, with 5 mL taken from each vessel and replaced with fresh medium at 37°C to maintain sink conditions. After passing the samples through a Whatman filter paper, UV-visible spectroscopy was used to measure the dolutegravir content at 260 nm. To determine the efficacy of the inclusion complex in improving the drug's solubility and dissolution rate, the cumulative percentage of Dolutegravir released was computed and plotted against time to create the dissolution profile, which was subsequently contrasted with that of pure Dolutegravir Sodium.</w:t>
      </w:r>
      <w:r w:rsidR="00E41097">
        <w:rPr>
          <w:rFonts w:ascii="Arial" w:hAnsi="Arial" w:cs="Arial"/>
          <w:lang w:eastAsia="en-IN"/>
        </w:rPr>
        <w:t xml:space="preserve"> </w:t>
      </w:r>
      <w:r w:rsidR="00E41097" w:rsidRPr="00E41097">
        <w:rPr>
          <w:rFonts w:ascii="Arial" w:hAnsi="Arial" w:cs="Arial"/>
          <w:lang w:val="en-IN" w:eastAsia="en-IN"/>
        </w:rPr>
        <w:t>(Rawat &amp; Jain, 2003)</w:t>
      </w:r>
      <w:r w:rsidR="00E41097">
        <w:rPr>
          <w:rFonts w:ascii="Arial" w:hAnsi="Arial" w:cs="Arial"/>
          <w:lang w:val="en-IN" w:eastAsia="en-IN"/>
        </w:rPr>
        <w:t xml:space="preserve">, </w:t>
      </w:r>
      <w:r w:rsidR="00E41097" w:rsidRPr="00E41097">
        <w:rPr>
          <w:rFonts w:ascii="Arial" w:hAnsi="Arial" w:cs="Arial"/>
          <w:lang w:val="en-IN" w:eastAsia="en-IN"/>
        </w:rPr>
        <w:t>(Aulton &amp; Taylor, 2017)</w:t>
      </w:r>
      <w:r w:rsidR="00E41097">
        <w:rPr>
          <w:rFonts w:ascii="Arial" w:hAnsi="Arial" w:cs="Arial"/>
          <w:lang w:val="en-IN" w:eastAsia="en-IN"/>
        </w:rPr>
        <w:t xml:space="preserve">, </w:t>
      </w:r>
      <w:r w:rsidR="00E41097" w:rsidRPr="00E41097">
        <w:rPr>
          <w:rFonts w:ascii="Arial" w:hAnsi="Arial" w:cs="Arial"/>
          <w:lang w:val="en-IN" w:eastAsia="en-IN"/>
        </w:rPr>
        <w:t>(Shangraw, 1989)</w:t>
      </w:r>
    </w:p>
    <w:p w14:paraId="7E4D14AF" w14:textId="06D06B2B" w:rsidR="00321C32" w:rsidRPr="00E50D7E" w:rsidRDefault="00321C32" w:rsidP="00E50D7E">
      <w:pPr>
        <w:spacing w:line="360" w:lineRule="auto"/>
        <w:jc w:val="both"/>
        <w:rPr>
          <w:rFonts w:ascii="Arial" w:hAnsi="Arial" w:cs="Arial"/>
          <w:i/>
          <w:iCs/>
          <w:lang w:eastAsia="en-IN"/>
        </w:rPr>
      </w:pPr>
      <w:r w:rsidRPr="00E50D7E">
        <w:rPr>
          <w:rFonts w:ascii="Arial" w:hAnsi="Arial" w:cs="Arial"/>
          <w:b/>
          <w:i/>
          <w:iCs/>
          <w:lang w:eastAsia="en-IN"/>
        </w:rPr>
        <w:t xml:space="preserve">Fourier Transform Infrared Spectroscopy (FTIR) </w:t>
      </w:r>
    </w:p>
    <w:p w14:paraId="29F8902A" w14:textId="0E212D30" w:rsidR="00E50D7E" w:rsidRPr="00E25F9D" w:rsidRDefault="00321C32" w:rsidP="00E50D7E">
      <w:pPr>
        <w:spacing w:line="360" w:lineRule="auto"/>
        <w:jc w:val="both"/>
        <w:rPr>
          <w:rFonts w:ascii="Arial" w:hAnsi="Arial" w:cs="Arial"/>
          <w:vertAlign w:val="superscript"/>
          <w:lang w:eastAsia="en-IN"/>
        </w:rPr>
      </w:pPr>
      <w:r w:rsidRPr="00321C32">
        <w:rPr>
          <w:rFonts w:ascii="Arial" w:hAnsi="Arial" w:cs="Arial"/>
          <w:lang w:eastAsia="en-IN"/>
        </w:rPr>
        <w:t>Dolutegravir Sodium (1:1) inclusion complex was utilized for the FTIR analysis. To guarantee consistency, the inclusion complexes were weighed and properly combined using a mortar and pestle. KBr pellets were prepared by mixing a small amount of mixture with potassium bromide (KBr) and compressing into a pellet. A background scan was run with KBr or an empty sample holder to account for any environmental or instrument noise. The KBr pellets were placed into the FTIR spectrometer and scanned between 4000 cm</w:t>
      </w:r>
      <w:r w:rsidRPr="00321C32">
        <w:rPr>
          <w:rFonts w:ascii="Cambria Math" w:hAnsi="Cambria Math" w:cs="Cambria Math"/>
          <w:lang w:eastAsia="en-IN"/>
        </w:rPr>
        <w:t>⁻</w:t>
      </w:r>
      <w:r w:rsidRPr="00321C32">
        <w:rPr>
          <w:rFonts w:ascii="Arial" w:hAnsi="Arial" w:cs="Arial"/>
          <w:lang w:eastAsia="en-IN"/>
        </w:rPr>
        <w:t>¹ and 400 cm</w:t>
      </w:r>
      <w:r w:rsidRPr="00321C32">
        <w:rPr>
          <w:rFonts w:ascii="Cambria Math" w:hAnsi="Cambria Math" w:cs="Cambria Math"/>
          <w:lang w:eastAsia="en-IN"/>
        </w:rPr>
        <w:t>⁻</w:t>
      </w:r>
      <w:r w:rsidRPr="00321C32">
        <w:rPr>
          <w:rFonts w:ascii="Arial" w:hAnsi="Arial" w:cs="Arial"/>
          <w:lang w:eastAsia="en-IN"/>
        </w:rPr>
        <w:t>¹ with a resolution of 4 cm</w:t>
      </w:r>
      <w:r w:rsidRPr="00321C32">
        <w:rPr>
          <w:rFonts w:ascii="Cambria Math" w:hAnsi="Cambria Math" w:cs="Cambria Math"/>
          <w:lang w:eastAsia="en-IN"/>
        </w:rPr>
        <w:t>⁻</w:t>
      </w:r>
      <w:r w:rsidRPr="00321C32">
        <w:rPr>
          <w:rFonts w:ascii="Arial" w:hAnsi="Arial" w:cs="Arial"/>
          <w:lang w:eastAsia="en-IN"/>
        </w:rPr>
        <w:t xml:space="preserve">¹. The FTIR spectra were </w:t>
      </w:r>
      <w:proofErr w:type="spellStart"/>
      <w:r w:rsidRPr="00321C32">
        <w:rPr>
          <w:rFonts w:ascii="Arial" w:hAnsi="Arial" w:cs="Arial"/>
          <w:lang w:eastAsia="en-IN"/>
        </w:rPr>
        <w:t>analysed</w:t>
      </w:r>
      <w:proofErr w:type="spellEnd"/>
      <w:r w:rsidRPr="00321C32">
        <w:rPr>
          <w:rFonts w:ascii="Arial" w:hAnsi="Arial" w:cs="Arial"/>
          <w:lang w:eastAsia="en-IN"/>
        </w:rPr>
        <w:t xml:space="preserve"> for shifts or changes in peak positions. </w:t>
      </w:r>
      <w:r w:rsidR="00E25F9D" w:rsidRPr="00E25F9D">
        <w:rPr>
          <w:rFonts w:ascii="Arial" w:hAnsi="Arial" w:cs="Arial"/>
          <w:lang w:eastAsia="en-IN"/>
        </w:rPr>
        <w:t>(O’Reilly et al., 2013)</w:t>
      </w:r>
    </w:p>
    <w:p w14:paraId="43568B27" w14:textId="2B34F71B" w:rsidR="00321C32" w:rsidRPr="00E50D7E" w:rsidRDefault="00321C32" w:rsidP="00E50D7E">
      <w:pPr>
        <w:spacing w:line="360" w:lineRule="auto"/>
        <w:jc w:val="both"/>
        <w:rPr>
          <w:rFonts w:ascii="Arial" w:hAnsi="Arial" w:cs="Arial"/>
          <w:i/>
          <w:iCs/>
          <w:vertAlign w:val="superscript"/>
          <w:lang w:eastAsia="en-IN"/>
        </w:rPr>
      </w:pPr>
      <w:r w:rsidRPr="00E50D7E">
        <w:rPr>
          <w:rFonts w:ascii="Arial" w:hAnsi="Arial" w:cs="Arial"/>
          <w:b/>
          <w:i/>
          <w:iCs/>
          <w:lang w:eastAsia="en-IN"/>
        </w:rPr>
        <w:t xml:space="preserve">Differential Scanning Calorimetry (DSC) </w:t>
      </w:r>
    </w:p>
    <w:p w14:paraId="7FCEAD46" w14:textId="7AA6AB89" w:rsidR="005F3EC4" w:rsidRDefault="00321C32" w:rsidP="005F3EC4">
      <w:pPr>
        <w:spacing w:line="360" w:lineRule="auto"/>
        <w:jc w:val="both"/>
        <w:rPr>
          <w:rFonts w:ascii="Arial" w:hAnsi="Arial" w:cs="Arial"/>
          <w:lang w:eastAsia="en-IN"/>
        </w:rPr>
      </w:pPr>
      <w:r w:rsidRPr="00321C32">
        <w:rPr>
          <w:rFonts w:ascii="Arial" w:hAnsi="Arial" w:cs="Arial"/>
          <w:lang w:eastAsia="en-IN"/>
        </w:rPr>
        <w:t xml:space="preserve">For DSC analysis, inclusion complexes of Dolutegravir Sodium (1:1) were used, 5-10 mg were weighed for analysis. The DSC instrument was calibrated using standard materials. The sample was placed into a DSC sample pan and sealed, with an empty pan used as a reference. The samples were heated from 25°C to 300°C at a rate of 10°C/min, adjusting the temperature range as necessary. The analysis was performed under an inert atmosphere, </w:t>
      </w:r>
      <w:r w:rsidRPr="00321C32">
        <w:rPr>
          <w:rFonts w:ascii="Arial" w:hAnsi="Arial" w:cs="Arial"/>
          <w:lang w:eastAsia="en-IN"/>
        </w:rPr>
        <w:lastRenderedPageBreak/>
        <w:t xml:space="preserve">such as nitrogen. The DSC thermograms were </w:t>
      </w:r>
      <w:proofErr w:type="spellStart"/>
      <w:r w:rsidRPr="00321C32">
        <w:rPr>
          <w:rFonts w:ascii="Arial" w:hAnsi="Arial" w:cs="Arial"/>
          <w:lang w:eastAsia="en-IN"/>
        </w:rPr>
        <w:t>analysed</w:t>
      </w:r>
      <w:proofErr w:type="spellEnd"/>
      <w:r w:rsidRPr="00321C32">
        <w:rPr>
          <w:rFonts w:ascii="Arial" w:hAnsi="Arial" w:cs="Arial"/>
          <w:lang w:eastAsia="en-IN"/>
        </w:rPr>
        <w:t xml:space="preserve"> for changes in melting points, glass transition temperatures, or other thermal events, and the thermal profiles of Dolutegravir Sodium inclusion complexes. </w:t>
      </w:r>
      <w:r w:rsidR="0050666E" w:rsidRPr="0050666E">
        <w:rPr>
          <w:rFonts w:ascii="Arial" w:hAnsi="Arial" w:cs="Arial"/>
          <w:lang w:eastAsia="en-IN"/>
        </w:rPr>
        <w:t>(Silva et al., 2014)</w:t>
      </w:r>
    </w:p>
    <w:p w14:paraId="75F94581" w14:textId="77777777" w:rsidR="005F3EC4" w:rsidRDefault="00321C32" w:rsidP="005F3EC4">
      <w:pPr>
        <w:spacing w:line="360" w:lineRule="auto"/>
        <w:jc w:val="both"/>
        <w:rPr>
          <w:rFonts w:ascii="Arial" w:hAnsi="Arial" w:cs="Arial"/>
          <w:i/>
          <w:iCs/>
          <w:lang w:eastAsia="en-IN"/>
        </w:rPr>
      </w:pPr>
      <w:r w:rsidRPr="005F3EC4">
        <w:rPr>
          <w:rFonts w:ascii="Arial" w:hAnsi="Arial" w:cs="Arial"/>
          <w:b/>
          <w:i/>
          <w:iCs/>
          <w:lang w:eastAsia="en-IN"/>
        </w:rPr>
        <w:t xml:space="preserve">X-Ray Powder Diffraction (XRPD) </w:t>
      </w:r>
    </w:p>
    <w:p w14:paraId="389C929D" w14:textId="68E538F9" w:rsidR="00980AB1" w:rsidRPr="0050666E" w:rsidRDefault="00321C32" w:rsidP="00980AB1">
      <w:pPr>
        <w:spacing w:line="360" w:lineRule="auto"/>
        <w:jc w:val="both"/>
        <w:rPr>
          <w:rFonts w:ascii="Arial" w:hAnsi="Arial" w:cs="Arial"/>
          <w:i/>
          <w:iCs/>
          <w:lang w:eastAsia="en-IN"/>
        </w:rPr>
      </w:pPr>
      <w:r w:rsidRPr="00321C32">
        <w:rPr>
          <w:rFonts w:ascii="Arial" w:hAnsi="Arial" w:cs="Arial"/>
          <w:lang w:eastAsia="en-IN"/>
        </w:rPr>
        <w:t xml:space="preserve">For XRPD analysis Dolutegravir Sodium inclusion complex (1:1) was used, the complex was crushed to a fine powder to ensure good diffraction patterns. The XRPD instrument was calibrated using a standard material complex, was placed in the sample holder and ensured proper alignment. The sample was scanned between 5° and 40° 2θ (theta) angles at a scanning rate of 1-2°/min. The diffraction patterns were </w:t>
      </w:r>
      <w:proofErr w:type="spellStart"/>
      <w:r w:rsidRPr="00321C32">
        <w:rPr>
          <w:rFonts w:ascii="Arial" w:hAnsi="Arial" w:cs="Arial"/>
          <w:lang w:eastAsia="en-IN"/>
        </w:rPr>
        <w:t>analysed</w:t>
      </w:r>
      <w:proofErr w:type="spellEnd"/>
      <w:r w:rsidRPr="00321C32">
        <w:rPr>
          <w:rFonts w:ascii="Arial" w:hAnsi="Arial" w:cs="Arial"/>
          <w:lang w:eastAsia="en-IN"/>
        </w:rPr>
        <w:t xml:space="preserve"> for any changes in peak positions or intensities. </w:t>
      </w:r>
      <w:r w:rsidR="0050666E" w:rsidRPr="0050666E">
        <w:rPr>
          <w:rFonts w:ascii="Arial" w:hAnsi="Arial" w:cs="Arial"/>
          <w:lang w:eastAsia="en-IN"/>
        </w:rPr>
        <w:t>(Moore &amp; Reynolds, 2001)</w:t>
      </w:r>
    </w:p>
    <w:p w14:paraId="53C75D9F" w14:textId="77777777" w:rsidR="00980AB1" w:rsidRDefault="00321C32" w:rsidP="00980AB1">
      <w:pPr>
        <w:spacing w:line="360" w:lineRule="auto"/>
        <w:jc w:val="both"/>
        <w:rPr>
          <w:rFonts w:ascii="Arial" w:hAnsi="Arial" w:cs="Arial"/>
          <w:i/>
          <w:iCs/>
          <w:lang w:eastAsia="en-IN"/>
        </w:rPr>
      </w:pPr>
      <w:r w:rsidRPr="00321C32">
        <w:rPr>
          <w:rFonts w:ascii="Arial" w:hAnsi="Arial" w:cs="Arial"/>
          <w:b/>
          <w:lang w:eastAsia="en-IN"/>
        </w:rPr>
        <w:t xml:space="preserve">PREPARATION OF TABLETS WITH DOLUTEGRAVIR SODIUM INCLUSION COMPLEXES (1:1) </w:t>
      </w:r>
    </w:p>
    <w:p w14:paraId="28CE3D7E" w14:textId="0F8DF39C" w:rsidR="00321C32" w:rsidRPr="00980AB1" w:rsidRDefault="00321C32" w:rsidP="00980AB1">
      <w:pPr>
        <w:spacing w:line="360" w:lineRule="auto"/>
        <w:jc w:val="both"/>
        <w:rPr>
          <w:rFonts w:ascii="Arial" w:hAnsi="Arial" w:cs="Arial"/>
          <w:i/>
          <w:iCs/>
          <w:lang w:eastAsia="en-IN"/>
        </w:rPr>
      </w:pPr>
      <w:r w:rsidRPr="00980AB1">
        <w:rPr>
          <w:rFonts w:ascii="Arial" w:hAnsi="Arial" w:cs="Arial"/>
          <w:b/>
          <w:i/>
          <w:iCs/>
          <w:lang w:eastAsia="en-IN"/>
        </w:rPr>
        <w:t>Direct compression method</w:t>
      </w:r>
    </w:p>
    <w:p w14:paraId="0B19D182" w14:textId="10C27ED9" w:rsidR="00321C32" w:rsidRDefault="00321C32" w:rsidP="00321C32">
      <w:pPr>
        <w:widowControl w:val="0"/>
        <w:tabs>
          <w:tab w:val="left" w:pos="762"/>
        </w:tabs>
        <w:spacing w:line="360" w:lineRule="auto"/>
        <w:jc w:val="both"/>
        <w:rPr>
          <w:rFonts w:ascii="Arial" w:hAnsi="Arial" w:cs="Arial"/>
          <w:vertAlign w:val="superscript"/>
        </w:rPr>
      </w:pPr>
      <w:r w:rsidRPr="00321C32">
        <w:rPr>
          <w:rFonts w:ascii="Arial" w:hAnsi="Arial" w:cs="Arial"/>
          <w:lang w:eastAsia="en-IN"/>
        </w:rPr>
        <w:t xml:space="preserve">Table 1 lists the various dolutegravir tablet formulations that have been developed, illustrating the diversity of excipients used to </w:t>
      </w:r>
      <w:proofErr w:type="spellStart"/>
      <w:r w:rsidRPr="00321C32">
        <w:rPr>
          <w:rFonts w:ascii="Arial" w:hAnsi="Arial" w:cs="Arial"/>
          <w:lang w:eastAsia="en-IN"/>
        </w:rPr>
        <w:t>optimise</w:t>
      </w:r>
      <w:proofErr w:type="spellEnd"/>
      <w:r w:rsidRPr="00321C32">
        <w:rPr>
          <w:rFonts w:ascii="Arial" w:hAnsi="Arial" w:cs="Arial"/>
          <w:lang w:eastAsia="en-IN"/>
        </w:rPr>
        <w:t xml:space="preserve"> tablet properties. Each formulation is broken down in detail in table no 1, along with the precise amounts and kinds of excipients</w:t>
      </w:r>
      <w:r w:rsidR="00980AB1">
        <w:rPr>
          <w:rFonts w:ascii="Arial" w:hAnsi="Arial" w:cs="Arial"/>
          <w:lang w:eastAsia="en-IN"/>
        </w:rPr>
        <w:t xml:space="preserve"> </w:t>
      </w:r>
      <w:r w:rsidRPr="00321C32">
        <w:rPr>
          <w:rFonts w:ascii="Arial" w:hAnsi="Arial" w:cs="Arial"/>
          <w:lang w:eastAsia="en-IN"/>
        </w:rPr>
        <w:t xml:space="preserve">such as lubricants, binders, disintegrants, diluents, and other functional agents. The purpose of these changes was to assess how various excipient ratios affected the compressibility, hardness, disintegration time, and general stability of tablets. </w:t>
      </w:r>
      <w:r w:rsidRPr="00321C32">
        <w:rPr>
          <w:rFonts w:ascii="Arial" w:hAnsi="Arial" w:cs="Arial"/>
        </w:rPr>
        <w:t xml:space="preserve">The tablets were manufactured using the direct compression method, a straightforward process where the dolutegravir sodium inclusion complex and selected excipients were blended to achieve a homogeneous mixture. The blend was then lubricated and directly compressed into tablets without needing a prior granulation step. This method is </w:t>
      </w:r>
      <w:proofErr w:type="spellStart"/>
      <w:r w:rsidRPr="00321C32">
        <w:rPr>
          <w:rFonts w:ascii="Arial" w:hAnsi="Arial" w:cs="Arial"/>
        </w:rPr>
        <w:t>favoured</w:t>
      </w:r>
      <w:proofErr w:type="spellEnd"/>
      <w:r w:rsidRPr="00321C32">
        <w:rPr>
          <w:rFonts w:ascii="Arial" w:hAnsi="Arial" w:cs="Arial"/>
        </w:rPr>
        <w:t xml:space="preserve"> for its simplicity, cost-effectiveness, and ability to maintain the stability of moisture-sensitive drugs. </w:t>
      </w:r>
      <w:r w:rsidR="0050666E" w:rsidRPr="0050666E">
        <w:rPr>
          <w:rFonts w:ascii="Arial" w:hAnsi="Arial" w:cs="Arial"/>
        </w:rPr>
        <w:t>(</w:t>
      </w:r>
      <w:proofErr w:type="spellStart"/>
      <w:r w:rsidR="0050666E" w:rsidRPr="0050666E">
        <w:rPr>
          <w:rFonts w:ascii="Arial" w:hAnsi="Arial" w:cs="Arial"/>
        </w:rPr>
        <w:t>Shirse</w:t>
      </w:r>
      <w:proofErr w:type="spellEnd"/>
      <w:r w:rsidR="0050666E" w:rsidRPr="0050666E">
        <w:rPr>
          <w:rFonts w:ascii="Arial" w:hAnsi="Arial" w:cs="Arial"/>
        </w:rPr>
        <w:t xml:space="preserve"> et al., 2012)</w:t>
      </w:r>
    </w:p>
    <w:p w14:paraId="3E479C07" w14:textId="77777777" w:rsidR="00232553" w:rsidRPr="00232553" w:rsidRDefault="00232553" w:rsidP="00232553">
      <w:pPr>
        <w:widowControl w:val="0"/>
        <w:tabs>
          <w:tab w:val="left" w:pos="762"/>
        </w:tabs>
        <w:spacing w:line="360" w:lineRule="auto"/>
        <w:jc w:val="both"/>
        <w:rPr>
          <w:rFonts w:ascii="Arial" w:hAnsi="Arial" w:cs="Arial"/>
          <w:b/>
        </w:rPr>
      </w:pPr>
      <w:r>
        <w:rPr>
          <w:rFonts w:ascii="Arial" w:hAnsi="Arial"/>
          <w:b/>
        </w:rPr>
        <w:t>Table 1.</w:t>
      </w:r>
      <w:r w:rsidRPr="00DC3180">
        <w:rPr>
          <w:rFonts w:ascii="Arial" w:hAnsi="Arial"/>
          <w:b/>
        </w:rPr>
        <w:tab/>
      </w:r>
      <w:r w:rsidRPr="00232553">
        <w:rPr>
          <w:rFonts w:ascii="Arial" w:hAnsi="Arial" w:cs="Arial"/>
          <w:b/>
        </w:rPr>
        <w:t xml:space="preserve">Formulation Table of Dolutegravir Sodium Inclusion Complex Tablets </w:t>
      </w:r>
    </w:p>
    <w:p w14:paraId="2516EBC0" w14:textId="5C397F59" w:rsidR="00232553" w:rsidRDefault="00232553" w:rsidP="00232553">
      <w:pPr>
        <w:tabs>
          <w:tab w:val="left" w:pos="1080"/>
        </w:tabs>
        <w:jc w:val="both"/>
        <w:rPr>
          <w:rFonts w:ascii="Arial" w:hAnsi="Arial"/>
          <w:b/>
        </w:rPr>
      </w:pPr>
    </w:p>
    <w:p w14:paraId="7B5EFB24" w14:textId="77777777" w:rsidR="00232553" w:rsidRPr="00DC3180" w:rsidRDefault="00232553" w:rsidP="00232553">
      <w:pPr>
        <w:tabs>
          <w:tab w:val="left" w:pos="1080"/>
        </w:tabs>
        <w:jc w:val="both"/>
        <w:rPr>
          <w:rFonts w:ascii="Arial" w:hAnsi="Arial"/>
          <w:b/>
        </w:rPr>
      </w:pPr>
    </w:p>
    <w:tbl>
      <w:tblPr>
        <w:tblW w:w="5911" w:type="dxa"/>
        <w:jc w:val="center"/>
        <w:tblLook w:val="01E0" w:firstRow="1" w:lastRow="1" w:firstColumn="1" w:lastColumn="1" w:noHBand="0" w:noVBand="0"/>
      </w:tblPr>
      <w:tblGrid>
        <w:gridCol w:w="2195"/>
        <w:gridCol w:w="550"/>
        <w:gridCol w:w="550"/>
        <w:gridCol w:w="872"/>
        <w:gridCol w:w="872"/>
        <w:gridCol w:w="872"/>
      </w:tblGrid>
      <w:tr w:rsidR="00232553" w:rsidRPr="00DC3180" w14:paraId="26CA3601" w14:textId="4C0060CC" w:rsidTr="00232553">
        <w:trPr>
          <w:trHeight w:val="195"/>
          <w:jc w:val="center"/>
        </w:trPr>
        <w:tc>
          <w:tcPr>
            <w:tcW w:w="2196" w:type="dxa"/>
            <w:tcBorders>
              <w:top w:val="single" w:sz="4" w:space="0" w:color="auto"/>
              <w:bottom w:val="single" w:sz="4" w:space="0" w:color="auto"/>
            </w:tcBorders>
            <w:vAlign w:val="center"/>
          </w:tcPr>
          <w:p w14:paraId="4D5E92CA" w14:textId="632CEBC2" w:rsidR="00232553" w:rsidRPr="00232553" w:rsidRDefault="00232553" w:rsidP="00232553">
            <w:pPr>
              <w:tabs>
                <w:tab w:val="right" w:pos="2934"/>
              </w:tabs>
              <w:jc w:val="both"/>
              <w:rPr>
                <w:rFonts w:ascii="Arial" w:hAnsi="Arial" w:cs="Arial"/>
                <w:b/>
                <w:bCs/>
              </w:rPr>
            </w:pPr>
            <w:r w:rsidRPr="00232553">
              <w:rPr>
                <w:rFonts w:ascii="Arial" w:hAnsi="Arial" w:cs="Arial"/>
                <w:b/>
              </w:rPr>
              <w:t>Ingredients in mg</w:t>
            </w:r>
          </w:p>
        </w:tc>
        <w:tc>
          <w:tcPr>
            <w:tcW w:w="527" w:type="dxa"/>
            <w:tcBorders>
              <w:top w:val="single" w:sz="4" w:space="0" w:color="auto"/>
              <w:bottom w:val="single" w:sz="4" w:space="0" w:color="auto"/>
            </w:tcBorders>
            <w:vAlign w:val="center"/>
          </w:tcPr>
          <w:p w14:paraId="05D57E7B" w14:textId="7150BF60" w:rsidR="00232553" w:rsidRPr="00232553" w:rsidRDefault="00232553" w:rsidP="00232553">
            <w:pPr>
              <w:tabs>
                <w:tab w:val="right" w:pos="2934"/>
              </w:tabs>
              <w:jc w:val="both"/>
              <w:rPr>
                <w:rFonts w:ascii="Arial" w:hAnsi="Arial" w:cs="Arial"/>
                <w:b/>
                <w:bCs/>
              </w:rPr>
            </w:pPr>
            <w:r w:rsidRPr="00232553">
              <w:rPr>
                <w:rFonts w:ascii="Arial" w:hAnsi="Arial" w:cs="Arial"/>
                <w:b/>
              </w:rPr>
              <w:t>F1</w:t>
            </w:r>
          </w:p>
        </w:tc>
        <w:tc>
          <w:tcPr>
            <w:tcW w:w="482" w:type="dxa"/>
            <w:tcBorders>
              <w:top w:val="single" w:sz="4" w:space="0" w:color="auto"/>
              <w:bottom w:val="single" w:sz="4" w:space="0" w:color="auto"/>
            </w:tcBorders>
            <w:vAlign w:val="center"/>
          </w:tcPr>
          <w:p w14:paraId="6A61E576" w14:textId="41CAAB67" w:rsidR="00232553" w:rsidRPr="00232553" w:rsidRDefault="00232553" w:rsidP="00232553">
            <w:pPr>
              <w:jc w:val="both"/>
              <w:rPr>
                <w:rFonts w:ascii="Arial" w:hAnsi="Arial" w:cs="Arial"/>
                <w:b/>
                <w:bCs/>
              </w:rPr>
            </w:pPr>
            <w:r w:rsidRPr="00232553">
              <w:rPr>
                <w:rFonts w:ascii="Arial" w:hAnsi="Arial" w:cs="Arial"/>
                <w:b/>
              </w:rPr>
              <w:t>F2</w:t>
            </w:r>
          </w:p>
        </w:tc>
        <w:tc>
          <w:tcPr>
            <w:tcW w:w="902" w:type="dxa"/>
            <w:tcBorders>
              <w:top w:val="single" w:sz="4" w:space="0" w:color="auto"/>
              <w:bottom w:val="single" w:sz="4" w:space="0" w:color="auto"/>
            </w:tcBorders>
            <w:vAlign w:val="center"/>
          </w:tcPr>
          <w:p w14:paraId="48ACC339" w14:textId="171E6D0E" w:rsidR="00232553" w:rsidRPr="00232553" w:rsidRDefault="00232553" w:rsidP="00232553">
            <w:pPr>
              <w:jc w:val="both"/>
              <w:rPr>
                <w:rFonts w:ascii="Arial" w:hAnsi="Arial" w:cs="Arial"/>
                <w:b/>
                <w:bCs/>
              </w:rPr>
            </w:pPr>
            <w:r w:rsidRPr="00232553">
              <w:rPr>
                <w:rFonts w:ascii="Arial" w:hAnsi="Arial" w:cs="Arial"/>
                <w:b/>
              </w:rPr>
              <w:t>F3</w:t>
            </w:r>
          </w:p>
        </w:tc>
        <w:tc>
          <w:tcPr>
            <w:tcW w:w="902" w:type="dxa"/>
            <w:tcBorders>
              <w:top w:val="single" w:sz="4" w:space="0" w:color="auto"/>
              <w:bottom w:val="single" w:sz="4" w:space="0" w:color="auto"/>
            </w:tcBorders>
            <w:vAlign w:val="center"/>
          </w:tcPr>
          <w:p w14:paraId="31DE1D60" w14:textId="054A7560" w:rsidR="00232553" w:rsidRPr="00232553" w:rsidRDefault="00232553" w:rsidP="00232553">
            <w:pPr>
              <w:jc w:val="both"/>
              <w:rPr>
                <w:rFonts w:ascii="Arial" w:hAnsi="Arial" w:cs="Arial"/>
                <w:b/>
                <w:bCs/>
              </w:rPr>
            </w:pPr>
            <w:r w:rsidRPr="00232553">
              <w:rPr>
                <w:rFonts w:ascii="Arial" w:hAnsi="Arial" w:cs="Arial"/>
                <w:b/>
              </w:rPr>
              <w:t>F4</w:t>
            </w:r>
          </w:p>
        </w:tc>
        <w:tc>
          <w:tcPr>
            <w:tcW w:w="902" w:type="dxa"/>
            <w:tcBorders>
              <w:top w:val="single" w:sz="4" w:space="0" w:color="auto"/>
              <w:bottom w:val="single" w:sz="4" w:space="0" w:color="auto"/>
            </w:tcBorders>
            <w:vAlign w:val="center"/>
          </w:tcPr>
          <w:p w14:paraId="458E5B75" w14:textId="14859BB3" w:rsidR="00232553" w:rsidRPr="00232553" w:rsidRDefault="00232553" w:rsidP="00232553">
            <w:pPr>
              <w:jc w:val="both"/>
              <w:rPr>
                <w:rFonts w:ascii="Arial" w:hAnsi="Arial" w:cs="Arial"/>
                <w:b/>
                <w:bCs/>
              </w:rPr>
            </w:pPr>
            <w:r w:rsidRPr="00232553">
              <w:rPr>
                <w:rFonts w:ascii="Arial" w:hAnsi="Arial" w:cs="Arial"/>
                <w:b/>
              </w:rPr>
              <w:t>F5</w:t>
            </w:r>
          </w:p>
        </w:tc>
      </w:tr>
      <w:tr w:rsidR="00232553" w:rsidRPr="00DC3180" w14:paraId="5666C0AC" w14:textId="0157802F" w:rsidTr="00232553">
        <w:trPr>
          <w:trHeight w:val="663"/>
          <w:jc w:val="center"/>
        </w:trPr>
        <w:tc>
          <w:tcPr>
            <w:tcW w:w="2196" w:type="dxa"/>
            <w:tcBorders>
              <w:top w:val="single" w:sz="4" w:space="0" w:color="auto"/>
            </w:tcBorders>
            <w:vAlign w:val="center"/>
          </w:tcPr>
          <w:p w14:paraId="62414066" w14:textId="4D5D634B" w:rsidR="00232553" w:rsidRPr="00232553" w:rsidRDefault="00232553" w:rsidP="00232553">
            <w:pPr>
              <w:jc w:val="both"/>
              <w:rPr>
                <w:rFonts w:ascii="Arial" w:hAnsi="Arial" w:cs="Arial"/>
                <w:b/>
                <w:bCs/>
              </w:rPr>
            </w:pPr>
            <w:r w:rsidRPr="00232553">
              <w:rPr>
                <w:rFonts w:ascii="Arial" w:hAnsi="Arial" w:cs="Arial"/>
                <w:b/>
              </w:rPr>
              <w:t>Inclusion Complex (</w:t>
            </w:r>
            <w:proofErr w:type="gramStart"/>
            <w:r w:rsidRPr="00232553">
              <w:rPr>
                <w:rFonts w:ascii="Arial" w:hAnsi="Arial" w:cs="Arial"/>
                <w:b/>
              </w:rPr>
              <w:t>1:1)</w:t>
            </w:r>
            <w:r w:rsidRPr="00232553">
              <w:rPr>
                <w:rFonts w:ascii="Cambria Math" w:eastAsia="Cambria Math" w:hAnsi="Cambria Math" w:cs="Cambria Math"/>
                <w:b/>
              </w:rPr>
              <w:t>≅</w:t>
            </w:r>
            <w:proofErr w:type="gramEnd"/>
            <w:r w:rsidRPr="00232553">
              <w:rPr>
                <w:rFonts w:ascii="Arial" w:hAnsi="Arial" w:cs="Arial"/>
                <w:b/>
              </w:rPr>
              <w:t>50mg of Dolutegravir sodium</w:t>
            </w:r>
          </w:p>
        </w:tc>
        <w:tc>
          <w:tcPr>
            <w:tcW w:w="527" w:type="dxa"/>
            <w:tcBorders>
              <w:top w:val="single" w:sz="4" w:space="0" w:color="auto"/>
            </w:tcBorders>
            <w:vAlign w:val="center"/>
          </w:tcPr>
          <w:p w14:paraId="61E88E89" w14:textId="64B2E1DD" w:rsidR="00232553" w:rsidRPr="00232553" w:rsidRDefault="00232553" w:rsidP="00232553">
            <w:pPr>
              <w:jc w:val="both"/>
              <w:rPr>
                <w:rFonts w:ascii="Arial" w:hAnsi="Arial" w:cs="Arial"/>
                <w:b/>
                <w:bCs/>
              </w:rPr>
            </w:pPr>
            <w:r w:rsidRPr="00232553">
              <w:rPr>
                <w:rFonts w:ascii="Arial" w:hAnsi="Arial" w:cs="Arial"/>
              </w:rPr>
              <w:t>180</w:t>
            </w:r>
          </w:p>
        </w:tc>
        <w:tc>
          <w:tcPr>
            <w:tcW w:w="482" w:type="dxa"/>
            <w:tcBorders>
              <w:top w:val="single" w:sz="4" w:space="0" w:color="auto"/>
            </w:tcBorders>
            <w:vAlign w:val="center"/>
          </w:tcPr>
          <w:p w14:paraId="1249EA6F" w14:textId="3D8FD232" w:rsidR="00232553" w:rsidRPr="00232553" w:rsidRDefault="00232553" w:rsidP="00232553">
            <w:pPr>
              <w:jc w:val="both"/>
              <w:rPr>
                <w:rFonts w:ascii="Arial" w:hAnsi="Arial" w:cs="Arial"/>
                <w:b/>
                <w:bCs/>
              </w:rPr>
            </w:pPr>
            <w:r w:rsidRPr="00232553">
              <w:rPr>
                <w:rFonts w:ascii="Arial" w:hAnsi="Arial" w:cs="Arial"/>
              </w:rPr>
              <w:t>180</w:t>
            </w:r>
          </w:p>
        </w:tc>
        <w:tc>
          <w:tcPr>
            <w:tcW w:w="902" w:type="dxa"/>
            <w:tcBorders>
              <w:top w:val="single" w:sz="4" w:space="0" w:color="auto"/>
            </w:tcBorders>
            <w:vAlign w:val="center"/>
          </w:tcPr>
          <w:p w14:paraId="38B36CEE" w14:textId="517FAC1E" w:rsidR="00232553" w:rsidRPr="00232553" w:rsidRDefault="00232553" w:rsidP="00232553">
            <w:pPr>
              <w:jc w:val="both"/>
              <w:rPr>
                <w:rFonts w:ascii="Arial" w:hAnsi="Arial" w:cs="Arial"/>
                <w:b/>
                <w:bCs/>
              </w:rPr>
            </w:pPr>
            <w:r w:rsidRPr="00232553">
              <w:rPr>
                <w:rFonts w:ascii="Arial" w:hAnsi="Arial" w:cs="Arial"/>
              </w:rPr>
              <w:t>180</w:t>
            </w:r>
          </w:p>
        </w:tc>
        <w:tc>
          <w:tcPr>
            <w:tcW w:w="902" w:type="dxa"/>
            <w:tcBorders>
              <w:top w:val="single" w:sz="4" w:space="0" w:color="auto"/>
            </w:tcBorders>
            <w:vAlign w:val="center"/>
          </w:tcPr>
          <w:p w14:paraId="40BDBD74" w14:textId="29FAE094" w:rsidR="00232553" w:rsidRPr="00232553" w:rsidRDefault="00232553" w:rsidP="00232553">
            <w:pPr>
              <w:jc w:val="both"/>
              <w:rPr>
                <w:rFonts w:ascii="Arial" w:hAnsi="Arial" w:cs="Arial"/>
                <w:b/>
                <w:bCs/>
              </w:rPr>
            </w:pPr>
            <w:r w:rsidRPr="00232553">
              <w:rPr>
                <w:rFonts w:ascii="Arial" w:hAnsi="Arial" w:cs="Arial"/>
              </w:rPr>
              <w:t>180</w:t>
            </w:r>
          </w:p>
        </w:tc>
        <w:tc>
          <w:tcPr>
            <w:tcW w:w="902" w:type="dxa"/>
            <w:tcBorders>
              <w:top w:val="single" w:sz="4" w:space="0" w:color="auto"/>
            </w:tcBorders>
            <w:vAlign w:val="center"/>
          </w:tcPr>
          <w:p w14:paraId="14DD3509" w14:textId="188653E7" w:rsidR="00232553" w:rsidRPr="00232553" w:rsidRDefault="00232553" w:rsidP="00232553">
            <w:pPr>
              <w:jc w:val="both"/>
              <w:rPr>
                <w:rFonts w:ascii="Arial" w:hAnsi="Arial" w:cs="Arial"/>
                <w:b/>
                <w:bCs/>
              </w:rPr>
            </w:pPr>
            <w:r w:rsidRPr="00232553">
              <w:rPr>
                <w:rFonts w:ascii="Arial" w:hAnsi="Arial" w:cs="Arial"/>
              </w:rPr>
              <w:t>180</w:t>
            </w:r>
          </w:p>
        </w:tc>
      </w:tr>
      <w:tr w:rsidR="00232553" w:rsidRPr="00DC3180" w14:paraId="1E85E995" w14:textId="05486953" w:rsidTr="00232553">
        <w:trPr>
          <w:trHeight w:val="195"/>
          <w:jc w:val="center"/>
        </w:trPr>
        <w:tc>
          <w:tcPr>
            <w:tcW w:w="2196" w:type="dxa"/>
            <w:vAlign w:val="center"/>
          </w:tcPr>
          <w:p w14:paraId="365B756B" w14:textId="12B70AB7" w:rsidR="00232553" w:rsidRPr="00232553" w:rsidRDefault="00232553" w:rsidP="00232553">
            <w:pPr>
              <w:jc w:val="both"/>
              <w:rPr>
                <w:rFonts w:ascii="Arial" w:hAnsi="Arial" w:cs="Arial"/>
              </w:rPr>
            </w:pPr>
            <w:r w:rsidRPr="00232553">
              <w:rPr>
                <w:rFonts w:ascii="Arial" w:hAnsi="Arial" w:cs="Arial"/>
                <w:b/>
              </w:rPr>
              <w:t>Spray dried lactose</w:t>
            </w:r>
          </w:p>
        </w:tc>
        <w:tc>
          <w:tcPr>
            <w:tcW w:w="527" w:type="dxa"/>
            <w:vAlign w:val="center"/>
          </w:tcPr>
          <w:p w14:paraId="785FB61D" w14:textId="744D78FE" w:rsidR="00232553" w:rsidRPr="00232553" w:rsidRDefault="00232553" w:rsidP="00232553">
            <w:pPr>
              <w:jc w:val="both"/>
              <w:rPr>
                <w:rFonts w:ascii="Arial" w:hAnsi="Arial" w:cs="Arial"/>
              </w:rPr>
            </w:pPr>
            <w:r w:rsidRPr="00232553">
              <w:rPr>
                <w:rFonts w:ascii="Arial" w:hAnsi="Arial" w:cs="Arial"/>
              </w:rPr>
              <w:t>30</w:t>
            </w:r>
          </w:p>
        </w:tc>
        <w:tc>
          <w:tcPr>
            <w:tcW w:w="482" w:type="dxa"/>
            <w:vAlign w:val="center"/>
          </w:tcPr>
          <w:p w14:paraId="0ADA7D69" w14:textId="5B278B54" w:rsidR="00232553" w:rsidRPr="00232553" w:rsidRDefault="00232553" w:rsidP="00232553">
            <w:pPr>
              <w:jc w:val="both"/>
              <w:rPr>
                <w:rFonts w:ascii="Arial" w:hAnsi="Arial" w:cs="Arial"/>
              </w:rPr>
            </w:pPr>
            <w:r w:rsidRPr="00232553">
              <w:rPr>
                <w:rFonts w:ascii="Arial" w:hAnsi="Arial" w:cs="Arial"/>
              </w:rPr>
              <w:t>30</w:t>
            </w:r>
          </w:p>
        </w:tc>
        <w:tc>
          <w:tcPr>
            <w:tcW w:w="902" w:type="dxa"/>
            <w:vAlign w:val="center"/>
          </w:tcPr>
          <w:p w14:paraId="1884177E" w14:textId="1718F474" w:rsidR="00232553" w:rsidRPr="00232553" w:rsidRDefault="00232553" w:rsidP="00232553">
            <w:pPr>
              <w:jc w:val="both"/>
              <w:rPr>
                <w:rFonts w:ascii="Arial" w:hAnsi="Arial" w:cs="Arial"/>
              </w:rPr>
            </w:pPr>
            <w:r w:rsidRPr="00232553">
              <w:rPr>
                <w:rFonts w:ascii="Arial" w:hAnsi="Arial" w:cs="Arial"/>
              </w:rPr>
              <w:t>30</w:t>
            </w:r>
          </w:p>
        </w:tc>
        <w:tc>
          <w:tcPr>
            <w:tcW w:w="902" w:type="dxa"/>
            <w:vAlign w:val="center"/>
          </w:tcPr>
          <w:p w14:paraId="5B41E795" w14:textId="3366BEF0" w:rsidR="00232553" w:rsidRPr="00232553" w:rsidRDefault="00232553" w:rsidP="00232553">
            <w:pPr>
              <w:jc w:val="both"/>
              <w:rPr>
                <w:rFonts w:ascii="Arial" w:hAnsi="Arial" w:cs="Arial"/>
              </w:rPr>
            </w:pPr>
            <w:r w:rsidRPr="00232553">
              <w:rPr>
                <w:rFonts w:ascii="Arial" w:hAnsi="Arial" w:cs="Arial"/>
              </w:rPr>
              <w:t>30</w:t>
            </w:r>
          </w:p>
        </w:tc>
        <w:tc>
          <w:tcPr>
            <w:tcW w:w="902" w:type="dxa"/>
            <w:vAlign w:val="center"/>
          </w:tcPr>
          <w:p w14:paraId="45FD45F8" w14:textId="07B7CAE4" w:rsidR="00232553" w:rsidRPr="00232553" w:rsidRDefault="00232553" w:rsidP="00232553">
            <w:pPr>
              <w:jc w:val="both"/>
              <w:rPr>
                <w:rFonts w:ascii="Arial" w:hAnsi="Arial" w:cs="Arial"/>
              </w:rPr>
            </w:pPr>
            <w:r w:rsidRPr="00232553">
              <w:rPr>
                <w:rFonts w:ascii="Arial" w:hAnsi="Arial" w:cs="Arial"/>
              </w:rPr>
              <w:t>30</w:t>
            </w:r>
          </w:p>
        </w:tc>
      </w:tr>
      <w:tr w:rsidR="00232553" w:rsidRPr="00DC3180" w14:paraId="012A707F" w14:textId="20720EC1" w:rsidTr="00232553">
        <w:trPr>
          <w:trHeight w:val="195"/>
          <w:jc w:val="center"/>
        </w:trPr>
        <w:tc>
          <w:tcPr>
            <w:tcW w:w="2196" w:type="dxa"/>
            <w:vAlign w:val="center"/>
          </w:tcPr>
          <w:p w14:paraId="3DAF7FCA" w14:textId="1322D97D" w:rsidR="00232553" w:rsidRPr="00232553" w:rsidRDefault="00232553" w:rsidP="00232553">
            <w:pPr>
              <w:jc w:val="both"/>
              <w:rPr>
                <w:rFonts w:ascii="Arial" w:hAnsi="Arial" w:cs="Arial"/>
              </w:rPr>
            </w:pPr>
            <w:r w:rsidRPr="00232553">
              <w:rPr>
                <w:rFonts w:ascii="Arial" w:hAnsi="Arial" w:cs="Arial"/>
                <w:b/>
              </w:rPr>
              <w:t>Polyvinylpyrrolidone</w:t>
            </w:r>
          </w:p>
        </w:tc>
        <w:tc>
          <w:tcPr>
            <w:tcW w:w="527" w:type="dxa"/>
            <w:vAlign w:val="center"/>
          </w:tcPr>
          <w:p w14:paraId="58A29EDB" w14:textId="30EF4E2B" w:rsidR="00232553" w:rsidRPr="00232553" w:rsidRDefault="00232553" w:rsidP="00232553">
            <w:pPr>
              <w:jc w:val="both"/>
              <w:rPr>
                <w:rFonts w:ascii="Arial" w:hAnsi="Arial" w:cs="Arial"/>
              </w:rPr>
            </w:pPr>
            <w:r w:rsidRPr="00232553">
              <w:rPr>
                <w:rFonts w:ascii="Arial" w:hAnsi="Arial" w:cs="Arial"/>
              </w:rPr>
              <w:t>10</w:t>
            </w:r>
          </w:p>
        </w:tc>
        <w:tc>
          <w:tcPr>
            <w:tcW w:w="482" w:type="dxa"/>
            <w:vAlign w:val="center"/>
          </w:tcPr>
          <w:p w14:paraId="71B50ACD" w14:textId="67968A15" w:rsidR="00232553" w:rsidRPr="00232553" w:rsidRDefault="00232553" w:rsidP="00232553">
            <w:pPr>
              <w:jc w:val="both"/>
              <w:rPr>
                <w:rFonts w:ascii="Arial" w:hAnsi="Arial" w:cs="Arial"/>
              </w:rPr>
            </w:pPr>
            <w:r w:rsidRPr="00232553">
              <w:rPr>
                <w:rFonts w:ascii="Arial" w:hAnsi="Arial" w:cs="Arial"/>
              </w:rPr>
              <w:t>10</w:t>
            </w:r>
          </w:p>
        </w:tc>
        <w:tc>
          <w:tcPr>
            <w:tcW w:w="902" w:type="dxa"/>
            <w:vAlign w:val="center"/>
          </w:tcPr>
          <w:p w14:paraId="5BBD1DBB" w14:textId="153C25E4" w:rsidR="00232553" w:rsidRPr="00232553" w:rsidRDefault="00232553" w:rsidP="00232553">
            <w:pPr>
              <w:jc w:val="both"/>
              <w:rPr>
                <w:rFonts w:ascii="Arial" w:hAnsi="Arial" w:cs="Arial"/>
              </w:rPr>
            </w:pPr>
            <w:r w:rsidRPr="00232553">
              <w:rPr>
                <w:rFonts w:ascii="Arial" w:hAnsi="Arial" w:cs="Arial"/>
              </w:rPr>
              <w:t>10</w:t>
            </w:r>
          </w:p>
        </w:tc>
        <w:tc>
          <w:tcPr>
            <w:tcW w:w="902" w:type="dxa"/>
            <w:vAlign w:val="center"/>
          </w:tcPr>
          <w:p w14:paraId="59CAD2EA" w14:textId="3F8662A3" w:rsidR="00232553" w:rsidRPr="00232553" w:rsidRDefault="00232553" w:rsidP="00232553">
            <w:pPr>
              <w:jc w:val="both"/>
              <w:rPr>
                <w:rFonts w:ascii="Arial" w:hAnsi="Arial" w:cs="Arial"/>
              </w:rPr>
            </w:pPr>
            <w:r w:rsidRPr="00232553">
              <w:rPr>
                <w:rFonts w:ascii="Arial" w:hAnsi="Arial" w:cs="Arial"/>
              </w:rPr>
              <w:t>10</w:t>
            </w:r>
          </w:p>
        </w:tc>
        <w:tc>
          <w:tcPr>
            <w:tcW w:w="902" w:type="dxa"/>
            <w:vAlign w:val="center"/>
          </w:tcPr>
          <w:p w14:paraId="52ACC134" w14:textId="2182D3A5" w:rsidR="00232553" w:rsidRPr="00232553" w:rsidRDefault="00232553" w:rsidP="00232553">
            <w:pPr>
              <w:jc w:val="both"/>
              <w:rPr>
                <w:rFonts w:ascii="Arial" w:hAnsi="Arial" w:cs="Arial"/>
              </w:rPr>
            </w:pPr>
            <w:r w:rsidRPr="00232553">
              <w:rPr>
                <w:rFonts w:ascii="Arial" w:hAnsi="Arial" w:cs="Arial"/>
              </w:rPr>
              <w:t>10</w:t>
            </w:r>
          </w:p>
        </w:tc>
      </w:tr>
      <w:tr w:rsidR="00232553" w:rsidRPr="00DC3180" w14:paraId="1C5E9106" w14:textId="487CBF7B" w:rsidTr="00232553">
        <w:trPr>
          <w:trHeight w:val="195"/>
          <w:jc w:val="center"/>
        </w:trPr>
        <w:tc>
          <w:tcPr>
            <w:tcW w:w="2196" w:type="dxa"/>
            <w:vAlign w:val="center"/>
          </w:tcPr>
          <w:p w14:paraId="1E35756B" w14:textId="3AFE3D11" w:rsidR="00232553" w:rsidRPr="00232553" w:rsidRDefault="00232553" w:rsidP="00232553">
            <w:pPr>
              <w:jc w:val="both"/>
              <w:rPr>
                <w:rFonts w:ascii="Arial" w:hAnsi="Arial" w:cs="Arial"/>
              </w:rPr>
            </w:pPr>
            <w:r w:rsidRPr="00232553">
              <w:rPr>
                <w:rFonts w:ascii="Arial" w:hAnsi="Arial" w:cs="Arial"/>
                <w:b/>
              </w:rPr>
              <w:t>Sodium starch glycolate</w:t>
            </w:r>
          </w:p>
        </w:tc>
        <w:tc>
          <w:tcPr>
            <w:tcW w:w="527" w:type="dxa"/>
            <w:vAlign w:val="center"/>
          </w:tcPr>
          <w:p w14:paraId="542A5848" w14:textId="32FE1EE9" w:rsidR="00232553" w:rsidRPr="00232553" w:rsidRDefault="00232553" w:rsidP="00232553">
            <w:pPr>
              <w:jc w:val="both"/>
              <w:rPr>
                <w:rFonts w:ascii="Arial" w:hAnsi="Arial" w:cs="Arial"/>
              </w:rPr>
            </w:pPr>
            <w:r w:rsidRPr="00232553">
              <w:rPr>
                <w:rFonts w:ascii="Arial" w:hAnsi="Arial" w:cs="Arial"/>
              </w:rPr>
              <w:t>-</w:t>
            </w:r>
          </w:p>
        </w:tc>
        <w:tc>
          <w:tcPr>
            <w:tcW w:w="482" w:type="dxa"/>
            <w:vAlign w:val="center"/>
          </w:tcPr>
          <w:p w14:paraId="77899912" w14:textId="59F48C70" w:rsidR="00232553" w:rsidRPr="00232553" w:rsidRDefault="00232553" w:rsidP="00232553">
            <w:pPr>
              <w:jc w:val="both"/>
              <w:rPr>
                <w:rFonts w:ascii="Arial" w:hAnsi="Arial" w:cs="Arial"/>
              </w:rPr>
            </w:pPr>
            <w:r w:rsidRPr="00232553">
              <w:rPr>
                <w:rFonts w:ascii="Arial" w:hAnsi="Arial" w:cs="Arial"/>
              </w:rPr>
              <w:t>5</w:t>
            </w:r>
          </w:p>
        </w:tc>
        <w:tc>
          <w:tcPr>
            <w:tcW w:w="902" w:type="dxa"/>
            <w:vAlign w:val="center"/>
          </w:tcPr>
          <w:p w14:paraId="5C49F591" w14:textId="15BC7C95" w:rsidR="00232553" w:rsidRPr="00232553" w:rsidRDefault="00232553" w:rsidP="00232553">
            <w:pPr>
              <w:jc w:val="both"/>
              <w:rPr>
                <w:rFonts w:ascii="Arial" w:hAnsi="Arial" w:cs="Arial"/>
              </w:rPr>
            </w:pPr>
            <w:r w:rsidRPr="00232553">
              <w:rPr>
                <w:rFonts w:ascii="Arial" w:hAnsi="Arial" w:cs="Arial"/>
              </w:rPr>
              <w:t>10</w:t>
            </w:r>
          </w:p>
        </w:tc>
        <w:tc>
          <w:tcPr>
            <w:tcW w:w="902" w:type="dxa"/>
            <w:vAlign w:val="center"/>
          </w:tcPr>
          <w:p w14:paraId="07A50BF3" w14:textId="7B041613" w:rsidR="00232553" w:rsidRPr="00232553" w:rsidRDefault="00232553" w:rsidP="00232553">
            <w:pPr>
              <w:jc w:val="both"/>
              <w:rPr>
                <w:rFonts w:ascii="Arial" w:hAnsi="Arial" w:cs="Arial"/>
              </w:rPr>
            </w:pPr>
            <w:r w:rsidRPr="00232553">
              <w:rPr>
                <w:rFonts w:ascii="Arial" w:hAnsi="Arial" w:cs="Arial"/>
              </w:rPr>
              <w:t>15</w:t>
            </w:r>
          </w:p>
        </w:tc>
        <w:tc>
          <w:tcPr>
            <w:tcW w:w="902" w:type="dxa"/>
            <w:vAlign w:val="center"/>
          </w:tcPr>
          <w:p w14:paraId="74CAB87B" w14:textId="66CFCEB6" w:rsidR="00232553" w:rsidRPr="00232553" w:rsidRDefault="00232553" w:rsidP="00232553">
            <w:pPr>
              <w:jc w:val="both"/>
              <w:rPr>
                <w:rFonts w:ascii="Arial" w:hAnsi="Arial" w:cs="Arial"/>
              </w:rPr>
            </w:pPr>
            <w:r w:rsidRPr="00232553">
              <w:rPr>
                <w:rFonts w:ascii="Arial" w:hAnsi="Arial" w:cs="Arial"/>
              </w:rPr>
              <w:t>20</w:t>
            </w:r>
          </w:p>
        </w:tc>
      </w:tr>
      <w:tr w:rsidR="00232553" w:rsidRPr="00DC3180" w14:paraId="30C00BB7" w14:textId="20144EFB" w:rsidTr="00232553">
        <w:trPr>
          <w:trHeight w:val="195"/>
          <w:jc w:val="center"/>
        </w:trPr>
        <w:tc>
          <w:tcPr>
            <w:tcW w:w="2196" w:type="dxa"/>
            <w:vAlign w:val="center"/>
          </w:tcPr>
          <w:p w14:paraId="3738DE0D" w14:textId="467998E8" w:rsidR="00232553" w:rsidRPr="00232553" w:rsidRDefault="00232553" w:rsidP="00232553">
            <w:pPr>
              <w:jc w:val="both"/>
              <w:rPr>
                <w:rFonts w:ascii="Arial" w:hAnsi="Arial" w:cs="Arial"/>
              </w:rPr>
            </w:pPr>
            <w:r w:rsidRPr="00232553">
              <w:rPr>
                <w:rFonts w:ascii="Arial" w:hAnsi="Arial" w:cs="Arial"/>
                <w:b/>
              </w:rPr>
              <w:t>Talc</w:t>
            </w:r>
          </w:p>
        </w:tc>
        <w:tc>
          <w:tcPr>
            <w:tcW w:w="527" w:type="dxa"/>
            <w:vAlign w:val="center"/>
          </w:tcPr>
          <w:p w14:paraId="72EE4262" w14:textId="4D3A070A" w:rsidR="00232553" w:rsidRPr="00232553" w:rsidRDefault="00232553" w:rsidP="00232553">
            <w:pPr>
              <w:jc w:val="both"/>
              <w:rPr>
                <w:rFonts w:ascii="Arial" w:hAnsi="Arial" w:cs="Arial"/>
              </w:rPr>
            </w:pPr>
            <w:r w:rsidRPr="00232553">
              <w:rPr>
                <w:rFonts w:ascii="Arial" w:hAnsi="Arial" w:cs="Arial"/>
              </w:rPr>
              <w:t>4</w:t>
            </w:r>
          </w:p>
        </w:tc>
        <w:tc>
          <w:tcPr>
            <w:tcW w:w="482" w:type="dxa"/>
            <w:vAlign w:val="center"/>
          </w:tcPr>
          <w:p w14:paraId="39759413" w14:textId="462CEC30" w:rsidR="00232553" w:rsidRPr="00232553" w:rsidRDefault="00232553" w:rsidP="00232553">
            <w:pPr>
              <w:jc w:val="both"/>
              <w:rPr>
                <w:rFonts w:ascii="Arial" w:hAnsi="Arial" w:cs="Arial"/>
              </w:rPr>
            </w:pPr>
            <w:r w:rsidRPr="00232553">
              <w:rPr>
                <w:rFonts w:ascii="Arial" w:hAnsi="Arial" w:cs="Arial"/>
              </w:rPr>
              <w:t>4</w:t>
            </w:r>
          </w:p>
        </w:tc>
        <w:tc>
          <w:tcPr>
            <w:tcW w:w="902" w:type="dxa"/>
            <w:vAlign w:val="center"/>
          </w:tcPr>
          <w:p w14:paraId="1C84E132" w14:textId="446DDA4F" w:rsidR="00232553" w:rsidRPr="00232553" w:rsidRDefault="00232553" w:rsidP="00232553">
            <w:pPr>
              <w:jc w:val="both"/>
              <w:rPr>
                <w:rFonts w:ascii="Arial" w:hAnsi="Arial" w:cs="Arial"/>
              </w:rPr>
            </w:pPr>
            <w:r w:rsidRPr="00232553">
              <w:rPr>
                <w:rFonts w:ascii="Arial" w:hAnsi="Arial" w:cs="Arial"/>
              </w:rPr>
              <w:t>4</w:t>
            </w:r>
          </w:p>
        </w:tc>
        <w:tc>
          <w:tcPr>
            <w:tcW w:w="902" w:type="dxa"/>
            <w:vAlign w:val="center"/>
          </w:tcPr>
          <w:p w14:paraId="56D594D5" w14:textId="455CDF9E" w:rsidR="00232553" w:rsidRPr="00232553" w:rsidRDefault="00232553" w:rsidP="00232553">
            <w:pPr>
              <w:jc w:val="both"/>
              <w:rPr>
                <w:rFonts w:ascii="Arial" w:hAnsi="Arial" w:cs="Arial"/>
              </w:rPr>
            </w:pPr>
            <w:r w:rsidRPr="00232553">
              <w:rPr>
                <w:rFonts w:ascii="Arial" w:hAnsi="Arial" w:cs="Arial"/>
              </w:rPr>
              <w:t>4</w:t>
            </w:r>
          </w:p>
        </w:tc>
        <w:tc>
          <w:tcPr>
            <w:tcW w:w="902" w:type="dxa"/>
            <w:vAlign w:val="center"/>
          </w:tcPr>
          <w:p w14:paraId="4626B63F" w14:textId="16FB7EDA" w:rsidR="00232553" w:rsidRPr="00232553" w:rsidRDefault="00232553" w:rsidP="00232553">
            <w:pPr>
              <w:jc w:val="both"/>
              <w:rPr>
                <w:rFonts w:ascii="Arial" w:hAnsi="Arial" w:cs="Arial"/>
              </w:rPr>
            </w:pPr>
            <w:r w:rsidRPr="00232553">
              <w:rPr>
                <w:rFonts w:ascii="Arial" w:hAnsi="Arial" w:cs="Arial"/>
              </w:rPr>
              <w:t>4</w:t>
            </w:r>
          </w:p>
        </w:tc>
      </w:tr>
      <w:tr w:rsidR="00232553" w:rsidRPr="00DC3180" w14:paraId="7112A3AE" w14:textId="562A582A" w:rsidTr="00232553">
        <w:trPr>
          <w:trHeight w:val="195"/>
          <w:jc w:val="center"/>
        </w:trPr>
        <w:tc>
          <w:tcPr>
            <w:tcW w:w="2196" w:type="dxa"/>
            <w:vAlign w:val="center"/>
          </w:tcPr>
          <w:p w14:paraId="6E5ECB6E" w14:textId="731E4757" w:rsidR="00232553" w:rsidRPr="00232553" w:rsidRDefault="00232553" w:rsidP="00232553">
            <w:pPr>
              <w:jc w:val="both"/>
              <w:rPr>
                <w:rFonts w:ascii="Arial" w:hAnsi="Arial" w:cs="Arial"/>
                <w:b/>
              </w:rPr>
            </w:pPr>
            <w:r w:rsidRPr="00232553">
              <w:rPr>
                <w:rFonts w:ascii="Arial" w:hAnsi="Arial" w:cs="Arial"/>
                <w:b/>
              </w:rPr>
              <w:t>Magnesium stearate</w:t>
            </w:r>
          </w:p>
        </w:tc>
        <w:tc>
          <w:tcPr>
            <w:tcW w:w="527" w:type="dxa"/>
            <w:vAlign w:val="center"/>
          </w:tcPr>
          <w:p w14:paraId="45AF33E5" w14:textId="493E2B7D" w:rsidR="00232553" w:rsidRPr="00232553" w:rsidRDefault="00232553" w:rsidP="00232553">
            <w:pPr>
              <w:jc w:val="both"/>
              <w:rPr>
                <w:rFonts w:ascii="Arial" w:hAnsi="Arial" w:cs="Arial"/>
              </w:rPr>
            </w:pPr>
            <w:r w:rsidRPr="00232553">
              <w:rPr>
                <w:rFonts w:ascii="Arial" w:hAnsi="Arial" w:cs="Arial"/>
              </w:rPr>
              <w:t>1</w:t>
            </w:r>
          </w:p>
        </w:tc>
        <w:tc>
          <w:tcPr>
            <w:tcW w:w="482" w:type="dxa"/>
            <w:vAlign w:val="center"/>
          </w:tcPr>
          <w:p w14:paraId="6D66B89F" w14:textId="71174063" w:rsidR="00232553" w:rsidRPr="00232553" w:rsidRDefault="00232553" w:rsidP="00232553">
            <w:pPr>
              <w:jc w:val="both"/>
              <w:rPr>
                <w:rFonts w:ascii="Arial" w:hAnsi="Arial" w:cs="Arial"/>
              </w:rPr>
            </w:pPr>
            <w:r w:rsidRPr="00232553">
              <w:rPr>
                <w:rFonts w:ascii="Arial" w:hAnsi="Arial" w:cs="Arial"/>
              </w:rPr>
              <w:t>1</w:t>
            </w:r>
          </w:p>
        </w:tc>
        <w:tc>
          <w:tcPr>
            <w:tcW w:w="902" w:type="dxa"/>
            <w:vAlign w:val="center"/>
          </w:tcPr>
          <w:p w14:paraId="18C5A333" w14:textId="240DF7F9" w:rsidR="00232553" w:rsidRPr="00232553" w:rsidRDefault="00232553" w:rsidP="00232553">
            <w:pPr>
              <w:jc w:val="both"/>
              <w:rPr>
                <w:rFonts w:ascii="Arial" w:hAnsi="Arial" w:cs="Arial"/>
              </w:rPr>
            </w:pPr>
            <w:r w:rsidRPr="00232553">
              <w:rPr>
                <w:rFonts w:ascii="Arial" w:hAnsi="Arial" w:cs="Arial"/>
              </w:rPr>
              <w:t>1</w:t>
            </w:r>
          </w:p>
        </w:tc>
        <w:tc>
          <w:tcPr>
            <w:tcW w:w="902" w:type="dxa"/>
            <w:vAlign w:val="center"/>
          </w:tcPr>
          <w:p w14:paraId="6AEA5437" w14:textId="46EED569" w:rsidR="00232553" w:rsidRPr="00232553" w:rsidRDefault="00232553" w:rsidP="00232553">
            <w:pPr>
              <w:jc w:val="both"/>
              <w:rPr>
                <w:rFonts w:ascii="Arial" w:hAnsi="Arial" w:cs="Arial"/>
              </w:rPr>
            </w:pPr>
            <w:r w:rsidRPr="00232553">
              <w:rPr>
                <w:rFonts w:ascii="Arial" w:hAnsi="Arial" w:cs="Arial"/>
              </w:rPr>
              <w:t>1</w:t>
            </w:r>
          </w:p>
        </w:tc>
        <w:tc>
          <w:tcPr>
            <w:tcW w:w="902" w:type="dxa"/>
            <w:vAlign w:val="center"/>
          </w:tcPr>
          <w:p w14:paraId="318535D3" w14:textId="537E01B3" w:rsidR="00232553" w:rsidRPr="00232553" w:rsidRDefault="00232553" w:rsidP="00232553">
            <w:pPr>
              <w:jc w:val="both"/>
              <w:rPr>
                <w:rFonts w:ascii="Arial" w:hAnsi="Arial" w:cs="Arial"/>
              </w:rPr>
            </w:pPr>
            <w:r w:rsidRPr="00232553">
              <w:rPr>
                <w:rFonts w:ascii="Arial" w:hAnsi="Arial" w:cs="Arial"/>
              </w:rPr>
              <w:t>1</w:t>
            </w:r>
          </w:p>
        </w:tc>
      </w:tr>
      <w:tr w:rsidR="00232553" w:rsidRPr="00DC3180" w14:paraId="34D0139E" w14:textId="5E6EAF13" w:rsidTr="00232553">
        <w:trPr>
          <w:trHeight w:val="195"/>
          <w:jc w:val="center"/>
        </w:trPr>
        <w:tc>
          <w:tcPr>
            <w:tcW w:w="2196" w:type="dxa"/>
            <w:tcBorders>
              <w:bottom w:val="single" w:sz="4" w:space="0" w:color="auto"/>
            </w:tcBorders>
            <w:vAlign w:val="center"/>
          </w:tcPr>
          <w:p w14:paraId="138C62CF" w14:textId="2D8D58BC" w:rsidR="00232553" w:rsidRPr="00232553" w:rsidRDefault="00232553" w:rsidP="00232553">
            <w:pPr>
              <w:jc w:val="both"/>
              <w:rPr>
                <w:rFonts w:ascii="Arial" w:hAnsi="Arial" w:cs="Arial"/>
                <w:b/>
              </w:rPr>
            </w:pPr>
            <w:r w:rsidRPr="00232553">
              <w:rPr>
                <w:rFonts w:ascii="Arial" w:hAnsi="Arial" w:cs="Arial"/>
                <w:b/>
              </w:rPr>
              <w:t>Total weight in mg</w:t>
            </w:r>
          </w:p>
        </w:tc>
        <w:tc>
          <w:tcPr>
            <w:tcW w:w="527" w:type="dxa"/>
            <w:tcBorders>
              <w:bottom w:val="single" w:sz="4" w:space="0" w:color="auto"/>
            </w:tcBorders>
            <w:vAlign w:val="center"/>
          </w:tcPr>
          <w:p w14:paraId="0BB753A7" w14:textId="241400BA" w:rsidR="00232553" w:rsidRPr="00232553" w:rsidRDefault="00232553" w:rsidP="00232553">
            <w:pPr>
              <w:jc w:val="both"/>
              <w:rPr>
                <w:rFonts w:ascii="Arial" w:hAnsi="Arial" w:cs="Arial"/>
              </w:rPr>
            </w:pPr>
            <w:r w:rsidRPr="00232553">
              <w:rPr>
                <w:rFonts w:ascii="Arial" w:hAnsi="Arial" w:cs="Arial"/>
              </w:rPr>
              <w:t>225</w:t>
            </w:r>
          </w:p>
        </w:tc>
        <w:tc>
          <w:tcPr>
            <w:tcW w:w="482" w:type="dxa"/>
            <w:tcBorders>
              <w:bottom w:val="single" w:sz="4" w:space="0" w:color="auto"/>
            </w:tcBorders>
            <w:vAlign w:val="center"/>
          </w:tcPr>
          <w:p w14:paraId="1310E6D7" w14:textId="2E6CAB19" w:rsidR="00232553" w:rsidRPr="00232553" w:rsidRDefault="00232553" w:rsidP="00232553">
            <w:pPr>
              <w:jc w:val="both"/>
              <w:rPr>
                <w:rFonts w:ascii="Arial" w:hAnsi="Arial" w:cs="Arial"/>
              </w:rPr>
            </w:pPr>
            <w:r w:rsidRPr="00232553">
              <w:rPr>
                <w:rFonts w:ascii="Arial" w:hAnsi="Arial" w:cs="Arial"/>
              </w:rPr>
              <w:t>230</w:t>
            </w:r>
          </w:p>
        </w:tc>
        <w:tc>
          <w:tcPr>
            <w:tcW w:w="902" w:type="dxa"/>
            <w:tcBorders>
              <w:bottom w:val="single" w:sz="4" w:space="0" w:color="auto"/>
            </w:tcBorders>
            <w:vAlign w:val="center"/>
          </w:tcPr>
          <w:p w14:paraId="0A74904A" w14:textId="19ECBB85" w:rsidR="00232553" w:rsidRPr="00232553" w:rsidRDefault="00232553" w:rsidP="00232553">
            <w:pPr>
              <w:jc w:val="both"/>
              <w:rPr>
                <w:rFonts w:ascii="Arial" w:hAnsi="Arial" w:cs="Arial"/>
              </w:rPr>
            </w:pPr>
            <w:r w:rsidRPr="00232553">
              <w:rPr>
                <w:rFonts w:ascii="Arial" w:hAnsi="Arial" w:cs="Arial"/>
              </w:rPr>
              <w:t>235</w:t>
            </w:r>
          </w:p>
        </w:tc>
        <w:tc>
          <w:tcPr>
            <w:tcW w:w="902" w:type="dxa"/>
            <w:tcBorders>
              <w:bottom w:val="single" w:sz="4" w:space="0" w:color="auto"/>
            </w:tcBorders>
            <w:vAlign w:val="center"/>
          </w:tcPr>
          <w:p w14:paraId="35A0A69A" w14:textId="29E2A433" w:rsidR="00232553" w:rsidRPr="00232553" w:rsidRDefault="00232553" w:rsidP="00232553">
            <w:pPr>
              <w:jc w:val="both"/>
              <w:rPr>
                <w:rFonts w:ascii="Arial" w:hAnsi="Arial" w:cs="Arial"/>
              </w:rPr>
            </w:pPr>
            <w:r w:rsidRPr="00232553">
              <w:rPr>
                <w:rFonts w:ascii="Arial" w:hAnsi="Arial" w:cs="Arial"/>
              </w:rPr>
              <w:t>240</w:t>
            </w:r>
          </w:p>
        </w:tc>
        <w:tc>
          <w:tcPr>
            <w:tcW w:w="902" w:type="dxa"/>
            <w:tcBorders>
              <w:bottom w:val="single" w:sz="4" w:space="0" w:color="auto"/>
            </w:tcBorders>
            <w:vAlign w:val="center"/>
          </w:tcPr>
          <w:p w14:paraId="573F5A6C" w14:textId="76C20BEB" w:rsidR="00232553" w:rsidRPr="00232553" w:rsidRDefault="00232553" w:rsidP="00232553">
            <w:pPr>
              <w:jc w:val="both"/>
              <w:rPr>
                <w:rFonts w:ascii="Arial" w:hAnsi="Arial" w:cs="Arial"/>
              </w:rPr>
            </w:pPr>
            <w:r w:rsidRPr="00232553">
              <w:rPr>
                <w:rFonts w:ascii="Arial" w:hAnsi="Arial" w:cs="Arial"/>
              </w:rPr>
              <w:t>245</w:t>
            </w:r>
          </w:p>
        </w:tc>
      </w:tr>
    </w:tbl>
    <w:p w14:paraId="5C205A74" w14:textId="77777777" w:rsidR="00232553" w:rsidRDefault="00232553" w:rsidP="00321C32">
      <w:pPr>
        <w:widowControl w:val="0"/>
        <w:tabs>
          <w:tab w:val="left" w:pos="762"/>
        </w:tabs>
        <w:spacing w:line="360" w:lineRule="auto"/>
        <w:jc w:val="both"/>
        <w:rPr>
          <w:rFonts w:ascii="Arial" w:hAnsi="Arial" w:cs="Arial"/>
          <w:vertAlign w:val="superscript"/>
        </w:rPr>
      </w:pPr>
    </w:p>
    <w:p w14:paraId="01F37E4E" w14:textId="77777777"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rPr>
      </w:pPr>
      <w:r w:rsidRPr="00232553">
        <w:rPr>
          <w:rFonts w:ascii="Arial" w:hAnsi="Arial" w:cs="Arial"/>
          <w:b/>
          <w:bCs/>
        </w:rPr>
        <w:t xml:space="preserve">EVALUATION OF PREPARED TABLETS WITH DOLUTEGRAVIR SODIUM INCLUSION </w:t>
      </w:r>
      <w:r w:rsidRPr="00232553">
        <w:rPr>
          <w:rFonts w:ascii="Arial" w:hAnsi="Arial" w:cs="Arial"/>
          <w:b/>
          <w:bCs/>
        </w:rPr>
        <w:lastRenderedPageBreak/>
        <w:t>COMPLEXES</w:t>
      </w:r>
    </w:p>
    <w:p w14:paraId="75411A73" w14:textId="77777777"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 xml:space="preserve">Weight Variation Test: </w:t>
      </w:r>
      <w:r w:rsidRPr="00232553">
        <w:rPr>
          <w:rFonts w:ascii="Arial" w:hAnsi="Arial" w:cs="Arial"/>
          <w:i/>
          <w:iCs/>
        </w:rPr>
        <w:t xml:space="preserve"> </w:t>
      </w:r>
    </w:p>
    <w:p w14:paraId="31552E8C" w14:textId="0D0D86B8" w:rsidR="00232553" w:rsidRPr="0050666E" w:rsidRDefault="00232553" w:rsidP="00232553">
      <w:pPr>
        <w:widowControl w:val="0"/>
        <w:tabs>
          <w:tab w:val="left" w:pos="762"/>
        </w:tabs>
        <w:autoSpaceDE w:val="0"/>
        <w:autoSpaceDN w:val="0"/>
        <w:spacing w:line="360" w:lineRule="auto"/>
        <w:jc w:val="both"/>
        <w:outlineLvl w:val="1"/>
        <w:rPr>
          <w:rFonts w:ascii="Arial" w:hAnsi="Arial" w:cs="Arial"/>
          <w:b/>
          <w:bCs/>
        </w:rPr>
      </w:pPr>
      <w:r w:rsidRPr="00232553">
        <w:rPr>
          <w:rFonts w:ascii="Arial" w:hAnsi="Arial" w:cs="Arial"/>
        </w:rPr>
        <w:t xml:space="preserve"> Twenty tablets are randomly selected from each batch and weighed individually using a calibrated analytical balance. The average weight of the tablets is then calculated. Each tablet's individual weight is compared to this average to determine the percentage deviation. </w:t>
      </w:r>
      <w:r w:rsidR="0050666E" w:rsidRPr="0050666E">
        <w:rPr>
          <w:rFonts w:ascii="Arial" w:hAnsi="Arial" w:cs="Arial"/>
        </w:rPr>
        <w:t>(British Pharmacopoeia)</w:t>
      </w:r>
    </w:p>
    <w:p w14:paraId="75AA3C9A" w14:textId="3512E7D9"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Hardness Test</w:t>
      </w:r>
    </w:p>
    <w:p w14:paraId="1EE3CB65" w14:textId="037811D3" w:rsidR="00232553" w:rsidRPr="0050666E" w:rsidRDefault="00232553" w:rsidP="00232553">
      <w:pPr>
        <w:widowControl w:val="0"/>
        <w:tabs>
          <w:tab w:val="left" w:pos="762"/>
        </w:tabs>
        <w:autoSpaceDE w:val="0"/>
        <w:autoSpaceDN w:val="0"/>
        <w:spacing w:line="360" w:lineRule="auto"/>
        <w:jc w:val="both"/>
        <w:outlineLvl w:val="1"/>
        <w:rPr>
          <w:rFonts w:ascii="Arial" w:hAnsi="Arial" w:cs="Arial"/>
          <w:b/>
          <w:bCs/>
          <w:u w:val="single"/>
          <w:vertAlign w:val="superscript"/>
        </w:rPr>
      </w:pPr>
      <w:r w:rsidRPr="00232553">
        <w:rPr>
          <w:rFonts w:ascii="Arial" w:hAnsi="Arial" w:cs="Arial"/>
        </w:rPr>
        <w:t xml:space="preserve">At least 10 tablets were selected from the batch for this test. Each tablet is placed in a hardness tester, such as a Monsanto or Pfizer tester, where force is gradually applied until the tablet breaks. </w:t>
      </w:r>
      <w:r w:rsidR="0050666E" w:rsidRPr="0050666E">
        <w:rPr>
          <w:rFonts w:ascii="Arial" w:hAnsi="Arial" w:cs="Arial"/>
        </w:rPr>
        <w:t>(United States Pharmacopeia)</w:t>
      </w:r>
    </w:p>
    <w:p w14:paraId="7B6AC4BC" w14:textId="2AFF0FD2"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Friability Test</w:t>
      </w:r>
    </w:p>
    <w:p w14:paraId="4A0A57F5" w14:textId="13C79CB3" w:rsidR="00232553" w:rsidRPr="00DE65A6" w:rsidRDefault="00232553" w:rsidP="00232553">
      <w:pPr>
        <w:widowControl w:val="0"/>
        <w:tabs>
          <w:tab w:val="left" w:pos="762"/>
        </w:tabs>
        <w:autoSpaceDE w:val="0"/>
        <w:autoSpaceDN w:val="0"/>
        <w:spacing w:line="360" w:lineRule="auto"/>
        <w:jc w:val="both"/>
        <w:outlineLvl w:val="1"/>
        <w:rPr>
          <w:rFonts w:ascii="Arial" w:hAnsi="Arial" w:cs="Arial"/>
        </w:rPr>
      </w:pPr>
      <w:r w:rsidRPr="00232553">
        <w:rPr>
          <w:rFonts w:ascii="Arial" w:hAnsi="Arial" w:cs="Arial"/>
        </w:rPr>
        <w:t xml:space="preserve">The friability test evaluates the tablet’s resistance to abrasion and chipping during handling. A sample of 10 tablets were weighed and recorded as the initial weight (W1). These tablets are then placed in a </w:t>
      </w:r>
      <w:proofErr w:type="spellStart"/>
      <w:r w:rsidRPr="00232553">
        <w:rPr>
          <w:rFonts w:ascii="Arial" w:hAnsi="Arial" w:cs="Arial"/>
        </w:rPr>
        <w:t>friabilator</w:t>
      </w:r>
      <w:proofErr w:type="spellEnd"/>
      <w:r w:rsidRPr="00232553">
        <w:rPr>
          <w:rFonts w:ascii="Arial" w:hAnsi="Arial" w:cs="Arial"/>
        </w:rPr>
        <w:t xml:space="preserve"> and rotated at a speed of 25 rpm for four minutes or 100 revolutions. Afterward, the tablets are removed, dusted off to remove any loose particles, and weighed again to obtain the final weight (W2). The percentage weight loss is calculated using the formula: Friability (%) = [(W1 - W2) / W1] × 100. A friability loss of less than 1% is generally considered </w:t>
      </w:r>
      <w:proofErr w:type="gramStart"/>
      <w:r w:rsidRPr="00232553">
        <w:rPr>
          <w:rFonts w:ascii="Arial" w:hAnsi="Arial" w:cs="Arial"/>
        </w:rPr>
        <w:t>acceptable</w:t>
      </w:r>
      <w:r w:rsidR="00DE65A6">
        <w:rPr>
          <w:rFonts w:ascii="Arial" w:hAnsi="Arial" w:cs="Arial"/>
        </w:rPr>
        <w:t>.</w:t>
      </w:r>
      <w:r w:rsidR="00DE65A6" w:rsidRPr="00DE65A6">
        <w:rPr>
          <w:rFonts w:ascii="Arial" w:hAnsi="Arial" w:cs="Arial"/>
        </w:rPr>
        <w:t>(</w:t>
      </w:r>
      <w:proofErr w:type="gramEnd"/>
      <w:r w:rsidR="00DE65A6" w:rsidRPr="00DE65A6">
        <w:rPr>
          <w:rFonts w:ascii="Arial" w:hAnsi="Arial" w:cs="Arial"/>
        </w:rPr>
        <w:t>Aulton &amp; Taylor, 2017)</w:t>
      </w:r>
    </w:p>
    <w:p w14:paraId="056089B6" w14:textId="73AAA337"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Disintegration Test</w:t>
      </w:r>
    </w:p>
    <w:p w14:paraId="638FD0E0" w14:textId="3856861A" w:rsidR="00232553" w:rsidRPr="00DE65A6" w:rsidRDefault="00232553" w:rsidP="00232553">
      <w:pPr>
        <w:widowControl w:val="0"/>
        <w:tabs>
          <w:tab w:val="left" w:pos="762"/>
        </w:tabs>
        <w:autoSpaceDE w:val="0"/>
        <w:autoSpaceDN w:val="0"/>
        <w:spacing w:line="360" w:lineRule="auto"/>
        <w:jc w:val="both"/>
        <w:outlineLvl w:val="1"/>
        <w:rPr>
          <w:rFonts w:ascii="Arial" w:hAnsi="Arial" w:cs="Arial"/>
        </w:rPr>
      </w:pPr>
      <w:r w:rsidRPr="00232553">
        <w:rPr>
          <w:rFonts w:ascii="Arial" w:hAnsi="Arial" w:cs="Arial"/>
        </w:rPr>
        <w:t xml:space="preserve">Six tablets were placed into the disintegration test apparatus, each fitted into tubes with a disc. The tubes were submerged in a water bath maintained at 37 ± 2°C. The apparatus was operated, and the time taken for each tablet to disintegrate completely was recorded. Tablets were considered to have passed this test if they disintegrated within the time specified by pharmacopeial standards, usually within 15 minutes for immediate-release tablets. </w:t>
      </w:r>
      <w:r w:rsidR="00DE65A6" w:rsidRPr="00DE65A6">
        <w:rPr>
          <w:rFonts w:ascii="Arial" w:hAnsi="Arial" w:cs="Arial"/>
        </w:rPr>
        <w:t>(United States Pharmacopeia)</w:t>
      </w:r>
    </w:p>
    <w:p w14:paraId="67EC578A" w14:textId="7C9F805A"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 xml:space="preserve">Drug Content </w:t>
      </w:r>
    </w:p>
    <w:p w14:paraId="70E7260B" w14:textId="76743758" w:rsidR="00232553" w:rsidRPr="00DE65A6" w:rsidRDefault="00232553" w:rsidP="00232553">
      <w:pPr>
        <w:widowControl w:val="0"/>
        <w:tabs>
          <w:tab w:val="left" w:pos="762"/>
        </w:tabs>
        <w:autoSpaceDE w:val="0"/>
        <w:autoSpaceDN w:val="0"/>
        <w:spacing w:line="360" w:lineRule="auto"/>
        <w:jc w:val="both"/>
        <w:outlineLvl w:val="1"/>
        <w:rPr>
          <w:rFonts w:ascii="Arial" w:hAnsi="Arial" w:cs="Arial"/>
        </w:rPr>
      </w:pPr>
      <w:r w:rsidRPr="00232553">
        <w:rPr>
          <w:rFonts w:ascii="Arial" w:hAnsi="Arial" w:cs="Arial"/>
        </w:rPr>
        <w:t xml:space="preserve">For this test, a sample of 10 tablets was randomly selected from the batch and individually weighed. The tablets are then finely powdered to ensure uniformity. An accurately weighed portion of this powder, equivalent to the labelled amount of the Dolutegravir sodium, was transferred into a volumetric flask and dissolved in methanol to facilitate complete dissolution of the API.  After dissolution, the solution is filtered through a Whatman filter paper to remove any undissolved particles. The resulting solution was </w:t>
      </w:r>
      <w:proofErr w:type="spellStart"/>
      <w:r w:rsidRPr="00232553">
        <w:rPr>
          <w:rFonts w:ascii="Arial" w:hAnsi="Arial" w:cs="Arial"/>
        </w:rPr>
        <w:t>analysed</w:t>
      </w:r>
      <w:proofErr w:type="spellEnd"/>
      <w:r w:rsidRPr="00232553">
        <w:rPr>
          <w:rFonts w:ascii="Arial" w:hAnsi="Arial" w:cs="Arial"/>
        </w:rPr>
        <w:t xml:space="preserve"> using UV spectroscopy at a wavelength of 250 nm. </w:t>
      </w:r>
      <w:r w:rsidR="00DE65A6" w:rsidRPr="00DE65A6">
        <w:rPr>
          <w:rFonts w:ascii="Arial" w:hAnsi="Arial" w:cs="Arial"/>
        </w:rPr>
        <w:t>(Pal et al., 2020)</w:t>
      </w:r>
    </w:p>
    <w:p w14:paraId="247A2AB9" w14:textId="17ACB531" w:rsidR="00232553" w:rsidRPr="00232553"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232553">
        <w:rPr>
          <w:rFonts w:ascii="Arial" w:hAnsi="Arial" w:cs="Arial"/>
          <w:b/>
          <w:bCs/>
          <w:i/>
          <w:iCs/>
        </w:rPr>
        <w:t>In-Vitro Drug Release Study</w:t>
      </w:r>
    </w:p>
    <w:p w14:paraId="7DC5D2DF" w14:textId="322C1721" w:rsidR="00232553" w:rsidRPr="00DE65A6" w:rsidRDefault="00232553" w:rsidP="00232553">
      <w:pPr>
        <w:widowControl w:val="0"/>
        <w:tabs>
          <w:tab w:val="left" w:pos="762"/>
        </w:tabs>
        <w:autoSpaceDE w:val="0"/>
        <w:autoSpaceDN w:val="0"/>
        <w:spacing w:line="360" w:lineRule="auto"/>
        <w:jc w:val="both"/>
        <w:outlineLvl w:val="1"/>
        <w:rPr>
          <w:rFonts w:ascii="Arial" w:hAnsi="Arial" w:cs="Arial"/>
        </w:rPr>
      </w:pPr>
      <w:r w:rsidRPr="00232553">
        <w:rPr>
          <w:rFonts w:ascii="Arial" w:hAnsi="Arial" w:cs="Arial"/>
        </w:rPr>
        <w:t xml:space="preserve"> </w:t>
      </w:r>
      <w:r w:rsidR="00C253E2">
        <w:rPr>
          <w:rFonts w:ascii="Arial" w:hAnsi="Arial" w:cs="Arial"/>
        </w:rPr>
        <w:t>T</w:t>
      </w:r>
      <w:r w:rsidRPr="00232553">
        <w:rPr>
          <w:rFonts w:ascii="Arial" w:hAnsi="Arial" w:cs="Arial"/>
        </w:rPr>
        <w:t xml:space="preserve">his test was performed using USP Apparatus 2 (paddle), with the dissolution medium set as phosphate buffer at pH 1.2 for 60 minutes and pH 6.8 for 60 minutes, maintained at a </w:t>
      </w:r>
      <w:r w:rsidRPr="00232553">
        <w:rPr>
          <w:rFonts w:ascii="Arial" w:hAnsi="Arial" w:cs="Arial"/>
        </w:rPr>
        <w:lastRenderedPageBreak/>
        <w:t xml:space="preserve">temperature of 37 ± 0.5°C to mimic body conditions. Tablets were placed in the dissolution apparatus, and the paddles were rotated at a specified speed of 50 rpm. At predetermined time intervals, samples of the dissolution medium are withdrawn and immediately filtered through Whatman filter paper to remove any undissolved particles. The withdrawn volume is replaced with an equal volume of fresh buffer to maintain a constant total volume. The concentration of the drug in each sample was measured using UV spectroscopy at wavelengths of 250 </w:t>
      </w:r>
      <w:proofErr w:type="gramStart"/>
      <w:r w:rsidRPr="00232553">
        <w:rPr>
          <w:rFonts w:ascii="Arial" w:hAnsi="Arial" w:cs="Arial"/>
        </w:rPr>
        <w:t>nm .</w:t>
      </w:r>
      <w:proofErr w:type="gramEnd"/>
      <w:r w:rsidRPr="00232553">
        <w:rPr>
          <w:rFonts w:ascii="Arial" w:hAnsi="Arial" w:cs="Arial"/>
        </w:rPr>
        <w:t xml:space="preserve"> The cumulative percentage of drug released at each point of time was calculated, and the dissolution profile was plotted to ensure it meets the IP specifications for drug release. </w:t>
      </w:r>
      <w:r w:rsidR="00DE65A6" w:rsidRPr="00DE65A6">
        <w:rPr>
          <w:rFonts w:ascii="Arial" w:hAnsi="Arial" w:cs="Arial"/>
        </w:rPr>
        <w:t>(ICH, 2005)</w:t>
      </w:r>
    </w:p>
    <w:p w14:paraId="566CB08A" w14:textId="168948AD" w:rsidR="00232553" w:rsidRPr="00E33439" w:rsidRDefault="00232553" w:rsidP="00232553">
      <w:pPr>
        <w:widowControl w:val="0"/>
        <w:tabs>
          <w:tab w:val="left" w:pos="762"/>
        </w:tabs>
        <w:autoSpaceDE w:val="0"/>
        <w:autoSpaceDN w:val="0"/>
        <w:spacing w:line="360" w:lineRule="auto"/>
        <w:jc w:val="both"/>
        <w:outlineLvl w:val="1"/>
        <w:rPr>
          <w:rFonts w:ascii="Arial" w:hAnsi="Arial" w:cs="Arial"/>
          <w:b/>
          <w:bCs/>
          <w:i/>
          <w:iCs/>
        </w:rPr>
      </w:pPr>
      <w:r w:rsidRPr="00E33439">
        <w:rPr>
          <w:rFonts w:ascii="Arial" w:hAnsi="Arial" w:cs="Arial"/>
          <w:b/>
          <w:bCs/>
          <w:i/>
          <w:iCs/>
        </w:rPr>
        <w:t xml:space="preserve">Kinetics </w:t>
      </w:r>
      <w:r w:rsidR="00E33439">
        <w:rPr>
          <w:rFonts w:ascii="Arial" w:hAnsi="Arial" w:cs="Arial"/>
          <w:b/>
          <w:bCs/>
          <w:i/>
          <w:iCs/>
        </w:rPr>
        <w:t>o</w:t>
      </w:r>
      <w:r w:rsidRPr="00E33439">
        <w:rPr>
          <w:rFonts w:ascii="Arial" w:hAnsi="Arial" w:cs="Arial"/>
          <w:b/>
          <w:bCs/>
          <w:i/>
          <w:iCs/>
        </w:rPr>
        <w:t>f Drug Release</w:t>
      </w:r>
    </w:p>
    <w:p w14:paraId="718D3279" w14:textId="39102058" w:rsidR="00A65BDE" w:rsidRPr="00DE65A6" w:rsidRDefault="00232553" w:rsidP="00232553">
      <w:pPr>
        <w:widowControl w:val="0"/>
        <w:tabs>
          <w:tab w:val="left" w:pos="762"/>
        </w:tabs>
        <w:autoSpaceDE w:val="0"/>
        <w:autoSpaceDN w:val="0"/>
        <w:spacing w:line="360" w:lineRule="auto"/>
        <w:jc w:val="both"/>
        <w:outlineLvl w:val="1"/>
        <w:rPr>
          <w:rFonts w:ascii="Arial" w:hAnsi="Arial" w:cs="Arial"/>
        </w:rPr>
      </w:pPr>
      <w:r w:rsidRPr="00232553">
        <w:rPr>
          <w:rFonts w:ascii="Arial" w:hAnsi="Arial" w:cs="Arial"/>
        </w:rPr>
        <w:t xml:space="preserve">One of the most important and challenging areas in the drug delivery field is to predict the release of the active agent as a function of time using both simple and sophisticated mathematical models.  In order to identify a particular release mechanism, experimental data of statistical significance are compared to a solution of the theoretical model. To </w:t>
      </w:r>
      <w:proofErr w:type="spellStart"/>
      <w:r w:rsidRPr="00232553">
        <w:rPr>
          <w:rFonts w:ascii="Arial" w:hAnsi="Arial" w:cs="Arial"/>
        </w:rPr>
        <w:t>analyse</w:t>
      </w:r>
      <w:proofErr w:type="spellEnd"/>
      <w:r w:rsidRPr="00232553">
        <w:rPr>
          <w:rFonts w:ascii="Arial" w:hAnsi="Arial" w:cs="Arial"/>
        </w:rPr>
        <w:t xml:space="preserve"> the mechanism for the release and release rate kinetics of the dosage form, the data obtained was fitted in to Zero order, First order, Higuchi matrix, Hixon Crowel and Korsmeyer-Peppas model. By comparing the R</w:t>
      </w:r>
      <w:r w:rsidRPr="00232553">
        <w:rPr>
          <w:rFonts w:ascii="Arial" w:hAnsi="Arial" w:cs="Arial"/>
          <w:vertAlign w:val="superscript"/>
        </w:rPr>
        <w:t>2</w:t>
      </w:r>
      <w:r w:rsidRPr="00232553">
        <w:rPr>
          <w:rFonts w:ascii="Arial" w:hAnsi="Arial" w:cs="Arial"/>
        </w:rPr>
        <w:t xml:space="preserve"> values obtained, the best fit model was selected.</w:t>
      </w:r>
      <w:r w:rsidR="00F806F3">
        <w:rPr>
          <w:rFonts w:ascii="Arial" w:hAnsi="Arial" w:cs="Arial"/>
        </w:rPr>
        <w:t xml:space="preserve"> </w:t>
      </w:r>
      <w:r w:rsidR="00DE65A6" w:rsidRPr="00DE65A6">
        <w:rPr>
          <w:rFonts w:ascii="Arial" w:hAnsi="Arial" w:cs="Arial"/>
        </w:rPr>
        <w:t>(Reddy et al., 2013)</w:t>
      </w:r>
    </w:p>
    <w:p w14:paraId="5D1D15AF" w14:textId="5C64085C" w:rsidR="00232553" w:rsidRPr="00323D82" w:rsidRDefault="00232553" w:rsidP="00232553">
      <w:pPr>
        <w:widowControl w:val="0"/>
        <w:tabs>
          <w:tab w:val="left" w:pos="762"/>
        </w:tabs>
        <w:autoSpaceDE w:val="0"/>
        <w:autoSpaceDN w:val="0"/>
        <w:spacing w:line="360" w:lineRule="auto"/>
        <w:jc w:val="both"/>
        <w:outlineLvl w:val="1"/>
        <w:rPr>
          <w:rFonts w:ascii="Arial" w:hAnsi="Arial" w:cs="Arial"/>
        </w:rPr>
      </w:pPr>
      <w:r w:rsidRPr="00323D82">
        <w:rPr>
          <w:rFonts w:ascii="Arial" w:hAnsi="Arial" w:cs="Arial"/>
          <w:b/>
          <w:bCs/>
        </w:rPr>
        <w:t>Stability studies of</w:t>
      </w:r>
      <w:r w:rsidRPr="00323D82">
        <w:rPr>
          <w:rFonts w:ascii="Arial" w:hAnsi="Arial" w:cs="Arial"/>
          <w:vertAlign w:val="superscript"/>
        </w:rPr>
        <w:t xml:space="preserve"> `</w:t>
      </w:r>
      <w:r w:rsidRPr="00323D82">
        <w:rPr>
          <w:rFonts w:ascii="Arial" w:hAnsi="Arial" w:cs="Arial"/>
          <w:b/>
          <w:bCs/>
        </w:rPr>
        <w:t>Dolutegravir Sodium inclusion complexes tablet</w:t>
      </w:r>
      <w:r w:rsidR="003C04EE">
        <w:rPr>
          <w:rFonts w:ascii="Arial" w:hAnsi="Arial" w:cs="Arial"/>
          <w:b/>
          <w:bCs/>
        </w:rPr>
        <w:t>s</w:t>
      </w:r>
      <w:r w:rsidR="0024037A">
        <w:rPr>
          <w:rFonts w:ascii="Arial" w:hAnsi="Arial" w:cs="Arial"/>
          <w:b/>
          <w:bCs/>
        </w:rPr>
        <w:t xml:space="preserve"> </w:t>
      </w:r>
    </w:p>
    <w:p w14:paraId="0C90AEAA" w14:textId="353A2096" w:rsidR="00232553" w:rsidRPr="00DE65A6" w:rsidRDefault="00232553" w:rsidP="00E6768C">
      <w:pPr>
        <w:widowControl w:val="0"/>
        <w:tabs>
          <w:tab w:val="left" w:pos="762"/>
        </w:tabs>
        <w:autoSpaceDE w:val="0"/>
        <w:autoSpaceDN w:val="0"/>
        <w:spacing w:line="360" w:lineRule="auto"/>
        <w:jc w:val="both"/>
        <w:outlineLvl w:val="1"/>
        <w:rPr>
          <w:rFonts w:ascii="Arial" w:hAnsi="Arial" w:cs="Arial"/>
          <w:lang w:val="en-IN"/>
        </w:rPr>
      </w:pPr>
      <w:r w:rsidRPr="00232553">
        <w:rPr>
          <w:rFonts w:ascii="Arial" w:hAnsi="Arial" w:cs="Arial"/>
        </w:rPr>
        <w:t xml:space="preserve">The stability studies of Dolutegravir Sodium inclusion complexes </w:t>
      </w:r>
      <w:r w:rsidR="0024037A">
        <w:rPr>
          <w:rFonts w:ascii="Arial" w:hAnsi="Arial" w:cs="Arial"/>
        </w:rPr>
        <w:t>tablets</w:t>
      </w:r>
      <w:r w:rsidRPr="00232553">
        <w:rPr>
          <w:rFonts w:ascii="Arial" w:hAnsi="Arial" w:cs="Arial"/>
        </w:rPr>
        <w:t xml:space="preserve"> (</w:t>
      </w:r>
      <w:r w:rsidR="00552232">
        <w:rPr>
          <w:rFonts w:ascii="Arial" w:hAnsi="Arial" w:cs="Arial"/>
        </w:rPr>
        <w:t>F5-Optimised</w:t>
      </w:r>
      <w:r w:rsidRPr="00232553">
        <w:rPr>
          <w:rFonts w:ascii="Arial" w:hAnsi="Arial" w:cs="Arial"/>
        </w:rPr>
        <w:t xml:space="preserve"> formulation) were performed as per ICH guidelines. The tablets were stored for 2 months at Room temperature </w:t>
      </w:r>
      <w:r w:rsidRPr="00232553">
        <w:rPr>
          <w:rFonts w:ascii="Arial" w:hAnsi="Arial" w:cs="Arial"/>
          <w:color w:val="1F1F1F"/>
          <w:szCs w:val="22"/>
        </w:rPr>
        <w:t xml:space="preserve">(25°C ± 2°C/60% ± 5% RH) </w:t>
      </w:r>
      <w:r w:rsidRPr="00232553">
        <w:rPr>
          <w:rFonts w:ascii="Arial" w:hAnsi="Arial" w:cs="Arial"/>
        </w:rPr>
        <w:t xml:space="preserve">and under accelerated conditions at 40°C ± 2°C and 75% RH ± 5%. During this time, samples were evaluated for key parameters, including </w:t>
      </w:r>
      <w:r w:rsidRPr="00232553">
        <w:rPr>
          <w:rFonts w:ascii="Arial" w:hAnsi="Arial" w:cs="Arial"/>
          <w:color w:val="1F1F1F"/>
          <w:szCs w:val="22"/>
        </w:rPr>
        <w:t xml:space="preserve">Weight variation, Hardness, Disintegration time, Friability, Drug content, and </w:t>
      </w:r>
      <w:r w:rsidRPr="00232553">
        <w:rPr>
          <w:rFonts w:ascii="Arial" w:hAnsi="Arial" w:cs="Arial"/>
          <w:i/>
          <w:iCs/>
          <w:color w:val="1F1F1F"/>
          <w:szCs w:val="22"/>
        </w:rPr>
        <w:t xml:space="preserve">in- vitro </w:t>
      </w:r>
      <w:r w:rsidRPr="00232553">
        <w:rPr>
          <w:rFonts w:ascii="Arial" w:hAnsi="Arial" w:cs="Arial"/>
          <w:color w:val="1F1F1F"/>
          <w:szCs w:val="22"/>
        </w:rPr>
        <w:t xml:space="preserve">drug release. </w:t>
      </w:r>
      <w:r w:rsidRPr="00232553">
        <w:rPr>
          <w:rFonts w:ascii="Arial" w:hAnsi="Arial" w:cs="Arial"/>
        </w:rPr>
        <w:t>The results helped determine whether the Dolutegravir Sodium inclusion complex maintained its quality and potency under the tested conditions</w:t>
      </w:r>
      <w:r w:rsidR="00DE65A6">
        <w:rPr>
          <w:rFonts w:ascii="Arial" w:hAnsi="Arial" w:cs="Arial"/>
          <w:lang w:val="en-IN"/>
        </w:rPr>
        <w:t xml:space="preserve">. </w:t>
      </w:r>
      <w:r w:rsidR="00DE65A6" w:rsidRPr="00DE65A6">
        <w:rPr>
          <w:rFonts w:ascii="Arial" w:hAnsi="Arial" w:cs="Arial"/>
          <w:lang w:val="en-IN"/>
        </w:rPr>
        <w:t>(</w:t>
      </w:r>
      <w:proofErr w:type="spellStart"/>
      <w:r w:rsidR="00DE65A6" w:rsidRPr="00DE65A6">
        <w:rPr>
          <w:rFonts w:ascii="Arial" w:hAnsi="Arial" w:cs="Arial"/>
          <w:lang w:val="en-IN"/>
        </w:rPr>
        <w:t>Uekama</w:t>
      </w:r>
      <w:proofErr w:type="spellEnd"/>
      <w:r w:rsidR="00DE65A6" w:rsidRPr="00DE65A6">
        <w:rPr>
          <w:rFonts w:ascii="Arial" w:hAnsi="Arial" w:cs="Arial"/>
          <w:lang w:val="en-IN"/>
        </w:rPr>
        <w:t xml:space="preserve"> &amp; Hirayama, 2003)</w:t>
      </w:r>
      <w:r w:rsidR="00DE65A6">
        <w:rPr>
          <w:rFonts w:ascii="Arial" w:hAnsi="Arial" w:cs="Arial"/>
          <w:lang w:val="en-IN"/>
        </w:rPr>
        <w:t xml:space="preserve">, </w:t>
      </w:r>
      <w:r w:rsidR="00DE65A6" w:rsidRPr="00DE65A6">
        <w:rPr>
          <w:rFonts w:ascii="Arial" w:hAnsi="Arial" w:cs="Arial"/>
          <w:lang w:val="en-IN"/>
        </w:rPr>
        <w:t>(Hedges &amp; McDaniel, 2015)</w:t>
      </w:r>
    </w:p>
    <w:p w14:paraId="6A1F1FEE" w14:textId="77777777" w:rsidR="00902823" w:rsidRPr="004E300C" w:rsidRDefault="00000F8F" w:rsidP="00441B6F">
      <w:pPr>
        <w:pStyle w:val="Head1"/>
        <w:spacing w:after="0"/>
        <w:jc w:val="both"/>
        <w:rPr>
          <w:rFonts w:ascii="Arial" w:hAnsi="Arial" w:cs="Arial"/>
          <w:sz w:val="20"/>
        </w:rPr>
      </w:pPr>
      <w:r w:rsidRPr="004E300C">
        <w:rPr>
          <w:rFonts w:ascii="Arial" w:hAnsi="Arial" w:cs="Arial"/>
          <w:sz w:val="20"/>
        </w:rPr>
        <w:t>3</w:t>
      </w:r>
      <w:r w:rsidR="00902823" w:rsidRPr="004E300C">
        <w:rPr>
          <w:rFonts w:ascii="Arial" w:hAnsi="Arial" w:cs="Arial"/>
          <w:sz w:val="20"/>
        </w:rPr>
        <w:t xml:space="preserve">. </w:t>
      </w:r>
      <w:r w:rsidRPr="004E300C">
        <w:rPr>
          <w:rFonts w:ascii="Arial" w:hAnsi="Arial" w:cs="Arial"/>
          <w:sz w:val="20"/>
        </w:rPr>
        <w:t>results and discussion</w:t>
      </w:r>
    </w:p>
    <w:p w14:paraId="0DC0DEE7" w14:textId="77777777" w:rsidR="00E6768C" w:rsidRPr="00656BA3" w:rsidRDefault="00E6768C" w:rsidP="00E6768C">
      <w:pPr>
        <w:spacing w:line="360" w:lineRule="auto"/>
        <w:jc w:val="both"/>
        <w:rPr>
          <w:rFonts w:ascii="Arial" w:hAnsi="Arial" w:cs="Arial"/>
          <w:b/>
          <w:lang w:eastAsia="en-IN"/>
        </w:rPr>
      </w:pPr>
      <w:r w:rsidRPr="00656BA3">
        <w:rPr>
          <w:rFonts w:ascii="Arial" w:hAnsi="Arial" w:cs="Arial"/>
          <w:b/>
          <w:lang w:eastAsia="en-IN"/>
        </w:rPr>
        <w:t>Evaluation of phase solubility studies</w:t>
      </w:r>
    </w:p>
    <w:p w14:paraId="3B3402C9" w14:textId="33A6FA84" w:rsidR="00E6768C" w:rsidRPr="00656BA3" w:rsidRDefault="00E6768C" w:rsidP="00E6768C">
      <w:pPr>
        <w:pStyle w:val="NormalWeb"/>
        <w:spacing w:line="360" w:lineRule="auto"/>
        <w:jc w:val="both"/>
        <w:rPr>
          <w:rFonts w:ascii="Arial" w:hAnsi="Arial" w:cs="Arial"/>
          <w:sz w:val="20"/>
          <w:szCs w:val="20"/>
        </w:rPr>
      </w:pPr>
      <w:r w:rsidRPr="00656BA3">
        <w:rPr>
          <w:rFonts w:ascii="Arial" w:hAnsi="Arial" w:cs="Arial"/>
          <w:sz w:val="20"/>
          <w:szCs w:val="20"/>
          <w:lang w:eastAsia="en-IN"/>
        </w:rPr>
        <w:t xml:space="preserve">Beta cyclodextrin was employed in the study to address the solubility issue of dolutegravir sodium, a BCS-2 medication that is poorly soluble in water. Using phase solubility tests in water at 37°C, the addition of beta cyclodextrin with dolutegravir sodium was assessed. According to Higuchi and Connors' approach, phase solubility investigations were conducted by shake flask technique, that contained an excess of dolutegravir sodium and a solution of beta cyclodextrin with concentrations ranging from 0 to 20 </w:t>
      </w:r>
      <w:proofErr w:type="spellStart"/>
      <w:r w:rsidRPr="00656BA3">
        <w:rPr>
          <w:rFonts w:ascii="Arial" w:hAnsi="Arial" w:cs="Arial"/>
          <w:sz w:val="20"/>
          <w:szCs w:val="20"/>
          <w:lang w:eastAsia="en-IN"/>
        </w:rPr>
        <w:t>mM.</w:t>
      </w:r>
      <w:proofErr w:type="spellEnd"/>
      <w:r w:rsidRPr="00656BA3">
        <w:rPr>
          <w:rFonts w:ascii="Arial" w:hAnsi="Arial" w:cs="Arial"/>
          <w:sz w:val="20"/>
          <w:szCs w:val="20"/>
          <w:lang w:eastAsia="en-IN"/>
        </w:rPr>
        <w:t xml:space="preserve"> The amount of dissolved dolutegravir sodium was then plotted against the increasing amount of beta cyclodextrin to </w:t>
      </w:r>
      <w:r w:rsidRPr="00656BA3">
        <w:rPr>
          <w:rFonts w:ascii="Arial" w:hAnsi="Arial" w:cs="Arial"/>
          <w:sz w:val="20"/>
          <w:szCs w:val="20"/>
          <w:lang w:eastAsia="en-IN"/>
        </w:rPr>
        <w:lastRenderedPageBreak/>
        <w:t>create the phase solubility diagram. Fig</w:t>
      </w:r>
      <w:r w:rsidR="00201BB8" w:rsidRPr="00656BA3">
        <w:rPr>
          <w:rFonts w:ascii="Arial" w:hAnsi="Arial" w:cs="Arial"/>
          <w:sz w:val="20"/>
          <w:szCs w:val="20"/>
          <w:lang w:eastAsia="en-IN"/>
        </w:rPr>
        <w:t xml:space="preserve">. </w:t>
      </w:r>
      <w:r w:rsidRPr="00656BA3">
        <w:rPr>
          <w:rFonts w:ascii="Arial" w:hAnsi="Arial" w:cs="Arial"/>
          <w:sz w:val="20"/>
          <w:szCs w:val="20"/>
          <w:lang w:eastAsia="en-IN"/>
        </w:rPr>
        <w:t>1</w:t>
      </w:r>
      <w:r w:rsidR="00E96679" w:rsidRPr="00656BA3">
        <w:rPr>
          <w:rFonts w:ascii="Arial" w:hAnsi="Arial" w:cs="Arial"/>
          <w:sz w:val="20"/>
          <w:szCs w:val="20"/>
          <w:lang w:eastAsia="en-IN"/>
        </w:rPr>
        <w:t>.</w:t>
      </w:r>
      <w:r w:rsidRPr="00656BA3">
        <w:rPr>
          <w:rFonts w:ascii="Arial" w:hAnsi="Arial" w:cs="Arial"/>
          <w:sz w:val="20"/>
          <w:szCs w:val="20"/>
          <w:lang w:eastAsia="en-IN"/>
        </w:rPr>
        <w:t xml:space="preserve"> illustrates the solubility of phase solubility curve. The plot obtained also demonstrates that the total drug solubility increases exponentially as a function of beta cyclodextrin concentration through the formation of soluble dolutegravir sodium/beta cyclodextrin complexes. The obtained curve indicates a linear increase in dolutegravir sodium solubility as a function of beta cyclodextrin concentratio</w:t>
      </w:r>
      <w:r w:rsidR="00F12F28" w:rsidRPr="00656BA3">
        <w:rPr>
          <w:rFonts w:ascii="Arial" w:hAnsi="Arial" w:cs="Arial"/>
          <w:sz w:val="20"/>
          <w:szCs w:val="20"/>
          <w:lang w:eastAsia="en-IN"/>
        </w:rPr>
        <w:t xml:space="preserve">n </w:t>
      </w:r>
      <w:r w:rsidR="00F12F28" w:rsidRPr="00656BA3">
        <w:rPr>
          <w:rFonts w:ascii="Arial" w:hAnsi="Arial" w:cs="Arial"/>
          <w:sz w:val="20"/>
          <w:szCs w:val="20"/>
        </w:rPr>
        <w:t>a</w:t>
      </w:r>
      <w:r w:rsidRPr="00656BA3">
        <w:rPr>
          <w:rFonts w:ascii="Arial" w:hAnsi="Arial" w:cs="Arial"/>
          <w:sz w:val="20"/>
          <w:szCs w:val="20"/>
        </w:rPr>
        <w:t xml:space="preserve">t 37°C, dolutegravir sodium exhibited a solubility of 0.001 mg/ml in distilled water. Table No. 2 presents the solubility and enhancement ratio of dolutegravir sodium when β-cyclodextrin concentrations were increased, ranging from 0 to 0.020 </w:t>
      </w:r>
      <w:proofErr w:type="spellStart"/>
      <w:proofErr w:type="gramStart"/>
      <w:r w:rsidRPr="00656BA3">
        <w:rPr>
          <w:rFonts w:ascii="Arial" w:hAnsi="Arial" w:cs="Arial"/>
          <w:sz w:val="20"/>
          <w:szCs w:val="20"/>
        </w:rPr>
        <w:t>moles.The</w:t>
      </w:r>
      <w:proofErr w:type="spellEnd"/>
      <w:proofErr w:type="gramEnd"/>
      <w:r w:rsidRPr="00656BA3">
        <w:rPr>
          <w:rFonts w:ascii="Arial" w:hAnsi="Arial" w:cs="Arial"/>
          <w:sz w:val="20"/>
          <w:szCs w:val="20"/>
        </w:rPr>
        <w:t xml:space="preserve"> solubility enhancement ratio ranged from 1 to 4.0. As the concentration of beta cyclodextrin increased, the solubility of dolutegravir sodium also improved. The increased solubility of dolutegravir sodium in the presence of β-cyclodextrin may be attributed to the formation of a complex.</w:t>
      </w:r>
    </w:p>
    <w:p w14:paraId="4483764F" w14:textId="1FBDAF63" w:rsidR="00E6768C" w:rsidRPr="004E300C" w:rsidRDefault="00E6768C" w:rsidP="00E6768C">
      <w:pPr>
        <w:pStyle w:val="NormalWeb"/>
        <w:spacing w:line="360" w:lineRule="auto"/>
        <w:jc w:val="both"/>
        <w:rPr>
          <w:sz w:val="20"/>
          <w:szCs w:val="20"/>
        </w:rPr>
      </w:pPr>
      <w:r w:rsidRPr="004E300C">
        <w:rPr>
          <w:noProof/>
          <w:sz w:val="20"/>
          <w:szCs w:val="20"/>
        </w:rPr>
        <w:drawing>
          <wp:inline distT="0" distB="0" distL="0" distR="0" wp14:anchorId="4AFE3D2F" wp14:editId="167E1436">
            <wp:extent cx="4574540" cy="2745740"/>
            <wp:effectExtent l="0" t="0" r="16510" b="16510"/>
            <wp:docPr id="2409847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2DBFAB" w14:textId="2E6B72D7" w:rsidR="00E6768C" w:rsidRPr="00656BA3" w:rsidRDefault="00E6768C" w:rsidP="00E6768C">
      <w:pPr>
        <w:spacing w:after="240" w:line="360" w:lineRule="auto"/>
        <w:jc w:val="both"/>
        <w:rPr>
          <w:rFonts w:ascii="Arial" w:hAnsi="Arial" w:cs="Arial"/>
          <w:b/>
          <w:lang w:eastAsia="en-IN"/>
        </w:rPr>
      </w:pPr>
      <w:r w:rsidRPr="00656BA3">
        <w:rPr>
          <w:rFonts w:ascii="Arial" w:hAnsi="Arial" w:cs="Arial"/>
          <w:b/>
          <w:color w:val="000000"/>
          <w:lang w:eastAsia="en-IN"/>
        </w:rPr>
        <w:t>Fig. 1. Phase Solubility diagram of Dolutegravir sodium with β-cyclodextrin</w:t>
      </w:r>
    </w:p>
    <w:p w14:paraId="2133E7DF" w14:textId="77777777" w:rsidR="004E300C" w:rsidRPr="00656BA3" w:rsidRDefault="004E300C" w:rsidP="004E300C">
      <w:pPr>
        <w:widowControl w:val="0"/>
        <w:spacing w:line="360" w:lineRule="auto"/>
        <w:ind w:right="1440"/>
        <w:jc w:val="both"/>
        <w:rPr>
          <w:rFonts w:ascii="Arial" w:hAnsi="Arial" w:cs="Arial"/>
        </w:rPr>
      </w:pPr>
      <w:r w:rsidRPr="00656BA3">
        <w:rPr>
          <w:rFonts w:ascii="Arial" w:hAnsi="Arial" w:cs="Arial"/>
          <w:b/>
        </w:rPr>
        <w:t>Table 2.  Results of phase solubility studies of Dolutegravir sodium with β-cyclodextrin.</w:t>
      </w:r>
    </w:p>
    <w:tbl>
      <w:tblPr>
        <w:tblStyle w:val="Style11"/>
        <w:tblW w:w="8130" w:type="dxa"/>
        <w:jc w:val="center"/>
        <w:tblInd w:w="0" w:type="dxa"/>
        <w:tblBorders>
          <w:top w:val="single" w:sz="4" w:space="0" w:color="auto"/>
        </w:tblBorders>
        <w:tblLayout w:type="fixed"/>
        <w:tblLook w:val="04A0" w:firstRow="1" w:lastRow="0" w:firstColumn="1" w:lastColumn="0" w:noHBand="0" w:noVBand="1"/>
      </w:tblPr>
      <w:tblGrid>
        <w:gridCol w:w="2166"/>
        <w:gridCol w:w="2167"/>
        <w:gridCol w:w="2167"/>
        <w:gridCol w:w="1630"/>
      </w:tblGrid>
      <w:tr w:rsidR="004E300C" w:rsidRPr="00656BA3" w14:paraId="08D4FD17" w14:textId="77777777" w:rsidTr="004E300C">
        <w:trPr>
          <w:jc w:val="center"/>
        </w:trPr>
        <w:tc>
          <w:tcPr>
            <w:tcW w:w="2167" w:type="dxa"/>
            <w:tcBorders>
              <w:top w:val="single" w:sz="4" w:space="0" w:color="auto"/>
              <w:bottom w:val="single" w:sz="4" w:space="0" w:color="auto"/>
            </w:tcBorders>
            <w:tcMar>
              <w:top w:w="0" w:type="dxa"/>
              <w:left w:w="108" w:type="dxa"/>
              <w:bottom w:w="0" w:type="dxa"/>
              <w:right w:w="108" w:type="dxa"/>
            </w:tcMar>
            <w:vAlign w:val="center"/>
          </w:tcPr>
          <w:p w14:paraId="5F531E9E"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Drug/Polymer</w:t>
            </w:r>
          </w:p>
          <w:p w14:paraId="12CA6D9D" w14:textId="77777777" w:rsidR="004E300C" w:rsidRPr="00656BA3" w:rsidRDefault="004E300C" w:rsidP="0031446A">
            <w:pPr>
              <w:widowControl w:val="0"/>
              <w:spacing w:line="360" w:lineRule="auto"/>
              <w:jc w:val="both"/>
              <w:rPr>
                <w:rFonts w:ascii="Arial" w:eastAsia="Times New Roman" w:hAnsi="Arial" w:cs="Arial"/>
                <w:b/>
              </w:rPr>
            </w:pPr>
          </w:p>
        </w:tc>
        <w:tc>
          <w:tcPr>
            <w:tcW w:w="2167" w:type="dxa"/>
            <w:tcBorders>
              <w:top w:val="single" w:sz="4" w:space="0" w:color="auto"/>
              <w:bottom w:val="single" w:sz="4" w:space="0" w:color="auto"/>
            </w:tcBorders>
            <w:tcMar>
              <w:top w:w="0" w:type="dxa"/>
              <w:left w:w="108" w:type="dxa"/>
              <w:bottom w:w="0" w:type="dxa"/>
              <w:right w:w="108" w:type="dxa"/>
            </w:tcMar>
            <w:vAlign w:val="center"/>
          </w:tcPr>
          <w:p w14:paraId="7ADBEE2F"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Concentration of β-cyclodextrin in moles</w:t>
            </w:r>
          </w:p>
        </w:tc>
        <w:tc>
          <w:tcPr>
            <w:tcW w:w="2167" w:type="dxa"/>
            <w:tcBorders>
              <w:top w:val="single" w:sz="4" w:space="0" w:color="auto"/>
              <w:bottom w:val="single" w:sz="4" w:space="0" w:color="auto"/>
            </w:tcBorders>
            <w:tcMar>
              <w:top w:w="0" w:type="dxa"/>
              <w:left w:w="108" w:type="dxa"/>
              <w:bottom w:w="0" w:type="dxa"/>
              <w:right w:w="108" w:type="dxa"/>
            </w:tcMar>
            <w:vAlign w:val="center"/>
          </w:tcPr>
          <w:p w14:paraId="624D6C38"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Solubility [mg/ml]</w:t>
            </w:r>
          </w:p>
        </w:tc>
        <w:tc>
          <w:tcPr>
            <w:tcW w:w="1630" w:type="dxa"/>
            <w:tcBorders>
              <w:top w:val="single" w:sz="4" w:space="0" w:color="auto"/>
              <w:bottom w:val="single" w:sz="4" w:space="0" w:color="auto"/>
            </w:tcBorders>
            <w:tcMar>
              <w:top w:w="0" w:type="dxa"/>
              <w:left w:w="108" w:type="dxa"/>
              <w:bottom w:w="0" w:type="dxa"/>
              <w:right w:w="108" w:type="dxa"/>
            </w:tcMar>
            <w:vAlign w:val="center"/>
          </w:tcPr>
          <w:p w14:paraId="4F3D96F4"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Enhancement ratio</w:t>
            </w:r>
          </w:p>
        </w:tc>
      </w:tr>
      <w:tr w:rsidR="004E300C" w:rsidRPr="00656BA3" w14:paraId="69A56225" w14:textId="77777777" w:rsidTr="004E300C">
        <w:trPr>
          <w:jc w:val="center"/>
        </w:trPr>
        <w:tc>
          <w:tcPr>
            <w:tcW w:w="2167" w:type="dxa"/>
            <w:tcBorders>
              <w:top w:val="single" w:sz="4" w:space="0" w:color="auto"/>
              <w:bottom w:val="nil"/>
            </w:tcBorders>
            <w:tcMar>
              <w:top w:w="0" w:type="dxa"/>
              <w:left w:w="108" w:type="dxa"/>
              <w:bottom w:w="0" w:type="dxa"/>
              <w:right w:w="108" w:type="dxa"/>
            </w:tcMar>
            <w:vAlign w:val="center"/>
          </w:tcPr>
          <w:p w14:paraId="6DFE04CA"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Dolutegravir sodium</w:t>
            </w:r>
          </w:p>
        </w:tc>
        <w:tc>
          <w:tcPr>
            <w:tcW w:w="2167" w:type="dxa"/>
            <w:tcBorders>
              <w:top w:val="single" w:sz="4" w:space="0" w:color="auto"/>
            </w:tcBorders>
            <w:tcMar>
              <w:top w:w="0" w:type="dxa"/>
              <w:left w:w="108" w:type="dxa"/>
              <w:bottom w:w="0" w:type="dxa"/>
              <w:right w:w="108" w:type="dxa"/>
            </w:tcMar>
            <w:vAlign w:val="center"/>
          </w:tcPr>
          <w:p w14:paraId="450AA461"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w:t>
            </w:r>
          </w:p>
        </w:tc>
        <w:tc>
          <w:tcPr>
            <w:tcW w:w="2167" w:type="dxa"/>
            <w:tcBorders>
              <w:top w:val="single" w:sz="4" w:space="0" w:color="auto"/>
            </w:tcBorders>
            <w:tcMar>
              <w:top w:w="0" w:type="dxa"/>
              <w:left w:w="108" w:type="dxa"/>
              <w:bottom w:w="0" w:type="dxa"/>
              <w:right w:w="108" w:type="dxa"/>
            </w:tcMar>
            <w:vAlign w:val="center"/>
          </w:tcPr>
          <w:p w14:paraId="445105C3"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0.001</w:t>
            </w:r>
          </w:p>
        </w:tc>
        <w:tc>
          <w:tcPr>
            <w:tcW w:w="1630" w:type="dxa"/>
            <w:tcBorders>
              <w:top w:val="single" w:sz="4" w:space="0" w:color="auto"/>
            </w:tcBorders>
            <w:tcMar>
              <w:top w:w="0" w:type="dxa"/>
              <w:left w:w="108" w:type="dxa"/>
              <w:bottom w:w="0" w:type="dxa"/>
              <w:right w:w="108" w:type="dxa"/>
            </w:tcMar>
            <w:vAlign w:val="center"/>
          </w:tcPr>
          <w:p w14:paraId="7356F296"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0.001</w:t>
            </w:r>
          </w:p>
        </w:tc>
      </w:tr>
      <w:tr w:rsidR="004E300C" w:rsidRPr="00656BA3" w14:paraId="2D74DA7F" w14:textId="77777777" w:rsidTr="004E300C">
        <w:trPr>
          <w:trHeight w:val="364"/>
          <w:jc w:val="center"/>
        </w:trPr>
        <w:tc>
          <w:tcPr>
            <w:tcW w:w="2167" w:type="dxa"/>
            <w:vMerge w:val="restart"/>
            <w:tcBorders>
              <w:top w:val="nil"/>
              <w:bottom w:val="single" w:sz="4" w:space="0" w:color="auto"/>
            </w:tcBorders>
            <w:tcMar>
              <w:top w:w="0" w:type="dxa"/>
              <w:left w:w="108" w:type="dxa"/>
              <w:bottom w:w="0" w:type="dxa"/>
              <w:right w:w="108" w:type="dxa"/>
            </w:tcMar>
            <w:vAlign w:val="center"/>
          </w:tcPr>
          <w:p w14:paraId="08B316D0" w14:textId="77777777" w:rsidR="004E300C" w:rsidRPr="00656BA3" w:rsidRDefault="004E300C" w:rsidP="0031446A">
            <w:pPr>
              <w:widowControl w:val="0"/>
              <w:spacing w:line="360" w:lineRule="auto"/>
              <w:jc w:val="both"/>
              <w:rPr>
                <w:rFonts w:ascii="Arial" w:eastAsia="Times New Roman" w:hAnsi="Arial" w:cs="Arial"/>
                <w:b/>
              </w:rPr>
            </w:pPr>
            <w:r w:rsidRPr="00656BA3">
              <w:rPr>
                <w:rFonts w:ascii="Arial" w:eastAsia="Times New Roman" w:hAnsi="Arial" w:cs="Arial"/>
                <w:b/>
              </w:rPr>
              <w:t>β-cyclodextrin</w:t>
            </w:r>
          </w:p>
        </w:tc>
        <w:tc>
          <w:tcPr>
            <w:tcW w:w="2167" w:type="dxa"/>
            <w:tcMar>
              <w:top w:w="0" w:type="dxa"/>
              <w:left w:w="108" w:type="dxa"/>
              <w:bottom w:w="0" w:type="dxa"/>
              <w:right w:w="108" w:type="dxa"/>
            </w:tcMar>
            <w:vAlign w:val="center"/>
          </w:tcPr>
          <w:p w14:paraId="597ED638"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0.004</w:t>
            </w:r>
          </w:p>
        </w:tc>
        <w:tc>
          <w:tcPr>
            <w:tcW w:w="2167" w:type="dxa"/>
            <w:tcMar>
              <w:top w:w="0" w:type="dxa"/>
              <w:left w:w="108" w:type="dxa"/>
              <w:bottom w:w="0" w:type="dxa"/>
              <w:right w:w="108" w:type="dxa"/>
            </w:tcMar>
            <w:vAlign w:val="center"/>
          </w:tcPr>
          <w:p w14:paraId="71ED0612"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0.010</w:t>
            </w:r>
          </w:p>
        </w:tc>
        <w:tc>
          <w:tcPr>
            <w:tcW w:w="1630" w:type="dxa"/>
            <w:tcMar>
              <w:top w:w="0" w:type="dxa"/>
              <w:left w:w="108" w:type="dxa"/>
              <w:bottom w:w="0" w:type="dxa"/>
              <w:right w:w="108" w:type="dxa"/>
            </w:tcMar>
            <w:vAlign w:val="center"/>
          </w:tcPr>
          <w:p w14:paraId="2D0ED7AD"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1</w:t>
            </w:r>
          </w:p>
        </w:tc>
      </w:tr>
      <w:tr w:rsidR="004E300C" w:rsidRPr="00656BA3" w14:paraId="25DB77D1" w14:textId="77777777" w:rsidTr="004E300C">
        <w:trPr>
          <w:trHeight w:val="370"/>
          <w:jc w:val="center"/>
        </w:trPr>
        <w:tc>
          <w:tcPr>
            <w:tcW w:w="2167" w:type="dxa"/>
            <w:vMerge/>
            <w:tcBorders>
              <w:top w:val="nil"/>
              <w:bottom w:val="single" w:sz="4" w:space="0" w:color="auto"/>
            </w:tcBorders>
            <w:tcMar>
              <w:top w:w="0" w:type="dxa"/>
              <w:left w:w="108" w:type="dxa"/>
              <w:bottom w:w="0" w:type="dxa"/>
              <w:right w:w="108" w:type="dxa"/>
            </w:tcMar>
            <w:vAlign w:val="center"/>
          </w:tcPr>
          <w:p w14:paraId="76EEFB06" w14:textId="77777777" w:rsidR="004E300C" w:rsidRPr="00656BA3" w:rsidRDefault="004E300C" w:rsidP="0031446A">
            <w:pPr>
              <w:widowControl w:val="0"/>
              <w:spacing w:line="360" w:lineRule="auto"/>
              <w:jc w:val="both"/>
              <w:rPr>
                <w:rFonts w:ascii="Arial" w:eastAsia="Times New Roman" w:hAnsi="Arial" w:cs="Arial"/>
              </w:rPr>
            </w:pPr>
          </w:p>
        </w:tc>
        <w:tc>
          <w:tcPr>
            <w:tcW w:w="2167" w:type="dxa"/>
            <w:tcMar>
              <w:top w:w="0" w:type="dxa"/>
              <w:left w:w="108" w:type="dxa"/>
              <w:bottom w:w="0" w:type="dxa"/>
              <w:right w:w="108" w:type="dxa"/>
            </w:tcMar>
            <w:vAlign w:val="center"/>
          </w:tcPr>
          <w:p w14:paraId="4920FA8F"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0.008</w:t>
            </w:r>
          </w:p>
        </w:tc>
        <w:tc>
          <w:tcPr>
            <w:tcW w:w="2167" w:type="dxa"/>
            <w:tcMar>
              <w:top w:w="0" w:type="dxa"/>
              <w:left w:w="108" w:type="dxa"/>
              <w:bottom w:w="0" w:type="dxa"/>
              <w:right w:w="108" w:type="dxa"/>
            </w:tcMar>
            <w:vAlign w:val="center"/>
          </w:tcPr>
          <w:p w14:paraId="113910A6"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0.017</w:t>
            </w:r>
          </w:p>
        </w:tc>
        <w:tc>
          <w:tcPr>
            <w:tcW w:w="1630" w:type="dxa"/>
            <w:tcMar>
              <w:top w:w="0" w:type="dxa"/>
              <w:left w:w="108" w:type="dxa"/>
              <w:bottom w:w="0" w:type="dxa"/>
              <w:right w:w="108" w:type="dxa"/>
            </w:tcMar>
            <w:vAlign w:val="center"/>
          </w:tcPr>
          <w:p w14:paraId="55407BD5"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1.7</w:t>
            </w:r>
          </w:p>
        </w:tc>
      </w:tr>
      <w:tr w:rsidR="004E300C" w:rsidRPr="00656BA3" w14:paraId="4A62A23F" w14:textId="77777777" w:rsidTr="004E300C">
        <w:trPr>
          <w:trHeight w:val="254"/>
          <w:jc w:val="center"/>
        </w:trPr>
        <w:tc>
          <w:tcPr>
            <w:tcW w:w="2167" w:type="dxa"/>
            <w:vMerge/>
            <w:tcBorders>
              <w:top w:val="nil"/>
              <w:bottom w:val="single" w:sz="4" w:space="0" w:color="auto"/>
            </w:tcBorders>
            <w:tcMar>
              <w:top w:w="0" w:type="dxa"/>
              <w:left w:w="108" w:type="dxa"/>
              <w:bottom w:w="0" w:type="dxa"/>
              <w:right w:w="108" w:type="dxa"/>
            </w:tcMar>
            <w:vAlign w:val="center"/>
          </w:tcPr>
          <w:p w14:paraId="6F9053CE" w14:textId="77777777" w:rsidR="004E300C" w:rsidRPr="00656BA3" w:rsidRDefault="004E300C" w:rsidP="0031446A">
            <w:pPr>
              <w:widowControl w:val="0"/>
              <w:spacing w:line="360" w:lineRule="auto"/>
              <w:jc w:val="both"/>
              <w:rPr>
                <w:rFonts w:ascii="Arial" w:eastAsia="Times New Roman" w:hAnsi="Arial" w:cs="Arial"/>
              </w:rPr>
            </w:pPr>
          </w:p>
        </w:tc>
        <w:tc>
          <w:tcPr>
            <w:tcW w:w="2167" w:type="dxa"/>
            <w:tcMar>
              <w:top w:w="0" w:type="dxa"/>
              <w:left w:w="108" w:type="dxa"/>
              <w:bottom w:w="0" w:type="dxa"/>
              <w:right w:w="108" w:type="dxa"/>
            </w:tcMar>
            <w:vAlign w:val="center"/>
          </w:tcPr>
          <w:p w14:paraId="0EEBFF99"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0.012</w:t>
            </w:r>
          </w:p>
        </w:tc>
        <w:tc>
          <w:tcPr>
            <w:tcW w:w="2167" w:type="dxa"/>
            <w:tcMar>
              <w:top w:w="0" w:type="dxa"/>
              <w:left w:w="108" w:type="dxa"/>
              <w:bottom w:w="0" w:type="dxa"/>
              <w:right w:w="108" w:type="dxa"/>
            </w:tcMar>
            <w:vAlign w:val="center"/>
          </w:tcPr>
          <w:p w14:paraId="0EB94A81"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0.024</w:t>
            </w:r>
          </w:p>
        </w:tc>
        <w:tc>
          <w:tcPr>
            <w:tcW w:w="1630" w:type="dxa"/>
            <w:tcMar>
              <w:top w:w="0" w:type="dxa"/>
              <w:left w:w="108" w:type="dxa"/>
              <w:bottom w:w="0" w:type="dxa"/>
              <w:right w:w="108" w:type="dxa"/>
            </w:tcMar>
            <w:vAlign w:val="center"/>
          </w:tcPr>
          <w:p w14:paraId="756BF9FF"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2.4</w:t>
            </w:r>
          </w:p>
        </w:tc>
      </w:tr>
      <w:tr w:rsidR="004E300C" w:rsidRPr="00656BA3" w14:paraId="67885264" w14:textId="77777777" w:rsidTr="004E300C">
        <w:trPr>
          <w:trHeight w:val="410"/>
          <w:jc w:val="center"/>
        </w:trPr>
        <w:tc>
          <w:tcPr>
            <w:tcW w:w="2167" w:type="dxa"/>
            <w:vMerge/>
            <w:tcBorders>
              <w:top w:val="nil"/>
              <w:bottom w:val="single" w:sz="4" w:space="0" w:color="auto"/>
            </w:tcBorders>
            <w:tcMar>
              <w:top w:w="0" w:type="dxa"/>
              <w:left w:w="108" w:type="dxa"/>
              <w:bottom w:w="0" w:type="dxa"/>
              <w:right w:w="108" w:type="dxa"/>
            </w:tcMar>
            <w:vAlign w:val="center"/>
          </w:tcPr>
          <w:p w14:paraId="44F73968" w14:textId="77777777" w:rsidR="004E300C" w:rsidRPr="00656BA3" w:rsidRDefault="004E300C" w:rsidP="0031446A">
            <w:pPr>
              <w:widowControl w:val="0"/>
              <w:spacing w:line="360" w:lineRule="auto"/>
              <w:jc w:val="both"/>
              <w:rPr>
                <w:rFonts w:ascii="Arial" w:eastAsia="Times New Roman" w:hAnsi="Arial" w:cs="Arial"/>
              </w:rPr>
            </w:pPr>
          </w:p>
        </w:tc>
        <w:tc>
          <w:tcPr>
            <w:tcW w:w="2167" w:type="dxa"/>
            <w:tcBorders>
              <w:bottom w:val="nil"/>
            </w:tcBorders>
            <w:tcMar>
              <w:top w:w="0" w:type="dxa"/>
              <w:left w:w="108" w:type="dxa"/>
              <w:bottom w:w="0" w:type="dxa"/>
              <w:right w:w="108" w:type="dxa"/>
            </w:tcMar>
            <w:vAlign w:val="center"/>
          </w:tcPr>
          <w:p w14:paraId="5B62218C"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0.016</w:t>
            </w:r>
          </w:p>
        </w:tc>
        <w:tc>
          <w:tcPr>
            <w:tcW w:w="2167" w:type="dxa"/>
            <w:tcBorders>
              <w:bottom w:val="nil"/>
            </w:tcBorders>
            <w:tcMar>
              <w:top w:w="0" w:type="dxa"/>
              <w:left w:w="108" w:type="dxa"/>
              <w:bottom w:w="0" w:type="dxa"/>
              <w:right w:w="108" w:type="dxa"/>
            </w:tcMar>
            <w:vAlign w:val="center"/>
          </w:tcPr>
          <w:p w14:paraId="5EADDEBC"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0.031</w:t>
            </w:r>
          </w:p>
        </w:tc>
        <w:tc>
          <w:tcPr>
            <w:tcW w:w="1630" w:type="dxa"/>
            <w:tcBorders>
              <w:bottom w:val="nil"/>
            </w:tcBorders>
            <w:tcMar>
              <w:top w:w="0" w:type="dxa"/>
              <w:left w:w="108" w:type="dxa"/>
              <w:bottom w:w="0" w:type="dxa"/>
              <w:right w:w="108" w:type="dxa"/>
            </w:tcMar>
            <w:vAlign w:val="center"/>
          </w:tcPr>
          <w:p w14:paraId="4F46BB32"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3.1</w:t>
            </w:r>
          </w:p>
        </w:tc>
      </w:tr>
      <w:tr w:rsidR="004E300C" w:rsidRPr="00656BA3" w14:paraId="3956909A" w14:textId="77777777" w:rsidTr="004E300C">
        <w:trPr>
          <w:trHeight w:val="468"/>
          <w:jc w:val="center"/>
        </w:trPr>
        <w:tc>
          <w:tcPr>
            <w:tcW w:w="2167" w:type="dxa"/>
            <w:vMerge/>
            <w:tcBorders>
              <w:top w:val="nil"/>
              <w:bottom w:val="single" w:sz="4" w:space="0" w:color="auto"/>
            </w:tcBorders>
            <w:tcMar>
              <w:top w:w="0" w:type="dxa"/>
              <w:left w:w="108" w:type="dxa"/>
              <w:bottom w:w="0" w:type="dxa"/>
              <w:right w:w="108" w:type="dxa"/>
            </w:tcMar>
            <w:vAlign w:val="center"/>
          </w:tcPr>
          <w:p w14:paraId="73CDAF60" w14:textId="77777777" w:rsidR="004E300C" w:rsidRPr="00656BA3" w:rsidRDefault="004E300C" w:rsidP="0031446A">
            <w:pPr>
              <w:widowControl w:val="0"/>
              <w:spacing w:line="360" w:lineRule="auto"/>
              <w:jc w:val="both"/>
              <w:rPr>
                <w:rFonts w:ascii="Arial" w:eastAsia="Times New Roman" w:hAnsi="Arial" w:cs="Arial"/>
              </w:rPr>
            </w:pPr>
          </w:p>
        </w:tc>
        <w:tc>
          <w:tcPr>
            <w:tcW w:w="2167" w:type="dxa"/>
            <w:tcBorders>
              <w:top w:val="nil"/>
              <w:bottom w:val="single" w:sz="4" w:space="0" w:color="auto"/>
            </w:tcBorders>
            <w:tcMar>
              <w:top w:w="0" w:type="dxa"/>
              <w:left w:w="108" w:type="dxa"/>
              <w:bottom w:w="0" w:type="dxa"/>
              <w:right w:w="108" w:type="dxa"/>
            </w:tcMar>
            <w:vAlign w:val="center"/>
          </w:tcPr>
          <w:p w14:paraId="34CDE90A"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0.020</w:t>
            </w:r>
          </w:p>
        </w:tc>
        <w:tc>
          <w:tcPr>
            <w:tcW w:w="2167" w:type="dxa"/>
            <w:tcBorders>
              <w:top w:val="nil"/>
              <w:bottom w:val="single" w:sz="4" w:space="0" w:color="auto"/>
            </w:tcBorders>
            <w:tcMar>
              <w:top w:w="0" w:type="dxa"/>
              <w:left w:w="108" w:type="dxa"/>
              <w:bottom w:w="0" w:type="dxa"/>
              <w:right w:w="108" w:type="dxa"/>
            </w:tcMar>
            <w:vAlign w:val="center"/>
          </w:tcPr>
          <w:p w14:paraId="5A720584"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0.040</w:t>
            </w:r>
          </w:p>
        </w:tc>
        <w:tc>
          <w:tcPr>
            <w:tcW w:w="1630" w:type="dxa"/>
            <w:tcBorders>
              <w:top w:val="nil"/>
              <w:bottom w:val="single" w:sz="4" w:space="0" w:color="auto"/>
            </w:tcBorders>
            <w:tcMar>
              <w:top w:w="0" w:type="dxa"/>
              <w:left w:w="108" w:type="dxa"/>
              <w:bottom w:w="0" w:type="dxa"/>
              <w:right w:w="108" w:type="dxa"/>
            </w:tcMar>
            <w:vAlign w:val="center"/>
          </w:tcPr>
          <w:p w14:paraId="634A6D78" w14:textId="77777777" w:rsidR="004E300C" w:rsidRPr="00656BA3" w:rsidRDefault="004E300C" w:rsidP="0031446A">
            <w:pPr>
              <w:widowControl w:val="0"/>
              <w:spacing w:line="360" w:lineRule="auto"/>
              <w:jc w:val="both"/>
              <w:rPr>
                <w:rFonts w:ascii="Arial" w:eastAsia="Times New Roman" w:hAnsi="Arial" w:cs="Arial"/>
              </w:rPr>
            </w:pPr>
            <w:r w:rsidRPr="00656BA3">
              <w:rPr>
                <w:rFonts w:ascii="Arial" w:eastAsia="Times New Roman" w:hAnsi="Arial" w:cs="Arial"/>
              </w:rPr>
              <w:t>4.0</w:t>
            </w:r>
          </w:p>
        </w:tc>
      </w:tr>
    </w:tbl>
    <w:p w14:paraId="30CBE60E" w14:textId="77777777" w:rsidR="00214C18" w:rsidRPr="00656BA3" w:rsidRDefault="004E300C" w:rsidP="00214C18">
      <w:pPr>
        <w:spacing w:line="360" w:lineRule="auto"/>
        <w:jc w:val="both"/>
        <w:rPr>
          <w:rFonts w:ascii="Arial" w:hAnsi="Arial" w:cs="Arial"/>
          <w:b/>
          <w:lang w:eastAsia="en-IN"/>
        </w:rPr>
      </w:pPr>
      <w:r w:rsidRPr="00656BA3">
        <w:rPr>
          <w:rFonts w:ascii="Arial" w:hAnsi="Arial" w:cs="Arial"/>
          <w:b/>
          <w:lang w:eastAsia="en-IN"/>
        </w:rPr>
        <w:t>Evaluation of stability constant [Kc] and complexation efficiency [CE] of the complex.</w:t>
      </w:r>
    </w:p>
    <w:p w14:paraId="5CC75AA5" w14:textId="77777777" w:rsidR="00C82CA4" w:rsidRPr="00656BA3" w:rsidRDefault="004E300C" w:rsidP="00C82CA4">
      <w:pPr>
        <w:spacing w:line="360" w:lineRule="auto"/>
        <w:jc w:val="both"/>
        <w:rPr>
          <w:rFonts w:ascii="Arial" w:eastAsia="SimSun" w:hAnsi="Arial" w:cs="Arial"/>
        </w:rPr>
      </w:pPr>
      <w:r w:rsidRPr="00656BA3">
        <w:rPr>
          <w:rFonts w:ascii="Arial" w:eastAsia="SimSun" w:hAnsi="Arial" w:cs="Arial"/>
        </w:rPr>
        <w:t xml:space="preserve">Phase solubility studies were conducted to investigate how varying concentrations of beta cyclodextrin, ranging from 0 to 20 mM, influenced the apparent solubility of dolutegravir sodium in water. The apparent stability constant [Kc] and the complexation efficiency [CE] are fundamental parameters used in the quantitative evaluation of the interaction strength between the beta cyclodextrin and the drug molecule, as well as the stability of the resulting </w:t>
      </w:r>
      <w:proofErr w:type="spellStart"/>
      <w:proofErr w:type="gramStart"/>
      <w:r w:rsidRPr="00656BA3">
        <w:rPr>
          <w:rFonts w:ascii="Arial" w:eastAsia="SimSun" w:hAnsi="Arial" w:cs="Arial"/>
        </w:rPr>
        <w:t>complex.The</w:t>
      </w:r>
      <w:proofErr w:type="spellEnd"/>
      <w:proofErr w:type="gramEnd"/>
      <w:r w:rsidRPr="00656BA3">
        <w:rPr>
          <w:rFonts w:ascii="Arial" w:eastAsia="SimSun" w:hAnsi="Arial" w:cs="Arial"/>
        </w:rPr>
        <w:t xml:space="preserve"> Kc and CE values for the dolutegravir sodium/beta cyclodextrin complexes were determined from the linear section of the phase solubility diagram, following the equations EQN 2 and EQN 3 for Kc and CE, respectively. Table</w:t>
      </w:r>
      <w:r w:rsidR="00214C18" w:rsidRPr="00656BA3">
        <w:rPr>
          <w:rFonts w:ascii="Arial" w:eastAsia="SimSun" w:hAnsi="Arial" w:cs="Arial"/>
        </w:rPr>
        <w:t>.</w:t>
      </w:r>
      <w:r w:rsidRPr="00656BA3">
        <w:rPr>
          <w:rFonts w:ascii="Arial" w:eastAsia="SimSun" w:hAnsi="Arial" w:cs="Arial"/>
        </w:rPr>
        <w:t xml:space="preserve"> 3 presents the Kc value, complexation efficiency in water, the slope of the phase solubility curve (0.666), and the saturation solubility [So</w:t>
      </w:r>
      <w:proofErr w:type="gramStart"/>
      <w:r w:rsidRPr="00656BA3">
        <w:rPr>
          <w:rFonts w:ascii="Arial" w:eastAsia="SimSun" w:hAnsi="Arial" w:cs="Arial"/>
        </w:rPr>
        <w:t>].The</w:t>
      </w:r>
      <w:proofErr w:type="gramEnd"/>
      <w:r w:rsidRPr="00656BA3">
        <w:rPr>
          <w:rFonts w:ascii="Arial" w:eastAsia="SimSun" w:hAnsi="Arial" w:cs="Arial"/>
        </w:rPr>
        <w:t xml:space="preserve"> dolutegravir sodium/β-cyclodextrin complex was found to have a stability constant (KC) of 1994.01 M</w:t>
      </w:r>
      <w:r w:rsidRPr="00656BA3">
        <w:rPr>
          <w:rFonts w:ascii="Cambria Math" w:eastAsia="SimSun" w:hAnsi="Cambria Math" w:cs="Cambria Math"/>
        </w:rPr>
        <w:t>⁻</w:t>
      </w:r>
      <w:r w:rsidRPr="00656BA3">
        <w:rPr>
          <w:rFonts w:ascii="Arial" w:eastAsia="SimSun" w:hAnsi="Arial" w:cs="Arial"/>
        </w:rPr>
        <w:t xml:space="preserve">¹. Additionally, the complexation efficiency (CE) was determined to be </w:t>
      </w:r>
      <w:proofErr w:type="gramStart"/>
      <w:r w:rsidRPr="00656BA3">
        <w:rPr>
          <w:rFonts w:ascii="Arial" w:eastAsia="SimSun" w:hAnsi="Arial" w:cs="Arial"/>
        </w:rPr>
        <w:t>1.994.The</w:t>
      </w:r>
      <w:proofErr w:type="gramEnd"/>
      <w:r w:rsidRPr="00656BA3">
        <w:rPr>
          <w:rFonts w:ascii="Arial" w:eastAsia="SimSun" w:hAnsi="Arial" w:cs="Arial"/>
        </w:rPr>
        <w:t xml:space="preserve"> phase solubility graph indicated that the equilibrium concentration of dolutegravir sodium increased in a linear manner as the concentration of β-cyclodextrin rose. This pattern suggests a 1:1 stoichiometric relationship, where one drug molecule associates with one β-cyclodextrin molecule to form the complex. As a result, it was concluded that a 1:1 molar ratio would be optimal for forming a stable complex between dolutegravir sodium and β-cyclodextrin.</w:t>
      </w:r>
    </w:p>
    <w:p w14:paraId="2E060225" w14:textId="33B37FF3" w:rsidR="004E300C" w:rsidRPr="00EF2FC9" w:rsidRDefault="004E300C" w:rsidP="00EF2FC9">
      <w:pPr>
        <w:spacing w:line="360" w:lineRule="auto"/>
        <w:jc w:val="both"/>
        <w:rPr>
          <w:rFonts w:ascii="Arial" w:hAnsi="Arial" w:cs="Arial"/>
          <w:b/>
          <w:lang w:eastAsia="en-IN"/>
        </w:rPr>
      </w:pPr>
      <w:r w:rsidRPr="00656BA3">
        <w:rPr>
          <w:rFonts w:ascii="Arial" w:hAnsi="Arial" w:cs="Arial"/>
          <w:b/>
          <w:lang w:eastAsia="en-IN"/>
        </w:rPr>
        <w:t xml:space="preserve">Table 3.  Phase Solubility Data of Dolutegravir Sodium </w:t>
      </w:r>
      <w:proofErr w:type="gramStart"/>
      <w:r w:rsidRPr="00656BA3">
        <w:rPr>
          <w:rFonts w:ascii="Arial" w:hAnsi="Arial" w:cs="Arial"/>
          <w:b/>
          <w:lang w:eastAsia="en-IN"/>
        </w:rPr>
        <w:t>In</w:t>
      </w:r>
      <w:proofErr w:type="gramEnd"/>
      <w:r w:rsidRPr="00656BA3">
        <w:rPr>
          <w:rFonts w:ascii="Arial" w:hAnsi="Arial" w:cs="Arial"/>
          <w:b/>
          <w:lang w:eastAsia="en-IN"/>
        </w:rPr>
        <w:t xml:space="preserve"> Presence Of β-Cyclodextrin.</w:t>
      </w:r>
    </w:p>
    <w:tbl>
      <w:tblPr>
        <w:tblStyle w:val="Style10"/>
        <w:tblW w:w="6985" w:type="dxa"/>
        <w:jc w:val="center"/>
        <w:tblBorders>
          <w:top w:val="single" w:sz="4" w:space="0" w:color="auto"/>
          <w:bottom w:val="single" w:sz="4" w:space="0" w:color="auto"/>
        </w:tblBorders>
        <w:tblLayout w:type="fixed"/>
        <w:tblLook w:val="04A0" w:firstRow="1" w:lastRow="0" w:firstColumn="1" w:lastColumn="0" w:noHBand="0" w:noVBand="1"/>
      </w:tblPr>
      <w:tblGrid>
        <w:gridCol w:w="1343"/>
        <w:gridCol w:w="1260"/>
        <w:gridCol w:w="1104"/>
        <w:gridCol w:w="876"/>
        <w:gridCol w:w="1282"/>
        <w:gridCol w:w="1120"/>
      </w:tblGrid>
      <w:tr w:rsidR="004E300C" w:rsidRPr="00656BA3" w14:paraId="7FF491B4" w14:textId="77777777" w:rsidTr="009C7DB7">
        <w:trPr>
          <w:trHeight w:val="372"/>
          <w:jc w:val="center"/>
        </w:trPr>
        <w:tc>
          <w:tcPr>
            <w:tcW w:w="1344" w:type="dxa"/>
            <w:vMerge w:val="restart"/>
            <w:tcBorders>
              <w:top w:val="single" w:sz="4" w:space="0" w:color="auto"/>
              <w:bottom w:val="single" w:sz="4" w:space="0" w:color="auto"/>
            </w:tcBorders>
            <w:vAlign w:val="center"/>
          </w:tcPr>
          <w:p w14:paraId="378D0CC7"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MEDIA</w:t>
            </w:r>
          </w:p>
        </w:tc>
        <w:tc>
          <w:tcPr>
            <w:tcW w:w="5642" w:type="dxa"/>
            <w:gridSpan w:val="5"/>
            <w:tcBorders>
              <w:top w:val="single" w:sz="4" w:space="0" w:color="auto"/>
              <w:bottom w:val="single" w:sz="4" w:space="0" w:color="auto"/>
            </w:tcBorders>
            <w:vAlign w:val="center"/>
          </w:tcPr>
          <w:p w14:paraId="392FF5C6"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Solubility of Dolutegravir Sodium in presence of β-cyclodextrin</w:t>
            </w:r>
          </w:p>
        </w:tc>
      </w:tr>
      <w:tr w:rsidR="004E300C" w:rsidRPr="00656BA3" w14:paraId="0D06A558" w14:textId="77777777" w:rsidTr="009C7DB7">
        <w:trPr>
          <w:trHeight w:val="312"/>
          <w:jc w:val="center"/>
        </w:trPr>
        <w:tc>
          <w:tcPr>
            <w:tcW w:w="1344" w:type="dxa"/>
            <w:vMerge/>
            <w:tcBorders>
              <w:top w:val="single" w:sz="4" w:space="0" w:color="auto"/>
              <w:bottom w:val="single" w:sz="4" w:space="0" w:color="auto"/>
            </w:tcBorders>
            <w:vAlign w:val="center"/>
          </w:tcPr>
          <w:p w14:paraId="6486B25B" w14:textId="77777777" w:rsidR="004E300C" w:rsidRPr="00656BA3" w:rsidRDefault="004E300C" w:rsidP="0031446A">
            <w:pPr>
              <w:spacing w:line="360" w:lineRule="auto"/>
              <w:jc w:val="both"/>
              <w:rPr>
                <w:rFonts w:ascii="Arial" w:hAnsi="Arial" w:cs="Arial"/>
                <w:b/>
              </w:rPr>
            </w:pPr>
          </w:p>
        </w:tc>
        <w:tc>
          <w:tcPr>
            <w:tcW w:w="1260" w:type="dxa"/>
            <w:tcBorders>
              <w:top w:val="single" w:sz="4" w:space="0" w:color="auto"/>
              <w:bottom w:val="single" w:sz="4" w:space="0" w:color="auto"/>
            </w:tcBorders>
            <w:vAlign w:val="center"/>
          </w:tcPr>
          <w:p w14:paraId="1E753297" w14:textId="77777777" w:rsidR="004E300C" w:rsidRPr="00656BA3" w:rsidRDefault="004E300C" w:rsidP="0031446A">
            <w:pPr>
              <w:widowControl w:val="0"/>
              <w:spacing w:before="100" w:beforeAutospacing="1" w:line="360" w:lineRule="auto"/>
              <w:jc w:val="both"/>
              <w:rPr>
                <w:rFonts w:ascii="Arial" w:hAnsi="Arial" w:cs="Arial"/>
                <w:b/>
              </w:rPr>
            </w:pPr>
            <w:proofErr w:type="gramStart"/>
            <w:r w:rsidRPr="00656BA3">
              <w:rPr>
                <w:rFonts w:ascii="Arial" w:hAnsi="Arial" w:cs="Arial"/>
                <w:b/>
              </w:rPr>
              <w:t>S</w:t>
            </w:r>
            <w:r w:rsidRPr="00656BA3">
              <w:rPr>
                <w:rFonts w:ascii="Arial" w:hAnsi="Arial" w:cs="Arial"/>
                <w:b/>
                <w:vertAlign w:val="subscript"/>
              </w:rPr>
              <w:t>O</w:t>
            </w:r>
            <w:r w:rsidRPr="00656BA3">
              <w:rPr>
                <w:rFonts w:ascii="Arial" w:hAnsi="Arial" w:cs="Arial"/>
                <w:b/>
              </w:rPr>
              <w:t>(</w:t>
            </w:r>
            <w:proofErr w:type="gramEnd"/>
            <w:r w:rsidRPr="00656BA3">
              <w:rPr>
                <w:rFonts w:ascii="Arial" w:hAnsi="Arial" w:cs="Arial"/>
                <w:b/>
              </w:rPr>
              <w:t>mM)</w:t>
            </w:r>
          </w:p>
        </w:tc>
        <w:tc>
          <w:tcPr>
            <w:tcW w:w="1104" w:type="dxa"/>
            <w:tcBorders>
              <w:top w:val="single" w:sz="4" w:space="0" w:color="auto"/>
              <w:bottom w:val="single" w:sz="4" w:space="0" w:color="auto"/>
            </w:tcBorders>
            <w:vAlign w:val="center"/>
          </w:tcPr>
          <w:p w14:paraId="1122830E"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Slope</w:t>
            </w:r>
          </w:p>
        </w:tc>
        <w:tc>
          <w:tcPr>
            <w:tcW w:w="876" w:type="dxa"/>
            <w:tcBorders>
              <w:top w:val="single" w:sz="4" w:space="0" w:color="auto"/>
              <w:bottom w:val="single" w:sz="4" w:space="0" w:color="auto"/>
            </w:tcBorders>
            <w:vAlign w:val="center"/>
          </w:tcPr>
          <w:p w14:paraId="740A6C66" w14:textId="77777777" w:rsidR="004E300C" w:rsidRPr="00656BA3" w:rsidRDefault="004E300C" w:rsidP="0031446A">
            <w:pPr>
              <w:widowControl w:val="0"/>
              <w:spacing w:before="100" w:beforeAutospacing="1" w:line="360" w:lineRule="auto"/>
              <w:jc w:val="both"/>
              <w:rPr>
                <w:rFonts w:ascii="Arial" w:hAnsi="Arial" w:cs="Arial"/>
                <w:b/>
                <w:vertAlign w:val="superscript"/>
              </w:rPr>
            </w:pPr>
            <w:r w:rsidRPr="00656BA3">
              <w:rPr>
                <w:rFonts w:ascii="Arial" w:hAnsi="Arial" w:cs="Arial"/>
                <w:b/>
              </w:rPr>
              <w:t>R</w:t>
            </w:r>
            <w:r w:rsidRPr="00656BA3">
              <w:rPr>
                <w:rFonts w:ascii="Arial" w:hAnsi="Arial" w:cs="Arial"/>
                <w:b/>
                <w:vertAlign w:val="superscript"/>
              </w:rPr>
              <w:t>2</w:t>
            </w:r>
          </w:p>
        </w:tc>
        <w:tc>
          <w:tcPr>
            <w:tcW w:w="1282" w:type="dxa"/>
            <w:tcBorders>
              <w:top w:val="single" w:sz="4" w:space="0" w:color="auto"/>
              <w:bottom w:val="single" w:sz="4" w:space="0" w:color="auto"/>
            </w:tcBorders>
            <w:vAlign w:val="center"/>
          </w:tcPr>
          <w:p w14:paraId="4EED8DB9"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Kc(M</w:t>
            </w:r>
            <w:r w:rsidRPr="00656BA3">
              <w:rPr>
                <w:rFonts w:ascii="Arial" w:hAnsi="Arial" w:cs="Arial"/>
                <w:b/>
                <w:vertAlign w:val="superscript"/>
              </w:rPr>
              <w:t>-1</w:t>
            </w:r>
            <w:r w:rsidRPr="00656BA3">
              <w:rPr>
                <w:rFonts w:ascii="Arial" w:hAnsi="Arial" w:cs="Arial"/>
                <w:b/>
              </w:rPr>
              <w:t>)</w:t>
            </w:r>
          </w:p>
        </w:tc>
        <w:tc>
          <w:tcPr>
            <w:tcW w:w="1120" w:type="dxa"/>
            <w:tcBorders>
              <w:top w:val="single" w:sz="4" w:space="0" w:color="auto"/>
              <w:bottom w:val="single" w:sz="4" w:space="0" w:color="auto"/>
            </w:tcBorders>
            <w:vAlign w:val="center"/>
          </w:tcPr>
          <w:p w14:paraId="0A62D80A"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CE</w:t>
            </w:r>
          </w:p>
        </w:tc>
      </w:tr>
      <w:tr w:rsidR="004E300C" w:rsidRPr="00656BA3" w14:paraId="7092D79F" w14:textId="77777777" w:rsidTr="009C7DB7">
        <w:trPr>
          <w:trHeight w:val="684"/>
          <w:jc w:val="center"/>
        </w:trPr>
        <w:tc>
          <w:tcPr>
            <w:tcW w:w="1344" w:type="dxa"/>
            <w:tcBorders>
              <w:top w:val="single" w:sz="4" w:space="0" w:color="auto"/>
            </w:tcBorders>
            <w:vAlign w:val="center"/>
          </w:tcPr>
          <w:p w14:paraId="5301CCCD" w14:textId="77777777" w:rsidR="004E300C" w:rsidRPr="00656BA3" w:rsidRDefault="004E300C" w:rsidP="0031446A">
            <w:pPr>
              <w:widowControl w:val="0"/>
              <w:spacing w:before="100" w:beforeAutospacing="1" w:line="360" w:lineRule="auto"/>
              <w:jc w:val="both"/>
              <w:rPr>
                <w:rFonts w:ascii="Arial" w:hAnsi="Arial" w:cs="Arial"/>
                <w:b/>
              </w:rPr>
            </w:pPr>
            <w:r w:rsidRPr="00656BA3">
              <w:rPr>
                <w:rFonts w:ascii="Arial" w:hAnsi="Arial" w:cs="Arial"/>
                <w:b/>
              </w:rPr>
              <w:t>WATER</w:t>
            </w:r>
          </w:p>
        </w:tc>
        <w:tc>
          <w:tcPr>
            <w:tcW w:w="1260" w:type="dxa"/>
            <w:tcBorders>
              <w:top w:val="single" w:sz="4" w:space="0" w:color="auto"/>
            </w:tcBorders>
            <w:vAlign w:val="center"/>
          </w:tcPr>
          <w:p w14:paraId="071AB848" w14:textId="77777777" w:rsidR="004E300C" w:rsidRPr="00656BA3" w:rsidRDefault="004E300C" w:rsidP="0031446A">
            <w:pPr>
              <w:widowControl w:val="0"/>
              <w:spacing w:before="100" w:beforeAutospacing="1" w:line="360" w:lineRule="auto"/>
              <w:jc w:val="both"/>
              <w:rPr>
                <w:rFonts w:ascii="Arial" w:hAnsi="Arial" w:cs="Arial"/>
              </w:rPr>
            </w:pPr>
            <w:r w:rsidRPr="00656BA3">
              <w:rPr>
                <w:rFonts w:ascii="Arial" w:hAnsi="Arial" w:cs="Arial"/>
              </w:rPr>
              <w:t>0.001</w:t>
            </w:r>
          </w:p>
        </w:tc>
        <w:tc>
          <w:tcPr>
            <w:tcW w:w="1104" w:type="dxa"/>
            <w:tcBorders>
              <w:top w:val="single" w:sz="4" w:space="0" w:color="auto"/>
            </w:tcBorders>
            <w:vAlign w:val="center"/>
          </w:tcPr>
          <w:p w14:paraId="271C5389" w14:textId="77777777" w:rsidR="004E300C" w:rsidRPr="00656BA3" w:rsidRDefault="004E300C" w:rsidP="0031446A">
            <w:pPr>
              <w:widowControl w:val="0"/>
              <w:spacing w:before="100" w:beforeAutospacing="1" w:line="360" w:lineRule="auto"/>
              <w:jc w:val="both"/>
              <w:rPr>
                <w:rFonts w:ascii="Arial" w:hAnsi="Arial" w:cs="Arial"/>
              </w:rPr>
            </w:pPr>
            <w:r w:rsidRPr="00656BA3">
              <w:rPr>
                <w:rFonts w:ascii="Arial" w:hAnsi="Arial" w:cs="Arial"/>
              </w:rPr>
              <w:t>0.666</w:t>
            </w:r>
          </w:p>
        </w:tc>
        <w:tc>
          <w:tcPr>
            <w:tcW w:w="876" w:type="dxa"/>
            <w:tcBorders>
              <w:top w:val="single" w:sz="4" w:space="0" w:color="auto"/>
            </w:tcBorders>
            <w:vAlign w:val="center"/>
          </w:tcPr>
          <w:p w14:paraId="04BD7D26" w14:textId="77777777" w:rsidR="004E300C" w:rsidRPr="00656BA3" w:rsidRDefault="004E300C" w:rsidP="0031446A">
            <w:pPr>
              <w:widowControl w:val="0"/>
              <w:spacing w:before="100" w:beforeAutospacing="1" w:line="360" w:lineRule="auto"/>
              <w:jc w:val="both"/>
              <w:rPr>
                <w:rFonts w:ascii="Arial" w:hAnsi="Arial" w:cs="Arial"/>
              </w:rPr>
            </w:pPr>
            <w:r w:rsidRPr="00656BA3">
              <w:rPr>
                <w:rFonts w:ascii="Arial" w:hAnsi="Arial" w:cs="Arial"/>
              </w:rPr>
              <w:t>0.9977</w:t>
            </w:r>
          </w:p>
        </w:tc>
        <w:tc>
          <w:tcPr>
            <w:tcW w:w="1282" w:type="dxa"/>
            <w:tcBorders>
              <w:top w:val="single" w:sz="4" w:space="0" w:color="auto"/>
            </w:tcBorders>
            <w:vAlign w:val="center"/>
          </w:tcPr>
          <w:p w14:paraId="7476CE21" w14:textId="77777777" w:rsidR="004E300C" w:rsidRPr="00656BA3" w:rsidRDefault="004E300C" w:rsidP="0031446A">
            <w:pPr>
              <w:widowControl w:val="0"/>
              <w:spacing w:before="100" w:beforeAutospacing="1" w:line="360" w:lineRule="auto"/>
              <w:jc w:val="both"/>
              <w:rPr>
                <w:rFonts w:ascii="Arial" w:hAnsi="Arial" w:cs="Arial"/>
              </w:rPr>
            </w:pPr>
            <w:r w:rsidRPr="00656BA3">
              <w:rPr>
                <w:rFonts w:ascii="Arial" w:hAnsi="Arial" w:cs="Arial"/>
              </w:rPr>
              <w:t>1994.01</w:t>
            </w:r>
          </w:p>
        </w:tc>
        <w:tc>
          <w:tcPr>
            <w:tcW w:w="1120" w:type="dxa"/>
            <w:tcBorders>
              <w:top w:val="single" w:sz="4" w:space="0" w:color="auto"/>
            </w:tcBorders>
            <w:vAlign w:val="center"/>
          </w:tcPr>
          <w:p w14:paraId="0CCEB217" w14:textId="77777777" w:rsidR="004E300C" w:rsidRPr="00656BA3" w:rsidRDefault="004E300C" w:rsidP="0031446A">
            <w:pPr>
              <w:widowControl w:val="0"/>
              <w:spacing w:before="100" w:beforeAutospacing="1" w:line="360" w:lineRule="auto"/>
              <w:jc w:val="both"/>
              <w:rPr>
                <w:rFonts w:ascii="Arial" w:hAnsi="Arial" w:cs="Arial"/>
              </w:rPr>
            </w:pPr>
            <w:r w:rsidRPr="00656BA3">
              <w:rPr>
                <w:rFonts w:ascii="Arial" w:hAnsi="Arial" w:cs="Arial"/>
              </w:rPr>
              <w:t>1.994</w:t>
            </w:r>
          </w:p>
        </w:tc>
      </w:tr>
    </w:tbl>
    <w:p w14:paraId="04D300C1" w14:textId="78558262" w:rsidR="004E300C" w:rsidRPr="00656BA3" w:rsidRDefault="00656BA3" w:rsidP="00656BA3">
      <w:pPr>
        <w:widowControl w:val="0"/>
        <w:spacing w:before="100" w:beforeAutospacing="1" w:line="360" w:lineRule="auto"/>
        <w:jc w:val="both"/>
        <w:rPr>
          <w:rFonts w:ascii="Arial" w:hAnsi="Arial" w:cs="Arial"/>
          <w:i/>
          <w:iCs/>
          <w:sz w:val="18"/>
          <w:szCs w:val="18"/>
          <w:lang w:eastAsia="en-IN"/>
        </w:rPr>
      </w:pPr>
      <w:r w:rsidRPr="00656BA3">
        <w:rPr>
          <w:rFonts w:ascii="Arial" w:hAnsi="Arial" w:cs="Arial"/>
          <w:i/>
          <w:iCs/>
          <w:sz w:val="18"/>
          <w:szCs w:val="18"/>
          <w:lang w:eastAsia="en-IN"/>
        </w:rPr>
        <w:t>*</w:t>
      </w:r>
      <w:r w:rsidR="004E300C" w:rsidRPr="00656BA3">
        <w:rPr>
          <w:rFonts w:ascii="Arial" w:hAnsi="Arial" w:cs="Arial"/>
          <w:i/>
          <w:iCs/>
          <w:sz w:val="18"/>
          <w:szCs w:val="18"/>
          <w:lang w:eastAsia="en-IN"/>
        </w:rPr>
        <w:t>S</w:t>
      </w:r>
      <w:r w:rsidR="004E300C" w:rsidRPr="00656BA3">
        <w:rPr>
          <w:rFonts w:ascii="Arial" w:hAnsi="Arial" w:cs="Arial"/>
          <w:i/>
          <w:iCs/>
          <w:sz w:val="18"/>
          <w:szCs w:val="18"/>
          <w:vertAlign w:val="subscript"/>
          <w:lang w:eastAsia="en-IN"/>
        </w:rPr>
        <w:t>O</w:t>
      </w:r>
      <w:r w:rsidR="004E300C" w:rsidRPr="00656BA3">
        <w:rPr>
          <w:rFonts w:ascii="Arial" w:hAnsi="Arial" w:cs="Arial"/>
          <w:i/>
          <w:iCs/>
          <w:sz w:val="18"/>
          <w:szCs w:val="18"/>
          <w:lang w:eastAsia="en-IN"/>
        </w:rPr>
        <w:t>-Saturation Solubility of Dolutegravir sodium in absence of β-Cyclodextrin</w:t>
      </w:r>
      <w:r w:rsidRPr="00656BA3">
        <w:rPr>
          <w:rFonts w:ascii="Arial" w:hAnsi="Arial" w:cs="Arial"/>
          <w:i/>
          <w:iCs/>
          <w:sz w:val="18"/>
          <w:szCs w:val="18"/>
          <w:lang w:eastAsia="en-IN"/>
        </w:rPr>
        <w:t xml:space="preserve">, </w:t>
      </w:r>
      <w:r w:rsidR="004E300C" w:rsidRPr="00656BA3">
        <w:rPr>
          <w:rFonts w:ascii="Arial" w:hAnsi="Arial" w:cs="Arial"/>
          <w:i/>
          <w:iCs/>
          <w:sz w:val="18"/>
          <w:szCs w:val="18"/>
          <w:lang w:eastAsia="en-IN"/>
        </w:rPr>
        <w:t>Kc-Stability Constant</w:t>
      </w:r>
      <w:r w:rsidRPr="00656BA3">
        <w:rPr>
          <w:rFonts w:ascii="Arial" w:hAnsi="Arial" w:cs="Arial"/>
          <w:i/>
          <w:iCs/>
          <w:sz w:val="18"/>
          <w:szCs w:val="18"/>
          <w:lang w:eastAsia="en-IN"/>
        </w:rPr>
        <w:t xml:space="preserve"> </w:t>
      </w:r>
      <w:r w:rsidR="004E300C" w:rsidRPr="00656BA3">
        <w:rPr>
          <w:rFonts w:ascii="Arial" w:hAnsi="Arial" w:cs="Arial"/>
          <w:i/>
          <w:iCs/>
          <w:sz w:val="18"/>
          <w:szCs w:val="18"/>
          <w:lang w:eastAsia="en-IN"/>
        </w:rPr>
        <w:t>CE-Complexation efficiency</w:t>
      </w:r>
    </w:p>
    <w:p w14:paraId="3385B30B" w14:textId="77777777" w:rsidR="004E300C" w:rsidRPr="00656BA3" w:rsidRDefault="004E300C" w:rsidP="00656BA3">
      <w:pPr>
        <w:widowControl w:val="0"/>
        <w:tabs>
          <w:tab w:val="left" w:pos="762"/>
        </w:tabs>
        <w:spacing w:line="360" w:lineRule="auto"/>
        <w:ind w:right="128"/>
        <w:jc w:val="both"/>
        <w:rPr>
          <w:rFonts w:ascii="Arial" w:hAnsi="Arial" w:cs="Arial"/>
          <w:b/>
        </w:rPr>
      </w:pPr>
      <w:r w:rsidRPr="00656BA3">
        <w:rPr>
          <w:rFonts w:ascii="Arial" w:hAnsi="Arial" w:cs="Arial"/>
          <w:b/>
        </w:rPr>
        <w:t>CHARACTERISATION OF PREPARED DOLUTEGRAVIR SODIUM INCLUSION COMPLEX</w:t>
      </w:r>
    </w:p>
    <w:p w14:paraId="2B328C4F" w14:textId="77777777" w:rsidR="004E300C" w:rsidRPr="00656BA3" w:rsidRDefault="004E300C" w:rsidP="004E300C">
      <w:pPr>
        <w:spacing w:line="360" w:lineRule="auto"/>
        <w:jc w:val="both"/>
        <w:rPr>
          <w:rFonts w:ascii="Arial" w:eastAsia="SimSun" w:hAnsi="Arial" w:cs="Arial"/>
          <w:i/>
          <w:iCs/>
          <w:lang w:eastAsia="zh-CN" w:bidi="ar"/>
        </w:rPr>
      </w:pPr>
      <w:r w:rsidRPr="00656BA3">
        <w:rPr>
          <w:rFonts w:ascii="Arial" w:eastAsia="SimSun" w:hAnsi="Arial" w:cs="Arial"/>
          <w:b/>
          <w:bCs/>
          <w:lang w:eastAsia="zh-CN" w:bidi="ar"/>
        </w:rPr>
        <w:t xml:space="preserve"> </w:t>
      </w:r>
      <w:r w:rsidRPr="00656BA3">
        <w:rPr>
          <w:rFonts w:ascii="Arial" w:eastAsia="SimSun" w:hAnsi="Arial" w:cs="Arial"/>
          <w:b/>
          <w:bCs/>
          <w:i/>
          <w:iCs/>
          <w:lang w:eastAsia="zh-CN" w:bidi="ar"/>
        </w:rPr>
        <w:t>Drug content</w:t>
      </w:r>
    </w:p>
    <w:p w14:paraId="58E62009" w14:textId="77777777" w:rsidR="00656BA3" w:rsidRDefault="004E300C" w:rsidP="00656BA3">
      <w:pPr>
        <w:spacing w:line="360" w:lineRule="auto"/>
        <w:jc w:val="both"/>
        <w:rPr>
          <w:rFonts w:ascii="Arial" w:eastAsia="SimSun" w:hAnsi="Arial" w:cs="Arial"/>
          <w:lang w:eastAsia="zh-CN" w:bidi="ar"/>
        </w:rPr>
      </w:pPr>
      <w:r w:rsidRPr="00656BA3">
        <w:rPr>
          <w:rFonts w:ascii="Arial" w:eastAsia="SimSun" w:hAnsi="Arial" w:cs="Arial"/>
          <w:lang w:eastAsia="zh-CN" w:bidi="ar"/>
        </w:rPr>
        <w:t xml:space="preserve"> It was determined that the inclusion complex 1:1 had a drug content of 95.5% and the 1:2 had a drug content of 96.6%. There was a significant amount of drug present in both inclusion complexes. It shows that the drug is evenly distributed throughout the inclusion </w:t>
      </w:r>
      <w:r w:rsidRPr="00656BA3">
        <w:rPr>
          <w:rFonts w:ascii="Arial" w:eastAsia="SimSun" w:hAnsi="Arial" w:cs="Arial"/>
          <w:lang w:eastAsia="zh-CN" w:bidi="ar"/>
        </w:rPr>
        <w:lastRenderedPageBreak/>
        <w:t xml:space="preserve">complex and that the kneading method is very effective in creating the beta cyclodextrin inclusion complex. </w:t>
      </w:r>
    </w:p>
    <w:p w14:paraId="0116E905" w14:textId="32B4B08F" w:rsidR="004E300C" w:rsidRPr="00656BA3" w:rsidRDefault="004E300C" w:rsidP="00656BA3">
      <w:pPr>
        <w:spacing w:line="360" w:lineRule="auto"/>
        <w:jc w:val="both"/>
        <w:rPr>
          <w:rFonts w:ascii="Arial" w:eastAsia="SimSun" w:hAnsi="Arial" w:cs="Arial"/>
          <w:i/>
          <w:iCs/>
          <w:lang w:eastAsia="zh-CN" w:bidi="ar"/>
        </w:rPr>
      </w:pPr>
      <w:r w:rsidRPr="00656BA3">
        <w:rPr>
          <w:rFonts w:ascii="Arial" w:hAnsi="Arial" w:cs="Arial"/>
          <w:b/>
          <w:i/>
          <w:iCs/>
        </w:rPr>
        <w:t>Percentage yield</w:t>
      </w:r>
    </w:p>
    <w:p w14:paraId="66F61598" w14:textId="77777777" w:rsidR="004E300C" w:rsidRPr="00A25988" w:rsidRDefault="004E300C" w:rsidP="004E300C">
      <w:pPr>
        <w:spacing w:line="360" w:lineRule="auto"/>
        <w:jc w:val="both"/>
        <w:rPr>
          <w:rFonts w:ascii="Arial" w:hAnsi="Arial" w:cs="Arial"/>
        </w:rPr>
      </w:pPr>
      <w:r w:rsidRPr="00656BA3">
        <w:rPr>
          <w:rFonts w:ascii="Arial" w:eastAsia="SimSun" w:hAnsi="Arial" w:cs="Arial"/>
          <w:lang w:eastAsia="zh-CN" w:bidi="ar"/>
        </w:rPr>
        <w:t xml:space="preserve">Dolutegravir sodium: beta cyclodextrin inclusion complexes with a ratio of 1:1 and 1:2 had </w:t>
      </w:r>
      <w:r w:rsidRPr="00A25988">
        <w:rPr>
          <w:rFonts w:ascii="Arial" w:eastAsia="SimSun" w:hAnsi="Arial" w:cs="Arial"/>
          <w:lang w:eastAsia="zh-CN" w:bidi="ar"/>
        </w:rPr>
        <w:t xml:space="preserve">yield percentages of 95% and 96%, respectively. As can be </w:t>
      </w:r>
      <w:proofErr w:type="spellStart"/>
      <w:r w:rsidRPr="00A25988">
        <w:rPr>
          <w:rFonts w:ascii="Arial" w:eastAsia="SimSun" w:hAnsi="Arial" w:cs="Arial"/>
          <w:lang w:eastAsia="zh-CN" w:bidi="ar"/>
        </w:rPr>
        <w:t>sseen</w:t>
      </w:r>
      <w:proofErr w:type="spellEnd"/>
      <w:r w:rsidRPr="00A25988">
        <w:rPr>
          <w:rFonts w:ascii="Arial" w:eastAsia="SimSun" w:hAnsi="Arial" w:cs="Arial"/>
          <w:lang w:eastAsia="zh-CN" w:bidi="ar"/>
        </w:rPr>
        <w:t>, the yield of both formulations is higher than 90%. The high yield % suggests that the kneading method for creating inclusion complexes is reproducible.</w:t>
      </w:r>
    </w:p>
    <w:p w14:paraId="09A74B94" w14:textId="77777777" w:rsidR="004E300C" w:rsidRPr="00A25988" w:rsidRDefault="004E300C" w:rsidP="004E300C">
      <w:pPr>
        <w:spacing w:line="360" w:lineRule="auto"/>
        <w:jc w:val="both"/>
        <w:rPr>
          <w:rFonts w:ascii="Arial" w:hAnsi="Arial" w:cs="Arial"/>
          <w:i/>
          <w:color w:val="000000"/>
        </w:rPr>
      </w:pPr>
      <w:r w:rsidRPr="00A25988">
        <w:rPr>
          <w:rFonts w:ascii="Arial" w:eastAsia="SimSun" w:hAnsi="Arial" w:cs="Arial"/>
          <w:b/>
          <w:bCs/>
          <w:lang w:eastAsia="zh-CN" w:bidi="ar"/>
        </w:rPr>
        <w:t xml:space="preserve"> </w:t>
      </w:r>
      <w:r w:rsidRPr="00A25988">
        <w:rPr>
          <w:rFonts w:ascii="Arial" w:hAnsi="Arial" w:cs="Arial"/>
          <w:b/>
          <w:i/>
          <w:color w:val="000000"/>
        </w:rPr>
        <w:t>In-Vitro drug release studies of prepared inclusion complexes</w:t>
      </w:r>
    </w:p>
    <w:p w14:paraId="720B2628" w14:textId="77777777" w:rsidR="004E300C" w:rsidRPr="00A25988" w:rsidRDefault="004E300C" w:rsidP="004E300C">
      <w:pPr>
        <w:tabs>
          <w:tab w:val="left" w:pos="270"/>
          <w:tab w:val="left" w:pos="7440"/>
        </w:tabs>
        <w:spacing w:line="360" w:lineRule="auto"/>
        <w:ind w:right="146"/>
        <w:jc w:val="both"/>
        <w:rPr>
          <w:rFonts w:ascii="Arial" w:hAnsi="Arial" w:cs="Arial"/>
          <w:color w:val="000000"/>
        </w:rPr>
      </w:pPr>
      <w:r w:rsidRPr="00A25988">
        <w:rPr>
          <w:rFonts w:ascii="Arial" w:hAnsi="Arial" w:cs="Arial"/>
          <w:i/>
          <w:color w:val="000000"/>
        </w:rPr>
        <w:t>In-Vitro</w:t>
      </w:r>
      <w:r w:rsidRPr="00A25988">
        <w:rPr>
          <w:rFonts w:ascii="Arial" w:hAnsi="Arial" w:cs="Arial"/>
          <w:color w:val="000000"/>
        </w:rPr>
        <w:t xml:space="preserve"> drug release studies of inclusion complexes with ratios of 1:1 and 1:2, pure drug were conducted using a USP Type 2 (Paddle) dissolution apparatus. Among all the formulations, 1:1 complex showed a drug release of 37.46% after 60 minutes in pH 1.2 and 95.07% in pH 6.8. Similarly, the 1:2 complex exhibited a drug release of 39.79% in pH 1.2 and 97.75% in pH 6.8. pure drug showed a release of 30.25 in pH1.2 and 90.87 in pH6.8 Fig No. 2 and 3 The prepared inclusion complexes exhibited an increase drug release in comparison to pure drug indicating an enhancement in dissolution rate of dolutegravir sodium. These results suggest that the 1:1 complex is the more effective inclusion complex.</w:t>
      </w:r>
    </w:p>
    <w:p w14:paraId="30C3D1FB" w14:textId="77777777" w:rsidR="004E300C" w:rsidRPr="00A25988" w:rsidRDefault="004E300C" w:rsidP="004E300C">
      <w:pPr>
        <w:tabs>
          <w:tab w:val="left" w:pos="270"/>
          <w:tab w:val="left" w:pos="7440"/>
        </w:tabs>
        <w:spacing w:line="360" w:lineRule="auto"/>
        <w:ind w:right="146"/>
        <w:jc w:val="both"/>
        <w:rPr>
          <w:rFonts w:ascii="Arial" w:hAnsi="Arial" w:cs="Arial"/>
          <w:color w:val="000000"/>
        </w:rPr>
      </w:pPr>
      <w:r w:rsidRPr="00A25988">
        <w:rPr>
          <w:rFonts w:ascii="Arial" w:hAnsi="Arial" w:cs="Arial"/>
          <w:noProof/>
        </w:rPr>
        <w:drawing>
          <wp:inline distT="0" distB="0" distL="0" distR="0" wp14:anchorId="4B18C55B" wp14:editId="1057FFD0">
            <wp:extent cx="4318000" cy="3471545"/>
            <wp:effectExtent l="0" t="0" r="63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5B50FD" w14:textId="139B903B" w:rsidR="004E300C" w:rsidRPr="00A25988" w:rsidRDefault="004E300C" w:rsidP="002E38D6">
      <w:pPr>
        <w:spacing w:line="360" w:lineRule="auto"/>
        <w:ind w:right="-14"/>
        <w:jc w:val="both"/>
        <w:rPr>
          <w:rFonts w:ascii="Arial" w:hAnsi="Arial" w:cs="Arial"/>
          <w:b/>
          <w:bCs/>
        </w:rPr>
      </w:pPr>
      <w:r w:rsidRPr="00A25988">
        <w:rPr>
          <w:rFonts w:ascii="Arial" w:hAnsi="Arial" w:cs="Arial"/>
          <w:b/>
          <w:bCs/>
        </w:rPr>
        <w:t>Fig</w:t>
      </w:r>
      <w:r w:rsidR="002E38D6" w:rsidRPr="00A25988">
        <w:rPr>
          <w:rFonts w:ascii="Arial" w:hAnsi="Arial" w:cs="Arial"/>
          <w:b/>
          <w:bCs/>
        </w:rPr>
        <w:t>.</w:t>
      </w:r>
      <w:r w:rsidRPr="00A25988">
        <w:rPr>
          <w:rFonts w:ascii="Arial" w:hAnsi="Arial" w:cs="Arial"/>
          <w:b/>
          <w:bCs/>
        </w:rPr>
        <w:t xml:space="preserve"> 2 </w:t>
      </w:r>
      <w:r w:rsidRPr="00A25988">
        <w:rPr>
          <w:rFonts w:ascii="Arial" w:hAnsi="Arial" w:cs="Arial"/>
          <w:b/>
          <w:bCs/>
          <w:i/>
        </w:rPr>
        <w:t>I</w:t>
      </w:r>
      <w:r w:rsidR="002E38D6" w:rsidRPr="00A25988">
        <w:rPr>
          <w:rFonts w:ascii="Arial" w:hAnsi="Arial" w:cs="Arial"/>
          <w:b/>
          <w:bCs/>
          <w:i/>
        </w:rPr>
        <w:t>n</w:t>
      </w:r>
      <w:r w:rsidRPr="00A25988">
        <w:rPr>
          <w:rFonts w:ascii="Arial" w:hAnsi="Arial" w:cs="Arial"/>
          <w:b/>
          <w:bCs/>
          <w:i/>
        </w:rPr>
        <w:t>-V</w:t>
      </w:r>
      <w:r w:rsidR="002E38D6" w:rsidRPr="00A25988">
        <w:rPr>
          <w:rFonts w:ascii="Arial" w:hAnsi="Arial" w:cs="Arial"/>
          <w:b/>
          <w:bCs/>
          <w:i/>
        </w:rPr>
        <w:t>itro</w:t>
      </w:r>
      <w:r w:rsidRPr="00A25988">
        <w:rPr>
          <w:rFonts w:ascii="Arial" w:hAnsi="Arial" w:cs="Arial"/>
          <w:b/>
          <w:bCs/>
        </w:rPr>
        <w:t xml:space="preserve"> dissolution profile of inclusion complex (1:1, 1:2) and Pure drug in pH</w:t>
      </w:r>
      <w:r w:rsidR="00B57186" w:rsidRPr="00A25988">
        <w:rPr>
          <w:rFonts w:ascii="Arial" w:hAnsi="Arial" w:cs="Arial"/>
          <w:b/>
          <w:bCs/>
        </w:rPr>
        <w:t xml:space="preserve"> </w:t>
      </w:r>
      <w:r w:rsidRPr="00A25988">
        <w:rPr>
          <w:rFonts w:ascii="Arial" w:hAnsi="Arial" w:cs="Arial"/>
          <w:b/>
          <w:bCs/>
        </w:rPr>
        <w:t>1.2</w:t>
      </w:r>
    </w:p>
    <w:p w14:paraId="413EECB3" w14:textId="77777777" w:rsidR="004E300C" w:rsidRPr="00A25988" w:rsidRDefault="004E300C" w:rsidP="004E300C">
      <w:pPr>
        <w:tabs>
          <w:tab w:val="left" w:pos="270"/>
          <w:tab w:val="left" w:pos="7440"/>
        </w:tabs>
        <w:spacing w:line="360" w:lineRule="auto"/>
        <w:ind w:right="146"/>
        <w:jc w:val="both"/>
        <w:rPr>
          <w:rFonts w:ascii="Arial" w:hAnsi="Arial" w:cs="Arial"/>
          <w:color w:val="000000"/>
        </w:rPr>
      </w:pPr>
      <w:r w:rsidRPr="00A25988">
        <w:rPr>
          <w:rFonts w:ascii="Arial" w:hAnsi="Arial" w:cs="Arial"/>
          <w:noProof/>
        </w:rPr>
        <w:lastRenderedPageBreak/>
        <w:drawing>
          <wp:inline distT="0" distB="0" distL="0" distR="0" wp14:anchorId="1AFD9A8B" wp14:editId="0E1E8105">
            <wp:extent cx="4394200" cy="3355340"/>
            <wp:effectExtent l="0" t="0" r="635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563C1A" w14:textId="77777777" w:rsidR="0064017A" w:rsidRPr="00A25988" w:rsidRDefault="004E300C" w:rsidP="0064017A">
      <w:pPr>
        <w:spacing w:line="360" w:lineRule="auto"/>
        <w:ind w:right="-14"/>
        <w:jc w:val="both"/>
        <w:rPr>
          <w:rFonts w:ascii="Arial" w:hAnsi="Arial" w:cs="Arial"/>
          <w:b/>
          <w:bCs/>
        </w:rPr>
      </w:pPr>
      <w:r w:rsidRPr="00A25988">
        <w:rPr>
          <w:rFonts w:ascii="Arial" w:hAnsi="Arial" w:cs="Arial"/>
          <w:b/>
          <w:bCs/>
        </w:rPr>
        <w:t>Fig</w:t>
      </w:r>
      <w:r w:rsidR="00877B15" w:rsidRPr="00A25988">
        <w:rPr>
          <w:rFonts w:ascii="Arial" w:hAnsi="Arial" w:cs="Arial"/>
          <w:b/>
          <w:bCs/>
        </w:rPr>
        <w:t>.</w:t>
      </w:r>
      <w:r w:rsidRPr="00A25988">
        <w:rPr>
          <w:rFonts w:ascii="Arial" w:hAnsi="Arial" w:cs="Arial"/>
          <w:b/>
          <w:bCs/>
        </w:rPr>
        <w:t xml:space="preserve"> 3 </w:t>
      </w:r>
      <w:r w:rsidR="00877B15" w:rsidRPr="00A25988">
        <w:rPr>
          <w:rFonts w:ascii="Arial" w:hAnsi="Arial" w:cs="Arial"/>
          <w:b/>
          <w:bCs/>
          <w:i/>
        </w:rPr>
        <w:t>In-Vitro</w:t>
      </w:r>
      <w:r w:rsidR="00877B15" w:rsidRPr="00A25988">
        <w:rPr>
          <w:rFonts w:ascii="Arial" w:hAnsi="Arial" w:cs="Arial"/>
          <w:b/>
          <w:bCs/>
        </w:rPr>
        <w:t xml:space="preserve"> </w:t>
      </w:r>
      <w:r w:rsidRPr="00A25988">
        <w:rPr>
          <w:rFonts w:ascii="Arial" w:hAnsi="Arial" w:cs="Arial"/>
          <w:b/>
          <w:bCs/>
        </w:rPr>
        <w:t xml:space="preserve">dissolution profile of inclusion complex (1:1, 1:2) and Pure drug in </w:t>
      </w:r>
      <w:r w:rsidR="009A6E14" w:rsidRPr="00A25988">
        <w:rPr>
          <w:rFonts w:ascii="Arial" w:hAnsi="Arial" w:cs="Arial"/>
          <w:b/>
          <w:bCs/>
        </w:rPr>
        <w:t>pH 6.8</w:t>
      </w:r>
    </w:p>
    <w:p w14:paraId="0359B1E0" w14:textId="59DF3738" w:rsidR="004E300C" w:rsidRPr="00A25988" w:rsidRDefault="004E300C" w:rsidP="0064017A">
      <w:pPr>
        <w:spacing w:line="360" w:lineRule="auto"/>
        <w:ind w:right="-14"/>
        <w:jc w:val="both"/>
        <w:rPr>
          <w:rFonts w:ascii="Arial" w:hAnsi="Arial" w:cs="Arial"/>
        </w:rPr>
      </w:pPr>
      <w:r w:rsidRPr="00A25988">
        <w:rPr>
          <w:rFonts w:ascii="Arial" w:hAnsi="Arial" w:cs="Arial"/>
          <w:b/>
          <w:lang w:eastAsia="en-IN"/>
        </w:rPr>
        <w:t xml:space="preserve">Fourier Transform Infrared Spectroscopy (FTIR) </w:t>
      </w:r>
    </w:p>
    <w:p w14:paraId="23099453" w14:textId="77777777" w:rsidR="004E300C" w:rsidRPr="00A25988" w:rsidRDefault="004E300C" w:rsidP="004E300C">
      <w:pPr>
        <w:spacing w:line="360" w:lineRule="auto"/>
        <w:jc w:val="both"/>
        <w:rPr>
          <w:rFonts w:ascii="Arial" w:eastAsia="SimSun" w:hAnsi="Arial" w:cs="Arial"/>
          <w:lang w:eastAsia="zh-CN" w:bidi="ar"/>
        </w:rPr>
      </w:pPr>
      <w:r w:rsidRPr="00A25988">
        <w:rPr>
          <w:rFonts w:ascii="Arial" w:eastAsia="SimSun" w:hAnsi="Arial" w:cs="Arial"/>
          <w:lang w:eastAsia="zh-CN" w:bidi="ar"/>
        </w:rPr>
        <w:t>All of the distinctive peaks of dolutegravir sodium were also seen in the inclusion complex spectra as well. (Fig 4) The drug and inclusion complex's distinctive functional groups are displayed in Table No. 4, along with their wave numbers in cm</w:t>
      </w:r>
      <w:r w:rsidRPr="00A25988">
        <w:rPr>
          <w:rFonts w:ascii="Arial" w:eastAsia="SimSun" w:hAnsi="Arial" w:cs="Arial"/>
          <w:vertAlign w:val="superscript"/>
          <w:lang w:eastAsia="zh-CN" w:bidi="ar"/>
        </w:rPr>
        <w:t>-1</w:t>
      </w:r>
      <w:r w:rsidRPr="00A25988">
        <w:rPr>
          <w:rFonts w:ascii="Arial" w:eastAsia="SimSun" w:hAnsi="Arial" w:cs="Arial"/>
          <w:lang w:eastAsia="zh-CN" w:bidi="ar"/>
        </w:rPr>
        <w:t>. The Indian Pharmacopoeia 2022 provided the reference standard's FTIR spectra for dolutegravir sodium.</w:t>
      </w:r>
    </w:p>
    <w:p w14:paraId="418C059A" w14:textId="77777777" w:rsidR="004E300C" w:rsidRPr="00A25988" w:rsidRDefault="004E300C" w:rsidP="004E300C">
      <w:pPr>
        <w:widowControl w:val="0"/>
        <w:tabs>
          <w:tab w:val="left" w:pos="801"/>
        </w:tabs>
        <w:spacing w:line="360" w:lineRule="auto"/>
        <w:jc w:val="both"/>
        <w:rPr>
          <w:rFonts w:ascii="Arial" w:hAnsi="Arial" w:cs="Arial"/>
          <w:b/>
        </w:rPr>
      </w:pPr>
      <w:r w:rsidRPr="00A25988">
        <w:rPr>
          <w:rFonts w:ascii="Arial" w:hAnsi="Arial" w:cs="Arial"/>
          <w:b/>
        </w:rPr>
        <w:t xml:space="preserve">Table 4.  FTIR Spectral data of Inclusion Complex (1:1) </w:t>
      </w:r>
    </w:p>
    <w:tbl>
      <w:tblPr>
        <w:tblStyle w:val="Style13"/>
        <w:tblW w:w="7976" w:type="dxa"/>
        <w:jc w:val="center"/>
        <w:tblInd w:w="0" w:type="dxa"/>
        <w:tblBorders>
          <w:top w:val="single" w:sz="4" w:space="0" w:color="auto"/>
          <w:bottom w:val="single" w:sz="4" w:space="0" w:color="auto"/>
        </w:tblBorders>
        <w:tblLayout w:type="fixed"/>
        <w:tblLook w:val="04A0" w:firstRow="1" w:lastRow="0" w:firstColumn="1" w:lastColumn="0" w:noHBand="0" w:noVBand="1"/>
      </w:tblPr>
      <w:tblGrid>
        <w:gridCol w:w="1701"/>
        <w:gridCol w:w="2760"/>
        <w:gridCol w:w="1519"/>
        <w:gridCol w:w="1996"/>
      </w:tblGrid>
      <w:tr w:rsidR="004E300C" w:rsidRPr="00A25988" w14:paraId="25AEB3BD" w14:textId="77777777" w:rsidTr="0064017A">
        <w:trPr>
          <w:trHeight w:val="307"/>
          <w:jc w:val="center"/>
        </w:trPr>
        <w:tc>
          <w:tcPr>
            <w:tcW w:w="1701" w:type="dxa"/>
            <w:vMerge w:val="restart"/>
            <w:tcBorders>
              <w:top w:val="single" w:sz="4" w:space="0" w:color="auto"/>
              <w:bottom w:val="nil"/>
            </w:tcBorders>
            <w:tcMar>
              <w:top w:w="0" w:type="dxa"/>
              <w:left w:w="0" w:type="dxa"/>
              <w:bottom w:w="0" w:type="dxa"/>
              <w:right w:w="0" w:type="dxa"/>
            </w:tcMar>
            <w:vAlign w:val="center"/>
          </w:tcPr>
          <w:p w14:paraId="33BFA96E" w14:textId="77777777" w:rsidR="004E300C" w:rsidRPr="00A25988" w:rsidRDefault="004E300C" w:rsidP="0031446A">
            <w:pPr>
              <w:widowControl w:val="0"/>
              <w:spacing w:line="360" w:lineRule="auto"/>
              <w:ind w:left="340" w:right="89" w:hanging="233"/>
              <w:jc w:val="both"/>
              <w:rPr>
                <w:rFonts w:ascii="Arial" w:eastAsia="Times New Roman" w:hAnsi="Arial" w:cs="Arial"/>
                <w:b/>
                <w:color w:val="000000"/>
              </w:rPr>
            </w:pPr>
            <w:r w:rsidRPr="00A25988">
              <w:rPr>
                <w:rFonts w:ascii="Arial" w:eastAsia="Times New Roman" w:hAnsi="Arial" w:cs="Arial"/>
                <w:b/>
                <w:color w:val="000000"/>
              </w:rPr>
              <w:t>Functional group</w:t>
            </w:r>
          </w:p>
        </w:tc>
        <w:tc>
          <w:tcPr>
            <w:tcW w:w="2760" w:type="dxa"/>
            <w:tcBorders>
              <w:top w:val="single" w:sz="4" w:space="0" w:color="auto"/>
              <w:bottom w:val="single" w:sz="4" w:space="0" w:color="auto"/>
            </w:tcBorders>
            <w:tcMar>
              <w:top w:w="0" w:type="dxa"/>
              <w:left w:w="0" w:type="dxa"/>
              <w:bottom w:w="0" w:type="dxa"/>
              <w:right w:w="0" w:type="dxa"/>
            </w:tcMar>
            <w:vAlign w:val="center"/>
          </w:tcPr>
          <w:p w14:paraId="5AD3BB8C" w14:textId="457DEF20" w:rsidR="004E300C" w:rsidRPr="00A25988" w:rsidRDefault="004E300C" w:rsidP="0031446A">
            <w:pPr>
              <w:widowControl w:val="0"/>
              <w:spacing w:line="360" w:lineRule="auto"/>
              <w:ind w:left="139" w:right="128" w:hanging="1"/>
              <w:jc w:val="both"/>
              <w:rPr>
                <w:rFonts w:ascii="Arial" w:eastAsia="Times New Roman" w:hAnsi="Arial" w:cs="Arial"/>
                <w:b/>
                <w:color w:val="000000"/>
              </w:rPr>
            </w:pPr>
            <w:r w:rsidRPr="00A25988">
              <w:rPr>
                <w:rFonts w:ascii="Arial" w:eastAsia="Times New Roman" w:hAnsi="Arial" w:cs="Arial"/>
                <w:b/>
                <w:color w:val="000000"/>
              </w:rPr>
              <w:t>Reported</w:t>
            </w:r>
            <w:r w:rsidR="0064017A" w:rsidRPr="00A25988">
              <w:rPr>
                <w:rFonts w:ascii="Arial" w:eastAsia="Times New Roman" w:hAnsi="Arial" w:cs="Arial"/>
                <w:b/>
                <w:color w:val="000000"/>
              </w:rPr>
              <w:t xml:space="preserve"> </w:t>
            </w:r>
            <w:r w:rsidRPr="00A25988">
              <w:rPr>
                <w:rFonts w:ascii="Arial" w:eastAsia="Times New Roman" w:hAnsi="Arial" w:cs="Arial"/>
                <w:b/>
                <w:color w:val="000000"/>
              </w:rPr>
              <w:t>frequencies (cm</w:t>
            </w:r>
            <w:r w:rsidRPr="00A25988">
              <w:rPr>
                <w:rFonts w:ascii="Arial" w:eastAsia="Times New Roman" w:hAnsi="Arial" w:cs="Arial"/>
                <w:b/>
                <w:color w:val="000000"/>
                <w:vertAlign w:val="superscript"/>
              </w:rPr>
              <w:t>-1</w:t>
            </w:r>
            <w:r w:rsidRPr="00A25988">
              <w:rPr>
                <w:rFonts w:ascii="Arial" w:eastAsia="Times New Roman" w:hAnsi="Arial" w:cs="Arial"/>
                <w:b/>
                <w:color w:val="000000"/>
              </w:rPr>
              <w:t>)</w:t>
            </w:r>
          </w:p>
        </w:tc>
        <w:tc>
          <w:tcPr>
            <w:tcW w:w="3515" w:type="dxa"/>
            <w:gridSpan w:val="2"/>
            <w:tcBorders>
              <w:top w:val="single" w:sz="4" w:space="0" w:color="auto"/>
              <w:bottom w:val="single" w:sz="4" w:space="0" w:color="auto"/>
            </w:tcBorders>
            <w:tcMar>
              <w:top w:w="0" w:type="dxa"/>
              <w:left w:w="0" w:type="dxa"/>
              <w:bottom w:w="0" w:type="dxa"/>
              <w:right w:w="0" w:type="dxa"/>
            </w:tcMar>
            <w:vAlign w:val="center"/>
          </w:tcPr>
          <w:p w14:paraId="07CEDADB" w14:textId="77777777" w:rsidR="004E300C" w:rsidRPr="00A25988" w:rsidRDefault="004E300C" w:rsidP="0031446A">
            <w:pPr>
              <w:widowControl w:val="0"/>
              <w:spacing w:line="360" w:lineRule="auto"/>
              <w:jc w:val="both"/>
              <w:rPr>
                <w:rFonts w:ascii="Arial" w:eastAsia="Times New Roman" w:hAnsi="Arial" w:cs="Arial"/>
                <w:b/>
                <w:color w:val="000000"/>
              </w:rPr>
            </w:pPr>
            <w:r w:rsidRPr="00A25988">
              <w:rPr>
                <w:rFonts w:ascii="Arial" w:eastAsia="Times New Roman" w:hAnsi="Arial" w:cs="Arial"/>
                <w:b/>
                <w:color w:val="000000"/>
              </w:rPr>
              <w:t>Observed frequencies (cm</w:t>
            </w:r>
            <w:r w:rsidRPr="00A25988">
              <w:rPr>
                <w:rFonts w:ascii="Arial" w:eastAsia="Times New Roman" w:hAnsi="Arial" w:cs="Arial"/>
                <w:b/>
                <w:color w:val="000000"/>
                <w:vertAlign w:val="superscript"/>
              </w:rPr>
              <w:t>-1</w:t>
            </w:r>
            <w:r w:rsidRPr="00A25988">
              <w:rPr>
                <w:rFonts w:ascii="Arial" w:eastAsia="Times New Roman" w:hAnsi="Arial" w:cs="Arial"/>
                <w:b/>
                <w:color w:val="000000"/>
              </w:rPr>
              <w:t>)</w:t>
            </w:r>
          </w:p>
        </w:tc>
      </w:tr>
      <w:tr w:rsidR="004E300C" w:rsidRPr="00A25988" w14:paraId="4E108474" w14:textId="77777777" w:rsidTr="0064017A">
        <w:trPr>
          <w:trHeight w:val="316"/>
          <w:jc w:val="center"/>
        </w:trPr>
        <w:tc>
          <w:tcPr>
            <w:tcW w:w="1701" w:type="dxa"/>
            <w:vMerge/>
            <w:tcBorders>
              <w:top w:val="nil"/>
              <w:bottom w:val="single" w:sz="4" w:space="0" w:color="auto"/>
            </w:tcBorders>
            <w:tcMar>
              <w:top w:w="0" w:type="dxa"/>
              <w:left w:w="0" w:type="dxa"/>
              <w:bottom w:w="0" w:type="dxa"/>
              <w:right w:w="0" w:type="dxa"/>
            </w:tcMar>
            <w:vAlign w:val="center"/>
          </w:tcPr>
          <w:p w14:paraId="3A322BA2" w14:textId="77777777" w:rsidR="004E300C" w:rsidRPr="00A25988" w:rsidRDefault="004E300C" w:rsidP="0031446A">
            <w:pPr>
              <w:widowControl w:val="0"/>
              <w:spacing w:line="276" w:lineRule="auto"/>
              <w:jc w:val="both"/>
              <w:rPr>
                <w:rFonts w:ascii="Arial" w:eastAsia="Times New Roman" w:hAnsi="Arial" w:cs="Arial"/>
                <w:b/>
                <w:color w:val="000000"/>
              </w:rPr>
            </w:pPr>
          </w:p>
        </w:tc>
        <w:tc>
          <w:tcPr>
            <w:tcW w:w="2760" w:type="dxa"/>
            <w:tcBorders>
              <w:top w:val="single" w:sz="4" w:space="0" w:color="auto"/>
              <w:bottom w:val="single" w:sz="4" w:space="0" w:color="auto"/>
            </w:tcBorders>
            <w:tcMar>
              <w:top w:w="0" w:type="dxa"/>
              <w:left w:w="0" w:type="dxa"/>
              <w:bottom w:w="0" w:type="dxa"/>
              <w:right w:w="0" w:type="dxa"/>
            </w:tcMar>
            <w:vAlign w:val="center"/>
          </w:tcPr>
          <w:p w14:paraId="31C0B4C1" w14:textId="77777777" w:rsidR="004E300C" w:rsidRPr="00A25988" w:rsidRDefault="004E300C" w:rsidP="0031446A">
            <w:pPr>
              <w:spacing w:line="360" w:lineRule="auto"/>
              <w:jc w:val="both"/>
              <w:rPr>
                <w:rFonts w:ascii="Arial" w:eastAsia="Times New Roman" w:hAnsi="Arial" w:cs="Arial"/>
              </w:rPr>
            </w:pPr>
            <w:r w:rsidRPr="00A25988">
              <w:rPr>
                <w:rFonts w:ascii="Arial" w:eastAsia="Times New Roman" w:hAnsi="Arial" w:cs="Arial"/>
                <w:b/>
              </w:rPr>
              <w:t>Standard</w:t>
            </w:r>
          </w:p>
        </w:tc>
        <w:tc>
          <w:tcPr>
            <w:tcW w:w="1519" w:type="dxa"/>
            <w:tcBorders>
              <w:top w:val="single" w:sz="4" w:space="0" w:color="auto"/>
              <w:bottom w:val="single" w:sz="4" w:space="0" w:color="auto"/>
            </w:tcBorders>
            <w:tcMar>
              <w:top w:w="0" w:type="dxa"/>
              <w:left w:w="0" w:type="dxa"/>
              <w:bottom w:w="0" w:type="dxa"/>
              <w:right w:w="0" w:type="dxa"/>
            </w:tcMar>
            <w:vAlign w:val="center"/>
          </w:tcPr>
          <w:p w14:paraId="48E30DDB" w14:textId="77777777" w:rsidR="004E300C" w:rsidRPr="00A25988" w:rsidRDefault="004E300C" w:rsidP="0031446A">
            <w:pPr>
              <w:widowControl w:val="0"/>
              <w:spacing w:line="360" w:lineRule="auto"/>
              <w:ind w:left="90" w:right="120"/>
              <w:jc w:val="both"/>
              <w:rPr>
                <w:rFonts w:ascii="Arial" w:eastAsia="Times New Roman" w:hAnsi="Arial" w:cs="Arial"/>
                <w:b/>
                <w:color w:val="000000"/>
              </w:rPr>
            </w:pPr>
            <w:r w:rsidRPr="00A25988">
              <w:rPr>
                <w:rFonts w:ascii="Arial" w:eastAsia="Times New Roman" w:hAnsi="Arial" w:cs="Arial"/>
                <w:b/>
                <w:color w:val="000000"/>
              </w:rPr>
              <w:t>Pure drug</w:t>
            </w:r>
          </w:p>
        </w:tc>
        <w:tc>
          <w:tcPr>
            <w:tcW w:w="1996" w:type="dxa"/>
            <w:tcBorders>
              <w:top w:val="single" w:sz="4" w:space="0" w:color="auto"/>
              <w:bottom w:val="single" w:sz="4" w:space="0" w:color="auto"/>
            </w:tcBorders>
            <w:tcMar>
              <w:top w:w="0" w:type="dxa"/>
              <w:left w:w="0" w:type="dxa"/>
              <w:bottom w:w="0" w:type="dxa"/>
              <w:right w:w="0" w:type="dxa"/>
            </w:tcMar>
            <w:vAlign w:val="center"/>
          </w:tcPr>
          <w:p w14:paraId="499757CF" w14:textId="77777777" w:rsidR="004E300C" w:rsidRPr="00A25988" w:rsidRDefault="004E300C" w:rsidP="0031446A">
            <w:pPr>
              <w:widowControl w:val="0"/>
              <w:spacing w:line="360" w:lineRule="auto"/>
              <w:ind w:left="88" w:right="77"/>
              <w:jc w:val="both"/>
              <w:rPr>
                <w:rFonts w:ascii="Arial" w:eastAsia="Times New Roman" w:hAnsi="Arial" w:cs="Arial"/>
                <w:b/>
                <w:color w:val="000000"/>
              </w:rPr>
            </w:pPr>
            <w:r w:rsidRPr="00A25988">
              <w:rPr>
                <w:rFonts w:ascii="Arial" w:eastAsia="Times New Roman" w:hAnsi="Arial" w:cs="Arial"/>
                <w:b/>
                <w:color w:val="000000"/>
              </w:rPr>
              <w:t>Inclusion complex</w:t>
            </w:r>
          </w:p>
        </w:tc>
      </w:tr>
      <w:tr w:rsidR="004E300C" w:rsidRPr="00A25988" w14:paraId="088E9C43" w14:textId="77777777" w:rsidTr="0064017A">
        <w:trPr>
          <w:trHeight w:val="410"/>
          <w:jc w:val="center"/>
        </w:trPr>
        <w:tc>
          <w:tcPr>
            <w:tcW w:w="1701" w:type="dxa"/>
            <w:tcBorders>
              <w:top w:val="single" w:sz="4" w:space="0" w:color="auto"/>
            </w:tcBorders>
            <w:tcMar>
              <w:top w:w="0" w:type="dxa"/>
              <w:left w:w="0" w:type="dxa"/>
              <w:bottom w:w="0" w:type="dxa"/>
              <w:right w:w="0" w:type="dxa"/>
            </w:tcMar>
            <w:vAlign w:val="center"/>
          </w:tcPr>
          <w:p w14:paraId="6AB63153" w14:textId="77777777" w:rsidR="004E300C" w:rsidRPr="00A25988" w:rsidRDefault="004E300C" w:rsidP="0031446A">
            <w:pPr>
              <w:widowControl w:val="0"/>
              <w:spacing w:line="360" w:lineRule="auto"/>
              <w:ind w:left="273" w:right="265"/>
              <w:jc w:val="both"/>
              <w:rPr>
                <w:rFonts w:ascii="Arial" w:eastAsia="Times New Roman" w:hAnsi="Arial" w:cs="Arial"/>
                <w:color w:val="000000"/>
              </w:rPr>
            </w:pPr>
            <w:r w:rsidRPr="00A25988">
              <w:rPr>
                <w:rFonts w:ascii="Arial" w:eastAsia="Times New Roman" w:hAnsi="Arial" w:cs="Arial"/>
                <w:color w:val="000000"/>
              </w:rPr>
              <w:t>N=0</w:t>
            </w:r>
          </w:p>
        </w:tc>
        <w:tc>
          <w:tcPr>
            <w:tcW w:w="2760" w:type="dxa"/>
            <w:tcBorders>
              <w:top w:val="single" w:sz="4" w:space="0" w:color="auto"/>
            </w:tcBorders>
            <w:tcMar>
              <w:top w:w="0" w:type="dxa"/>
              <w:left w:w="0" w:type="dxa"/>
              <w:bottom w:w="0" w:type="dxa"/>
              <w:right w:w="0" w:type="dxa"/>
            </w:tcMar>
            <w:vAlign w:val="center"/>
          </w:tcPr>
          <w:p w14:paraId="6A8F3F86" w14:textId="77777777" w:rsidR="004E300C" w:rsidRPr="00A25988" w:rsidRDefault="004E300C" w:rsidP="0031446A">
            <w:pPr>
              <w:widowControl w:val="0"/>
              <w:spacing w:line="360" w:lineRule="auto"/>
              <w:ind w:left="386"/>
              <w:jc w:val="both"/>
              <w:rPr>
                <w:rFonts w:ascii="Arial" w:eastAsia="Times New Roman" w:hAnsi="Arial" w:cs="Arial"/>
                <w:color w:val="000000"/>
              </w:rPr>
            </w:pPr>
            <w:r w:rsidRPr="00A25988">
              <w:rPr>
                <w:rFonts w:ascii="Arial" w:eastAsia="Times New Roman" w:hAnsi="Arial" w:cs="Arial"/>
                <w:color w:val="000000"/>
              </w:rPr>
              <w:t>1350-1550</w:t>
            </w:r>
          </w:p>
        </w:tc>
        <w:tc>
          <w:tcPr>
            <w:tcW w:w="1519" w:type="dxa"/>
            <w:tcBorders>
              <w:top w:val="single" w:sz="4" w:space="0" w:color="auto"/>
            </w:tcBorders>
            <w:tcMar>
              <w:top w:w="0" w:type="dxa"/>
              <w:left w:w="0" w:type="dxa"/>
              <w:bottom w:w="0" w:type="dxa"/>
              <w:right w:w="0" w:type="dxa"/>
            </w:tcMar>
            <w:vAlign w:val="center"/>
          </w:tcPr>
          <w:p w14:paraId="1484F9FC" w14:textId="77777777" w:rsidR="004E300C" w:rsidRPr="00A25988" w:rsidRDefault="004E300C" w:rsidP="0031446A">
            <w:pPr>
              <w:widowControl w:val="0"/>
              <w:spacing w:line="360" w:lineRule="auto"/>
              <w:ind w:right="128"/>
              <w:jc w:val="both"/>
              <w:rPr>
                <w:rFonts w:ascii="Arial" w:eastAsia="Times New Roman" w:hAnsi="Arial" w:cs="Arial"/>
                <w:color w:val="000000"/>
              </w:rPr>
            </w:pPr>
            <w:r w:rsidRPr="00A25988">
              <w:rPr>
                <w:rFonts w:ascii="Arial" w:eastAsia="Times New Roman" w:hAnsi="Arial" w:cs="Arial"/>
                <w:color w:val="000000"/>
              </w:rPr>
              <w:t>1539.26</w:t>
            </w:r>
          </w:p>
        </w:tc>
        <w:tc>
          <w:tcPr>
            <w:tcW w:w="1996" w:type="dxa"/>
            <w:tcBorders>
              <w:top w:val="single" w:sz="4" w:space="0" w:color="auto"/>
            </w:tcBorders>
            <w:tcMar>
              <w:top w:w="0" w:type="dxa"/>
              <w:left w:w="0" w:type="dxa"/>
              <w:bottom w:w="0" w:type="dxa"/>
              <w:right w:w="0" w:type="dxa"/>
            </w:tcMar>
            <w:vAlign w:val="center"/>
          </w:tcPr>
          <w:p w14:paraId="4C76E727" w14:textId="77777777" w:rsidR="004E300C" w:rsidRPr="00A25988" w:rsidRDefault="004E300C" w:rsidP="0031446A">
            <w:pPr>
              <w:widowControl w:val="0"/>
              <w:spacing w:line="360" w:lineRule="auto"/>
              <w:ind w:left="89" w:right="77"/>
              <w:jc w:val="both"/>
              <w:rPr>
                <w:rFonts w:ascii="Arial" w:eastAsia="Times New Roman" w:hAnsi="Arial" w:cs="Arial"/>
                <w:color w:val="000000"/>
              </w:rPr>
            </w:pPr>
            <w:r w:rsidRPr="00A25988">
              <w:rPr>
                <w:rFonts w:ascii="Arial" w:eastAsia="Times New Roman" w:hAnsi="Arial" w:cs="Arial"/>
                <w:color w:val="000000"/>
              </w:rPr>
              <w:t>1500.68</w:t>
            </w:r>
          </w:p>
        </w:tc>
      </w:tr>
      <w:tr w:rsidR="004E300C" w:rsidRPr="00A25988" w14:paraId="6A0E2ACA" w14:textId="77777777" w:rsidTr="0064017A">
        <w:trPr>
          <w:trHeight w:val="409"/>
          <w:jc w:val="center"/>
        </w:trPr>
        <w:tc>
          <w:tcPr>
            <w:tcW w:w="1701" w:type="dxa"/>
            <w:tcMar>
              <w:top w:w="0" w:type="dxa"/>
              <w:left w:w="0" w:type="dxa"/>
              <w:bottom w:w="0" w:type="dxa"/>
              <w:right w:w="0" w:type="dxa"/>
            </w:tcMar>
            <w:vAlign w:val="center"/>
          </w:tcPr>
          <w:p w14:paraId="620D68B1" w14:textId="77777777" w:rsidR="004E300C" w:rsidRPr="00A25988" w:rsidRDefault="004E300C" w:rsidP="0031446A">
            <w:pPr>
              <w:widowControl w:val="0"/>
              <w:spacing w:before="1" w:line="360" w:lineRule="auto"/>
              <w:ind w:left="272" w:right="265"/>
              <w:jc w:val="both"/>
              <w:rPr>
                <w:rFonts w:ascii="Arial" w:eastAsia="Times New Roman" w:hAnsi="Arial" w:cs="Arial"/>
                <w:color w:val="000000"/>
              </w:rPr>
            </w:pPr>
            <w:r w:rsidRPr="00A25988">
              <w:rPr>
                <w:rFonts w:ascii="Arial" w:eastAsia="Times New Roman" w:hAnsi="Arial" w:cs="Arial"/>
                <w:color w:val="000000"/>
              </w:rPr>
              <w:t>CH</w:t>
            </w:r>
            <w:r w:rsidRPr="00A25988">
              <w:rPr>
                <w:rFonts w:ascii="Arial" w:eastAsia="Times New Roman" w:hAnsi="Arial" w:cs="Arial"/>
                <w:color w:val="000000"/>
                <w:vertAlign w:val="subscript"/>
              </w:rPr>
              <w:t>2</w:t>
            </w:r>
            <w:r w:rsidRPr="00A25988">
              <w:rPr>
                <w:rFonts w:ascii="Arial" w:eastAsia="Times New Roman" w:hAnsi="Arial" w:cs="Arial"/>
                <w:color w:val="000000"/>
              </w:rPr>
              <w:t>NO</w:t>
            </w:r>
          </w:p>
        </w:tc>
        <w:tc>
          <w:tcPr>
            <w:tcW w:w="2760" w:type="dxa"/>
            <w:tcMar>
              <w:top w:w="0" w:type="dxa"/>
              <w:left w:w="0" w:type="dxa"/>
              <w:bottom w:w="0" w:type="dxa"/>
              <w:right w:w="0" w:type="dxa"/>
            </w:tcMar>
            <w:vAlign w:val="center"/>
          </w:tcPr>
          <w:p w14:paraId="37762A8A" w14:textId="77777777" w:rsidR="004E300C" w:rsidRPr="00A25988" w:rsidRDefault="004E300C" w:rsidP="0031446A">
            <w:pPr>
              <w:widowControl w:val="0"/>
              <w:spacing w:before="1" w:line="360" w:lineRule="auto"/>
              <w:ind w:left="386"/>
              <w:jc w:val="both"/>
              <w:rPr>
                <w:rFonts w:ascii="Arial" w:eastAsia="Times New Roman" w:hAnsi="Arial" w:cs="Arial"/>
                <w:color w:val="000000"/>
              </w:rPr>
            </w:pPr>
            <w:r w:rsidRPr="00A25988">
              <w:rPr>
                <w:rFonts w:ascii="Arial" w:eastAsia="Times New Roman" w:hAnsi="Arial" w:cs="Arial"/>
                <w:color w:val="000000"/>
              </w:rPr>
              <w:t>1626-1654</w:t>
            </w:r>
          </w:p>
        </w:tc>
        <w:tc>
          <w:tcPr>
            <w:tcW w:w="1519" w:type="dxa"/>
            <w:tcMar>
              <w:top w:w="0" w:type="dxa"/>
              <w:left w:w="0" w:type="dxa"/>
              <w:bottom w:w="0" w:type="dxa"/>
              <w:right w:w="0" w:type="dxa"/>
            </w:tcMar>
            <w:vAlign w:val="center"/>
          </w:tcPr>
          <w:p w14:paraId="4B4ABA9C" w14:textId="77777777" w:rsidR="004E300C" w:rsidRPr="00A25988" w:rsidRDefault="004E300C" w:rsidP="0031446A">
            <w:pPr>
              <w:widowControl w:val="0"/>
              <w:spacing w:before="1" w:line="360" w:lineRule="auto"/>
              <w:ind w:right="128"/>
              <w:jc w:val="both"/>
              <w:rPr>
                <w:rFonts w:ascii="Arial" w:eastAsia="Times New Roman" w:hAnsi="Arial" w:cs="Arial"/>
                <w:color w:val="000000"/>
              </w:rPr>
            </w:pPr>
            <w:r w:rsidRPr="00A25988">
              <w:rPr>
                <w:rFonts w:ascii="Arial" w:eastAsia="Times New Roman" w:hAnsi="Arial" w:cs="Arial"/>
                <w:color w:val="000000"/>
              </w:rPr>
              <w:t>1645.35</w:t>
            </w:r>
          </w:p>
        </w:tc>
        <w:tc>
          <w:tcPr>
            <w:tcW w:w="1996" w:type="dxa"/>
            <w:tcMar>
              <w:top w:w="0" w:type="dxa"/>
              <w:left w:w="0" w:type="dxa"/>
              <w:bottom w:w="0" w:type="dxa"/>
              <w:right w:w="0" w:type="dxa"/>
            </w:tcMar>
            <w:vAlign w:val="center"/>
          </w:tcPr>
          <w:p w14:paraId="0CE5E1A5" w14:textId="77777777" w:rsidR="004E300C" w:rsidRPr="00A25988" w:rsidRDefault="004E300C" w:rsidP="0031446A">
            <w:pPr>
              <w:widowControl w:val="0"/>
              <w:spacing w:before="1" w:line="360" w:lineRule="auto"/>
              <w:ind w:left="89" w:right="77"/>
              <w:jc w:val="both"/>
              <w:rPr>
                <w:rFonts w:ascii="Arial" w:eastAsia="Times New Roman" w:hAnsi="Arial" w:cs="Arial"/>
                <w:color w:val="000000"/>
              </w:rPr>
            </w:pPr>
            <w:r w:rsidRPr="00A25988">
              <w:rPr>
                <w:rFonts w:ascii="Arial" w:eastAsia="Times New Roman" w:hAnsi="Arial" w:cs="Arial"/>
                <w:color w:val="000000"/>
              </w:rPr>
              <w:t>1651.14</w:t>
            </w:r>
          </w:p>
        </w:tc>
      </w:tr>
      <w:tr w:rsidR="004E300C" w:rsidRPr="00A25988" w14:paraId="5D5BFC77" w14:textId="77777777" w:rsidTr="0064017A">
        <w:trPr>
          <w:trHeight w:val="612"/>
          <w:jc w:val="center"/>
        </w:trPr>
        <w:tc>
          <w:tcPr>
            <w:tcW w:w="1701" w:type="dxa"/>
            <w:tcMar>
              <w:top w:w="0" w:type="dxa"/>
              <w:left w:w="0" w:type="dxa"/>
              <w:bottom w:w="0" w:type="dxa"/>
              <w:right w:w="0" w:type="dxa"/>
            </w:tcMar>
            <w:vAlign w:val="center"/>
          </w:tcPr>
          <w:p w14:paraId="3C8C7BE6" w14:textId="77777777" w:rsidR="004E300C" w:rsidRPr="00A25988" w:rsidRDefault="004E300C" w:rsidP="0031446A">
            <w:pPr>
              <w:widowControl w:val="0"/>
              <w:spacing w:before="1" w:line="360" w:lineRule="auto"/>
              <w:ind w:left="272" w:right="265"/>
              <w:jc w:val="both"/>
              <w:rPr>
                <w:rFonts w:ascii="Arial" w:eastAsia="Times New Roman" w:hAnsi="Arial" w:cs="Arial"/>
                <w:color w:val="000000"/>
              </w:rPr>
            </w:pPr>
            <w:r w:rsidRPr="00A25988">
              <w:rPr>
                <w:rFonts w:ascii="Arial" w:eastAsia="Times New Roman" w:hAnsi="Arial" w:cs="Arial"/>
                <w:color w:val="000000"/>
              </w:rPr>
              <w:t>O-H Stretch</w:t>
            </w:r>
          </w:p>
        </w:tc>
        <w:tc>
          <w:tcPr>
            <w:tcW w:w="2760" w:type="dxa"/>
            <w:tcMar>
              <w:top w:w="0" w:type="dxa"/>
              <w:left w:w="0" w:type="dxa"/>
              <w:bottom w:w="0" w:type="dxa"/>
              <w:right w:w="0" w:type="dxa"/>
            </w:tcMar>
            <w:vAlign w:val="center"/>
          </w:tcPr>
          <w:p w14:paraId="7479EB56" w14:textId="77777777" w:rsidR="004E300C" w:rsidRPr="00A25988" w:rsidRDefault="004E300C" w:rsidP="0031446A">
            <w:pPr>
              <w:widowControl w:val="0"/>
              <w:spacing w:before="1" w:line="360" w:lineRule="auto"/>
              <w:ind w:left="386"/>
              <w:jc w:val="both"/>
              <w:rPr>
                <w:rFonts w:ascii="Arial" w:eastAsia="Times New Roman" w:hAnsi="Arial" w:cs="Arial"/>
                <w:color w:val="000000"/>
              </w:rPr>
            </w:pPr>
            <w:r w:rsidRPr="00A25988">
              <w:rPr>
                <w:rFonts w:ascii="Arial" w:eastAsia="Times New Roman" w:hAnsi="Arial" w:cs="Arial"/>
                <w:color w:val="000000"/>
              </w:rPr>
              <w:t>2500-3300</w:t>
            </w:r>
          </w:p>
        </w:tc>
        <w:tc>
          <w:tcPr>
            <w:tcW w:w="1519" w:type="dxa"/>
            <w:tcMar>
              <w:top w:w="0" w:type="dxa"/>
              <w:left w:w="0" w:type="dxa"/>
              <w:bottom w:w="0" w:type="dxa"/>
              <w:right w:w="0" w:type="dxa"/>
            </w:tcMar>
            <w:vAlign w:val="center"/>
          </w:tcPr>
          <w:p w14:paraId="044638B5" w14:textId="77777777" w:rsidR="004E300C" w:rsidRPr="00A25988" w:rsidRDefault="004E300C" w:rsidP="0031446A">
            <w:pPr>
              <w:widowControl w:val="0"/>
              <w:spacing w:before="1" w:line="360" w:lineRule="auto"/>
              <w:ind w:right="128"/>
              <w:jc w:val="both"/>
              <w:rPr>
                <w:rFonts w:ascii="Arial" w:eastAsia="Times New Roman" w:hAnsi="Arial" w:cs="Arial"/>
                <w:color w:val="000000"/>
              </w:rPr>
            </w:pPr>
            <w:r w:rsidRPr="00A25988">
              <w:rPr>
                <w:rFonts w:ascii="Arial" w:eastAsia="Times New Roman" w:hAnsi="Arial" w:cs="Arial"/>
                <w:color w:val="000000"/>
              </w:rPr>
              <w:t>2920.35</w:t>
            </w:r>
          </w:p>
        </w:tc>
        <w:tc>
          <w:tcPr>
            <w:tcW w:w="1996" w:type="dxa"/>
            <w:tcMar>
              <w:top w:w="0" w:type="dxa"/>
              <w:left w:w="0" w:type="dxa"/>
              <w:bottom w:w="0" w:type="dxa"/>
              <w:right w:w="0" w:type="dxa"/>
            </w:tcMar>
            <w:vAlign w:val="center"/>
          </w:tcPr>
          <w:p w14:paraId="14FA31FA" w14:textId="77777777" w:rsidR="004E300C" w:rsidRPr="00A25988" w:rsidRDefault="004E300C" w:rsidP="0031446A">
            <w:pPr>
              <w:widowControl w:val="0"/>
              <w:spacing w:before="1" w:line="360" w:lineRule="auto"/>
              <w:ind w:left="89" w:right="77"/>
              <w:jc w:val="both"/>
              <w:rPr>
                <w:rFonts w:ascii="Arial" w:eastAsia="Times New Roman" w:hAnsi="Arial" w:cs="Arial"/>
                <w:color w:val="000000"/>
              </w:rPr>
            </w:pPr>
            <w:r w:rsidRPr="00A25988">
              <w:rPr>
                <w:rFonts w:ascii="Arial" w:eastAsia="Times New Roman" w:hAnsi="Arial" w:cs="Arial"/>
                <w:color w:val="000000"/>
              </w:rPr>
              <w:t>2926.14</w:t>
            </w:r>
          </w:p>
        </w:tc>
      </w:tr>
      <w:tr w:rsidR="004E300C" w:rsidRPr="00A25988" w14:paraId="3A53BEE9" w14:textId="77777777" w:rsidTr="0064017A">
        <w:trPr>
          <w:trHeight w:val="409"/>
          <w:jc w:val="center"/>
        </w:trPr>
        <w:tc>
          <w:tcPr>
            <w:tcW w:w="1701" w:type="dxa"/>
            <w:tcMar>
              <w:top w:w="0" w:type="dxa"/>
              <w:left w:w="0" w:type="dxa"/>
              <w:bottom w:w="0" w:type="dxa"/>
              <w:right w:w="0" w:type="dxa"/>
            </w:tcMar>
            <w:vAlign w:val="center"/>
          </w:tcPr>
          <w:p w14:paraId="2CF1475C" w14:textId="77777777" w:rsidR="004E300C" w:rsidRPr="00A25988" w:rsidRDefault="004E300C" w:rsidP="0031446A">
            <w:pPr>
              <w:widowControl w:val="0"/>
              <w:spacing w:before="1" w:line="360" w:lineRule="auto"/>
              <w:ind w:left="274" w:right="265"/>
              <w:jc w:val="both"/>
              <w:rPr>
                <w:rFonts w:ascii="Arial" w:eastAsia="Times New Roman" w:hAnsi="Arial" w:cs="Arial"/>
                <w:color w:val="000000"/>
              </w:rPr>
            </w:pPr>
            <w:r w:rsidRPr="00A25988">
              <w:rPr>
                <w:rFonts w:ascii="Arial" w:eastAsia="Times New Roman" w:hAnsi="Arial" w:cs="Arial"/>
                <w:color w:val="000000"/>
              </w:rPr>
              <w:t>N-H</w:t>
            </w:r>
          </w:p>
        </w:tc>
        <w:tc>
          <w:tcPr>
            <w:tcW w:w="2760" w:type="dxa"/>
            <w:tcMar>
              <w:top w:w="0" w:type="dxa"/>
              <w:left w:w="0" w:type="dxa"/>
              <w:bottom w:w="0" w:type="dxa"/>
              <w:right w:w="0" w:type="dxa"/>
            </w:tcMar>
            <w:vAlign w:val="center"/>
          </w:tcPr>
          <w:p w14:paraId="3F4B5E00" w14:textId="77777777" w:rsidR="004E300C" w:rsidRPr="00A25988" w:rsidRDefault="004E300C" w:rsidP="0031446A">
            <w:pPr>
              <w:widowControl w:val="0"/>
              <w:spacing w:before="1" w:line="360" w:lineRule="auto"/>
              <w:ind w:left="386"/>
              <w:jc w:val="both"/>
              <w:rPr>
                <w:rFonts w:ascii="Arial" w:eastAsia="Times New Roman" w:hAnsi="Arial" w:cs="Arial"/>
                <w:color w:val="000000"/>
              </w:rPr>
            </w:pPr>
            <w:r w:rsidRPr="00A25988">
              <w:rPr>
                <w:rFonts w:ascii="Arial" w:eastAsia="Times New Roman" w:hAnsi="Arial" w:cs="Arial"/>
                <w:color w:val="000000"/>
              </w:rPr>
              <w:t>3060-3550</w:t>
            </w:r>
          </w:p>
        </w:tc>
        <w:tc>
          <w:tcPr>
            <w:tcW w:w="1519" w:type="dxa"/>
            <w:tcMar>
              <w:top w:w="0" w:type="dxa"/>
              <w:left w:w="0" w:type="dxa"/>
              <w:bottom w:w="0" w:type="dxa"/>
              <w:right w:w="0" w:type="dxa"/>
            </w:tcMar>
            <w:vAlign w:val="center"/>
          </w:tcPr>
          <w:p w14:paraId="49620E13" w14:textId="77777777" w:rsidR="004E300C" w:rsidRPr="00A25988" w:rsidRDefault="004E300C" w:rsidP="0031446A">
            <w:pPr>
              <w:widowControl w:val="0"/>
              <w:spacing w:before="1" w:line="360" w:lineRule="auto"/>
              <w:ind w:right="128"/>
              <w:jc w:val="both"/>
              <w:rPr>
                <w:rFonts w:ascii="Arial" w:eastAsia="Times New Roman" w:hAnsi="Arial" w:cs="Arial"/>
                <w:color w:val="000000"/>
              </w:rPr>
            </w:pPr>
            <w:r w:rsidRPr="00A25988">
              <w:rPr>
                <w:rFonts w:ascii="Arial" w:eastAsia="Times New Roman" w:hAnsi="Arial" w:cs="Arial"/>
                <w:color w:val="000000"/>
              </w:rPr>
              <w:t>3076.59</w:t>
            </w:r>
          </w:p>
        </w:tc>
        <w:tc>
          <w:tcPr>
            <w:tcW w:w="1996" w:type="dxa"/>
            <w:tcMar>
              <w:top w:w="0" w:type="dxa"/>
              <w:left w:w="0" w:type="dxa"/>
              <w:bottom w:w="0" w:type="dxa"/>
              <w:right w:w="0" w:type="dxa"/>
            </w:tcMar>
            <w:vAlign w:val="center"/>
          </w:tcPr>
          <w:p w14:paraId="51C2D434" w14:textId="77777777" w:rsidR="004E300C" w:rsidRPr="00A25988" w:rsidRDefault="004E300C" w:rsidP="0031446A">
            <w:pPr>
              <w:widowControl w:val="0"/>
              <w:spacing w:before="1" w:line="360" w:lineRule="auto"/>
              <w:ind w:left="89" w:right="77"/>
              <w:jc w:val="both"/>
              <w:rPr>
                <w:rFonts w:ascii="Arial" w:eastAsia="Times New Roman" w:hAnsi="Arial" w:cs="Arial"/>
                <w:color w:val="000000"/>
              </w:rPr>
            </w:pPr>
            <w:r w:rsidRPr="00A25988">
              <w:rPr>
                <w:rFonts w:ascii="Arial" w:eastAsia="Times New Roman" w:hAnsi="Arial" w:cs="Arial"/>
                <w:color w:val="000000"/>
              </w:rPr>
              <w:t>3102.63</w:t>
            </w:r>
          </w:p>
        </w:tc>
      </w:tr>
    </w:tbl>
    <w:p w14:paraId="39CFB953" w14:textId="77777777" w:rsidR="004E300C" w:rsidRPr="00A25988" w:rsidRDefault="004E300C" w:rsidP="004E300C">
      <w:pPr>
        <w:widowControl w:val="0"/>
        <w:tabs>
          <w:tab w:val="left" w:pos="801"/>
        </w:tabs>
        <w:spacing w:line="360" w:lineRule="auto"/>
        <w:jc w:val="both"/>
        <w:rPr>
          <w:rFonts w:ascii="Arial" w:hAnsi="Arial" w:cs="Arial"/>
          <w:b/>
        </w:rPr>
      </w:pPr>
    </w:p>
    <w:p w14:paraId="71058655" w14:textId="77777777" w:rsidR="004E300C" w:rsidRPr="00A25988" w:rsidRDefault="004E300C" w:rsidP="004E300C">
      <w:pPr>
        <w:spacing w:line="360" w:lineRule="auto"/>
        <w:jc w:val="both"/>
        <w:rPr>
          <w:rFonts w:ascii="Arial" w:eastAsia="SimSun" w:hAnsi="Arial" w:cs="Arial"/>
          <w:lang w:eastAsia="zh-CN" w:bidi="ar"/>
        </w:rPr>
      </w:pPr>
      <w:r w:rsidRPr="00A25988">
        <w:rPr>
          <w:rFonts w:ascii="Arial" w:hAnsi="Arial" w:cs="Arial"/>
          <w:noProof/>
        </w:rPr>
        <w:lastRenderedPageBreak/>
        <w:drawing>
          <wp:inline distT="0" distB="0" distL="0" distR="0" wp14:anchorId="43484AF9" wp14:editId="4771081A">
            <wp:extent cx="3967480" cy="2502535"/>
            <wp:effectExtent l="0" t="0" r="10160" b="12065"/>
            <wp:docPr id="18369038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0389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82405" cy="2511895"/>
                    </a:xfrm>
                    <a:prstGeom prst="rect">
                      <a:avLst/>
                    </a:prstGeom>
                    <a:noFill/>
                    <a:ln>
                      <a:noFill/>
                    </a:ln>
                  </pic:spPr>
                </pic:pic>
              </a:graphicData>
            </a:graphic>
          </wp:inline>
        </w:drawing>
      </w:r>
    </w:p>
    <w:p w14:paraId="444204EA" w14:textId="77777777" w:rsidR="00A25988" w:rsidRPr="00A25988" w:rsidRDefault="00792F7F" w:rsidP="00A25988">
      <w:pPr>
        <w:spacing w:line="360" w:lineRule="auto"/>
        <w:jc w:val="both"/>
        <w:rPr>
          <w:rFonts w:ascii="Arial" w:hAnsi="Arial" w:cs="Arial"/>
          <w:b/>
          <w:color w:val="000000"/>
        </w:rPr>
      </w:pPr>
      <w:r w:rsidRPr="00A25988">
        <w:rPr>
          <w:rFonts w:ascii="Arial" w:hAnsi="Arial" w:cs="Arial"/>
          <w:b/>
          <w:color w:val="000000"/>
        </w:rPr>
        <w:t>Fig.</w:t>
      </w:r>
      <w:r w:rsidR="004E300C" w:rsidRPr="00A25988">
        <w:rPr>
          <w:rFonts w:ascii="Arial" w:hAnsi="Arial" w:cs="Arial"/>
          <w:b/>
          <w:color w:val="000000"/>
        </w:rPr>
        <w:t xml:space="preserve"> 4 FTIR spectra of Dolutegravir Sodium inclusion complex </w:t>
      </w:r>
    </w:p>
    <w:p w14:paraId="7CC514DF" w14:textId="0BD9F96A" w:rsidR="004E300C" w:rsidRPr="00A25988" w:rsidRDefault="004E300C" w:rsidP="00A25988">
      <w:pPr>
        <w:spacing w:line="360" w:lineRule="auto"/>
        <w:jc w:val="both"/>
        <w:rPr>
          <w:rFonts w:ascii="Arial" w:hAnsi="Arial" w:cs="Arial"/>
          <w:b/>
          <w:color w:val="000000"/>
        </w:rPr>
      </w:pPr>
      <w:r w:rsidRPr="00A25988">
        <w:rPr>
          <w:rFonts w:ascii="Arial" w:hAnsi="Arial" w:cs="Arial"/>
          <w:b/>
          <w:lang w:eastAsia="en-IN"/>
        </w:rPr>
        <w:t xml:space="preserve">Differential Scanning Calorimetry (DSC) </w:t>
      </w:r>
    </w:p>
    <w:p w14:paraId="0733BE52" w14:textId="77777777" w:rsidR="00A25988" w:rsidRPr="00A25988" w:rsidRDefault="004E300C" w:rsidP="00A25988">
      <w:pPr>
        <w:spacing w:line="360" w:lineRule="auto"/>
        <w:jc w:val="both"/>
        <w:rPr>
          <w:rFonts w:ascii="Arial" w:hAnsi="Arial" w:cs="Arial"/>
        </w:rPr>
      </w:pPr>
      <w:r w:rsidRPr="00A25988">
        <w:rPr>
          <w:rFonts w:ascii="Arial" w:eastAsia="SimSun" w:hAnsi="Arial" w:cs="Arial"/>
          <w:lang w:eastAsia="zh-CN" w:bidi="ar"/>
        </w:rPr>
        <w:t>The formation of an inclusion complex is further supported by the DSC analysis. The melting and sublimation points of guest molecules change or disappear when they are embedded in the β-cyclodextrin cavity. Pure dolutegravir sodium's DSC thermogram displays an endothermic peak at 197°C, which is the drug's melting point. This suggests that pure crystalline dolutegravir sodium was utilized. In contrast to the pure drug, the dolutegravir sodium-β-cyclodextrin inclusion complex's DSC thermogram lacks the abrupt endothermic peak, indicating that the complex was formed.</w:t>
      </w:r>
    </w:p>
    <w:p w14:paraId="41350413" w14:textId="2733BF04" w:rsidR="004E300C" w:rsidRPr="00A25988" w:rsidRDefault="004E300C" w:rsidP="00A25988">
      <w:pPr>
        <w:spacing w:line="360" w:lineRule="auto"/>
        <w:jc w:val="both"/>
        <w:rPr>
          <w:rFonts w:ascii="Arial" w:hAnsi="Arial" w:cs="Arial"/>
        </w:rPr>
      </w:pPr>
      <w:r w:rsidRPr="00A25988">
        <w:rPr>
          <w:rFonts w:ascii="Arial" w:hAnsi="Arial" w:cs="Arial"/>
          <w:b/>
          <w:lang w:eastAsia="en-IN"/>
        </w:rPr>
        <w:t xml:space="preserve">X-Ray Powder Diffraction (XRPD) </w:t>
      </w:r>
    </w:p>
    <w:p w14:paraId="29EA2D43" w14:textId="1349D975" w:rsidR="004E300C" w:rsidRPr="00A25988" w:rsidRDefault="004E300C" w:rsidP="004E300C">
      <w:pPr>
        <w:spacing w:line="360" w:lineRule="auto"/>
        <w:jc w:val="both"/>
        <w:rPr>
          <w:rFonts w:ascii="Arial" w:eastAsia="SimSun" w:hAnsi="Arial" w:cs="Arial"/>
          <w:lang w:eastAsia="zh-CN" w:bidi="ar"/>
        </w:rPr>
      </w:pPr>
      <w:r w:rsidRPr="00A25988">
        <w:rPr>
          <w:rFonts w:ascii="Arial" w:eastAsia="SimSun" w:hAnsi="Arial" w:cs="Arial"/>
          <w:lang w:eastAsia="zh-CN" w:bidi="ar"/>
        </w:rPr>
        <w:t>Pure dolutegravir sodium's XRD pattern displays strong, sharp peaks that demonstrate the drug's crystalline form</w:t>
      </w:r>
      <w:r w:rsidR="007E658F">
        <w:rPr>
          <w:rFonts w:ascii="Arial" w:eastAsia="SimSun" w:hAnsi="Arial" w:cs="Arial"/>
          <w:lang w:eastAsia="zh-CN" w:bidi="ar"/>
        </w:rPr>
        <w:t xml:space="preserve"> </w:t>
      </w:r>
      <w:r w:rsidRPr="00A25988">
        <w:rPr>
          <w:rFonts w:ascii="Arial" w:eastAsia="SimSun" w:hAnsi="Arial" w:cs="Arial"/>
          <w:lang w:eastAsia="zh-CN" w:bidi="ar"/>
        </w:rPr>
        <w:t xml:space="preserve">(Fig 5). The inclusion complex's XRD pattern, on the other hand, displays broad, ill-defined peaks of lesser </w:t>
      </w:r>
      <w:r w:rsidR="000C3B95" w:rsidRPr="00A25988">
        <w:rPr>
          <w:rFonts w:ascii="Arial" w:eastAsia="SimSun" w:hAnsi="Arial" w:cs="Arial"/>
          <w:lang w:eastAsia="zh-CN" w:bidi="ar"/>
        </w:rPr>
        <w:t>intensity (</w:t>
      </w:r>
      <w:r w:rsidRPr="00A25988">
        <w:rPr>
          <w:rFonts w:ascii="Arial" w:eastAsia="SimSun" w:hAnsi="Arial" w:cs="Arial"/>
          <w:lang w:eastAsia="zh-CN" w:bidi="ar"/>
        </w:rPr>
        <w:t xml:space="preserve">Fig 6). The drug's crystallinity may have decreased, as evidenced by the </w:t>
      </w:r>
      <w:r w:rsidR="000C3B95" w:rsidRPr="00A25988">
        <w:rPr>
          <w:rFonts w:ascii="Arial" w:eastAsia="SimSun" w:hAnsi="Arial" w:cs="Arial"/>
          <w:lang w:eastAsia="zh-CN" w:bidi="ar"/>
        </w:rPr>
        <w:t>peaks</w:t>
      </w:r>
      <w:r w:rsidRPr="00A25988">
        <w:rPr>
          <w:rFonts w:ascii="Arial" w:eastAsia="SimSun" w:hAnsi="Arial" w:cs="Arial"/>
          <w:lang w:eastAsia="zh-CN" w:bidi="ar"/>
        </w:rPr>
        <w:t xml:space="preserve"> decreased strength, suggesting that it has changed into an amorphous form.</w:t>
      </w:r>
    </w:p>
    <w:p w14:paraId="17D72D72" w14:textId="77777777" w:rsidR="004E300C" w:rsidRPr="00A25988" w:rsidRDefault="004E300C" w:rsidP="004E300C">
      <w:pPr>
        <w:spacing w:line="360" w:lineRule="auto"/>
        <w:rPr>
          <w:rFonts w:ascii="Arial" w:eastAsia="SimSun" w:hAnsi="Arial" w:cs="Arial"/>
          <w:lang w:eastAsia="zh-CN" w:bidi="ar"/>
        </w:rPr>
      </w:pPr>
      <w:r w:rsidRPr="00A25988">
        <w:rPr>
          <w:rFonts w:ascii="Arial" w:hAnsi="Arial" w:cs="Arial"/>
          <w:noProof/>
        </w:rPr>
        <w:lastRenderedPageBreak/>
        <w:drawing>
          <wp:inline distT="0" distB="0" distL="0" distR="0" wp14:anchorId="56509886" wp14:editId="6CF826AB">
            <wp:extent cx="3824605" cy="2633345"/>
            <wp:effectExtent l="0" t="0" r="635" b="3175"/>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12"/>
                    <a:srcRect/>
                    <a:stretch>
                      <a:fillRect/>
                    </a:stretch>
                  </pic:blipFill>
                  <pic:spPr>
                    <a:xfrm>
                      <a:off x="0" y="0"/>
                      <a:ext cx="3824783" cy="2633551"/>
                    </a:xfrm>
                    <a:prstGeom prst="rect">
                      <a:avLst/>
                    </a:prstGeom>
                  </pic:spPr>
                </pic:pic>
              </a:graphicData>
            </a:graphic>
          </wp:inline>
        </w:drawing>
      </w:r>
    </w:p>
    <w:p w14:paraId="34F73A8B" w14:textId="6C51FA2D" w:rsidR="004E300C" w:rsidRPr="00A25988" w:rsidRDefault="004E300C" w:rsidP="004E300C">
      <w:pPr>
        <w:spacing w:line="360" w:lineRule="auto"/>
        <w:jc w:val="both"/>
        <w:rPr>
          <w:rFonts w:ascii="Arial" w:hAnsi="Arial" w:cs="Arial"/>
          <w:b/>
          <w:color w:val="000000"/>
        </w:rPr>
      </w:pPr>
      <w:r w:rsidRPr="00A25988">
        <w:rPr>
          <w:rFonts w:ascii="Arial" w:hAnsi="Arial" w:cs="Arial"/>
          <w:b/>
          <w:color w:val="000000"/>
        </w:rPr>
        <w:t>Fig</w:t>
      </w:r>
      <w:r w:rsidR="00A25988">
        <w:rPr>
          <w:rFonts w:ascii="Arial" w:hAnsi="Arial" w:cs="Arial"/>
          <w:b/>
          <w:color w:val="000000"/>
        </w:rPr>
        <w:t>.</w:t>
      </w:r>
      <w:r w:rsidRPr="00A25988">
        <w:rPr>
          <w:rFonts w:ascii="Arial" w:hAnsi="Arial" w:cs="Arial"/>
          <w:b/>
          <w:color w:val="000000"/>
        </w:rPr>
        <w:t xml:space="preserve"> 5 XRD OF PURE DOLUTEGRAVIR SODIUM</w:t>
      </w:r>
    </w:p>
    <w:p w14:paraId="0B8DAEF5" w14:textId="77777777" w:rsidR="004E300C" w:rsidRPr="00A25988" w:rsidRDefault="004E300C" w:rsidP="004E300C">
      <w:pPr>
        <w:spacing w:line="360" w:lineRule="auto"/>
        <w:jc w:val="both"/>
        <w:rPr>
          <w:rFonts w:ascii="Arial" w:hAnsi="Arial" w:cs="Arial"/>
          <w:b/>
          <w:color w:val="000000"/>
        </w:rPr>
      </w:pPr>
      <w:r w:rsidRPr="00A25988">
        <w:rPr>
          <w:rFonts w:ascii="Arial" w:hAnsi="Arial" w:cs="Arial"/>
          <w:noProof/>
        </w:rPr>
        <w:drawing>
          <wp:inline distT="0" distB="0" distL="0" distR="0" wp14:anchorId="06F04DBC" wp14:editId="4BE2D015">
            <wp:extent cx="3957955" cy="3308350"/>
            <wp:effectExtent l="0" t="0" r="4445" b="1397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3"/>
                    <a:srcRect/>
                    <a:stretch>
                      <a:fillRect/>
                    </a:stretch>
                  </pic:blipFill>
                  <pic:spPr>
                    <a:xfrm>
                      <a:off x="0" y="0"/>
                      <a:ext cx="3958412" cy="3308956"/>
                    </a:xfrm>
                    <a:prstGeom prst="rect">
                      <a:avLst/>
                    </a:prstGeom>
                  </pic:spPr>
                </pic:pic>
              </a:graphicData>
            </a:graphic>
          </wp:inline>
        </w:drawing>
      </w:r>
    </w:p>
    <w:p w14:paraId="557D92EB" w14:textId="77777777" w:rsidR="004E300C" w:rsidRPr="00850348" w:rsidRDefault="004E300C" w:rsidP="004E300C">
      <w:pPr>
        <w:spacing w:line="360" w:lineRule="auto"/>
        <w:jc w:val="both"/>
        <w:rPr>
          <w:rFonts w:ascii="Arial" w:hAnsi="Arial" w:cs="Arial"/>
          <w:b/>
          <w:color w:val="000000"/>
        </w:rPr>
      </w:pPr>
      <w:r w:rsidRPr="00850348">
        <w:rPr>
          <w:rFonts w:ascii="Arial" w:hAnsi="Arial" w:cs="Arial"/>
          <w:b/>
          <w:color w:val="000000"/>
        </w:rPr>
        <w:t>Fig 6 XRD OF DOLUTEGRAVIR INCLUSION COMPLEX</w:t>
      </w:r>
    </w:p>
    <w:p w14:paraId="4D7A17C3" w14:textId="77777777" w:rsidR="004E300C" w:rsidRPr="00850348" w:rsidRDefault="004E300C" w:rsidP="004E300C">
      <w:pPr>
        <w:tabs>
          <w:tab w:val="right" w:pos="9026"/>
        </w:tabs>
        <w:spacing w:line="360" w:lineRule="auto"/>
        <w:jc w:val="both"/>
        <w:rPr>
          <w:rFonts w:ascii="Arial" w:hAnsi="Arial" w:cs="Arial"/>
          <w:b/>
          <w:color w:val="000000"/>
        </w:rPr>
      </w:pPr>
      <w:r w:rsidRPr="00850348">
        <w:rPr>
          <w:rFonts w:ascii="Arial" w:hAnsi="Arial" w:cs="Arial"/>
          <w:b/>
          <w:color w:val="000000"/>
        </w:rPr>
        <w:t>EVALUATION OF DOLUTEGRAVIR SODIUM INCLUSION COMPLEX TABLETS</w:t>
      </w:r>
      <w:r w:rsidRPr="00850348">
        <w:rPr>
          <w:rFonts w:ascii="Arial" w:hAnsi="Arial" w:cs="Arial"/>
          <w:b/>
          <w:color w:val="000000"/>
        </w:rPr>
        <w:tab/>
      </w:r>
    </w:p>
    <w:p w14:paraId="5FEE7E3D" w14:textId="77777777" w:rsidR="004E300C" w:rsidRPr="00850348" w:rsidRDefault="004E300C" w:rsidP="00C438C5">
      <w:pPr>
        <w:spacing w:line="360" w:lineRule="auto"/>
        <w:ind w:right="-243"/>
        <w:jc w:val="both"/>
        <w:rPr>
          <w:rFonts w:ascii="Arial" w:hAnsi="Arial" w:cs="Arial"/>
          <w:bCs/>
        </w:rPr>
      </w:pPr>
      <w:r w:rsidRPr="00850348">
        <w:rPr>
          <w:rFonts w:ascii="Arial" w:hAnsi="Arial" w:cs="Arial"/>
          <w:bCs/>
        </w:rPr>
        <w:t xml:space="preserve">The tablets were evaluated for weight variation, hardness, friability, disintegration time, drug content (Table no.5) The weight variation of all the tablet formulations was within the IP limits, it pass the weight variation </w:t>
      </w:r>
      <w:proofErr w:type="spellStart"/>
      <w:proofErr w:type="gramStart"/>
      <w:r w:rsidRPr="00850348">
        <w:rPr>
          <w:rFonts w:ascii="Arial" w:hAnsi="Arial" w:cs="Arial"/>
          <w:bCs/>
        </w:rPr>
        <w:t>test.The</w:t>
      </w:r>
      <w:proofErr w:type="spellEnd"/>
      <w:proofErr w:type="gramEnd"/>
      <w:r w:rsidRPr="00850348">
        <w:rPr>
          <w:rFonts w:ascii="Arial" w:hAnsi="Arial" w:cs="Arial"/>
          <w:bCs/>
        </w:rPr>
        <w:t xml:space="preserve"> hardness of all the prepared formulations was in the range of 5.1kg/cm</w:t>
      </w:r>
      <w:r w:rsidRPr="00850348">
        <w:rPr>
          <w:rFonts w:ascii="Arial" w:hAnsi="Arial" w:cs="Arial"/>
          <w:bCs/>
          <w:vertAlign w:val="superscript"/>
        </w:rPr>
        <w:t xml:space="preserve">2 </w:t>
      </w:r>
      <w:r w:rsidRPr="00850348">
        <w:rPr>
          <w:rFonts w:ascii="Arial" w:hAnsi="Arial" w:cs="Arial"/>
          <w:bCs/>
        </w:rPr>
        <w:t>to 5.4kg/cm</w:t>
      </w:r>
      <w:r w:rsidRPr="00850348">
        <w:rPr>
          <w:rFonts w:ascii="Arial" w:hAnsi="Arial" w:cs="Arial"/>
          <w:bCs/>
          <w:vertAlign w:val="superscript"/>
        </w:rPr>
        <w:t>2.</w:t>
      </w:r>
      <w:r w:rsidRPr="00850348">
        <w:rPr>
          <w:rFonts w:ascii="Arial" w:hAnsi="Arial" w:cs="Arial"/>
          <w:bCs/>
        </w:rPr>
        <w:t xml:space="preserve">.The friability of the all the formulation were in the range of 0.5 to 0.8%. since the results of friability test are less than 1%, this indicates that the tablets can with stand </w:t>
      </w:r>
      <w:r w:rsidRPr="00850348">
        <w:rPr>
          <w:rFonts w:ascii="Arial" w:hAnsi="Arial" w:cs="Arial"/>
          <w:bCs/>
        </w:rPr>
        <w:lastRenderedPageBreak/>
        <w:t xml:space="preserve">the forces the experience during manufacturing distribution and handling. The </w:t>
      </w:r>
      <w:r w:rsidRPr="00850348">
        <w:rPr>
          <w:rFonts w:ascii="Arial" w:hAnsi="Arial" w:cs="Arial"/>
          <w:bCs/>
          <w:i/>
          <w:iCs/>
        </w:rPr>
        <w:t>in-vitro</w:t>
      </w:r>
      <w:r w:rsidRPr="00850348">
        <w:rPr>
          <w:rFonts w:ascii="Arial" w:hAnsi="Arial" w:cs="Arial"/>
          <w:bCs/>
        </w:rPr>
        <w:t xml:space="preserve"> disintegration time for prepared tablets ranges between 3min 10sec to 4min 23sec; all the prepared tablets passed the disintegration </w:t>
      </w:r>
      <w:proofErr w:type="spellStart"/>
      <w:proofErr w:type="gramStart"/>
      <w:r w:rsidRPr="00850348">
        <w:rPr>
          <w:rFonts w:ascii="Arial" w:hAnsi="Arial" w:cs="Arial"/>
          <w:bCs/>
        </w:rPr>
        <w:t>test.The</w:t>
      </w:r>
      <w:proofErr w:type="spellEnd"/>
      <w:proofErr w:type="gramEnd"/>
      <w:r w:rsidRPr="00850348">
        <w:rPr>
          <w:rFonts w:ascii="Arial" w:hAnsi="Arial" w:cs="Arial"/>
          <w:bCs/>
        </w:rPr>
        <w:t xml:space="preserve"> drug content of all the prepared formulations was in the range of 94.4% to 99.2%.</w:t>
      </w:r>
    </w:p>
    <w:p w14:paraId="1C9D8A54" w14:textId="7F1777E2" w:rsidR="004E300C" w:rsidRPr="00850348" w:rsidRDefault="004E300C" w:rsidP="004E300C">
      <w:pPr>
        <w:spacing w:line="360" w:lineRule="auto"/>
        <w:ind w:right="-243"/>
        <w:rPr>
          <w:rFonts w:ascii="Arial" w:hAnsi="Arial" w:cs="Arial"/>
          <w:bCs/>
        </w:rPr>
      </w:pPr>
      <w:r w:rsidRPr="00850348">
        <w:rPr>
          <w:rFonts w:ascii="Arial" w:hAnsi="Arial" w:cs="Arial"/>
          <w:b/>
        </w:rPr>
        <w:t xml:space="preserve">Table </w:t>
      </w:r>
      <w:proofErr w:type="gramStart"/>
      <w:r w:rsidRPr="00850348">
        <w:rPr>
          <w:rFonts w:ascii="Arial" w:hAnsi="Arial" w:cs="Arial"/>
          <w:b/>
        </w:rPr>
        <w:t>5  Physico</w:t>
      </w:r>
      <w:proofErr w:type="gramEnd"/>
      <w:r w:rsidRPr="00850348">
        <w:rPr>
          <w:rFonts w:ascii="Arial" w:hAnsi="Arial" w:cs="Arial"/>
          <w:b/>
        </w:rPr>
        <w:t>-chemical properties of tablets</w:t>
      </w:r>
    </w:p>
    <w:tbl>
      <w:tblPr>
        <w:tblW w:w="4895" w:type="pct"/>
        <w:jc w:val="center"/>
        <w:tblBorders>
          <w:top w:val="single" w:sz="4" w:space="0" w:color="auto"/>
          <w:bottom w:val="single" w:sz="4" w:space="0" w:color="auto"/>
        </w:tblBorders>
        <w:tblLook w:val="04A0" w:firstRow="1" w:lastRow="0" w:firstColumn="1" w:lastColumn="0" w:noHBand="0" w:noVBand="1"/>
      </w:tblPr>
      <w:tblGrid>
        <w:gridCol w:w="796"/>
        <w:gridCol w:w="1794"/>
        <w:gridCol w:w="1109"/>
        <w:gridCol w:w="1108"/>
        <w:gridCol w:w="1108"/>
        <w:gridCol w:w="1224"/>
        <w:gridCol w:w="1108"/>
      </w:tblGrid>
      <w:tr w:rsidR="004E300C" w:rsidRPr="004E300C" w14:paraId="2C1E9474" w14:textId="77777777" w:rsidTr="004E3167">
        <w:trPr>
          <w:trHeight w:val="526"/>
          <w:jc w:val="center"/>
        </w:trPr>
        <w:tc>
          <w:tcPr>
            <w:tcW w:w="482" w:type="pct"/>
            <w:tcBorders>
              <w:top w:val="single" w:sz="4" w:space="0" w:color="auto"/>
              <w:bottom w:val="single" w:sz="4" w:space="0" w:color="auto"/>
            </w:tcBorders>
            <w:hideMark/>
          </w:tcPr>
          <w:p w14:paraId="62D08CCF"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SR.NO</w:t>
            </w:r>
          </w:p>
        </w:tc>
        <w:tc>
          <w:tcPr>
            <w:tcW w:w="1087" w:type="pct"/>
            <w:tcBorders>
              <w:top w:val="single" w:sz="4" w:space="0" w:color="auto"/>
              <w:bottom w:val="single" w:sz="4" w:space="0" w:color="auto"/>
            </w:tcBorders>
          </w:tcPr>
          <w:p w14:paraId="75B6C84C"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PARAMETER</w:t>
            </w:r>
          </w:p>
          <w:p w14:paraId="002F096B" w14:textId="77777777" w:rsidR="004E300C" w:rsidRPr="004E3167" w:rsidRDefault="004E300C" w:rsidP="0031446A">
            <w:pPr>
              <w:spacing w:line="360" w:lineRule="auto"/>
              <w:ind w:right="-243"/>
              <w:rPr>
                <w:rFonts w:ascii="Arial" w:hAnsi="Arial" w:cs="Arial"/>
                <w:b/>
                <w:bCs/>
              </w:rPr>
            </w:pPr>
          </w:p>
        </w:tc>
        <w:tc>
          <w:tcPr>
            <w:tcW w:w="672" w:type="pct"/>
            <w:tcBorders>
              <w:top w:val="single" w:sz="4" w:space="0" w:color="auto"/>
              <w:bottom w:val="single" w:sz="4" w:space="0" w:color="auto"/>
            </w:tcBorders>
            <w:hideMark/>
          </w:tcPr>
          <w:p w14:paraId="27890073"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F1</w:t>
            </w:r>
          </w:p>
        </w:tc>
        <w:tc>
          <w:tcPr>
            <w:tcW w:w="672" w:type="pct"/>
            <w:tcBorders>
              <w:top w:val="single" w:sz="4" w:space="0" w:color="auto"/>
              <w:bottom w:val="single" w:sz="4" w:space="0" w:color="auto"/>
            </w:tcBorders>
            <w:hideMark/>
          </w:tcPr>
          <w:p w14:paraId="4DE3068F"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F2</w:t>
            </w:r>
          </w:p>
        </w:tc>
        <w:tc>
          <w:tcPr>
            <w:tcW w:w="672" w:type="pct"/>
            <w:tcBorders>
              <w:top w:val="single" w:sz="4" w:space="0" w:color="auto"/>
              <w:bottom w:val="single" w:sz="4" w:space="0" w:color="auto"/>
            </w:tcBorders>
            <w:hideMark/>
          </w:tcPr>
          <w:p w14:paraId="197F6874"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F3</w:t>
            </w:r>
          </w:p>
        </w:tc>
        <w:tc>
          <w:tcPr>
            <w:tcW w:w="742" w:type="pct"/>
            <w:tcBorders>
              <w:top w:val="single" w:sz="4" w:space="0" w:color="auto"/>
              <w:bottom w:val="single" w:sz="4" w:space="0" w:color="auto"/>
            </w:tcBorders>
            <w:hideMark/>
          </w:tcPr>
          <w:p w14:paraId="47D6EF13"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F4</w:t>
            </w:r>
          </w:p>
        </w:tc>
        <w:tc>
          <w:tcPr>
            <w:tcW w:w="672" w:type="pct"/>
            <w:tcBorders>
              <w:top w:val="single" w:sz="4" w:space="0" w:color="auto"/>
              <w:bottom w:val="single" w:sz="4" w:space="0" w:color="auto"/>
            </w:tcBorders>
            <w:hideMark/>
          </w:tcPr>
          <w:p w14:paraId="1B9E89F1"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F5</w:t>
            </w:r>
          </w:p>
        </w:tc>
      </w:tr>
      <w:tr w:rsidR="004E300C" w:rsidRPr="004E300C" w14:paraId="7DAD2D12" w14:textId="77777777" w:rsidTr="004E3167">
        <w:trPr>
          <w:trHeight w:val="538"/>
          <w:jc w:val="center"/>
        </w:trPr>
        <w:tc>
          <w:tcPr>
            <w:tcW w:w="482" w:type="pct"/>
            <w:tcBorders>
              <w:top w:val="single" w:sz="4" w:space="0" w:color="auto"/>
            </w:tcBorders>
            <w:hideMark/>
          </w:tcPr>
          <w:p w14:paraId="2C31FEEF"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1</w:t>
            </w:r>
          </w:p>
        </w:tc>
        <w:tc>
          <w:tcPr>
            <w:tcW w:w="1087" w:type="pct"/>
            <w:tcBorders>
              <w:top w:val="single" w:sz="4" w:space="0" w:color="auto"/>
            </w:tcBorders>
            <w:hideMark/>
          </w:tcPr>
          <w:p w14:paraId="150DD3AB"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WEIGHT VARIATION (gm)</w:t>
            </w:r>
          </w:p>
        </w:tc>
        <w:tc>
          <w:tcPr>
            <w:tcW w:w="672" w:type="pct"/>
            <w:tcBorders>
              <w:top w:val="single" w:sz="4" w:space="0" w:color="auto"/>
            </w:tcBorders>
          </w:tcPr>
          <w:p w14:paraId="4E7E0D7A" w14:textId="77777777" w:rsidR="004E300C" w:rsidRPr="004E3167" w:rsidRDefault="004E300C" w:rsidP="0031446A">
            <w:pPr>
              <w:spacing w:line="360" w:lineRule="auto"/>
              <w:ind w:right="-243"/>
              <w:rPr>
                <w:rFonts w:ascii="Arial" w:hAnsi="Arial" w:cs="Arial"/>
                <w:bCs/>
              </w:rPr>
            </w:pPr>
            <w:r w:rsidRPr="004E3167">
              <w:rPr>
                <w:rFonts w:ascii="Arial" w:hAnsi="Arial" w:cs="Arial"/>
                <w:bCs/>
              </w:rPr>
              <w:t>Pass</w:t>
            </w:r>
          </w:p>
        </w:tc>
        <w:tc>
          <w:tcPr>
            <w:tcW w:w="672" w:type="pct"/>
            <w:tcBorders>
              <w:top w:val="single" w:sz="4" w:space="0" w:color="auto"/>
            </w:tcBorders>
          </w:tcPr>
          <w:p w14:paraId="54D7F0AA" w14:textId="77777777" w:rsidR="004E300C" w:rsidRPr="004E3167" w:rsidRDefault="004E300C" w:rsidP="0031446A">
            <w:pPr>
              <w:spacing w:line="360" w:lineRule="auto"/>
              <w:ind w:right="-243"/>
              <w:rPr>
                <w:rFonts w:ascii="Arial" w:hAnsi="Arial" w:cs="Arial"/>
                <w:bCs/>
              </w:rPr>
            </w:pPr>
            <w:r w:rsidRPr="004E3167">
              <w:rPr>
                <w:rFonts w:ascii="Arial" w:hAnsi="Arial" w:cs="Arial"/>
                <w:bCs/>
              </w:rPr>
              <w:t>Pass</w:t>
            </w:r>
          </w:p>
        </w:tc>
        <w:tc>
          <w:tcPr>
            <w:tcW w:w="672" w:type="pct"/>
            <w:tcBorders>
              <w:top w:val="single" w:sz="4" w:space="0" w:color="auto"/>
            </w:tcBorders>
          </w:tcPr>
          <w:p w14:paraId="7B388072" w14:textId="77777777" w:rsidR="004E300C" w:rsidRPr="004E3167" w:rsidRDefault="004E300C" w:rsidP="0031446A">
            <w:pPr>
              <w:spacing w:line="360" w:lineRule="auto"/>
              <w:ind w:right="-243"/>
              <w:rPr>
                <w:rFonts w:ascii="Arial" w:hAnsi="Arial" w:cs="Arial"/>
                <w:bCs/>
              </w:rPr>
            </w:pPr>
            <w:r w:rsidRPr="004E3167">
              <w:rPr>
                <w:rFonts w:ascii="Arial" w:hAnsi="Arial" w:cs="Arial"/>
                <w:bCs/>
              </w:rPr>
              <w:t>Pass</w:t>
            </w:r>
          </w:p>
        </w:tc>
        <w:tc>
          <w:tcPr>
            <w:tcW w:w="742" w:type="pct"/>
            <w:tcBorders>
              <w:top w:val="single" w:sz="4" w:space="0" w:color="auto"/>
            </w:tcBorders>
          </w:tcPr>
          <w:p w14:paraId="41A49BB0" w14:textId="77777777" w:rsidR="004E300C" w:rsidRPr="004E3167" w:rsidRDefault="004E300C" w:rsidP="0031446A">
            <w:pPr>
              <w:spacing w:line="360" w:lineRule="auto"/>
              <w:ind w:right="-243"/>
              <w:rPr>
                <w:rFonts w:ascii="Arial" w:hAnsi="Arial" w:cs="Arial"/>
                <w:bCs/>
              </w:rPr>
            </w:pPr>
            <w:r w:rsidRPr="004E3167">
              <w:rPr>
                <w:rFonts w:ascii="Arial" w:hAnsi="Arial" w:cs="Arial"/>
                <w:bCs/>
              </w:rPr>
              <w:t>Pass</w:t>
            </w:r>
          </w:p>
        </w:tc>
        <w:tc>
          <w:tcPr>
            <w:tcW w:w="672" w:type="pct"/>
            <w:tcBorders>
              <w:top w:val="single" w:sz="4" w:space="0" w:color="auto"/>
            </w:tcBorders>
          </w:tcPr>
          <w:p w14:paraId="62F57598" w14:textId="77777777" w:rsidR="004E300C" w:rsidRPr="004E3167" w:rsidRDefault="004E300C" w:rsidP="0031446A">
            <w:pPr>
              <w:spacing w:line="360" w:lineRule="auto"/>
              <w:ind w:right="-243"/>
              <w:rPr>
                <w:rFonts w:ascii="Arial" w:hAnsi="Arial" w:cs="Arial"/>
                <w:bCs/>
              </w:rPr>
            </w:pPr>
            <w:r w:rsidRPr="004E3167">
              <w:rPr>
                <w:rFonts w:ascii="Arial" w:hAnsi="Arial" w:cs="Arial"/>
                <w:bCs/>
              </w:rPr>
              <w:t>Pass</w:t>
            </w:r>
          </w:p>
        </w:tc>
      </w:tr>
      <w:tr w:rsidR="004E300C" w:rsidRPr="004E300C" w14:paraId="3D0D96F8" w14:textId="77777777" w:rsidTr="004E3167">
        <w:trPr>
          <w:trHeight w:val="537"/>
          <w:jc w:val="center"/>
        </w:trPr>
        <w:tc>
          <w:tcPr>
            <w:tcW w:w="482" w:type="pct"/>
            <w:hideMark/>
          </w:tcPr>
          <w:p w14:paraId="77A6F81B"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2</w:t>
            </w:r>
          </w:p>
        </w:tc>
        <w:tc>
          <w:tcPr>
            <w:tcW w:w="1087" w:type="pct"/>
            <w:hideMark/>
          </w:tcPr>
          <w:p w14:paraId="5B892BA7"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HARDNESS (kg/cm2)</w:t>
            </w:r>
          </w:p>
        </w:tc>
        <w:tc>
          <w:tcPr>
            <w:tcW w:w="672" w:type="pct"/>
          </w:tcPr>
          <w:p w14:paraId="385C8BA5" w14:textId="77777777" w:rsidR="004E300C" w:rsidRPr="004E3167" w:rsidRDefault="004E300C" w:rsidP="0031446A">
            <w:pPr>
              <w:spacing w:line="360" w:lineRule="auto"/>
              <w:ind w:right="-243"/>
              <w:rPr>
                <w:rFonts w:ascii="Arial" w:hAnsi="Arial" w:cs="Arial"/>
              </w:rPr>
            </w:pPr>
            <w:r w:rsidRPr="004E3167">
              <w:rPr>
                <w:rFonts w:ascii="Arial" w:hAnsi="Arial" w:cs="Arial"/>
                <w:bCs/>
              </w:rPr>
              <w:t>5.1</w:t>
            </w:r>
            <w:r w:rsidRPr="004E3167">
              <w:rPr>
                <w:rFonts w:ascii="Arial" w:hAnsi="Arial" w:cs="Arial"/>
                <w:b/>
                <w:bCs/>
              </w:rPr>
              <w:t>±</w:t>
            </w:r>
            <w:r w:rsidRPr="004E3167">
              <w:rPr>
                <w:rFonts w:ascii="Arial" w:hAnsi="Arial" w:cs="Arial"/>
              </w:rPr>
              <w:t>0.23</w:t>
            </w:r>
          </w:p>
          <w:p w14:paraId="51661AF2" w14:textId="77777777" w:rsidR="004E300C" w:rsidRPr="004E3167" w:rsidRDefault="004E300C" w:rsidP="0031446A">
            <w:pPr>
              <w:spacing w:line="360" w:lineRule="auto"/>
              <w:ind w:right="-243"/>
              <w:rPr>
                <w:rFonts w:ascii="Arial" w:hAnsi="Arial" w:cs="Arial"/>
                <w:bCs/>
              </w:rPr>
            </w:pPr>
            <w:r w:rsidRPr="004E3167">
              <w:rPr>
                <w:rFonts w:ascii="Arial" w:hAnsi="Arial" w:cs="Arial"/>
              </w:rPr>
              <w:t>kg/cm2</w:t>
            </w:r>
          </w:p>
        </w:tc>
        <w:tc>
          <w:tcPr>
            <w:tcW w:w="672" w:type="pct"/>
          </w:tcPr>
          <w:p w14:paraId="5524A63B" w14:textId="77777777" w:rsidR="004E300C" w:rsidRPr="004E3167" w:rsidRDefault="004E300C" w:rsidP="0031446A">
            <w:pPr>
              <w:spacing w:line="360" w:lineRule="auto"/>
              <w:ind w:right="-243"/>
              <w:rPr>
                <w:rFonts w:ascii="Arial" w:hAnsi="Arial" w:cs="Arial"/>
              </w:rPr>
            </w:pPr>
            <w:r w:rsidRPr="004E3167">
              <w:rPr>
                <w:rFonts w:ascii="Arial" w:hAnsi="Arial" w:cs="Arial"/>
                <w:bCs/>
              </w:rPr>
              <w:t>5.3</w:t>
            </w:r>
            <w:r w:rsidRPr="004E3167">
              <w:rPr>
                <w:rFonts w:ascii="Arial" w:hAnsi="Arial" w:cs="Arial"/>
                <w:b/>
                <w:bCs/>
              </w:rPr>
              <w:t>±</w:t>
            </w:r>
            <w:r w:rsidRPr="004E3167">
              <w:rPr>
                <w:rFonts w:ascii="Arial" w:hAnsi="Arial" w:cs="Arial"/>
              </w:rPr>
              <w:t>o.13</w:t>
            </w:r>
          </w:p>
          <w:p w14:paraId="7A0A09FC" w14:textId="77777777" w:rsidR="004E300C" w:rsidRPr="004E3167" w:rsidRDefault="004E300C" w:rsidP="0031446A">
            <w:pPr>
              <w:spacing w:line="360" w:lineRule="auto"/>
              <w:ind w:right="-243"/>
              <w:rPr>
                <w:rFonts w:ascii="Arial" w:hAnsi="Arial" w:cs="Arial"/>
              </w:rPr>
            </w:pPr>
            <w:r w:rsidRPr="004E3167">
              <w:rPr>
                <w:rFonts w:ascii="Arial" w:hAnsi="Arial" w:cs="Arial"/>
              </w:rPr>
              <w:t>kg/cm2</w:t>
            </w:r>
          </w:p>
          <w:p w14:paraId="6E2DFF9B" w14:textId="77777777" w:rsidR="004E300C" w:rsidRPr="004E3167" w:rsidRDefault="004E300C" w:rsidP="0031446A">
            <w:pPr>
              <w:spacing w:line="360" w:lineRule="auto"/>
              <w:ind w:right="-243"/>
              <w:rPr>
                <w:rFonts w:ascii="Arial" w:hAnsi="Arial" w:cs="Arial"/>
                <w:bCs/>
              </w:rPr>
            </w:pPr>
          </w:p>
        </w:tc>
        <w:tc>
          <w:tcPr>
            <w:tcW w:w="672" w:type="pct"/>
          </w:tcPr>
          <w:p w14:paraId="75B3CF46" w14:textId="77777777" w:rsidR="004E300C" w:rsidRPr="004E3167" w:rsidRDefault="004E300C" w:rsidP="0031446A">
            <w:pPr>
              <w:spacing w:line="360" w:lineRule="auto"/>
              <w:ind w:right="-243"/>
              <w:rPr>
                <w:rFonts w:ascii="Arial" w:hAnsi="Arial" w:cs="Arial"/>
                <w:b/>
                <w:bCs/>
              </w:rPr>
            </w:pPr>
            <w:r w:rsidRPr="004E3167">
              <w:rPr>
                <w:rFonts w:ascii="Arial" w:hAnsi="Arial" w:cs="Arial"/>
                <w:bCs/>
              </w:rPr>
              <w:t>5.2</w:t>
            </w:r>
            <w:r w:rsidRPr="004E3167">
              <w:rPr>
                <w:rFonts w:ascii="Arial" w:hAnsi="Arial" w:cs="Arial"/>
                <w:b/>
                <w:bCs/>
              </w:rPr>
              <w:t>±</w:t>
            </w:r>
            <w:r w:rsidRPr="004E3167">
              <w:rPr>
                <w:rFonts w:ascii="Arial" w:hAnsi="Arial" w:cs="Arial"/>
              </w:rPr>
              <w:t>0.17</w:t>
            </w:r>
          </w:p>
          <w:p w14:paraId="0E2394E9" w14:textId="77777777" w:rsidR="004E300C" w:rsidRPr="004E3167" w:rsidRDefault="004E300C" w:rsidP="0031446A">
            <w:pPr>
              <w:spacing w:line="360" w:lineRule="auto"/>
              <w:ind w:right="-243"/>
              <w:rPr>
                <w:rFonts w:ascii="Arial" w:hAnsi="Arial" w:cs="Arial"/>
                <w:bCs/>
              </w:rPr>
            </w:pPr>
            <w:r w:rsidRPr="004E3167">
              <w:rPr>
                <w:rFonts w:ascii="Arial" w:hAnsi="Arial" w:cs="Arial"/>
              </w:rPr>
              <w:t>kg/cm2</w:t>
            </w:r>
          </w:p>
        </w:tc>
        <w:tc>
          <w:tcPr>
            <w:tcW w:w="742" w:type="pct"/>
          </w:tcPr>
          <w:p w14:paraId="06147874" w14:textId="77777777" w:rsidR="004E300C" w:rsidRPr="004E3167" w:rsidRDefault="004E300C" w:rsidP="0031446A">
            <w:pPr>
              <w:spacing w:line="360" w:lineRule="auto"/>
              <w:ind w:right="-243"/>
              <w:rPr>
                <w:rFonts w:ascii="Arial" w:hAnsi="Arial" w:cs="Arial"/>
              </w:rPr>
            </w:pPr>
            <w:r w:rsidRPr="004E3167">
              <w:rPr>
                <w:rFonts w:ascii="Arial" w:hAnsi="Arial" w:cs="Arial"/>
                <w:bCs/>
              </w:rPr>
              <w:t>5.3</w:t>
            </w:r>
            <w:r w:rsidRPr="004E3167">
              <w:rPr>
                <w:rFonts w:ascii="Arial" w:hAnsi="Arial" w:cs="Arial"/>
                <w:b/>
                <w:bCs/>
              </w:rPr>
              <w:t>±</w:t>
            </w:r>
            <w:r w:rsidRPr="004E3167">
              <w:rPr>
                <w:rFonts w:ascii="Arial" w:hAnsi="Arial" w:cs="Arial"/>
              </w:rPr>
              <w:t>0.15</w:t>
            </w:r>
          </w:p>
          <w:p w14:paraId="5A5DAA65" w14:textId="77777777" w:rsidR="004E300C" w:rsidRPr="004E3167" w:rsidRDefault="004E300C" w:rsidP="0031446A">
            <w:pPr>
              <w:spacing w:line="360" w:lineRule="auto"/>
              <w:ind w:right="-243"/>
              <w:rPr>
                <w:rFonts w:ascii="Arial" w:hAnsi="Arial" w:cs="Arial"/>
                <w:bCs/>
              </w:rPr>
            </w:pPr>
            <w:r w:rsidRPr="004E3167">
              <w:rPr>
                <w:rFonts w:ascii="Arial" w:hAnsi="Arial" w:cs="Arial"/>
              </w:rPr>
              <w:t>kg/cm2</w:t>
            </w:r>
          </w:p>
        </w:tc>
        <w:tc>
          <w:tcPr>
            <w:tcW w:w="672" w:type="pct"/>
          </w:tcPr>
          <w:p w14:paraId="565EBDA1" w14:textId="77777777" w:rsidR="004E300C" w:rsidRPr="004E3167" w:rsidRDefault="004E300C" w:rsidP="0031446A">
            <w:pPr>
              <w:spacing w:line="360" w:lineRule="auto"/>
              <w:ind w:right="-243"/>
              <w:rPr>
                <w:rFonts w:ascii="Arial" w:hAnsi="Arial" w:cs="Arial"/>
              </w:rPr>
            </w:pPr>
            <w:r w:rsidRPr="004E3167">
              <w:rPr>
                <w:rFonts w:ascii="Arial" w:hAnsi="Arial" w:cs="Arial"/>
                <w:bCs/>
              </w:rPr>
              <w:t>5.4</w:t>
            </w:r>
            <w:r w:rsidRPr="004E3167">
              <w:rPr>
                <w:rFonts w:ascii="Arial" w:hAnsi="Arial" w:cs="Arial"/>
                <w:b/>
                <w:bCs/>
              </w:rPr>
              <w:t>±</w:t>
            </w:r>
            <w:r w:rsidRPr="004E3167">
              <w:rPr>
                <w:rFonts w:ascii="Arial" w:hAnsi="Arial" w:cs="Arial"/>
              </w:rPr>
              <w:t>o.18</w:t>
            </w:r>
          </w:p>
          <w:p w14:paraId="0B9DBAA2" w14:textId="77777777" w:rsidR="004E300C" w:rsidRPr="004E3167" w:rsidRDefault="004E300C" w:rsidP="0031446A">
            <w:pPr>
              <w:spacing w:line="360" w:lineRule="auto"/>
              <w:ind w:right="-243"/>
              <w:rPr>
                <w:rFonts w:ascii="Arial" w:hAnsi="Arial" w:cs="Arial"/>
                <w:bCs/>
              </w:rPr>
            </w:pPr>
            <w:r w:rsidRPr="004E3167">
              <w:rPr>
                <w:rFonts w:ascii="Arial" w:hAnsi="Arial" w:cs="Arial"/>
              </w:rPr>
              <w:t xml:space="preserve"> kg/cm2</w:t>
            </w:r>
          </w:p>
        </w:tc>
      </w:tr>
      <w:tr w:rsidR="004E300C" w:rsidRPr="004E300C" w14:paraId="3AB25C8B" w14:textId="77777777" w:rsidTr="004E3167">
        <w:trPr>
          <w:trHeight w:val="683"/>
          <w:jc w:val="center"/>
        </w:trPr>
        <w:tc>
          <w:tcPr>
            <w:tcW w:w="482" w:type="pct"/>
            <w:hideMark/>
          </w:tcPr>
          <w:p w14:paraId="4D6571D3"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3</w:t>
            </w:r>
          </w:p>
        </w:tc>
        <w:tc>
          <w:tcPr>
            <w:tcW w:w="1087" w:type="pct"/>
            <w:hideMark/>
          </w:tcPr>
          <w:p w14:paraId="47CC7B4D"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FRIABILITY (%)</w:t>
            </w:r>
          </w:p>
        </w:tc>
        <w:tc>
          <w:tcPr>
            <w:tcW w:w="672" w:type="pct"/>
          </w:tcPr>
          <w:p w14:paraId="0AA3160A" w14:textId="77777777" w:rsidR="004E300C" w:rsidRPr="004E3167" w:rsidRDefault="004E300C" w:rsidP="0031446A">
            <w:pPr>
              <w:spacing w:line="360" w:lineRule="auto"/>
              <w:ind w:right="-243"/>
              <w:rPr>
                <w:rFonts w:ascii="Arial" w:hAnsi="Arial" w:cs="Arial"/>
                <w:bCs/>
              </w:rPr>
            </w:pPr>
            <w:r w:rsidRPr="004E3167">
              <w:rPr>
                <w:rFonts w:ascii="Arial" w:hAnsi="Arial" w:cs="Arial"/>
                <w:bCs/>
              </w:rPr>
              <w:t>0.6%</w:t>
            </w:r>
          </w:p>
        </w:tc>
        <w:tc>
          <w:tcPr>
            <w:tcW w:w="672" w:type="pct"/>
          </w:tcPr>
          <w:p w14:paraId="2D9121AD" w14:textId="77777777" w:rsidR="004E300C" w:rsidRPr="004E3167" w:rsidRDefault="004E300C" w:rsidP="0031446A">
            <w:pPr>
              <w:spacing w:line="360" w:lineRule="auto"/>
              <w:ind w:right="-243"/>
              <w:rPr>
                <w:rFonts w:ascii="Arial" w:hAnsi="Arial" w:cs="Arial"/>
                <w:bCs/>
              </w:rPr>
            </w:pPr>
            <w:r w:rsidRPr="004E3167">
              <w:rPr>
                <w:rFonts w:ascii="Arial" w:hAnsi="Arial" w:cs="Arial"/>
                <w:bCs/>
              </w:rPr>
              <w:t>0.7%</w:t>
            </w:r>
          </w:p>
        </w:tc>
        <w:tc>
          <w:tcPr>
            <w:tcW w:w="672" w:type="pct"/>
          </w:tcPr>
          <w:p w14:paraId="33C5AB7C" w14:textId="77777777" w:rsidR="004E300C" w:rsidRPr="004E3167" w:rsidRDefault="004E300C" w:rsidP="0031446A">
            <w:pPr>
              <w:spacing w:line="360" w:lineRule="auto"/>
              <w:ind w:right="-243"/>
              <w:rPr>
                <w:rFonts w:ascii="Arial" w:hAnsi="Arial" w:cs="Arial"/>
                <w:bCs/>
              </w:rPr>
            </w:pPr>
            <w:r w:rsidRPr="004E3167">
              <w:rPr>
                <w:rFonts w:ascii="Arial" w:hAnsi="Arial" w:cs="Arial"/>
                <w:bCs/>
              </w:rPr>
              <w:t>0.7%</w:t>
            </w:r>
          </w:p>
        </w:tc>
        <w:tc>
          <w:tcPr>
            <w:tcW w:w="742" w:type="pct"/>
          </w:tcPr>
          <w:p w14:paraId="41509262" w14:textId="77777777" w:rsidR="004E300C" w:rsidRPr="004E3167" w:rsidRDefault="004E300C" w:rsidP="0031446A">
            <w:pPr>
              <w:spacing w:line="360" w:lineRule="auto"/>
              <w:ind w:right="-243"/>
              <w:rPr>
                <w:rFonts w:ascii="Arial" w:hAnsi="Arial" w:cs="Arial"/>
                <w:bCs/>
              </w:rPr>
            </w:pPr>
            <w:r w:rsidRPr="004E3167">
              <w:rPr>
                <w:rFonts w:ascii="Arial" w:hAnsi="Arial" w:cs="Arial"/>
                <w:bCs/>
              </w:rPr>
              <w:t>08%</w:t>
            </w:r>
          </w:p>
        </w:tc>
        <w:tc>
          <w:tcPr>
            <w:tcW w:w="672" w:type="pct"/>
          </w:tcPr>
          <w:p w14:paraId="4B0C8760" w14:textId="77777777" w:rsidR="004E300C" w:rsidRPr="004E3167" w:rsidRDefault="004E300C" w:rsidP="0031446A">
            <w:pPr>
              <w:spacing w:line="360" w:lineRule="auto"/>
              <w:ind w:right="-243"/>
              <w:rPr>
                <w:rFonts w:ascii="Arial" w:hAnsi="Arial" w:cs="Arial"/>
                <w:bCs/>
              </w:rPr>
            </w:pPr>
            <w:r w:rsidRPr="004E3167">
              <w:rPr>
                <w:rFonts w:ascii="Arial" w:hAnsi="Arial" w:cs="Arial"/>
                <w:bCs/>
              </w:rPr>
              <w:t>0.5%</w:t>
            </w:r>
          </w:p>
        </w:tc>
      </w:tr>
      <w:tr w:rsidR="004E300C" w:rsidRPr="004E300C" w14:paraId="512FB22F" w14:textId="77777777" w:rsidTr="004E3167">
        <w:trPr>
          <w:trHeight w:val="696"/>
          <w:jc w:val="center"/>
        </w:trPr>
        <w:tc>
          <w:tcPr>
            <w:tcW w:w="482" w:type="pct"/>
            <w:hideMark/>
          </w:tcPr>
          <w:p w14:paraId="67952533"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4</w:t>
            </w:r>
          </w:p>
        </w:tc>
        <w:tc>
          <w:tcPr>
            <w:tcW w:w="1087" w:type="pct"/>
          </w:tcPr>
          <w:p w14:paraId="5FC0F429"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DISINTEGRATION TIME</w:t>
            </w:r>
          </w:p>
        </w:tc>
        <w:tc>
          <w:tcPr>
            <w:tcW w:w="672" w:type="pct"/>
          </w:tcPr>
          <w:p w14:paraId="0863B28C" w14:textId="77777777" w:rsidR="004E300C" w:rsidRPr="004E3167" w:rsidRDefault="004E300C" w:rsidP="0031446A">
            <w:pPr>
              <w:spacing w:line="360" w:lineRule="auto"/>
              <w:ind w:right="-243"/>
              <w:rPr>
                <w:rFonts w:ascii="Arial" w:hAnsi="Arial" w:cs="Arial"/>
                <w:bCs/>
              </w:rPr>
            </w:pPr>
            <w:r w:rsidRPr="004E3167">
              <w:rPr>
                <w:rFonts w:ascii="Arial" w:hAnsi="Arial" w:cs="Arial"/>
                <w:bCs/>
              </w:rPr>
              <w:t>4min 23sec</w:t>
            </w:r>
          </w:p>
        </w:tc>
        <w:tc>
          <w:tcPr>
            <w:tcW w:w="672" w:type="pct"/>
          </w:tcPr>
          <w:p w14:paraId="73C55CAE" w14:textId="77777777" w:rsidR="004E300C" w:rsidRPr="004E3167" w:rsidRDefault="004E300C" w:rsidP="0031446A">
            <w:pPr>
              <w:spacing w:line="360" w:lineRule="auto"/>
              <w:ind w:right="-243"/>
              <w:rPr>
                <w:rFonts w:ascii="Arial" w:hAnsi="Arial" w:cs="Arial"/>
                <w:bCs/>
              </w:rPr>
            </w:pPr>
            <w:r w:rsidRPr="004E3167">
              <w:rPr>
                <w:rFonts w:ascii="Arial" w:hAnsi="Arial" w:cs="Arial"/>
                <w:bCs/>
              </w:rPr>
              <w:t>3min 59sec</w:t>
            </w:r>
          </w:p>
        </w:tc>
        <w:tc>
          <w:tcPr>
            <w:tcW w:w="672" w:type="pct"/>
          </w:tcPr>
          <w:p w14:paraId="75816569" w14:textId="77777777" w:rsidR="004E300C" w:rsidRPr="004E3167" w:rsidRDefault="004E300C" w:rsidP="0031446A">
            <w:pPr>
              <w:spacing w:line="360" w:lineRule="auto"/>
              <w:ind w:right="-243"/>
              <w:rPr>
                <w:rFonts w:ascii="Arial" w:hAnsi="Arial" w:cs="Arial"/>
                <w:bCs/>
              </w:rPr>
            </w:pPr>
            <w:r w:rsidRPr="004E3167">
              <w:rPr>
                <w:rFonts w:ascii="Arial" w:hAnsi="Arial" w:cs="Arial"/>
                <w:bCs/>
              </w:rPr>
              <w:t>3min 52sec</w:t>
            </w:r>
          </w:p>
        </w:tc>
        <w:tc>
          <w:tcPr>
            <w:tcW w:w="742" w:type="pct"/>
          </w:tcPr>
          <w:p w14:paraId="001C640F" w14:textId="77777777" w:rsidR="004E300C" w:rsidRPr="004E3167" w:rsidRDefault="004E300C" w:rsidP="0031446A">
            <w:pPr>
              <w:spacing w:line="360" w:lineRule="auto"/>
              <w:ind w:right="-243"/>
              <w:rPr>
                <w:rFonts w:ascii="Arial" w:hAnsi="Arial" w:cs="Arial"/>
                <w:bCs/>
              </w:rPr>
            </w:pPr>
            <w:r w:rsidRPr="004E3167">
              <w:rPr>
                <w:rFonts w:ascii="Arial" w:hAnsi="Arial" w:cs="Arial"/>
                <w:bCs/>
              </w:rPr>
              <w:t>3min 30sec</w:t>
            </w:r>
          </w:p>
        </w:tc>
        <w:tc>
          <w:tcPr>
            <w:tcW w:w="672" w:type="pct"/>
          </w:tcPr>
          <w:p w14:paraId="5C37511D" w14:textId="77777777" w:rsidR="004E300C" w:rsidRPr="004E3167" w:rsidRDefault="004E300C" w:rsidP="0031446A">
            <w:pPr>
              <w:spacing w:line="360" w:lineRule="auto"/>
              <w:ind w:right="-243"/>
              <w:rPr>
                <w:rFonts w:ascii="Arial" w:hAnsi="Arial" w:cs="Arial"/>
                <w:bCs/>
              </w:rPr>
            </w:pPr>
            <w:r w:rsidRPr="004E3167">
              <w:rPr>
                <w:rFonts w:ascii="Arial" w:hAnsi="Arial" w:cs="Arial"/>
                <w:bCs/>
              </w:rPr>
              <w:t>3min      10sec</w:t>
            </w:r>
          </w:p>
        </w:tc>
      </w:tr>
      <w:tr w:rsidR="004E300C" w:rsidRPr="004E300C" w14:paraId="6946A0B2" w14:textId="77777777" w:rsidTr="004E3167">
        <w:trPr>
          <w:trHeight w:val="702"/>
          <w:jc w:val="center"/>
        </w:trPr>
        <w:tc>
          <w:tcPr>
            <w:tcW w:w="482" w:type="pct"/>
            <w:hideMark/>
          </w:tcPr>
          <w:p w14:paraId="2DD38579"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5</w:t>
            </w:r>
          </w:p>
        </w:tc>
        <w:tc>
          <w:tcPr>
            <w:tcW w:w="1087" w:type="pct"/>
            <w:hideMark/>
          </w:tcPr>
          <w:p w14:paraId="26B448FA" w14:textId="77777777" w:rsidR="004E300C" w:rsidRPr="004E3167" w:rsidRDefault="004E300C" w:rsidP="0031446A">
            <w:pPr>
              <w:spacing w:line="360" w:lineRule="auto"/>
              <w:ind w:right="-243"/>
              <w:rPr>
                <w:rFonts w:ascii="Arial" w:hAnsi="Arial" w:cs="Arial"/>
                <w:b/>
                <w:bCs/>
              </w:rPr>
            </w:pPr>
            <w:r w:rsidRPr="004E3167">
              <w:rPr>
                <w:rFonts w:ascii="Arial" w:hAnsi="Arial" w:cs="Arial"/>
                <w:b/>
                <w:bCs/>
              </w:rPr>
              <w:t>DRUG CONTENT (%)</w:t>
            </w:r>
          </w:p>
        </w:tc>
        <w:tc>
          <w:tcPr>
            <w:tcW w:w="672" w:type="pct"/>
          </w:tcPr>
          <w:p w14:paraId="6D606660" w14:textId="77777777" w:rsidR="004E300C" w:rsidRPr="004E3167" w:rsidRDefault="004E300C" w:rsidP="0031446A">
            <w:pPr>
              <w:spacing w:line="360" w:lineRule="auto"/>
              <w:ind w:right="-243"/>
              <w:rPr>
                <w:rFonts w:ascii="Arial" w:hAnsi="Arial" w:cs="Arial"/>
                <w:bCs/>
              </w:rPr>
            </w:pPr>
            <w:r w:rsidRPr="004E3167">
              <w:rPr>
                <w:rFonts w:ascii="Arial" w:hAnsi="Arial" w:cs="Arial"/>
                <w:bCs/>
              </w:rPr>
              <w:t>94.4±0.52</w:t>
            </w:r>
          </w:p>
        </w:tc>
        <w:tc>
          <w:tcPr>
            <w:tcW w:w="672" w:type="pct"/>
          </w:tcPr>
          <w:p w14:paraId="26445CA0" w14:textId="77777777" w:rsidR="004E300C" w:rsidRPr="004E3167" w:rsidRDefault="004E300C" w:rsidP="0031446A">
            <w:pPr>
              <w:spacing w:line="360" w:lineRule="auto"/>
              <w:ind w:right="-243"/>
              <w:rPr>
                <w:rFonts w:ascii="Arial" w:hAnsi="Arial" w:cs="Arial"/>
                <w:bCs/>
              </w:rPr>
            </w:pPr>
            <w:r w:rsidRPr="004E3167">
              <w:rPr>
                <w:rFonts w:ascii="Arial" w:hAnsi="Arial" w:cs="Arial"/>
                <w:bCs/>
              </w:rPr>
              <w:t>96.4±0.45</w:t>
            </w:r>
          </w:p>
        </w:tc>
        <w:tc>
          <w:tcPr>
            <w:tcW w:w="672" w:type="pct"/>
          </w:tcPr>
          <w:p w14:paraId="27A22165" w14:textId="77777777" w:rsidR="004E300C" w:rsidRPr="004E3167" w:rsidRDefault="004E300C" w:rsidP="0031446A">
            <w:pPr>
              <w:spacing w:line="360" w:lineRule="auto"/>
              <w:ind w:right="-243"/>
              <w:rPr>
                <w:rFonts w:ascii="Arial" w:hAnsi="Arial" w:cs="Arial"/>
                <w:bCs/>
              </w:rPr>
            </w:pPr>
            <w:r w:rsidRPr="004E3167">
              <w:rPr>
                <w:rFonts w:ascii="Arial" w:hAnsi="Arial" w:cs="Arial"/>
                <w:bCs/>
              </w:rPr>
              <w:t>96.1±0.48</w:t>
            </w:r>
          </w:p>
        </w:tc>
        <w:tc>
          <w:tcPr>
            <w:tcW w:w="742" w:type="pct"/>
          </w:tcPr>
          <w:p w14:paraId="11E7ED2C" w14:textId="77777777" w:rsidR="004E300C" w:rsidRPr="004E3167" w:rsidRDefault="004E300C" w:rsidP="0031446A">
            <w:pPr>
              <w:spacing w:line="360" w:lineRule="auto"/>
              <w:ind w:right="-243"/>
              <w:rPr>
                <w:rFonts w:ascii="Arial" w:hAnsi="Arial" w:cs="Arial"/>
                <w:bCs/>
              </w:rPr>
            </w:pPr>
            <w:r w:rsidRPr="004E3167">
              <w:rPr>
                <w:rFonts w:ascii="Arial" w:hAnsi="Arial" w:cs="Arial"/>
                <w:bCs/>
              </w:rPr>
              <w:t>98.02±0.33</w:t>
            </w:r>
          </w:p>
        </w:tc>
        <w:tc>
          <w:tcPr>
            <w:tcW w:w="672" w:type="pct"/>
          </w:tcPr>
          <w:p w14:paraId="09825D6C" w14:textId="77777777" w:rsidR="004E300C" w:rsidRPr="004E3167" w:rsidRDefault="004E300C" w:rsidP="0031446A">
            <w:pPr>
              <w:spacing w:line="360" w:lineRule="auto"/>
              <w:ind w:right="-243"/>
              <w:rPr>
                <w:rFonts w:ascii="Arial" w:hAnsi="Arial" w:cs="Arial"/>
                <w:bCs/>
              </w:rPr>
            </w:pPr>
            <w:r w:rsidRPr="004E3167">
              <w:rPr>
                <w:rFonts w:ascii="Arial" w:hAnsi="Arial" w:cs="Arial"/>
                <w:bCs/>
              </w:rPr>
              <w:t>99.2±0.18</w:t>
            </w:r>
          </w:p>
        </w:tc>
      </w:tr>
    </w:tbl>
    <w:p w14:paraId="0371EED9" w14:textId="65E69D5D" w:rsidR="004E300C" w:rsidRPr="00E052C9" w:rsidRDefault="004E300C" w:rsidP="004E300C">
      <w:pPr>
        <w:spacing w:line="360" w:lineRule="auto"/>
        <w:ind w:right="-243"/>
        <w:rPr>
          <w:rFonts w:ascii="Arial" w:hAnsi="Arial" w:cs="Arial"/>
          <w:b/>
        </w:rPr>
      </w:pPr>
      <w:r w:rsidRPr="00E052C9">
        <w:rPr>
          <w:rFonts w:ascii="Arial" w:hAnsi="Arial" w:cs="Arial"/>
          <w:b/>
          <w:i/>
        </w:rPr>
        <w:t>In-Vitro</w:t>
      </w:r>
      <w:r w:rsidRPr="00E052C9">
        <w:rPr>
          <w:rFonts w:ascii="Arial" w:hAnsi="Arial" w:cs="Arial"/>
          <w:b/>
        </w:rPr>
        <w:t xml:space="preserve"> Drug Release studies:</w:t>
      </w:r>
    </w:p>
    <w:p w14:paraId="44E4B859" w14:textId="77777777" w:rsidR="004E300C" w:rsidRPr="00E052C9" w:rsidRDefault="004E300C" w:rsidP="0082351A">
      <w:pPr>
        <w:spacing w:line="360" w:lineRule="auto"/>
        <w:ind w:right="-243"/>
        <w:jc w:val="both"/>
        <w:rPr>
          <w:rFonts w:ascii="Arial" w:hAnsi="Arial" w:cs="Arial"/>
          <w:bCs/>
        </w:rPr>
      </w:pPr>
      <w:r w:rsidRPr="00E052C9">
        <w:rPr>
          <w:rFonts w:ascii="Arial" w:hAnsi="Arial" w:cs="Arial"/>
          <w:bCs/>
        </w:rPr>
        <w:t xml:space="preserve">The </w:t>
      </w:r>
      <w:r w:rsidRPr="00E052C9">
        <w:rPr>
          <w:rFonts w:ascii="Arial" w:hAnsi="Arial" w:cs="Arial"/>
          <w:bCs/>
          <w:i/>
          <w:iCs/>
        </w:rPr>
        <w:t>in- vitro</w:t>
      </w:r>
      <w:r w:rsidRPr="00E052C9">
        <w:rPr>
          <w:rFonts w:ascii="Arial" w:hAnsi="Arial" w:cs="Arial"/>
          <w:bCs/>
        </w:rPr>
        <w:t xml:space="preserve"> release of all the prepared formulations </w:t>
      </w:r>
      <w:proofErr w:type="spellStart"/>
      <w:r w:rsidRPr="00E052C9">
        <w:rPr>
          <w:rFonts w:ascii="Arial" w:hAnsi="Arial" w:cs="Arial"/>
          <w:bCs/>
        </w:rPr>
        <w:t>i.e</w:t>
      </w:r>
      <w:proofErr w:type="spellEnd"/>
      <w:r w:rsidRPr="00E052C9">
        <w:rPr>
          <w:rFonts w:ascii="Arial" w:hAnsi="Arial" w:cs="Arial"/>
          <w:bCs/>
        </w:rPr>
        <w:t xml:space="preserve"> F1to F5 (table no.6) was found to be in the range of </w:t>
      </w:r>
      <w:r w:rsidRPr="00E052C9">
        <w:rPr>
          <w:rFonts w:ascii="Arial" w:hAnsi="Arial" w:cs="Arial"/>
          <w:color w:val="000000"/>
        </w:rPr>
        <w:t>30.74014</w:t>
      </w:r>
      <w:r w:rsidRPr="00E052C9">
        <w:rPr>
          <w:rFonts w:ascii="Arial" w:hAnsi="Arial" w:cs="Arial"/>
          <w:bCs/>
        </w:rPr>
        <w:t xml:space="preserve">% to </w:t>
      </w:r>
      <w:r w:rsidRPr="00E052C9">
        <w:rPr>
          <w:rFonts w:ascii="Arial" w:hAnsi="Arial" w:cs="Arial"/>
          <w:color w:val="000000"/>
        </w:rPr>
        <w:t>38.57967%</w:t>
      </w:r>
      <w:r w:rsidRPr="00E052C9">
        <w:rPr>
          <w:rFonts w:ascii="Arial" w:hAnsi="Arial" w:cs="Arial"/>
          <w:color w:val="000000"/>
          <w:lang w:eastAsia="en-IN"/>
        </w:rPr>
        <w:t xml:space="preserve"> </w:t>
      </w:r>
      <w:r w:rsidRPr="00E052C9">
        <w:rPr>
          <w:rFonts w:ascii="Arial" w:hAnsi="Arial" w:cs="Arial"/>
          <w:bCs/>
        </w:rPr>
        <w:t xml:space="preserve">for pH 1.2 and </w:t>
      </w:r>
      <w:r w:rsidRPr="00E052C9">
        <w:rPr>
          <w:rFonts w:ascii="Arial" w:hAnsi="Arial" w:cs="Arial"/>
          <w:color w:val="000000"/>
        </w:rPr>
        <w:t>91.3723%</w:t>
      </w:r>
      <w:r w:rsidRPr="00E052C9">
        <w:rPr>
          <w:rFonts w:ascii="Arial" w:hAnsi="Arial" w:cs="Arial"/>
          <w:color w:val="000000"/>
          <w:lang w:eastAsia="en-IN"/>
        </w:rPr>
        <w:t xml:space="preserve"> </w:t>
      </w:r>
      <w:r w:rsidRPr="00E052C9">
        <w:rPr>
          <w:rFonts w:ascii="Arial" w:hAnsi="Arial" w:cs="Arial"/>
          <w:bCs/>
        </w:rPr>
        <w:t xml:space="preserve">to </w:t>
      </w:r>
      <w:r w:rsidRPr="00E052C9">
        <w:rPr>
          <w:rFonts w:ascii="Arial" w:hAnsi="Arial" w:cs="Arial"/>
          <w:color w:val="000000"/>
        </w:rPr>
        <w:t>98.6064%</w:t>
      </w:r>
      <w:r w:rsidRPr="00E052C9">
        <w:rPr>
          <w:rFonts w:ascii="Arial" w:hAnsi="Arial" w:cs="Arial"/>
          <w:bCs/>
        </w:rPr>
        <w:t xml:space="preserve"> for pH 6.8 respectively. Among all the prepared formulations F5 showed highest percentage release of </w:t>
      </w:r>
      <w:r w:rsidRPr="00E052C9">
        <w:rPr>
          <w:rFonts w:ascii="Arial" w:hAnsi="Arial" w:cs="Arial"/>
          <w:color w:val="000000"/>
        </w:rPr>
        <w:t>98.60</w:t>
      </w:r>
      <w:r w:rsidRPr="00E052C9">
        <w:rPr>
          <w:rFonts w:ascii="Arial" w:hAnsi="Arial" w:cs="Arial"/>
          <w:bCs/>
        </w:rPr>
        <w:t xml:space="preserve">%. this could be because formulation F5 had a higher % of super disintegrating agent as compare to other formulations. The </w:t>
      </w:r>
      <w:r w:rsidRPr="00E052C9">
        <w:rPr>
          <w:rFonts w:ascii="Arial" w:hAnsi="Arial" w:cs="Arial"/>
          <w:bCs/>
          <w:i/>
          <w:iCs/>
        </w:rPr>
        <w:t>in-vitro</w:t>
      </w:r>
      <w:r w:rsidRPr="00E052C9">
        <w:rPr>
          <w:rFonts w:ascii="Arial" w:hAnsi="Arial" w:cs="Arial"/>
          <w:bCs/>
        </w:rPr>
        <w:t xml:space="preserve"> dissolution profile of F5 was compared with tablet containing pure drug Dolutegravir sodium. The inclusion complex tablet (F5) showed an increase in dissolution rate than tablet prepared with pure drug. This indicates that beta cyclodextrin inclusion complexation enhanced the dissolution rate of Dolutegravir sodium.</w:t>
      </w:r>
    </w:p>
    <w:p w14:paraId="15810D0B" w14:textId="24D21335" w:rsidR="004E300C" w:rsidRPr="00E052C9" w:rsidRDefault="004E300C" w:rsidP="004E300C">
      <w:pPr>
        <w:spacing w:line="360" w:lineRule="auto"/>
        <w:ind w:right="-243"/>
        <w:rPr>
          <w:rFonts w:ascii="Arial" w:hAnsi="Arial" w:cs="Arial"/>
          <w:b/>
        </w:rPr>
      </w:pPr>
      <w:r w:rsidRPr="00E052C9">
        <w:rPr>
          <w:rFonts w:ascii="Arial" w:hAnsi="Arial" w:cs="Arial"/>
          <w:b/>
        </w:rPr>
        <w:t xml:space="preserve">Table 6 </w:t>
      </w:r>
      <w:r w:rsidRPr="00E052C9">
        <w:rPr>
          <w:rFonts w:ascii="Arial" w:hAnsi="Arial" w:cs="Arial"/>
          <w:b/>
          <w:i/>
          <w:iCs/>
        </w:rPr>
        <w:t>In-Vitro</w:t>
      </w:r>
      <w:r w:rsidRPr="00E052C9">
        <w:rPr>
          <w:rFonts w:ascii="Arial" w:hAnsi="Arial" w:cs="Arial"/>
          <w:b/>
        </w:rPr>
        <w:t xml:space="preserve"> Drug release of all the formulations</w:t>
      </w:r>
    </w:p>
    <w:tbl>
      <w:tblPr>
        <w:tblpPr w:leftFromText="180" w:rightFromText="180" w:vertAnchor="text" w:horzAnchor="margin" w:tblpXSpec="center" w:tblpY="195"/>
        <w:tblW w:w="0" w:type="auto"/>
        <w:tblBorders>
          <w:top w:val="single" w:sz="4" w:space="0" w:color="auto"/>
          <w:bottom w:val="single" w:sz="4" w:space="0" w:color="auto"/>
        </w:tblBorders>
        <w:tblLook w:val="04A0" w:firstRow="1" w:lastRow="0" w:firstColumn="1" w:lastColumn="0" w:noHBand="0" w:noVBand="1"/>
      </w:tblPr>
      <w:tblGrid>
        <w:gridCol w:w="1310"/>
        <w:gridCol w:w="1099"/>
        <w:gridCol w:w="1099"/>
        <w:gridCol w:w="1099"/>
        <w:gridCol w:w="1099"/>
        <w:gridCol w:w="1061"/>
      </w:tblGrid>
      <w:tr w:rsidR="004E300C" w:rsidRPr="00E052C9" w14:paraId="6FE15650" w14:textId="77777777" w:rsidTr="00E052C9">
        <w:trPr>
          <w:trHeight w:val="351"/>
        </w:trPr>
        <w:tc>
          <w:tcPr>
            <w:tcW w:w="6767" w:type="dxa"/>
            <w:gridSpan w:val="6"/>
            <w:tcBorders>
              <w:bottom w:val="nil"/>
            </w:tcBorders>
          </w:tcPr>
          <w:p w14:paraId="12DE2941"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Drug release %</w:t>
            </w:r>
          </w:p>
        </w:tc>
      </w:tr>
      <w:tr w:rsidR="004E300C" w:rsidRPr="00E052C9" w14:paraId="33839C67" w14:textId="77777777" w:rsidTr="00E052C9">
        <w:trPr>
          <w:trHeight w:val="338"/>
        </w:trPr>
        <w:tc>
          <w:tcPr>
            <w:tcW w:w="1310" w:type="dxa"/>
            <w:tcBorders>
              <w:top w:val="nil"/>
              <w:bottom w:val="single" w:sz="4" w:space="0" w:color="auto"/>
            </w:tcBorders>
          </w:tcPr>
          <w:p w14:paraId="32B921A4"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Time(min)</w:t>
            </w:r>
          </w:p>
        </w:tc>
        <w:tc>
          <w:tcPr>
            <w:tcW w:w="1099" w:type="dxa"/>
            <w:tcBorders>
              <w:top w:val="nil"/>
              <w:bottom w:val="single" w:sz="4" w:space="0" w:color="auto"/>
            </w:tcBorders>
          </w:tcPr>
          <w:p w14:paraId="034C5DAF"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F1</w:t>
            </w:r>
          </w:p>
        </w:tc>
        <w:tc>
          <w:tcPr>
            <w:tcW w:w="1099" w:type="dxa"/>
            <w:tcBorders>
              <w:top w:val="nil"/>
              <w:bottom w:val="single" w:sz="4" w:space="0" w:color="auto"/>
            </w:tcBorders>
          </w:tcPr>
          <w:p w14:paraId="23B2B288"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F2</w:t>
            </w:r>
          </w:p>
        </w:tc>
        <w:tc>
          <w:tcPr>
            <w:tcW w:w="1099" w:type="dxa"/>
            <w:tcBorders>
              <w:top w:val="nil"/>
              <w:bottom w:val="single" w:sz="4" w:space="0" w:color="auto"/>
            </w:tcBorders>
          </w:tcPr>
          <w:p w14:paraId="1977C87A"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F3</w:t>
            </w:r>
          </w:p>
        </w:tc>
        <w:tc>
          <w:tcPr>
            <w:tcW w:w="1099" w:type="dxa"/>
            <w:tcBorders>
              <w:top w:val="nil"/>
              <w:bottom w:val="single" w:sz="4" w:space="0" w:color="auto"/>
            </w:tcBorders>
          </w:tcPr>
          <w:p w14:paraId="2352BC3A"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F4</w:t>
            </w:r>
          </w:p>
        </w:tc>
        <w:tc>
          <w:tcPr>
            <w:tcW w:w="1061" w:type="dxa"/>
            <w:tcBorders>
              <w:top w:val="nil"/>
              <w:bottom w:val="single" w:sz="4" w:space="0" w:color="auto"/>
            </w:tcBorders>
          </w:tcPr>
          <w:p w14:paraId="380BB09F" w14:textId="77777777" w:rsidR="004E300C" w:rsidRPr="00E052C9" w:rsidRDefault="004E300C" w:rsidP="0031446A">
            <w:pPr>
              <w:spacing w:line="360" w:lineRule="auto"/>
              <w:jc w:val="center"/>
              <w:rPr>
                <w:rFonts w:ascii="Arial" w:eastAsia="Calibri" w:hAnsi="Arial" w:cs="Arial"/>
                <w:b/>
              </w:rPr>
            </w:pPr>
            <w:r w:rsidRPr="00E052C9">
              <w:rPr>
                <w:rFonts w:ascii="Arial" w:eastAsia="Calibri" w:hAnsi="Arial" w:cs="Arial"/>
                <w:b/>
              </w:rPr>
              <w:t>F5</w:t>
            </w:r>
          </w:p>
        </w:tc>
      </w:tr>
      <w:tr w:rsidR="004E300C" w:rsidRPr="00E052C9" w14:paraId="7763D244" w14:textId="77777777" w:rsidTr="00E052C9">
        <w:trPr>
          <w:trHeight w:val="351"/>
        </w:trPr>
        <w:tc>
          <w:tcPr>
            <w:tcW w:w="1310" w:type="dxa"/>
            <w:tcBorders>
              <w:top w:val="single" w:sz="4" w:space="0" w:color="auto"/>
            </w:tcBorders>
          </w:tcPr>
          <w:p w14:paraId="5B13F0AF"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t>10</w:t>
            </w:r>
          </w:p>
        </w:tc>
        <w:tc>
          <w:tcPr>
            <w:tcW w:w="1099" w:type="dxa"/>
            <w:tcBorders>
              <w:top w:val="single" w:sz="4" w:space="0" w:color="auto"/>
            </w:tcBorders>
            <w:vAlign w:val="bottom"/>
          </w:tcPr>
          <w:p w14:paraId="27055E8A"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34.0298</w:t>
            </w:r>
          </w:p>
        </w:tc>
        <w:tc>
          <w:tcPr>
            <w:tcW w:w="1099" w:type="dxa"/>
            <w:tcBorders>
              <w:top w:val="single" w:sz="4" w:space="0" w:color="auto"/>
            </w:tcBorders>
            <w:vAlign w:val="bottom"/>
          </w:tcPr>
          <w:p w14:paraId="14089C5E"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40.1384</w:t>
            </w:r>
          </w:p>
        </w:tc>
        <w:tc>
          <w:tcPr>
            <w:tcW w:w="1099" w:type="dxa"/>
            <w:tcBorders>
              <w:top w:val="single" w:sz="4" w:space="0" w:color="auto"/>
            </w:tcBorders>
            <w:vAlign w:val="bottom"/>
          </w:tcPr>
          <w:p w14:paraId="29637986"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39.9903</w:t>
            </w:r>
          </w:p>
        </w:tc>
        <w:tc>
          <w:tcPr>
            <w:tcW w:w="1099" w:type="dxa"/>
            <w:tcBorders>
              <w:top w:val="single" w:sz="4" w:space="0" w:color="auto"/>
            </w:tcBorders>
            <w:vAlign w:val="bottom"/>
          </w:tcPr>
          <w:p w14:paraId="6839C612"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43.4963</w:t>
            </w:r>
          </w:p>
        </w:tc>
        <w:tc>
          <w:tcPr>
            <w:tcW w:w="1061" w:type="dxa"/>
            <w:tcBorders>
              <w:top w:val="single" w:sz="4" w:space="0" w:color="auto"/>
            </w:tcBorders>
            <w:vAlign w:val="bottom"/>
          </w:tcPr>
          <w:p w14:paraId="0B7089D1"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51.0581</w:t>
            </w:r>
          </w:p>
        </w:tc>
      </w:tr>
      <w:tr w:rsidR="004E300C" w:rsidRPr="00E052C9" w14:paraId="69B92BB1" w14:textId="77777777" w:rsidTr="00E052C9">
        <w:trPr>
          <w:trHeight w:val="338"/>
        </w:trPr>
        <w:tc>
          <w:tcPr>
            <w:tcW w:w="1310" w:type="dxa"/>
          </w:tcPr>
          <w:p w14:paraId="4B867583"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t>20</w:t>
            </w:r>
          </w:p>
        </w:tc>
        <w:tc>
          <w:tcPr>
            <w:tcW w:w="1099" w:type="dxa"/>
            <w:vAlign w:val="bottom"/>
          </w:tcPr>
          <w:p w14:paraId="0056F158"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47.5303</w:t>
            </w:r>
          </w:p>
        </w:tc>
        <w:tc>
          <w:tcPr>
            <w:tcW w:w="1099" w:type="dxa"/>
            <w:vAlign w:val="bottom"/>
          </w:tcPr>
          <w:p w14:paraId="22756CC6"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53.7678</w:t>
            </w:r>
          </w:p>
        </w:tc>
        <w:tc>
          <w:tcPr>
            <w:tcW w:w="1099" w:type="dxa"/>
            <w:vAlign w:val="bottom"/>
          </w:tcPr>
          <w:p w14:paraId="0DDABD6D"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52.295</w:t>
            </w:r>
          </w:p>
        </w:tc>
        <w:tc>
          <w:tcPr>
            <w:tcW w:w="1099" w:type="dxa"/>
            <w:vAlign w:val="bottom"/>
          </w:tcPr>
          <w:p w14:paraId="1BA1CA21"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57.0283</w:t>
            </w:r>
          </w:p>
        </w:tc>
        <w:tc>
          <w:tcPr>
            <w:tcW w:w="1061" w:type="dxa"/>
            <w:vAlign w:val="bottom"/>
          </w:tcPr>
          <w:p w14:paraId="28D40B10"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62.9783</w:t>
            </w:r>
          </w:p>
        </w:tc>
      </w:tr>
      <w:tr w:rsidR="004E300C" w:rsidRPr="00E052C9" w14:paraId="1479F490" w14:textId="77777777" w:rsidTr="00E052C9">
        <w:trPr>
          <w:trHeight w:val="351"/>
        </w:trPr>
        <w:tc>
          <w:tcPr>
            <w:tcW w:w="1310" w:type="dxa"/>
          </w:tcPr>
          <w:p w14:paraId="7FCE1F0E"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t>30</w:t>
            </w:r>
          </w:p>
        </w:tc>
        <w:tc>
          <w:tcPr>
            <w:tcW w:w="1099" w:type="dxa"/>
            <w:vAlign w:val="bottom"/>
          </w:tcPr>
          <w:p w14:paraId="218A62A9"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62.0051</w:t>
            </w:r>
          </w:p>
        </w:tc>
        <w:tc>
          <w:tcPr>
            <w:tcW w:w="1099" w:type="dxa"/>
            <w:vAlign w:val="bottom"/>
          </w:tcPr>
          <w:p w14:paraId="54F7A990"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64.1261</w:t>
            </w:r>
          </w:p>
        </w:tc>
        <w:tc>
          <w:tcPr>
            <w:tcW w:w="1099" w:type="dxa"/>
            <w:vAlign w:val="bottom"/>
          </w:tcPr>
          <w:p w14:paraId="3C30CDAF"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62.1387</w:t>
            </w:r>
          </w:p>
        </w:tc>
        <w:tc>
          <w:tcPr>
            <w:tcW w:w="1099" w:type="dxa"/>
            <w:vAlign w:val="bottom"/>
          </w:tcPr>
          <w:p w14:paraId="374F7A48"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73.1494</w:t>
            </w:r>
          </w:p>
        </w:tc>
        <w:tc>
          <w:tcPr>
            <w:tcW w:w="1061" w:type="dxa"/>
            <w:vAlign w:val="bottom"/>
          </w:tcPr>
          <w:p w14:paraId="7F12EF79"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78.0772</w:t>
            </w:r>
          </w:p>
        </w:tc>
      </w:tr>
      <w:tr w:rsidR="004E300C" w:rsidRPr="00E052C9" w14:paraId="72B04989" w14:textId="77777777" w:rsidTr="00E052C9">
        <w:trPr>
          <w:trHeight w:val="351"/>
        </w:trPr>
        <w:tc>
          <w:tcPr>
            <w:tcW w:w="1310" w:type="dxa"/>
          </w:tcPr>
          <w:p w14:paraId="25A7F8AE"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t>40</w:t>
            </w:r>
          </w:p>
        </w:tc>
        <w:tc>
          <w:tcPr>
            <w:tcW w:w="1099" w:type="dxa"/>
            <w:vAlign w:val="bottom"/>
          </w:tcPr>
          <w:p w14:paraId="37FBDFD0"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77.1759</w:t>
            </w:r>
          </w:p>
        </w:tc>
        <w:tc>
          <w:tcPr>
            <w:tcW w:w="1099" w:type="dxa"/>
            <w:vAlign w:val="bottom"/>
          </w:tcPr>
          <w:p w14:paraId="54C5F5AB"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78.7095</w:t>
            </w:r>
          </w:p>
        </w:tc>
        <w:tc>
          <w:tcPr>
            <w:tcW w:w="1099" w:type="dxa"/>
            <w:vAlign w:val="bottom"/>
          </w:tcPr>
          <w:p w14:paraId="496E896C"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75.9473</w:t>
            </w:r>
          </w:p>
        </w:tc>
        <w:tc>
          <w:tcPr>
            <w:tcW w:w="1099" w:type="dxa"/>
            <w:vAlign w:val="bottom"/>
          </w:tcPr>
          <w:p w14:paraId="309AC815"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80.2696</w:t>
            </w:r>
          </w:p>
        </w:tc>
        <w:tc>
          <w:tcPr>
            <w:tcW w:w="1061" w:type="dxa"/>
            <w:vAlign w:val="bottom"/>
          </w:tcPr>
          <w:p w14:paraId="3CFA8AEC"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82.7128</w:t>
            </w:r>
          </w:p>
        </w:tc>
      </w:tr>
      <w:tr w:rsidR="004E300C" w:rsidRPr="00E052C9" w14:paraId="4A150D29" w14:textId="77777777" w:rsidTr="00E052C9">
        <w:trPr>
          <w:trHeight w:val="336"/>
        </w:trPr>
        <w:tc>
          <w:tcPr>
            <w:tcW w:w="1310" w:type="dxa"/>
          </w:tcPr>
          <w:p w14:paraId="700209BF"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t>50</w:t>
            </w:r>
          </w:p>
        </w:tc>
        <w:tc>
          <w:tcPr>
            <w:tcW w:w="1099" w:type="dxa"/>
            <w:vAlign w:val="bottom"/>
          </w:tcPr>
          <w:p w14:paraId="193CE3B1"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85.9443</w:t>
            </w:r>
          </w:p>
        </w:tc>
        <w:tc>
          <w:tcPr>
            <w:tcW w:w="1099" w:type="dxa"/>
            <w:vAlign w:val="bottom"/>
          </w:tcPr>
          <w:p w14:paraId="4FF7C827"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86.4782</w:t>
            </w:r>
          </w:p>
        </w:tc>
        <w:tc>
          <w:tcPr>
            <w:tcW w:w="1099" w:type="dxa"/>
            <w:vAlign w:val="bottom"/>
          </w:tcPr>
          <w:p w14:paraId="6FC66B9D"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83.7403</w:t>
            </w:r>
          </w:p>
        </w:tc>
        <w:tc>
          <w:tcPr>
            <w:tcW w:w="1099" w:type="dxa"/>
            <w:vAlign w:val="bottom"/>
          </w:tcPr>
          <w:p w14:paraId="2A1B5202"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86.5837</w:t>
            </w:r>
          </w:p>
        </w:tc>
        <w:tc>
          <w:tcPr>
            <w:tcW w:w="1061" w:type="dxa"/>
            <w:vAlign w:val="bottom"/>
          </w:tcPr>
          <w:p w14:paraId="7525E6D2"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90.3947</w:t>
            </w:r>
          </w:p>
        </w:tc>
      </w:tr>
      <w:tr w:rsidR="004E300C" w:rsidRPr="00E052C9" w14:paraId="701DB60C" w14:textId="77777777" w:rsidTr="00E052C9">
        <w:trPr>
          <w:trHeight w:val="480"/>
        </w:trPr>
        <w:tc>
          <w:tcPr>
            <w:tcW w:w="1310" w:type="dxa"/>
          </w:tcPr>
          <w:p w14:paraId="24A6B5F0" w14:textId="77777777" w:rsidR="004E300C" w:rsidRPr="00E052C9" w:rsidRDefault="004E300C" w:rsidP="0031446A">
            <w:pPr>
              <w:spacing w:line="360" w:lineRule="auto"/>
              <w:jc w:val="center"/>
              <w:rPr>
                <w:rFonts w:ascii="Arial" w:eastAsia="Calibri" w:hAnsi="Arial" w:cs="Arial"/>
                <w:b/>
                <w:bCs/>
              </w:rPr>
            </w:pPr>
            <w:r w:rsidRPr="00E052C9">
              <w:rPr>
                <w:rFonts w:ascii="Arial" w:eastAsia="Calibri" w:hAnsi="Arial" w:cs="Arial"/>
                <w:b/>
                <w:bCs/>
              </w:rPr>
              <w:lastRenderedPageBreak/>
              <w:t>60</w:t>
            </w:r>
          </w:p>
        </w:tc>
        <w:tc>
          <w:tcPr>
            <w:tcW w:w="1099" w:type="dxa"/>
            <w:vAlign w:val="bottom"/>
          </w:tcPr>
          <w:p w14:paraId="2A9E7C13"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91.3723</w:t>
            </w:r>
          </w:p>
        </w:tc>
        <w:tc>
          <w:tcPr>
            <w:tcW w:w="1099" w:type="dxa"/>
            <w:vAlign w:val="bottom"/>
          </w:tcPr>
          <w:p w14:paraId="1D0AAE1C"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94.1106</w:t>
            </w:r>
          </w:p>
        </w:tc>
        <w:tc>
          <w:tcPr>
            <w:tcW w:w="1099" w:type="dxa"/>
            <w:vAlign w:val="bottom"/>
          </w:tcPr>
          <w:p w14:paraId="3DC62D68"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92.2169</w:t>
            </w:r>
          </w:p>
        </w:tc>
        <w:tc>
          <w:tcPr>
            <w:tcW w:w="1099" w:type="dxa"/>
            <w:vAlign w:val="bottom"/>
          </w:tcPr>
          <w:p w14:paraId="76C8C253"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97.0624</w:t>
            </w:r>
          </w:p>
        </w:tc>
        <w:tc>
          <w:tcPr>
            <w:tcW w:w="1061" w:type="dxa"/>
            <w:vAlign w:val="bottom"/>
          </w:tcPr>
          <w:p w14:paraId="0ED3D84D" w14:textId="77777777" w:rsidR="004E300C" w:rsidRPr="00E052C9" w:rsidRDefault="004E300C" w:rsidP="0031446A">
            <w:pPr>
              <w:spacing w:line="360" w:lineRule="auto"/>
              <w:jc w:val="center"/>
              <w:rPr>
                <w:rFonts w:ascii="Arial" w:eastAsia="Calibri" w:hAnsi="Arial" w:cs="Arial"/>
              </w:rPr>
            </w:pPr>
            <w:r w:rsidRPr="00E052C9">
              <w:rPr>
                <w:rFonts w:ascii="Arial" w:hAnsi="Arial" w:cs="Arial"/>
                <w:color w:val="000000"/>
              </w:rPr>
              <w:t>98.6064</w:t>
            </w:r>
          </w:p>
        </w:tc>
      </w:tr>
    </w:tbl>
    <w:p w14:paraId="3EDDCD6A" w14:textId="77777777" w:rsidR="004E300C" w:rsidRPr="00E052C9" w:rsidRDefault="004E300C" w:rsidP="004E300C">
      <w:pPr>
        <w:spacing w:line="360" w:lineRule="auto"/>
        <w:ind w:right="-243"/>
        <w:rPr>
          <w:rFonts w:ascii="Arial" w:hAnsi="Arial" w:cs="Arial"/>
          <w:bCs/>
        </w:rPr>
      </w:pPr>
    </w:p>
    <w:p w14:paraId="0F0449F8" w14:textId="77777777" w:rsidR="00E052C9" w:rsidRDefault="00E052C9" w:rsidP="004E300C">
      <w:pPr>
        <w:spacing w:line="360" w:lineRule="auto"/>
        <w:ind w:right="-243"/>
        <w:rPr>
          <w:rFonts w:ascii="Arial" w:hAnsi="Arial" w:cs="Arial"/>
          <w:bCs/>
        </w:rPr>
      </w:pPr>
    </w:p>
    <w:p w14:paraId="37808976" w14:textId="2C67390C" w:rsidR="004E300C" w:rsidRPr="00E052C9" w:rsidRDefault="004E300C" w:rsidP="004E300C">
      <w:pPr>
        <w:spacing w:line="360" w:lineRule="auto"/>
        <w:ind w:right="-243"/>
        <w:rPr>
          <w:rFonts w:ascii="Arial" w:hAnsi="Arial" w:cs="Arial"/>
          <w:bCs/>
        </w:rPr>
      </w:pPr>
      <w:r w:rsidRPr="00E052C9">
        <w:rPr>
          <w:rFonts w:ascii="Arial" w:hAnsi="Arial" w:cs="Arial"/>
          <w:b/>
        </w:rPr>
        <w:t xml:space="preserve">Kinetic Study of </w:t>
      </w:r>
      <w:r w:rsidRPr="00E052C9">
        <w:rPr>
          <w:rFonts w:ascii="Arial" w:hAnsi="Arial" w:cs="Arial"/>
          <w:b/>
          <w:i/>
          <w:iCs/>
        </w:rPr>
        <w:t xml:space="preserve">In-Vitro </w:t>
      </w:r>
      <w:r w:rsidRPr="00E052C9">
        <w:rPr>
          <w:rFonts w:ascii="Arial" w:hAnsi="Arial" w:cs="Arial"/>
          <w:b/>
        </w:rPr>
        <w:t xml:space="preserve">Release Data </w:t>
      </w:r>
    </w:p>
    <w:p w14:paraId="59264BC2" w14:textId="5C30AA24" w:rsidR="004E300C" w:rsidRPr="00E052C9" w:rsidRDefault="004E300C" w:rsidP="00726AFE">
      <w:pPr>
        <w:spacing w:line="360" w:lineRule="auto"/>
        <w:ind w:right="-243"/>
        <w:jc w:val="both"/>
        <w:rPr>
          <w:rFonts w:ascii="Arial" w:hAnsi="Arial" w:cs="Arial"/>
          <w:bCs/>
        </w:rPr>
      </w:pPr>
      <w:r w:rsidRPr="00E052C9">
        <w:rPr>
          <w:rFonts w:ascii="Arial" w:hAnsi="Arial" w:cs="Arial"/>
          <w:bCs/>
        </w:rPr>
        <w:t xml:space="preserve">The drug release data indicates the pattern which the drug release follows. The correlation coefficient for different drug release kinetic models </w:t>
      </w:r>
      <w:r w:rsidR="00D00F14" w:rsidRPr="00E052C9">
        <w:rPr>
          <w:rFonts w:ascii="Arial" w:hAnsi="Arial" w:cs="Arial"/>
          <w:bCs/>
        </w:rPr>
        <w:t>is</w:t>
      </w:r>
      <w:r w:rsidRPr="00E052C9">
        <w:rPr>
          <w:rFonts w:ascii="Arial" w:hAnsi="Arial" w:cs="Arial"/>
          <w:bCs/>
        </w:rPr>
        <w:t xml:space="preserve"> shown in Table no.7. models with highest correlation coefficient were judged to be the most appropriate model for the release </w:t>
      </w:r>
      <w:proofErr w:type="spellStart"/>
      <w:proofErr w:type="gramStart"/>
      <w:r w:rsidRPr="00E052C9">
        <w:rPr>
          <w:rFonts w:ascii="Arial" w:hAnsi="Arial" w:cs="Arial"/>
          <w:bCs/>
        </w:rPr>
        <w:t>data.For</w:t>
      </w:r>
      <w:proofErr w:type="spellEnd"/>
      <w:proofErr w:type="gramEnd"/>
      <w:r w:rsidRPr="00E052C9">
        <w:rPr>
          <w:rFonts w:ascii="Arial" w:hAnsi="Arial" w:cs="Arial"/>
          <w:bCs/>
        </w:rPr>
        <w:t xml:space="preserve"> Dolutegravir Sodium inclusion complex tablets</w:t>
      </w:r>
      <w:r w:rsidR="00E052C9">
        <w:rPr>
          <w:rFonts w:ascii="Arial" w:hAnsi="Arial" w:cs="Arial"/>
          <w:bCs/>
        </w:rPr>
        <w:t xml:space="preserve"> </w:t>
      </w:r>
      <w:r w:rsidRPr="00E052C9">
        <w:rPr>
          <w:rFonts w:ascii="Arial" w:hAnsi="Arial" w:cs="Arial"/>
          <w:bCs/>
        </w:rPr>
        <w:t xml:space="preserve">(1:1) F5 the best fit model was </w:t>
      </w:r>
      <w:proofErr w:type="spellStart"/>
      <w:r w:rsidRPr="00E052C9">
        <w:rPr>
          <w:rFonts w:ascii="Arial" w:hAnsi="Arial" w:cs="Arial"/>
          <w:bCs/>
        </w:rPr>
        <w:t>Kosmeyer-Peppas</w:t>
      </w:r>
      <w:proofErr w:type="spellEnd"/>
      <w:r w:rsidRPr="00E052C9">
        <w:rPr>
          <w:rFonts w:ascii="Arial" w:hAnsi="Arial" w:cs="Arial"/>
          <w:bCs/>
        </w:rPr>
        <w:t xml:space="preserve">, and Higuchi for pH 1.2 and pH6.8 respectively. This indicates that the release mechanism is not well known or more than one type of release phenomena could be involved. </w:t>
      </w:r>
      <w:r w:rsidRPr="00E052C9">
        <w:rPr>
          <w:rFonts w:ascii="Arial" w:hAnsi="Arial" w:cs="Arial"/>
        </w:rPr>
        <w:t xml:space="preserve">In the present study ‘n’ value was found to be </w:t>
      </w:r>
      <w:r w:rsidRPr="00E052C9">
        <w:rPr>
          <w:rFonts w:ascii="Arial" w:hAnsi="Arial" w:cs="Arial"/>
          <w:color w:val="000000"/>
        </w:rPr>
        <w:t>0.3674</w:t>
      </w:r>
      <w:r w:rsidRPr="00E052C9">
        <w:rPr>
          <w:rFonts w:ascii="Arial" w:hAnsi="Arial" w:cs="Arial"/>
        </w:rPr>
        <w:t>, this indicates that the drug</w:t>
      </w:r>
      <w:r w:rsidRPr="00E052C9">
        <w:rPr>
          <w:rFonts w:ascii="Arial" w:hAnsi="Arial" w:cs="Arial"/>
          <w:spacing w:val="-57"/>
        </w:rPr>
        <w:t xml:space="preserve">                </w:t>
      </w:r>
      <w:r w:rsidRPr="00E052C9">
        <w:rPr>
          <w:rFonts w:ascii="Arial" w:hAnsi="Arial" w:cs="Arial"/>
        </w:rPr>
        <w:t>release</w:t>
      </w:r>
      <w:r w:rsidRPr="00E052C9">
        <w:rPr>
          <w:rFonts w:ascii="Arial" w:hAnsi="Arial" w:cs="Arial"/>
          <w:spacing w:val="1"/>
        </w:rPr>
        <w:t xml:space="preserve"> </w:t>
      </w:r>
      <w:r w:rsidRPr="00E052C9">
        <w:rPr>
          <w:rFonts w:ascii="Arial" w:hAnsi="Arial" w:cs="Arial"/>
        </w:rPr>
        <w:t>occurred</w:t>
      </w:r>
      <w:r w:rsidRPr="00E052C9">
        <w:rPr>
          <w:rFonts w:ascii="Arial" w:hAnsi="Arial" w:cs="Arial"/>
          <w:spacing w:val="1"/>
        </w:rPr>
        <w:t xml:space="preserve"> </w:t>
      </w:r>
      <w:r w:rsidRPr="00E052C9">
        <w:rPr>
          <w:rFonts w:ascii="Arial" w:hAnsi="Arial" w:cs="Arial"/>
        </w:rPr>
        <w:t>via</w:t>
      </w:r>
      <w:r w:rsidRPr="00E052C9">
        <w:rPr>
          <w:rFonts w:ascii="Arial" w:hAnsi="Arial" w:cs="Arial"/>
          <w:spacing w:val="1"/>
        </w:rPr>
        <w:t xml:space="preserve"> </w:t>
      </w:r>
      <w:r w:rsidRPr="00E052C9">
        <w:rPr>
          <w:rFonts w:ascii="Arial" w:hAnsi="Arial" w:cs="Arial"/>
        </w:rPr>
        <w:t>Non-</w:t>
      </w:r>
      <w:proofErr w:type="spellStart"/>
      <w:r w:rsidRPr="00E052C9">
        <w:rPr>
          <w:rFonts w:ascii="Arial" w:hAnsi="Arial" w:cs="Arial"/>
        </w:rPr>
        <w:t>Fickian</w:t>
      </w:r>
      <w:proofErr w:type="spellEnd"/>
      <w:r w:rsidRPr="00E052C9">
        <w:rPr>
          <w:rFonts w:ascii="Arial" w:hAnsi="Arial" w:cs="Arial"/>
          <w:spacing w:val="1"/>
        </w:rPr>
        <w:t xml:space="preserve"> </w:t>
      </w:r>
      <w:r w:rsidRPr="00E052C9">
        <w:rPr>
          <w:rFonts w:ascii="Arial" w:hAnsi="Arial" w:cs="Arial"/>
        </w:rPr>
        <w:t>diffusion</w:t>
      </w:r>
      <w:r w:rsidRPr="00E052C9">
        <w:rPr>
          <w:rFonts w:ascii="Arial" w:hAnsi="Arial" w:cs="Arial"/>
          <w:spacing w:val="1"/>
        </w:rPr>
        <w:t xml:space="preserve"> </w:t>
      </w:r>
      <w:r w:rsidRPr="00E052C9">
        <w:rPr>
          <w:rFonts w:ascii="Arial" w:hAnsi="Arial" w:cs="Arial"/>
        </w:rPr>
        <w:t>mechanism.</w:t>
      </w:r>
      <w:r w:rsidRPr="00E052C9">
        <w:rPr>
          <w:rFonts w:ascii="Arial" w:hAnsi="Arial" w:cs="Arial"/>
          <w:spacing w:val="1"/>
        </w:rPr>
        <w:t xml:space="preserve"> </w:t>
      </w:r>
      <w:r w:rsidRPr="00E052C9">
        <w:rPr>
          <w:rFonts w:ascii="Arial" w:hAnsi="Arial" w:cs="Arial"/>
        </w:rPr>
        <w:t>The Higuchi model suggests that drug diffusion takes place only in one dimension. On</w:t>
      </w:r>
      <w:r w:rsidRPr="00E052C9">
        <w:rPr>
          <w:rFonts w:ascii="Arial" w:hAnsi="Arial" w:cs="Arial"/>
          <w:spacing w:val="1"/>
        </w:rPr>
        <w:t xml:space="preserve"> </w:t>
      </w:r>
      <w:r w:rsidRPr="00E052C9">
        <w:rPr>
          <w:rFonts w:ascii="Arial" w:hAnsi="Arial" w:cs="Arial"/>
        </w:rPr>
        <w:t>the</w:t>
      </w:r>
      <w:r w:rsidRPr="00E052C9">
        <w:rPr>
          <w:rFonts w:ascii="Arial" w:hAnsi="Arial" w:cs="Arial"/>
          <w:spacing w:val="1"/>
        </w:rPr>
        <w:t xml:space="preserve"> </w:t>
      </w:r>
      <w:r w:rsidRPr="00E052C9">
        <w:rPr>
          <w:rFonts w:ascii="Arial" w:hAnsi="Arial" w:cs="Arial"/>
        </w:rPr>
        <w:t>other</w:t>
      </w:r>
      <w:r w:rsidRPr="00E052C9">
        <w:rPr>
          <w:rFonts w:ascii="Arial" w:hAnsi="Arial" w:cs="Arial"/>
          <w:spacing w:val="61"/>
        </w:rPr>
        <w:t xml:space="preserve"> </w:t>
      </w:r>
      <w:r w:rsidRPr="00E052C9">
        <w:rPr>
          <w:rFonts w:ascii="Arial" w:hAnsi="Arial" w:cs="Arial"/>
        </w:rPr>
        <w:t>hand,</w:t>
      </w:r>
      <w:r w:rsidRPr="00E052C9">
        <w:rPr>
          <w:rFonts w:ascii="Arial" w:hAnsi="Arial" w:cs="Arial"/>
          <w:spacing w:val="-57"/>
        </w:rPr>
        <w:t xml:space="preserve"> </w:t>
      </w:r>
      <w:r w:rsidRPr="00E052C9">
        <w:rPr>
          <w:rFonts w:ascii="Arial" w:hAnsi="Arial" w:cs="Arial"/>
        </w:rPr>
        <w:t xml:space="preserve">for pure drug rifaximin best fit model was </w:t>
      </w:r>
      <w:proofErr w:type="spellStart"/>
      <w:r w:rsidRPr="00E052C9">
        <w:rPr>
          <w:rFonts w:ascii="Arial" w:hAnsi="Arial" w:cs="Arial"/>
        </w:rPr>
        <w:t>korsmeyer</w:t>
      </w:r>
      <w:proofErr w:type="spellEnd"/>
      <w:r w:rsidRPr="00E052C9">
        <w:rPr>
          <w:rFonts w:ascii="Arial" w:hAnsi="Arial" w:cs="Arial"/>
        </w:rPr>
        <w:t xml:space="preserve"> </w:t>
      </w:r>
      <w:proofErr w:type="spellStart"/>
      <w:r w:rsidRPr="00E052C9">
        <w:rPr>
          <w:rFonts w:ascii="Arial" w:hAnsi="Arial" w:cs="Arial"/>
        </w:rPr>
        <w:t>peppas</w:t>
      </w:r>
      <w:proofErr w:type="spellEnd"/>
      <w:r w:rsidRPr="00E052C9">
        <w:rPr>
          <w:rFonts w:ascii="Arial" w:hAnsi="Arial" w:cs="Arial"/>
        </w:rPr>
        <w:t xml:space="preserve"> and first order model respectively, ‘n’ value was found to be 0.7801, this indicates that the </w:t>
      </w:r>
      <w:proofErr w:type="gramStart"/>
      <w:r w:rsidRPr="00E052C9">
        <w:rPr>
          <w:rFonts w:ascii="Arial" w:hAnsi="Arial" w:cs="Arial"/>
        </w:rPr>
        <w:t>drug</w:t>
      </w:r>
      <w:r w:rsidRPr="00E052C9">
        <w:rPr>
          <w:rFonts w:ascii="Arial" w:hAnsi="Arial" w:cs="Arial"/>
          <w:spacing w:val="-57"/>
        </w:rPr>
        <w:t xml:space="preserve">  </w:t>
      </w:r>
      <w:r w:rsidRPr="00E052C9">
        <w:rPr>
          <w:rFonts w:ascii="Arial" w:hAnsi="Arial" w:cs="Arial"/>
        </w:rPr>
        <w:t>release</w:t>
      </w:r>
      <w:proofErr w:type="gramEnd"/>
      <w:r w:rsidRPr="00E052C9">
        <w:rPr>
          <w:rFonts w:ascii="Arial" w:hAnsi="Arial" w:cs="Arial"/>
          <w:spacing w:val="1"/>
        </w:rPr>
        <w:t xml:space="preserve"> </w:t>
      </w:r>
      <w:r w:rsidRPr="00E052C9">
        <w:rPr>
          <w:rFonts w:ascii="Arial" w:hAnsi="Arial" w:cs="Arial"/>
        </w:rPr>
        <w:t>occurred</w:t>
      </w:r>
      <w:r w:rsidRPr="00E052C9">
        <w:rPr>
          <w:rFonts w:ascii="Arial" w:hAnsi="Arial" w:cs="Arial"/>
          <w:spacing w:val="1"/>
        </w:rPr>
        <w:t xml:space="preserve"> </w:t>
      </w:r>
      <w:r w:rsidRPr="00E052C9">
        <w:rPr>
          <w:rFonts w:ascii="Arial" w:hAnsi="Arial" w:cs="Arial"/>
        </w:rPr>
        <w:t>via</w:t>
      </w:r>
      <w:r w:rsidRPr="00E052C9">
        <w:rPr>
          <w:rFonts w:ascii="Arial" w:hAnsi="Arial" w:cs="Arial"/>
          <w:spacing w:val="1"/>
        </w:rPr>
        <w:t xml:space="preserve"> </w:t>
      </w:r>
      <w:r w:rsidRPr="00E052C9">
        <w:rPr>
          <w:rFonts w:ascii="Arial" w:hAnsi="Arial" w:cs="Arial"/>
        </w:rPr>
        <w:t>Non-</w:t>
      </w:r>
      <w:proofErr w:type="spellStart"/>
      <w:r w:rsidRPr="00E052C9">
        <w:rPr>
          <w:rFonts w:ascii="Arial" w:hAnsi="Arial" w:cs="Arial"/>
        </w:rPr>
        <w:t>Fickian</w:t>
      </w:r>
      <w:proofErr w:type="spellEnd"/>
      <w:r w:rsidRPr="00E052C9">
        <w:rPr>
          <w:rFonts w:ascii="Arial" w:hAnsi="Arial" w:cs="Arial"/>
          <w:spacing w:val="1"/>
        </w:rPr>
        <w:t xml:space="preserve"> </w:t>
      </w:r>
      <w:r w:rsidRPr="00E052C9">
        <w:rPr>
          <w:rFonts w:ascii="Arial" w:hAnsi="Arial" w:cs="Arial"/>
        </w:rPr>
        <w:t>diffusion</w:t>
      </w:r>
      <w:r w:rsidRPr="00E052C9">
        <w:rPr>
          <w:rFonts w:ascii="Arial" w:hAnsi="Arial" w:cs="Arial"/>
          <w:spacing w:val="1"/>
        </w:rPr>
        <w:t xml:space="preserve"> </w:t>
      </w:r>
      <w:r w:rsidRPr="00E052C9">
        <w:rPr>
          <w:rFonts w:ascii="Arial" w:hAnsi="Arial" w:cs="Arial"/>
        </w:rPr>
        <w:t>mechanism.</w:t>
      </w:r>
      <w:r w:rsidRPr="00E052C9">
        <w:rPr>
          <w:rFonts w:ascii="Arial" w:hAnsi="Arial" w:cs="Arial"/>
          <w:spacing w:val="1"/>
        </w:rPr>
        <w:t xml:space="preserve"> </w:t>
      </w:r>
      <w:r w:rsidRPr="00E052C9">
        <w:rPr>
          <w:rFonts w:ascii="Arial" w:hAnsi="Arial" w:cs="Arial"/>
        </w:rPr>
        <w:t>First order suggests that the drug release depends on the concentration of drug in the formulation.</w:t>
      </w:r>
    </w:p>
    <w:p w14:paraId="6C2A6FD4" w14:textId="1C048987" w:rsidR="004E300C" w:rsidRPr="00D843AF" w:rsidRDefault="00726AFE" w:rsidP="004E300C">
      <w:pPr>
        <w:spacing w:line="360" w:lineRule="auto"/>
        <w:rPr>
          <w:rFonts w:ascii="Arial" w:hAnsi="Arial" w:cs="Arial"/>
          <w:b/>
        </w:rPr>
      </w:pPr>
      <w:r w:rsidRPr="00D843AF">
        <w:rPr>
          <w:rFonts w:ascii="Arial" w:hAnsi="Arial" w:cs="Arial"/>
          <w:b/>
        </w:rPr>
        <w:t>T</w:t>
      </w:r>
      <w:r w:rsidR="004E300C" w:rsidRPr="00D843AF">
        <w:rPr>
          <w:rFonts w:ascii="Arial" w:hAnsi="Arial" w:cs="Arial"/>
          <w:b/>
        </w:rPr>
        <w:t>able 7 - Regression coefficient (R</w:t>
      </w:r>
      <w:r w:rsidR="004E300C" w:rsidRPr="00D843AF">
        <w:rPr>
          <w:rFonts w:ascii="Arial" w:hAnsi="Arial" w:cs="Arial"/>
          <w:b/>
          <w:vertAlign w:val="superscript"/>
        </w:rPr>
        <w:t>2</w:t>
      </w:r>
      <w:r w:rsidR="004E300C" w:rsidRPr="00D843AF">
        <w:rPr>
          <w:rFonts w:ascii="Arial" w:hAnsi="Arial" w:cs="Arial"/>
          <w:b/>
        </w:rPr>
        <w:t>) value of different kinetic models of inclusion complex formulations</w:t>
      </w:r>
    </w:p>
    <w:tbl>
      <w:tblPr>
        <w:tblW w:w="8897" w:type="dxa"/>
        <w:tblBorders>
          <w:top w:val="single" w:sz="4" w:space="0" w:color="auto"/>
          <w:bottom w:val="single" w:sz="4" w:space="0" w:color="auto"/>
        </w:tblBorders>
        <w:tblLook w:val="04A0" w:firstRow="1" w:lastRow="0" w:firstColumn="1" w:lastColumn="0" w:noHBand="0" w:noVBand="1"/>
      </w:tblPr>
      <w:tblGrid>
        <w:gridCol w:w="1399"/>
        <w:gridCol w:w="1141"/>
        <w:gridCol w:w="1142"/>
        <w:gridCol w:w="1178"/>
        <w:gridCol w:w="1162"/>
        <w:gridCol w:w="844"/>
        <w:gridCol w:w="848"/>
        <w:gridCol w:w="1183"/>
      </w:tblGrid>
      <w:tr w:rsidR="004E300C" w:rsidRPr="00D843AF" w14:paraId="21FFB21B" w14:textId="77777777" w:rsidTr="00282295">
        <w:trPr>
          <w:trHeight w:val="1020"/>
        </w:trPr>
        <w:tc>
          <w:tcPr>
            <w:tcW w:w="1403" w:type="dxa"/>
            <w:vMerge w:val="restart"/>
            <w:tcBorders>
              <w:top w:val="single" w:sz="4" w:space="0" w:color="auto"/>
              <w:bottom w:val="nil"/>
            </w:tcBorders>
          </w:tcPr>
          <w:p w14:paraId="331102DD"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Formulation</w:t>
            </w:r>
          </w:p>
          <w:p w14:paraId="2EA7B306"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code</w:t>
            </w:r>
          </w:p>
        </w:tc>
        <w:tc>
          <w:tcPr>
            <w:tcW w:w="1192" w:type="dxa"/>
            <w:vMerge w:val="restart"/>
            <w:tcBorders>
              <w:top w:val="single" w:sz="4" w:space="0" w:color="auto"/>
              <w:bottom w:val="nil"/>
            </w:tcBorders>
          </w:tcPr>
          <w:p w14:paraId="728BC5BE"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Zero order model (R</w:t>
            </w:r>
            <w:r w:rsidRPr="00D843AF">
              <w:rPr>
                <w:rFonts w:ascii="Arial" w:eastAsia="Calibri" w:hAnsi="Arial" w:cs="Arial"/>
                <w:b/>
                <w:bCs/>
                <w:vertAlign w:val="superscript"/>
              </w:rPr>
              <w:t>2</w:t>
            </w:r>
            <w:r w:rsidRPr="00D843AF">
              <w:rPr>
                <w:rFonts w:ascii="Arial" w:eastAsia="Calibri" w:hAnsi="Arial" w:cs="Arial"/>
                <w:b/>
                <w:bCs/>
              </w:rPr>
              <w:t>)</w:t>
            </w:r>
          </w:p>
          <w:p w14:paraId="772DFEAF" w14:textId="77777777" w:rsidR="004E300C" w:rsidRPr="00D843AF" w:rsidRDefault="004E300C" w:rsidP="0031446A">
            <w:pPr>
              <w:spacing w:line="360" w:lineRule="auto"/>
              <w:rPr>
                <w:rFonts w:ascii="Arial" w:eastAsia="Calibri" w:hAnsi="Arial" w:cs="Arial"/>
                <w:b/>
                <w:bCs/>
              </w:rPr>
            </w:pPr>
          </w:p>
        </w:tc>
        <w:tc>
          <w:tcPr>
            <w:tcW w:w="1193" w:type="dxa"/>
            <w:vMerge w:val="restart"/>
            <w:tcBorders>
              <w:top w:val="single" w:sz="4" w:space="0" w:color="auto"/>
              <w:bottom w:val="nil"/>
            </w:tcBorders>
          </w:tcPr>
          <w:p w14:paraId="3A9078BC"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First order model</w:t>
            </w:r>
          </w:p>
          <w:p w14:paraId="53749332"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(R</w:t>
            </w:r>
            <w:r w:rsidRPr="00D843AF">
              <w:rPr>
                <w:rFonts w:ascii="Arial" w:eastAsia="Calibri" w:hAnsi="Arial" w:cs="Arial"/>
                <w:b/>
                <w:bCs/>
                <w:vertAlign w:val="superscript"/>
              </w:rPr>
              <w:t>2</w:t>
            </w:r>
            <w:r w:rsidRPr="00D843AF">
              <w:rPr>
                <w:rFonts w:ascii="Arial" w:eastAsia="Calibri" w:hAnsi="Arial" w:cs="Arial"/>
                <w:b/>
                <w:bCs/>
              </w:rPr>
              <w:t>)</w:t>
            </w:r>
          </w:p>
        </w:tc>
        <w:tc>
          <w:tcPr>
            <w:tcW w:w="1215" w:type="dxa"/>
            <w:vMerge w:val="restart"/>
            <w:tcBorders>
              <w:top w:val="single" w:sz="4" w:space="0" w:color="auto"/>
              <w:bottom w:val="nil"/>
            </w:tcBorders>
          </w:tcPr>
          <w:p w14:paraId="3A3FC945"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Higuchi model</w:t>
            </w:r>
          </w:p>
          <w:p w14:paraId="3C192951"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(R</w:t>
            </w:r>
            <w:r w:rsidRPr="00D843AF">
              <w:rPr>
                <w:rFonts w:ascii="Arial" w:eastAsia="Calibri" w:hAnsi="Arial" w:cs="Arial"/>
                <w:b/>
                <w:bCs/>
                <w:vertAlign w:val="superscript"/>
              </w:rPr>
              <w:t>2</w:t>
            </w:r>
            <w:r w:rsidRPr="00D843AF">
              <w:rPr>
                <w:rFonts w:ascii="Arial" w:eastAsia="Calibri" w:hAnsi="Arial" w:cs="Arial"/>
                <w:b/>
                <w:bCs/>
              </w:rPr>
              <w:t>)</w:t>
            </w:r>
          </w:p>
        </w:tc>
        <w:tc>
          <w:tcPr>
            <w:tcW w:w="1204" w:type="dxa"/>
            <w:vMerge w:val="restart"/>
            <w:tcBorders>
              <w:top w:val="single" w:sz="4" w:space="0" w:color="auto"/>
              <w:bottom w:val="nil"/>
            </w:tcBorders>
          </w:tcPr>
          <w:p w14:paraId="2C52ECAE"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 xml:space="preserve">Hixon </w:t>
            </w:r>
            <w:proofErr w:type="spellStart"/>
            <w:r w:rsidRPr="00D843AF">
              <w:rPr>
                <w:rFonts w:ascii="Arial" w:eastAsia="Calibri" w:hAnsi="Arial" w:cs="Arial"/>
                <w:b/>
                <w:bCs/>
              </w:rPr>
              <w:t>crowell</w:t>
            </w:r>
            <w:proofErr w:type="spellEnd"/>
            <w:r w:rsidRPr="00D843AF">
              <w:rPr>
                <w:rFonts w:ascii="Arial" w:eastAsia="Calibri" w:hAnsi="Arial" w:cs="Arial"/>
                <w:b/>
                <w:bCs/>
              </w:rPr>
              <w:t xml:space="preserve"> model</w:t>
            </w:r>
          </w:p>
          <w:p w14:paraId="044EAA67"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(R</w:t>
            </w:r>
            <w:r w:rsidRPr="00D843AF">
              <w:rPr>
                <w:rFonts w:ascii="Arial" w:eastAsia="Calibri" w:hAnsi="Arial" w:cs="Arial"/>
                <w:b/>
                <w:bCs/>
                <w:vertAlign w:val="superscript"/>
              </w:rPr>
              <w:t>2</w:t>
            </w:r>
            <w:r w:rsidRPr="00D843AF">
              <w:rPr>
                <w:rFonts w:ascii="Arial" w:eastAsia="Calibri" w:hAnsi="Arial" w:cs="Arial"/>
                <w:b/>
                <w:bCs/>
              </w:rPr>
              <w:t>)</w:t>
            </w:r>
          </w:p>
        </w:tc>
        <w:tc>
          <w:tcPr>
            <w:tcW w:w="1698" w:type="dxa"/>
            <w:gridSpan w:val="2"/>
            <w:tcBorders>
              <w:top w:val="single" w:sz="4" w:space="0" w:color="auto"/>
              <w:bottom w:val="nil"/>
            </w:tcBorders>
          </w:tcPr>
          <w:p w14:paraId="58EBE711" w14:textId="77777777" w:rsidR="004E300C" w:rsidRPr="00D843AF" w:rsidRDefault="004E300C" w:rsidP="0031446A">
            <w:pPr>
              <w:spacing w:line="360" w:lineRule="auto"/>
              <w:rPr>
                <w:rFonts w:ascii="Arial" w:eastAsia="Calibri" w:hAnsi="Arial" w:cs="Arial"/>
                <w:b/>
                <w:bCs/>
              </w:rPr>
            </w:pPr>
            <w:proofErr w:type="spellStart"/>
            <w:r w:rsidRPr="00D843AF">
              <w:rPr>
                <w:rFonts w:ascii="Arial" w:eastAsia="Calibri" w:hAnsi="Arial" w:cs="Arial"/>
                <w:b/>
                <w:bCs/>
              </w:rPr>
              <w:t>Korsmeyer</w:t>
            </w:r>
            <w:proofErr w:type="spellEnd"/>
            <w:r w:rsidRPr="00D843AF">
              <w:rPr>
                <w:rFonts w:ascii="Arial" w:eastAsia="Calibri" w:hAnsi="Arial" w:cs="Arial"/>
                <w:b/>
                <w:bCs/>
              </w:rPr>
              <w:t xml:space="preserve"> </w:t>
            </w:r>
            <w:proofErr w:type="spellStart"/>
            <w:r w:rsidRPr="00D843AF">
              <w:rPr>
                <w:rFonts w:ascii="Arial" w:eastAsia="Calibri" w:hAnsi="Arial" w:cs="Arial"/>
                <w:b/>
                <w:bCs/>
              </w:rPr>
              <w:t>peppas</w:t>
            </w:r>
            <w:proofErr w:type="spellEnd"/>
            <w:r w:rsidRPr="00D843AF">
              <w:rPr>
                <w:rFonts w:ascii="Arial" w:eastAsia="Calibri" w:hAnsi="Arial" w:cs="Arial"/>
                <w:b/>
                <w:bCs/>
              </w:rPr>
              <w:t xml:space="preserve"> model</w:t>
            </w:r>
          </w:p>
        </w:tc>
        <w:tc>
          <w:tcPr>
            <w:tcW w:w="992" w:type="dxa"/>
            <w:vMerge w:val="restart"/>
            <w:tcBorders>
              <w:top w:val="single" w:sz="4" w:space="0" w:color="auto"/>
              <w:bottom w:val="nil"/>
            </w:tcBorders>
          </w:tcPr>
          <w:p w14:paraId="6D0C531C"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Best fit model</w:t>
            </w:r>
          </w:p>
          <w:p w14:paraId="0CDD5482" w14:textId="77777777" w:rsidR="004E300C" w:rsidRPr="00D843AF" w:rsidRDefault="004E300C" w:rsidP="0031446A">
            <w:pPr>
              <w:spacing w:line="360" w:lineRule="auto"/>
              <w:rPr>
                <w:rFonts w:ascii="Arial" w:eastAsia="Calibri" w:hAnsi="Arial" w:cs="Arial"/>
                <w:b/>
                <w:bCs/>
              </w:rPr>
            </w:pPr>
          </w:p>
        </w:tc>
      </w:tr>
      <w:tr w:rsidR="004E300C" w:rsidRPr="00D843AF" w14:paraId="43F112C3" w14:textId="77777777" w:rsidTr="00282295">
        <w:trPr>
          <w:trHeight w:val="492"/>
        </w:trPr>
        <w:tc>
          <w:tcPr>
            <w:tcW w:w="1403" w:type="dxa"/>
            <w:vMerge/>
            <w:tcBorders>
              <w:top w:val="nil"/>
              <w:bottom w:val="single" w:sz="4" w:space="0" w:color="auto"/>
            </w:tcBorders>
          </w:tcPr>
          <w:p w14:paraId="69607618" w14:textId="77777777" w:rsidR="004E300C" w:rsidRPr="00D843AF" w:rsidRDefault="004E300C" w:rsidP="0031446A">
            <w:pPr>
              <w:spacing w:line="360" w:lineRule="auto"/>
              <w:rPr>
                <w:rFonts w:ascii="Arial" w:eastAsia="Calibri" w:hAnsi="Arial" w:cs="Arial"/>
              </w:rPr>
            </w:pPr>
          </w:p>
        </w:tc>
        <w:tc>
          <w:tcPr>
            <w:tcW w:w="1192" w:type="dxa"/>
            <w:vMerge/>
            <w:tcBorders>
              <w:top w:val="nil"/>
              <w:bottom w:val="single" w:sz="4" w:space="0" w:color="auto"/>
            </w:tcBorders>
          </w:tcPr>
          <w:p w14:paraId="349F7114" w14:textId="77777777" w:rsidR="004E300C" w:rsidRPr="00D843AF" w:rsidRDefault="004E300C" w:rsidP="0031446A">
            <w:pPr>
              <w:spacing w:line="360" w:lineRule="auto"/>
              <w:rPr>
                <w:rFonts w:ascii="Arial" w:eastAsia="Calibri" w:hAnsi="Arial" w:cs="Arial"/>
              </w:rPr>
            </w:pPr>
          </w:p>
        </w:tc>
        <w:tc>
          <w:tcPr>
            <w:tcW w:w="1193" w:type="dxa"/>
            <w:vMerge/>
            <w:tcBorders>
              <w:top w:val="nil"/>
              <w:bottom w:val="single" w:sz="4" w:space="0" w:color="auto"/>
            </w:tcBorders>
          </w:tcPr>
          <w:p w14:paraId="63C1D77E" w14:textId="77777777" w:rsidR="004E300C" w:rsidRPr="00D843AF" w:rsidRDefault="004E300C" w:rsidP="0031446A">
            <w:pPr>
              <w:spacing w:line="360" w:lineRule="auto"/>
              <w:rPr>
                <w:rFonts w:ascii="Arial" w:eastAsia="Calibri" w:hAnsi="Arial" w:cs="Arial"/>
              </w:rPr>
            </w:pPr>
          </w:p>
        </w:tc>
        <w:tc>
          <w:tcPr>
            <w:tcW w:w="1215" w:type="dxa"/>
            <w:vMerge/>
            <w:tcBorders>
              <w:top w:val="nil"/>
              <w:bottom w:val="single" w:sz="4" w:space="0" w:color="auto"/>
            </w:tcBorders>
          </w:tcPr>
          <w:p w14:paraId="1E74E4B4" w14:textId="77777777" w:rsidR="004E300C" w:rsidRPr="00D843AF" w:rsidRDefault="004E300C" w:rsidP="0031446A">
            <w:pPr>
              <w:spacing w:line="360" w:lineRule="auto"/>
              <w:rPr>
                <w:rFonts w:ascii="Arial" w:eastAsia="Calibri" w:hAnsi="Arial" w:cs="Arial"/>
              </w:rPr>
            </w:pPr>
          </w:p>
        </w:tc>
        <w:tc>
          <w:tcPr>
            <w:tcW w:w="1204" w:type="dxa"/>
            <w:vMerge/>
            <w:tcBorders>
              <w:top w:val="nil"/>
              <w:bottom w:val="single" w:sz="4" w:space="0" w:color="auto"/>
            </w:tcBorders>
          </w:tcPr>
          <w:p w14:paraId="05767E66" w14:textId="77777777" w:rsidR="004E300C" w:rsidRPr="00D843AF" w:rsidRDefault="004E300C" w:rsidP="0031446A">
            <w:pPr>
              <w:spacing w:line="360" w:lineRule="auto"/>
              <w:rPr>
                <w:rFonts w:ascii="Arial" w:eastAsia="Calibri" w:hAnsi="Arial" w:cs="Arial"/>
              </w:rPr>
            </w:pPr>
          </w:p>
        </w:tc>
        <w:tc>
          <w:tcPr>
            <w:tcW w:w="847" w:type="dxa"/>
            <w:tcBorders>
              <w:top w:val="nil"/>
              <w:bottom w:val="single" w:sz="4" w:space="0" w:color="auto"/>
            </w:tcBorders>
          </w:tcPr>
          <w:p w14:paraId="2DDBBA97"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(R</w:t>
            </w:r>
            <w:r w:rsidRPr="00D843AF">
              <w:rPr>
                <w:rFonts w:ascii="Arial" w:eastAsia="Calibri" w:hAnsi="Arial" w:cs="Arial"/>
                <w:vertAlign w:val="superscript"/>
              </w:rPr>
              <w:t>2</w:t>
            </w:r>
            <w:r w:rsidRPr="00D843AF">
              <w:rPr>
                <w:rFonts w:ascii="Arial" w:eastAsia="Calibri" w:hAnsi="Arial" w:cs="Arial"/>
              </w:rPr>
              <w:t>)</w:t>
            </w:r>
          </w:p>
        </w:tc>
        <w:tc>
          <w:tcPr>
            <w:tcW w:w="851" w:type="dxa"/>
            <w:tcBorders>
              <w:top w:val="nil"/>
              <w:bottom w:val="single" w:sz="4" w:space="0" w:color="auto"/>
            </w:tcBorders>
          </w:tcPr>
          <w:p w14:paraId="6191FAC9"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N</w:t>
            </w:r>
          </w:p>
        </w:tc>
        <w:tc>
          <w:tcPr>
            <w:tcW w:w="992" w:type="dxa"/>
            <w:vMerge/>
            <w:tcBorders>
              <w:top w:val="nil"/>
              <w:bottom w:val="single" w:sz="4" w:space="0" w:color="auto"/>
            </w:tcBorders>
          </w:tcPr>
          <w:p w14:paraId="384ED93F" w14:textId="77777777" w:rsidR="004E300C" w:rsidRPr="00D843AF" w:rsidRDefault="004E300C" w:rsidP="0031446A">
            <w:pPr>
              <w:spacing w:line="360" w:lineRule="auto"/>
              <w:rPr>
                <w:rFonts w:ascii="Arial" w:eastAsia="Calibri" w:hAnsi="Arial" w:cs="Arial"/>
              </w:rPr>
            </w:pPr>
          </w:p>
        </w:tc>
      </w:tr>
      <w:tr w:rsidR="004E300C" w:rsidRPr="00D843AF" w14:paraId="6D55B047" w14:textId="77777777" w:rsidTr="00282295">
        <w:tc>
          <w:tcPr>
            <w:tcW w:w="1403" w:type="dxa"/>
            <w:tcBorders>
              <w:top w:val="single" w:sz="4" w:space="0" w:color="auto"/>
            </w:tcBorders>
          </w:tcPr>
          <w:p w14:paraId="1269AA9E"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F1 IN pH 1.2</w:t>
            </w:r>
          </w:p>
        </w:tc>
        <w:tc>
          <w:tcPr>
            <w:tcW w:w="1192" w:type="dxa"/>
            <w:tcBorders>
              <w:top w:val="single" w:sz="4" w:space="0" w:color="auto"/>
            </w:tcBorders>
          </w:tcPr>
          <w:p w14:paraId="7AC338D3"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0.9708</w:t>
            </w:r>
          </w:p>
          <w:p w14:paraId="2E67F728" w14:textId="77777777" w:rsidR="004E300C" w:rsidRPr="00D843AF" w:rsidRDefault="004E300C" w:rsidP="0031446A">
            <w:pPr>
              <w:spacing w:line="360" w:lineRule="auto"/>
              <w:rPr>
                <w:rFonts w:ascii="Arial" w:eastAsia="Calibri" w:hAnsi="Arial" w:cs="Arial"/>
              </w:rPr>
            </w:pPr>
          </w:p>
        </w:tc>
        <w:tc>
          <w:tcPr>
            <w:tcW w:w="1193" w:type="dxa"/>
            <w:tcBorders>
              <w:top w:val="single" w:sz="4" w:space="0" w:color="auto"/>
            </w:tcBorders>
          </w:tcPr>
          <w:p w14:paraId="658180C9"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0.9907</w:t>
            </w:r>
          </w:p>
        </w:tc>
        <w:tc>
          <w:tcPr>
            <w:tcW w:w="1215" w:type="dxa"/>
            <w:tcBorders>
              <w:top w:val="single" w:sz="4" w:space="0" w:color="auto"/>
            </w:tcBorders>
          </w:tcPr>
          <w:p w14:paraId="34369542"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0.9948</w:t>
            </w:r>
          </w:p>
        </w:tc>
        <w:tc>
          <w:tcPr>
            <w:tcW w:w="1204" w:type="dxa"/>
            <w:tcBorders>
              <w:top w:val="single" w:sz="4" w:space="0" w:color="auto"/>
            </w:tcBorders>
          </w:tcPr>
          <w:p w14:paraId="2D08D095"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0.9898</w:t>
            </w:r>
          </w:p>
          <w:p w14:paraId="4636A22B" w14:textId="77777777" w:rsidR="004E300C" w:rsidRPr="00D843AF" w:rsidRDefault="004E300C" w:rsidP="0031446A">
            <w:pPr>
              <w:spacing w:line="360" w:lineRule="auto"/>
              <w:rPr>
                <w:rFonts w:ascii="Arial" w:eastAsia="Calibri" w:hAnsi="Arial" w:cs="Arial"/>
              </w:rPr>
            </w:pPr>
          </w:p>
        </w:tc>
        <w:tc>
          <w:tcPr>
            <w:tcW w:w="847" w:type="dxa"/>
            <w:tcBorders>
              <w:top w:val="single" w:sz="4" w:space="0" w:color="auto"/>
            </w:tcBorders>
          </w:tcPr>
          <w:p w14:paraId="38F834BF"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0.9837</w:t>
            </w:r>
          </w:p>
          <w:p w14:paraId="250C5729" w14:textId="77777777" w:rsidR="004E300C" w:rsidRPr="00D843AF" w:rsidRDefault="004E300C" w:rsidP="0031446A">
            <w:pPr>
              <w:spacing w:line="360" w:lineRule="auto"/>
              <w:rPr>
                <w:rFonts w:ascii="Arial" w:eastAsia="Calibri" w:hAnsi="Arial" w:cs="Arial"/>
              </w:rPr>
            </w:pPr>
          </w:p>
        </w:tc>
        <w:tc>
          <w:tcPr>
            <w:tcW w:w="851" w:type="dxa"/>
            <w:tcBorders>
              <w:top w:val="single" w:sz="4" w:space="0" w:color="auto"/>
            </w:tcBorders>
          </w:tcPr>
          <w:p w14:paraId="65787637"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0.6751</w:t>
            </w:r>
          </w:p>
          <w:p w14:paraId="595C1045" w14:textId="77777777" w:rsidR="004E300C" w:rsidRPr="00D843AF" w:rsidRDefault="004E300C" w:rsidP="0031446A">
            <w:pPr>
              <w:spacing w:line="360" w:lineRule="auto"/>
              <w:rPr>
                <w:rFonts w:ascii="Arial" w:eastAsia="Calibri" w:hAnsi="Arial" w:cs="Arial"/>
              </w:rPr>
            </w:pPr>
          </w:p>
        </w:tc>
        <w:tc>
          <w:tcPr>
            <w:tcW w:w="992" w:type="dxa"/>
            <w:tcBorders>
              <w:top w:val="single" w:sz="4" w:space="0" w:color="auto"/>
            </w:tcBorders>
          </w:tcPr>
          <w:p w14:paraId="3BE8FD4F"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Higuchi model</w:t>
            </w:r>
          </w:p>
          <w:p w14:paraId="744A9C28" w14:textId="77777777" w:rsidR="004E300C" w:rsidRPr="00D843AF" w:rsidRDefault="004E300C" w:rsidP="0031446A">
            <w:pPr>
              <w:spacing w:line="360" w:lineRule="auto"/>
              <w:rPr>
                <w:rFonts w:ascii="Arial" w:eastAsia="Calibri" w:hAnsi="Arial" w:cs="Arial"/>
              </w:rPr>
            </w:pPr>
          </w:p>
        </w:tc>
      </w:tr>
      <w:tr w:rsidR="004E300C" w:rsidRPr="00D843AF" w14:paraId="65A0801F" w14:textId="77777777" w:rsidTr="00282295">
        <w:tc>
          <w:tcPr>
            <w:tcW w:w="1403" w:type="dxa"/>
          </w:tcPr>
          <w:p w14:paraId="0B58767A"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F1 in pH</w:t>
            </w:r>
          </w:p>
          <w:p w14:paraId="5BC5E256"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 xml:space="preserve"> 6.8</w:t>
            </w:r>
          </w:p>
        </w:tc>
        <w:tc>
          <w:tcPr>
            <w:tcW w:w="1192" w:type="dxa"/>
          </w:tcPr>
          <w:p w14:paraId="5188EA0A"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0.9575</w:t>
            </w:r>
          </w:p>
          <w:p w14:paraId="0C875196" w14:textId="77777777" w:rsidR="004E300C" w:rsidRPr="00D843AF" w:rsidRDefault="004E300C" w:rsidP="0031446A">
            <w:pPr>
              <w:spacing w:line="360" w:lineRule="auto"/>
              <w:rPr>
                <w:rFonts w:ascii="Arial" w:eastAsia="Calibri" w:hAnsi="Arial" w:cs="Arial"/>
              </w:rPr>
            </w:pPr>
          </w:p>
        </w:tc>
        <w:tc>
          <w:tcPr>
            <w:tcW w:w="1193" w:type="dxa"/>
          </w:tcPr>
          <w:p w14:paraId="3E5193B3"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0.9795</w:t>
            </w:r>
          </w:p>
          <w:p w14:paraId="5A9C1A4F" w14:textId="77777777" w:rsidR="004E300C" w:rsidRPr="00D843AF" w:rsidRDefault="004E300C" w:rsidP="0031446A">
            <w:pPr>
              <w:spacing w:line="360" w:lineRule="auto"/>
              <w:rPr>
                <w:rFonts w:ascii="Arial" w:eastAsia="Calibri" w:hAnsi="Arial" w:cs="Arial"/>
              </w:rPr>
            </w:pPr>
          </w:p>
        </w:tc>
        <w:tc>
          <w:tcPr>
            <w:tcW w:w="1215" w:type="dxa"/>
          </w:tcPr>
          <w:p w14:paraId="31AA3233"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0.9766</w:t>
            </w:r>
          </w:p>
          <w:p w14:paraId="69549EC6" w14:textId="77777777" w:rsidR="004E300C" w:rsidRPr="00D843AF" w:rsidRDefault="004E300C" w:rsidP="0031446A">
            <w:pPr>
              <w:spacing w:line="360" w:lineRule="auto"/>
              <w:rPr>
                <w:rFonts w:ascii="Arial" w:eastAsia="Calibri" w:hAnsi="Arial" w:cs="Arial"/>
              </w:rPr>
            </w:pPr>
          </w:p>
        </w:tc>
        <w:tc>
          <w:tcPr>
            <w:tcW w:w="1204" w:type="dxa"/>
          </w:tcPr>
          <w:p w14:paraId="6E5C005F"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0.9863</w:t>
            </w:r>
          </w:p>
          <w:p w14:paraId="5A8732AC" w14:textId="77777777" w:rsidR="004E300C" w:rsidRPr="00D843AF" w:rsidRDefault="004E300C" w:rsidP="0031446A">
            <w:pPr>
              <w:rPr>
                <w:rFonts w:ascii="Arial" w:hAnsi="Arial" w:cs="Arial"/>
                <w:color w:val="000000"/>
                <w:lang w:eastAsia="en-IN"/>
              </w:rPr>
            </w:pPr>
          </w:p>
          <w:p w14:paraId="0FAFDB8F" w14:textId="77777777" w:rsidR="004E300C" w:rsidRPr="00D843AF" w:rsidRDefault="004E300C" w:rsidP="0031446A">
            <w:pPr>
              <w:spacing w:line="360" w:lineRule="auto"/>
              <w:rPr>
                <w:rFonts w:ascii="Arial" w:eastAsia="Calibri" w:hAnsi="Arial" w:cs="Arial"/>
              </w:rPr>
            </w:pPr>
          </w:p>
        </w:tc>
        <w:tc>
          <w:tcPr>
            <w:tcW w:w="847" w:type="dxa"/>
          </w:tcPr>
          <w:p w14:paraId="6886C614"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0.9808</w:t>
            </w:r>
          </w:p>
          <w:p w14:paraId="1569D1E6" w14:textId="77777777" w:rsidR="004E300C" w:rsidRPr="00D843AF" w:rsidRDefault="004E300C" w:rsidP="0031446A">
            <w:pPr>
              <w:rPr>
                <w:rFonts w:ascii="Arial" w:hAnsi="Arial" w:cs="Arial"/>
                <w:color w:val="000000"/>
                <w:lang w:eastAsia="en-IN"/>
              </w:rPr>
            </w:pPr>
          </w:p>
          <w:p w14:paraId="17A615DC" w14:textId="77777777" w:rsidR="004E300C" w:rsidRPr="00D843AF" w:rsidRDefault="004E300C" w:rsidP="0031446A">
            <w:pPr>
              <w:spacing w:line="360" w:lineRule="auto"/>
              <w:rPr>
                <w:rFonts w:ascii="Arial" w:eastAsia="Calibri" w:hAnsi="Arial" w:cs="Arial"/>
              </w:rPr>
            </w:pPr>
          </w:p>
        </w:tc>
        <w:tc>
          <w:tcPr>
            <w:tcW w:w="851" w:type="dxa"/>
          </w:tcPr>
          <w:p w14:paraId="59A16054" w14:textId="77777777" w:rsidR="004E300C" w:rsidRPr="00D843AF" w:rsidRDefault="004E300C" w:rsidP="0031446A">
            <w:pPr>
              <w:rPr>
                <w:rFonts w:ascii="Arial" w:hAnsi="Arial" w:cs="Arial"/>
                <w:color w:val="000000"/>
                <w:lang w:eastAsia="en-IN"/>
              </w:rPr>
            </w:pPr>
            <w:r w:rsidRPr="00D843AF">
              <w:rPr>
                <w:rFonts w:ascii="Arial" w:hAnsi="Arial" w:cs="Arial"/>
                <w:color w:val="000000"/>
              </w:rPr>
              <w:t>0.7458</w:t>
            </w:r>
          </w:p>
          <w:p w14:paraId="1EF95454" w14:textId="77777777" w:rsidR="004E300C" w:rsidRPr="00D843AF" w:rsidRDefault="004E300C" w:rsidP="0031446A">
            <w:pPr>
              <w:rPr>
                <w:rFonts w:ascii="Arial" w:hAnsi="Arial" w:cs="Arial"/>
                <w:color w:val="000000"/>
                <w:lang w:eastAsia="en-IN"/>
              </w:rPr>
            </w:pPr>
          </w:p>
          <w:p w14:paraId="5E24DDE0" w14:textId="77777777" w:rsidR="004E300C" w:rsidRPr="00D843AF" w:rsidRDefault="004E300C" w:rsidP="0031446A">
            <w:pPr>
              <w:spacing w:line="360" w:lineRule="auto"/>
              <w:rPr>
                <w:rFonts w:ascii="Arial" w:eastAsia="Calibri" w:hAnsi="Arial" w:cs="Arial"/>
              </w:rPr>
            </w:pPr>
          </w:p>
        </w:tc>
        <w:tc>
          <w:tcPr>
            <w:tcW w:w="992" w:type="dxa"/>
          </w:tcPr>
          <w:p w14:paraId="4760BF87" w14:textId="77777777" w:rsidR="004E300C" w:rsidRPr="00D843AF" w:rsidRDefault="004E300C" w:rsidP="0031446A">
            <w:pPr>
              <w:spacing w:line="360" w:lineRule="auto"/>
              <w:rPr>
                <w:rFonts w:ascii="Arial" w:eastAsia="Calibri" w:hAnsi="Arial" w:cs="Arial"/>
                <w:b/>
                <w:bCs/>
              </w:rPr>
            </w:pPr>
            <w:proofErr w:type="spellStart"/>
            <w:r w:rsidRPr="00D843AF">
              <w:rPr>
                <w:rFonts w:ascii="Arial" w:eastAsia="Calibri" w:hAnsi="Arial" w:cs="Arial"/>
              </w:rPr>
              <w:t>Korsmeyer</w:t>
            </w:r>
            <w:proofErr w:type="spellEnd"/>
            <w:r w:rsidRPr="00D843AF">
              <w:rPr>
                <w:rFonts w:ascii="Arial" w:eastAsia="Calibri" w:hAnsi="Arial" w:cs="Arial"/>
              </w:rPr>
              <w:t xml:space="preserve"> </w:t>
            </w:r>
            <w:proofErr w:type="spellStart"/>
            <w:r w:rsidRPr="00D843AF">
              <w:rPr>
                <w:rFonts w:ascii="Arial" w:eastAsia="Calibri" w:hAnsi="Arial" w:cs="Arial"/>
              </w:rPr>
              <w:t>peppas</w:t>
            </w:r>
            <w:proofErr w:type="spellEnd"/>
            <w:r w:rsidRPr="00D843AF">
              <w:rPr>
                <w:rFonts w:ascii="Arial" w:eastAsia="Calibri" w:hAnsi="Arial" w:cs="Arial"/>
              </w:rPr>
              <w:t xml:space="preserve"> model</w:t>
            </w:r>
            <w:r w:rsidRPr="00D843AF">
              <w:rPr>
                <w:rFonts w:ascii="Arial" w:eastAsia="Calibri" w:hAnsi="Arial" w:cs="Arial"/>
                <w:b/>
                <w:bCs/>
              </w:rPr>
              <w:t xml:space="preserve"> </w:t>
            </w:r>
          </w:p>
        </w:tc>
      </w:tr>
      <w:tr w:rsidR="004E300C" w:rsidRPr="00D843AF" w14:paraId="5EB8EF1A" w14:textId="77777777" w:rsidTr="00282295">
        <w:tc>
          <w:tcPr>
            <w:tcW w:w="1403" w:type="dxa"/>
          </w:tcPr>
          <w:p w14:paraId="59601C8C"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F2 IN pH 1.2</w:t>
            </w:r>
          </w:p>
        </w:tc>
        <w:tc>
          <w:tcPr>
            <w:tcW w:w="1192" w:type="dxa"/>
          </w:tcPr>
          <w:p w14:paraId="5734074A"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0.9532</w:t>
            </w:r>
          </w:p>
        </w:tc>
        <w:tc>
          <w:tcPr>
            <w:tcW w:w="1193" w:type="dxa"/>
          </w:tcPr>
          <w:p w14:paraId="02089953"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0.9686</w:t>
            </w:r>
          </w:p>
        </w:tc>
        <w:tc>
          <w:tcPr>
            <w:tcW w:w="1215" w:type="dxa"/>
          </w:tcPr>
          <w:p w14:paraId="1EEEA6CC"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0.9850</w:t>
            </w:r>
          </w:p>
        </w:tc>
        <w:tc>
          <w:tcPr>
            <w:tcW w:w="1204" w:type="dxa"/>
          </w:tcPr>
          <w:p w14:paraId="4481A8F1"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0.9788</w:t>
            </w:r>
          </w:p>
          <w:p w14:paraId="3D3B054F" w14:textId="77777777" w:rsidR="004E300C" w:rsidRPr="00D843AF" w:rsidRDefault="004E300C" w:rsidP="0031446A">
            <w:pPr>
              <w:spacing w:line="360" w:lineRule="auto"/>
              <w:rPr>
                <w:rFonts w:ascii="Arial" w:eastAsia="Calibri" w:hAnsi="Arial" w:cs="Arial"/>
              </w:rPr>
            </w:pPr>
          </w:p>
        </w:tc>
        <w:tc>
          <w:tcPr>
            <w:tcW w:w="847" w:type="dxa"/>
          </w:tcPr>
          <w:p w14:paraId="1C4786C9"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0.9948</w:t>
            </w:r>
          </w:p>
          <w:p w14:paraId="7F0A93C0" w14:textId="77777777" w:rsidR="004E300C" w:rsidRPr="00D843AF" w:rsidRDefault="004E300C" w:rsidP="0031446A">
            <w:pPr>
              <w:spacing w:line="360" w:lineRule="auto"/>
              <w:rPr>
                <w:rFonts w:ascii="Arial" w:eastAsia="Calibri" w:hAnsi="Arial" w:cs="Arial"/>
              </w:rPr>
            </w:pPr>
          </w:p>
        </w:tc>
        <w:tc>
          <w:tcPr>
            <w:tcW w:w="851" w:type="dxa"/>
          </w:tcPr>
          <w:p w14:paraId="53D31892"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0.6407</w:t>
            </w:r>
          </w:p>
          <w:p w14:paraId="64628190" w14:textId="77777777" w:rsidR="004E300C" w:rsidRPr="00D843AF" w:rsidRDefault="004E300C" w:rsidP="0031446A">
            <w:pPr>
              <w:spacing w:line="360" w:lineRule="auto"/>
              <w:rPr>
                <w:rFonts w:ascii="Arial" w:eastAsia="Calibri" w:hAnsi="Arial" w:cs="Arial"/>
              </w:rPr>
            </w:pPr>
          </w:p>
        </w:tc>
        <w:tc>
          <w:tcPr>
            <w:tcW w:w="992" w:type="dxa"/>
          </w:tcPr>
          <w:p w14:paraId="32115A10" w14:textId="77777777" w:rsidR="004E300C" w:rsidRPr="00D843AF" w:rsidRDefault="004E300C" w:rsidP="0031446A">
            <w:pPr>
              <w:spacing w:line="360" w:lineRule="auto"/>
              <w:rPr>
                <w:rFonts w:ascii="Arial" w:eastAsia="Calibri" w:hAnsi="Arial" w:cs="Arial"/>
              </w:rPr>
            </w:pPr>
            <w:proofErr w:type="spellStart"/>
            <w:r w:rsidRPr="00D843AF">
              <w:rPr>
                <w:rFonts w:ascii="Arial" w:eastAsia="Calibri" w:hAnsi="Arial" w:cs="Arial"/>
              </w:rPr>
              <w:t>Korsmeyer</w:t>
            </w:r>
            <w:proofErr w:type="spellEnd"/>
            <w:r w:rsidRPr="00D843AF">
              <w:rPr>
                <w:rFonts w:ascii="Arial" w:eastAsia="Calibri" w:hAnsi="Arial" w:cs="Arial"/>
              </w:rPr>
              <w:t xml:space="preserve"> </w:t>
            </w:r>
            <w:proofErr w:type="spellStart"/>
            <w:r w:rsidRPr="00D843AF">
              <w:rPr>
                <w:rFonts w:ascii="Arial" w:eastAsia="Calibri" w:hAnsi="Arial" w:cs="Arial"/>
              </w:rPr>
              <w:t>peppas</w:t>
            </w:r>
            <w:proofErr w:type="spellEnd"/>
            <w:r w:rsidRPr="00D843AF">
              <w:rPr>
                <w:rFonts w:ascii="Arial" w:eastAsia="Calibri" w:hAnsi="Arial" w:cs="Arial"/>
              </w:rPr>
              <w:t xml:space="preserve"> model</w:t>
            </w:r>
          </w:p>
        </w:tc>
      </w:tr>
      <w:tr w:rsidR="004E300C" w:rsidRPr="00D843AF" w14:paraId="171B757A" w14:textId="77777777" w:rsidTr="00DC37FA">
        <w:tc>
          <w:tcPr>
            <w:tcW w:w="1403" w:type="dxa"/>
            <w:tcBorders>
              <w:bottom w:val="nil"/>
            </w:tcBorders>
          </w:tcPr>
          <w:p w14:paraId="77B9A9BC"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F2 IN pH 6.8</w:t>
            </w:r>
          </w:p>
        </w:tc>
        <w:tc>
          <w:tcPr>
            <w:tcW w:w="1192" w:type="dxa"/>
            <w:tcBorders>
              <w:bottom w:val="nil"/>
            </w:tcBorders>
          </w:tcPr>
          <w:p w14:paraId="28B183B7"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0.9810</w:t>
            </w:r>
          </w:p>
          <w:p w14:paraId="3D16C50B" w14:textId="77777777" w:rsidR="004E300C" w:rsidRPr="00D843AF" w:rsidRDefault="004E300C" w:rsidP="0031446A">
            <w:pPr>
              <w:spacing w:line="360" w:lineRule="auto"/>
              <w:rPr>
                <w:rFonts w:ascii="Arial" w:eastAsia="Calibri" w:hAnsi="Arial" w:cs="Arial"/>
              </w:rPr>
            </w:pPr>
          </w:p>
        </w:tc>
        <w:tc>
          <w:tcPr>
            <w:tcW w:w="1193" w:type="dxa"/>
            <w:tcBorders>
              <w:bottom w:val="nil"/>
            </w:tcBorders>
          </w:tcPr>
          <w:p w14:paraId="2D920E5D"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0.9618</w:t>
            </w:r>
          </w:p>
          <w:p w14:paraId="573DD7AE" w14:textId="77777777" w:rsidR="004E300C" w:rsidRPr="00D843AF" w:rsidRDefault="004E300C" w:rsidP="0031446A">
            <w:pPr>
              <w:spacing w:line="360" w:lineRule="auto"/>
              <w:rPr>
                <w:rFonts w:ascii="Arial" w:eastAsia="Calibri" w:hAnsi="Arial" w:cs="Arial"/>
              </w:rPr>
            </w:pPr>
          </w:p>
        </w:tc>
        <w:tc>
          <w:tcPr>
            <w:tcW w:w="1215" w:type="dxa"/>
            <w:tcBorders>
              <w:bottom w:val="nil"/>
            </w:tcBorders>
          </w:tcPr>
          <w:p w14:paraId="7A881C81"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0.9976</w:t>
            </w:r>
          </w:p>
          <w:p w14:paraId="52BA6916" w14:textId="77777777" w:rsidR="004E300C" w:rsidRPr="00D843AF" w:rsidRDefault="004E300C" w:rsidP="0031446A">
            <w:pPr>
              <w:spacing w:line="360" w:lineRule="auto"/>
              <w:rPr>
                <w:rFonts w:ascii="Arial" w:eastAsia="Calibri" w:hAnsi="Arial" w:cs="Arial"/>
              </w:rPr>
            </w:pPr>
          </w:p>
        </w:tc>
        <w:tc>
          <w:tcPr>
            <w:tcW w:w="1204" w:type="dxa"/>
            <w:tcBorders>
              <w:bottom w:val="nil"/>
            </w:tcBorders>
          </w:tcPr>
          <w:p w14:paraId="545E644E"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0.9953</w:t>
            </w:r>
          </w:p>
          <w:p w14:paraId="443AF314" w14:textId="77777777" w:rsidR="004E300C" w:rsidRPr="00D843AF" w:rsidRDefault="004E300C" w:rsidP="0031446A">
            <w:pPr>
              <w:spacing w:line="360" w:lineRule="auto"/>
              <w:rPr>
                <w:rFonts w:ascii="Arial" w:eastAsia="Calibri" w:hAnsi="Arial" w:cs="Arial"/>
              </w:rPr>
            </w:pPr>
          </w:p>
        </w:tc>
        <w:tc>
          <w:tcPr>
            <w:tcW w:w="847" w:type="dxa"/>
            <w:tcBorders>
              <w:bottom w:val="nil"/>
            </w:tcBorders>
          </w:tcPr>
          <w:p w14:paraId="248C31F1"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0.9976</w:t>
            </w:r>
          </w:p>
          <w:p w14:paraId="31649EB4" w14:textId="77777777" w:rsidR="004E300C" w:rsidRPr="00D843AF" w:rsidRDefault="004E300C" w:rsidP="0031446A">
            <w:pPr>
              <w:spacing w:line="360" w:lineRule="auto"/>
              <w:rPr>
                <w:rFonts w:ascii="Arial" w:eastAsia="Calibri" w:hAnsi="Arial" w:cs="Arial"/>
              </w:rPr>
            </w:pPr>
          </w:p>
        </w:tc>
        <w:tc>
          <w:tcPr>
            <w:tcW w:w="851" w:type="dxa"/>
            <w:tcBorders>
              <w:bottom w:val="nil"/>
            </w:tcBorders>
          </w:tcPr>
          <w:p w14:paraId="7C29230C"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0.6877</w:t>
            </w:r>
          </w:p>
          <w:p w14:paraId="51328463" w14:textId="77777777" w:rsidR="004E300C" w:rsidRPr="00D843AF" w:rsidRDefault="004E300C" w:rsidP="0031446A">
            <w:pPr>
              <w:spacing w:line="360" w:lineRule="auto"/>
              <w:rPr>
                <w:rFonts w:ascii="Arial" w:eastAsia="Calibri" w:hAnsi="Arial" w:cs="Arial"/>
              </w:rPr>
            </w:pPr>
          </w:p>
        </w:tc>
        <w:tc>
          <w:tcPr>
            <w:tcW w:w="992" w:type="dxa"/>
            <w:tcBorders>
              <w:bottom w:val="nil"/>
            </w:tcBorders>
          </w:tcPr>
          <w:p w14:paraId="1A0D9BB7" w14:textId="77777777" w:rsidR="004E300C" w:rsidRPr="00D843AF" w:rsidRDefault="004E300C" w:rsidP="0031446A">
            <w:pPr>
              <w:spacing w:line="360" w:lineRule="auto"/>
              <w:rPr>
                <w:rFonts w:ascii="Arial" w:eastAsia="Calibri" w:hAnsi="Arial" w:cs="Arial"/>
              </w:rPr>
            </w:pPr>
            <w:proofErr w:type="spellStart"/>
            <w:r w:rsidRPr="00D843AF">
              <w:rPr>
                <w:rFonts w:ascii="Arial" w:eastAsia="Calibri" w:hAnsi="Arial" w:cs="Arial"/>
              </w:rPr>
              <w:t>Korsmeyer</w:t>
            </w:r>
            <w:proofErr w:type="spellEnd"/>
            <w:r w:rsidRPr="00D843AF">
              <w:rPr>
                <w:rFonts w:ascii="Arial" w:eastAsia="Calibri" w:hAnsi="Arial" w:cs="Arial"/>
              </w:rPr>
              <w:t xml:space="preserve"> </w:t>
            </w:r>
            <w:proofErr w:type="spellStart"/>
            <w:r w:rsidRPr="00D843AF">
              <w:rPr>
                <w:rFonts w:ascii="Arial" w:eastAsia="Calibri" w:hAnsi="Arial" w:cs="Arial"/>
              </w:rPr>
              <w:t>peppas</w:t>
            </w:r>
            <w:proofErr w:type="spellEnd"/>
            <w:r w:rsidRPr="00D843AF">
              <w:rPr>
                <w:rFonts w:ascii="Arial" w:eastAsia="Calibri" w:hAnsi="Arial" w:cs="Arial"/>
              </w:rPr>
              <w:t xml:space="preserve"> model</w:t>
            </w:r>
          </w:p>
        </w:tc>
      </w:tr>
      <w:tr w:rsidR="004E300C" w:rsidRPr="00D843AF" w14:paraId="4DAEEEAF" w14:textId="77777777" w:rsidTr="00DC37FA">
        <w:tc>
          <w:tcPr>
            <w:tcW w:w="1403" w:type="dxa"/>
            <w:tcBorders>
              <w:top w:val="nil"/>
              <w:bottom w:val="nil"/>
            </w:tcBorders>
          </w:tcPr>
          <w:p w14:paraId="1376936D"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F3 IN pH 1.2</w:t>
            </w:r>
          </w:p>
        </w:tc>
        <w:tc>
          <w:tcPr>
            <w:tcW w:w="1192" w:type="dxa"/>
            <w:tcBorders>
              <w:top w:val="nil"/>
              <w:bottom w:val="nil"/>
            </w:tcBorders>
          </w:tcPr>
          <w:p w14:paraId="470288BA"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0.9532</w:t>
            </w:r>
          </w:p>
        </w:tc>
        <w:tc>
          <w:tcPr>
            <w:tcW w:w="1193" w:type="dxa"/>
            <w:tcBorders>
              <w:top w:val="nil"/>
              <w:bottom w:val="nil"/>
            </w:tcBorders>
          </w:tcPr>
          <w:p w14:paraId="47441007"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0.9686</w:t>
            </w:r>
          </w:p>
        </w:tc>
        <w:tc>
          <w:tcPr>
            <w:tcW w:w="1215" w:type="dxa"/>
            <w:tcBorders>
              <w:top w:val="nil"/>
              <w:bottom w:val="nil"/>
            </w:tcBorders>
          </w:tcPr>
          <w:p w14:paraId="1927A8D3"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0.9850</w:t>
            </w:r>
          </w:p>
        </w:tc>
        <w:tc>
          <w:tcPr>
            <w:tcW w:w="1204" w:type="dxa"/>
            <w:tcBorders>
              <w:top w:val="nil"/>
              <w:bottom w:val="nil"/>
            </w:tcBorders>
          </w:tcPr>
          <w:p w14:paraId="218456AF"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0.9640</w:t>
            </w:r>
          </w:p>
          <w:p w14:paraId="6CFE3B9B" w14:textId="77777777" w:rsidR="004E300C" w:rsidRPr="00D843AF" w:rsidRDefault="004E300C" w:rsidP="0031446A">
            <w:pPr>
              <w:spacing w:line="360" w:lineRule="auto"/>
              <w:rPr>
                <w:rFonts w:ascii="Arial" w:eastAsia="Calibri" w:hAnsi="Arial" w:cs="Arial"/>
              </w:rPr>
            </w:pPr>
          </w:p>
        </w:tc>
        <w:tc>
          <w:tcPr>
            <w:tcW w:w="847" w:type="dxa"/>
            <w:tcBorders>
              <w:top w:val="nil"/>
              <w:bottom w:val="nil"/>
            </w:tcBorders>
          </w:tcPr>
          <w:p w14:paraId="7041A6D0"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0.9733</w:t>
            </w:r>
          </w:p>
          <w:p w14:paraId="21A95CFF" w14:textId="77777777" w:rsidR="004E300C" w:rsidRPr="00D843AF" w:rsidRDefault="004E300C" w:rsidP="0031446A">
            <w:pPr>
              <w:spacing w:line="360" w:lineRule="auto"/>
              <w:rPr>
                <w:rFonts w:ascii="Arial" w:eastAsia="Calibri" w:hAnsi="Arial" w:cs="Arial"/>
              </w:rPr>
            </w:pPr>
          </w:p>
        </w:tc>
        <w:tc>
          <w:tcPr>
            <w:tcW w:w="851" w:type="dxa"/>
            <w:tcBorders>
              <w:top w:val="nil"/>
              <w:bottom w:val="nil"/>
            </w:tcBorders>
          </w:tcPr>
          <w:p w14:paraId="7961579C"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0.6474</w:t>
            </w:r>
          </w:p>
          <w:p w14:paraId="266AE59F" w14:textId="77777777" w:rsidR="004E300C" w:rsidRPr="00D843AF" w:rsidRDefault="004E300C" w:rsidP="0031446A">
            <w:pPr>
              <w:spacing w:line="360" w:lineRule="auto"/>
              <w:rPr>
                <w:rFonts w:ascii="Arial" w:eastAsia="Calibri" w:hAnsi="Arial" w:cs="Arial"/>
              </w:rPr>
            </w:pPr>
          </w:p>
        </w:tc>
        <w:tc>
          <w:tcPr>
            <w:tcW w:w="992" w:type="dxa"/>
            <w:tcBorders>
              <w:top w:val="nil"/>
              <w:bottom w:val="nil"/>
            </w:tcBorders>
          </w:tcPr>
          <w:p w14:paraId="6DF7D89B"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 xml:space="preserve">Higuchi </w:t>
            </w:r>
            <w:r w:rsidRPr="00D843AF">
              <w:rPr>
                <w:rFonts w:ascii="Arial" w:eastAsia="Calibri" w:hAnsi="Arial" w:cs="Arial"/>
              </w:rPr>
              <w:lastRenderedPageBreak/>
              <w:t>model</w:t>
            </w:r>
          </w:p>
          <w:p w14:paraId="583D95F6" w14:textId="77777777" w:rsidR="004E300C" w:rsidRPr="00D843AF" w:rsidRDefault="004E300C" w:rsidP="0031446A">
            <w:pPr>
              <w:spacing w:line="360" w:lineRule="auto"/>
              <w:rPr>
                <w:rFonts w:ascii="Arial" w:eastAsia="Calibri" w:hAnsi="Arial" w:cs="Arial"/>
              </w:rPr>
            </w:pPr>
          </w:p>
        </w:tc>
      </w:tr>
      <w:tr w:rsidR="004E300C" w:rsidRPr="00D843AF" w14:paraId="311C5F84" w14:textId="77777777" w:rsidTr="00DC37FA">
        <w:tc>
          <w:tcPr>
            <w:tcW w:w="1403" w:type="dxa"/>
            <w:tcBorders>
              <w:top w:val="nil"/>
            </w:tcBorders>
          </w:tcPr>
          <w:p w14:paraId="4B079421"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lastRenderedPageBreak/>
              <w:t>F3 IN pH 6.8</w:t>
            </w:r>
          </w:p>
        </w:tc>
        <w:tc>
          <w:tcPr>
            <w:tcW w:w="1192" w:type="dxa"/>
            <w:tcBorders>
              <w:top w:val="nil"/>
            </w:tcBorders>
          </w:tcPr>
          <w:p w14:paraId="7CCA86AF"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0.9803</w:t>
            </w:r>
          </w:p>
          <w:p w14:paraId="009DD978" w14:textId="77777777" w:rsidR="004E300C" w:rsidRPr="00D843AF" w:rsidRDefault="004E300C" w:rsidP="0031446A">
            <w:pPr>
              <w:spacing w:line="360" w:lineRule="auto"/>
              <w:rPr>
                <w:rFonts w:ascii="Arial" w:eastAsia="Calibri" w:hAnsi="Arial" w:cs="Arial"/>
              </w:rPr>
            </w:pPr>
          </w:p>
        </w:tc>
        <w:tc>
          <w:tcPr>
            <w:tcW w:w="1193" w:type="dxa"/>
            <w:tcBorders>
              <w:top w:val="nil"/>
            </w:tcBorders>
          </w:tcPr>
          <w:p w14:paraId="42AC87AB"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0.9708</w:t>
            </w:r>
          </w:p>
          <w:p w14:paraId="6FDD7200" w14:textId="77777777" w:rsidR="004E300C" w:rsidRPr="00D843AF" w:rsidRDefault="004E300C" w:rsidP="0031446A">
            <w:pPr>
              <w:spacing w:line="360" w:lineRule="auto"/>
              <w:rPr>
                <w:rFonts w:ascii="Arial" w:eastAsia="Calibri" w:hAnsi="Arial" w:cs="Arial"/>
              </w:rPr>
            </w:pPr>
          </w:p>
        </w:tc>
        <w:tc>
          <w:tcPr>
            <w:tcW w:w="1215" w:type="dxa"/>
            <w:tcBorders>
              <w:top w:val="nil"/>
            </w:tcBorders>
          </w:tcPr>
          <w:p w14:paraId="1D6B6F3A"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0.9940</w:t>
            </w:r>
          </w:p>
          <w:p w14:paraId="3D96B60C" w14:textId="77777777" w:rsidR="004E300C" w:rsidRPr="00D843AF" w:rsidRDefault="004E300C" w:rsidP="0031446A">
            <w:pPr>
              <w:spacing w:line="360" w:lineRule="auto"/>
              <w:rPr>
                <w:rFonts w:ascii="Arial" w:eastAsia="Calibri" w:hAnsi="Arial" w:cs="Arial"/>
              </w:rPr>
            </w:pPr>
          </w:p>
        </w:tc>
        <w:tc>
          <w:tcPr>
            <w:tcW w:w="1204" w:type="dxa"/>
            <w:tcBorders>
              <w:top w:val="nil"/>
            </w:tcBorders>
          </w:tcPr>
          <w:p w14:paraId="59D2CA1E"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0.9948</w:t>
            </w:r>
          </w:p>
          <w:p w14:paraId="06A0BFFC" w14:textId="77777777" w:rsidR="004E300C" w:rsidRPr="00D843AF" w:rsidRDefault="004E300C" w:rsidP="0031446A">
            <w:pPr>
              <w:spacing w:line="360" w:lineRule="auto"/>
              <w:rPr>
                <w:rFonts w:ascii="Arial" w:eastAsia="Calibri" w:hAnsi="Arial" w:cs="Arial"/>
              </w:rPr>
            </w:pPr>
          </w:p>
        </w:tc>
        <w:tc>
          <w:tcPr>
            <w:tcW w:w="847" w:type="dxa"/>
            <w:tcBorders>
              <w:top w:val="nil"/>
            </w:tcBorders>
          </w:tcPr>
          <w:p w14:paraId="5FF1ED47"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0.9943</w:t>
            </w:r>
          </w:p>
          <w:p w14:paraId="5F28A89D" w14:textId="77777777" w:rsidR="004E300C" w:rsidRPr="00D843AF" w:rsidRDefault="004E300C" w:rsidP="0031446A">
            <w:pPr>
              <w:spacing w:line="360" w:lineRule="auto"/>
              <w:rPr>
                <w:rFonts w:ascii="Arial" w:eastAsia="Calibri" w:hAnsi="Arial" w:cs="Arial"/>
              </w:rPr>
            </w:pPr>
          </w:p>
        </w:tc>
        <w:tc>
          <w:tcPr>
            <w:tcW w:w="851" w:type="dxa"/>
            <w:tcBorders>
              <w:top w:val="nil"/>
            </w:tcBorders>
          </w:tcPr>
          <w:p w14:paraId="35D9777C"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0.6134</w:t>
            </w:r>
          </w:p>
          <w:p w14:paraId="72C9B1D3" w14:textId="77777777" w:rsidR="004E300C" w:rsidRPr="00D843AF" w:rsidRDefault="004E300C" w:rsidP="0031446A">
            <w:pPr>
              <w:spacing w:line="360" w:lineRule="auto"/>
              <w:rPr>
                <w:rFonts w:ascii="Arial" w:eastAsia="Calibri" w:hAnsi="Arial" w:cs="Arial"/>
              </w:rPr>
            </w:pPr>
          </w:p>
        </w:tc>
        <w:tc>
          <w:tcPr>
            <w:tcW w:w="992" w:type="dxa"/>
            <w:tcBorders>
              <w:top w:val="nil"/>
            </w:tcBorders>
          </w:tcPr>
          <w:p w14:paraId="3EB7ED6E"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 xml:space="preserve">Hixon </w:t>
            </w:r>
            <w:proofErr w:type="spellStart"/>
            <w:r w:rsidRPr="00D843AF">
              <w:rPr>
                <w:rFonts w:ascii="Arial" w:eastAsia="Calibri" w:hAnsi="Arial" w:cs="Arial"/>
              </w:rPr>
              <w:t>crowell</w:t>
            </w:r>
            <w:proofErr w:type="spellEnd"/>
            <w:r w:rsidRPr="00D843AF">
              <w:rPr>
                <w:rFonts w:ascii="Arial" w:eastAsia="Calibri" w:hAnsi="Arial" w:cs="Arial"/>
              </w:rPr>
              <w:t xml:space="preserve"> model</w:t>
            </w:r>
          </w:p>
        </w:tc>
      </w:tr>
      <w:tr w:rsidR="004E300C" w:rsidRPr="00D843AF" w14:paraId="459E000B" w14:textId="77777777" w:rsidTr="00282295">
        <w:tc>
          <w:tcPr>
            <w:tcW w:w="1403" w:type="dxa"/>
          </w:tcPr>
          <w:p w14:paraId="28891A87"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F4 IN pH 1.2</w:t>
            </w:r>
          </w:p>
        </w:tc>
        <w:tc>
          <w:tcPr>
            <w:tcW w:w="1192" w:type="dxa"/>
          </w:tcPr>
          <w:p w14:paraId="2ECB8323"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0.9593</w:t>
            </w:r>
          </w:p>
        </w:tc>
        <w:tc>
          <w:tcPr>
            <w:tcW w:w="1193" w:type="dxa"/>
          </w:tcPr>
          <w:p w14:paraId="5072A43D"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0.9721</w:t>
            </w:r>
          </w:p>
        </w:tc>
        <w:tc>
          <w:tcPr>
            <w:tcW w:w="1215" w:type="dxa"/>
          </w:tcPr>
          <w:p w14:paraId="59139FC9"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0.9809</w:t>
            </w:r>
          </w:p>
        </w:tc>
        <w:tc>
          <w:tcPr>
            <w:tcW w:w="1204" w:type="dxa"/>
          </w:tcPr>
          <w:p w14:paraId="60E5C3E0"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0.9684</w:t>
            </w:r>
          </w:p>
          <w:p w14:paraId="69984AC1" w14:textId="77777777" w:rsidR="004E300C" w:rsidRPr="00D843AF" w:rsidRDefault="004E300C" w:rsidP="0031446A">
            <w:pPr>
              <w:spacing w:line="360" w:lineRule="auto"/>
              <w:rPr>
                <w:rFonts w:ascii="Arial" w:eastAsia="Calibri" w:hAnsi="Arial" w:cs="Arial"/>
              </w:rPr>
            </w:pPr>
          </w:p>
        </w:tc>
        <w:tc>
          <w:tcPr>
            <w:tcW w:w="847" w:type="dxa"/>
          </w:tcPr>
          <w:p w14:paraId="1278BAEA"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0.9710</w:t>
            </w:r>
          </w:p>
          <w:p w14:paraId="3CA74C98" w14:textId="77777777" w:rsidR="004E300C" w:rsidRPr="00D843AF" w:rsidRDefault="004E300C" w:rsidP="0031446A">
            <w:pPr>
              <w:spacing w:line="360" w:lineRule="auto"/>
              <w:rPr>
                <w:rFonts w:ascii="Arial" w:eastAsia="Calibri" w:hAnsi="Arial" w:cs="Arial"/>
              </w:rPr>
            </w:pPr>
          </w:p>
        </w:tc>
        <w:tc>
          <w:tcPr>
            <w:tcW w:w="851" w:type="dxa"/>
          </w:tcPr>
          <w:p w14:paraId="793235C9"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0.6491</w:t>
            </w:r>
          </w:p>
          <w:p w14:paraId="164666AB" w14:textId="77777777" w:rsidR="004E300C" w:rsidRPr="00D843AF" w:rsidRDefault="004E300C" w:rsidP="0031446A">
            <w:pPr>
              <w:spacing w:line="360" w:lineRule="auto"/>
              <w:rPr>
                <w:rFonts w:ascii="Arial" w:eastAsia="Calibri" w:hAnsi="Arial" w:cs="Arial"/>
              </w:rPr>
            </w:pPr>
          </w:p>
        </w:tc>
        <w:tc>
          <w:tcPr>
            <w:tcW w:w="992" w:type="dxa"/>
          </w:tcPr>
          <w:p w14:paraId="25DD7155"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Higuchi model</w:t>
            </w:r>
          </w:p>
          <w:p w14:paraId="3B51A119" w14:textId="77777777" w:rsidR="004E300C" w:rsidRPr="00D843AF" w:rsidRDefault="004E300C" w:rsidP="0031446A">
            <w:pPr>
              <w:spacing w:line="360" w:lineRule="auto"/>
              <w:rPr>
                <w:rFonts w:ascii="Arial" w:eastAsia="Calibri" w:hAnsi="Arial" w:cs="Arial"/>
              </w:rPr>
            </w:pPr>
          </w:p>
        </w:tc>
      </w:tr>
      <w:tr w:rsidR="004E300C" w:rsidRPr="00D843AF" w14:paraId="306EAFEE" w14:textId="77777777" w:rsidTr="00282295">
        <w:tc>
          <w:tcPr>
            <w:tcW w:w="1403" w:type="dxa"/>
          </w:tcPr>
          <w:p w14:paraId="5974762B"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F4 IN pH 6.8</w:t>
            </w:r>
          </w:p>
        </w:tc>
        <w:tc>
          <w:tcPr>
            <w:tcW w:w="1192" w:type="dxa"/>
          </w:tcPr>
          <w:p w14:paraId="63E63718"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0.9719</w:t>
            </w:r>
          </w:p>
          <w:p w14:paraId="11DC8E01" w14:textId="77777777" w:rsidR="004E300C" w:rsidRPr="00D843AF" w:rsidRDefault="004E300C" w:rsidP="0031446A">
            <w:pPr>
              <w:spacing w:line="360" w:lineRule="auto"/>
              <w:rPr>
                <w:rFonts w:ascii="Arial" w:eastAsia="Calibri" w:hAnsi="Arial" w:cs="Arial"/>
              </w:rPr>
            </w:pPr>
          </w:p>
        </w:tc>
        <w:tc>
          <w:tcPr>
            <w:tcW w:w="1193" w:type="dxa"/>
          </w:tcPr>
          <w:p w14:paraId="5540809F"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0.9080</w:t>
            </w:r>
          </w:p>
          <w:p w14:paraId="26933FCF" w14:textId="77777777" w:rsidR="004E300C" w:rsidRPr="00D843AF" w:rsidRDefault="004E300C" w:rsidP="0031446A">
            <w:pPr>
              <w:spacing w:line="360" w:lineRule="auto"/>
              <w:rPr>
                <w:rFonts w:ascii="Arial" w:eastAsia="Calibri" w:hAnsi="Arial" w:cs="Arial"/>
              </w:rPr>
            </w:pPr>
          </w:p>
        </w:tc>
        <w:tc>
          <w:tcPr>
            <w:tcW w:w="1215" w:type="dxa"/>
          </w:tcPr>
          <w:p w14:paraId="7A03BF30"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0.9930</w:t>
            </w:r>
          </w:p>
          <w:p w14:paraId="7CCA9037" w14:textId="77777777" w:rsidR="004E300C" w:rsidRPr="00D843AF" w:rsidRDefault="004E300C" w:rsidP="0031446A">
            <w:pPr>
              <w:spacing w:line="360" w:lineRule="auto"/>
              <w:rPr>
                <w:rFonts w:ascii="Arial" w:eastAsia="Calibri" w:hAnsi="Arial" w:cs="Arial"/>
              </w:rPr>
            </w:pPr>
          </w:p>
        </w:tc>
        <w:tc>
          <w:tcPr>
            <w:tcW w:w="1204" w:type="dxa"/>
          </w:tcPr>
          <w:p w14:paraId="020B90E2"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0.9934</w:t>
            </w:r>
          </w:p>
          <w:p w14:paraId="10C1EE2B" w14:textId="77777777" w:rsidR="004E300C" w:rsidRPr="00D843AF" w:rsidRDefault="004E300C" w:rsidP="0031446A">
            <w:pPr>
              <w:spacing w:line="360" w:lineRule="auto"/>
              <w:rPr>
                <w:rFonts w:ascii="Arial" w:eastAsia="Calibri" w:hAnsi="Arial" w:cs="Arial"/>
              </w:rPr>
            </w:pPr>
          </w:p>
        </w:tc>
        <w:tc>
          <w:tcPr>
            <w:tcW w:w="847" w:type="dxa"/>
          </w:tcPr>
          <w:p w14:paraId="7ADAA6B6"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0.9936</w:t>
            </w:r>
          </w:p>
          <w:p w14:paraId="313A82B6" w14:textId="77777777" w:rsidR="004E300C" w:rsidRPr="00D843AF" w:rsidRDefault="004E300C" w:rsidP="0031446A">
            <w:pPr>
              <w:spacing w:line="360" w:lineRule="auto"/>
              <w:rPr>
                <w:rFonts w:ascii="Arial" w:eastAsia="Calibri" w:hAnsi="Arial" w:cs="Arial"/>
              </w:rPr>
            </w:pPr>
          </w:p>
        </w:tc>
        <w:tc>
          <w:tcPr>
            <w:tcW w:w="851" w:type="dxa"/>
          </w:tcPr>
          <w:p w14:paraId="2CB55DDB"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0.6418</w:t>
            </w:r>
          </w:p>
          <w:p w14:paraId="44DE56F3" w14:textId="77777777" w:rsidR="004E300C" w:rsidRPr="00D843AF" w:rsidRDefault="004E300C" w:rsidP="0031446A">
            <w:pPr>
              <w:spacing w:line="360" w:lineRule="auto"/>
              <w:rPr>
                <w:rFonts w:ascii="Arial" w:eastAsia="Calibri" w:hAnsi="Arial" w:cs="Arial"/>
              </w:rPr>
            </w:pPr>
          </w:p>
        </w:tc>
        <w:tc>
          <w:tcPr>
            <w:tcW w:w="992" w:type="dxa"/>
          </w:tcPr>
          <w:p w14:paraId="20BA918E" w14:textId="77777777" w:rsidR="004E300C" w:rsidRPr="00D843AF" w:rsidRDefault="004E300C" w:rsidP="0031446A">
            <w:pPr>
              <w:spacing w:line="360" w:lineRule="auto"/>
              <w:rPr>
                <w:rFonts w:ascii="Arial" w:eastAsia="Calibri" w:hAnsi="Arial" w:cs="Arial"/>
              </w:rPr>
            </w:pPr>
            <w:proofErr w:type="spellStart"/>
            <w:r w:rsidRPr="00D843AF">
              <w:rPr>
                <w:rFonts w:ascii="Arial" w:eastAsia="Calibri" w:hAnsi="Arial" w:cs="Arial"/>
              </w:rPr>
              <w:t>Korsmeyer</w:t>
            </w:r>
            <w:proofErr w:type="spellEnd"/>
            <w:r w:rsidRPr="00D843AF">
              <w:rPr>
                <w:rFonts w:ascii="Arial" w:eastAsia="Calibri" w:hAnsi="Arial" w:cs="Arial"/>
              </w:rPr>
              <w:t xml:space="preserve"> </w:t>
            </w:r>
            <w:proofErr w:type="spellStart"/>
            <w:r w:rsidRPr="00D843AF">
              <w:rPr>
                <w:rFonts w:ascii="Arial" w:eastAsia="Calibri" w:hAnsi="Arial" w:cs="Arial"/>
              </w:rPr>
              <w:t>peppas</w:t>
            </w:r>
            <w:proofErr w:type="spellEnd"/>
            <w:r w:rsidRPr="00D843AF">
              <w:rPr>
                <w:rFonts w:ascii="Arial" w:eastAsia="Calibri" w:hAnsi="Arial" w:cs="Arial"/>
              </w:rPr>
              <w:t xml:space="preserve"> model</w:t>
            </w:r>
          </w:p>
        </w:tc>
      </w:tr>
      <w:tr w:rsidR="004E300C" w:rsidRPr="00D843AF" w14:paraId="6F226C44" w14:textId="77777777" w:rsidTr="00282295">
        <w:tc>
          <w:tcPr>
            <w:tcW w:w="1403" w:type="dxa"/>
          </w:tcPr>
          <w:p w14:paraId="216011E8"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F5 IN pH 1.2</w:t>
            </w:r>
          </w:p>
        </w:tc>
        <w:tc>
          <w:tcPr>
            <w:tcW w:w="1192" w:type="dxa"/>
          </w:tcPr>
          <w:p w14:paraId="7D9BBFF4"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0.9806</w:t>
            </w:r>
          </w:p>
        </w:tc>
        <w:tc>
          <w:tcPr>
            <w:tcW w:w="1193" w:type="dxa"/>
          </w:tcPr>
          <w:p w14:paraId="5B1FE934"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0.9698</w:t>
            </w:r>
          </w:p>
        </w:tc>
        <w:tc>
          <w:tcPr>
            <w:tcW w:w="1215" w:type="dxa"/>
          </w:tcPr>
          <w:p w14:paraId="72424994"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0.9510</w:t>
            </w:r>
          </w:p>
        </w:tc>
        <w:tc>
          <w:tcPr>
            <w:tcW w:w="1204" w:type="dxa"/>
          </w:tcPr>
          <w:p w14:paraId="740D9CDC"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0.9741</w:t>
            </w:r>
          </w:p>
        </w:tc>
        <w:tc>
          <w:tcPr>
            <w:tcW w:w="847" w:type="dxa"/>
          </w:tcPr>
          <w:p w14:paraId="4947ABEB"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0.9715</w:t>
            </w:r>
          </w:p>
          <w:p w14:paraId="5D9B23EC" w14:textId="77777777" w:rsidR="004E300C" w:rsidRPr="00D843AF" w:rsidRDefault="004E300C" w:rsidP="0031446A">
            <w:pPr>
              <w:spacing w:line="360" w:lineRule="auto"/>
              <w:rPr>
                <w:rFonts w:ascii="Arial" w:eastAsia="Calibri" w:hAnsi="Arial" w:cs="Arial"/>
              </w:rPr>
            </w:pPr>
          </w:p>
        </w:tc>
        <w:tc>
          <w:tcPr>
            <w:tcW w:w="851" w:type="dxa"/>
          </w:tcPr>
          <w:p w14:paraId="23BDEE80"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0.6445</w:t>
            </w:r>
          </w:p>
          <w:p w14:paraId="48736F34" w14:textId="77777777" w:rsidR="004E300C" w:rsidRPr="00D843AF" w:rsidRDefault="004E300C" w:rsidP="0031446A">
            <w:pPr>
              <w:spacing w:line="360" w:lineRule="auto"/>
              <w:rPr>
                <w:rFonts w:ascii="Arial" w:eastAsia="Calibri" w:hAnsi="Arial" w:cs="Arial"/>
              </w:rPr>
            </w:pPr>
          </w:p>
        </w:tc>
        <w:tc>
          <w:tcPr>
            <w:tcW w:w="992" w:type="dxa"/>
          </w:tcPr>
          <w:p w14:paraId="0F7DFB68"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 xml:space="preserve">Hixon </w:t>
            </w:r>
            <w:proofErr w:type="spellStart"/>
            <w:r w:rsidRPr="00D843AF">
              <w:rPr>
                <w:rFonts w:ascii="Arial" w:eastAsia="Calibri" w:hAnsi="Arial" w:cs="Arial"/>
              </w:rPr>
              <w:t>crowell</w:t>
            </w:r>
            <w:proofErr w:type="spellEnd"/>
            <w:r w:rsidRPr="00D843AF">
              <w:rPr>
                <w:rFonts w:ascii="Arial" w:eastAsia="Calibri" w:hAnsi="Arial" w:cs="Arial"/>
              </w:rPr>
              <w:t xml:space="preserve"> model</w:t>
            </w:r>
          </w:p>
        </w:tc>
      </w:tr>
      <w:tr w:rsidR="004E300C" w:rsidRPr="00D843AF" w14:paraId="27ACFE77" w14:textId="77777777" w:rsidTr="00282295">
        <w:tc>
          <w:tcPr>
            <w:tcW w:w="1403" w:type="dxa"/>
          </w:tcPr>
          <w:p w14:paraId="16A06258" w14:textId="77777777" w:rsidR="004E300C" w:rsidRPr="00D843AF" w:rsidRDefault="004E300C" w:rsidP="0031446A">
            <w:pPr>
              <w:spacing w:line="360" w:lineRule="auto"/>
              <w:rPr>
                <w:rFonts w:ascii="Arial" w:eastAsia="Calibri" w:hAnsi="Arial" w:cs="Arial"/>
                <w:b/>
                <w:bCs/>
              </w:rPr>
            </w:pPr>
            <w:r w:rsidRPr="00D843AF">
              <w:rPr>
                <w:rFonts w:ascii="Arial" w:eastAsia="Calibri" w:hAnsi="Arial" w:cs="Arial"/>
                <w:b/>
                <w:bCs/>
              </w:rPr>
              <w:t>F5 IN pH 6.8</w:t>
            </w:r>
          </w:p>
        </w:tc>
        <w:tc>
          <w:tcPr>
            <w:tcW w:w="1192" w:type="dxa"/>
          </w:tcPr>
          <w:p w14:paraId="21E98457"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0.9728</w:t>
            </w:r>
          </w:p>
          <w:p w14:paraId="1686C431" w14:textId="77777777" w:rsidR="004E300C" w:rsidRPr="00D843AF" w:rsidRDefault="004E300C" w:rsidP="0031446A">
            <w:pPr>
              <w:spacing w:line="360" w:lineRule="auto"/>
              <w:rPr>
                <w:rFonts w:ascii="Arial" w:eastAsia="Calibri" w:hAnsi="Arial" w:cs="Arial"/>
              </w:rPr>
            </w:pPr>
          </w:p>
        </w:tc>
        <w:tc>
          <w:tcPr>
            <w:tcW w:w="1193" w:type="dxa"/>
          </w:tcPr>
          <w:p w14:paraId="4B214353" w14:textId="77777777" w:rsidR="004E300C" w:rsidRPr="00D843AF" w:rsidRDefault="004E300C" w:rsidP="0031446A">
            <w:pPr>
              <w:rPr>
                <w:rFonts w:ascii="Arial" w:hAnsi="Arial" w:cs="Arial"/>
                <w:color w:val="000000"/>
                <w:lang w:eastAsia="en-IN"/>
              </w:rPr>
            </w:pPr>
            <w:r w:rsidRPr="00D843AF">
              <w:rPr>
                <w:rFonts w:ascii="Arial" w:hAnsi="Arial" w:cs="Arial"/>
                <w:color w:val="000000"/>
              </w:rPr>
              <w:t>0.8816</w:t>
            </w:r>
          </w:p>
          <w:p w14:paraId="5620917B" w14:textId="77777777" w:rsidR="004E300C" w:rsidRPr="00D843AF" w:rsidRDefault="004E300C" w:rsidP="0031446A">
            <w:pPr>
              <w:spacing w:line="360" w:lineRule="auto"/>
              <w:rPr>
                <w:rFonts w:ascii="Arial" w:eastAsia="Calibri" w:hAnsi="Arial" w:cs="Arial"/>
              </w:rPr>
            </w:pPr>
          </w:p>
        </w:tc>
        <w:tc>
          <w:tcPr>
            <w:tcW w:w="1215" w:type="dxa"/>
          </w:tcPr>
          <w:p w14:paraId="3A79FCB7"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0.9829</w:t>
            </w:r>
          </w:p>
          <w:p w14:paraId="74E0DAEF" w14:textId="77777777" w:rsidR="004E300C" w:rsidRPr="00D843AF" w:rsidRDefault="004E300C" w:rsidP="0031446A">
            <w:pPr>
              <w:spacing w:line="360" w:lineRule="auto"/>
              <w:rPr>
                <w:rFonts w:ascii="Arial" w:eastAsia="Calibri" w:hAnsi="Arial" w:cs="Arial"/>
              </w:rPr>
            </w:pPr>
          </w:p>
        </w:tc>
        <w:tc>
          <w:tcPr>
            <w:tcW w:w="1204" w:type="dxa"/>
          </w:tcPr>
          <w:p w14:paraId="713BF696"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0.9823</w:t>
            </w:r>
          </w:p>
          <w:p w14:paraId="246FCAC3" w14:textId="77777777" w:rsidR="004E300C" w:rsidRPr="00D843AF" w:rsidRDefault="004E300C" w:rsidP="0031446A">
            <w:pPr>
              <w:spacing w:line="360" w:lineRule="auto"/>
              <w:rPr>
                <w:rFonts w:ascii="Arial" w:eastAsia="Calibri" w:hAnsi="Arial" w:cs="Arial"/>
              </w:rPr>
            </w:pPr>
          </w:p>
        </w:tc>
        <w:tc>
          <w:tcPr>
            <w:tcW w:w="847" w:type="dxa"/>
          </w:tcPr>
          <w:p w14:paraId="6FC24E76" w14:textId="77777777" w:rsidR="004E300C" w:rsidRPr="00D843AF" w:rsidRDefault="004E300C" w:rsidP="0031446A">
            <w:pPr>
              <w:rPr>
                <w:rFonts w:ascii="Arial" w:hAnsi="Arial" w:cs="Arial"/>
                <w:color w:val="000000"/>
                <w:lang w:eastAsia="en-IN"/>
              </w:rPr>
            </w:pPr>
            <w:r w:rsidRPr="00D843AF">
              <w:rPr>
                <w:rFonts w:ascii="Arial" w:hAnsi="Arial" w:cs="Arial"/>
                <w:color w:val="000000"/>
              </w:rPr>
              <w:t>0.9803</w:t>
            </w:r>
          </w:p>
          <w:p w14:paraId="0C490AD8" w14:textId="77777777" w:rsidR="004E300C" w:rsidRPr="00D843AF" w:rsidRDefault="004E300C" w:rsidP="0031446A">
            <w:pPr>
              <w:spacing w:line="360" w:lineRule="auto"/>
              <w:rPr>
                <w:rFonts w:ascii="Arial" w:eastAsia="Calibri" w:hAnsi="Arial" w:cs="Arial"/>
              </w:rPr>
            </w:pPr>
          </w:p>
        </w:tc>
        <w:tc>
          <w:tcPr>
            <w:tcW w:w="851" w:type="dxa"/>
          </w:tcPr>
          <w:p w14:paraId="6931AB40" w14:textId="77777777" w:rsidR="004E300C" w:rsidRPr="00D843AF" w:rsidRDefault="004E300C" w:rsidP="0031446A">
            <w:pPr>
              <w:rPr>
                <w:rFonts w:ascii="Arial" w:hAnsi="Arial" w:cs="Arial"/>
                <w:color w:val="000000"/>
                <w:lang w:eastAsia="en-IN"/>
              </w:rPr>
            </w:pPr>
            <w:r w:rsidRPr="00D843AF">
              <w:rPr>
                <w:rFonts w:ascii="Arial" w:hAnsi="Arial" w:cs="Arial"/>
                <w:color w:val="000000"/>
              </w:rPr>
              <w:t>0.6197</w:t>
            </w:r>
          </w:p>
          <w:p w14:paraId="3183AB97" w14:textId="77777777" w:rsidR="004E300C" w:rsidRPr="00D843AF" w:rsidRDefault="004E300C" w:rsidP="0031446A">
            <w:pPr>
              <w:spacing w:line="360" w:lineRule="auto"/>
              <w:rPr>
                <w:rFonts w:ascii="Arial" w:eastAsia="Calibri" w:hAnsi="Arial" w:cs="Arial"/>
              </w:rPr>
            </w:pPr>
          </w:p>
        </w:tc>
        <w:tc>
          <w:tcPr>
            <w:tcW w:w="992" w:type="dxa"/>
          </w:tcPr>
          <w:p w14:paraId="235A8491" w14:textId="77777777" w:rsidR="004E300C" w:rsidRPr="00D843AF" w:rsidRDefault="004E300C" w:rsidP="0031446A">
            <w:pPr>
              <w:spacing w:line="360" w:lineRule="auto"/>
              <w:rPr>
                <w:rFonts w:ascii="Arial" w:eastAsia="Calibri" w:hAnsi="Arial" w:cs="Arial"/>
              </w:rPr>
            </w:pPr>
            <w:r w:rsidRPr="00D843AF">
              <w:rPr>
                <w:rFonts w:ascii="Arial" w:eastAsia="Calibri" w:hAnsi="Arial" w:cs="Arial"/>
              </w:rPr>
              <w:t>Higuchi model</w:t>
            </w:r>
          </w:p>
          <w:p w14:paraId="629C77CE" w14:textId="77777777" w:rsidR="004E300C" w:rsidRPr="00D843AF" w:rsidRDefault="004E300C" w:rsidP="0031446A">
            <w:pPr>
              <w:spacing w:line="360" w:lineRule="auto"/>
              <w:rPr>
                <w:rFonts w:ascii="Arial" w:eastAsia="Calibri" w:hAnsi="Arial" w:cs="Arial"/>
              </w:rPr>
            </w:pPr>
          </w:p>
        </w:tc>
      </w:tr>
    </w:tbl>
    <w:p w14:paraId="3108DA41" w14:textId="77777777" w:rsidR="005A30F6" w:rsidRDefault="004E300C" w:rsidP="004048F6">
      <w:pPr>
        <w:pStyle w:val="BodyText"/>
        <w:spacing w:after="0" w:line="360" w:lineRule="auto"/>
        <w:ind w:right="896"/>
        <w:jc w:val="both"/>
        <w:rPr>
          <w:rFonts w:ascii="Arial" w:hAnsi="Arial" w:cs="Arial"/>
          <w:b/>
          <w:bCs/>
          <w:color w:val="000000"/>
        </w:rPr>
      </w:pPr>
      <w:r w:rsidRPr="00D843AF">
        <w:rPr>
          <w:rFonts w:ascii="Arial" w:hAnsi="Arial" w:cs="Arial"/>
          <w:b/>
          <w:bCs/>
          <w:color w:val="000000"/>
        </w:rPr>
        <w:t>Comparison with marketed Tablet formulation</w:t>
      </w:r>
      <w:r w:rsidR="005A30F6">
        <w:rPr>
          <w:rFonts w:ascii="Arial" w:hAnsi="Arial" w:cs="Arial"/>
          <w:b/>
          <w:bCs/>
          <w:color w:val="000000"/>
        </w:rPr>
        <w:t>\</w:t>
      </w:r>
    </w:p>
    <w:p w14:paraId="592AFF12" w14:textId="28A6FB32" w:rsidR="004E300C" w:rsidRPr="005A30F6" w:rsidRDefault="004E300C" w:rsidP="004048F6">
      <w:pPr>
        <w:pStyle w:val="BodyText"/>
        <w:spacing w:after="0" w:line="360" w:lineRule="auto"/>
        <w:ind w:right="-14"/>
        <w:jc w:val="both"/>
        <w:rPr>
          <w:rFonts w:ascii="Arial" w:hAnsi="Arial" w:cs="Arial"/>
          <w:b/>
          <w:bCs/>
          <w:color w:val="000000"/>
        </w:rPr>
      </w:pPr>
      <w:r w:rsidRPr="00D843AF">
        <w:rPr>
          <w:rFonts w:ascii="Arial" w:hAnsi="Arial" w:cs="Arial"/>
          <w:color w:val="000000"/>
        </w:rPr>
        <w:t xml:space="preserve">The dissolution profile of optimized formulation F5 was compared with marketed formulation. </w:t>
      </w:r>
      <w:r w:rsidRPr="00D843AF">
        <w:rPr>
          <w:rFonts w:ascii="Arial" w:hAnsi="Arial" w:cs="Arial"/>
        </w:rPr>
        <w:t xml:space="preserve">The comparative </w:t>
      </w:r>
      <w:r w:rsidRPr="00D843AF">
        <w:rPr>
          <w:rFonts w:ascii="Arial" w:hAnsi="Arial" w:cs="Arial"/>
          <w:i/>
          <w:iCs/>
        </w:rPr>
        <w:t xml:space="preserve">in- vitro </w:t>
      </w:r>
      <w:r w:rsidRPr="00D843AF">
        <w:rPr>
          <w:rFonts w:ascii="Arial" w:hAnsi="Arial" w:cs="Arial"/>
        </w:rPr>
        <w:t>drug release profile shown in Table 8 indicated an increase in dissolution rate of the inclusion complex tablet as compared to the marketed product.</w:t>
      </w:r>
    </w:p>
    <w:p w14:paraId="61883AB1" w14:textId="5584C6A1" w:rsidR="004E300C" w:rsidRPr="00D843AF" w:rsidRDefault="004E300C" w:rsidP="004048F6">
      <w:pPr>
        <w:pStyle w:val="BodyText"/>
        <w:spacing w:line="360" w:lineRule="auto"/>
        <w:ind w:right="896"/>
        <w:rPr>
          <w:rFonts w:ascii="Arial" w:hAnsi="Arial" w:cs="Arial"/>
        </w:rPr>
      </w:pPr>
      <w:r w:rsidRPr="00D843AF">
        <w:rPr>
          <w:rFonts w:ascii="Arial" w:hAnsi="Arial" w:cs="Arial"/>
          <w:b/>
          <w:bCs/>
        </w:rPr>
        <w:t>Table</w:t>
      </w:r>
      <w:r w:rsidR="001A05DC">
        <w:rPr>
          <w:rFonts w:ascii="Arial" w:hAnsi="Arial" w:cs="Arial"/>
          <w:b/>
          <w:bCs/>
        </w:rPr>
        <w:t xml:space="preserve"> </w:t>
      </w:r>
      <w:r w:rsidRPr="00D843AF">
        <w:rPr>
          <w:rFonts w:ascii="Arial" w:hAnsi="Arial" w:cs="Arial"/>
          <w:b/>
          <w:bCs/>
        </w:rPr>
        <w:t xml:space="preserve">8 </w:t>
      </w:r>
      <w:r w:rsidRPr="00D843AF">
        <w:rPr>
          <w:rFonts w:ascii="Arial" w:hAnsi="Arial" w:cs="Arial"/>
          <w:b/>
          <w:bCs/>
          <w:color w:val="000000"/>
        </w:rPr>
        <w:t>Comparison with marketed Tablet formulation</w:t>
      </w:r>
    </w:p>
    <w:tbl>
      <w:tblPr>
        <w:tblW w:w="0" w:type="auto"/>
        <w:tblBorders>
          <w:top w:val="single" w:sz="4" w:space="0" w:color="auto"/>
          <w:bottom w:val="single" w:sz="4" w:space="0" w:color="auto"/>
        </w:tblBorders>
        <w:tblLook w:val="04A0" w:firstRow="1" w:lastRow="0" w:firstColumn="1" w:lastColumn="0" w:noHBand="0" w:noVBand="1"/>
      </w:tblPr>
      <w:tblGrid>
        <w:gridCol w:w="2802"/>
        <w:gridCol w:w="2811"/>
        <w:gridCol w:w="2811"/>
      </w:tblGrid>
      <w:tr w:rsidR="004E300C" w:rsidRPr="00D843AF" w14:paraId="29120C9C" w14:textId="77777777" w:rsidTr="001A05DC">
        <w:tc>
          <w:tcPr>
            <w:tcW w:w="2889" w:type="dxa"/>
            <w:tcBorders>
              <w:top w:val="single" w:sz="4" w:space="0" w:color="auto"/>
              <w:bottom w:val="single" w:sz="4" w:space="0" w:color="auto"/>
            </w:tcBorders>
          </w:tcPr>
          <w:p w14:paraId="42407A62" w14:textId="17FBE48D" w:rsidR="004E300C" w:rsidRPr="00D843AF" w:rsidRDefault="001A05D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Time(min)</w:t>
            </w:r>
          </w:p>
        </w:tc>
        <w:tc>
          <w:tcPr>
            <w:tcW w:w="2890" w:type="dxa"/>
            <w:tcBorders>
              <w:top w:val="single" w:sz="4" w:space="0" w:color="auto"/>
              <w:bottom w:val="single" w:sz="4" w:space="0" w:color="auto"/>
            </w:tcBorders>
          </w:tcPr>
          <w:p w14:paraId="3EA3D286" w14:textId="25F87DB5" w:rsidR="004E300C" w:rsidRPr="00D843AF" w:rsidRDefault="001A05D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%CDR of formulation f5 in %</w:t>
            </w:r>
          </w:p>
        </w:tc>
        <w:tc>
          <w:tcPr>
            <w:tcW w:w="2890" w:type="dxa"/>
            <w:tcBorders>
              <w:top w:val="single" w:sz="4" w:space="0" w:color="auto"/>
              <w:bottom w:val="single" w:sz="4" w:space="0" w:color="auto"/>
            </w:tcBorders>
          </w:tcPr>
          <w:p w14:paraId="2DD03F1D" w14:textId="25A774D5" w:rsidR="004E300C" w:rsidRPr="00D843AF" w:rsidRDefault="001A05D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%CDR of marketed formulation in %</w:t>
            </w:r>
          </w:p>
        </w:tc>
      </w:tr>
      <w:tr w:rsidR="004E300C" w:rsidRPr="00D843AF" w14:paraId="432EF3E7" w14:textId="77777777" w:rsidTr="001A05DC">
        <w:tc>
          <w:tcPr>
            <w:tcW w:w="2889" w:type="dxa"/>
            <w:tcBorders>
              <w:top w:val="single" w:sz="4" w:space="0" w:color="auto"/>
            </w:tcBorders>
          </w:tcPr>
          <w:p w14:paraId="347A84AE"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10</w:t>
            </w:r>
          </w:p>
        </w:tc>
        <w:tc>
          <w:tcPr>
            <w:tcW w:w="2890" w:type="dxa"/>
            <w:tcBorders>
              <w:top w:val="single" w:sz="4" w:space="0" w:color="auto"/>
            </w:tcBorders>
            <w:vAlign w:val="bottom"/>
          </w:tcPr>
          <w:p w14:paraId="5B40D00A"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32.3832</w:t>
            </w:r>
          </w:p>
        </w:tc>
        <w:tc>
          <w:tcPr>
            <w:tcW w:w="2890" w:type="dxa"/>
            <w:tcBorders>
              <w:top w:val="single" w:sz="4" w:space="0" w:color="auto"/>
            </w:tcBorders>
          </w:tcPr>
          <w:p w14:paraId="6079FEC0"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22.13</w:t>
            </w:r>
          </w:p>
        </w:tc>
      </w:tr>
      <w:tr w:rsidR="004E300C" w:rsidRPr="00D843AF" w14:paraId="705E2F73" w14:textId="77777777" w:rsidTr="001A05DC">
        <w:tc>
          <w:tcPr>
            <w:tcW w:w="2889" w:type="dxa"/>
          </w:tcPr>
          <w:p w14:paraId="7B4FAAD3"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20</w:t>
            </w:r>
          </w:p>
        </w:tc>
        <w:tc>
          <w:tcPr>
            <w:tcW w:w="2890" w:type="dxa"/>
            <w:vAlign w:val="bottom"/>
          </w:tcPr>
          <w:p w14:paraId="3A594C8D"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49.7336</w:t>
            </w:r>
          </w:p>
        </w:tc>
        <w:tc>
          <w:tcPr>
            <w:tcW w:w="2890" w:type="dxa"/>
          </w:tcPr>
          <w:p w14:paraId="0EDA8648"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31.02</w:t>
            </w:r>
          </w:p>
        </w:tc>
      </w:tr>
      <w:tr w:rsidR="004E300C" w:rsidRPr="00D843AF" w14:paraId="76556DA9" w14:textId="77777777" w:rsidTr="001A05DC">
        <w:tc>
          <w:tcPr>
            <w:tcW w:w="2889" w:type="dxa"/>
          </w:tcPr>
          <w:p w14:paraId="684F50ED"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30</w:t>
            </w:r>
          </w:p>
        </w:tc>
        <w:tc>
          <w:tcPr>
            <w:tcW w:w="2890" w:type="dxa"/>
            <w:vAlign w:val="bottom"/>
          </w:tcPr>
          <w:p w14:paraId="45E08191"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66.4219</w:t>
            </w:r>
          </w:p>
        </w:tc>
        <w:tc>
          <w:tcPr>
            <w:tcW w:w="2890" w:type="dxa"/>
          </w:tcPr>
          <w:p w14:paraId="50D77FFA"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55.61</w:t>
            </w:r>
          </w:p>
        </w:tc>
      </w:tr>
      <w:tr w:rsidR="004E300C" w:rsidRPr="00D843AF" w14:paraId="098A4116" w14:textId="77777777" w:rsidTr="001A05DC">
        <w:tc>
          <w:tcPr>
            <w:tcW w:w="2889" w:type="dxa"/>
          </w:tcPr>
          <w:p w14:paraId="465CF66A"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40</w:t>
            </w:r>
          </w:p>
        </w:tc>
        <w:tc>
          <w:tcPr>
            <w:tcW w:w="2890" w:type="dxa"/>
            <w:vAlign w:val="bottom"/>
          </w:tcPr>
          <w:p w14:paraId="77660A75"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82.7128</w:t>
            </w:r>
          </w:p>
        </w:tc>
        <w:tc>
          <w:tcPr>
            <w:tcW w:w="2890" w:type="dxa"/>
          </w:tcPr>
          <w:p w14:paraId="20AC356C"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78.23</w:t>
            </w:r>
          </w:p>
        </w:tc>
      </w:tr>
      <w:tr w:rsidR="004E300C" w:rsidRPr="00D843AF" w14:paraId="068378EF" w14:textId="77777777" w:rsidTr="001A05DC">
        <w:tc>
          <w:tcPr>
            <w:tcW w:w="2889" w:type="dxa"/>
          </w:tcPr>
          <w:p w14:paraId="17EF9C19"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50</w:t>
            </w:r>
          </w:p>
        </w:tc>
        <w:tc>
          <w:tcPr>
            <w:tcW w:w="2890" w:type="dxa"/>
            <w:vAlign w:val="bottom"/>
          </w:tcPr>
          <w:p w14:paraId="5E4419E9"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90.3947</w:t>
            </w:r>
          </w:p>
        </w:tc>
        <w:tc>
          <w:tcPr>
            <w:tcW w:w="2890" w:type="dxa"/>
          </w:tcPr>
          <w:p w14:paraId="75A2EDA3"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81.52</w:t>
            </w:r>
          </w:p>
        </w:tc>
      </w:tr>
      <w:tr w:rsidR="004E300C" w:rsidRPr="00D843AF" w14:paraId="41E4BA94" w14:textId="77777777" w:rsidTr="001A05DC">
        <w:tc>
          <w:tcPr>
            <w:tcW w:w="2889" w:type="dxa"/>
          </w:tcPr>
          <w:p w14:paraId="7CC31FE5"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60</w:t>
            </w:r>
          </w:p>
        </w:tc>
        <w:tc>
          <w:tcPr>
            <w:tcW w:w="2890" w:type="dxa"/>
            <w:vAlign w:val="bottom"/>
          </w:tcPr>
          <w:p w14:paraId="64AB816F"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98.6064</w:t>
            </w:r>
          </w:p>
        </w:tc>
        <w:tc>
          <w:tcPr>
            <w:tcW w:w="2890" w:type="dxa"/>
          </w:tcPr>
          <w:p w14:paraId="2291793C" w14:textId="77777777" w:rsidR="004E300C" w:rsidRPr="00D843AF" w:rsidRDefault="004E300C" w:rsidP="0031446A">
            <w:pPr>
              <w:pStyle w:val="BodyText"/>
              <w:spacing w:line="360" w:lineRule="auto"/>
              <w:ind w:right="896"/>
              <w:jc w:val="both"/>
              <w:rPr>
                <w:rFonts w:ascii="Arial" w:eastAsia="Calibri" w:hAnsi="Arial" w:cs="Arial"/>
                <w:color w:val="000000"/>
              </w:rPr>
            </w:pPr>
            <w:r w:rsidRPr="00D843AF">
              <w:rPr>
                <w:rFonts w:ascii="Arial" w:eastAsia="Calibri" w:hAnsi="Arial" w:cs="Arial"/>
                <w:color w:val="000000"/>
              </w:rPr>
              <w:t>88.91</w:t>
            </w:r>
          </w:p>
        </w:tc>
      </w:tr>
    </w:tbl>
    <w:p w14:paraId="6AEA34D7" w14:textId="77777777" w:rsidR="004E300C" w:rsidRPr="00D843AF" w:rsidRDefault="004E300C" w:rsidP="004E300C">
      <w:pPr>
        <w:pStyle w:val="BodyText"/>
        <w:spacing w:line="360" w:lineRule="auto"/>
        <w:ind w:right="896"/>
        <w:jc w:val="both"/>
        <w:rPr>
          <w:rFonts w:ascii="Arial" w:hAnsi="Arial" w:cs="Arial"/>
          <w:color w:val="000000"/>
        </w:rPr>
      </w:pPr>
    </w:p>
    <w:p w14:paraId="35FA1F75" w14:textId="77777777" w:rsidR="004E300C" w:rsidRPr="00D843AF" w:rsidRDefault="004E300C" w:rsidP="004E300C">
      <w:pPr>
        <w:pStyle w:val="BodyText"/>
        <w:spacing w:line="360" w:lineRule="auto"/>
        <w:ind w:right="896"/>
        <w:jc w:val="both"/>
        <w:rPr>
          <w:rFonts w:ascii="Arial" w:hAnsi="Arial" w:cs="Arial"/>
          <w:color w:val="000000"/>
        </w:rPr>
      </w:pPr>
      <w:r w:rsidRPr="00D843AF">
        <w:rPr>
          <w:rFonts w:ascii="Arial" w:hAnsi="Arial" w:cs="Arial"/>
          <w:noProof/>
        </w:rPr>
        <w:lastRenderedPageBreak/>
        <w:drawing>
          <wp:inline distT="0" distB="0" distL="0" distR="0" wp14:anchorId="5755849A" wp14:editId="06CCF306">
            <wp:extent cx="4574540" cy="2767330"/>
            <wp:effectExtent l="0" t="0" r="16510" b="13970"/>
            <wp:docPr id="96388606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EB42C1" w14:textId="5B895E9B" w:rsidR="00217105" w:rsidRDefault="004E300C" w:rsidP="004E300C">
      <w:pPr>
        <w:pStyle w:val="BodyText"/>
        <w:spacing w:line="360" w:lineRule="auto"/>
        <w:ind w:right="896"/>
        <w:jc w:val="both"/>
        <w:rPr>
          <w:rFonts w:ascii="Arial" w:hAnsi="Arial" w:cs="Arial"/>
          <w:b/>
          <w:bCs/>
          <w:color w:val="000000"/>
        </w:rPr>
      </w:pPr>
      <w:r w:rsidRPr="00D843AF">
        <w:rPr>
          <w:rFonts w:ascii="Arial" w:hAnsi="Arial" w:cs="Arial"/>
          <w:b/>
          <w:bCs/>
          <w:color w:val="000000"/>
        </w:rPr>
        <w:t>Fig</w:t>
      </w:r>
      <w:r w:rsidR="00C12270">
        <w:rPr>
          <w:rFonts w:ascii="Arial" w:hAnsi="Arial" w:cs="Arial"/>
          <w:b/>
          <w:bCs/>
          <w:color w:val="000000"/>
        </w:rPr>
        <w:t>.</w:t>
      </w:r>
      <w:r w:rsidRPr="00D843AF">
        <w:rPr>
          <w:rFonts w:ascii="Arial" w:hAnsi="Arial" w:cs="Arial"/>
          <w:b/>
          <w:bCs/>
          <w:color w:val="000000"/>
        </w:rPr>
        <w:t xml:space="preserve">7 Comparison of </w:t>
      </w:r>
      <w:r w:rsidRPr="00D843AF">
        <w:rPr>
          <w:rFonts w:ascii="Arial" w:hAnsi="Arial" w:cs="Arial"/>
          <w:b/>
          <w:bCs/>
          <w:i/>
          <w:iCs/>
          <w:color w:val="000000"/>
        </w:rPr>
        <w:t xml:space="preserve">in-vitro </w:t>
      </w:r>
      <w:r w:rsidRPr="00D843AF">
        <w:rPr>
          <w:rFonts w:ascii="Arial" w:hAnsi="Arial" w:cs="Arial"/>
          <w:b/>
          <w:bCs/>
          <w:color w:val="000000"/>
        </w:rPr>
        <w:t>drug release profile of F5</w:t>
      </w:r>
      <w:r w:rsidR="00EC1665">
        <w:rPr>
          <w:rFonts w:ascii="Arial" w:hAnsi="Arial" w:cs="Arial"/>
          <w:b/>
          <w:bCs/>
          <w:color w:val="000000"/>
        </w:rPr>
        <w:t xml:space="preserve"> </w:t>
      </w:r>
      <w:r w:rsidRPr="00D843AF">
        <w:rPr>
          <w:rFonts w:ascii="Arial" w:hAnsi="Arial" w:cs="Arial"/>
          <w:b/>
          <w:bCs/>
          <w:color w:val="000000"/>
        </w:rPr>
        <w:t>(optimized formulation) with marketed tablet formulation.</w:t>
      </w:r>
    </w:p>
    <w:p w14:paraId="46B984FE" w14:textId="68A19D0B" w:rsidR="00217105" w:rsidRDefault="004E300C" w:rsidP="00217105">
      <w:pPr>
        <w:pStyle w:val="BodyText"/>
        <w:spacing w:line="360" w:lineRule="auto"/>
        <w:ind w:right="896"/>
        <w:jc w:val="both"/>
        <w:rPr>
          <w:rFonts w:ascii="Arial" w:hAnsi="Arial" w:cs="Arial"/>
          <w:b/>
          <w:bCs/>
          <w:color w:val="000000"/>
        </w:rPr>
      </w:pPr>
      <w:r w:rsidRPr="00D843AF">
        <w:rPr>
          <w:rFonts w:ascii="Arial" w:hAnsi="Arial" w:cs="Arial"/>
          <w:b/>
          <w:bCs/>
          <w:color w:val="000000"/>
        </w:rPr>
        <w:t xml:space="preserve">Stability </w:t>
      </w:r>
      <w:r w:rsidRPr="00A36839">
        <w:rPr>
          <w:rFonts w:ascii="Arial" w:hAnsi="Arial" w:cs="Arial"/>
          <w:b/>
          <w:bCs/>
          <w:color w:val="000000"/>
        </w:rPr>
        <w:t xml:space="preserve">studies </w:t>
      </w:r>
      <w:r w:rsidR="00A36839" w:rsidRPr="00A36839">
        <w:rPr>
          <w:rFonts w:ascii="Arial" w:hAnsi="Arial" w:cs="Arial"/>
          <w:b/>
          <w:bCs/>
        </w:rPr>
        <w:t>of</w:t>
      </w:r>
      <w:r w:rsidR="00A36839" w:rsidRPr="00A36839">
        <w:rPr>
          <w:rFonts w:ascii="Arial" w:hAnsi="Arial" w:cs="Arial"/>
          <w:vertAlign w:val="superscript"/>
        </w:rPr>
        <w:t xml:space="preserve"> `</w:t>
      </w:r>
      <w:r w:rsidR="00A36839" w:rsidRPr="00A36839">
        <w:rPr>
          <w:rFonts w:ascii="Arial" w:hAnsi="Arial" w:cs="Arial"/>
          <w:b/>
          <w:bCs/>
        </w:rPr>
        <w:t>Dolutegravir Sodium inclusion complexes tablets</w:t>
      </w:r>
      <w:r w:rsidR="00A36839">
        <w:rPr>
          <w:rFonts w:ascii="Arial" w:hAnsi="Arial" w:cs="Arial"/>
          <w:b/>
          <w:bCs/>
          <w:i/>
          <w:iCs/>
        </w:rPr>
        <w:t xml:space="preserve"> </w:t>
      </w:r>
      <w:r w:rsidR="00A36839" w:rsidRPr="007C2124">
        <w:rPr>
          <w:rFonts w:ascii="Arial" w:hAnsi="Arial" w:cs="Arial"/>
          <w:i/>
          <w:iCs/>
        </w:rPr>
        <w:t xml:space="preserve"> </w:t>
      </w:r>
    </w:p>
    <w:p w14:paraId="36CBFF95" w14:textId="7E39FF71" w:rsidR="004E300C" w:rsidRPr="00217105" w:rsidRDefault="004E300C" w:rsidP="00091C3D">
      <w:pPr>
        <w:pStyle w:val="BodyText"/>
        <w:spacing w:line="360" w:lineRule="auto"/>
        <w:ind w:right="128"/>
        <w:jc w:val="both"/>
        <w:rPr>
          <w:rFonts w:ascii="Arial" w:hAnsi="Arial" w:cs="Arial"/>
          <w:b/>
          <w:bCs/>
          <w:color w:val="000000"/>
        </w:rPr>
      </w:pPr>
      <w:r w:rsidRPr="00D843AF">
        <w:rPr>
          <w:rFonts w:ascii="Arial" w:hAnsi="Arial" w:cs="Arial"/>
          <w:color w:val="1F1F1F"/>
        </w:rPr>
        <w:t xml:space="preserve">The prepared tablets were studied for various parameters like </w:t>
      </w:r>
      <w:bookmarkStart w:id="2" w:name="_Hlk179797374"/>
      <w:r w:rsidRPr="00D843AF">
        <w:rPr>
          <w:rFonts w:ascii="Arial" w:hAnsi="Arial" w:cs="Arial"/>
          <w:color w:val="1F1F1F"/>
        </w:rPr>
        <w:t xml:space="preserve">Weight variation, Hardness, Disintegration time, Friability, Drug content, and </w:t>
      </w:r>
      <w:r w:rsidRPr="00D843AF">
        <w:rPr>
          <w:rFonts w:ascii="Arial" w:hAnsi="Arial" w:cs="Arial"/>
          <w:i/>
          <w:iCs/>
          <w:color w:val="1F1F1F"/>
        </w:rPr>
        <w:t xml:space="preserve">in- vitro </w:t>
      </w:r>
      <w:r w:rsidRPr="00D843AF">
        <w:rPr>
          <w:rFonts w:ascii="Arial" w:hAnsi="Arial" w:cs="Arial"/>
          <w:color w:val="1F1F1F"/>
        </w:rPr>
        <w:t>drug release.</w:t>
      </w:r>
      <w:bookmarkEnd w:id="2"/>
      <w:r w:rsidRPr="00D843AF">
        <w:rPr>
          <w:rFonts w:ascii="Arial" w:hAnsi="Arial" w:cs="Arial"/>
          <w:color w:val="1F1F1F"/>
        </w:rPr>
        <w:t xml:space="preserve"> The results of the stability studies revealed that the prepared tablets retained </w:t>
      </w:r>
      <w:proofErr w:type="gramStart"/>
      <w:r w:rsidRPr="00D843AF">
        <w:rPr>
          <w:rFonts w:ascii="Arial" w:hAnsi="Arial" w:cs="Arial"/>
          <w:color w:val="1F1F1F"/>
        </w:rPr>
        <w:t>there</w:t>
      </w:r>
      <w:proofErr w:type="gramEnd"/>
      <w:r w:rsidRPr="00D843AF">
        <w:rPr>
          <w:rFonts w:ascii="Arial" w:hAnsi="Arial" w:cs="Arial"/>
          <w:color w:val="1F1F1F"/>
        </w:rPr>
        <w:t xml:space="preserve"> stability, since no </w:t>
      </w:r>
      <w:r w:rsidR="00D75409">
        <w:rPr>
          <w:rFonts w:ascii="Arial" w:hAnsi="Arial" w:cs="Arial"/>
          <w:color w:val="1F1F1F"/>
        </w:rPr>
        <w:t>significant</w:t>
      </w:r>
      <w:r w:rsidRPr="00D843AF">
        <w:rPr>
          <w:rFonts w:ascii="Arial" w:hAnsi="Arial" w:cs="Arial"/>
          <w:color w:val="1F1F1F"/>
        </w:rPr>
        <w:t xml:space="preserve"> changes in physical and intro drug performance were observed. In addition</w:t>
      </w:r>
      <w:r w:rsidR="00D75409">
        <w:rPr>
          <w:rFonts w:ascii="Arial" w:hAnsi="Arial" w:cs="Arial"/>
          <w:color w:val="1F1F1F"/>
        </w:rPr>
        <w:t>,</w:t>
      </w:r>
      <w:r w:rsidRPr="00D843AF">
        <w:rPr>
          <w:rFonts w:ascii="Arial" w:hAnsi="Arial" w:cs="Arial"/>
          <w:color w:val="1F1F1F"/>
        </w:rPr>
        <w:t xml:space="preserve"> after two months of storage</w:t>
      </w:r>
      <w:r w:rsidR="00D75409">
        <w:rPr>
          <w:rFonts w:ascii="Arial" w:hAnsi="Arial" w:cs="Arial"/>
          <w:color w:val="1F1F1F"/>
        </w:rPr>
        <w:t>,</w:t>
      </w:r>
      <w:r w:rsidRPr="00D843AF">
        <w:rPr>
          <w:rFonts w:ascii="Arial" w:hAnsi="Arial" w:cs="Arial"/>
          <w:color w:val="1F1F1F"/>
        </w:rPr>
        <w:t xml:space="preserve"> there was no remarkable drop in dolutegravir sodium content in the prepared tablet formulations, demonstrating the </w:t>
      </w:r>
      <w:r w:rsidR="00D75409">
        <w:rPr>
          <w:rFonts w:ascii="Arial" w:hAnsi="Arial" w:cs="Arial"/>
          <w:color w:val="1F1F1F"/>
        </w:rPr>
        <w:t>drug's</w:t>
      </w:r>
      <w:r w:rsidRPr="00D843AF">
        <w:rPr>
          <w:rFonts w:ascii="Arial" w:hAnsi="Arial" w:cs="Arial"/>
          <w:color w:val="1F1F1F"/>
        </w:rPr>
        <w:t xml:space="preserve"> continued chemical stability. As a result, the prepared Dolutegravir sodium inclusion complexes tablet </w:t>
      </w:r>
      <w:proofErr w:type="gramStart"/>
      <w:r w:rsidRPr="00D843AF">
        <w:rPr>
          <w:rFonts w:ascii="Arial" w:hAnsi="Arial" w:cs="Arial"/>
          <w:color w:val="1F1F1F"/>
        </w:rPr>
        <w:t>were</w:t>
      </w:r>
      <w:proofErr w:type="gramEnd"/>
      <w:r w:rsidRPr="00D843AF">
        <w:rPr>
          <w:rFonts w:ascii="Arial" w:hAnsi="Arial" w:cs="Arial"/>
          <w:color w:val="1F1F1F"/>
        </w:rPr>
        <w:t xml:space="preserve"> found to be stable at both room temperature (25°C ± 2°C/60% ± 5% RH) an in accelerated conditions (40 °C ± 2 °C/75 ± 5 %RH).</w:t>
      </w:r>
    </w:p>
    <w:p w14:paraId="1F514A5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27418B" w14:textId="43D96545" w:rsidR="00745726" w:rsidRPr="00335FA7" w:rsidRDefault="005A3292" w:rsidP="00335FA7">
      <w:pPr>
        <w:spacing w:line="360" w:lineRule="auto"/>
        <w:jc w:val="both"/>
        <w:rPr>
          <w:rFonts w:ascii="Arial" w:hAnsi="Arial" w:cs="Arial"/>
        </w:rPr>
      </w:pPr>
      <w:r w:rsidRPr="005A3292">
        <w:rPr>
          <w:rFonts w:ascii="Arial" w:eastAsia="SimSun" w:hAnsi="Arial" w:cs="Arial"/>
          <w:lang w:eastAsia="zh-CN" w:bidi="ar"/>
        </w:rPr>
        <w:t>Dolutegravir sodium inclusion complexes with beta-cyclodextrin (β-CD) were prepared using the kneading method to enhance the drug’s solubility and dissolution rate. Phase solubility studies confirmed a 1:1 molar ratio complex, with a solubility enhancement ratio of 4 as β-CD concentration increased. In vitro drug release studies demonstrated that the optimized formulation (F5) exhibited a significantly faster dissolution rate compared to pure Dolutegravir sodium and marketed tablets. These results suggest that inclusion complexation with β-CD is an effective strategy to improve the solubility and bioavailability of poorly water-soluble drugs like Dolutegravir sodium, potentially enhancing therapeutic outcomes.</w:t>
      </w:r>
    </w:p>
    <w:p w14:paraId="26DD98BF" w14:textId="77777777" w:rsidR="00745726" w:rsidRPr="005A3292" w:rsidRDefault="00745726" w:rsidP="005A3292">
      <w:pPr>
        <w:spacing w:line="360" w:lineRule="auto"/>
        <w:ind w:right="146"/>
        <w:jc w:val="both"/>
        <w:rPr>
          <w:rFonts w:ascii="Arial" w:eastAsia="SimSun" w:hAnsi="Arial" w:cs="Arial"/>
          <w:b/>
          <w:lang w:eastAsia="zh-CN" w:bidi="ar"/>
        </w:rPr>
      </w:pPr>
    </w:p>
    <w:p w14:paraId="1C9CC5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88FCB8"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Nupur MA, Rahman MM, Akter K, Hanif KB, Sharna JF, Sarker MS, et al. Preparation and characterization of naproxen solid dispersion using different hydrophilic carriers and in-vivo evaluation of its analgesic activity in mice. </w:t>
      </w:r>
      <w:proofErr w:type="spellStart"/>
      <w:r w:rsidRPr="00D74ED1">
        <w:rPr>
          <w:rFonts w:ascii="Arial" w:hAnsi="Arial" w:cs="Arial"/>
          <w:i/>
          <w:iCs/>
          <w:color w:val="000000"/>
        </w:rPr>
        <w:t>Heliyon</w:t>
      </w:r>
      <w:proofErr w:type="spellEnd"/>
      <w:r w:rsidRPr="00D74ED1">
        <w:rPr>
          <w:rFonts w:ascii="Arial" w:hAnsi="Arial" w:cs="Arial"/>
          <w:color w:val="000000"/>
        </w:rPr>
        <w:t>. 2023;9(5).</w:t>
      </w:r>
    </w:p>
    <w:p w14:paraId="167FF9B1" w14:textId="77777777" w:rsidR="00D74ED1" w:rsidRDefault="00D74ED1" w:rsidP="00D74ED1">
      <w:pPr>
        <w:pStyle w:val="ListParagraph"/>
        <w:numPr>
          <w:ilvl w:val="0"/>
          <w:numId w:val="31"/>
        </w:numPr>
        <w:spacing w:line="360" w:lineRule="auto"/>
        <w:jc w:val="both"/>
        <w:rPr>
          <w:rFonts w:ascii="Arial" w:hAnsi="Arial" w:cs="Arial"/>
          <w:color w:val="000000"/>
        </w:rPr>
      </w:pPr>
      <w:proofErr w:type="spellStart"/>
      <w:r w:rsidRPr="00D74ED1">
        <w:rPr>
          <w:rFonts w:ascii="Arial" w:hAnsi="Arial" w:cs="Arial"/>
          <w:color w:val="000000"/>
        </w:rPr>
        <w:t>Pouton</w:t>
      </w:r>
      <w:proofErr w:type="spellEnd"/>
      <w:r w:rsidRPr="00D74ED1">
        <w:rPr>
          <w:rFonts w:ascii="Arial" w:hAnsi="Arial" w:cs="Arial"/>
          <w:color w:val="000000"/>
        </w:rPr>
        <w:t xml:space="preserve"> CW. Formulation of poorly water-soluble drugs for oral administration: physicochemical and physiological issues and the lipid formulation classification system. </w:t>
      </w:r>
      <w:r w:rsidRPr="00D74ED1">
        <w:rPr>
          <w:rFonts w:ascii="Arial" w:hAnsi="Arial" w:cs="Arial"/>
          <w:i/>
          <w:iCs/>
          <w:color w:val="000000"/>
        </w:rPr>
        <w:t>Eur J Pharm Sci</w:t>
      </w:r>
      <w:r w:rsidRPr="00D74ED1">
        <w:rPr>
          <w:rFonts w:ascii="Arial" w:hAnsi="Arial" w:cs="Arial"/>
          <w:color w:val="000000"/>
        </w:rPr>
        <w:t xml:space="preserve">. </w:t>
      </w:r>
      <w:proofErr w:type="gramStart"/>
      <w:r w:rsidRPr="00D74ED1">
        <w:rPr>
          <w:rFonts w:ascii="Arial" w:hAnsi="Arial" w:cs="Arial"/>
          <w:color w:val="000000"/>
        </w:rPr>
        <w:t>2006;29:278</w:t>
      </w:r>
      <w:proofErr w:type="gramEnd"/>
      <w:r w:rsidRPr="00D74ED1">
        <w:rPr>
          <w:rFonts w:ascii="Arial" w:hAnsi="Arial" w:cs="Arial"/>
          <w:color w:val="000000"/>
        </w:rPr>
        <w:t>–87.</w:t>
      </w:r>
    </w:p>
    <w:p w14:paraId="16A83276"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Strickley RG. Solubilizing excipients in oral and injectable formulations. </w:t>
      </w:r>
      <w:r w:rsidRPr="00D74ED1">
        <w:rPr>
          <w:rFonts w:ascii="Arial" w:hAnsi="Arial" w:cs="Arial"/>
          <w:i/>
          <w:iCs/>
          <w:color w:val="000000"/>
        </w:rPr>
        <w:t>Pharm Res</w:t>
      </w:r>
      <w:r w:rsidRPr="00D74ED1">
        <w:rPr>
          <w:rFonts w:ascii="Arial" w:hAnsi="Arial" w:cs="Arial"/>
          <w:color w:val="000000"/>
        </w:rPr>
        <w:t xml:space="preserve">. </w:t>
      </w:r>
      <w:proofErr w:type="gramStart"/>
      <w:r w:rsidRPr="00D74ED1">
        <w:rPr>
          <w:rFonts w:ascii="Arial" w:hAnsi="Arial" w:cs="Arial"/>
          <w:color w:val="000000"/>
        </w:rPr>
        <w:t>2004;21:201</w:t>
      </w:r>
      <w:proofErr w:type="gramEnd"/>
      <w:r w:rsidRPr="00D74ED1">
        <w:rPr>
          <w:rFonts w:ascii="Arial" w:hAnsi="Arial" w:cs="Arial"/>
          <w:color w:val="000000"/>
        </w:rPr>
        <w:t>–30.</w:t>
      </w:r>
    </w:p>
    <w:p w14:paraId="4397487E"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Khatri H, Hussain MS, Tyagi S. Solubility enhancement techniques: An overview. </w:t>
      </w:r>
      <w:r w:rsidRPr="00D74ED1">
        <w:rPr>
          <w:rFonts w:ascii="Arial" w:hAnsi="Arial" w:cs="Arial"/>
          <w:i/>
          <w:iCs/>
          <w:color w:val="000000"/>
        </w:rPr>
        <w:t>World J Pharm Res</w:t>
      </w:r>
      <w:r w:rsidRPr="00D74ED1">
        <w:rPr>
          <w:rFonts w:ascii="Arial" w:hAnsi="Arial" w:cs="Arial"/>
          <w:color w:val="000000"/>
        </w:rPr>
        <w:t>. 2022;11(5):55–69.</w:t>
      </w:r>
    </w:p>
    <w:p w14:paraId="5EED7B76"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Li S, Madan P, Lin S. Effect of ionization of drug on drug solubilization in SMEDDS prepared using </w:t>
      </w:r>
      <w:proofErr w:type="spellStart"/>
      <w:r w:rsidRPr="00D74ED1">
        <w:rPr>
          <w:rFonts w:ascii="Arial" w:hAnsi="Arial" w:cs="Arial"/>
          <w:color w:val="000000"/>
        </w:rPr>
        <w:t>Capmul</w:t>
      </w:r>
      <w:proofErr w:type="spellEnd"/>
      <w:r w:rsidRPr="00D74ED1">
        <w:rPr>
          <w:rFonts w:ascii="Arial" w:hAnsi="Arial" w:cs="Arial"/>
          <w:color w:val="000000"/>
        </w:rPr>
        <w:t xml:space="preserve"> MCM and caprylic acid. </w:t>
      </w:r>
      <w:r w:rsidRPr="00D74ED1">
        <w:rPr>
          <w:rFonts w:ascii="Arial" w:hAnsi="Arial" w:cs="Arial"/>
          <w:i/>
          <w:iCs/>
          <w:color w:val="000000"/>
        </w:rPr>
        <w:t>Asian J Pharm Sci</w:t>
      </w:r>
      <w:r w:rsidRPr="00D74ED1">
        <w:rPr>
          <w:rFonts w:ascii="Arial" w:hAnsi="Arial" w:cs="Arial"/>
          <w:color w:val="000000"/>
        </w:rPr>
        <w:t>. 2017;12(1):73–82.</w:t>
      </w:r>
    </w:p>
    <w:p w14:paraId="3FBBCE43"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Oktay AN. Insights to the phase solubility diagrams of flurbiprofen with inclusion complex. </w:t>
      </w:r>
      <w:r w:rsidRPr="00D74ED1">
        <w:rPr>
          <w:rFonts w:ascii="Arial" w:hAnsi="Arial" w:cs="Arial"/>
          <w:i/>
          <w:iCs/>
          <w:color w:val="000000"/>
        </w:rPr>
        <w:t>J Res Pharm</w:t>
      </w:r>
      <w:r w:rsidRPr="00D74ED1">
        <w:rPr>
          <w:rFonts w:ascii="Arial" w:hAnsi="Arial" w:cs="Arial"/>
          <w:color w:val="000000"/>
        </w:rPr>
        <w:t>. 2021;25(2):196–208.</w:t>
      </w:r>
    </w:p>
    <w:p w14:paraId="528903D5"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Chaudhary S, Nair AB, Shah J, </w:t>
      </w:r>
      <w:proofErr w:type="spellStart"/>
      <w:r w:rsidRPr="00D74ED1">
        <w:rPr>
          <w:rFonts w:ascii="Arial" w:hAnsi="Arial" w:cs="Arial"/>
          <w:color w:val="000000"/>
        </w:rPr>
        <w:t>Gorain</w:t>
      </w:r>
      <w:proofErr w:type="spellEnd"/>
      <w:r w:rsidRPr="00D74ED1">
        <w:rPr>
          <w:rFonts w:ascii="Arial" w:hAnsi="Arial" w:cs="Arial"/>
          <w:color w:val="000000"/>
        </w:rPr>
        <w:t xml:space="preserve"> B, Jacob S, Shah H, Patel V. Enhanced solubility and bioavailability of Dolutegravir by solid dispersion method: in vitro and in vivo evaluation—a potential approach for HIV therapy. </w:t>
      </w:r>
      <w:r w:rsidRPr="00D74ED1">
        <w:rPr>
          <w:rFonts w:ascii="Arial" w:hAnsi="Arial" w:cs="Arial"/>
          <w:i/>
          <w:iCs/>
          <w:color w:val="000000"/>
        </w:rPr>
        <w:t xml:space="preserve">AAPS </w:t>
      </w:r>
      <w:proofErr w:type="spellStart"/>
      <w:r w:rsidRPr="00D74ED1">
        <w:rPr>
          <w:rFonts w:ascii="Arial" w:hAnsi="Arial" w:cs="Arial"/>
          <w:i/>
          <w:iCs/>
          <w:color w:val="000000"/>
        </w:rPr>
        <w:t>PharmSciTech</w:t>
      </w:r>
      <w:proofErr w:type="spellEnd"/>
      <w:r w:rsidRPr="00D74ED1">
        <w:rPr>
          <w:rFonts w:ascii="Arial" w:hAnsi="Arial" w:cs="Arial"/>
          <w:color w:val="000000"/>
        </w:rPr>
        <w:t>. 2021;22(4):1–13.</w:t>
      </w:r>
    </w:p>
    <w:p w14:paraId="1B4C4F9A"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Costa MD, Silva AB, Santos MP. Dissolution enhancement of poorly soluble drugs using cyclodextrin inclusion complexes. </w:t>
      </w:r>
      <w:r w:rsidRPr="00D74ED1">
        <w:rPr>
          <w:rFonts w:ascii="Arial" w:hAnsi="Arial" w:cs="Arial"/>
          <w:i/>
          <w:iCs/>
          <w:color w:val="000000"/>
        </w:rPr>
        <w:t>J Pharm Sci</w:t>
      </w:r>
      <w:r w:rsidRPr="00D74ED1">
        <w:rPr>
          <w:rFonts w:ascii="Arial" w:hAnsi="Arial" w:cs="Arial"/>
          <w:color w:val="000000"/>
        </w:rPr>
        <w:t>. 2009;98(5):1989–2001. doi:10.1002/jps.21971.</w:t>
      </w:r>
    </w:p>
    <w:p w14:paraId="6243665A"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Rawat S, Jain SK. Solubility enhancement of celecoxib using β-cyclodextrin inclusion complexes. </w:t>
      </w:r>
      <w:r w:rsidRPr="00D74ED1">
        <w:rPr>
          <w:rFonts w:ascii="Arial" w:hAnsi="Arial" w:cs="Arial"/>
          <w:i/>
          <w:iCs/>
          <w:color w:val="000000"/>
        </w:rPr>
        <w:t>Indian J Pharm Sci</w:t>
      </w:r>
      <w:r w:rsidRPr="00D74ED1">
        <w:rPr>
          <w:rFonts w:ascii="Arial" w:hAnsi="Arial" w:cs="Arial"/>
          <w:color w:val="000000"/>
        </w:rPr>
        <w:t>. 2003;65(5):472–5.</w:t>
      </w:r>
    </w:p>
    <w:p w14:paraId="62B6B824"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Aulton ME, Taylor KMG, editors. </w:t>
      </w:r>
      <w:r w:rsidRPr="00D74ED1">
        <w:rPr>
          <w:rFonts w:ascii="Arial" w:hAnsi="Arial" w:cs="Arial"/>
          <w:i/>
          <w:iCs/>
          <w:color w:val="000000"/>
        </w:rPr>
        <w:t>Aulton’s Pharmaceutics: The Design and Manufacture of Medicines</w:t>
      </w:r>
      <w:r w:rsidRPr="00D74ED1">
        <w:rPr>
          <w:rFonts w:ascii="Arial" w:hAnsi="Arial" w:cs="Arial"/>
          <w:color w:val="000000"/>
        </w:rPr>
        <w:t>. 5th ed. Elsevier; 2017.</w:t>
      </w:r>
    </w:p>
    <w:p w14:paraId="13454113"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Shangraw RF. Compressed tablets by direct compression. In: </w:t>
      </w:r>
      <w:r w:rsidRPr="00D74ED1">
        <w:rPr>
          <w:rFonts w:ascii="Arial" w:hAnsi="Arial" w:cs="Arial"/>
          <w:i/>
          <w:iCs/>
          <w:color w:val="000000"/>
        </w:rPr>
        <w:t>Pharmaceutical Dosage Forms: Tablets</w:t>
      </w:r>
      <w:r w:rsidRPr="00D74ED1">
        <w:rPr>
          <w:rFonts w:ascii="Arial" w:hAnsi="Arial" w:cs="Arial"/>
          <w:color w:val="000000"/>
        </w:rPr>
        <w:t>. Vol. 1. 1989 Jun 5. p. 195–246.</w:t>
      </w:r>
    </w:p>
    <w:p w14:paraId="6D3B3999"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O’Reilly RL, Hughes K, Miller RA, et al. Drug–polymer compatibility studies: a review. </w:t>
      </w:r>
      <w:r w:rsidRPr="00D74ED1">
        <w:rPr>
          <w:rFonts w:ascii="Arial" w:hAnsi="Arial" w:cs="Arial"/>
          <w:i/>
          <w:iCs/>
          <w:color w:val="000000"/>
        </w:rPr>
        <w:t>J Pharm Sci</w:t>
      </w:r>
      <w:r w:rsidRPr="00D74ED1">
        <w:rPr>
          <w:rFonts w:ascii="Arial" w:hAnsi="Arial" w:cs="Arial"/>
          <w:color w:val="000000"/>
        </w:rPr>
        <w:t>. 2013;102(8):2580–93. doi:10.1002/jps.23583.</w:t>
      </w:r>
    </w:p>
    <w:p w14:paraId="30EA6206"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Silva SPB, Moreira FC, Ribeiro C, et al. Assessment of drug–polymer compatibility using differential scanning calorimetry. </w:t>
      </w:r>
      <w:proofErr w:type="spellStart"/>
      <w:r w:rsidRPr="00D74ED1">
        <w:rPr>
          <w:rFonts w:ascii="Arial" w:hAnsi="Arial" w:cs="Arial"/>
          <w:i/>
          <w:iCs/>
          <w:color w:val="000000"/>
        </w:rPr>
        <w:t>Thermochim</w:t>
      </w:r>
      <w:proofErr w:type="spellEnd"/>
      <w:r w:rsidRPr="00D74ED1">
        <w:rPr>
          <w:rFonts w:ascii="Arial" w:hAnsi="Arial" w:cs="Arial"/>
          <w:i/>
          <w:iCs/>
          <w:color w:val="000000"/>
        </w:rPr>
        <w:t xml:space="preserve"> Acta</w:t>
      </w:r>
      <w:r w:rsidRPr="00D74ED1">
        <w:rPr>
          <w:rFonts w:ascii="Arial" w:hAnsi="Arial" w:cs="Arial"/>
          <w:color w:val="000000"/>
        </w:rPr>
        <w:t xml:space="preserve">. </w:t>
      </w:r>
      <w:proofErr w:type="gramStart"/>
      <w:r w:rsidRPr="00D74ED1">
        <w:rPr>
          <w:rFonts w:ascii="Arial" w:hAnsi="Arial" w:cs="Arial"/>
          <w:color w:val="000000"/>
        </w:rPr>
        <w:t>2014;585:46</w:t>
      </w:r>
      <w:proofErr w:type="gramEnd"/>
      <w:r w:rsidRPr="00D74ED1">
        <w:rPr>
          <w:rFonts w:ascii="Arial" w:hAnsi="Arial" w:cs="Arial"/>
          <w:color w:val="000000"/>
        </w:rPr>
        <w:t xml:space="preserve">–55. </w:t>
      </w:r>
      <w:proofErr w:type="gramStart"/>
      <w:r w:rsidRPr="00D74ED1">
        <w:rPr>
          <w:rFonts w:ascii="Arial" w:hAnsi="Arial" w:cs="Arial"/>
          <w:color w:val="000000"/>
        </w:rPr>
        <w:t>doi:10.1016/j.tca</w:t>
      </w:r>
      <w:proofErr w:type="gramEnd"/>
      <w:r w:rsidRPr="00D74ED1">
        <w:rPr>
          <w:rFonts w:ascii="Arial" w:hAnsi="Arial" w:cs="Arial"/>
          <w:color w:val="000000"/>
        </w:rPr>
        <w:t>.2014.06.003.</w:t>
      </w:r>
    </w:p>
    <w:p w14:paraId="560B50A8" w14:textId="0FE9CB26" w:rsidR="00D74ED1" w:rsidRP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lastRenderedPageBreak/>
        <w:t xml:space="preserve">Moore DM, Reynolds RC. X-ray powder diffraction. In: </w:t>
      </w:r>
      <w:r w:rsidRPr="00D74ED1">
        <w:rPr>
          <w:rFonts w:ascii="Arial" w:hAnsi="Arial" w:cs="Arial"/>
          <w:i/>
          <w:iCs/>
          <w:color w:val="000000"/>
        </w:rPr>
        <w:t>Laboratory Manual for X-ray Diffraction Studies</w:t>
      </w:r>
      <w:r w:rsidRPr="00D74ED1">
        <w:rPr>
          <w:rFonts w:ascii="Arial" w:hAnsi="Arial" w:cs="Arial"/>
          <w:color w:val="000000"/>
        </w:rPr>
        <w:t xml:space="preserve">. Reston: U.S. Geological Survey; 2001. </w:t>
      </w:r>
    </w:p>
    <w:p w14:paraId="632FA27C" w14:textId="77777777" w:rsidR="00D74ED1" w:rsidRDefault="00D74ED1" w:rsidP="00D74ED1">
      <w:pPr>
        <w:pStyle w:val="ListParagraph"/>
        <w:numPr>
          <w:ilvl w:val="0"/>
          <w:numId w:val="31"/>
        </w:numPr>
        <w:spacing w:line="360" w:lineRule="auto"/>
        <w:jc w:val="both"/>
        <w:rPr>
          <w:rFonts w:ascii="Arial" w:hAnsi="Arial" w:cs="Arial"/>
          <w:color w:val="000000"/>
        </w:rPr>
      </w:pPr>
      <w:proofErr w:type="spellStart"/>
      <w:r w:rsidRPr="00D74ED1">
        <w:rPr>
          <w:rFonts w:ascii="Arial" w:hAnsi="Arial" w:cs="Arial"/>
          <w:color w:val="000000"/>
        </w:rPr>
        <w:t>Shirse</w:t>
      </w:r>
      <w:proofErr w:type="spellEnd"/>
      <w:r w:rsidRPr="00D74ED1">
        <w:rPr>
          <w:rFonts w:ascii="Arial" w:hAnsi="Arial" w:cs="Arial"/>
          <w:color w:val="000000"/>
        </w:rPr>
        <w:t xml:space="preserve"> PS, Prasad G, Patil D. Enhancement of solubility and dissolution rate of glimepiride using β-cyclodextrin and hydroxypropyl-β-cyclodextrin. </w:t>
      </w:r>
      <w:r w:rsidRPr="00D74ED1">
        <w:rPr>
          <w:rFonts w:ascii="Arial" w:hAnsi="Arial" w:cs="Arial"/>
          <w:i/>
          <w:iCs/>
          <w:color w:val="000000"/>
        </w:rPr>
        <w:t>Int J Appl Pharm</w:t>
      </w:r>
      <w:r w:rsidRPr="00D74ED1">
        <w:rPr>
          <w:rFonts w:ascii="Arial" w:hAnsi="Arial" w:cs="Arial"/>
          <w:color w:val="000000"/>
        </w:rPr>
        <w:t>. 2012;4(2):23–9.</w:t>
      </w:r>
    </w:p>
    <w:p w14:paraId="4040688A"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British Pharmacopoeia (BP). </w:t>
      </w:r>
      <w:r w:rsidRPr="00D74ED1">
        <w:rPr>
          <w:rFonts w:ascii="Arial" w:hAnsi="Arial" w:cs="Arial"/>
          <w:i/>
          <w:iCs/>
          <w:color w:val="000000"/>
        </w:rPr>
        <w:t>General Monographs: Tablets</w:t>
      </w:r>
      <w:r w:rsidRPr="00D74ED1">
        <w:rPr>
          <w:rFonts w:ascii="Arial" w:hAnsi="Arial" w:cs="Arial"/>
          <w:color w:val="000000"/>
        </w:rPr>
        <w:t>.</w:t>
      </w:r>
    </w:p>
    <w:p w14:paraId="14E489D9"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United States Pharmacopeia (USP). </w:t>
      </w:r>
      <w:r w:rsidRPr="00D74ED1">
        <w:rPr>
          <w:rFonts w:ascii="Arial" w:hAnsi="Arial" w:cs="Arial"/>
          <w:i/>
          <w:iCs/>
          <w:color w:val="000000"/>
        </w:rPr>
        <w:t>General Chapters: &lt;701&gt; Disintegration</w:t>
      </w:r>
      <w:r w:rsidRPr="00D74ED1">
        <w:rPr>
          <w:rFonts w:ascii="Arial" w:hAnsi="Arial" w:cs="Arial"/>
          <w:color w:val="000000"/>
        </w:rPr>
        <w:t>.</w:t>
      </w:r>
    </w:p>
    <w:p w14:paraId="6D40B210"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Aulton ME, Taylor KMG, editors. </w:t>
      </w:r>
      <w:r w:rsidRPr="00D74ED1">
        <w:rPr>
          <w:rFonts w:ascii="Arial" w:hAnsi="Arial" w:cs="Arial"/>
          <w:i/>
          <w:iCs/>
          <w:color w:val="000000"/>
        </w:rPr>
        <w:t>Aulton’s Pharmaceutics: The Design and Manufacture of Medicines</w:t>
      </w:r>
      <w:r w:rsidRPr="00D74ED1">
        <w:rPr>
          <w:rFonts w:ascii="Arial" w:hAnsi="Arial" w:cs="Arial"/>
          <w:color w:val="000000"/>
        </w:rPr>
        <w:t>. 5th ed. Elsevier; 2017.</w:t>
      </w:r>
    </w:p>
    <w:p w14:paraId="4464A66F"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United States Pharmacopeia (USP). </w:t>
      </w:r>
      <w:r w:rsidRPr="00D74ED1">
        <w:rPr>
          <w:rFonts w:ascii="Arial" w:hAnsi="Arial" w:cs="Arial"/>
          <w:i/>
          <w:iCs/>
          <w:color w:val="000000"/>
        </w:rPr>
        <w:t>General Chapters: &lt;905&gt; Uniformity of Dosage Units</w:t>
      </w:r>
      <w:r w:rsidRPr="00D74ED1">
        <w:rPr>
          <w:rFonts w:ascii="Arial" w:hAnsi="Arial" w:cs="Arial"/>
          <w:color w:val="000000"/>
        </w:rPr>
        <w:t>.</w:t>
      </w:r>
    </w:p>
    <w:p w14:paraId="65FC5317"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Pal D, et al. Analytical method development and validation of dolutegravir sodium. </w:t>
      </w:r>
      <w:r w:rsidRPr="00D74ED1">
        <w:rPr>
          <w:rFonts w:ascii="Arial" w:hAnsi="Arial" w:cs="Arial"/>
          <w:i/>
          <w:iCs/>
          <w:color w:val="000000"/>
        </w:rPr>
        <w:t>J Appl Pharm Sci</w:t>
      </w:r>
      <w:r w:rsidRPr="00D74ED1">
        <w:rPr>
          <w:rFonts w:ascii="Arial" w:hAnsi="Arial" w:cs="Arial"/>
          <w:color w:val="000000"/>
        </w:rPr>
        <w:t>. 2020.</w:t>
      </w:r>
    </w:p>
    <w:p w14:paraId="0719BA48"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ICH Guidelines. Validation of analytical procedures: text and methodology Q2(R1). </w:t>
      </w:r>
      <w:r w:rsidRPr="00D74ED1">
        <w:rPr>
          <w:rFonts w:ascii="Arial" w:hAnsi="Arial" w:cs="Arial"/>
          <w:i/>
          <w:iCs/>
          <w:color w:val="000000"/>
        </w:rPr>
        <w:t>International Conference on Harmonization</w:t>
      </w:r>
      <w:r w:rsidRPr="00D74ED1">
        <w:rPr>
          <w:rFonts w:ascii="Arial" w:hAnsi="Arial" w:cs="Arial"/>
          <w:color w:val="000000"/>
        </w:rPr>
        <w:t>; 2005.</w:t>
      </w:r>
    </w:p>
    <w:p w14:paraId="0E6FB827" w14:textId="77777777" w:rsidR="00D74ED1" w:rsidRDefault="00D74ED1" w:rsidP="00D74ED1">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Reddy KS, Prasad RB, Tiwari DC. In vitro and in vivo dissolution studies of drug–cyclodextrin inclusion complexes. </w:t>
      </w:r>
      <w:r w:rsidRPr="00D74ED1">
        <w:rPr>
          <w:rFonts w:ascii="Arial" w:hAnsi="Arial" w:cs="Arial"/>
          <w:i/>
          <w:iCs/>
          <w:color w:val="000000"/>
        </w:rPr>
        <w:t xml:space="preserve">Eur J Pharm </w:t>
      </w:r>
      <w:proofErr w:type="spellStart"/>
      <w:r w:rsidRPr="00D74ED1">
        <w:rPr>
          <w:rFonts w:ascii="Arial" w:hAnsi="Arial" w:cs="Arial"/>
          <w:i/>
          <w:iCs/>
          <w:color w:val="000000"/>
        </w:rPr>
        <w:t>Biopharm</w:t>
      </w:r>
      <w:proofErr w:type="spellEnd"/>
      <w:r w:rsidRPr="00D74ED1">
        <w:rPr>
          <w:rFonts w:ascii="Arial" w:hAnsi="Arial" w:cs="Arial"/>
          <w:color w:val="000000"/>
        </w:rPr>
        <w:t xml:space="preserve">. 2013;83(2):233–42. </w:t>
      </w:r>
      <w:proofErr w:type="gramStart"/>
      <w:r w:rsidRPr="00D74ED1">
        <w:rPr>
          <w:rFonts w:ascii="Arial" w:hAnsi="Arial" w:cs="Arial"/>
          <w:color w:val="000000"/>
        </w:rPr>
        <w:t>doi:10.1016/j.ejpb</w:t>
      </w:r>
      <w:proofErr w:type="gramEnd"/>
      <w:r w:rsidRPr="00D74ED1">
        <w:rPr>
          <w:rFonts w:ascii="Arial" w:hAnsi="Arial" w:cs="Arial"/>
          <w:color w:val="000000"/>
        </w:rPr>
        <w:t>.2012.10.013.</w:t>
      </w:r>
    </w:p>
    <w:p w14:paraId="1D55837D" w14:textId="77777777" w:rsidR="00D74ED1" w:rsidRDefault="00D74ED1" w:rsidP="00D74ED1">
      <w:pPr>
        <w:pStyle w:val="ListParagraph"/>
        <w:numPr>
          <w:ilvl w:val="0"/>
          <w:numId w:val="31"/>
        </w:numPr>
        <w:spacing w:line="360" w:lineRule="auto"/>
        <w:jc w:val="both"/>
        <w:rPr>
          <w:rFonts w:ascii="Arial" w:hAnsi="Arial" w:cs="Arial"/>
          <w:color w:val="000000"/>
        </w:rPr>
      </w:pPr>
      <w:proofErr w:type="spellStart"/>
      <w:r w:rsidRPr="00D74ED1">
        <w:rPr>
          <w:rFonts w:ascii="Arial" w:hAnsi="Arial" w:cs="Arial"/>
          <w:color w:val="000000"/>
        </w:rPr>
        <w:t>Uekama</w:t>
      </w:r>
      <w:proofErr w:type="spellEnd"/>
      <w:r w:rsidRPr="00D74ED1">
        <w:rPr>
          <w:rFonts w:ascii="Arial" w:hAnsi="Arial" w:cs="Arial"/>
          <w:color w:val="000000"/>
        </w:rPr>
        <w:t xml:space="preserve"> K, Hirayama F. Cyclodextrin-based drug formulations. </w:t>
      </w:r>
      <w:r w:rsidRPr="00D74ED1">
        <w:rPr>
          <w:rFonts w:ascii="Arial" w:hAnsi="Arial" w:cs="Arial"/>
          <w:i/>
          <w:iCs/>
          <w:color w:val="000000"/>
        </w:rPr>
        <w:t>Adv Drug Deliv Rev</w:t>
      </w:r>
      <w:r w:rsidRPr="00D74ED1">
        <w:rPr>
          <w:rFonts w:ascii="Arial" w:hAnsi="Arial" w:cs="Arial"/>
          <w:color w:val="000000"/>
        </w:rPr>
        <w:t>. 2003;55(3):279–300. doi:10.1016/S0169-409</w:t>
      </w:r>
      <w:proofErr w:type="gramStart"/>
      <w:r w:rsidRPr="00D74ED1">
        <w:rPr>
          <w:rFonts w:ascii="Arial" w:hAnsi="Arial" w:cs="Arial"/>
          <w:color w:val="000000"/>
        </w:rPr>
        <w:t>X(</w:t>
      </w:r>
      <w:proofErr w:type="gramEnd"/>
      <w:r w:rsidRPr="00D74ED1">
        <w:rPr>
          <w:rFonts w:ascii="Arial" w:hAnsi="Arial" w:cs="Arial"/>
          <w:color w:val="000000"/>
        </w:rPr>
        <w:t>02)00171-2.</w:t>
      </w:r>
    </w:p>
    <w:p w14:paraId="4542CE50" w14:textId="24FF7EF3" w:rsidR="00790ADA" w:rsidRPr="00D74ED1" w:rsidRDefault="00D74ED1" w:rsidP="00441B6F">
      <w:pPr>
        <w:pStyle w:val="ListParagraph"/>
        <w:numPr>
          <w:ilvl w:val="0"/>
          <w:numId w:val="31"/>
        </w:numPr>
        <w:spacing w:line="360" w:lineRule="auto"/>
        <w:jc w:val="both"/>
        <w:rPr>
          <w:rFonts w:ascii="Arial" w:hAnsi="Arial" w:cs="Arial"/>
          <w:color w:val="000000"/>
        </w:rPr>
      </w:pPr>
      <w:r w:rsidRPr="00D74ED1">
        <w:rPr>
          <w:rFonts w:ascii="Arial" w:hAnsi="Arial" w:cs="Arial"/>
          <w:color w:val="000000"/>
        </w:rPr>
        <w:t xml:space="preserve">Hedges JD, McDaniel H. Controlled drug release from cyclodextrin inclusion complexes. </w:t>
      </w:r>
      <w:r w:rsidRPr="00D74ED1">
        <w:rPr>
          <w:rFonts w:ascii="Arial" w:hAnsi="Arial" w:cs="Arial"/>
          <w:i/>
          <w:iCs/>
          <w:color w:val="000000"/>
        </w:rPr>
        <w:t>J Control Release</w:t>
      </w:r>
      <w:r w:rsidRPr="00D74ED1">
        <w:rPr>
          <w:rFonts w:ascii="Arial" w:hAnsi="Arial" w:cs="Arial"/>
          <w:color w:val="000000"/>
        </w:rPr>
        <w:t xml:space="preserve">. </w:t>
      </w:r>
      <w:proofErr w:type="gramStart"/>
      <w:r w:rsidRPr="00D74ED1">
        <w:rPr>
          <w:rFonts w:ascii="Arial" w:hAnsi="Arial" w:cs="Arial"/>
          <w:color w:val="000000"/>
        </w:rPr>
        <w:t>2015;206:179</w:t>
      </w:r>
      <w:proofErr w:type="gramEnd"/>
      <w:r w:rsidRPr="00D74ED1">
        <w:rPr>
          <w:rFonts w:ascii="Arial" w:hAnsi="Arial" w:cs="Arial"/>
          <w:color w:val="000000"/>
        </w:rPr>
        <w:t xml:space="preserve">–87. </w:t>
      </w:r>
      <w:proofErr w:type="gramStart"/>
      <w:r w:rsidRPr="00D74ED1">
        <w:rPr>
          <w:rFonts w:ascii="Arial" w:hAnsi="Arial" w:cs="Arial"/>
          <w:color w:val="000000"/>
        </w:rPr>
        <w:t>doi:10.1016/j.jconrel</w:t>
      </w:r>
      <w:proofErr w:type="gramEnd"/>
      <w:r w:rsidRPr="00D74ED1">
        <w:rPr>
          <w:rFonts w:ascii="Arial" w:hAnsi="Arial" w:cs="Arial"/>
          <w:color w:val="000000"/>
        </w:rPr>
        <w:t>.2015.02.012.</w:t>
      </w:r>
    </w:p>
    <w:sectPr w:rsidR="00790ADA" w:rsidRPr="00D74ED1" w:rsidSect="00B017F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84BAF" w14:textId="77777777" w:rsidR="009270D5" w:rsidRDefault="009270D5" w:rsidP="00C37E61">
      <w:r>
        <w:separator/>
      </w:r>
    </w:p>
  </w:endnote>
  <w:endnote w:type="continuationSeparator" w:id="0">
    <w:p w14:paraId="62524E6B" w14:textId="77777777" w:rsidR="009270D5" w:rsidRDefault="009270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63E9" w14:textId="77777777" w:rsidR="00A16C72" w:rsidRDefault="00A16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769" w14:textId="77777777" w:rsidR="00A16C72" w:rsidRDefault="00A16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608A" w14:textId="77777777" w:rsidR="009E048A" w:rsidRDefault="009E048A">
    <w:pPr>
      <w:pStyle w:val="Footer"/>
      <w:rPr>
        <w:rFonts w:ascii="Arial" w:hAnsi="Arial" w:cs="Arial"/>
        <w:sz w:val="16"/>
      </w:rPr>
    </w:pPr>
  </w:p>
  <w:p w14:paraId="56A47A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F2ED92" w14:textId="77777777" w:rsidR="009E048A" w:rsidRDefault="009E048A">
    <w:pPr>
      <w:pStyle w:val="Footer"/>
      <w:rPr>
        <w:rFonts w:ascii="Arial" w:hAnsi="Arial" w:cs="Arial"/>
        <w:sz w:val="16"/>
      </w:rPr>
    </w:pPr>
  </w:p>
  <w:p w14:paraId="4890F1B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FF7C" w14:textId="77777777" w:rsidR="009270D5" w:rsidRDefault="009270D5" w:rsidP="00C37E61">
      <w:r>
        <w:separator/>
      </w:r>
    </w:p>
  </w:footnote>
  <w:footnote w:type="continuationSeparator" w:id="0">
    <w:p w14:paraId="6A1B8D27" w14:textId="77777777" w:rsidR="009270D5" w:rsidRDefault="009270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E508" w14:textId="22F3AACC" w:rsidR="00A16C72" w:rsidRDefault="00A16C72">
    <w:pPr>
      <w:pStyle w:val="Header"/>
    </w:pPr>
    <w:r>
      <w:rPr>
        <w:noProof/>
      </w:rPr>
      <w:pict w14:anchorId="08E3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C9D1" w14:textId="6713A24E" w:rsidR="00A16C72" w:rsidRDefault="00A16C72">
    <w:pPr>
      <w:pStyle w:val="Header"/>
    </w:pPr>
    <w:r>
      <w:rPr>
        <w:noProof/>
      </w:rPr>
      <w:pict w14:anchorId="7A749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17C4" w14:textId="11A44DC1" w:rsidR="00296529" w:rsidRPr="00296529" w:rsidRDefault="00A16C72" w:rsidP="00296529">
    <w:pPr>
      <w:ind w:left="2160"/>
      <w:jc w:val="center"/>
      <w:rPr>
        <w:rFonts w:ascii="Times New Roman" w:eastAsia="Calibri" w:hAnsi="Times New Roman"/>
        <w:i/>
        <w:sz w:val="18"/>
        <w:szCs w:val="22"/>
      </w:rPr>
    </w:pPr>
    <w:r>
      <w:rPr>
        <w:noProof/>
      </w:rPr>
      <w:pict w14:anchorId="0F357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A999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78D1F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1BEE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9237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55B1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81B1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D1249"/>
    <w:multiLevelType w:val="hybridMultilevel"/>
    <w:tmpl w:val="1B2234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1C3"/>
    <w:rsid w:val="000739D9"/>
    <w:rsid w:val="00091C3D"/>
    <w:rsid w:val="000A47FA"/>
    <w:rsid w:val="000A65D3"/>
    <w:rsid w:val="000B1E33"/>
    <w:rsid w:val="000C3B95"/>
    <w:rsid w:val="000D689F"/>
    <w:rsid w:val="000D6BD5"/>
    <w:rsid w:val="000E7B7B"/>
    <w:rsid w:val="000E7D62"/>
    <w:rsid w:val="00103357"/>
    <w:rsid w:val="00123C9F"/>
    <w:rsid w:val="00124C64"/>
    <w:rsid w:val="00126190"/>
    <w:rsid w:val="00130F17"/>
    <w:rsid w:val="001320BF"/>
    <w:rsid w:val="00163BC4"/>
    <w:rsid w:val="00191062"/>
    <w:rsid w:val="00192B72"/>
    <w:rsid w:val="001A05DC"/>
    <w:rsid w:val="001A29D8"/>
    <w:rsid w:val="001A5CAA"/>
    <w:rsid w:val="001B0427"/>
    <w:rsid w:val="001D3A51"/>
    <w:rsid w:val="001D6882"/>
    <w:rsid w:val="001E10D2"/>
    <w:rsid w:val="001E25B4"/>
    <w:rsid w:val="001E44FE"/>
    <w:rsid w:val="00200595"/>
    <w:rsid w:val="00201BB8"/>
    <w:rsid w:val="00204835"/>
    <w:rsid w:val="00214C18"/>
    <w:rsid w:val="00217105"/>
    <w:rsid w:val="00224F6E"/>
    <w:rsid w:val="00231920"/>
    <w:rsid w:val="0023195C"/>
    <w:rsid w:val="00232553"/>
    <w:rsid w:val="00234F4B"/>
    <w:rsid w:val="0024037A"/>
    <w:rsid w:val="0024282C"/>
    <w:rsid w:val="002460DC"/>
    <w:rsid w:val="00250985"/>
    <w:rsid w:val="002556F6"/>
    <w:rsid w:val="00282295"/>
    <w:rsid w:val="00283105"/>
    <w:rsid w:val="00284C4C"/>
    <w:rsid w:val="00287E68"/>
    <w:rsid w:val="00296529"/>
    <w:rsid w:val="002B27FB"/>
    <w:rsid w:val="002B685A"/>
    <w:rsid w:val="002C57D2"/>
    <w:rsid w:val="002E0D56"/>
    <w:rsid w:val="002E38D6"/>
    <w:rsid w:val="00315186"/>
    <w:rsid w:val="00321C32"/>
    <w:rsid w:val="00323D82"/>
    <w:rsid w:val="0033343E"/>
    <w:rsid w:val="00335FA7"/>
    <w:rsid w:val="003512C2"/>
    <w:rsid w:val="00371FB6"/>
    <w:rsid w:val="003763C1"/>
    <w:rsid w:val="00376BBE"/>
    <w:rsid w:val="003848EF"/>
    <w:rsid w:val="0039224F"/>
    <w:rsid w:val="003A31A3"/>
    <w:rsid w:val="003A43A4"/>
    <w:rsid w:val="003A7E18"/>
    <w:rsid w:val="003C04EE"/>
    <w:rsid w:val="003C4C86"/>
    <w:rsid w:val="003C6258"/>
    <w:rsid w:val="003C7FE7"/>
    <w:rsid w:val="003E2904"/>
    <w:rsid w:val="00401927"/>
    <w:rsid w:val="004048F6"/>
    <w:rsid w:val="0041027F"/>
    <w:rsid w:val="00412475"/>
    <w:rsid w:val="00423789"/>
    <w:rsid w:val="0043366F"/>
    <w:rsid w:val="00440F43"/>
    <w:rsid w:val="00441B6F"/>
    <w:rsid w:val="0044534E"/>
    <w:rsid w:val="00446221"/>
    <w:rsid w:val="00450E62"/>
    <w:rsid w:val="004539DB"/>
    <w:rsid w:val="00471A80"/>
    <w:rsid w:val="004D305E"/>
    <w:rsid w:val="004D4277"/>
    <w:rsid w:val="004E300C"/>
    <w:rsid w:val="004E3167"/>
    <w:rsid w:val="00502516"/>
    <w:rsid w:val="00502678"/>
    <w:rsid w:val="00505F06"/>
    <w:rsid w:val="0050666E"/>
    <w:rsid w:val="00506828"/>
    <w:rsid w:val="0053056E"/>
    <w:rsid w:val="00544617"/>
    <w:rsid w:val="00552232"/>
    <w:rsid w:val="00554FDA"/>
    <w:rsid w:val="0059604B"/>
    <w:rsid w:val="005A30F6"/>
    <w:rsid w:val="005A3292"/>
    <w:rsid w:val="005C784C"/>
    <w:rsid w:val="005D17F6"/>
    <w:rsid w:val="005E5539"/>
    <w:rsid w:val="005F3EC4"/>
    <w:rsid w:val="00600955"/>
    <w:rsid w:val="00602BF5"/>
    <w:rsid w:val="00617FDD"/>
    <w:rsid w:val="00633614"/>
    <w:rsid w:val="00633F68"/>
    <w:rsid w:val="00636EB2"/>
    <w:rsid w:val="006375B8"/>
    <w:rsid w:val="0064017A"/>
    <w:rsid w:val="006557BC"/>
    <w:rsid w:val="00656922"/>
    <w:rsid w:val="00656A81"/>
    <w:rsid w:val="00656BA3"/>
    <w:rsid w:val="0066510A"/>
    <w:rsid w:val="00673F9F"/>
    <w:rsid w:val="00686953"/>
    <w:rsid w:val="00687DEA"/>
    <w:rsid w:val="00687E67"/>
    <w:rsid w:val="006931F3"/>
    <w:rsid w:val="006967F7"/>
    <w:rsid w:val="006A250C"/>
    <w:rsid w:val="006B21D3"/>
    <w:rsid w:val="006B57D0"/>
    <w:rsid w:val="006D1059"/>
    <w:rsid w:val="006D30FF"/>
    <w:rsid w:val="006D6940"/>
    <w:rsid w:val="006F11EC"/>
    <w:rsid w:val="0070082C"/>
    <w:rsid w:val="007216D0"/>
    <w:rsid w:val="00726AFE"/>
    <w:rsid w:val="007369E6"/>
    <w:rsid w:val="007452DE"/>
    <w:rsid w:val="00745726"/>
    <w:rsid w:val="00746E59"/>
    <w:rsid w:val="007507DA"/>
    <w:rsid w:val="00754C9A"/>
    <w:rsid w:val="0075599A"/>
    <w:rsid w:val="00761D52"/>
    <w:rsid w:val="0077749E"/>
    <w:rsid w:val="00790ADA"/>
    <w:rsid w:val="00792F7F"/>
    <w:rsid w:val="007A7A7D"/>
    <w:rsid w:val="007C2124"/>
    <w:rsid w:val="007D2288"/>
    <w:rsid w:val="007E088F"/>
    <w:rsid w:val="007E5810"/>
    <w:rsid w:val="007E658F"/>
    <w:rsid w:val="007F7B32"/>
    <w:rsid w:val="00801F79"/>
    <w:rsid w:val="00804BC2"/>
    <w:rsid w:val="0081431A"/>
    <w:rsid w:val="0082351A"/>
    <w:rsid w:val="008261C7"/>
    <w:rsid w:val="0083216F"/>
    <w:rsid w:val="00850348"/>
    <w:rsid w:val="00851A25"/>
    <w:rsid w:val="00860000"/>
    <w:rsid w:val="00863BD3"/>
    <w:rsid w:val="008641ED"/>
    <w:rsid w:val="00865544"/>
    <w:rsid w:val="00866D66"/>
    <w:rsid w:val="008671C6"/>
    <w:rsid w:val="00875803"/>
    <w:rsid w:val="00877B15"/>
    <w:rsid w:val="008B459E"/>
    <w:rsid w:val="008E13AE"/>
    <w:rsid w:val="008E1506"/>
    <w:rsid w:val="008E710C"/>
    <w:rsid w:val="008E790C"/>
    <w:rsid w:val="008F404F"/>
    <w:rsid w:val="008F69D6"/>
    <w:rsid w:val="00902823"/>
    <w:rsid w:val="00915CA6"/>
    <w:rsid w:val="009270D5"/>
    <w:rsid w:val="009272FD"/>
    <w:rsid w:val="00927834"/>
    <w:rsid w:val="00936B1F"/>
    <w:rsid w:val="009500A6"/>
    <w:rsid w:val="00957C18"/>
    <w:rsid w:val="00961D98"/>
    <w:rsid w:val="009659BA"/>
    <w:rsid w:val="00980AB1"/>
    <w:rsid w:val="00983040"/>
    <w:rsid w:val="009A1B9F"/>
    <w:rsid w:val="009A6E14"/>
    <w:rsid w:val="009B3FB9"/>
    <w:rsid w:val="009B65B8"/>
    <w:rsid w:val="009C2465"/>
    <w:rsid w:val="009C7DB7"/>
    <w:rsid w:val="009D35A0"/>
    <w:rsid w:val="009D7EB7"/>
    <w:rsid w:val="009E048A"/>
    <w:rsid w:val="009E08E9"/>
    <w:rsid w:val="009E3DB9"/>
    <w:rsid w:val="009E6E35"/>
    <w:rsid w:val="009F0EDA"/>
    <w:rsid w:val="00A03B96"/>
    <w:rsid w:val="00A05B19"/>
    <w:rsid w:val="00A1134E"/>
    <w:rsid w:val="00A16C72"/>
    <w:rsid w:val="00A17F81"/>
    <w:rsid w:val="00A24E7E"/>
    <w:rsid w:val="00A258C3"/>
    <w:rsid w:val="00A25988"/>
    <w:rsid w:val="00A347C0"/>
    <w:rsid w:val="00A36839"/>
    <w:rsid w:val="00A51431"/>
    <w:rsid w:val="00A539AD"/>
    <w:rsid w:val="00A54709"/>
    <w:rsid w:val="00A65BDE"/>
    <w:rsid w:val="00A94063"/>
    <w:rsid w:val="00A96C9B"/>
    <w:rsid w:val="00AA6219"/>
    <w:rsid w:val="00AA74E0"/>
    <w:rsid w:val="00AB703F"/>
    <w:rsid w:val="00AC6BB8"/>
    <w:rsid w:val="00AE008F"/>
    <w:rsid w:val="00AE3AE2"/>
    <w:rsid w:val="00B013C2"/>
    <w:rsid w:val="00B017FA"/>
    <w:rsid w:val="00B01FCD"/>
    <w:rsid w:val="00B1776C"/>
    <w:rsid w:val="00B40DFD"/>
    <w:rsid w:val="00B52583"/>
    <w:rsid w:val="00B52896"/>
    <w:rsid w:val="00B57186"/>
    <w:rsid w:val="00B95236"/>
    <w:rsid w:val="00B96BD9"/>
    <w:rsid w:val="00BA1B01"/>
    <w:rsid w:val="00BA2641"/>
    <w:rsid w:val="00BA2BC9"/>
    <w:rsid w:val="00BB37AA"/>
    <w:rsid w:val="00BC32A1"/>
    <w:rsid w:val="00BC53A0"/>
    <w:rsid w:val="00BE62AD"/>
    <w:rsid w:val="00BF121F"/>
    <w:rsid w:val="00BF1F80"/>
    <w:rsid w:val="00BF66BD"/>
    <w:rsid w:val="00C04119"/>
    <w:rsid w:val="00C12270"/>
    <w:rsid w:val="00C166EF"/>
    <w:rsid w:val="00C17EB0"/>
    <w:rsid w:val="00C253E2"/>
    <w:rsid w:val="00C27F5F"/>
    <w:rsid w:val="00C30A0F"/>
    <w:rsid w:val="00C37E61"/>
    <w:rsid w:val="00C438C5"/>
    <w:rsid w:val="00C65B92"/>
    <w:rsid w:val="00C70F1B"/>
    <w:rsid w:val="00C711FF"/>
    <w:rsid w:val="00C71A47"/>
    <w:rsid w:val="00C7464C"/>
    <w:rsid w:val="00C82CA4"/>
    <w:rsid w:val="00C85588"/>
    <w:rsid w:val="00CB274F"/>
    <w:rsid w:val="00CC109E"/>
    <w:rsid w:val="00CD6755"/>
    <w:rsid w:val="00CD6856"/>
    <w:rsid w:val="00CE0089"/>
    <w:rsid w:val="00CE793C"/>
    <w:rsid w:val="00CF193C"/>
    <w:rsid w:val="00D00F14"/>
    <w:rsid w:val="00D10FC4"/>
    <w:rsid w:val="00D173F1"/>
    <w:rsid w:val="00D26203"/>
    <w:rsid w:val="00D74CB0"/>
    <w:rsid w:val="00D74ED1"/>
    <w:rsid w:val="00D75409"/>
    <w:rsid w:val="00D8295D"/>
    <w:rsid w:val="00D843AF"/>
    <w:rsid w:val="00DC2A65"/>
    <w:rsid w:val="00DC37FA"/>
    <w:rsid w:val="00DE15F0"/>
    <w:rsid w:val="00DE5663"/>
    <w:rsid w:val="00DE65A6"/>
    <w:rsid w:val="00DE78AA"/>
    <w:rsid w:val="00E052C9"/>
    <w:rsid w:val="00E053D0"/>
    <w:rsid w:val="00E15994"/>
    <w:rsid w:val="00E25F9D"/>
    <w:rsid w:val="00E3114E"/>
    <w:rsid w:val="00E31A70"/>
    <w:rsid w:val="00E33439"/>
    <w:rsid w:val="00E35B02"/>
    <w:rsid w:val="00E41097"/>
    <w:rsid w:val="00E50D7E"/>
    <w:rsid w:val="00E66496"/>
    <w:rsid w:val="00E66B35"/>
    <w:rsid w:val="00E66E10"/>
    <w:rsid w:val="00E6768C"/>
    <w:rsid w:val="00E72930"/>
    <w:rsid w:val="00E74855"/>
    <w:rsid w:val="00E769F6"/>
    <w:rsid w:val="00E8407C"/>
    <w:rsid w:val="00E84F3C"/>
    <w:rsid w:val="00E96679"/>
    <w:rsid w:val="00E975B1"/>
    <w:rsid w:val="00EA012C"/>
    <w:rsid w:val="00EC1665"/>
    <w:rsid w:val="00EC6A55"/>
    <w:rsid w:val="00ED0288"/>
    <w:rsid w:val="00EE52CB"/>
    <w:rsid w:val="00EF2FC9"/>
    <w:rsid w:val="00EF581D"/>
    <w:rsid w:val="00EF7FD8"/>
    <w:rsid w:val="00F017FB"/>
    <w:rsid w:val="00F06F59"/>
    <w:rsid w:val="00F12F28"/>
    <w:rsid w:val="00F17988"/>
    <w:rsid w:val="00F231FE"/>
    <w:rsid w:val="00F469F0"/>
    <w:rsid w:val="00F53273"/>
    <w:rsid w:val="00F5519B"/>
    <w:rsid w:val="00F64E30"/>
    <w:rsid w:val="00F755E4"/>
    <w:rsid w:val="00F767AB"/>
    <w:rsid w:val="00F77D02"/>
    <w:rsid w:val="00F806F3"/>
    <w:rsid w:val="00F834BB"/>
    <w:rsid w:val="00FA322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AC89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739D9"/>
    <w:rPr>
      <w:rFonts w:ascii="Times New Roman" w:hAnsi="Times New Roman"/>
      <w:sz w:val="24"/>
      <w:szCs w:val="24"/>
    </w:rPr>
  </w:style>
  <w:style w:type="character" w:styleId="PlaceholderText">
    <w:name w:val="Placeholder Text"/>
    <w:basedOn w:val="DefaultParagraphFont"/>
    <w:uiPriority w:val="99"/>
    <w:semiHidden/>
    <w:rsid w:val="00321C32"/>
    <w:rPr>
      <w:color w:val="666666"/>
    </w:rPr>
  </w:style>
  <w:style w:type="paragraph" w:styleId="BodyText">
    <w:name w:val="Body Text"/>
    <w:basedOn w:val="Normal"/>
    <w:link w:val="BodyTextChar"/>
    <w:unhideWhenUsed/>
    <w:rsid w:val="004E300C"/>
    <w:pPr>
      <w:spacing w:after="120"/>
    </w:pPr>
  </w:style>
  <w:style w:type="character" w:customStyle="1" w:styleId="BodyTextChar">
    <w:name w:val="Body Text Char"/>
    <w:basedOn w:val="DefaultParagraphFont"/>
    <w:link w:val="BodyText"/>
    <w:rsid w:val="004E300C"/>
    <w:rPr>
      <w:rFonts w:ascii="Helvetica" w:hAnsi="Helvetica"/>
    </w:rPr>
  </w:style>
  <w:style w:type="table" w:customStyle="1" w:styleId="Style10">
    <w:name w:val="_Style 10"/>
    <w:basedOn w:val="TableNormal"/>
    <w:qFormat/>
    <w:rsid w:val="004E300C"/>
    <w:rPr>
      <w:lang w:val="en-IN" w:eastAsia="en-IN"/>
    </w:rPr>
    <w:tblPr/>
  </w:style>
  <w:style w:type="table" w:customStyle="1" w:styleId="Style11">
    <w:name w:val="_Style 11"/>
    <w:basedOn w:val="TableNormal"/>
    <w:qFormat/>
    <w:rsid w:val="004E300C"/>
    <w:rPr>
      <w:rFonts w:eastAsia="SimSun"/>
      <w:lang w:val="en-IN" w:eastAsia="en-IN"/>
    </w:rPr>
    <w:tblPr>
      <w:tblInd w:w="0" w:type="nil"/>
    </w:tblPr>
  </w:style>
  <w:style w:type="table" w:customStyle="1" w:styleId="Style13">
    <w:name w:val="_Style 13"/>
    <w:basedOn w:val="TableNormal"/>
    <w:qFormat/>
    <w:rsid w:val="004E300C"/>
    <w:rPr>
      <w:rFonts w:eastAsia="SimSun"/>
      <w:lang w:val="en-IN" w:eastAsia="en-IN"/>
    </w:rPr>
    <w:tblPr>
      <w:tblInd w:w="0" w:type="nil"/>
      <w:tblCellMar>
        <w:left w:w="0" w:type="dxa"/>
        <w:right w:w="0" w:type="dxa"/>
      </w:tblCellMar>
    </w:tblPr>
  </w:style>
  <w:style w:type="paragraph" w:styleId="ListParagraph">
    <w:name w:val="List Paragraph"/>
    <w:basedOn w:val="Normal"/>
    <w:uiPriority w:val="34"/>
    <w:qFormat/>
    <w:rsid w:val="00D7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4F673AC36541097B/document/Solubility%20daigram%20of%20dolutegravir%20sodium%20with%20bc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ph%201.2%20f1%20to%20f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ph%201.2%20f1%20to%20f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COMPARATIVE%20STUDY%20OF%20F5%20WITH%20MARKETED%20FORM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Sheet1!$B$2</c:f>
              <c:strCache>
                <c:ptCount val="1"/>
                <c:pt idx="0">
                  <c:v>Solubilty of  DTG SODIUM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0.194617016622922"/>
                  <c:y val="-7.8198454359871702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Sheet1!$A$3:$A$8</c:f>
              <c:numCache>
                <c:formatCode>General</c:formatCode>
                <c:ptCount val="6"/>
                <c:pt idx="0">
                  <c:v>0</c:v>
                </c:pt>
                <c:pt idx="1">
                  <c:v>4.0000000000000001E-3</c:v>
                </c:pt>
                <c:pt idx="2">
                  <c:v>8.0000000000000002E-3</c:v>
                </c:pt>
                <c:pt idx="3">
                  <c:v>1.2E-2</c:v>
                </c:pt>
                <c:pt idx="4">
                  <c:v>1.6E-2</c:v>
                </c:pt>
                <c:pt idx="5">
                  <c:v>0.02</c:v>
                </c:pt>
              </c:numCache>
            </c:numRef>
          </c:xVal>
          <c:yVal>
            <c:numRef>
              <c:f>Sheet1!$B$3:$B$8</c:f>
              <c:numCache>
                <c:formatCode>General</c:formatCode>
                <c:ptCount val="6"/>
                <c:pt idx="0">
                  <c:v>1E-3</c:v>
                </c:pt>
                <c:pt idx="1">
                  <c:v>0.01</c:v>
                </c:pt>
                <c:pt idx="2">
                  <c:v>1.7000000000000001E-2</c:v>
                </c:pt>
                <c:pt idx="3">
                  <c:v>2.4E-2</c:v>
                </c:pt>
                <c:pt idx="4">
                  <c:v>3.1E-2</c:v>
                </c:pt>
                <c:pt idx="5">
                  <c:v>0.04</c:v>
                </c:pt>
              </c:numCache>
            </c:numRef>
          </c:yVal>
          <c:smooth val="0"/>
          <c:extLst>
            <c:ext xmlns:c16="http://schemas.microsoft.com/office/drawing/2014/chart" uri="{C3380CC4-5D6E-409C-BE32-E72D297353CC}">
              <c16:uniqueId val="{00000002-3A7A-46B1-B8B9-7B09D23BD000}"/>
            </c:ext>
          </c:extLst>
        </c:ser>
        <c:dLbls>
          <c:showLegendKey val="0"/>
          <c:showVal val="0"/>
          <c:showCatName val="0"/>
          <c:showSerName val="0"/>
          <c:showPercent val="0"/>
          <c:showBubbleSize val="0"/>
        </c:dLbls>
        <c:axId val="1309797232"/>
        <c:axId val="1309798192"/>
      </c:scatterChart>
      <c:valAx>
        <c:axId val="1309797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charset="0"/>
                    <a:cs typeface="Times New Roman" panose="02020603050405020304" charset="0"/>
                  </a:rPr>
                  <a:t>Concentration</a:t>
                </a:r>
                <a:r>
                  <a:rPr lang="en-IN" baseline="0">
                    <a:latin typeface="Times New Roman" panose="02020603050405020304" charset="0"/>
                    <a:cs typeface="Times New Roman" panose="02020603050405020304" charset="0"/>
                  </a:rPr>
                  <a:t> of </a:t>
                </a:r>
                <a:r>
                  <a:rPr lang="el-GR" baseline="0">
                    <a:latin typeface="Times New Roman" panose="02020603050405020304" charset="0"/>
                    <a:cs typeface="Times New Roman" panose="02020603050405020304" charset="0"/>
                  </a:rPr>
                  <a:t>β</a:t>
                </a:r>
                <a:r>
                  <a:rPr lang="en-IN" baseline="0">
                    <a:latin typeface="Times New Roman" panose="02020603050405020304" charset="0"/>
                    <a:cs typeface="Times New Roman" panose="02020603050405020304" charset="0"/>
                  </a:rPr>
                  <a:t>-CD (moles</a:t>
                </a:r>
                <a:r>
                  <a:rPr lang="en-IN" baseline="0"/>
                  <a:t>)</a:t>
                </a:r>
                <a:endParaRPr lang="en-IN"/>
              </a:p>
            </c:rich>
          </c:tx>
          <c:layout>
            <c:manualLayout>
              <c:xMode val="edge"/>
              <c:yMode val="edge"/>
              <c:x val="0.36241557305336802"/>
              <c:y val="0.901828521434820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09798192"/>
        <c:crosses val="autoZero"/>
        <c:crossBetween val="midCat"/>
      </c:valAx>
      <c:valAx>
        <c:axId val="130979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charset="0"/>
                    <a:ea typeface="Sans Serif Collection" panose="020B0502040504020204" pitchFamily="34" charset="0"/>
                    <a:cs typeface="Times New Roman" panose="02020603050405020304" charset="0"/>
                  </a:rPr>
                  <a:t>Solubility</a:t>
                </a:r>
                <a:r>
                  <a:rPr lang="en-IN" baseline="0">
                    <a:latin typeface="Times New Roman" panose="02020603050405020304" charset="0"/>
                    <a:ea typeface="Sans Serif Collection" panose="020B0502040504020204" pitchFamily="34" charset="0"/>
                    <a:cs typeface="Times New Roman" panose="02020603050405020304" charset="0"/>
                  </a:rPr>
                  <a:t> of Dolutegravir sodium(mg/mL)</a:t>
                </a:r>
                <a:endParaRPr lang="en-IN">
                  <a:latin typeface="Times New Roman" panose="02020603050405020304" charset="0"/>
                  <a:ea typeface="Sans Serif Collection" panose="020B0502040504020204" pitchFamily="3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09797232"/>
        <c:crosses val="autoZero"/>
        <c:crossBetween val="midCat"/>
      </c:valAx>
      <c:spPr>
        <a:noFill/>
        <a:ln>
          <a:noFill/>
        </a:ln>
        <a:effectLst/>
      </c:spPr>
    </c:plotArea>
    <c:plotVisOnly val="1"/>
    <c:dispBlanksAs val="gap"/>
    <c:showDLblsOverMax val="0"/>
    <c:extLst>
      <c:ext uri="{0b15fc19-7d7d-44ad-8c2d-2c3a37ce22c3}">
        <chartProps xmlns="https://web.wps.cn/et/2018/main" chartId="{94b7a362-f350-4e04-8b9c-e3f43693632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cap="none" spc="50" normalizeH="0" baseline="0">
                <a:solidFill>
                  <a:schemeClr val="tx1">
                    <a:lumMod val="65000"/>
                    <a:lumOff val="35000"/>
                  </a:schemeClr>
                </a:solidFill>
                <a:latin typeface="Times New Roman" panose="02020603050405020304" charset="0"/>
                <a:ea typeface="+mj-ea"/>
                <a:cs typeface="Times New Roman" panose="02020603050405020304" charset="0"/>
              </a:defRPr>
            </a:pPr>
            <a:r>
              <a:rPr lang="en-IN"/>
              <a:t> </a:t>
            </a:r>
          </a:p>
        </c:rich>
      </c:tx>
      <c:overlay val="0"/>
      <c:spPr>
        <a:noFill/>
        <a:ln>
          <a:noFill/>
        </a:ln>
        <a:effectLst/>
      </c:spPr>
      <c:txPr>
        <a:bodyPr rot="0" spcFirstLastPara="1" vertOverflow="ellipsis" vert="horz" wrap="square" anchor="ctr" anchorCtr="1"/>
        <a:lstStyle/>
        <a:p>
          <a:pPr>
            <a:defRPr lang="en-US" sz="1600" b="0" i="0" u="none" strike="noStrike" kern="1200" cap="none" spc="50" normalizeH="0" baseline="0">
              <a:solidFill>
                <a:schemeClr val="tx1">
                  <a:lumMod val="65000"/>
                  <a:lumOff val="35000"/>
                </a:schemeClr>
              </a:solidFill>
              <a:latin typeface="Times New Roman" panose="02020603050405020304" charset="0"/>
              <a:ea typeface="+mj-ea"/>
              <a:cs typeface="Times New Roman" panose="02020603050405020304" charset="0"/>
            </a:defRPr>
          </a:pPr>
          <a:endParaRPr lang="en-US"/>
        </a:p>
      </c:txPr>
    </c:title>
    <c:autoTitleDeleted val="0"/>
    <c:plotArea>
      <c:layout/>
      <c:scatterChart>
        <c:scatterStyle val="lineMarker"/>
        <c:varyColors val="0"/>
        <c:ser>
          <c:idx val="0"/>
          <c:order val="0"/>
          <c:tx>
            <c:strRef>
              <c:f>Sheet1!$C$3</c:f>
              <c:strCache>
                <c:ptCount val="1"/>
                <c:pt idx="0">
                  <c:v>Inclusion complex(1:1)</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Sheet1!$C$4:$C$10</c:f>
              <c:numCache>
                <c:formatCode>General</c:formatCode>
                <c:ptCount val="7"/>
                <c:pt idx="0">
                  <c:v>0</c:v>
                </c:pt>
                <c:pt idx="1">
                  <c:v>8.5511400000000002</c:v>
                </c:pt>
                <c:pt idx="2">
                  <c:v>12.593500000000001</c:v>
                </c:pt>
                <c:pt idx="3">
                  <c:v>21.3001</c:v>
                </c:pt>
                <c:pt idx="4">
                  <c:v>30.317599999999999</c:v>
                </c:pt>
                <c:pt idx="5">
                  <c:v>35.9148</c:v>
                </c:pt>
                <c:pt idx="6">
                  <c:v>37.469499999999996</c:v>
                </c:pt>
              </c:numCache>
            </c:numRef>
          </c:yVal>
          <c:smooth val="0"/>
          <c:extLst>
            <c:ext xmlns:c16="http://schemas.microsoft.com/office/drawing/2014/chart" uri="{C3380CC4-5D6E-409C-BE32-E72D297353CC}">
              <c16:uniqueId val="{00000000-5DBA-45B0-87CC-00F3820458B6}"/>
            </c:ext>
          </c:extLst>
        </c:ser>
        <c:ser>
          <c:idx val="1"/>
          <c:order val="1"/>
          <c:tx>
            <c:strRef>
              <c:f>Sheet1!$D$3</c:f>
              <c:strCache>
                <c:ptCount val="1"/>
                <c:pt idx="0">
                  <c:v>Inclusion complex(1:2)</c:v>
                </c:pt>
              </c:strCache>
            </c:strRef>
          </c:tx>
          <c:spPr>
            <a:ln w="19050" cap="rnd">
              <a:solidFill>
                <a:schemeClr val="accent2">
                  <a:alpha val="60000"/>
                </a:schemeClr>
              </a:solidFill>
              <a:round/>
            </a:ln>
            <a:effectLst/>
          </c:spPr>
          <c:marker>
            <c:symbol val="circle"/>
            <c:size val="6"/>
            <c:spPr>
              <a:solidFill>
                <a:schemeClr val="lt1"/>
              </a:solidFill>
              <a:ln w="38100">
                <a:solidFill>
                  <a:schemeClr val="accent2">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Sheet1!$D$4:$D$10</c:f>
              <c:numCache>
                <c:formatCode>General</c:formatCode>
                <c:ptCount val="7"/>
                <c:pt idx="0">
                  <c:v>0</c:v>
                </c:pt>
                <c:pt idx="1">
                  <c:v>10.013299999999999</c:v>
                </c:pt>
                <c:pt idx="2">
                  <c:v>12.5808</c:v>
                </c:pt>
                <c:pt idx="3">
                  <c:v>18.229399999999998</c:v>
                </c:pt>
                <c:pt idx="4">
                  <c:v>27.986000000000001</c:v>
                </c:pt>
                <c:pt idx="5">
                  <c:v>34.148000000000003</c:v>
                </c:pt>
                <c:pt idx="6">
                  <c:v>39.796599999999998</c:v>
                </c:pt>
              </c:numCache>
            </c:numRef>
          </c:yVal>
          <c:smooth val="0"/>
          <c:extLst>
            <c:ext xmlns:c16="http://schemas.microsoft.com/office/drawing/2014/chart" uri="{C3380CC4-5D6E-409C-BE32-E72D297353CC}">
              <c16:uniqueId val="{00000001-5DBA-45B0-87CC-00F3820458B6}"/>
            </c:ext>
          </c:extLst>
        </c:ser>
        <c:ser>
          <c:idx val="2"/>
          <c:order val="2"/>
          <c:tx>
            <c:strRef>
              <c:f>Sheet1!$E$3</c:f>
              <c:strCache>
                <c:ptCount val="1"/>
                <c:pt idx="0">
                  <c:v>Pure Drug</c:v>
                </c:pt>
              </c:strCache>
            </c:strRef>
          </c:tx>
          <c:spPr>
            <a:ln w="19050" cap="rnd">
              <a:solidFill>
                <a:schemeClr val="accent3">
                  <a:alpha val="60000"/>
                </a:schemeClr>
              </a:solidFill>
              <a:round/>
            </a:ln>
            <a:effectLst/>
          </c:spPr>
          <c:marker>
            <c:symbol val="circle"/>
            <c:size val="6"/>
            <c:spPr>
              <a:solidFill>
                <a:schemeClr val="lt1"/>
              </a:solidFill>
              <a:ln w="38100">
                <a:solidFill>
                  <a:schemeClr val="accent3">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Sheet1!$E$4:$E$10</c:f>
              <c:numCache>
                <c:formatCode>General</c:formatCode>
                <c:ptCount val="7"/>
                <c:pt idx="1">
                  <c:v>7.9320000000000004</c:v>
                </c:pt>
                <c:pt idx="2">
                  <c:v>10.311</c:v>
                </c:pt>
                <c:pt idx="3">
                  <c:v>16.542000000000002</c:v>
                </c:pt>
                <c:pt idx="4">
                  <c:v>26.542000000000002</c:v>
                </c:pt>
                <c:pt idx="5">
                  <c:v>33.326000000000001</c:v>
                </c:pt>
                <c:pt idx="6">
                  <c:v>35.656999999999996</c:v>
                </c:pt>
              </c:numCache>
            </c:numRef>
          </c:yVal>
          <c:smooth val="0"/>
          <c:extLst>
            <c:ext xmlns:c16="http://schemas.microsoft.com/office/drawing/2014/chart" uri="{C3380CC4-5D6E-409C-BE32-E72D297353CC}">
              <c16:uniqueId val="{00000002-5DBA-45B0-87CC-00F3820458B6}"/>
            </c:ext>
          </c:extLst>
        </c:ser>
        <c:dLbls>
          <c:showLegendKey val="0"/>
          <c:showVal val="0"/>
          <c:showCatName val="0"/>
          <c:showSerName val="0"/>
          <c:showPercent val="0"/>
          <c:showBubbleSize val="0"/>
        </c:dLbls>
        <c:axId val="2023429615"/>
        <c:axId val="2023430095"/>
        <c:extLst>
          <c:ext xmlns:c15="http://schemas.microsoft.com/office/drawing/2012/chart" uri="{02D57815-91ED-43cb-92C2-25804820EDAC}">
            <c15:filteredScatterSeries>
              <c15:ser>
                <c:idx val="3"/>
                <c:order val="3"/>
                <c:tx>
                  <c:strRef>
                    <c:extLst>
                      <c:ext uri="{02D57815-91ED-43cb-92C2-25804820EDAC}">
                        <c15:formulaRef>
                          <c15:sqref>Sheet1!$F$3</c15:sqref>
                        </c15:formulaRef>
                      </c:ext>
                    </c:extLst>
                    <c:strCache>
                      <c:ptCount val="1"/>
                    </c:strCache>
                  </c:strRef>
                </c:tx>
                <c:spPr>
                  <a:ln w="19050" cap="rnd">
                    <a:solidFill>
                      <a:schemeClr val="accent4">
                        <a:alpha val="60000"/>
                      </a:schemeClr>
                    </a:solidFill>
                    <a:round/>
                  </a:ln>
                  <a:effectLst/>
                </c:spPr>
                <c:marker>
                  <c:symbol val="circle"/>
                  <c:size val="6"/>
                  <c:spPr>
                    <a:solidFill>
                      <a:schemeClr val="lt1"/>
                    </a:solidFill>
                    <a:ln w="38100">
                      <a:solidFill>
                        <a:schemeClr val="accent4">
                          <a:alpha val="60000"/>
                        </a:schemeClr>
                      </a:solidFill>
                    </a:ln>
                    <a:effectLst/>
                  </c:spPr>
                </c:marker>
                <c:xVal>
                  <c:numLit>
                    <c:formatCode>General</c:formatCode>
                    <c:ptCount val="7"/>
                    <c:pt idx="0">
                      <c:v>0</c:v>
                    </c:pt>
                    <c:pt idx="1">
                      <c:v>10</c:v>
                    </c:pt>
                    <c:pt idx="2">
                      <c:v>20</c:v>
                    </c:pt>
                    <c:pt idx="3">
                      <c:v>30</c:v>
                    </c:pt>
                    <c:pt idx="4">
                      <c:v>40</c:v>
                    </c:pt>
                    <c:pt idx="5">
                      <c:v>50</c:v>
                    </c:pt>
                    <c:pt idx="6">
                      <c:v>60</c:v>
                    </c:pt>
                  </c:numLit>
                </c:xVal>
                <c:yVal>
                  <c:numLit>
                    <c:formatCode>General</c:formatCode>
                    <c:ptCount val="7"/>
                  </c:numLit>
                </c:yVal>
                <c:smooth val="0"/>
                <c:extLst>
                  <c:ext xmlns:c16="http://schemas.microsoft.com/office/drawing/2014/chart" uri="{C3380CC4-5D6E-409C-BE32-E72D297353CC}">
                    <c16:uniqueId val="{00000003-5DBA-45B0-87CC-00F3820458B6}"/>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Sheet1!$G$3</c15:sqref>
                        </c15:formulaRef>
                      </c:ext>
                    </c:extLst>
                    <c:strCache>
                      <c:ptCount val="1"/>
                    </c:strCache>
                  </c:strRef>
                </c:tx>
                <c:spPr>
                  <a:ln w="19050" cap="rnd">
                    <a:solidFill>
                      <a:schemeClr val="accent5">
                        <a:alpha val="60000"/>
                      </a:schemeClr>
                    </a:solidFill>
                    <a:round/>
                  </a:ln>
                  <a:effectLst/>
                </c:spPr>
                <c:marker>
                  <c:symbol val="circle"/>
                  <c:size val="6"/>
                  <c:spPr>
                    <a:solidFill>
                      <a:schemeClr val="lt1"/>
                    </a:solidFill>
                    <a:ln w="38100">
                      <a:solidFill>
                        <a:schemeClr val="accent5">
                          <a:alpha val="60000"/>
                        </a:schemeClr>
                      </a:solidFill>
                    </a:ln>
                    <a:effectLst/>
                  </c:spPr>
                </c:marker>
                <c:xVal>
                  <c:numLit>
                    <c:formatCode>General</c:formatCode>
                    <c:ptCount val="7"/>
                    <c:pt idx="0">
                      <c:v>0</c:v>
                    </c:pt>
                    <c:pt idx="1">
                      <c:v>10</c:v>
                    </c:pt>
                    <c:pt idx="2">
                      <c:v>20</c:v>
                    </c:pt>
                    <c:pt idx="3">
                      <c:v>30</c:v>
                    </c:pt>
                    <c:pt idx="4">
                      <c:v>40</c:v>
                    </c:pt>
                    <c:pt idx="5">
                      <c:v>50</c:v>
                    </c:pt>
                    <c:pt idx="6">
                      <c:v>60</c:v>
                    </c:pt>
                  </c:numLit>
                </c:xVal>
                <c:yVal>
                  <c:numLit>
                    <c:formatCode>General</c:formatCode>
                    <c:ptCount val="7"/>
                  </c:numLit>
                </c:yVal>
                <c:smooth val="0"/>
                <c:extLst xmlns:c15="http://schemas.microsoft.com/office/drawing/2012/chart">
                  <c:ext xmlns:c16="http://schemas.microsoft.com/office/drawing/2014/chart" uri="{C3380CC4-5D6E-409C-BE32-E72D297353CC}">
                    <c16:uniqueId val="{00000004-5DBA-45B0-87CC-00F3820458B6}"/>
                  </c:ext>
                </c:extLst>
              </c15:ser>
            </c15:filteredScatterSeries>
          </c:ext>
        </c:extLst>
      </c:scatterChart>
      <c:valAx>
        <c:axId val="20234296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IN"/>
                  <a:t>TIME(MIN))</a:t>
                </a: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lang="en-US" sz="900" b="0" i="0" u="none" strike="noStrike" kern="1200" spc="2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2023430095"/>
        <c:crosses val="autoZero"/>
        <c:crossBetween val="midCat"/>
      </c:valAx>
      <c:valAx>
        <c:axId val="2023430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IN"/>
                  <a:t>% CDR</a:t>
                </a:r>
              </a:p>
            </c:rich>
          </c:tx>
          <c:layout>
            <c:manualLayout>
              <c:xMode val="edge"/>
              <c:yMode val="edge"/>
              <c:x val="3.0477408866111701E-2"/>
              <c:y val="0.44031356984379899"/>
            </c:manualLayout>
          </c:layout>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lang="en-US" sz="900" b="0" i="0" u="none" strike="noStrike" kern="1200" spc="2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202342961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912b536-1523-47fe-9336-db5a07797bc5}"/>
      </c:ext>
    </c:extLst>
  </c:chart>
  <c:spPr>
    <a:solidFill>
      <a:schemeClr val="lt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cap="none" spc="50" normalizeH="0" baseline="0">
                <a:solidFill>
                  <a:schemeClr val="tx1">
                    <a:lumMod val="65000"/>
                    <a:lumOff val="35000"/>
                  </a:schemeClr>
                </a:solidFill>
                <a:latin typeface="+mj-lt"/>
                <a:ea typeface="+mj-ea"/>
                <a:cs typeface="+mj-cs"/>
              </a:defRPr>
            </a:pPr>
            <a:r>
              <a:rPr lang="en-IN"/>
              <a:t> </a:t>
            </a:r>
          </a:p>
        </c:rich>
      </c:tx>
      <c:overlay val="0"/>
      <c:spPr>
        <a:noFill/>
        <a:ln>
          <a:noFill/>
        </a:ln>
        <a:effectLst/>
      </c:spPr>
      <c:txPr>
        <a:bodyPr rot="0" spcFirstLastPara="1" vertOverflow="ellipsis" vert="horz" wrap="square" anchor="ctr" anchorCtr="1"/>
        <a:lstStyle/>
        <a:p>
          <a:pPr>
            <a:defRPr lang="en-US"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Sheet1!$C$3</c:f>
              <c:strCache>
                <c:ptCount val="1"/>
                <c:pt idx="0">
                  <c:v>Inclusion complex(1:1)</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Sheet1!$C$4:$C$10</c:f>
              <c:numCache>
                <c:formatCode>General</c:formatCode>
                <c:ptCount val="7"/>
                <c:pt idx="0">
                  <c:v>0</c:v>
                </c:pt>
                <c:pt idx="1">
                  <c:v>35.335999999999999</c:v>
                </c:pt>
                <c:pt idx="2">
                  <c:v>46.750399999999999</c:v>
                </c:pt>
                <c:pt idx="3">
                  <c:v>52.579000000000001</c:v>
                </c:pt>
                <c:pt idx="4">
                  <c:v>78.8078</c:v>
                </c:pt>
                <c:pt idx="5">
                  <c:v>89.736500000000007</c:v>
                </c:pt>
                <c:pt idx="6">
                  <c:v>95.079400000000007</c:v>
                </c:pt>
              </c:numCache>
            </c:numRef>
          </c:yVal>
          <c:smooth val="0"/>
          <c:extLst>
            <c:ext xmlns:c16="http://schemas.microsoft.com/office/drawing/2014/chart" uri="{C3380CC4-5D6E-409C-BE32-E72D297353CC}">
              <c16:uniqueId val="{00000000-C273-4475-98F0-A3B1FB9DDD98}"/>
            </c:ext>
          </c:extLst>
        </c:ser>
        <c:ser>
          <c:idx val="1"/>
          <c:order val="1"/>
          <c:tx>
            <c:strRef>
              <c:f>Sheet1!$D$3</c:f>
              <c:strCache>
                <c:ptCount val="1"/>
                <c:pt idx="0">
                  <c:v>Inclusion complex(1:2)</c:v>
                </c:pt>
              </c:strCache>
            </c:strRef>
          </c:tx>
          <c:spPr>
            <a:ln w="19050" cap="rnd">
              <a:solidFill>
                <a:schemeClr val="accent2">
                  <a:alpha val="60000"/>
                </a:schemeClr>
              </a:solidFill>
              <a:round/>
            </a:ln>
            <a:effectLst/>
          </c:spPr>
          <c:marker>
            <c:symbol val="circle"/>
            <c:size val="6"/>
            <c:spPr>
              <a:solidFill>
                <a:schemeClr val="lt1"/>
              </a:solidFill>
              <a:ln w="38100">
                <a:solidFill>
                  <a:schemeClr val="accent2">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Sheet1!$D$4:$D$10</c:f>
              <c:numCache>
                <c:formatCode>General</c:formatCode>
                <c:ptCount val="7"/>
                <c:pt idx="0">
                  <c:v>0</c:v>
                </c:pt>
                <c:pt idx="1">
                  <c:v>33.845300000000002</c:v>
                </c:pt>
                <c:pt idx="2">
                  <c:v>44.356200000000001</c:v>
                </c:pt>
                <c:pt idx="3">
                  <c:v>59.0715</c:v>
                </c:pt>
                <c:pt idx="4">
                  <c:v>76.3095</c:v>
                </c:pt>
                <c:pt idx="5">
                  <c:v>85.979600000000005</c:v>
                </c:pt>
                <c:pt idx="6">
                  <c:v>97.751800000000003</c:v>
                </c:pt>
              </c:numCache>
            </c:numRef>
          </c:yVal>
          <c:smooth val="0"/>
          <c:extLst>
            <c:ext xmlns:c16="http://schemas.microsoft.com/office/drawing/2014/chart" uri="{C3380CC4-5D6E-409C-BE32-E72D297353CC}">
              <c16:uniqueId val="{00000001-C273-4475-98F0-A3B1FB9DDD98}"/>
            </c:ext>
          </c:extLst>
        </c:ser>
        <c:ser>
          <c:idx val="2"/>
          <c:order val="2"/>
          <c:tx>
            <c:strRef>
              <c:f>Sheet1!$E$3</c:f>
              <c:strCache>
                <c:ptCount val="1"/>
                <c:pt idx="0">
                  <c:v>Pure Drug</c:v>
                </c:pt>
              </c:strCache>
            </c:strRef>
          </c:tx>
          <c:spPr>
            <a:ln w="19050" cap="rnd">
              <a:solidFill>
                <a:schemeClr val="accent3">
                  <a:alpha val="60000"/>
                </a:schemeClr>
              </a:solidFill>
              <a:round/>
            </a:ln>
            <a:effectLst/>
          </c:spPr>
          <c:marker>
            <c:symbol val="circle"/>
            <c:size val="6"/>
            <c:spPr>
              <a:solidFill>
                <a:schemeClr val="lt1"/>
              </a:solidFill>
              <a:ln w="38100">
                <a:solidFill>
                  <a:schemeClr val="accent3">
                    <a:alpha val="60000"/>
                  </a:schemeClr>
                </a:solidFill>
              </a:ln>
              <a:effectLst/>
            </c:spPr>
          </c:marker>
          <c:xVal>
            <c:numRef>
              <c:f>Sheet1!$B$4:$B$10</c:f>
              <c:numCache>
                <c:formatCode>General</c:formatCode>
                <c:ptCount val="7"/>
                <c:pt idx="0">
                  <c:v>0</c:v>
                </c:pt>
                <c:pt idx="1">
                  <c:v>10</c:v>
                </c:pt>
                <c:pt idx="2">
                  <c:v>20</c:v>
                </c:pt>
                <c:pt idx="3">
                  <c:v>30</c:v>
                </c:pt>
                <c:pt idx="4">
                  <c:v>40</c:v>
                </c:pt>
                <c:pt idx="5">
                  <c:v>50</c:v>
                </c:pt>
                <c:pt idx="6">
                  <c:v>60</c:v>
                </c:pt>
              </c:numCache>
            </c:numRef>
          </c:xVal>
          <c:yVal>
            <c:numRef>
              <c:f>Sheet1!$E$4:$E$10</c:f>
              <c:numCache>
                <c:formatCode>General</c:formatCode>
                <c:ptCount val="7"/>
                <c:pt idx="1">
                  <c:v>32.435000000000002</c:v>
                </c:pt>
                <c:pt idx="2">
                  <c:v>45.487000000000002</c:v>
                </c:pt>
                <c:pt idx="3">
                  <c:v>56.889000000000003</c:v>
                </c:pt>
                <c:pt idx="4">
                  <c:v>80.656999999999996</c:v>
                </c:pt>
                <c:pt idx="5">
                  <c:v>86.96</c:v>
                </c:pt>
                <c:pt idx="6">
                  <c:v>90.87</c:v>
                </c:pt>
              </c:numCache>
            </c:numRef>
          </c:yVal>
          <c:smooth val="0"/>
          <c:extLst>
            <c:ext xmlns:c16="http://schemas.microsoft.com/office/drawing/2014/chart" uri="{C3380CC4-5D6E-409C-BE32-E72D297353CC}">
              <c16:uniqueId val="{00000002-C273-4475-98F0-A3B1FB9DDD98}"/>
            </c:ext>
          </c:extLst>
        </c:ser>
        <c:dLbls>
          <c:showLegendKey val="0"/>
          <c:showVal val="0"/>
          <c:showCatName val="0"/>
          <c:showSerName val="0"/>
          <c:showPercent val="0"/>
          <c:showBubbleSize val="0"/>
        </c:dLbls>
        <c:axId val="2023429615"/>
        <c:axId val="2023430095"/>
        <c:extLst>
          <c:ext xmlns:c15="http://schemas.microsoft.com/office/drawing/2012/chart" uri="{02D57815-91ED-43cb-92C2-25804820EDAC}">
            <c15:filteredScatterSeries>
              <c15:ser>
                <c:idx val="3"/>
                <c:order val="3"/>
                <c:tx>
                  <c:strRef>
                    <c:extLst>
                      <c:ext uri="{02D57815-91ED-43cb-92C2-25804820EDAC}">
                        <c15:formulaRef>
                          <c15:sqref>Sheet1!$F$3</c15:sqref>
                        </c15:formulaRef>
                      </c:ext>
                    </c:extLst>
                    <c:strCache>
                      <c:ptCount val="1"/>
                    </c:strCache>
                  </c:strRef>
                </c:tx>
                <c:spPr>
                  <a:ln w="19050" cap="rnd">
                    <a:solidFill>
                      <a:schemeClr val="accent4">
                        <a:alpha val="60000"/>
                      </a:schemeClr>
                    </a:solidFill>
                    <a:round/>
                  </a:ln>
                  <a:effectLst/>
                </c:spPr>
                <c:marker>
                  <c:symbol val="circle"/>
                  <c:size val="6"/>
                  <c:spPr>
                    <a:solidFill>
                      <a:schemeClr val="lt1"/>
                    </a:solidFill>
                    <a:ln w="38100">
                      <a:solidFill>
                        <a:schemeClr val="accent4">
                          <a:alpha val="60000"/>
                        </a:schemeClr>
                      </a:solidFill>
                    </a:ln>
                    <a:effectLst/>
                  </c:spPr>
                </c:marker>
                <c:xVal>
                  <c:numLit>
                    <c:formatCode>General</c:formatCode>
                    <c:ptCount val="7"/>
                    <c:pt idx="0">
                      <c:v>0</c:v>
                    </c:pt>
                    <c:pt idx="1">
                      <c:v>10</c:v>
                    </c:pt>
                    <c:pt idx="2">
                      <c:v>20</c:v>
                    </c:pt>
                    <c:pt idx="3">
                      <c:v>30</c:v>
                    </c:pt>
                    <c:pt idx="4">
                      <c:v>40</c:v>
                    </c:pt>
                    <c:pt idx="5">
                      <c:v>50</c:v>
                    </c:pt>
                    <c:pt idx="6">
                      <c:v>60</c:v>
                    </c:pt>
                  </c:numLit>
                </c:xVal>
                <c:yVal>
                  <c:numLit>
                    <c:formatCode>General</c:formatCode>
                    <c:ptCount val="7"/>
                  </c:numLit>
                </c:yVal>
                <c:smooth val="0"/>
                <c:extLst>
                  <c:ext xmlns:c16="http://schemas.microsoft.com/office/drawing/2014/chart" uri="{C3380CC4-5D6E-409C-BE32-E72D297353CC}">
                    <c16:uniqueId val="{00000003-C273-4475-98F0-A3B1FB9DDD98}"/>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Sheet1!$G$3</c15:sqref>
                        </c15:formulaRef>
                      </c:ext>
                    </c:extLst>
                    <c:strCache>
                      <c:ptCount val="1"/>
                    </c:strCache>
                  </c:strRef>
                </c:tx>
                <c:spPr>
                  <a:ln w="19050" cap="rnd">
                    <a:solidFill>
                      <a:schemeClr val="accent5">
                        <a:alpha val="60000"/>
                      </a:schemeClr>
                    </a:solidFill>
                    <a:round/>
                  </a:ln>
                  <a:effectLst/>
                </c:spPr>
                <c:marker>
                  <c:symbol val="circle"/>
                  <c:size val="6"/>
                  <c:spPr>
                    <a:solidFill>
                      <a:schemeClr val="lt1"/>
                    </a:solidFill>
                    <a:ln w="38100">
                      <a:solidFill>
                        <a:schemeClr val="accent5">
                          <a:alpha val="60000"/>
                        </a:schemeClr>
                      </a:solidFill>
                    </a:ln>
                    <a:effectLst/>
                  </c:spPr>
                </c:marker>
                <c:xVal>
                  <c:numLit>
                    <c:formatCode>General</c:formatCode>
                    <c:ptCount val="7"/>
                    <c:pt idx="0">
                      <c:v>0</c:v>
                    </c:pt>
                    <c:pt idx="1">
                      <c:v>10</c:v>
                    </c:pt>
                    <c:pt idx="2">
                      <c:v>20</c:v>
                    </c:pt>
                    <c:pt idx="3">
                      <c:v>30</c:v>
                    </c:pt>
                    <c:pt idx="4">
                      <c:v>40</c:v>
                    </c:pt>
                    <c:pt idx="5">
                      <c:v>50</c:v>
                    </c:pt>
                    <c:pt idx="6">
                      <c:v>60</c:v>
                    </c:pt>
                  </c:numLit>
                </c:xVal>
                <c:yVal>
                  <c:numLit>
                    <c:formatCode>General</c:formatCode>
                    <c:ptCount val="7"/>
                  </c:numLit>
                </c:yVal>
                <c:smooth val="0"/>
                <c:extLst xmlns:c15="http://schemas.microsoft.com/office/drawing/2012/chart">
                  <c:ext xmlns:c16="http://schemas.microsoft.com/office/drawing/2014/chart" uri="{C3380CC4-5D6E-409C-BE32-E72D297353CC}">
                    <c16:uniqueId val="{00000004-C273-4475-98F0-A3B1FB9DDD98}"/>
                  </c:ext>
                </c:extLst>
              </c15:ser>
            </c15:filteredScatterSeries>
          </c:ext>
        </c:extLst>
      </c:scatterChart>
      <c:valAx>
        <c:axId val="20234296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IN"/>
                  <a:t>TIME(MIN))</a:t>
                </a: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lang="en-US" sz="900" b="0" i="0" u="none" strike="noStrike" kern="1200" spc="20" baseline="0">
                <a:solidFill>
                  <a:schemeClr val="tx1">
                    <a:lumMod val="65000"/>
                    <a:lumOff val="35000"/>
                  </a:schemeClr>
                </a:solidFill>
                <a:latin typeface="+mn-lt"/>
                <a:ea typeface="+mn-ea"/>
                <a:cs typeface="+mn-cs"/>
              </a:defRPr>
            </a:pPr>
            <a:endParaRPr lang="en-US"/>
          </a:p>
        </c:txPr>
        <c:crossAx val="2023430095"/>
        <c:crosses val="autoZero"/>
        <c:crossBetween val="midCat"/>
      </c:valAx>
      <c:valAx>
        <c:axId val="2023430095"/>
        <c:scaling>
          <c:orientation val="minMax"/>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2"/>
              </a:outerShdw>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IN"/>
                  <a:t>% CDR</a:t>
                </a:r>
              </a:p>
            </c:rich>
          </c:tx>
          <c:layout>
            <c:manualLayout>
              <c:xMode val="edge"/>
              <c:yMode val="edge"/>
              <c:x val="3.0477408866111701E-2"/>
              <c:y val="0.44031356984379899"/>
            </c:manualLayout>
          </c:layout>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lang="en-US" sz="900" b="0" i="0" u="none" strike="noStrike" kern="1200" spc="20" baseline="0">
                <a:solidFill>
                  <a:schemeClr val="tx1">
                    <a:lumMod val="65000"/>
                    <a:lumOff val="35000"/>
                  </a:schemeClr>
                </a:solidFill>
                <a:latin typeface="+mn-lt"/>
                <a:ea typeface="+mn-ea"/>
                <a:cs typeface="+mn-cs"/>
              </a:defRPr>
            </a:pPr>
            <a:endParaRPr lang="en-US"/>
          </a:p>
        </c:txPr>
        <c:crossAx val="202342961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e2f6412-2cc5-4fbd-9eaf-90450275e8a6}"/>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COMPARATIVE</a:t>
            </a:r>
            <a:r>
              <a:rPr lang="en-IN" baseline="0">
                <a:latin typeface="Times New Roman" panose="02020603050405020304" pitchFamily="18" charset="0"/>
                <a:cs typeface="Times New Roman" panose="02020603050405020304" pitchFamily="18" charset="0"/>
              </a:rPr>
              <a:t> STUDY</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Sheet1!$C$3</c:f>
              <c:strCache>
                <c:ptCount val="1"/>
                <c:pt idx="0">
                  <c:v>%CDR OF FORMULATION F5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Sheet1!$B$4:$B$9</c:f>
              <c:numCache>
                <c:formatCode>General</c:formatCode>
                <c:ptCount val="6"/>
                <c:pt idx="0">
                  <c:v>10</c:v>
                </c:pt>
                <c:pt idx="1">
                  <c:v>20</c:v>
                </c:pt>
                <c:pt idx="2">
                  <c:v>30</c:v>
                </c:pt>
                <c:pt idx="3">
                  <c:v>40</c:v>
                </c:pt>
                <c:pt idx="4">
                  <c:v>50</c:v>
                </c:pt>
                <c:pt idx="5">
                  <c:v>60</c:v>
                </c:pt>
              </c:numCache>
            </c:numRef>
          </c:cat>
          <c:val>
            <c:numRef>
              <c:f>Sheet1!$C$4:$C$9</c:f>
              <c:numCache>
                <c:formatCode>General</c:formatCode>
                <c:ptCount val="6"/>
                <c:pt idx="0">
                  <c:v>32.383200000000002</c:v>
                </c:pt>
                <c:pt idx="1">
                  <c:v>49.733600000000003</c:v>
                </c:pt>
                <c:pt idx="2">
                  <c:v>66.421899999999994</c:v>
                </c:pt>
                <c:pt idx="3">
                  <c:v>82.712800000000001</c:v>
                </c:pt>
                <c:pt idx="4">
                  <c:v>90.3947</c:v>
                </c:pt>
                <c:pt idx="5">
                  <c:v>98.606399999999994</c:v>
                </c:pt>
              </c:numCache>
            </c:numRef>
          </c:val>
          <c:smooth val="0"/>
          <c:extLst>
            <c:ext xmlns:c16="http://schemas.microsoft.com/office/drawing/2014/chart" uri="{C3380CC4-5D6E-409C-BE32-E72D297353CC}">
              <c16:uniqueId val="{00000000-1EF1-4364-AC40-2BBCA8C77454}"/>
            </c:ext>
          </c:extLst>
        </c:ser>
        <c:ser>
          <c:idx val="1"/>
          <c:order val="1"/>
          <c:tx>
            <c:strRef>
              <c:f>Sheet1!$D$3</c:f>
              <c:strCache>
                <c:ptCount val="1"/>
                <c:pt idx="0">
                  <c:v>%CDR OF MARKETED FORMULATION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Sheet1!$B$4:$B$9</c:f>
              <c:numCache>
                <c:formatCode>General</c:formatCode>
                <c:ptCount val="6"/>
                <c:pt idx="0">
                  <c:v>10</c:v>
                </c:pt>
                <c:pt idx="1">
                  <c:v>20</c:v>
                </c:pt>
                <c:pt idx="2">
                  <c:v>30</c:v>
                </c:pt>
                <c:pt idx="3">
                  <c:v>40</c:v>
                </c:pt>
                <c:pt idx="4">
                  <c:v>50</c:v>
                </c:pt>
                <c:pt idx="5">
                  <c:v>60</c:v>
                </c:pt>
              </c:numCache>
            </c:numRef>
          </c:cat>
          <c:val>
            <c:numRef>
              <c:f>Sheet1!$D$4:$D$9</c:f>
              <c:numCache>
                <c:formatCode>General</c:formatCode>
                <c:ptCount val="6"/>
                <c:pt idx="0">
                  <c:v>22.13</c:v>
                </c:pt>
                <c:pt idx="1">
                  <c:v>31.02</c:v>
                </c:pt>
                <c:pt idx="2">
                  <c:v>55.61</c:v>
                </c:pt>
                <c:pt idx="3">
                  <c:v>78.23</c:v>
                </c:pt>
                <c:pt idx="4">
                  <c:v>81.52</c:v>
                </c:pt>
                <c:pt idx="5">
                  <c:v>88.91</c:v>
                </c:pt>
              </c:numCache>
            </c:numRef>
          </c:val>
          <c:smooth val="0"/>
          <c:extLst>
            <c:ext xmlns:c16="http://schemas.microsoft.com/office/drawing/2014/chart" uri="{C3380CC4-5D6E-409C-BE32-E72D297353CC}">
              <c16:uniqueId val="{00000001-1EF1-4364-AC40-2BBCA8C77454}"/>
            </c:ext>
          </c:extLst>
        </c:ser>
        <c:dLbls>
          <c:dLblPos val="ctr"/>
          <c:showLegendKey val="0"/>
          <c:showVal val="1"/>
          <c:showCatName val="0"/>
          <c:showSerName val="0"/>
          <c:showPercent val="0"/>
          <c:showBubbleSize val="0"/>
        </c:dLbls>
        <c:marker val="1"/>
        <c:smooth val="0"/>
        <c:axId val="878922991"/>
        <c:axId val="878948911"/>
      </c:lineChart>
      <c:catAx>
        <c:axId val="8789229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000">
                    <a:latin typeface="Times New Roman" panose="02020603050405020304" pitchFamily="18" charset="0"/>
                    <a:cs typeface="Times New Roman" panose="02020603050405020304" pitchFamily="18" charset="0"/>
                  </a:rPr>
                  <a:t>time(min</a:t>
                </a:r>
                <a:r>
                  <a:rPr lang="en-IN"/>
                  <a:t>)</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78948911"/>
        <c:crosses val="autoZero"/>
        <c:auto val="1"/>
        <c:lblAlgn val="ctr"/>
        <c:lblOffset val="100"/>
        <c:noMultiLvlLbl val="0"/>
      </c:catAx>
      <c:valAx>
        <c:axId val="87894891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000">
                    <a:latin typeface="Times New Roman" panose="02020603050405020304" pitchFamily="18" charset="0"/>
                    <a:cs typeface="Times New Roman" panose="02020603050405020304" pitchFamily="18" charset="0"/>
                  </a:rPr>
                  <a:t>%CDR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9229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9BA23-2704-40C6-B0B4-A903D097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19</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123</cp:revision>
  <cp:lastPrinted>1999-07-06T11:00:00Z</cp:lastPrinted>
  <dcterms:created xsi:type="dcterms:W3CDTF">2014-10-25T14:34:00Z</dcterms:created>
  <dcterms:modified xsi:type="dcterms:W3CDTF">2025-10-17T12:18:00Z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bd47591f-cebe-48a1-b2f6-07fc1b9728d2</vt:lpwstr>
  </property>
</Properties>
</file>