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C5AEC" w14:textId="77777777" w:rsidR="00E13FBF" w:rsidRDefault="00E13FBF" w:rsidP="00E13FBF">
      <w:pPr>
        <w:pStyle w:val="Title"/>
        <w:spacing w:after="0"/>
        <w:rPr>
          <w:rFonts w:ascii="Arial" w:hAnsi="Arial" w:cs="Arial"/>
        </w:rPr>
      </w:pPr>
    </w:p>
    <w:p w14:paraId="0D88F45E" w14:textId="77777777" w:rsidR="00E13FBF" w:rsidRPr="00163BC4" w:rsidRDefault="00E13FBF" w:rsidP="00E13FBF">
      <w:pPr>
        <w:pStyle w:val="Author"/>
        <w:spacing w:line="240" w:lineRule="auto"/>
        <w:rPr>
          <w:rFonts w:ascii="Arial" w:hAnsi="Arial" w:cs="Arial"/>
          <w:bCs/>
          <w:iCs/>
          <w:kern w:val="28"/>
          <w:sz w:val="36"/>
        </w:rPr>
      </w:pPr>
      <w:r w:rsidRPr="00720D2C">
        <w:rPr>
          <w:rFonts w:ascii="Arial" w:hAnsi="Arial" w:cs="Arial"/>
          <w:bCs/>
          <w:iCs/>
          <w:kern w:val="28"/>
          <w:sz w:val="36"/>
        </w:rPr>
        <w:t xml:space="preserve">Reference Values of some </w:t>
      </w:r>
      <w:proofErr w:type="spellStart"/>
      <w:r w:rsidRPr="00720D2C">
        <w:rPr>
          <w:rFonts w:ascii="Arial" w:hAnsi="Arial" w:cs="Arial"/>
          <w:bCs/>
          <w:iCs/>
          <w:kern w:val="28"/>
          <w:sz w:val="36"/>
        </w:rPr>
        <w:t>Haematological</w:t>
      </w:r>
      <w:proofErr w:type="spellEnd"/>
      <w:r w:rsidRPr="00720D2C">
        <w:rPr>
          <w:rFonts w:ascii="Arial" w:hAnsi="Arial" w:cs="Arial"/>
          <w:bCs/>
          <w:iCs/>
          <w:kern w:val="28"/>
          <w:sz w:val="36"/>
        </w:rPr>
        <w:t xml:space="preserve"> Parameters of Healthy Undergraduate Students (Aged 16-35 Years) in South-South, Nigeria</w:t>
      </w:r>
      <w:r>
        <w:rPr>
          <w:rFonts w:ascii="Arial" w:hAnsi="Arial" w:cs="Arial"/>
          <w:bCs/>
          <w:iCs/>
          <w:kern w:val="28"/>
          <w:sz w:val="36"/>
        </w:rPr>
        <w:t xml:space="preserve"> </w:t>
      </w:r>
    </w:p>
    <w:p w14:paraId="5A136B86" w14:textId="77777777" w:rsidR="00E13FBF" w:rsidRPr="00790ADA" w:rsidRDefault="00E13FBF" w:rsidP="00E13FBF">
      <w:pPr>
        <w:pStyle w:val="Author"/>
        <w:spacing w:line="240" w:lineRule="auto"/>
        <w:jc w:val="both"/>
        <w:rPr>
          <w:rFonts w:ascii="Arial" w:hAnsi="Arial" w:cs="Arial"/>
          <w:sz w:val="36"/>
        </w:rPr>
      </w:pPr>
    </w:p>
    <w:p w14:paraId="3D6AA0C0" w14:textId="77777777" w:rsidR="00E13FBF" w:rsidRDefault="00E13FBF" w:rsidP="00E13FBF">
      <w:pPr>
        <w:pStyle w:val="Affiliation"/>
        <w:spacing w:after="0" w:line="240" w:lineRule="auto"/>
        <w:jc w:val="both"/>
        <w:rPr>
          <w:rFonts w:ascii="Arial" w:hAnsi="Arial" w:cs="Arial"/>
        </w:rPr>
      </w:pPr>
    </w:p>
    <w:p w14:paraId="3EA5B88C" w14:textId="77777777" w:rsidR="00E13FBF" w:rsidRPr="00FB3A86" w:rsidRDefault="00E13FBF" w:rsidP="00E13FBF">
      <w:pPr>
        <w:pStyle w:val="Affiliation"/>
        <w:spacing w:after="0" w:line="240" w:lineRule="auto"/>
        <w:jc w:val="both"/>
        <w:rPr>
          <w:rFonts w:ascii="Arial" w:hAnsi="Arial" w:cs="Arial"/>
        </w:rPr>
      </w:pPr>
    </w:p>
    <w:p w14:paraId="4B3893B6" w14:textId="0DC1B584" w:rsidR="00E13FBF" w:rsidRDefault="00E13FBF" w:rsidP="00E13FB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02EF07FB" wp14:editId="0685DFCF">
                <wp:extent cx="5303520" cy="635"/>
                <wp:effectExtent l="15240" t="17145" r="15240" b="11430"/>
                <wp:docPr id="99346135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4F76175"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5C6D77">
        <w:rPr>
          <w:rFonts w:ascii="Arial" w:hAnsi="Arial" w:cs="Arial"/>
          <w:b/>
          <w:bCs/>
          <w:sz w:val="22"/>
          <w:szCs w:val="28"/>
        </w:rPr>
        <w:t xml:space="preserve">ABSTRACT </w:t>
      </w:r>
    </w:p>
    <w:p w14:paraId="54877E90" w14:textId="77777777" w:rsidR="00E13FBF" w:rsidRPr="00FB3A86" w:rsidRDefault="00E13FBF" w:rsidP="00E13FB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7"/>
      </w:tblGrid>
      <w:tr w:rsidR="00E13FBF" w:rsidRPr="001E44FE" w14:paraId="7C7DEEF6" w14:textId="77777777" w:rsidTr="00C42D9D">
        <w:tc>
          <w:tcPr>
            <w:tcW w:w="9576" w:type="dxa"/>
            <w:shd w:val="clear" w:color="auto" w:fill="F2F2F2"/>
          </w:tcPr>
          <w:p w14:paraId="6D0F4528" w14:textId="77777777" w:rsidR="00E13FBF" w:rsidRPr="00720D2C" w:rsidRDefault="00E13FBF" w:rsidP="00C42D9D">
            <w:pPr>
              <w:pStyle w:val="Body"/>
              <w:spacing w:after="0"/>
              <w:rPr>
                <w:rFonts w:ascii="Arial" w:eastAsia="Calibri" w:hAnsi="Arial" w:cs="Arial"/>
                <w:bCs/>
                <w:szCs w:val="22"/>
              </w:rPr>
            </w:pPr>
            <w:r w:rsidRPr="00720D2C">
              <w:rPr>
                <w:rFonts w:ascii="Arial" w:eastAsia="Calibri" w:hAnsi="Arial" w:cs="Arial"/>
                <w:bCs/>
                <w:szCs w:val="22"/>
              </w:rPr>
              <w:t>Interpretation of laboratory test results with appropriate diagnostic accuracy requires reference or cutoff values.</w:t>
            </w:r>
          </w:p>
          <w:p w14:paraId="7DDD107B" w14:textId="77777777" w:rsidR="00E13FBF" w:rsidRPr="00BA1B01" w:rsidRDefault="00E13FBF" w:rsidP="00C42D9D">
            <w:pPr>
              <w:pStyle w:val="Body"/>
              <w:spacing w:after="0"/>
              <w:rPr>
                <w:rFonts w:ascii="Arial" w:eastAsia="Calibri" w:hAnsi="Arial" w:cs="Arial"/>
                <w:szCs w:val="22"/>
              </w:rPr>
            </w:pPr>
            <w:r w:rsidRPr="00BA1B01">
              <w:rPr>
                <w:rFonts w:ascii="Arial" w:eastAsia="Calibri" w:hAnsi="Arial" w:cs="Arial"/>
                <w:b/>
                <w:szCs w:val="22"/>
              </w:rPr>
              <w:t xml:space="preserve">Aims: </w:t>
            </w:r>
            <w:r w:rsidRPr="00720D2C">
              <w:rPr>
                <w:rFonts w:ascii="Arial" w:eastAsia="Calibri" w:hAnsi="Arial" w:cs="Arial"/>
                <w:szCs w:val="22"/>
              </w:rPr>
              <w:t xml:space="preserve">This study is aimed at establishing reference values of some </w:t>
            </w:r>
            <w:proofErr w:type="spellStart"/>
            <w:r w:rsidRPr="00720D2C">
              <w:rPr>
                <w:rFonts w:ascii="Arial" w:eastAsia="Calibri" w:hAnsi="Arial" w:cs="Arial"/>
                <w:szCs w:val="22"/>
              </w:rPr>
              <w:t>haematological</w:t>
            </w:r>
            <w:proofErr w:type="spellEnd"/>
            <w:r w:rsidRPr="00720D2C">
              <w:rPr>
                <w:rFonts w:ascii="Arial" w:eastAsia="Calibri" w:hAnsi="Arial" w:cs="Arial"/>
                <w:szCs w:val="22"/>
              </w:rPr>
              <w:t xml:space="preserve"> parameters among healthy undergraduate students (aged 16-35 years) in South-South Nigeria.</w:t>
            </w:r>
          </w:p>
          <w:p w14:paraId="24CE2FC1" w14:textId="77777777" w:rsidR="00E13FBF" w:rsidRPr="00BA1B01" w:rsidRDefault="00E13FBF" w:rsidP="00C42D9D">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720D2C">
              <w:rPr>
                <w:rFonts w:ascii="Arial" w:eastAsia="Calibri" w:hAnsi="Arial" w:cs="Arial"/>
                <w:szCs w:val="22"/>
              </w:rPr>
              <w:t xml:space="preserve">A total of One thousand nine hundred and thirty-five healthy students of Ambrose Alli University, </w:t>
            </w:r>
            <w:proofErr w:type="spellStart"/>
            <w:r w:rsidRPr="00720D2C">
              <w:rPr>
                <w:rFonts w:ascii="Arial" w:eastAsia="Calibri" w:hAnsi="Arial" w:cs="Arial"/>
                <w:szCs w:val="22"/>
              </w:rPr>
              <w:t>Ekpoma</w:t>
            </w:r>
            <w:proofErr w:type="spellEnd"/>
            <w:r w:rsidRPr="00720D2C">
              <w:rPr>
                <w:rFonts w:ascii="Arial" w:eastAsia="Calibri" w:hAnsi="Arial" w:cs="Arial"/>
                <w:szCs w:val="22"/>
              </w:rPr>
              <w:t xml:space="preserve"> were recruited into this study. Only subjects negative for HIV I &amp; II, HBsAg, HCV, VDRL and belonged to </w:t>
            </w:r>
            <w:proofErr w:type="spellStart"/>
            <w:r w:rsidRPr="00720D2C">
              <w:rPr>
                <w:rFonts w:ascii="Arial" w:eastAsia="Calibri" w:hAnsi="Arial" w:cs="Arial"/>
                <w:szCs w:val="22"/>
              </w:rPr>
              <w:t>Haemoglobin</w:t>
            </w:r>
            <w:proofErr w:type="spellEnd"/>
            <w:r w:rsidRPr="00720D2C">
              <w:rPr>
                <w:rFonts w:ascii="Arial" w:eastAsia="Calibri" w:hAnsi="Arial" w:cs="Arial"/>
                <w:szCs w:val="22"/>
              </w:rPr>
              <w:t xml:space="preserve"> genotype AA, AS or AC were included in this study. </w:t>
            </w:r>
            <w:proofErr w:type="spellStart"/>
            <w:r w:rsidRPr="00720D2C">
              <w:rPr>
                <w:rFonts w:ascii="Arial" w:eastAsia="Calibri" w:hAnsi="Arial" w:cs="Arial"/>
                <w:szCs w:val="22"/>
              </w:rPr>
              <w:t>Haematological</w:t>
            </w:r>
            <w:proofErr w:type="spellEnd"/>
            <w:r w:rsidRPr="00720D2C">
              <w:rPr>
                <w:rFonts w:ascii="Arial" w:eastAsia="Calibri" w:hAnsi="Arial" w:cs="Arial"/>
                <w:szCs w:val="22"/>
              </w:rPr>
              <w:t xml:space="preserve"> parameters of the subjects were analyzed using Sysmex autoanalyzer.</w:t>
            </w:r>
          </w:p>
          <w:p w14:paraId="150AB657" w14:textId="77777777" w:rsidR="00E13FBF" w:rsidRPr="00BA1B01" w:rsidRDefault="00E13FBF" w:rsidP="00C42D9D">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720D2C">
              <w:rPr>
                <w:rFonts w:ascii="Arial" w:eastAsia="Calibri" w:hAnsi="Arial" w:cs="Arial"/>
                <w:szCs w:val="22"/>
              </w:rPr>
              <w:t>Our results  showed the reference intervals of 3.6835-5.82, 9.9-15.2, 29.8-44.5, 80.36-86.7, 22.18-30.2, 30.6-36.2, 33.9-45.9 and 11.8-16.1 were obtained for the respective parameters of RBC, PCV, MCV, MCH, MCHC, RDW SD and RDW CV. WBC parameters such as WBC, LYM %, MXD %, NEUT %, LYM (x103/µl), MXD (x103/µl) and NEUT (x103/µl) recorded reference intervals of 3.1-7.8, 23.7625-62.8, 4.7-20.0, 37.78-60.9, 1.3-3.7, 0.2-1.135 and 0.9-4.0 respectively. Furthermore, the Platelets parameters of PLT, PDW, MPV and P-LCR were 80-339.3, 10.2-18.3, 8.9-12.1 and 16.2275-41.7 respectively. With respect to sex, the male subjects had higher RBC, HGB PCV and MXD % than the female subjects. Whereas women had higher RDW SD, WBC, LYM (x103/µl), MXD (x103/µl), NEUT (x103/µl) and PLT than men. On the other hand, MCV, MCH, MCHC, RDW CV, LYM %, NEUT %, PDW, MPV and P-LCR were not affected by sex (P&gt;0.05). Based on age, only the PCV and MCV of the study subjects were affected (P&gt;0.05).</w:t>
            </w:r>
          </w:p>
          <w:p w14:paraId="5701D60F" w14:textId="77777777" w:rsidR="00E13FBF" w:rsidRPr="00BA1B01" w:rsidRDefault="00E13FBF" w:rsidP="00C42D9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720D2C">
              <w:rPr>
                <w:rFonts w:ascii="Arial" w:eastAsia="Calibri" w:hAnsi="Arial" w:cs="Arial"/>
                <w:szCs w:val="22"/>
              </w:rPr>
              <w:t xml:space="preserve">In conclusion, the </w:t>
            </w:r>
            <w:proofErr w:type="spellStart"/>
            <w:r w:rsidRPr="00720D2C">
              <w:rPr>
                <w:rFonts w:ascii="Arial" w:eastAsia="Calibri" w:hAnsi="Arial" w:cs="Arial"/>
                <w:szCs w:val="22"/>
              </w:rPr>
              <w:t>haematologic</w:t>
            </w:r>
            <w:proofErr w:type="spellEnd"/>
            <w:r w:rsidRPr="00720D2C">
              <w:rPr>
                <w:rFonts w:ascii="Arial" w:eastAsia="Calibri" w:hAnsi="Arial" w:cs="Arial"/>
                <w:szCs w:val="22"/>
              </w:rPr>
              <w:t xml:space="preserve"> reference values of the subjects studied were lower compared to reference ranges elsewhere. Furthermore, some </w:t>
            </w:r>
            <w:proofErr w:type="spellStart"/>
            <w:r w:rsidRPr="00720D2C">
              <w:rPr>
                <w:rFonts w:ascii="Arial" w:eastAsia="Calibri" w:hAnsi="Arial" w:cs="Arial"/>
                <w:szCs w:val="22"/>
              </w:rPr>
              <w:t>haematological</w:t>
            </w:r>
            <w:proofErr w:type="spellEnd"/>
            <w:r w:rsidRPr="00720D2C">
              <w:rPr>
                <w:rFonts w:ascii="Arial" w:eastAsia="Calibri" w:hAnsi="Arial" w:cs="Arial"/>
                <w:szCs w:val="22"/>
              </w:rPr>
              <w:t xml:space="preserve"> parameters were both affected by sex and age in the study area.</w:t>
            </w:r>
          </w:p>
        </w:tc>
      </w:tr>
    </w:tbl>
    <w:p w14:paraId="06455AB1" w14:textId="77777777" w:rsidR="00E13FBF" w:rsidRDefault="00E13FBF" w:rsidP="00E13FBF">
      <w:pPr>
        <w:pStyle w:val="Body"/>
        <w:spacing w:after="0"/>
        <w:rPr>
          <w:rFonts w:ascii="Arial" w:hAnsi="Arial" w:cs="Arial"/>
          <w:i/>
        </w:rPr>
      </w:pPr>
    </w:p>
    <w:p w14:paraId="2DB4ED94" w14:textId="77777777" w:rsidR="00E13FBF" w:rsidRDefault="00E13FBF" w:rsidP="00E13FBF">
      <w:pPr>
        <w:pStyle w:val="Body"/>
        <w:spacing w:after="0"/>
        <w:rPr>
          <w:rFonts w:ascii="Arial" w:hAnsi="Arial" w:cs="Arial"/>
          <w:i/>
        </w:rPr>
      </w:pPr>
      <w:r>
        <w:rPr>
          <w:rFonts w:ascii="Arial" w:hAnsi="Arial" w:cs="Arial"/>
          <w:i/>
        </w:rPr>
        <w:t xml:space="preserve">Keywords: </w:t>
      </w:r>
      <w:r w:rsidRPr="00720D2C">
        <w:rPr>
          <w:rFonts w:ascii="Arial" w:hAnsi="Arial" w:cs="Arial"/>
          <w:i/>
        </w:rPr>
        <w:t xml:space="preserve">Reference values, </w:t>
      </w:r>
      <w:proofErr w:type="spellStart"/>
      <w:r w:rsidRPr="00720D2C">
        <w:rPr>
          <w:rFonts w:ascii="Arial" w:hAnsi="Arial" w:cs="Arial"/>
          <w:i/>
        </w:rPr>
        <w:t>Haematological</w:t>
      </w:r>
      <w:proofErr w:type="spellEnd"/>
      <w:r w:rsidRPr="00720D2C">
        <w:rPr>
          <w:rFonts w:ascii="Arial" w:hAnsi="Arial" w:cs="Arial"/>
          <w:i/>
        </w:rPr>
        <w:t xml:space="preserve"> parameters, Undergraduates, Laboratory, South-South</w:t>
      </w:r>
    </w:p>
    <w:p w14:paraId="110AFFDD" w14:textId="77777777" w:rsidR="00E13FBF" w:rsidRDefault="00E13FBF" w:rsidP="00E13FBF">
      <w:pPr>
        <w:pStyle w:val="Body"/>
        <w:spacing w:after="0"/>
        <w:rPr>
          <w:rFonts w:ascii="Arial" w:hAnsi="Arial" w:cs="Arial"/>
          <w:i/>
        </w:rPr>
      </w:pPr>
    </w:p>
    <w:p w14:paraId="6E06847E" w14:textId="77777777" w:rsidR="00E13FBF" w:rsidRDefault="00E13FBF" w:rsidP="00E13FBF">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B15D35B" w14:textId="77777777" w:rsidR="00E13FBF" w:rsidRPr="00FB3A86" w:rsidRDefault="00E13FBF" w:rsidP="00E13FBF">
      <w:pPr>
        <w:pStyle w:val="AbstHead"/>
        <w:spacing w:after="0"/>
        <w:jc w:val="both"/>
        <w:rPr>
          <w:rFonts w:ascii="Arial" w:hAnsi="Arial" w:cs="Arial"/>
        </w:rPr>
      </w:pPr>
    </w:p>
    <w:p w14:paraId="5F5A0E04" w14:textId="77777777" w:rsidR="00E13FBF" w:rsidRPr="00720D2C" w:rsidRDefault="00E13FBF" w:rsidP="00E13FBF">
      <w:pPr>
        <w:pStyle w:val="Body"/>
        <w:rPr>
          <w:rFonts w:ascii="Arial" w:hAnsi="Arial" w:cs="Arial"/>
        </w:rPr>
      </w:pPr>
      <w:proofErr w:type="spellStart"/>
      <w:r w:rsidRPr="00720D2C">
        <w:rPr>
          <w:rFonts w:ascii="Arial" w:hAnsi="Arial" w:cs="Arial"/>
        </w:rPr>
        <w:t>Haematological</w:t>
      </w:r>
      <w:proofErr w:type="spellEnd"/>
      <w:r w:rsidRPr="00720D2C">
        <w:rPr>
          <w:rFonts w:ascii="Arial" w:hAnsi="Arial" w:cs="Arial"/>
        </w:rPr>
        <w:t xml:space="preserve"> components which consist of red blood cells, white blood cells, platelets and certain ratios of these values are valuable in monitoring the health status of an individual (Hammarsten et al., 2010). </w:t>
      </w:r>
      <w:proofErr w:type="spellStart"/>
      <w:r w:rsidRPr="00720D2C">
        <w:rPr>
          <w:rFonts w:ascii="Arial" w:hAnsi="Arial" w:cs="Arial"/>
        </w:rPr>
        <w:t>Haematological</w:t>
      </w:r>
      <w:proofErr w:type="spellEnd"/>
      <w:r w:rsidRPr="00720D2C">
        <w:rPr>
          <w:rFonts w:ascii="Arial" w:hAnsi="Arial" w:cs="Arial"/>
        </w:rPr>
        <w:t xml:space="preserve"> parameters are measures of different components of the blood such as red blood cells, white blood cells, platelets, </w:t>
      </w:r>
      <w:proofErr w:type="spellStart"/>
      <w:r w:rsidRPr="00720D2C">
        <w:rPr>
          <w:rFonts w:ascii="Arial" w:hAnsi="Arial" w:cs="Arial"/>
        </w:rPr>
        <w:t>haemoglobin</w:t>
      </w:r>
      <w:proofErr w:type="spellEnd"/>
      <w:r w:rsidRPr="00720D2C">
        <w:rPr>
          <w:rFonts w:ascii="Arial" w:hAnsi="Arial" w:cs="Arial"/>
        </w:rPr>
        <w:t xml:space="preserve"> and </w:t>
      </w:r>
      <w:proofErr w:type="spellStart"/>
      <w:r w:rsidRPr="00720D2C">
        <w:rPr>
          <w:rFonts w:ascii="Arial" w:hAnsi="Arial" w:cs="Arial"/>
        </w:rPr>
        <w:t>haematocrit</w:t>
      </w:r>
      <w:proofErr w:type="spellEnd"/>
      <w:r w:rsidRPr="00720D2C">
        <w:rPr>
          <w:rFonts w:ascii="Arial" w:hAnsi="Arial" w:cs="Arial"/>
        </w:rPr>
        <w:t xml:space="preserve"> (McGann et al., 2018). These parameters play crucial role in the diagnosis and monitoring of various diseases and conditions, including </w:t>
      </w:r>
      <w:proofErr w:type="spellStart"/>
      <w:r w:rsidRPr="00720D2C">
        <w:rPr>
          <w:rFonts w:ascii="Arial" w:hAnsi="Arial" w:cs="Arial"/>
        </w:rPr>
        <w:t>anaemia</w:t>
      </w:r>
      <w:proofErr w:type="spellEnd"/>
      <w:r w:rsidRPr="00720D2C">
        <w:rPr>
          <w:rFonts w:ascii="Arial" w:hAnsi="Arial" w:cs="Arial"/>
        </w:rPr>
        <w:t>, infections, and bleeding disorders (Malenica et al., 2017).</w:t>
      </w:r>
    </w:p>
    <w:p w14:paraId="1CD8A5FE" w14:textId="77777777" w:rsidR="00E13FBF" w:rsidRPr="00720D2C" w:rsidRDefault="00E13FBF" w:rsidP="00E13FBF">
      <w:pPr>
        <w:pStyle w:val="Body"/>
        <w:rPr>
          <w:rFonts w:ascii="Arial" w:hAnsi="Arial" w:cs="Arial"/>
        </w:rPr>
      </w:pPr>
      <w:r w:rsidRPr="00720D2C">
        <w:rPr>
          <w:rFonts w:ascii="Arial" w:hAnsi="Arial" w:cs="Arial"/>
        </w:rPr>
        <w:t>Red blood cells (RBCs) are the cells responsible for carrying oxygen from the lungs to the body’s tissues (</w:t>
      </w:r>
      <w:proofErr w:type="spellStart"/>
      <w:r w:rsidRPr="00720D2C">
        <w:rPr>
          <w:rFonts w:ascii="Arial" w:hAnsi="Arial" w:cs="Arial"/>
        </w:rPr>
        <w:t>Mcgann</w:t>
      </w:r>
      <w:proofErr w:type="spellEnd"/>
      <w:r w:rsidRPr="00720D2C">
        <w:rPr>
          <w:rFonts w:ascii="Arial" w:hAnsi="Arial" w:cs="Arial"/>
        </w:rPr>
        <w:t xml:space="preserve"> et al., 2018). The </w:t>
      </w:r>
      <w:proofErr w:type="spellStart"/>
      <w:r w:rsidRPr="00720D2C">
        <w:rPr>
          <w:rFonts w:ascii="Arial" w:hAnsi="Arial" w:cs="Arial"/>
        </w:rPr>
        <w:t>haematological</w:t>
      </w:r>
      <w:proofErr w:type="spellEnd"/>
      <w:r w:rsidRPr="00720D2C">
        <w:rPr>
          <w:rFonts w:ascii="Arial" w:hAnsi="Arial" w:cs="Arial"/>
        </w:rPr>
        <w:t xml:space="preserve"> parameter that measures the number of red blood cells is called the red blood cells count. A low RBC count can indicate </w:t>
      </w:r>
      <w:proofErr w:type="spellStart"/>
      <w:r w:rsidRPr="00720D2C">
        <w:rPr>
          <w:rFonts w:ascii="Arial" w:hAnsi="Arial" w:cs="Arial"/>
        </w:rPr>
        <w:t>anaemia</w:t>
      </w:r>
      <w:proofErr w:type="spellEnd"/>
      <w:r w:rsidRPr="00720D2C">
        <w:rPr>
          <w:rFonts w:ascii="Arial" w:hAnsi="Arial" w:cs="Arial"/>
        </w:rPr>
        <w:t xml:space="preserve">, while a high RBC count can indicate dehydration or </w:t>
      </w:r>
      <w:proofErr w:type="spellStart"/>
      <w:r w:rsidRPr="00720D2C">
        <w:rPr>
          <w:rFonts w:ascii="Arial" w:hAnsi="Arial" w:cs="Arial"/>
        </w:rPr>
        <w:t>polycythaemia</w:t>
      </w:r>
      <w:proofErr w:type="spellEnd"/>
      <w:r w:rsidRPr="00720D2C">
        <w:rPr>
          <w:rFonts w:ascii="Arial" w:hAnsi="Arial" w:cs="Arial"/>
        </w:rPr>
        <w:t xml:space="preserve"> (Glenn &amp; Armstrong, 2019). White blood cells (WBCs) play a key role in the body’s immune system, defending against infection and disease. The </w:t>
      </w:r>
      <w:proofErr w:type="spellStart"/>
      <w:r w:rsidRPr="00720D2C">
        <w:rPr>
          <w:rFonts w:ascii="Arial" w:hAnsi="Arial" w:cs="Arial"/>
        </w:rPr>
        <w:t>haematological</w:t>
      </w:r>
      <w:proofErr w:type="spellEnd"/>
      <w:r w:rsidRPr="00720D2C">
        <w:rPr>
          <w:rFonts w:ascii="Arial" w:hAnsi="Arial" w:cs="Arial"/>
        </w:rPr>
        <w:t xml:space="preserve"> parameter that measures the number of white blood cells in the blood is called the WBC count. A high WBC count can indicate an infection or inflammation, while a low WBC count can indicate a weak immune system (Francis et al., 2019). Platelets are small cell fragments that play a crucial role in the formation of blood clots and the prevention of bleeding. The </w:t>
      </w:r>
      <w:proofErr w:type="spellStart"/>
      <w:r w:rsidRPr="00720D2C">
        <w:rPr>
          <w:rFonts w:ascii="Arial" w:hAnsi="Arial" w:cs="Arial"/>
        </w:rPr>
        <w:t>haematological</w:t>
      </w:r>
      <w:proofErr w:type="spellEnd"/>
      <w:r w:rsidRPr="00720D2C">
        <w:rPr>
          <w:rFonts w:ascii="Arial" w:hAnsi="Arial" w:cs="Arial"/>
        </w:rPr>
        <w:t xml:space="preserve"> parameter that measures the number of platelets in the blood is called the platelet count. A low platelet count can indicate a bleeding disorder, while a high platelet count can indicate a blood clotting disorder (Knight et al., 2019).</w:t>
      </w:r>
    </w:p>
    <w:p w14:paraId="3E64C263" w14:textId="77777777" w:rsidR="00E13FBF" w:rsidRPr="00720D2C" w:rsidRDefault="00E13FBF" w:rsidP="00E13FBF">
      <w:pPr>
        <w:pStyle w:val="Body"/>
        <w:rPr>
          <w:rFonts w:ascii="Arial" w:hAnsi="Arial" w:cs="Arial"/>
        </w:rPr>
      </w:pPr>
      <w:r w:rsidRPr="00720D2C">
        <w:rPr>
          <w:rFonts w:ascii="Arial" w:hAnsi="Arial" w:cs="Arial"/>
        </w:rPr>
        <w:lastRenderedPageBreak/>
        <w:t xml:space="preserve">The concept of a “NORMAL RANGE” coined by </w:t>
      </w:r>
      <w:proofErr w:type="spellStart"/>
      <w:r w:rsidRPr="00720D2C">
        <w:rPr>
          <w:rFonts w:ascii="Arial" w:hAnsi="Arial" w:cs="Arial"/>
        </w:rPr>
        <w:t>Grasbeck</w:t>
      </w:r>
      <w:proofErr w:type="spellEnd"/>
      <w:r w:rsidRPr="00720D2C">
        <w:rPr>
          <w:rFonts w:ascii="Arial" w:hAnsi="Arial" w:cs="Arial"/>
        </w:rPr>
        <w:t xml:space="preserve"> and Saris in 1969, is now termed as reference interval (RI) (</w:t>
      </w:r>
      <w:proofErr w:type="spellStart"/>
      <w:r w:rsidRPr="00720D2C">
        <w:rPr>
          <w:rFonts w:ascii="Arial" w:hAnsi="Arial" w:cs="Arial"/>
        </w:rPr>
        <w:t>Ozarda</w:t>
      </w:r>
      <w:proofErr w:type="spellEnd"/>
      <w:r w:rsidRPr="00720D2C">
        <w:rPr>
          <w:rFonts w:ascii="Arial" w:hAnsi="Arial" w:cs="Arial"/>
        </w:rPr>
        <w:t>, 2016; Whyte &amp; Kelly, 2018). The RI is the interval between, and including two reference limits, which are values derived from the distribution of the results obtained from a sample of the reference population (Clinical and Laboratory Standards Institute (CLSI), 2010). This reference population is a healthy group of people for a particular age and gender. The interval represents the values found in 95% of the individuals of that group (Daly et al., 2017). These reference population-based RIs are of paramount significance for the accurate clinical understanding of the patient’s health status, and are the most commonly applied tool to determine a management protocol for the patients (Ahmed et al., 2020).</w:t>
      </w:r>
    </w:p>
    <w:p w14:paraId="3A8223E3" w14:textId="77777777" w:rsidR="00E13FBF" w:rsidRDefault="00E13FBF" w:rsidP="00E13FBF">
      <w:pPr>
        <w:pStyle w:val="Body"/>
        <w:spacing w:after="0"/>
        <w:rPr>
          <w:rFonts w:ascii="Arial" w:hAnsi="Arial" w:cs="Arial"/>
        </w:rPr>
      </w:pPr>
      <w:r w:rsidRPr="00720D2C">
        <w:rPr>
          <w:rFonts w:ascii="Arial" w:hAnsi="Arial" w:cs="Arial"/>
        </w:rPr>
        <w:t xml:space="preserve">With increasing globalization of clinical research and therapy, ethnic characterization of populations used for reference ranges is critical to data interpretation of clinical studies (Eller et al., 2008). Furthermore, most of the reference values of </w:t>
      </w:r>
      <w:proofErr w:type="spellStart"/>
      <w:r w:rsidRPr="00720D2C">
        <w:rPr>
          <w:rFonts w:ascii="Arial" w:hAnsi="Arial" w:cs="Arial"/>
        </w:rPr>
        <w:t>haematological</w:t>
      </w:r>
      <w:proofErr w:type="spellEnd"/>
      <w:r w:rsidRPr="00720D2C">
        <w:rPr>
          <w:rFonts w:ascii="Arial" w:hAnsi="Arial" w:cs="Arial"/>
        </w:rPr>
        <w:t xml:space="preserve"> parameters currently used in Nigeria and Africa are largely derived from data collected from populations living in industrialized countries (</w:t>
      </w:r>
      <w:proofErr w:type="spellStart"/>
      <w:r w:rsidRPr="00720D2C">
        <w:rPr>
          <w:rFonts w:ascii="Arial" w:hAnsi="Arial" w:cs="Arial"/>
        </w:rPr>
        <w:t>Akinbo</w:t>
      </w:r>
      <w:proofErr w:type="spellEnd"/>
      <w:r w:rsidRPr="00720D2C">
        <w:rPr>
          <w:rFonts w:ascii="Arial" w:hAnsi="Arial" w:cs="Arial"/>
        </w:rPr>
        <w:t xml:space="preserve"> et al., 2015). In addition, determination of reference values for a given population is important as there might be variation from population to population and even in instruments used for the enumeration (WHO, 2007). Besides, several studies have been carried out to determine the reference values of </w:t>
      </w:r>
      <w:proofErr w:type="spellStart"/>
      <w:r w:rsidRPr="00720D2C">
        <w:rPr>
          <w:rFonts w:ascii="Arial" w:hAnsi="Arial" w:cs="Arial"/>
        </w:rPr>
        <w:t>haematological</w:t>
      </w:r>
      <w:proofErr w:type="spellEnd"/>
      <w:r w:rsidRPr="00720D2C">
        <w:rPr>
          <w:rFonts w:ascii="Arial" w:hAnsi="Arial" w:cs="Arial"/>
        </w:rPr>
        <w:t xml:space="preserve"> parameters among blacks in many countries including Nigeria (</w:t>
      </w:r>
      <w:proofErr w:type="spellStart"/>
      <w:r w:rsidRPr="00720D2C">
        <w:rPr>
          <w:rFonts w:ascii="Arial" w:hAnsi="Arial" w:cs="Arial"/>
        </w:rPr>
        <w:t>Ezeilo</w:t>
      </w:r>
      <w:proofErr w:type="spellEnd"/>
      <w:r w:rsidRPr="00720D2C">
        <w:rPr>
          <w:rFonts w:ascii="Arial" w:hAnsi="Arial" w:cs="Arial"/>
        </w:rPr>
        <w:t xml:space="preserve">, 1972; Grantham McGregor et al., 1974. Miri-Dashe et al., 2014; </w:t>
      </w:r>
      <w:proofErr w:type="spellStart"/>
      <w:r w:rsidRPr="00720D2C">
        <w:rPr>
          <w:rFonts w:ascii="Arial" w:hAnsi="Arial" w:cs="Arial"/>
        </w:rPr>
        <w:t>Akinbo</w:t>
      </w:r>
      <w:proofErr w:type="spellEnd"/>
      <w:r w:rsidRPr="00720D2C">
        <w:rPr>
          <w:rFonts w:ascii="Arial" w:hAnsi="Arial" w:cs="Arial"/>
        </w:rPr>
        <w:t xml:space="preserve"> et al., 2015) but none has been carried out in </w:t>
      </w:r>
      <w:proofErr w:type="spellStart"/>
      <w:r w:rsidRPr="00720D2C">
        <w:rPr>
          <w:rFonts w:ascii="Arial" w:hAnsi="Arial" w:cs="Arial"/>
        </w:rPr>
        <w:t>Ekpoma</w:t>
      </w:r>
      <w:proofErr w:type="spellEnd"/>
      <w:r w:rsidRPr="00720D2C">
        <w:rPr>
          <w:rFonts w:ascii="Arial" w:hAnsi="Arial" w:cs="Arial"/>
        </w:rPr>
        <w:t xml:space="preserve">, a university town located in the South </w:t>
      </w:r>
      <w:proofErr w:type="spellStart"/>
      <w:r w:rsidRPr="00720D2C">
        <w:rPr>
          <w:rFonts w:ascii="Arial" w:hAnsi="Arial" w:cs="Arial"/>
        </w:rPr>
        <w:t>South</w:t>
      </w:r>
      <w:proofErr w:type="spellEnd"/>
      <w:r w:rsidRPr="00720D2C">
        <w:rPr>
          <w:rFonts w:ascii="Arial" w:hAnsi="Arial" w:cs="Arial"/>
        </w:rPr>
        <w:t xml:space="preserve"> geopolitical zone of Nigeria. This study was therefore carried out to establish the normal reference intervals of some </w:t>
      </w:r>
      <w:proofErr w:type="spellStart"/>
      <w:r w:rsidRPr="00720D2C">
        <w:rPr>
          <w:rFonts w:ascii="Arial" w:hAnsi="Arial" w:cs="Arial"/>
        </w:rPr>
        <w:t>haematological</w:t>
      </w:r>
      <w:proofErr w:type="spellEnd"/>
      <w:r w:rsidRPr="00720D2C">
        <w:rPr>
          <w:rFonts w:ascii="Arial" w:hAnsi="Arial" w:cs="Arial"/>
        </w:rPr>
        <w:t xml:space="preserve"> parameters of students (aged16-35 years) attending a state-owned university located in South </w:t>
      </w:r>
      <w:proofErr w:type="spellStart"/>
      <w:r w:rsidRPr="00720D2C">
        <w:rPr>
          <w:rFonts w:ascii="Arial" w:hAnsi="Arial" w:cs="Arial"/>
        </w:rPr>
        <w:t>South</w:t>
      </w:r>
      <w:proofErr w:type="spellEnd"/>
      <w:r w:rsidRPr="00720D2C">
        <w:rPr>
          <w:rFonts w:ascii="Arial" w:hAnsi="Arial" w:cs="Arial"/>
        </w:rPr>
        <w:t xml:space="preserve"> Nigeria which is intended to serve as a standard for the interpretation of results in this locality.</w:t>
      </w:r>
    </w:p>
    <w:p w14:paraId="2DA77FBA" w14:textId="77777777" w:rsidR="00E13FBF" w:rsidRPr="00FB3A86" w:rsidRDefault="00E13FBF" w:rsidP="00E13FBF">
      <w:pPr>
        <w:pStyle w:val="Body"/>
        <w:spacing w:after="0"/>
        <w:rPr>
          <w:rFonts w:ascii="Arial" w:hAnsi="Arial" w:cs="Arial"/>
        </w:rPr>
      </w:pPr>
    </w:p>
    <w:p w14:paraId="0DDBC842" w14:textId="77777777" w:rsidR="00E13FBF" w:rsidRDefault="00E13FBF" w:rsidP="00E13FBF">
      <w:pPr>
        <w:pStyle w:val="AbstHead"/>
        <w:spacing w:after="0"/>
        <w:jc w:val="both"/>
        <w:rPr>
          <w:rFonts w:ascii="Arial" w:hAnsi="Arial" w:cs="Arial"/>
        </w:rPr>
      </w:pPr>
      <w:r>
        <w:rPr>
          <w:rFonts w:ascii="Arial" w:hAnsi="Arial" w:cs="Arial"/>
        </w:rPr>
        <w:t>2. material and methods</w:t>
      </w:r>
    </w:p>
    <w:p w14:paraId="439E3C9B" w14:textId="77777777" w:rsidR="00E13FBF" w:rsidRPr="00FB3A86" w:rsidRDefault="00E13FBF" w:rsidP="00E13FBF">
      <w:pPr>
        <w:pStyle w:val="AbstHead"/>
        <w:spacing w:after="0"/>
        <w:jc w:val="both"/>
        <w:rPr>
          <w:rFonts w:ascii="Arial" w:hAnsi="Arial" w:cs="Arial"/>
        </w:rPr>
      </w:pPr>
    </w:p>
    <w:p w14:paraId="2887DBBB" w14:textId="77777777" w:rsidR="00E13FBF" w:rsidRPr="00720D2C" w:rsidRDefault="00E13FBF" w:rsidP="00E13FBF">
      <w:pPr>
        <w:pStyle w:val="Body"/>
        <w:rPr>
          <w:rFonts w:ascii="Arial" w:hAnsi="Arial" w:cs="Arial"/>
          <w:b/>
          <w:bCs/>
        </w:rPr>
      </w:pPr>
      <w:r w:rsidRPr="00720D2C">
        <w:rPr>
          <w:rFonts w:ascii="Arial" w:hAnsi="Arial" w:cs="Arial"/>
          <w:b/>
          <w:bCs/>
        </w:rPr>
        <w:t>2.1 Study Area</w:t>
      </w:r>
    </w:p>
    <w:p w14:paraId="7F054B1A" w14:textId="77777777" w:rsidR="00E13FBF" w:rsidRPr="00720D2C" w:rsidRDefault="00E13FBF" w:rsidP="00E13FBF">
      <w:pPr>
        <w:pStyle w:val="Body"/>
        <w:rPr>
          <w:rFonts w:ascii="Arial" w:hAnsi="Arial" w:cs="Arial"/>
        </w:rPr>
      </w:pPr>
      <w:r w:rsidRPr="00720D2C">
        <w:rPr>
          <w:rFonts w:ascii="Arial" w:hAnsi="Arial" w:cs="Arial"/>
        </w:rPr>
        <w:t xml:space="preserve">This study was carried out in </w:t>
      </w:r>
      <w:proofErr w:type="spellStart"/>
      <w:r w:rsidRPr="00720D2C">
        <w:rPr>
          <w:rFonts w:ascii="Arial" w:hAnsi="Arial" w:cs="Arial"/>
        </w:rPr>
        <w:t>Ekpoma</w:t>
      </w:r>
      <w:proofErr w:type="spellEnd"/>
      <w:r w:rsidRPr="00720D2C">
        <w:rPr>
          <w:rFonts w:ascii="Arial" w:hAnsi="Arial" w:cs="Arial"/>
        </w:rPr>
        <w:t xml:space="preserve">. </w:t>
      </w:r>
      <w:proofErr w:type="spellStart"/>
      <w:r w:rsidRPr="00720D2C">
        <w:rPr>
          <w:rFonts w:ascii="Arial" w:hAnsi="Arial" w:cs="Arial"/>
        </w:rPr>
        <w:t>Ekpoma</w:t>
      </w:r>
      <w:proofErr w:type="spellEnd"/>
      <w:r w:rsidRPr="00720D2C">
        <w:rPr>
          <w:rFonts w:ascii="Arial" w:hAnsi="Arial" w:cs="Arial"/>
        </w:rPr>
        <w:t xml:space="preserve"> is the administrative capital of Esan West Local Government Area of Edo State which falls within the rain forest/Savannah transitional zone of South Western Nigeria. The area lies between latitudes 60 431 and 60 81 North of the Equator and longitudes 60 51 and 60 81 East of the Greenwich Meridian. </w:t>
      </w:r>
      <w:proofErr w:type="spellStart"/>
      <w:r w:rsidRPr="00720D2C">
        <w:rPr>
          <w:rFonts w:ascii="Arial" w:hAnsi="Arial" w:cs="Arial"/>
        </w:rPr>
        <w:t>Ekpoma</w:t>
      </w:r>
      <w:proofErr w:type="spellEnd"/>
      <w:r w:rsidRPr="00720D2C">
        <w:rPr>
          <w:rFonts w:ascii="Arial" w:hAnsi="Arial" w:cs="Arial"/>
        </w:rPr>
        <w:t xml:space="preserve"> has a land area of 923 square kilometers with a population of 170, 123 people as at the 2006 census (World </w:t>
      </w:r>
      <w:proofErr w:type="spellStart"/>
      <w:r w:rsidRPr="00720D2C">
        <w:rPr>
          <w:rFonts w:ascii="Arial" w:hAnsi="Arial" w:cs="Arial"/>
        </w:rPr>
        <w:t>Gazeetter</w:t>
      </w:r>
      <w:proofErr w:type="spellEnd"/>
      <w:r w:rsidRPr="00720D2C">
        <w:rPr>
          <w:rFonts w:ascii="Arial" w:hAnsi="Arial" w:cs="Arial"/>
        </w:rPr>
        <w:t xml:space="preserve"> Nigeria, 2007). Majority of the people in </w:t>
      </w:r>
      <w:proofErr w:type="spellStart"/>
      <w:r w:rsidRPr="00720D2C">
        <w:rPr>
          <w:rFonts w:ascii="Arial" w:hAnsi="Arial" w:cs="Arial"/>
        </w:rPr>
        <w:t>Ekpoma</w:t>
      </w:r>
      <w:proofErr w:type="spellEnd"/>
      <w:r w:rsidRPr="00720D2C">
        <w:rPr>
          <w:rFonts w:ascii="Arial" w:hAnsi="Arial" w:cs="Arial"/>
        </w:rPr>
        <w:t xml:space="preserve"> are students, lecturers/teachers, civil servants, farmers, traders, business men/women, doctors, lawyers and self-employed.</w:t>
      </w:r>
    </w:p>
    <w:p w14:paraId="091F312A" w14:textId="77777777" w:rsidR="00E13FBF" w:rsidRPr="00720D2C" w:rsidRDefault="00E13FBF" w:rsidP="00E13FBF">
      <w:pPr>
        <w:pStyle w:val="Body"/>
        <w:rPr>
          <w:rFonts w:ascii="Arial" w:hAnsi="Arial" w:cs="Arial"/>
          <w:b/>
          <w:bCs/>
        </w:rPr>
      </w:pPr>
      <w:r>
        <w:rPr>
          <w:rFonts w:ascii="Arial" w:hAnsi="Arial" w:cs="Arial"/>
          <w:b/>
          <w:bCs/>
        </w:rPr>
        <w:t xml:space="preserve">2.2 </w:t>
      </w:r>
      <w:r w:rsidRPr="00720D2C">
        <w:rPr>
          <w:rFonts w:ascii="Arial" w:hAnsi="Arial" w:cs="Arial"/>
          <w:b/>
          <w:bCs/>
        </w:rPr>
        <w:t>Study population</w:t>
      </w:r>
    </w:p>
    <w:p w14:paraId="0CADD088" w14:textId="77777777" w:rsidR="00E13FBF" w:rsidRPr="00720D2C" w:rsidRDefault="00E13FBF" w:rsidP="00E13FBF">
      <w:pPr>
        <w:pStyle w:val="Body"/>
        <w:rPr>
          <w:rFonts w:ascii="Arial" w:hAnsi="Arial" w:cs="Arial"/>
        </w:rPr>
      </w:pPr>
      <w:r w:rsidRPr="00720D2C">
        <w:rPr>
          <w:rFonts w:ascii="Arial" w:hAnsi="Arial" w:cs="Arial"/>
        </w:rPr>
        <w:t xml:space="preserve">A total of one thousand and nine hundred 1935 and </w:t>
      </w:r>
      <w:proofErr w:type="gramStart"/>
      <w:r w:rsidRPr="00720D2C">
        <w:rPr>
          <w:rFonts w:ascii="Arial" w:hAnsi="Arial" w:cs="Arial"/>
        </w:rPr>
        <w:t>thirty five</w:t>
      </w:r>
      <w:proofErr w:type="gramEnd"/>
      <w:r w:rsidRPr="00720D2C">
        <w:rPr>
          <w:rFonts w:ascii="Arial" w:hAnsi="Arial" w:cs="Arial"/>
        </w:rPr>
        <w:t xml:space="preserve"> apparently healthy students of Ambrose Alli University, </w:t>
      </w:r>
      <w:proofErr w:type="spellStart"/>
      <w:r w:rsidRPr="00720D2C">
        <w:rPr>
          <w:rFonts w:ascii="Arial" w:hAnsi="Arial" w:cs="Arial"/>
        </w:rPr>
        <w:t>Ekpoma</w:t>
      </w:r>
      <w:proofErr w:type="spellEnd"/>
      <w:r w:rsidRPr="00720D2C">
        <w:rPr>
          <w:rFonts w:ascii="Arial" w:hAnsi="Arial" w:cs="Arial"/>
        </w:rPr>
        <w:t>, aged 16-35 years and of both sexes were enrolled into the study.</w:t>
      </w:r>
    </w:p>
    <w:p w14:paraId="0325B4B2" w14:textId="77777777" w:rsidR="00E13FBF" w:rsidRPr="00720D2C" w:rsidRDefault="00E13FBF" w:rsidP="00E13FBF">
      <w:pPr>
        <w:pStyle w:val="Body"/>
        <w:rPr>
          <w:rFonts w:ascii="Arial" w:hAnsi="Arial" w:cs="Arial"/>
          <w:b/>
          <w:bCs/>
        </w:rPr>
      </w:pPr>
      <w:r>
        <w:rPr>
          <w:rFonts w:ascii="Arial" w:hAnsi="Arial" w:cs="Arial"/>
          <w:b/>
          <w:bCs/>
        </w:rPr>
        <w:t xml:space="preserve">2.3 </w:t>
      </w:r>
      <w:r w:rsidRPr="00720D2C">
        <w:rPr>
          <w:rFonts w:ascii="Arial" w:hAnsi="Arial" w:cs="Arial"/>
          <w:b/>
          <w:bCs/>
        </w:rPr>
        <w:t>Ethical Approval</w:t>
      </w:r>
    </w:p>
    <w:p w14:paraId="5891C87C" w14:textId="77777777" w:rsidR="00E13FBF" w:rsidRPr="00720D2C" w:rsidRDefault="00E13FBF" w:rsidP="00E13FBF">
      <w:pPr>
        <w:pStyle w:val="Body"/>
        <w:rPr>
          <w:rFonts w:ascii="Arial" w:hAnsi="Arial" w:cs="Arial"/>
        </w:rPr>
      </w:pPr>
      <w:r w:rsidRPr="00720D2C">
        <w:rPr>
          <w:rFonts w:ascii="Arial" w:hAnsi="Arial" w:cs="Arial"/>
        </w:rPr>
        <w:t>Ethical clearance was obtained from the Ambrose Alli University Health Research and Ethics Committee. Informed consent was obtained from each of the participants.</w:t>
      </w:r>
    </w:p>
    <w:p w14:paraId="6BC52340" w14:textId="77777777" w:rsidR="00E13FBF" w:rsidRPr="00720D2C" w:rsidRDefault="00E13FBF" w:rsidP="00E13FBF">
      <w:pPr>
        <w:pStyle w:val="Body"/>
        <w:rPr>
          <w:rFonts w:ascii="Arial" w:hAnsi="Arial" w:cs="Arial"/>
          <w:b/>
          <w:bCs/>
        </w:rPr>
      </w:pPr>
      <w:r>
        <w:rPr>
          <w:rFonts w:ascii="Arial" w:hAnsi="Arial" w:cs="Arial"/>
          <w:b/>
          <w:bCs/>
        </w:rPr>
        <w:t xml:space="preserve">2.4 </w:t>
      </w:r>
      <w:r w:rsidRPr="00720D2C">
        <w:rPr>
          <w:rFonts w:ascii="Arial" w:hAnsi="Arial" w:cs="Arial"/>
          <w:b/>
          <w:bCs/>
        </w:rPr>
        <w:t>Inclusion Criteria</w:t>
      </w:r>
    </w:p>
    <w:p w14:paraId="04E635CE" w14:textId="77777777" w:rsidR="00E13FBF" w:rsidRPr="00720D2C" w:rsidRDefault="00E13FBF" w:rsidP="00E13FBF">
      <w:pPr>
        <w:pStyle w:val="Body"/>
        <w:rPr>
          <w:rFonts w:ascii="Arial" w:hAnsi="Arial" w:cs="Arial"/>
        </w:rPr>
      </w:pPr>
      <w:r w:rsidRPr="00720D2C">
        <w:rPr>
          <w:rFonts w:ascii="Arial" w:hAnsi="Arial" w:cs="Arial"/>
        </w:rPr>
        <w:t xml:space="preserve">Only apparently healthy students of Ambrose Alli University, </w:t>
      </w:r>
      <w:proofErr w:type="spellStart"/>
      <w:r w:rsidRPr="00720D2C">
        <w:rPr>
          <w:rFonts w:ascii="Arial" w:hAnsi="Arial" w:cs="Arial"/>
        </w:rPr>
        <w:t>Ekpoma</w:t>
      </w:r>
      <w:proofErr w:type="spellEnd"/>
      <w:r w:rsidRPr="00720D2C">
        <w:rPr>
          <w:rFonts w:ascii="Arial" w:hAnsi="Arial" w:cs="Arial"/>
        </w:rPr>
        <w:t xml:space="preserve">, aged 16-35 years and of both sexes who were negative for HIV 1 &amp; II, HBsAg, HCV, VDRL and belonged to </w:t>
      </w:r>
      <w:proofErr w:type="spellStart"/>
      <w:r w:rsidRPr="00720D2C">
        <w:rPr>
          <w:rFonts w:ascii="Arial" w:hAnsi="Arial" w:cs="Arial"/>
        </w:rPr>
        <w:t>Haemoglobin</w:t>
      </w:r>
      <w:proofErr w:type="spellEnd"/>
      <w:r w:rsidRPr="00720D2C">
        <w:rPr>
          <w:rFonts w:ascii="Arial" w:hAnsi="Arial" w:cs="Arial"/>
        </w:rPr>
        <w:t xml:space="preserve"> AA, AS or AC who gave consent were included for the study.</w:t>
      </w:r>
    </w:p>
    <w:p w14:paraId="0EAAD484" w14:textId="77777777" w:rsidR="00E13FBF" w:rsidRPr="00720D2C" w:rsidRDefault="00E13FBF" w:rsidP="00E13FBF">
      <w:pPr>
        <w:pStyle w:val="Body"/>
        <w:rPr>
          <w:rFonts w:ascii="Arial" w:hAnsi="Arial" w:cs="Arial"/>
          <w:b/>
          <w:bCs/>
        </w:rPr>
      </w:pPr>
      <w:r>
        <w:rPr>
          <w:rFonts w:ascii="Arial" w:hAnsi="Arial" w:cs="Arial"/>
          <w:b/>
          <w:bCs/>
        </w:rPr>
        <w:t xml:space="preserve">2.5 </w:t>
      </w:r>
      <w:r w:rsidRPr="00720D2C">
        <w:rPr>
          <w:rFonts w:ascii="Arial" w:hAnsi="Arial" w:cs="Arial"/>
          <w:b/>
          <w:bCs/>
        </w:rPr>
        <w:t>Exclusion Criteria</w:t>
      </w:r>
    </w:p>
    <w:p w14:paraId="4AA773AA" w14:textId="77777777" w:rsidR="00E13FBF" w:rsidRPr="00720D2C" w:rsidRDefault="00E13FBF" w:rsidP="00E13FBF">
      <w:pPr>
        <w:pStyle w:val="Body"/>
        <w:rPr>
          <w:rFonts w:ascii="Arial" w:hAnsi="Arial" w:cs="Arial"/>
        </w:rPr>
      </w:pPr>
      <w:r w:rsidRPr="00720D2C">
        <w:rPr>
          <w:rFonts w:ascii="Arial" w:hAnsi="Arial" w:cs="Arial"/>
        </w:rPr>
        <w:t>Individuals who did not meet the inclusion criteria and those who did not give their consent were excluded from the study.</w:t>
      </w:r>
    </w:p>
    <w:p w14:paraId="150D24F1" w14:textId="77777777" w:rsidR="00E13FBF" w:rsidRPr="00720D2C" w:rsidRDefault="00E13FBF" w:rsidP="00E13FBF">
      <w:pPr>
        <w:pStyle w:val="Body"/>
        <w:rPr>
          <w:rFonts w:ascii="Arial" w:hAnsi="Arial" w:cs="Arial"/>
          <w:b/>
          <w:bCs/>
        </w:rPr>
      </w:pPr>
      <w:r>
        <w:rPr>
          <w:rFonts w:ascii="Arial" w:hAnsi="Arial" w:cs="Arial"/>
          <w:b/>
          <w:bCs/>
        </w:rPr>
        <w:t xml:space="preserve">2.6 </w:t>
      </w:r>
      <w:r w:rsidRPr="00720D2C">
        <w:rPr>
          <w:rFonts w:ascii="Arial" w:hAnsi="Arial" w:cs="Arial"/>
          <w:b/>
          <w:bCs/>
        </w:rPr>
        <w:t>Sample Collection</w:t>
      </w:r>
    </w:p>
    <w:p w14:paraId="344EDF68" w14:textId="77777777" w:rsidR="00E13FBF" w:rsidRPr="00720D2C" w:rsidRDefault="00E13FBF" w:rsidP="00E13FBF">
      <w:pPr>
        <w:pStyle w:val="Body"/>
        <w:rPr>
          <w:rFonts w:ascii="Arial" w:hAnsi="Arial" w:cs="Arial"/>
        </w:rPr>
      </w:pPr>
      <w:r w:rsidRPr="00720D2C">
        <w:rPr>
          <w:rFonts w:ascii="Arial" w:hAnsi="Arial" w:cs="Arial"/>
        </w:rPr>
        <w:lastRenderedPageBreak/>
        <w:t>Five milliliters (5ml) of whole blood was collected from the antecubital fossa vein by venipuncture from each of the subjects with sterile disposable syringe and needle and dispensed into a well-labelled EDTA tube and mixed properly. All the samples were analyzed few hours after collection.</w:t>
      </w:r>
    </w:p>
    <w:p w14:paraId="50DD78EA" w14:textId="77777777" w:rsidR="00E13FBF" w:rsidRPr="00720D2C" w:rsidRDefault="00E13FBF" w:rsidP="00E13FBF">
      <w:pPr>
        <w:pStyle w:val="Body"/>
        <w:rPr>
          <w:rFonts w:ascii="Arial" w:hAnsi="Arial" w:cs="Arial"/>
          <w:b/>
          <w:bCs/>
        </w:rPr>
      </w:pPr>
      <w:r>
        <w:rPr>
          <w:rFonts w:ascii="Arial" w:hAnsi="Arial" w:cs="Arial"/>
          <w:b/>
          <w:bCs/>
        </w:rPr>
        <w:t xml:space="preserve">2.7 </w:t>
      </w:r>
      <w:r w:rsidRPr="00720D2C">
        <w:rPr>
          <w:rFonts w:ascii="Arial" w:hAnsi="Arial" w:cs="Arial"/>
          <w:b/>
          <w:bCs/>
        </w:rPr>
        <w:t xml:space="preserve">Sample analysis </w:t>
      </w:r>
    </w:p>
    <w:p w14:paraId="5B748492" w14:textId="77777777" w:rsidR="00E13FBF" w:rsidRPr="00720D2C" w:rsidRDefault="00E13FBF" w:rsidP="00E13FBF">
      <w:pPr>
        <w:pStyle w:val="Body"/>
        <w:rPr>
          <w:rFonts w:ascii="Arial" w:hAnsi="Arial" w:cs="Arial"/>
        </w:rPr>
      </w:pPr>
      <w:r w:rsidRPr="00720D2C">
        <w:rPr>
          <w:rFonts w:ascii="Arial" w:hAnsi="Arial" w:cs="Arial"/>
        </w:rPr>
        <w:t xml:space="preserve">(1) HIV I &amp; II, Hepatitis B virus, Hepatitis C virus, Syphilis, and </w:t>
      </w:r>
      <w:proofErr w:type="spellStart"/>
      <w:r w:rsidRPr="00720D2C">
        <w:rPr>
          <w:rFonts w:ascii="Arial" w:hAnsi="Arial" w:cs="Arial"/>
        </w:rPr>
        <w:t>Haemoglobin</w:t>
      </w:r>
      <w:proofErr w:type="spellEnd"/>
      <w:r w:rsidRPr="00720D2C">
        <w:rPr>
          <w:rFonts w:ascii="Arial" w:hAnsi="Arial" w:cs="Arial"/>
        </w:rPr>
        <w:t xml:space="preserve"> electrophoresis screening were carried out on all the samples before determining the </w:t>
      </w:r>
      <w:proofErr w:type="spellStart"/>
      <w:r w:rsidRPr="00720D2C">
        <w:rPr>
          <w:rFonts w:ascii="Arial" w:hAnsi="Arial" w:cs="Arial"/>
        </w:rPr>
        <w:t>Haematological</w:t>
      </w:r>
      <w:proofErr w:type="spellEnd"/>
      <w:r w:rsidRPr="00720D2C">
        <w:rPr>
          <w:rFonts w:ascii="Arial" w:hAnsi="Arial" w:cs="Arial"/>
        </w:rPr>
        <w:t xml:space="preserve"> assay of the samples.</w:t>
      </w:r>
    </w:p>
    <w:p w14:paraId="200EAD88" w14:textId="77777777" w:rsidR="00E13FBF" w:rsidRPr="00720D2C" w:rsidRDefault="00E13FBF" w:rsidP="00E13FBF">
      <w:pPr>
        <w:pStyle w:val="Body"/>
        <w:rPr>
          <w:rFonts w:ascii="Arial" w:hAnsi="Arial" w:cs="Arial"/>
        </w:rPr>
      </w:pPr>
      <w:r w:rsidRPr="00720D2C">
        <w:rPr>
          <w:rFonts w:ascii="Arial" w:hAnsi="Arial" w:cs="Arial"/>
        </w:rPr>
        <w:t xml:space="preserve">(2) Blood parameters such as red blood cells parameters, white blood cells parameters and platelets parameters were determined using the automated </w:t>
      </w:r>
      <w:proofErr w:type="spellStart"/>
      <w:r w:rsidRPr="00720D2C">
        <w:rPr>
          <w:rFonts w:ascii="Arial" w:hAnsi="Arial" w:cs="Arial"/>
        </w:rPr>
        <w:t>haematology</w:t>
      </w:r>
      <w:proofErr w:type="spellEnd"/>
      <w:r w:rsidRPr="00720D2C">
        <w:rPr>
          <w:rFonts w:ascii="Arial" w:hAnsi="Arial" w:cs="Arial"/>
        </w:rPr>
        <w:t xml:space="preserve"> autoanalyzer, Sysmex KX-21N (Sysmex Corporation, Kobe, Japan). The Sysmex KX-21N is an automatic 19-parameters, 3-part differential blood cell counter.</w:t>
      </w:r>
    </w:p>
    <w:p w14:paraId="6E2401BC" w14:textId="77777777" w:rsidR="00E13FBF" w:rsidRPr="00720D2C" w:rsidRDefault="00E13FBF" w:rsidP="00E13FBF">
      <w:pPr>
        <w:pStyle w:val="Body"/>
        <w:rPr>
          <w:rFonts w:ascii="Arial" w:hAnsi="Arial" w:cs="Arial"/>
          <w:b/>
          <w:bCs/>
        </w:rPr>
      </w:pPr>
      <w:r>
        <w:rPr>
          <w:rFonts w:ascii="Arial" w:hAnsi="Arial" w:cs="Arial"/>
          <w:b/>
          <w:bCs/>
        </w:rPr>
        <w:t xml:space="preserve">2.8 </w:t>
      </w:r>
      <w:r w:rsidRPr="00720D2C">
        <w:rPr>
          <w:rFonts w:ascii="Arial" w:hAnsi="Arial" w:cs="Arial"/>
          <w:b/>
          <w:bCs/>
        </w:rPr>
        <w:t>Statistical Analysis</w:t>
      </w:r>
    </w:p>
    <w:p w14:paraId="76638680" w14:textId="77777777" w:rsidR="00E13FBF" w:rsidRDefault="00E13FBF" w:rsidP="00E13FBF">
      <w:pPr>
        <w:pStyle w:val="Body"/>
        <w:spacing w:after="0"/>
        <w:rPr>
          <w:rFonts w:ascii="Arial" w:hAnsi="Arial" w:cs="Arial"/>
        </w:rPr>
      </w:pPr>
      <w:r w:rsidRPr="00720D2C">
        <w:rPr>
          <w:rFonts w:ascii="Arial" w:hAnsi="Arial" w:cs="Arial"/>
        </w:rPr>
        <w:t xml:space="preserve">The reference ranges were calculated using non-parametric methods. The medians were calculated and the reference values were determined at 2.5th and 95th percentile. Mean, standard deviation and median were computed for each of the </w:t>
      </w:r>
      <w:proofErr w:type="spellStart"/>
      <w:r w:rsidRPr="00720D2C">
        <w:rPr>
          <w:rFonts w:ascii="Arial" w:hAnsi="Arial" w:cs="Arial"/>
        </w:rPr>
        <w:t>haematological</w:t>
      </w:r>
      <w:proofErr w:type="spellEnd"/>
      <w:r w:rsidRPr="00720D2C">
        <w:rPr>
          <w:rFonts w:ascii="Arial" w:hAnsi="Arial" w:cs="Arial"/>
        </w:rPr>
        <w:t xml:space="preserve"> parameters of the study subjects. Parametric Student’s t-test was used to determine the statistical difference between male and female subjects. Analysis of variance (ANOVA) was used to compare the difference in mean age groups. P&lt;0.05 was considered significant.</w:t>
      </w:r>
      <w:r w:rsidRPr="00FB3A86">
        <w:rPr>
          <w:rFonts w:ascii="Arial" w:hAnsi="Arial" w:cs="Arial"/>
        </w:rPr>
        <w:t xml:space="preserve"> </w:t>
      </w:r>
    </w:p>
    <w:p w14:paraId="632BCA6B" w14:textId="77777777" w:rsidR="00E13FBF" w:rsidRPr="00FB3A86" w:rsidRDefault="00E13FBF" w:rsidP="00E13FBF">
      <w:pPr>
        <w:pStyle w:val="Body"/>
        <w:spacing w:after="0"/>
        <w:rPr>
          <w:rFonts w:ascii="Arial" w:hAnsi="Arial" w:cs="Arial"/>
        </w:rPr>
      </w:pPr>
    </w:p>
    <w:p w14:paraId="220156B2" w14:textId="77777777" w:rsidR="00E13FBF" w:rsidRDefault="00E13FBF" w:rsidP="00E13FBF">
      <w:pPr>
        <w:pStyle w:val="Head1"/>
        <w:spacing w:after="0"/>
        <w:jc w:val="both"/>
        <w:rPr>
          <w:rFonts w:ascii="Arial" w:hAnsi="Arial" w:cs="Arial"/>
        </w:rPr>
      </w:pPr>
      <w:r>
        <w:rPr>
          <w:rFonts w:ascii="Arial" w:hAnsi="Arial" w:cs="Arial"/>
        </w:rPr>
        <w:t>3. results and discussion</w:t>
      </w:r>
    </w:p>
    <w:p w14:paraId="2867ACC1" w14:textId="77777777" w:rsidR="00E13FBF" w:rsidRPr="00FB3A86" w:rsidRDefault="00E13FBF" w:rsidP="00E13FBF">
      <w:pPr>
        <w:pStyle w:val="Head1"/>
        <w:spacing w:after="0"/>
        <w:jc w:val="both"/>
        <w:rPr>
          <w:rFonts w:ascii="Arial" w:hAnsi="Arial" w:cs="Arial"/>
        </w:rPr>
      </w:pPr>
      <w:r>
        <w:rPr>
          <w:rFonts w:ascii="Arial" w:hAnsi="Arial" w:cs="Arial"/>
          <w:caps w:val="0"/>
        </w:rPr>
        <w:t>3.1 Results</w:t>
      </w:r>
    </w:p>
    <w:p w14:paraId="2C5B2388" w14:textId="77777777" w:rsidR="00E13FBF" w:rsidRPr="00720D2C" w:rsidRDefault="00E13FBF" w:rsidP="00E13FBF">
      <w:pPr>
        <w:pStyle w:val="Body"/>
        <w:rPr>
          <w:rFonts w:ascii="Arial" w:hAnsi="Arial" w:cs="Arial"/>
        </w:rPr>
      </w:pPr>
      <w:r w:rsidRPr="00720D2C">
        <w:rPr>
          <w:rFonts w:ascii="Arial" w:hAnsi="Arial" w:cs="Arial"/>
        </w:rPr>
        <w:t xml:space="preserve">The means, median and reference intervals (2.5th -95th percentile) of the study population is presented in table 1. The reference intervals of 3.6835-5.82, 9.9-15.2, 29.8-44.5, 80.365-86.7, 22.18-30.3, 30.6-36.2, 33.9-45.9 and 11.8-16-1 were obtained for the respective red blood cells parameters of RBC, HGB, PCV, MCV, MCH, MCHC, RDW SD and RDW CV. In a similar fashion, the white blood cells parameters of WBC, LYM %, MXD %, NEUT %, LYM (x103/µl), MXD (x103/µl) and NEUT (x103/µl) recorded the reference intervals of 3.1-7.8, 23.7625-62.8, 4.7-20, 37.78-60.9, 1.3-3.7, 0.2-1.135 and 0.9-4.0 respectively. Furthermore, the platelet parameters of PLT, PDW, MPV and P-LCR were 80-339.3, 10.2-18.3, 8.9-12.1 and 16.2275-41 respectively. </w:t>
      </w:r>
    </w:p>
    <w:p w14:paraId="3F6EF3D2" w14:textId="77777777" w:rsidR="00E13FBF" w:rsidRPr="00720D2C" w:rsidRDefault="00E13FBF" w:rsidP="00E13FBF">
      <w:pPr>
        <w:pStyle w:val="Body"/>
        <w:rPr>
          <w:rFonts w:ascii="Arial" w:hAnsi="Arial" w:cs="Arial"/>
        </w:rPr>
      </w:pPr>
      <w:r w:rsidRPr="00720D2C">
        <w:rPr>
          <w:rFonts w:ascii="Arial" w:hAnsi="Arial" w:cs="Arial"/>
        </w:rPr>
        <w:t xml:space="preserve">The means, median and reference intervals for male and female subjects are presented in table 2. Male subjects had higher RBC (3.82-5.97x1012/l versus 3.62-5.65 x 1012/l), HGB (10.2-15.6 versus 9.5-14-75 g/dl) and PCV (30.8-45.2% versus 28.8-42.7%), than the female subjects. Whereas, women had higher RDW SD (34.45-46.35% versus 33.05-45.2%), WBC (3.3-7.9 (x103/µl) versus 3.0 -7.5 x103/µl), MXD % (4.78-19.25% versus 4.7-21.0%), LYM(x103/µl) (0.2-1.1x103/µl  versus 0.2-1.2x103/µl), NEUT (x103/µl ) (1-4.1x103/µl versus 0.9-3.9x103/µl) and PLT (x103/µl) (82.6-346.8x103/µl versus 78.53-320.95x103/µl) than men. On the other hand, the </w:t>
      </w:r>
      <w:proofErr w:type="gramStart"/>
      <w:r w:rsidRPr="00720D2C">
        <w:rPr>
          <w:rFonts w:ascii="Arial" w:hAnsi="Arial" w:cs="Arial"/>
        </w:rPr>
        <w:t>MCV,MCH</w:t>
      </w:r>
      <w:proofErr w:type="gramEnd"/>
      <w:r w:rsidRPr="00720D2C">
        <w:rPr>
          <w:rFonts w:ascii="Arial" w:hAnsi="Arial" w:cs="Arial"/>
        </w:rPr>
        <w:t>, MCHC,RDW CV, LYM %, NEUT %, PDW, MPV and P-LCR did reveal statistical  significant differences based on gender (P&gt;0.05).</w:t>
      </w:r>
    </w:p>
    <w:p w14:paraId="1E8C89D8" w14:textId="77777777" w:rsidR="00E13FBF" w:rsidRDefault="00E13FBF" w:rsidP="00E13FBF">
      <w:pPr>
        <w:pStyle w:val="Body"/>
        <w:spacing w:after="0"/>
        <w:rPr>
          <w:rFonts w:ascii="Arial" w:hAnsi="Arial" w:cs="Arial"/>
        </w:rPr>
      </w:pPr>
      <w:r w:rsidRPr="00720D2C">
        <w:rPr>
          <w:rFonts w:ascii="Arial" w:hAnsi="Arial" w:cs="Arial"/>
        </w:rPr>
        <w:t xml:space="preserve">The </w:t>
      </w:r>
      <w:proofErr w:type="spellStart"/>
      <w:r w:rsidRPr="00720D2C">
        <w:rPr>
          <w:rFonts w:ascii="Arial" w:hAnsi="Arial" w:cs="Arial"/>
        </w:rPr>
        <w:t>haematological</w:t>
      </w:r>
      <w:proofErr w:type="spellEnd"/>
      <w:r w:rsidRPr="00720D2C">
        <w:rPr>
          <w:rFonts w:ascii="Arial" w:hAnsi="Arial" w:cs="Arial"/>
        </w:rPr>
        <w:t xml:space="preserve"> parameters of the subjects based on age is summarized in table 3. The </w:t>
      </w:r>
      <w:proofErr w:type="spellStart"/>
      <w:r w:rsidRPr="00720D2C">
        <w:rPr>
          <w:rFonts w:ascii="Arial" w:hAnsi="Arial" w:cs="Arial"/>
        </w:rPr>
        <w:t>haematological</w:t>
      </w:r>
      <w:proofErr w:type="spellEnd"/>
      <w:r w:rsidRPr="00720D2C">
        <w:rPr>
          <w:rFonts w:ascii="Arial" w:hAnsi="Arial" w:cs="Arial"/>
        </w:rPr>
        <w:t xml:space="preserve"> parameters of PCV and MCV were affected (P&lt;0-05) by age while the remaining parameters were not affected (P&gt;0.05).</w:t>
      </w:r>
    </w:p>
    <w:p w14:paraId="1090F30C" w14:textId="77777777" w:rsidR="00E13FBF" w:rsidRDefault="00E13FBF" w:rsidP="00E13FBF">
      <w:pPr>
        <w:pStyle w:val="Body"/>
        <w:spacing w:after="0"/>
        <w:rPr>
          <w:rFonts w:ascii="Arial" w:hAnsi="Arial" w:cs="Arial"/>
        </w:rPr>
      </w:pPr>
    </w:p>
    <w:p w14:paraId="23C8C317" w14:textId="77777777" w:rsidR="00E13FBF" w:rsidRPr="00C12B24" w:rsidRDefault="00E13FBF" w:rsidP="00E13FBF">
      <w:pPr>
        <w:spacing w:line="240" w:lineRule="auto"/>
        <w:rPr>
          <w:rFonts w:ascii="Times New Roman" w:hAnsi="Times New Roman" w:cs="Times New Roman"/>
          <w:b/>
          <w:sz w:val="24"/>
          <w:szCs w:val="24"/>
        </w:rPr>
      </w:pPr>
      <w:r w:rsidRPr="00C12B24">
        <w:rPr>
          <w:rFonts w:ascii="Times New Roman" w:hAnsi="Times New Roman" w:cs="Times New Roman"/>
          <w:b/>
          <w:sz w:val="24"/>
          <w:szCs w:val="24"/>
        </w:rPr>
        <w:t xml:space="preserve">Table 1: </w:t>
      </w:r>
      <w:proofErr w:type="spellStart"/>
      <w:r w:rsidRPr="00C12B24">
        <w:rPr>
          <w:rFonts w:ascii="Times New Roman" w:hAnsi="Times New Roman" w:cs="Times New Roman"/>
          <w:b/>
          <w:sz w:val="24"/>
          <w:szCs w:val="24"/>
        </w:rPr>
        <w:t>Haematological</w:t>
      </w:r>
      <w:proofErr w:type="spellEnd"/>
      <w:r w:rsidRPr="00C12B24">
        <w:rPr>
          <w:rFonts w:ascii="Times New Roman" w:hAnsi="Times New Roman" w:cs="Times New Roman"/>
          <w:b/>
          <w:sz w:val="24"/>
          <w:szCs w:val="24"/>
        </w:rPr>
        <w:t xml:space="preserve"> parameters of studied subjects</w:t>
      </w:r>
    </w:p>
    <w:tbl>
      <w:tblPr>
        <w:tblStyle w:val="TableGrid"/>
        <w:tblW w:w="9558" w:type="dxa"/>
        <w:tblLook w:val="04A0" w:firstRow="1" w:lastRow="0" w:firstColumn="1" w:lastColumn="0" w:noHBand="0" w:noVBand="1"/>
      </w:tblPr>
      <w:tblGrid>
        <w:gridCol w:w="1980"/>
        <w:gridCol w:w="3118"/>
        <w:gridCol w:w="1670"/>
        <w:gridCol w:w="2790"/>
      </w:tblGrid>
      <w:tr w:rsidR="00E13FBF" w:rsidRPr="00C12B24" w14:paraId="47BC1FCD" w14:textId="77777777" w:rsidTr="00C42D9D">
        <w:tc>
          <w:tcPr>
            <w:tcW w:w="1980" w:type="dxa"/>
          </w:tcPr>
          <w:p w14:paraId="67F117E1" w14:textId="77777777" w:rsidR="00E13FBF" w:rsidRPr="00C12B24" w:rsidRDefault="00E13FBF" w:rsidP="00C42D9D">
            <w:pPr>
              <w:spacing w:line="240" w:lineRule="auto"/>
              <w:jc w:val="center"/>
              <w:rPr>
                <w:rFonts w:ascii="Times New Roman" w:hAnsi="Times New Roman" w:cs="Times New Roman"/>
                <w:b/>
              </w:rPr>
            </w:pPr>
            <w:r w:rsidRPr="00C12B24">
              <w:rPr>
                <w:rFonts w:ascii="Times New Roman" w:hAnsi="Times New Roman" w:cs="Times New Roman"/>
                <w:b/>
              </w:rPr>
              <w:t>Parameters</w:t>
            </w:r>
          </w:p>
        </w:tc>
        <w:tc>
          <w:tcPr>
            <w:tcW w:w="3118" w:type="dxa"/>
          </w:tcPr>
          <w:p w14:paraId="272DFA5E" w14:textId="77777777" w:rsidR="00E13FBF" w:rsidRPr="00C12B24" w:rsidRDefault="00E13FBF" w:rsidP="00C42D9D">
            <w:pPr>
              <w:spacing w:line="240" w:lineRule="auto"/>
              <w:jc w:val="center"/>
              <w:rPr>
                <w:rFonts w:ascii="Times New Roman" w:hAnsi="Times New Roman" w:cs="Times New Roman"/>
                <w:b/>
              </w:rPr>
            </w:pPr>
            <w:r w:rsidRPr="00C12B24">
              <w:rPr>
                <w:rFonts w:ascii="Times New Roman" w:hAnsi="Times New Roman" w:cs="Times New Roman"/>
                <w:b/>
              </w:rPr>
              <w:t>Mean ± SD</w:t>
            </w:r>
            <w:r>
              <w:rPr>
                <w:rFonts w:ascii="Times New Roman" w:hAnsi="Times New Roman" w:cs="Times New Roman"/>
                <w:b/>
              </w:rPr>
              <w:t xml:space="preserve"> (</w:t>
            </w:r>
            <w:r w:rsidRPr="00C12B24">
              <w:rPr>
                <w:rFonts w:ascii="Times New Roman" w:hAnsi="Times New Roman" w:cs="Times New Roman"/>
                <w:b/>
              </w:rPr>
              <w:t>n = 1935</w:t>
            </w:r>
            <w:r>
              <w:rPr>
                <w:rFonts w:ascii="Times New Roman" w:hAnsi="Times New Roman" w:cs="Times New Roman"/>
                <w:b/>
              </w:rPr>
              <w:t>)</w:t>
            </w:r>
          </w:p>
        </w:tc>
        <w:tc>
          <w:tcPr>
            <w:tcW w:w="1670" w:type="dxa"/>
          </w:tcPr>
          <w:p w14:paraId="29EAA3A5" w14:textId="77777777" w:rsidR="00E13FBF" w:rsidRPr="00C12B24" w:rsidRDefault="00E13FBF" w:rsidP="00C42D9D">
            <w:pPr>
              <w:spacing w:line="240" w:lineRule="auto"/>
              <w:jc w:val="center"/>
              <w:rPr>
                <w:rFonts w:ascii="Times New Roman" w:hAnsi="Times New Roman" w:cs="Times New Roman"/>
                <w:b/>
              </w:rPr>
            </w:pPr>
            <w:r w:rsidRPr="00C12B24">
              <w:rPr>
                <w:rFonts w:ascii="Times New Roman" w:hAnsi="Times New Roman" w:cs="Times New Roman"/>
                <w:b/>
              </w:rPr>
              <w:t>Median</w:t>
            </w:r>
          </w:p>
        </w:tc>
        <w:tc>
          <w:tcPr>
            <w:tcW w:w="2790" w:type="dxa"/>
          </w:tcPr>
          <w:p w14:paraId="2994ACF6" w14:textId="77777777" w:rsidR="00E13FBF" w:rsidRPr="00C12B24" w:rsidRDefault="00E13FBF" w:rsidP="00C42D9D">
            <w:pPr>
              <w:spacing w:line="240" w:lineRule="auto"/>
              <w:jc w:val="center"/>
              <w:rPr>
                <w:rFonts w:ascii="Times New Roman" w:hAnsi="Times New Roman" w:cs="Times New Roman"/>
                <w:b/>
              </w:rPr>
            </w:pPr>
            <w:r w:rsidRPr="00C12B24">
              <w:rPr>
                <w:rFonts w:ascii="Times New Roman" w:hAnsi="Times New Roman" w:cs="Times New Roman"/>
                <w:b/>
              </w:rPr>
              <w:t>2.5</w:t>
            </w:r>
            <w:r w:rsidRPr="00C12B24">
              <w:rPr>
                <w:rFonts w:ascii="Times New Roman" w:hAnsi="Times New Roman" w:cs="Times New Roman"/>
                <w:b/>
                <w:vertAlign w:val="superscript"/>
              </w:rPr>
              <w:t>th</w:t>
            </w:r>
            <w:r w:rsidRPr="00C12B24">
              <w:rPr>
                <w:rFonts w:ascii="Times New Roman" w:hAnsi="Times New Roman" w:cs="Times New Roman"/>
                <w:b/>
              </w:rPr>
              <w:t xml:space="preserve"> – 95</w:t>
            </w:r>
            <w:r w:rsidRPr="00C12B24">
              <w:rPr>
                <w:rFonts w:ascii="Times New Roman" w:hAnsi="Times New Roman" w:cs="Times New Roman"/>
                <w:b/>
                <w:vertAlign w:val="superscript"/>
              </w:rPr>
              <w:t>th</w:t>
            </w:r>
            <w:r w:rsidRPr="00C12B24">
              <w:rPr>
                <w:rFonts w:ascii="Times New Roman" w:hAnsi="Times New Roman" w:cs="Times New Roman"/>
                <w:b/>
              </w:rPr>
              <w:t xml:space="preserve"> Percentile</w:t>
            </w:r>
          </w:p>
        </w:tc>
      </w:tr>
      <w:tr w:rsidR="00E13FBF" w:rsidRPr="00C12B24" w14:paraId="7FC2984D" w14:textId="77777777" w:rsidTr="00C42D9D">
        <w:tc>
          <w:tcPr>
            <w:tcW w:w="1980" w:type="dxa"/>
          </w:tcPr>
          <w:p w14:paraId="171CCB6D"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Age</w:t>
            </w:r>
          </w:p>
        </w:tc>
        <w:tc>
          <w:tcPr>
            <w:tcW w:w="3118" w:type="dxa"/>
          </w:tcPr>
          <w:p w14:paraId="46B4C0CE"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23.84±3.14</w:t>
            </w:r>
          </w:p>
        </w:tc>
        <w:tc>
          <w:tcPr>
            <w:tcW w:w="1670" w:type="dxa"/>
          </w:tcPr>
          <w:p w14:paraId="1F557F1F"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24</w:t>
            </w:r>
          </w:p>
        </w:tc>
        <w:tc>
          <w:tcPr>
            <w:tcW w:w="2790" w:type="dxa"/>
          </w:tcPr>
          <w:p w14:paraId="2DFA8B66"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19-30</w:t>
            </w:r>
          </w:p>
        </w:tc>
      </w:tr>
      <w:tr w:rsidR="00E13FBF" w:rsidRPr="00C12B24" w14:paraId="1592EE22" w14:textId="77777777" w:rsidTr="00C42D9D">
        <w:tc>
          <w:tcPr>
            <w:tcW w:w="1980" w:type="dxa"/>
          </w:tcPr>
          <w:p w14:paraId="6759B06A"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RBC (x10</w:t>
            </w:r>
            <w:r w:rsidRPr="00C12B24">
              <w:rPr>
                <w:rFonts w:ascii="Times New Roman" w:hAnsi="Times New Roman" w:cs="Times New Roman"/>
                <w:vertAlign w:val="superscript"/>
              </w:rPr>
              <w:t>6</w:t>
            </w:r>
            <w:r w:rsidRPr="00C12B24">
              <w:rPr>
                <w:rFonts w:ascii="Times New Roman" w:hAnsi="Times New Roman" w:cs="Times New Roman"/>
              </w:rPr>
              <w:t>/µl)</w:t>
            </w:r>
          </w:p>
        </w:tc>
        <w:tc>
          <w:tcPr>
            <w:tcW w:w="3118" w:type="dxa"/>
          </w:tcPr>
          <w:p w14:paraId="76D1C8D1"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4.80±1.20</w:t>
            </w:r>
          </w:p>
        </w:tc>
        <w:tc>
          <w:tcPr>
            <w:tcW w:w="1670" w:type="dxa"/>
          </w:tcPr>
          <w:p w14:paraId="6911F2DC"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4.74</w:t>
            </w:r>
          </w:p>
        </w:tc>
        <w:tc>
          <w:tcPr>
            <w:tcW w:w="2790" w:type="dxa"/>
          </w:tcPr>
          <w:p w14:paraId="709EC25A"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3.6835-5.82</w:t>
            </w:r>
          </w:p>
        </w:tc>
      </w:tr>
      <w:tr w:rsidR="00E13FBF" w:rsidRPr="00C12B24" w14:paraId="70948A9E" w14:textId="77777777" w:rsidTr="00C42D9D">
        <w:tc>
          <w:tcPr>
            <w:tcW w:w="1980" w:type="dxa"/>
          </w:tcPr>
          <w:p w14:paraId="40C65682"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HGB (g/dl)</w:t>
            </w:r>
          </w:p>
        </w:tc>
        <w:tc>
          <w:tcPr>
            <w:tcW w:w="3118" w:type="dxa"/>
          </w:tcPr>
          <w:p w14:paraId="13F18FFF"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12.80±5.00</w:t>
            </w:r>
          </w:p>
        </w:tc>
        <w:tc>
          <w:tcPr>
            <w:tcW w:w="1670" w:type="dxa"/>
          </w:tcPr>
          <w:p w14:paraId="352DEA27"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12.6</w:t>
            </w:r>
          </w:p>
        </w:tc>
        <w:tc>
          <w:tcPr>
            <w:tcW w:w="2790" w:type="dxa"/>
          </w:tcPr>
          <w:p w14:paraId="3D7C9CB4"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9.9-15.2</w:t>
            </w:r>
          </w:p>
        </w:tc>
      </w:tr>
      <w:tr w:rsidR="00E13FBF" w:rsidRPr="00C12B24" w14:paraId="1CAF6CD0" w14:textId="77777777" w:rsidTr="00C42D9D">
        <w:tc>
          <w:tcPr>
            <w:tcW w:w="1980" w:type="dxa"/>
          </w:tcPr>
          <w:p w14:paraId="0D96B874"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PCV (%)</w:t>
            </w:r>
          </w:p>
        </w:tc>
        <w:tc>
          <w:tcPr>
            <w:tcW w:w="3118" w:type="dxa"/>
          </w:tcPr>
          <w:p w14:paraId="6A2EE0BA"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37.27±4.42</w:t>
            </w:r>
          </w:p>
        </w:tc>
        <w:tc>
          <w:tcPr>
            <w:tcW w:w="1670" w:type="dxa"/>
          </w:tcPr>
          <w:p w14:paraId="23702E51"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37.1</w:t>
            </w:r>
          </w:p>
        </w:tc>
        <w:tc>
          <w:tcPr>
            <w:tcW w:w="2790" w:type="dxa"/>
          </w:tcPr>
          <w:p w14:paraId="21AD9EBD"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29.8-44.5</w:t>
            </w:r>
          </w:p>
        </w:tc>
      </w:tr>
      <w:tr w:rsidR="00E13FBF" w:rsidRPr="00C12B24" w14:paraId="2D8F1F91" w14:textId="77777777" w:rsidTr="00C42D9D">
        <w:tc>
          <w:tcPr>
            <w:tcW w:w="1980" w:type="dxa"/>
          </w:tcPr>
          <w:p w14:paraId="10EE2B3A"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MCV (</w:t>
            </w:r>
            <w:proofErr w:type="spellStart"/>
            <w:r w:rsidRPr="00C12B24">
              <w:rPr>
                <w:rFonts w:ascii="Times New Roman" w:hAnsi="Times New Roman" w:cs="Times New Roman"/>
              </w:rPr>
              <w:t>fL</w:t>
            </w:r>
            <w:proofErr w:type="spellEnd"/>
            <w:r w:rsidRPr="00C12B24">
              <w:rPr>
                <w:rFonts w:ascii="Times New Roman" w:hAnsi="Times New Roman" w:cs="Times New Roman"/>
              </w:rPr>
              <w:t>)</w:t>
            </w:r>
          </w:p>
        </w:tc>
        <w:tc>
          <w:tcPr>
            <w:tcW w:w="3118" w:type="dxa"/>
          </w:tcPr>
          <w:p w14:paraId="1BFD045F"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63.76±45.91</w:t>
            </w:r>
          </w:p>
        </w:tc>
        <w:tc>
          <w:tcPr>
            <w:tcW w:w="1670" w:type="dxa"/>
          </w:tcPr>
          <w:p w14:paraId="549D821C"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78.3</w:t>
            </w:r>
          </w:p>
        </w:tc>
        <w:tc>
          <w:tcPr>
            <w:tcW w:w="2790" w:type="dxa"/>
          </w:tcPr>
          <w:p w14:paraId="39953E98"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-80.365-86.7</w:t>
            </w:r>
          </w:p>
        </w:tc>
      </w:tr>
      <w:tr w:rsidR="00E13FBF" w:rsidRPr="00C12B24" w14:paraId="3ED1FF3F" w14:textId="77777777" w:rsidTr="00C42D9D">
        <w:tc>
          <w:tcPr>
            <w:tcW w:w="1980" w:type="dxa"/>
          </w:tcPr>
          <w:p w14:paraId="66BAC90D"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MCH (</w:t>
            </w:r>
            <w:proofErr w:type="spellStart"/>
            <w:r w:rsidRPr="00C12B24">
              <w:rPr>
                <w:rFonts w:ascii="Times New Roman" w:hAnsi="Times New Roman" w:cs="Times New Roman"/>
              </w:rPr>
              <w:t>pg</w:t>
            </w:r>
            <w:proofErr w:type="spellEnd"/>
            <w:r w:rsidRPr="00C12B24">
              <w:rPr>
                <w:rFonts w:ascii="Times New Roman" w:hAnsi="Times New Roman" w:cs="Times New Roman"/>
              </w:rPr>
              <w:t>)</w:t>
            </w:r>
          </w:p>
        </w:tc>
        <w:tc>
          <w:tcPr>
            <w:tcW w:w="3118" w:type="dxa"/>
          </w:tcPr>
          <w:p w14:paraId="26BFED96"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25.35±9.12</w:t>
            </w:r>
          </w:p>
        </w:tc>
        <w:tc>
          <w:tcPr>
            <w:tcW w:w="1670" w:type="dxa"/>
          </w:tcPr>
          <w:p w14:paraId="2C0A629E"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27</w:t>
            </w:r>
          </w:p>
        </w:tc>
        <w:tc>
          <w:tcPr>
            <w:tcW w:w="2790" w:type="dxa"/>
          </w:tcPr>
          <w:p w14:paraId="25761A0C"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-22.18-30.2</w:t>
            </w:r>
          </w:p>
        </w:tc>
      </w:tr>
      <w:tr w:rsidR="00E13FBF" w:rsidRPr="00C12B24" w14:paraId="0846C861" w14:textId="77777777" w:rsidTr="00C42D9D">
        <w:tc>
          <w:tcPr>
            <w:tcW w:w="1980" w:type="dxa"/>
          </w:tcPr>
          <w:p w14:paraId="1939F944"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MCHC (g/dL)</w:t>
            </w:r>
          </w:p>
        </w:tc>
        <w:tc>
          <w:tcPr>
            <w:tcW w:w="3118" w:type="dxa"/>
          </w:tcPr>
          <w:p w14:paraId="601C7653"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33.94±3.47</w:t>
            </w:r>
          </w:p>
        </w:tc>
        <w:tc>
          <w:tcPr>
            <w:tcW w:w="1670" w:type="dxa"/>
          </w:tcPr>
          <w:p w14:paraId="3EF43913"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34.2</w:t>
            </w:r>
          </w:p>
        </w:tc>
        <w:tc>
          <w:tcPr>
            <w:tcW w:w="2790" w:type="dxa"/>
          </w:tcPr>
          <w:p w14:paraId="3A3E6F76"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30.6-36.2</w:t>
            </w:r>
          </w:p>
        </w:tc>
      </w:tr>
      <w:tr w:rsidR="00E13FBF" w:rsidRPr="00C12B24" w14:paraId="634A9973" w14:textId="77777777" w:rsidTr="00C42D9D">
        <w:tc>
          <w:tcPr>
            <w:tcW w:w="1980" w:type="dxa"/>
          </w:tcPr>
          <w:p w14:paraId="1E81E1CB"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RDW SD (%)</w:t>
            </w:r>
          </w:p>
        </w:tc>
        <w:tc>
          <w:tcPr>
            <w:tcW w:w="3118" w:type="dxa"/>
          </w:tcPr>
          <w:p w14:paraId="77BFF731"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39.65±9.35</w:t>
            </w:r>
          </w:p>
        </w:tc>
        <w:tc>
          <w:tcPr>
            <w:tcW w:w="1670" w:type="dxa"/>
          </w:tcPr>
          <w:p w14:paraId="1A7B19D3"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40.2</w:t>
            </w:r>
          </w:p>
        </w:tc>
        <w:tc>
          <w:tcPr>
            <w:tcW w:w="2790" w:type="dxa"/>
          </w:tcPr>
          <w:p w14:paraId="7F9A736A"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33.9-45.9</w:t>
            </w:r>
          </w:p>
        </w:tc>
      </w:tr>
      <w:tr w:rsidR="00E13FBF" w:rsidRPr="00C12B24" w14:paraId="5C63B289" w14:textId="77777777" w:rsidTr="00C42D9D">
        <w:tc>
          <w:tcPr>
            <w:tcW w:w="1980" w:type="dxa"/>
          </w:tcPr>
          <w:p w14:paraId="3FEDB901"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RDW CV (%)</w:t>
            </w:r>
          </w:p>
        </w:tc>
        <w:tc>
          <w:tcPr>
            <w:tcW w:w="3118" w:type="dxa"/>
          </w:tcPr>
          <w:p w14:paraId="1DDF283E"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13.78±4.61</w:t>
            </w:r>
          </w:p>
        </w:tc>
        <w:tc>
          <w:tcPr>
            <w:tcW w:w="1670" w:type="dxa"/>
          </w:tcPr>
          <w:p w14:paraId="151793F0"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13.3</w:t>
            </w:r>
          </w:p>
        </w:tc>
        <w:tc>
          <w:tcPr>
            <w:tcW w:w="2790" w:type="dxa"/>
          </w:tcPr>
          <w:p w14:paraId="4493279E"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11.8-16.1</w:t>
            </w:r>
          </w:p>
        </w:tc>
      </w:tr>
      <w:tr w:rsidR="00E13FBF" w:rsidRPr="00C12B24" w14:paraId="4EE238FE" w14:textId="77777777" w:rsidTr="00C42D9D">
        <w:tc>
          <w:tcPr>
            <w:tcW w:w="1980" w:type="dxa"/>
          </w:tcPr>
          <w:p w14:paraId="77C51F50"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lastRenderedPageBreak/>
              <w:t>WBC (x10</w:t>
            </w:r>
            <w:r w:rsidRPr="00C12B24">
              <w:rPr>
                <w:rFonts w:ascii="Times New Roman" w:hAnsi="Times New Roman" w:cs="Times New Roman"/>
                <w:vertAlign w:val="superscript"/>
              </w:rPr>
              <w:t>3</w:t>
            </w:r>
            <w:r w:rsidRPr="00C12B24">
              <w:rPr>
                <w:rFonts w:ascii="Times New Roman" w:hAnsi="Times New Roman" w:cs="Times New Roman"/>
              </w:rPr>
              <w:t>/µl)</w:t>
            </w:r>
          </w:p>
        </w:tc>
        <w:tc>
          <w:tcPr>
            <w:tcW w:w="3118" w:type="dxa"/>
          </w:tcPr>
          <w:p w14:paraId="604F2F54"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5.39±2.07</w:t>
            </w:r>
          </w:p>
        </w:tc>
        <w:tc>
          <w:tcPr>
            <w:tcW w:w="1670" w:type="dxa"/>
          </w:tcPr>
          <w:p w14:paraId="58D79FAD"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5.2</w:t>
            </w:r>
          </w:p>
        </w:tc>
        <w:tc>
          <w:tcPr>
            <w:tcW w:w="2790" w:type="dxa"/>
          </w:tcPr>
          <w:p w14:paraId="63159AD8"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3.1-7.8</w:t>
            </w:r>
          </w:p>
        </w:tc>
      </w:tr>
      <w:tr w:rsidR="00E13FBF" w:rsidRPr="00C12B24" w14:paraId="3ACC5DCE" w14:textId="77777777" w:rsidTr="00C42D9D">
        <w:tc>
          <w:tcPr>
            <w:tcW w:w="1980" w:type="dxa"/>
          </w:tcPr>
          <w:p w14:paraId="57B15106"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LYM %</w:t>
            </w:r>
          </w:p>
        </w:tc>
        <w:tc>
          <w:tcPr>
            <w:tcW w:w="3118" w:type="dxa"/>
          </w:tcPr>
          <w:p w14:paraId="487E2A79"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46.93±10.27</w:t>
            </w:r>
          </w:p>
        </w:tc>
        <w:tc>
          <w:tcPr>
            <w:tcW w:w="1670" w:type="dxa"/>
          </w:tcPr>
          <w:p w14:paraId="2B302EE3"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47.7</w:t>
            </w:r>
          </w:p>
        </w:tc>
        <w:tc>
          <w:tcPr>
            <w:tcW w:w="2790" w:type="dxa"/>
          </w:tcPr>
          <w:p w14:paraId="72838684"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23.7625-62.8</w:t>
            </w:r>
          </w:p>
        </w:tc>
      </w:tr>
      <w:tr w:rsidR="00E13FBF" w:rsidRPr="00C12B24" w14:paraId="0E09762F" w14:textId="77777777" w:rsidTr="00C42D9D">
        <w:tc>
          <w:tcPr>
            <w:tcW w:w="1980" w:type="dxa"/>
          </w:tcPr>
          <w:p w14:paraId="4D377862"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MXD %</w:t>
            </w:r>
          </w:p>
        </w:tc>
        <w:tc>
          <w:tcPr>
            <w:tcW w:w="3118" w:type="dxa"/>
          </w:tcPr>
          <w:p w14:paraId="64122B8E"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11.22±5.19</w:t>
            </w:r>
          </w:p>
        </w:tc>
        <w:tc>
          <w:tcPr>
            <w:tcW w:w="1670" w:type="dxa"/>
          </w:tcPr>
          <w:p w14:paraId="281DCC44"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10.3</w:t>
            </w:r>
          </w:p>
        </w:tc>
        <w:tc>
          <w:tcPr>
            <w:tcW w:w="2790" w:type="dxa"/>
          </w:tcPr>
          <w:p w14:paraId="1A3212D7"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4.7-20</w:t>
            </w:r>
          </w:p>
        </w:tc>
      </w:tr>
      <w:tr w:rsidR="00E13FBF" w:rsidRPr="00C12B24" w14:paraId="51EF5333" w14:textId="77777777" w:rsidTr="00C42D9D">
        <w:tc>
          <w:tcPr>
            <w:tcW w:w="1980" w:type="dxa"/>
          </w:tcPr>
          <w:p w14:paraId="1C07A5C5"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NEUT %</w:t>
            </w:r>
          </w:p>
        </w:tc>
        <w:tc>
          <w:tcPr>
            <w:tcW w:w="3118" w:type="dxa"/>
          </w:tcPr>
          <w:p w14:paraId="6C6F2EFC"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37.28±21.97</w:t>
            </w:r>
          </w:p>
        </w:tc>
        <w:tc>
          <w:tcPr>
            <w:tcW w:w="1670" w:type="dxa"/>
          </w:tcPr>
          <w:p w14:paraId="006A7123"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41</w:t>
            </w:r>
          </w:p>
        </w:tc>
        <w:tc>
          <w:tcPr>
            <w:tcW w:w="2790" w:type="dxa"/>
          </w:tcPr>
          <w:p w14:paraId="0E82FB4C"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37.78-60.9</w:t>
            </w:r>
          </w:p>
        </w:tc>
      </w:tr>
      <w:tr w:rsidR="00E13FBF" w:rsidRPr="00C12B24" w14:paraId="614DE71C" w14:textId="77777777" w:rsidTr="00C42D9D">
        <w:tc>
          <w:tcPr>
            <w:tcW w:w="1980" w:type="dxa"/>
          </w:tcPr>
          <w:p w14:paraId="6557A088"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LYM (x10</w:t>
            </w:r>
            <w:r w:rsidRPr="00C12B24">
              <w:rPr>
                <w:rFonts w:ascii="Times New Roman" w:hAnsi="Times New Roman" w:cs="Times New Roman"/>
                <w:vertAlign w:val="superscript"/>
              </w:rPr>
              <w:t>3</w:t>
            </w:r>
            <w:r w:rsidRPr="00C12B24">
              <w:rPr>
                <w:rFonts w:ascii="Times New Roman" w:hAnsi="Times New Roman" w:cs="Times New Roman"/>
              </w:rPr>
              <w:t>/µl)</w:t>
            </w:r>
          </w:p>
        </w:tc>
        <w:tc>
          <w:tcPr>
            <w:tcW w:w="3118" w:type="dxa"/>
          </w:tcPr>
          <w:p w14:paraId="6DB67132"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2.52±2.20</w:t>
            </w:r>
          </w:p>
        </w:tc>
        <w:tc>
          <w:tcPr>
            <w:tcW w:w="1670" w:type="dxa"/>
          </w:tcPr>
          <w:p w14:paraId="0B218BAB"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2.4</w:t>
            </w:r>
          </w:p>
        </w:tc>
        <w:tc>
          <w:tcPr>
            <w:tcW w:w="2790" w:type="dxa"/>
          </w:tcPr>
          <w:p w14:paraId="20F7E661"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1.3-3.7</w:t>
            </w:r>
          </w:p>
        </w:tc>
      </w:tr>
      <w:tr w:rsidR="00E13FBF" w:rsidRPr="00C12B24" w14:paraId="020611F8" w14:textId="77777777" w:rsidTr="00C42D9D">
        <w:tc>
          <w:tcPr>
            <w:tcW w:w="1980" w:type="dxa"/>
          </w:tcPr>
          <w:p w14:paraId="04A80F24"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MXD (x10</w:t>
            </w:r>
            <w:r w:rsidRPr="00C12B24">
              <w:rPr>
                <w:rFonts w:ascii="Times New Roman" w:hAnsi="Times New Roman" w:cs="Times New Roman"/>
                <w:vertAlign w:val="superscript"/>
              </w:rPr>
              <w:t>3</w:t>
            </w:r>
            <w:r w:rsidRPr="00C12B24">
              <w:rPr>
                <w:rFonts w:ascii="Times New Roman" w:hAnsi="Times New Roman" w:cs="Times New Roman"/>
              </w:rPr>
              <w:t>/µl)</w:t>
            </w:r>
          </w:p>
        </w:tc>
        <w:tc>
          <w:tcPr>
            <w:tcW w:w="3118" w:type="dxa"/>
          </w:tcPr>
          <w:p w14:paraId="3E59961F"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0.60±0.33</w:t>
            </w:r>
          </w:p>
        </w:tc>
        <w:tc>
          <w:tcPr>
            <w:tcW w:w="1670" w:type="dxa"/>
          </w:tcPr>
          <w:p w14:paraId="0DE0E607"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0.5</w:t>
            </w:r>
          </w:p>
        </w:tc>
        <w:tc>
          <w:tcPr>
            <w:tcW w:w="2790" w:type="dxa"/>
          </w:tcPr>
          <w:p w14:paraId="07E547F4"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0.2-1.135</w:t>
            </w:r>
          </w:p>
        </w:tc>
      </w:tr>
      <w:tr w:rsidR="00E13FBF" w:rsidRPr="00C12B24" w14:paraId="1214E6A9" w14:textId="77777777" w:rsidTr="00C42D9D">
        <w:tc>
          <w:tcPr>
            <w:tcW w:w="1980" w:type="dxa"/>
          </w:tcPr>
          <w:p w14:paraId="3DEBFEA8"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NEUT (x10</w:t>
            </w:r>
            <w:r w:rsidRPr="00C12B24">
              <w:rPr>
                <w:rFonts w:ascii="Times New Roman" w:hAnsi="Times New Roman" w:cs="Times New Roman"/>
                <w:vertAlign w:val="superscript"/>
              </w:rPr>
              <w:t>3</w:t>
            </w:r>
            <w:r w:rsidRPr="00C12B24">
              <w:rPr>
                <w:rFonts w:ascii="Times New Roman" w:hAnsi="Times New Roman" w:cs="Times New Roman"/>
              </w:rPr>
              <w:t>/µl)</w:t>
            </w:r>
          </w:p>
        </w:tc>
        <w:tc>
          <w:tcPr>
            <w:tcW w:w="3118" w:type="dxa"/>
          </w:tcPr>
          <w:p w14:paraId="21954947"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2.28±1.55</w:t>
            </w:r>
          </w:p>
        </w:tc>
        <w:tc>
          <w:tcPr>
            <w:tcW w:w="1670" w:type="dxa"/>
          </w:tcPr>
          <w:p w14:paraId="7728F5E4"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2.1</w:t>
            </w:r>
          </w:p>
        </w:tc>
        <w:tc>
          <w:tcPr>
            <w:tcW w:w="2790" w:type="dxa"/>
          </w:tcPr>
          <w:p w14:paraId="796E2881"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0.9-4.0</w:t>
            </w:r>
          </w:p>
        </w:tc>
      </w:tr>
      <w:tr w:rsidR="00E13FBF" w:rsidRPr="00C12B24" w14:paraId="39556523" w14:textId="77777777" w:rsidTr="00C42D9D">
        <w:tc>
          <w:tcPr>
            <w:tcW w:w="1980" w:type="dxa"/>
          </w:tcPr>
          <w:p w14:paraId="46E1965E"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PLT (x10</w:t>
            </w:r>
            <w:r w:rsidRPr="00C12B24">
              <w:rPr>
                <w:rFonts w:ascii="Times New Roman" w:hAnsi="Times New Roman" w:cs="Times New Roman"/>
                <w:vertAlign w:val="superscript"/>
              </w:rPr>
              <w:t>3</w:t>
            </w:r>
            <w:r w:rsidRPr="00C12B24">
              <w:rPr>
                <w:rFonts w:ascii="Times New Roman" w:hAnsi="Times New Roman" w:cs="Times New Roman"/>
              </w:rPr>
              <w:t>/µl)</w:t>
            </w:r>
          </w:p>
        </w:tc>
        <w:tc>
          <w:tcPr>
            <w:tcW w:w="3118" w:type="dxa"/>
          </w:tcPr>
          <w:p w14:paraId="57527E19"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218.37±77.00</w:t>
            </w:r>
          </w:p>
        </w:tc>
        <w:tc>
          <w:tcPr>
            <w:tcW w:w="1670" w:type="dxa"/>
          </w:tcPr>
          <w:p w14:paraId="12BC58C8"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214</w:t>
            </w:r>
          </w:p>
        </w:tc>
        <w:tc>
          <w:tcPr>
            <w:tcW w:w="2790" w:type="dxa"/>
          </w:tcPr>
          <w:p w14:paraId="5EA6A002"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80.339.3</w:t>
            </w:r>
          </w:p>
        </w:tc>
      </w:tr>
      <w:tr w:rsidR="00E13FBF" w:rsidRPr="00C12B24" w14:paraId="3BA96712" w14:textId="77777777" w:rsidTr="00C42D9D">
        <w:tc>
          <w:tcPr>
            <w:tcW w:w="1980" w:type="dxa"/>
          </w:tcPr>
          <w:p w14:paraId="1C15C596"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PDW (</w:t>
            </w:r>
            <w:proofErr w:type="spellStart"/>
            <w:r w:rsidRPr="00C12B24">
              <w:rPr>
                <w:rFonts w:ascii="Times New Roman" w:hAnsi="Times New Roman" w:cs="Times New Roman"/>
              </w:rPr>
              <w:t>fL</w:t>
            </w:r>
            <w:proofErr w:type="spellEnd"/>
            <w:r w:rsidRPr="00C12B24">
              <w:rPr>
                <w:rFonts w:ascii="Times New Roman" w:hAnsi="Times New Roman" w:cs="Times New Roman"/>
              </w:rPr>
              <w:t>)</w:t>
            </w:r>
          </w:p>
        </w:tc>
        <w:tc>
          <w:tcPr>
            <w:tcW w:w="3118" w:type="dxa"/>
          </w:tcPr>
          <w:p w14:paraId="0A49C51E"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13.65±2.62</w:t>
            </w:r>
          </w:p>
        </w:tc>
        <w:tc>
          <w:tcPr>
            <w:tcW w:w="1670" w:type="dxa"/>
          </w:tcPr>
          <w:p w14:paraId="4B1BB729"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13.3</w:t>
            </w:r>
          </w:p>
        </w:tc>
        <w:tc>
          <w:tcPr>
            <w:tcW w:w="2790" w:type="dxa"/>
          </w:tcPr>
          <w:p w14:paraId="014E80A2"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10.2-18.3</w:t>
            </w:r>
          </w:p>
        </w:tc>
      </w:tr>
      <w:tr w:rsidR="00E13FBF" w:rsidRPr="00C12B24" w14:paraId="40691E31" w14:textId="77777777" w:rsidTr="00C42D9D">
        <w:tc>
          <w:tcPr>
            <w:tcW w:w="1980" w:type="dxa"/>
          </w:tcPr>
          <w:p w14:paraId="6CE3FB6C"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MPV (</w:t>
            </w:r>
            <w:proofErr w:type="spellStart"/>
            <w:r w:rsidRPr="00C12B24">
              <w:rPr>
                <w:rFonts w:ascii="Times New Roman" w:hAnsi="Times New Roman" w:cs="Times New Roman"/>
              </w:rPr>
              <w:t>fL</w:t>
            </w:r>
            <w:proofErr w:type="spellEnd"/>
            <w:r w:rsidRPr="00C12B24">
              <w:rPr>
                <w:rFonts w:ascii="Times New Roman" w:hAnsi="Times New Roman" w:cs="Times New Roman"/>
              </w:rPr>
              <w:t>)</w:t>
            </w:r>
          </w:p>
        </w:tc>
        <w:tc>
          <w:tcPr>
            <w:tcW w:w="3118" w:type="dxa"/>
          </w:tcPr>
          <w:p w14:paraId="01315A65"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10.64±2.79</w:t>
            </w:r>
          </w:p>
        </w:tc>
        <w:tc>
          <w:tcPr>
            <w:tcW w:w="1670" w:type="dxa"/>
          </w:tcPr>
          <w:p w14:paraId="5D65876B"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10.6</w:t>
            </w:r>
          </w:p>
        </w:tc>
        <w:tc>
          <w:tcPr>
            <w:tcW w:w="2790" w:type="dxa"/>
          </w:tcPr>
          <w:p w14:paraId="1B08EC97"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8.9-12.1</w:t>
            </w:r>
          </w:p>
        </w:tc>
      </w:tr>
      <w:tr w:rsidR="00E13FBF" w:rsidRPr="00C12B24" w14:paraId="274AF063" w14:textId="77777777" w:rsidTr="00C42D9D">
        <w:tc>
          <w:tcPr>
            <w:tcW w:w="1980" w:type="dxa"/>
          </w:tcPr>
          <w:p w14:paraId="1BB826A1"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P-LCR (%)</w:t>
            </w:r>
          </w:p>
        </w:tc>
        <w:tc>
          <w:tcPr>
            <w:tcW w:w="3118" w:type="dxa"/>
          </w:tcPr>
          <w:p w14:paraId="02AEA664"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30.08±9.79</w:t>
            </w:r>
          </w:p>
        </w:tc>
        <w:tc>
          <w:tcPr>
            <w:tcW w:w="1670" w:type="dxa"/>
          </w:tcPr>
          <w:p w14:paraId="0131EAC7"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29.8</w:t>
            </w:r>
          </w:p>
        </w:tc>
        <w:tc>
          <w:tcPr>
            <w:tcW w:w="2790" w:type="dxa"/>
          </w:tcPr>
          <w:p w14:paraId="73087A5B"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16.2275-41.7</w:t>
            </w:r>
          </w:p>
        </w:tc>
      </w:tr>
    </w:tbl>
    <w:p w14:paraId="00F4CC07" w14:textId="77777777" w:rsidR="00E13FBF" w:rsidRPr="00C12B24" w:rsidRDefault="00E13FBF" w:rsidP="00E13FBF">
      <w:pPr>
        <w:spacing w:line="240" w:lineRule="auto"/>
        <w:rPr>
          <w:rFonts w:ascii="Times New Roman" w:hAnsi="Times New Roman" w:cs="Times New Roman"/>
          <w:b/>
        </w:rPr>
      </w:pPr>
      <w:r w:rsidRPr="00C12B24">
        <w:rPr>
          <w:rFonts w:ascii="Times New Roman" w:hAnsi="Times New Roman" w:cs="Times New Roman"/>
          <w:b/>
        </w:rPr>
        <w:t>KEYS</w:t>
      </w:r>
    </w:p>
    <w:p w14:paraId="4A43D5A6"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WBC</w:t>
      </w:r>
      <w:r w:rsidRPr="00C12B24">
        <w:rPr>
          <w:rFonts w:ascii="Times New Roman" w:hAnsi="Times New Roman" w:cs="Times New Roman"/>
        </w:rPr>
        <w:tab/>
      </w:r>
      <w:r w:rsidRPr="00C12B24">
        <w:rPr>
          <w:rFonts w:ascii="Times New Roman" w:hAnsi="Times New Roman" w:cs="Times New Roman"/>
        </w:rPr>
        <w:tab/>
        <w:t>- White Blood Cell count (x10</w:t>
      </w:r>
      <w:r w:rsidRPr="00C12B24">
        <w:rPr>
          <w:rFonts w:ascii="Times New Roman" w:hAnsi="Times New Roman" w:cs="Times New Roman"/>
          <w:vertAlign w:val="superscript"/>
        </w:rPr>
        <w:t>3</w:t>
      </w:r>
      <w:r w:rsidRPr="00C12B24">
        <w:rPr>
          <w:rFonts w:ascii="Times New Roman" w:hAnsi="Times New Roman" w:cs="Times New Roman"/>
        </w:rPr>
        <w:t>/µl)</w:t>
      </w:r>
    </w:p>
    <w:p w14:paraId="2768287C"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NEUT</w:t>
      </w:r>
      <w:r w:rsidRPr="00C12B24">
        <w:rPr>
          <w:rFonts w:ascii="Times New Roman" w:hAnsi="Times New Roman" w:cs="Times New Roman"/>
        </w:rPr>
        <w:tab/>
      </w:r>
      <w:r w:rsidRPr="00C12B24">
        <w:rPr>
          <w:rFonts w:ascii="Times New Roman" w:hAnsi="Times New Roman" w:cs="Times New Roman"/>
        </w:rPr>
        <w:tab/>
        <w:t>- Neutrophils (%)</w:t>
      </w:r>
    </w:p>
    <w:p w14:paraId="61E5E08E"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LYM</w:t>
      </w:r>
      <w:r w:rsidRPr="00C12B24">
        <w:rPr>
          <w:rFonts w:ascii="Times New Roman" w:hAnsi="Times New Roman" w:cs="Times New Roman"/>
        </w:rPr>
        <w:tab/>
      </w:r>
      <w:r w:rsidRPr="00C12B24">
        <w:rPr>
          <w:rFonts w:ascii="Times New Roman" w:hAnsi="Times New Roman" w:cs="Times New Roman"/>
        </w:rPr>
        <w:tab/>
        <w:t>- Lymphocytes (%)</w:t>
      </w:r>
    </w:p>
    <w:p w14:paraId="4AE49AAD"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MCH</w:t>
      </w:r>
      <w:r w:rsidRPr="00C12B24">
        <w:rPr>
          <w:rFonts w:ascii="Times New Roman" w:hAnsi="Times New Roman" w:cs="Times New Roman"/>
        </w:rPr>
        <w:tab/>
      </w:r>
      <w:r w:rsidRPr="00C12B24">
        <w:rPr>
          <w:rFonts w:ascii="Times New Roman" w:hAnsi="Times New Roman" w:cs="Times New Roman"/>
        </w:rPr>
        <w:tab/>
        <w:t xml:space="preserve">- Mean Cell </w:t>
      </w:r>
      <w:proofErr w:type="spellStart"/>
      <w:r w:rsidRPr="00C12B24">
        <w:rPr>
          <w:rFonts w:ascii="Times New Roman" w:hAnsi="Times New Roman" w:cs="Times New Roman"/>
        </w:rPr>
        <w:t>Haemoglobin</w:t>
      </w:r>
      <w:proofErr w:type="spellEnd"/>
      <w:r w:rsidRPr="00C12B24">
        <w:rPr>
          <w:rFonts w:ascii="Times New Roman" w:hAnsi="Times New Roman" w:cs="Times New Roman"/>
        </w:rPr>
        <w:t xml:space="preserve"> (</w:t>
      </w:r>
      <w:proofErr w:type="spellStart"/>
      <w:r w:rsidRPr="00C12B24">
        <w:rPr>
          <w:rFonts w:ascii="Times New Roman" w:hAnsi="Times New Roman" w:cs="Times New Roman"/>
        </w:rPr>
        <w:t>pg</w:t>
      </w:r>
      <w:proofErr w:type="spellEnd"/>
      <w:r w:rsidRPr="00C12B24">
        <w:rPr>
          <w:rFonts w:ascii="Times New Roman" w:hAnsi="Times New Roman" w:cs="Times New Roman"/>
        </w:rPr>
        <w:t>)</w:t>
      </w:r>
    </w:p>
    <w:p w14:paraId="3F0EB8B0"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MXD</w:t>
      </w:r>
      <w:r w:rsidRPr="00C12B24">
        <w:rPr>
          <w:rFonts w:ascii="Times New Roman" w:hAnsi="Times New Roman" w:cs="Times New Roman"/>
        </w:rPr>
        <w:tab/>
      </w:r>
      <w:r w:rsidRPr="00C12B24">
        <w:rPr>
          <w:rFonts w:ascii="Times New Roman" w:hAnsi="Times New Roman" w:cs="Times New Roman"/>
        </w:rPr>
        <w:tab/>
        <w:t>- Mixed cells %</w:t>
      </w:r>
    </w:p>
    <w:p w14:paraId="32D0099C"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PLT</w:t>
      </w:r>
      <w:r w:rsidRPr="00C12B24">
        <w:rPr>
          <w:rFonts w:ascii="Times New Roman" w:hAnsi="Times New Roman" w:cs="Times New Roman"/>
        </w:rPr>
        <w:tab/>
      </w:r>
      <w:r w:rsidRPr="00C12B24">
        <w:rPr>
          <w:rFonts w:ascii="Times New Roman" w:hAnsi="Times New Roman" w:cs="Times New Roman"/>
        </w:rPr>
        <w:tab/>
        <w:t>- Platelet count (x10</w:t>
      </w:r>
      <w:r w:rsidRPr="00C12B24">
        <w:rPr>
          <w:rFonts w:ascii="Times New Roman" w:hAnsi="Times New Roman" w:cs="Times New Roman"/>
          <w:vertAlign w:val="superscript"/>
        </w:rPr>
        <w:t>3</w:t>
      </w:r>
      <w:r w:rsidRPr="00C12B24">
        <w:rPr>
          <w:rFonts w:ascii="Times New Roman" w:hAnsi="Times New Roman" w:cs="Times New Roman"/>
        </w:rPr>
        <w:t>/µl)</w:t>
      </w:r>
    </w:p>
    <w:p w14:paraId="720D7F0F"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MPV</w:t>
      </w:r>
      <w:r w:rsidRPr="00C12B24">
        <w:rPr>
          <w:rFonts w:ascii="Times New Roman" w:hAnsi="Times New Roman" w:cs="Times New Roman"/>
        </w:rPr>
        <w:tab/>
      </w:r>
      <w:r w:rsidRPr="00C12B24">
        <w:rPr>
          <w:rFonts w:ascii="Times New Roman" w:hAnsi="Times New Roman" w:cs="Times New Roman"/>
        </w:rPr>
        <w:tab/>
        <w:t>- Mean Platelet Volume (</w:t>
      </w:r>
      <w:proofErr w:type="spellStart"/>
      <w:r w:rsidRPr="00C12B24">
        <w:rPr>
          <w:rFonts w:ascii="Times New Roman" w:hAnsi="Times New Roman" w:cs="Times New Roman"/>
        </w:rPr>
        <w:t>fL</w:t>
      </w:r>
      <w:proofErr w:type="spellEnd"/>
      <w:r w:rsidRPr="00C12B24">
        <w:rPr>
          <w:rFonts w:ascii="Times New Roman" w:hAnsi="Times New Roman" w:cs="Times New Roman"/>
        </w:rPr>
        <w:t>)</w:t>
      </w:r>
    </w:p>
    <w:p w14:paraId="0AD0570B"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PDW</w:t>
      </w:r>
      <w:r w:rsidRPr="00C12B24">
        <w:rPr>
          <w:rFonts w:ascii="Times New Roman" w:hAnsi="Times New Roman" w:cs="Times New Roman"/>
        </w:rPr>
        <w:tab/>
      </w:r>
      <w:r w:rsidRPr="00C12B24">
        <w:rPr>
          <w:rFonts w:ascii="Times New Roman" w:hAnsi="Times New Roman" w:cs="Times New Roman"/>
        </w:rPr>
        <w:tab/>
        <w:t>- Platelet distribution width (</w:t>
      </w:r>
      <w:proofErr w:type="spellStart"/>
      <w:r w:rsidRPr="00C12B24">
        <w:rPr>
          <w:rFonts w:ascii="Times New Roman" w:hAnsi="Times New Roman" w:cs="Times New Roman"/>
        </w:rPr>
        <w:t>fL</w:t>
      </w:r>
      <w:proofErr w:type="spellEnd"/>
      <w:r w:rsidRPr="00C12B24">
        <w:rPr>
          <w:rFonts w:ascii="Times New Roman" w:hAnsi="Times New Roman" w:cs="Times New Roman"/>
        </w:rPr>
        <w:t>)</w:t>
      </w:r>
    </w:p>
    <w:p w14:paraId="75A7E662"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RBC</w:t>
      </w:r>
      <w:r w:rsidRPr="00C12B24">
        <w:rPr>
          <w:rFonts w:ascii="Times New Roman" w:hAnsi="Times New Roman" w:cs="Times New Roman"/>
        </w:rPr>
        <w:tab/>
      </w:r>
      <w:r w:rsidRPr="00C12B24">
        <w:rPr>
          <w:rFonts w:ascii="Times New Roman" w:hAnsi="Times New Roman" w:cs="Times New Roman"/>
        </w:rPr>
        <w:tab/>
        <w:t>- Red Blood Cell count (x10</w:t>
      </w:r>
      <w:r w:rsidRPr="00C12B24">
        <w:rPr>
          <w:rFonts w:ascii="Times New Roman" w:hAnsi="Times New Roman" w:cs="Times New Roman"/>
          <w:vertAlign w:val="superscript"/>
        </w:rPr>
        <w:t>6</w:t>
      </w:r>
      <w:r w:rsidRPr="00C12B24">
        <w:rPr>
          <w:rFonts w:ascii="Times New Roman" w:hAnsi="Times New Roman" w:cs="Times New Roman"/>
        </w:rPr>
        <w:t>/µl)</w:t>
      </w:r>
    </w:p>
    <w:p w14:paraId="453E2FF1"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HB</w:t>
      </w:r>
      <w:r w:rsidRPr="00C12B24">
        <w:rPr>
          <w:rFonts w:ascii="Times New Roman" w:hAnsi="Times New Roman" w:cs="Times New Roman"/>
        </w:rPr>
        <w:tab/>
      </w:r>
      <w:r w:rsidRPr="00C12B24">
        <w:rPr>
          <w:rFonts w:ascii="Times New Roman" w:hAnsi="Times New Roman" w:cs="Times New Roman"/>
        </w:rPr>
        <w:tab/>
        <w:t xml:space="preserve">- </w:t>
      </w:r>
      <w:proofErr w:type="spellStart"/>
      <w:r w:rsidRPr="00C12B24">
        <w:rPr>
          <w:rFonts w:ascii="Times New Roman" w:hAnsi="Times New Roman" w:cs="Times New Roman"/>
        </w:rPr>
        <w:t>Haemoglobin</w:t>
      </w:r>
      <w:proofErr w:type="spellEnd"/>
      <w:r w:rsidRPr="00C12B24">
        <w:rPr>
          <w:rFonts w:ascii="Times New Roman" w:hAnsi="Times New Roman" w:cs="Times New Roman"/>
        </w:rPr>
        <w:t xml:space="preserve"> concentration (g/dl)</w:t>
      </w:r>
    </w:p>
    <w:p w14:paraId="7DC21194"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PCV</w:t>
      </w:r>
      <w:r w:rsidRPr="00C12B24">
        <w:rPr>
          <w:rFonts w:ascii="Times New Roman" w:hAnsi="Times New Roman" w:cs="Times New Roman"/>
        </w:rPr>
        <w:tab/>
      </w:r>
      <w:r w:rsidRPr="00C12B24">
        <w:rPr>
          <w:rFonts w:ascii="Times New Roman" w:hAnsi="Times New Roman" w:cs="Times New Roman"/>
        </w:rPr>
        <w:tab/>
        <w:t>- Packed Cell Volume (%)</w:t>
      </w:r>
    </w:p>
    <w:p w14:paraId="19296396"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MCV</w:t>
      </w:r>
      <w:r w:rsidRPr="00C12B24">
        <w:rPr>
          <w:rFonts w:ascii="Times New Roman" w:hAnsi="Times New Roman" w:cs="Times New Roman"/>
        </w:rPr>
        <w:tab/>
      </w:r>
      <w:r w:rsidRPr="00C12B24">
        <w:rPr>
          <w:rFonts w:ascii="Times New Roman" w:hAnsi="Times New Roman" w:cs="Times New Roman"/>
        </w:rPr>
        <w:tab/>
        <w:t>- Mean Cell Volume (</w:t>
      </w:r>
      <w:proofErr w:type="spellStart"/>
      <w:r w:rsidRPr="00C12B24">
        <w:rPr>
          <w:rFonts w:ascii="Times New Roman" w:hAnsi="Times New Roman" w:cs="Times New Roman"/>
        </w:rPr>
        <w:t>fL</w:t>
      </w:r>
      <w:proofErr w:type="spellEnd"/>
      <w:r w:rsidRPr="00C12B24">
        <w:rPr>
          <w:rFonts w:ascii="Times New Roman" w:hAnsi="Times New Roman" w:cs="Times New Roman"/>
        </w:rPr>
        <w:t>)</w:t>
      </w:r>
    </w:p>
    <w:p w14:paraId="63DE3F0B" w14:textId="77777777" w:rsidR="00E13FBF" w:rsidRDefault="00E13FBF" w:rsidP="00E13FBF">
      <w:pPr>
        <w:pStyle w:val="Body"/>
        <w:spacing w:after="0"/>
        <w:rPr>
          <w:rFonts w:ascii="Arial" w:hAnsi="Arial" w:cs="Arial"/>
        </w:rPr>
        <w:sectPr w:rsidR="00E13FBF" w:rsidSect="00E13FBF">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09" w:footer="709" w:gutter="0"/>
          <w:cols w:space="708"/>
          <w:docGrid w:linePitch="360"/>
        </w:sectPr>
      </w:pPr>
    </w:p>
    <w:p w14:paraId="602562C2" w14:textId="77777777" w:rsidR="00E13FBF" w:rsidRPr="00C12B24" w:rsidRDefault="00E13FBF" w:rsidP="00E13FBF">
      <w:pPr>
        <w:spacing w:line="240" w:lineRule="auto"/>
        <w:rPr>
          <w:rFonts w:ascii="Times New Roman" w:hAnsi="Times New Roman" w:cs="Times New Roman"/>
          <w:b/>
          <w:sz w:val="24"/>
          <w:szCs w:val="24"/>
        </w:rPr>
      </w:pPr>
      <w:r w:rsidRPr="00C12B24">
        <w:rPr>
          <w:rFonts w:ascii="Times New Roman" w:hAnsi="Times New Roman" w:cs="Times New Roman"/>
          <w:b/>
          <w:sz w:val="24"/>
          <w:szCs w:val="24"/>
        </w:rPr>
        <w:lastRenderedPageBreak/>
        <w:t xml:space="preserve">Table 2: </w:t>
      </w:r>
      <w:proofErr w:type="spellStart"/>
      <w:r w:rsidRPr="00C12B24">
        <w:rPr>
          <w:rFonts w:ascii="Times New Roman" w:hAnsi="Times New Roman" w:cs="Times New Roman"/>
          <w:b/>
          <w:sz w:val="24"/>
          <w:szCs w:val="24"/>
        </w:rPr>
        <w:t>Haematological</w:t>
      </w:r>
      <w:proofErr w:type="spellEnd"/>
      <w:r w:rsidRPr="00C12B24">
        <w:rPr>
          <w:rFonts w:ascii="Times New Roman" w:hAnsi="Times New Roman" w:cs="Times New Roman"/>
          <w:b/>
          <w:sz w:val="24"/>
          <w:szCs w:val="24"/>
        </w:rPr>
        <w:t xml:space="preserve"> Parameters of the subjects with respect to gender</w:t>
      </w:r>
    </w:p>
    <w:tbl>
      <w:tblPr>
        <w:tblStyle w:val="TableGrid"/>
        <w:tblW w:w="0" w:type="auto"/>
        <w:tblLook w:val="04A0" w:firstRow="1" w:lastRow="0" w:firstColumn="1" w:lastColumn="0" w:noHBand="0" w:noVBand="1"/>
      </w:tblPr>
      <w:tblGrid>
        <w:gridCol w:w="1611"/>
        <w:gridCol w:w="1347"/>
        <w:gridCol w:w="1067"/>
        <w:gridCol w:w="1502"/>
        <w:gridCol w:w="1517"/>
        <w:gridCol w:w="982"/>
        <w:gridCol w:w="1587"/>
        <w:gridCol w:w="1321"/>
        <w:gridCol w:w="1316"/>
        <w:gridCol w:w="1699"/>
      </w:tblGrid>
      <w:tr w:rsidR="00E13FBF" w:rsidRPr="00C12B24" w14:paraId="2022BE67" w14:textId="77777777" w:rsidTr="00C42D9D">
        <w:tc>
          <w:tcPr>
            <w:tcW w:w="1638" w:type="dxa"/>
          </w:tcPr>
          <w:p w14:paraId="154A9D8C"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Parameters</w:t>
            </w:r>
          </w:p>
        </w:tc>
        <w:tc>
          <w:tcPr>
            <w:tcW w:w="1350" w:type="dxa"/>
          </w:tcPr>
          <w:p w14:paraId="6A8ABB01" w14:textId="77777777" w:rsidR="00E13FBF" w:rsidRPr="00C12B24" w:rsidRDefault="00E13FBF" w:rsidP="00C42D9D">
            <w:pPr>
              <w:spacing w:line="240" w:lineRule="auto"/>
              <w:jc w:val="left"/>
              <w:rPr>
                <w:rFonts w:ascii="Times New Roman" w:hAnsi="Times New Roman" w:cs="Times New Roman"/>
                <w:b/>
                <w:sz w:val="19"/>
                <w:szCs w:val="19"/>
              </w:rPr>
            </w:pPr>
            <w:r w:rsidRPr="00C12B24">
              <w:rPr>
                <w:rFonts w:ascii="Times New Roman" w:hAnsi="Times New Roman" w:cs="Times New Roman"/>
                <w:b/>
                <w:sz w:val="19"/>
                <w:szCs w:val="19"/>
              </w:rPr>
              <w:t xml:space="preserve">   Male</w:t>
            </w:r>
          </w:p>
          <w:p w14:paraId="67350993"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n = 903</w:t>
            </w:r>
          </w:p>
          <w:p w14:paraId="78BD4209" w14:textId="77777777" w:rsidR="00E13FBF" w:rsidRPr="00C12B24" w:rsidRDefault="00E13FBF" w:rsidP="00C42D9D">
            <w:pPr>
              <w:spacing w:line="240" w:lineRule="auto"/>
              <w:jc w:val="center"/>
              <w:rPr>
                <w:rFonts w:ascii="Times New Roman" w:hAnsi="Times New Roman" w:cs="Times New Roman"/>
                <w:b/>
                <w:sz w:val="19"/>
                <w:szCs w:val="19"/>
              </w:rPr>
            </w:pPr>
            <w:proofErr w:type="spellStart"/>
            <w:r w:rsidRPr="00C12B24">
              <w:rPr>
                <w:rFonts w:ascii="Times New Roman" w:hAnsi="Times New Roman" w:cs="Times New Roman"/>
                <w:b/>
                <w:sz w:val="19"/>
                <w:szCs w:val="19"/>
              </w:rPr>
              <w:t>Mean±SD</w:t>
            </w:r>
            <w:proofErr w:type="spellEnd"/>
          </w:p>
        </w:tc>
        <w:tc>
          <w:tcPr>
            <w:tcW w:w="1080" w:type="dxa"/>
          </w:tcPr>
          <w:p w14:paraId="0F9B5A38"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Median</w:t>
            </w:r>
          </w:p>
        </w:tc>
        <w:tc>
          <w:tcPr>
            <w:tcW w:w="1530" w:type="dxa"/>
          </w:tcPr>
          <w:p w14:paraId="55E0CF10"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2.5</w:t>
            </w:r>
            <w:r w:rsidRPr="00C12B24">
              <w:rPr>
                <w:rFonts w:ascii="Times New Roman" w:hAnsi="Times New Roman" w:cs="Times New Roman"/>
                <w:b/>
                <w:sz w:val="19"/>
                <w:szCs w:val="19"/>
                <w:vertAlign w:val="superscript"/>
              </w:rPr>
              <w:t>th</w:t>
            </w:r>
            <w:r w:rsidRPr="00C12B24">
              <w:rPr>
                <w:rFonts w:ascii="Times New Roman" w:hAnsi="Times New Roman" w:cs="Times New Roman"/>
                <w:b/>
                <w:sz w:val="19"/>
                <w:szCs w:val="19"/>
              </w:rPr>
              <w:t>-95</w:t>
            </w:r>
            <w:r w:rsidRPr="00C12B24">
              <w:rPr>
                <w:rFonts w:ascii="Times New Roman" w:hAnsi="Times New Roman" w:cs="Times New Roman"/>
                <w:b/>
                <w:sz w:val="19"/>
                <w:szCs w:val="19"/>
                <w:vertAlign w:val="superscript"/>
              </w:rPr>
              <w:t>th</w:t>
            </w:r>
            <w:r w:rsidRPr="00C12B24">
              <w:rPr>
                <w:rFonts w:ascii="Times New Roman" w:hAnsi="Times New Roman" w:cs="Times New Roman"/>
                <w:b/>
                <w:sz w:val="19"/>
                <w:szCs w:val="19"/>
              </w:rPr>
              <w:t xml:space="preserve"> Percentile</w:t>
            </w:r>
          </w:p>
        </w:tc>
        <w:tc>
          <w:tcPr>
            <w:tcW w:w="1530" w:type="dxa"/>
          </w:tcPr>
          <w:p w14:paraId="2C7485E9"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Female</w:t>
            </w:r>
          </w:p>
          <w:p w14:paraId="0D42011B"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n = 1032</w:t>
            </w:r>
          </w:p>
          <w:p w14:paraId="38312AE5" w14:textId="77777777" w:rsidR="00E13FBF" w:rsidRPr="00C12B24" w:rsidRDefault="00E13FBF" w:rsidP="00C42D9D">
            <w:pPr>
              <w:spacing w:line="240" w:lineRule="auto"/>
              <w:jc w:val="center"/>
              <w:rPr>
                <w:rFonts w:ascii="Times New Roman" w:hAnsi="Times New Roman" w:cs="Times New Roman"/>
                <w:b/>
                <w:sz w:val="19"/>
                <w:szCs w:val="19"/>
              </w:rPr>
            </w:pPr>
            <w:proofErr w:type="spellStart"/>
            <w:r w:rsidRPr="00C12B24">
              <w:rPr>
                <w:rFonts w:ascii="Times New Roman" w:hAnsi="Times New Roman" w:cs="Times New Roman"/>
                <w:b/>
                <w:sz w:val="19"/>
                <w:szCs w:val="19"/>
              </w:rPr>
              <w:t>Mean±SD</w:t>
            </w:r>
            <w:proofErr w:type="spellEnd"/>
          </w:p>
        </w:tc>
        <w:tc>
          <w:tcPr>
            <w:tcW w:w="990" w:type="dxa"/>
          </w:tcPr>
          <w:p w14:paraId="514774F9"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Median</w:t>
            </w:r>
          </w:p>
        </w:tc>
        <w:tc>
          <w:tcPr>
            <w:tcW w:w="1620" w:type="dxa"/>
          </w:tcPr>
          <w:p w14:paraId="3D5F4FDF"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2.5</w:t>
            </w:r>
            <w:r w:rsidRPr="00C12B24">
              <w:rPr>
                <w:rFonts w:ascii="Times New Roman" w:hAnsi="Times New Roman" w:cs="Times New Roman"/>
                <w:b/>
                <w:sz w:val="19"/>
                <w:szCs w:val="19"/>
                <w:vertAlign w:val="superscript"/>
              </w:rPr>
              <w:t>th</w:t>
            </w:r>
            <w:r w:rsidRPr="00C12B24">
              <w:rPr>
                <w:rFonts w:ascii="Times New Roman" w:hAnsi="Times New Roman" w:cs="Times New Roman"/>
                <w:b/>
                <w:sz w:val="19"/>
                <w:szCs w:val="19"/>
              </w:rPr>
              <w:t>-95</w:t>
            </w:r>
            <w:r w:rsidRPr="00C12B24">
              <w:rPr>
                <w:rFonts w:ascii="Times New Roman" w:hAnsi="Times New Roman" w:cs="Times New Roman"/>
                <w:b/>
                <w:sz w:val="19"/>
                <w:szCs w:val="19"/>
                <w:vertAlign w:val="superscript"/>
              </w:rPr>
              <w:t>th</w:t>
            </w:r>
          </w:p>
          <w:p w14:paraId="0C87E892"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Percentile</w:t>
            </w:r>
          </w:p>
        </w:tc>
        <w:tc>
          <w:tcPr>
            <w:tcW w:w="1350" w:type="dxa"/>
          </w:tcPr>
          <w:p w14:paraId="54F1D240"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T-value</w:t>
            </w:r>
          </w:p>
        </w:tc>
        <w:tc>
          <w:tcPr>
            <w:tcW w:w="1350" w:type="dxa"/>
          </w:tcPr>
          <w:p w14:paraId="5C1BB757"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P-value</w:t>
            </w:r>
          </w:p>
        </w:tc>
        <w:tc>
          <w:tcPr>
            <w:tcW w:w="1737" w:type="dxa"/>
          </w:tcPr>
          <w:p w14:paraId="2E55797F"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Remark</w:t>
            </w:r>
          </w:p>
        </w:tc>
      </w:tr>
      <w:tr w:rsidR="00E13FBF" w:rsidRPr="00C12B24" w14:paraId="4C9937F4" w14:textId="77777777" w:rsidTr="00C42D9D">
        <w:tc>
          <w:tcPr>
            <w:tcW w:w="1638" w:type="dxa"/>
          </w:tcPr>
          <w:p w14:paraId="6FEF30E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Age</w:t>
            </w:r>
          </w:p>
        </w:tc>
        <w:tc>
          <w:tcPr>
            <w:tcW w:w="1350" w:type="dxa"/>
          </w:tcPr>
          <w:p w14:paraId="46343D0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24.14±3.21</w:t>
            </w:r>
          </w:p>
        </w:tc>
        <w:tc>
          <w:tcPr>
            <w:tcW w:w="1080" w:type="dxa"/>
          </w:tcPr>
          <w:p w14:paraId="5D15FC0D"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24</w:t>
            </w:r>
          </w:p>
        </w:tc>
        <w:tc>
          <w:tcPr>
            <w:tcW w:w="1530" w:type="dxa"/>
          </w:tcPr>
          <w:p w14:paraId="2F7355A4"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18-30</w:t>
            </w:r>
          </w:p>
        </w:tc>
        <w:tc>
          <w:tcPr>
            <w:tcW w:w="1530" w:type="dxa"/>
          </w:tcPr>
          <w:p w14:paraId="76A9430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23.57</w:t>
            </w:r>
            <w:r w:rsidRPr="00C12B24">
              <w:rPr>
                <w:rFonts w:ascii="Times New Roman" w:hAnsi="Times New Roman" w:cs="Times New Roman"/>
                <w:sz w:val="20"/>
                <w:szCs w:val="20"/>
              </w:rPr>
              <w:t>±3.05</w:t>
            </w:r>
          </w:p>
        </w:tc>
        <w:tc>
          <w:tcPr>
            <w:tcW w:w="990" w:type="dxa"/>
          </w:tcPr>
          <w:p w14:paraId="567D443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24</w:t>
            </w:r>
          </w:p>
        </w:tc>
        <w:tc>
          <w:tcPr>
            <w:tcW w:w="1620" w:type="dxa"/>
          </w:tcPr>
          <w:p w14:paraId="1EAE3EA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19-30</w:t>
            </w:r>
          </w:p>
        </w:tc>
        <w:tc>
          <w:tcPr>
            <w:tcW w:w="1350" w:type="dxa"/>
          </w:tcPr>
          <w:p w14:paraId="1DA67C9D"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4.0008</w:t>
            </w:r>
          </w:p>
        </w:tc>
        <w:tc>
          <w:tcPr>
            <w:tcW w:w="1350" w:type="dxa"/>
          </w:tcPr>
          <w:p w14:paraId="170754C0"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0.0001</w:t>
            </w:r>
          </w:p>
        </w:tc>
        <w:tc>
          <w:tcPr>
            <w:tcW w:w="1737" w:type="dxa"/>
          </w:tcPr>
          <w:p w14:paraId="0F4B08B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4A577B6D" w14:textId="77777777" w:rsidTr="00C42D9D">
        <w:tc>
          <w:tcPr>
            <w:tcW w:w="1638" w:type="dxa"/>
          </w:tcPr>
          <w:p w14:paraId="2D047AB0"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RBC (x10</w:t>
            </w:r>
            <w:r w:rsidRPr="00C12B24">
              <w:rPr>
                <w:rFonts w:ascii="Times New Roman" w:hAnsi="Times New Roman" w:cs="Times New Roman"/>
                <w:sz w:val="19"/>
                <w:szCs w:val="19"/>
                <w:vertAlign w:val="superscript"/>
              </w:rPr>
              <w:t>6</w:t>
            </w:r>
            <w:r w:rsidRPr="00C12B24">
              <w:rPr>
                <w:rFonts w:ascii="Times New Roman" w:hAnsi="Times New Roman" w:cs="Times New Roman"/>
                <w:sz w:val="19"/>
                <w:szCs w:val="19"/>
              </w:rPr>
              <w:t>/µl)</w:t>
            </w:r>
          </w:p>
        </w:tc>
        <w:tc>
          <w:tcPr>
            <w:tcW w:w="1350" w:type="dxa"/>
          </w:tcPr>
          <w:p w14:paraId="1FE36CC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5.00±0.63</w:t>
            </w:r>
          </w:p>
        </w:tc>
        <w:tc>
          <w:tcPr>
            <w:tcW w:w="1080" w:type="dxa"/>
          </w:tcPr>
          <w:p w14:paraId="72D0188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5.04</w:t>
            </w:r>
          </w:p>
        </w:tc>
        <w:tc>
          <w:tcPr>
            <w:tcW w:w="1530" w:type="dxa"/>
          </w:tcPr>
          <w:p w14:paraId="3448F86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3.82-5.97</w:t>
            </w:r>
          </w:p>
        </w:tc>
        <w:tc>
          <w:tcPr>
            <w:tcW w:w="1530" w:type="dxa"/>
          </w:tcPr>
          <w:p w14:paraId="6E6DBA9D"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4.62</w:t>
            </w:r>
            <w:r w:rsidRPr="00C12B24">
              <w:rPr>
                <w:rFonts w:ascii="Times New Roman" w:hAnsi="Times New Roman" w:cs="Times New Roman"/>
                <w:sz w:val="20"/>
                <w:szCs w:val="20"/>
              </w:rPr>
              <w:t>±1.52</w:t>
            </w:r>
          </w:p>
        </w:tc>
        <w:tc>
          <w:tcPr>
            <w:tcW w:w="990" w:type="dxa"/>
          </w:tcPr>
          <w:p w14:paraId="029D124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4.51</w:t>
            </w:r>
          </w:p>
        </w:tc>
        <w:tc>
          <w:tcPr>
            <w:tcW w:w="1620" w:type="dxa"/>
          </w:tcPr>
          <w:p w14:paraId="5ED2B70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3.62-5.65</w:t>
            </w:r>
          </w:p>
        </w:tc>
        <w:tc>
          <w:tcPr>
            <w:tcW w:w="1350" w:type="dxa"/>
          </w:tcPr>
          <w:p w14:paraId="54C3AEA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7.0009</w:t>
            </w:r>
          </w:p>
        </w:tc>
        <w:tc>
          <w:tcPr>
            <w:tcW w:w="1350" w:type="dxa"/>
          </w:tcPr>
          <w:p w14:paraId="721129B7"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0.0001</w:t>
            </w:r>
          </w:p>
        </w:tc>
        <w:tc>
          <w:tcPr>
            <w:tcW w:w="1737" w:type="dxa"/>
          </w:tcPr>
          <w:p w14:paraId="177A4FE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0E3B6C67" w14:textId="77777777" w:rsidTr="00C42D9D">
        <w:tc>
          <w:tcPr>
            <w:tcW w:w="1638" w:type="dxa"/>
          </w:tcPr>
          <w:p w14:paraId="1926D4C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HGB (g/dl)</w:t>
            </w:r>
          </w:p>
        </w:tc>
        <w:tc>
          <w:tcPr>
            <w:tcW w:w="1350" w:type="dxa"/>
          </w:tcPr>
          <w:p w14:paraId="01BD710C"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13.46±4.98</w:t>
            </w:r>
          </w:p>
        </w:tc>
        <w:tc>
          <w:tcPr>
            <w:tcW w:w="1080" w:type="dxa"/>
          </w:tcPr>
          <w:p w14:paraId="5BA686E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13.4</w:t>
            </w:r>
          </w:p>
        </w:tc>
        <w:tc>
          <w:tcPr>
            <w:tcW w:w="1530" w:type="dxa"/>
          </w:tcPr>
          <w:p w14:paraId="1E92A9A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10.2-15.6</w:t>
            </w:r>
          </w:p>
        </w:tc>
        <w:tc>
          <w:tcPr>
            <w:tcW w:w="1530" w:type="dxa"/>
          </w:tcPr>
          <w:p w14:paraId="7B82888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12.22</w:t>
            </w:r>
            <w:r w:rsidRPr="00C12B24">
              <w:rPr>
                <w:rFonts w:ascii="Times New Roman" w:hAnsi="Times New Roman" w:cs="Times New Roman"/>
                <w:sz w:val="20"/>
                <w:szCs w:val="20"/>
              </w:rPr>
              <w:t>±4.89</w:t>
            </w:r>
          </w:p>
        </w:tc>
        <w:tc>
          <w:tcPr>
            <w:tcW w:w="990" w:type="dxa"/>
          </w:tcPr>
          <w:p w14:paraId="59BCE40F"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12</w:t>
            </w:r>
          </w:p>
        </w:tc>
        <w:tc>
          <w:tcPr>
            <w:tcW w:w="1620" w:type="dxa"/>
          </w:tcPr>
          <w:p w14:paraId="3E85E9B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9.5-14.75</w:t>
            </w:r>
          </w:p>
        </w:tc>
        <w:tc>
          <w:tcPr>
            <w:tcW w:w="1350" w:type="dxa"/>
          </w:tcPr>
          <w:p w14:paraId="326307C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5.5157</w:t>
            </w:r>
          </w:p>
        </w:tc>
        <w:tc>
          <w:tcPr>
            <w:tcW w:w="1350" w:type="dxa"/>
          </w:tcPr>
          <w:p w14:paraId="1C2DA33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0.0001</w:t>
            </w:r>
          </w:p>
        </w:tc>
        <w:tc>
          <w:tcPr>
            <w:tcW w:w="1737" w:type="dxa"/>
          </w:tcPr>
          <w:p w14:paraId="1DDBA45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603F5615" w14:textId="77777777" w:rsidTr="00C42D9D">
        <w:tc>
          <w:tcPr>
            <w:tcW w:w="1638" w:type="dxa"/>
          </w:tcPr>
          <w:p w14:paraId="18BA6F0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PCV (%)</w:t>
            </w:r>
          </w:p>
        </w:tc>
        <w:tc>
          <w:tcPr>
            <w:tcW w:w="1350" w:type="dxa"/>
          </w:tcPr>
          <w:p w14:paraId="43414D0F"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39.16±4.13</w:t>
            </w:r>
          </w:p>
        </w:tc>
        <w:tc>
          <w:tcPr>
            <w:tcW w:w="1080" w:type="dxa"/>
          </w:tcPr>
          <w:p w14:paraId="3B360E2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39.6</w:t>
            </w:r>
          </w:p>
        </w:tc>
        <w:tc>
          <w:tcPr>
            <w:tcW w:w="1530" w:type="dxa"/>
          </w:tcPr>
          <w:p w14:paraId="23CA59A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30.8-45.2</w:t>
            </w:r>
          </w:p>
        </w:tc>
        <w:tc>
          <w:tcPr>
            <w:tcW w:w="1530" w:type="dxa"/>
          </w:tcPr>
          <w:p w14:paraId="24DECAF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35.62</w:t>
            </w:r>
            <w:r w:rsidRPr="00C12B24">
              <w:rPr>
                <w:rFonts w:ascii="Times New Roman" w:hAnsi="Times New Roman" w:cs="Times New Roman"/>
                <w:sz w:val="20"/>
                <w:szCs w:val="20"/>
              </w:rPr>
              <w:t>±3.97</w:t>
            </w:r>
          </w:p>
        </w:tc>
        <w:tc>
          <w:tcPr>
            <w:tcW w:w="990" w:type="dxa"/>
          </w:tcPr>
          <w:p w14:paraId="121E2BE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35.1</w:t>
            </w:r>
          </w:p>
        </w:tc>
        <w:tc>
          <w:tcPr>
            <w:tcW w:w="1620" w:type="dxa"/>
          </w:tcPr>
          <w:p w14:paraId="2A86BDD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28.8-42.7</w:t>
            </w:r>
          </w:p>
        </w:tc>
        <w:tc>
          <w:tcPr>
            <w:tcW w:w="1350" w:type="dxa"/>
          </w:tcPr>
          <w:p w14:paraId="0E2CDBA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19.1980</w:t>
            </w:r>
          </w:p>
        </w:tc>
        <w:tc>
          <w:tcPr>
            <w:tcW w:w="1350" w:type="dxa"/>
          </w:tcPr>
          <w:p w14:paraId="69F3A8F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0.0001</w:t>
            </w:r>
          </w:p>
        </w:tc>
        <w:tc>
          <w:tcPr>
            <w:tcW w:w="1737" w:type="dxa"/>
          </w:tcPr>
          <w:p w14:paraId="43A65CB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7ACE147D" w14:textId="77777777" w:rsidTr="00C42D9D">
        <w:tc>
          <w:tcPr>
            <w:tcW w:w="1638" w:type="dxa"/>
          </w:tcPr>
          <w:p w14:paraId="78D644A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MCV (</w:t>
            </w:r>
            <w:proofErr w:type="spellStart"/>
            <w:r w:rsidRPr="00C12B24">
              <w:rPr>
                <w:rFonts w:ascii="Times New Roman" w:hAnsi="Times New Roman" w:cs="Times New Roman"/>
                <w:sz w:val="19"/>
                <w:szCs w:val="19"/>
              </w:rPr>
              <w:t>fL</w:t>
            </w:r>
            <w:proofErr w:type="spellEnd"/>
            <w:r w:rsidRPr="00C12B24">
              <w:rPr>
                <w:rFonts w:ascii="Times New Roman" w:hAnsi="Times New Roman" w:cs="Times New Roman"/>
                <w:sz w:val="19"/>
                <w:szCs w:val="19"/>
              </w:rPr>
              <w:t>)</w:t>
            </w:r>
          </w:p>
        </w:tc>
        <w:tc>
          <w:tcPr>
            <w:tcW w:w="1350" w:type="dxa"/>
          </w:tcPr>
          <w:p w14:paraId="4F14E9D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62.24</w:t>
            </w:r>
            <w:r w:rsidRPr="00C12B24">
              <w:rPr>
                <w:rFonts w:ascii="Times New Roman" w:hAnsi="Times New Roman" w:cs="Times New Roman"/>
                <w:sz w:val="20"/>
                <w:szCs w:val="20"/>
              </w:rPr>
              <w:t>±48.25</w:t>
            </w:r>
          </w:p>
        </w:tc>
        <w:tc>
          <w:tcPr>
            <w:tcW w:w="1080" w:type="dxa"/>
          </w:tcPr>
          <w:p w14:paraId="705C1DB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78.4</w:t>
            </w:r>
          </w:p>
        </w:tc>
        <w:tc>
          <w:tcPr>
            <w:tcW w:w="1530" w:type="dxa"/>
          </w:tcPr>
          <w:p w14:paraId="18EE0227"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-80.90-86.90</w:t>
            </w:r>
          </w:p>
        </w:tc>
        <w:tc>
          <w:tcPr>
            <w:tcW w:w="1530" w:type="dxa"/>
          </w:tcPr>
          <w:p w14:paraId="7DD55D0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65.09</w:t>
            </w:r>
            <w:r w:rsidRPr="00C12B24">
              <w:rPr>
                <w:rFonts w:ascii="Times New Roman" w:hAnsi="Times New Roman" w:cs="Times New Roman"/>
                <w:sz w:val="20"/>
                <w:szCs w:val="20"/>
              </w:rPr>
              <w:t>±43.75</w:t>
            </w:r>
          </w:p>
        </w:tc>
        <w:tc>
          <w:tcPr>
            <w:tcW w:w="990" w:type="dxa"/>
          </w:tcPr>
          <w:p w14:paraId="7D5E744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78.2</w:t>
            </w:r>
          </w:p>
        </w:tc>
        <w:tc>
          <w:tcPr>
            <w:tcW w:w="1620" w:type="dxa"/>
          </w:tcPr>
          <w:p w14:paraId="2B9F1A77"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-79.62-86.7</w:t>
            </w:r>
          </w:p>
        </w:tc>
        <w:tc>
          <w:tcPr>
            <w:tcW w:w="1350" w:type="dxa"/>
          </w:tcPr>
          <w:p w14:paraId="11C6FEE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1.3621</w:t>
            </w:r>
          </w:p>
        </w:tc>
        <w:tc>
          <w:tcPr>
            <w:tcW w:w="1350" w:type="dxa"/>
          </w:tcPr>
          <w:p w14:paraId="1A2DBC30"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0.1733</w:t>
            </w:r>
          </w:p>
        </w:tc>
        <w:tc>
          <w:tcPr>
            <w:tcW w:w="1737" w:type="dxa"/>
          </w:tcPr>
          <w:p w14:paraId="67992FDD"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Not Significant</w:t>
            </w:r>
          </w:p>
        </w:tc>
      </w:tr>
      <w:tr w:rsidR="00E13FBF" w:rsidRPr="00C12B24" w14:paraId="2010A078" w14:textId="77777777" w:rsidTr="00C42D9D">
        <w:tc>
          <w:tcPr>
            <w:tcW w:w="1638" w:type="dxa"/>
          </w:tcPr>
          <w:p w14:paraId="4EF4EC2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MCH (</w:t>
            </w:r>
            <w:proofErr w:type="spellStart"/>
            <w:r w:rsidRPr="00C12B24">
              <w:rPr>
                <w:rFonts w:ascii="Times New Roman" w:hAnsi="Times New Roman" w:cs="Times New Roman"/>
                <w:sz w:val="19"/>
                <w:szCs w:val="19"/>
              </w:rPr>
              <w:t>pg</w:t>
            </w:r>
            <w:proofErr w:type="spellEnd"/>
            <w:r w:rsidRPr="00C12B24">
              <w:rPr>
                <w:rFonts w:ascii="Times New Roman" w:hAnsi="Times New Roman" w:cs="Times New Roman"/>
                <w:sz w:val="19"/>
                <w:szCs w:val="19"/>
              </w:rPr>
              <w:t>)</w:t>
            </w:r>
          </w:p>
        </w:tc>
        <w:tc>
          <w:tcPr>
            <w:tcW w:w="1350" w:type="dxa"/>
          </w:tcPr>
          <w:p w14:paraId="25139D69"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sz w:val="19"/>
                <w:szCs w:val="19"/>
              </w:rPr>
              <w:t>25.1</w:t>
            </w:r>
            <w:r w:rsidRPr="00C12B24">
              <w:rPr>
                <w:rFonts w:ascii="Times New Roman" w:hAnsi="Times New Roman" w:cs="Times New Roman"/>
                <w:sz w:val="20"/>
                <w:szCs w:val="20"/>
              </w:rPr>
              <w:t>±9.67</w:t>
            </w:r>
          </w:p>
        </w:tc>
        <w:tc>
          <w:tcPr>
            <w:tcW w:w="1080" w:type="dxa"/>
          </w:tcPr>
          <w:p w14:paraId="7C8A7C70"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27.2</w:t>
            </w:r>
          </w:p>
        </w:tc>
        <w:tc>
          <w:tcPr>
            <w:tcW w:w="1530" w:type="dxa"/>
          </w:tcPr>
          <w:p w14:paraId="67D4D6D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-24-30.2</w:t>
            </w:r>
          </w:p>
        </w:tc>
        <w:tc>
          <w:tcPr>
            <w:tcW w:w="1530" w:type="dxa"/>
          </w:tcPr>
          <w:p w14:paraId="6B42BD3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25.49</w:t>
            </w:r>
            <w:r w:rsidRPr="00C12B24">
              <w:rPr>
                <w:rFonts w:ascii="Times New Roman" w:hAnsi="Times New Roman" w:cs="Times New Roman"/>
                <w:sz w:val="20"/>
                <w:szCs w:val="20"/>
              </w:rPr>
              <w:t>±8.60</w:t>
            </w:r>
          </w:p>
        </w:tc>
        <w:tc>
          <w:tcPr>
            <w:tcW w:w="990" w:type="dxa"/>
          </w:tcPr>
          <w:p w14:paraId="7A61A8E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26.75</w:t>
            </w:r>
          </w:p>
        </w:tc>
        <w:tc>
          <w:tcPr>
            <w:tcW w:w="1620" w:type="dxa"/>
          </w:tcPr>
          <w:p w14:paraId="0F9A133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-17.63-30.3</w:t>
            </w:r>
          </w:p>
        </w:tc>
        <w:tc>
          <w:tcPr>
            <w:tcW w:w="1350" w:type="dxa"/>
          </w:tcPr>
          <w:p w14:paraId="24E008B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0.7462</w:t>
            </w:r>
          </w:p>
        </w:tc>
        <w:tc>
          <w:tcPr>
            <w:tcW w:w="1350" w:type="dxa"/>
          </w:tcPr>
          <w:p w14:paraId="41BAFEE4"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0.4557</w:t>
            </w:r>
          </w:p>
        </w:tc>
        <w:tc>
          <w:tcPr>
            <w:tcW w:w="1737" w:type="dxa"/>
          </w:tcPr>
          <w:p w14:paraId="3DD14353"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Not Significant</w:t>
            </w:r>
          </w:p>
        </w:tc>
      </w:tr>
      <w:tr w:rsidR="00E13FBF" w:rsidRPr="00C12B24" w14:paraId="719E691E" w14:textId="77777777" w:rsidTr="00C42D9D">
        <w:tc>
          <w:tcPr>
            <w:tcW w:w="1638" w:type="dxa"/>
          </w:tcPr>
          <w:p w14:paraId="38E8E2D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MCHC (g/dL)</w:t>
            </w:r>
          </w:p>
        </w:tc>
        <w:tc>
          <w:tcPr>
            <w:tcW w:w="1350" w:type="dxa"/>
          </w:tcPr>
          <w:p w14:paraId="5953951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34.03</w:t>
            </w:r>
            <w:r w:rsidRPr="00C12B24">
              <w:rPr>
                <w:rFonts w:ascii="Times New Roman" w:hAnsi="Times New Roman" w:cs="Times New Roman"/>
                <w:sz w:val="20"/>
                <w:szCs w:val="20"/>
              </w:rPr>
              <w:t>±2.86</w:t>
            </w:r>
          </w:p>
        </w:tc>
        <w:tc>
          <w:tcPr>
            <w:tcW w:w="1080" w:type="dxa"/>
          </w:tcPr>
          <w:p w14:paraId="768A9F24"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34.3</w:t>
            </w:r>
          </w:p>
        </w:tc>
        <w:tc>
          <w:tcPr>
            <w:tcW w:w="1530" w:type="dxa"/>
          </w:tcPr>
          <w:p w14:paraId="3F080C7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30.35-36.2</w:t>
            </w:r>
          </w:p>
        </w:tc>
        <w:tc>
          <w:tcPr>
            <w:tcW w:w="1530" w:type="dxa"/>
          </w:tcPr>
          <w:p w14:paraId="32D3B3CF"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33.86</w:t>
            </w:r>
            <w:r w:rsidRPr="00C12B24">
              <w:rPr>
                <w:rFonts w:ascii="Times New Roman" w:hAnsi="Times New Roman" w:cs="Times New Roman"/>
                <w:sz w:val="20"/>
                <w:szCs w:val="20"/>
              </w:rPr>
              <w:t>±3.92</w:t>
            </w:r>
          </w:p>
        </w:tc>
        <w:tc>
          <w:tcPr>
            <w:tcW w:w="990" w:type="dxa"/>
          </w:tcPr>
          <w:p w14:paraId="7EA5DFF7"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34.1</w:t>
            </w:r>
          </w:p>
        </w:tc>
        <w:tc>
          <w:tcPr>
            <w:tcW w:w="1620" w:type="dxa"/>
          </w:tcPr>
          <w:p w14:paraId="3C8E09C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30.68-36.3</w:t>
            </w:r>
          </w:p>
        </w:tc>
        <w:tc>
          <w:tcPr>
            <w:tcW w:w="1350" w:type="dxa"/>
          </w:tcPr>
          <w:p w14:paraId="301A0BA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1.0760</w:t>
            </w:r>
          </w:p>
        </w:tc>
        <w:tc>
          <w:tcPr>
            <w:tcW w:w="1350" w:type="dxa"/>
          </w:tcPr>
          <w:p w14:paraId="723E093D"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0.2821</w:t>
            </w:r>
          </w:p>
        </w:tc>
        <w:tc>
          <w:tcPr>
            <w:tcW w:w="1737" w:type="dxa"/>
          </w:tcPr>
          <w:p w14:paraId="50F567DD"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Not Significant</w:t>
            </w:r>
          </w:p>
        </w:tc>
      </w:tr>
      <w:tr w:rsidR="00E13FBF" w:rsidRPr="00C12B24" w14:paraId="465BE974" w14:textId="77777777" w:rsidTr="00C42D9D">
        <w:tc>
          <w:tcPr>
            <w:tcW w:w="1638" w:type="dxa"/>
          </w:tcPr>
          <w:p w14:paraId="653389F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RDW SD (%)</w:t>
            </w:r>
          </w:p>
        </w:tc>
        <w:tc>
          <w:tcPr>
            <w:tcW w:w="1350" w:type="dxa"/>
          </w:tcPr>
          <w:p w14:paraId="0540186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39.11</w:t>
            </w:r>
            <w:r w:rsidRPr="00C12B24">
              <w:rPr>
                <w:rFonts w:ascii="Times New Roman" w:hAnsi="Times New Roman" w:cs="Times New Roman"/>
                <w:sz w:val="20"/>
                <w:szCs w:val="20"/>
              </w:rPr>
              <w:t>±10.25</w:t>
            </w:r>
          </w:p>
        </w:tc>
        <w:tc>
          <w:tcPr>
            <w:tcW w:w="1080" w:type="dxa"/>
          </w:tcPr>
          <w:p w14:paraId="06F4FB3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40.1</w:t>
            </w:r>
          </w:p>
        </w:tc>
        <w:tc>
          <w:tcPr>
            <w:tcW w:w="1530" w:type="dxa"/>
          </w:tcPr>
          <w:p w14:paraId="7F553D1F"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33.05-45.2</w:t>
            </w:r>
          </w:p>
        </w:tc>
        <w:tc>
          <w:tcPr>
            <w:tcW w:w="1530" w:type="dxa"/>
          </w:tcPr>
          <w:p w14:paraId="0416C28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40.13</w:t>
            </w:r>
            <w:r w:rsidRPr="00C12B24">
              <w:rPr>
                <w:rFonts w:ascii="Times New Roman" w:hAnsi="Times New Roman" w:cs="Times New Roman"/>
                <w:sz w:val="20"/>
                <w:szCs w:val="20"/>
              </w:rPr>
              <w:t>±8.46</w:t>
            </w:r>
          </w:p>
        </w:tc>
        <w:tc>
          <w:tcPr>
            <w:tcW w:w="990" w:type="dxa"/>
          </w:tcPr>
          <w:p w14:paraId="7832717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40.4</w:t>
            </w:r>
          </w:p>
        </w:tc>
        <w:tc>
          <w:tcPr>
            <w:tcW w:w="1620" w:type="dxa"/>
          </w:tcPr>
          <w:p w14:paraId="4237BEB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34.48-46.35</w:t>
            </w:r>
          </w:p>
        </w:tc>
        <w:tc>
          <w:tcPr>
            <w:tcW w:w="1350" w:type="dxa"/>
          </w:tcPr>
          <w:p w14:paraId="6F9B6BD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2.3965</w:t>
            </w:r>
          </w:p>
        </w:tc>
        <w:tc>
          <w:tcPr>
            <w:tcW w:w="1350" w:type="dxa"/>
          </w:tcPr>
          <w:p w14:paraId="3884BAEC"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0.0166</w:t>
            </w:r>
          </w:p>
        </w:tc>
        <w:tc>
          <w:tcPr>
            <w:tcW w:w="1737" w:type="dxa"/>
          </w:tcPr>
          <w:p w14:paraId="5703C2FB"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1559662D" w14:textId="77777777" w:rsidTr="00C42D9D">
        <w:tc>
          <w:tcPr>
            <w:tcW w:w="1638" w:type="dxa"/>
          </w:tcPr>
          <w:p w14:paraId="4F17F1E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RDW CV (%)</w:t>
            </w:r>
          </w:p>
        </w:tc>
        <w:tc>
          <w:tcPr>
            <w:tcW w:w="1350" w:type="dxa"/>
          </w:tcPr>
          <w:p w14:paraId="64A871A0"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13.63</w:t>
            </w:r>
            <w:r w:rsidRPr="00C12B24">
              <w:rPr>
                <w:rFonts w:ascii="Times New Roman" w:hAnsi="Times New Roman" w:cs="Times New Roman"/>
                <w:sz w:val="20"/>
                <w:szCs w:val="20"/>
              </w:rPr>
              <w:t>±4.07</w:t>
            </w:r>
          </w:p>
        </w:tc>
        <w:tc>
          <w:tcPr>
            <w:tcW w:w="1080" w:type="dxa"/>
          </w:tcPr>
          <w:p w14:paraId="2D1BFC3D"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13.3</w:t>
            </w:r>
          </w:p>
        </w:tc>
        <w:tc>
          <w:tcPr>
            <w:tcW w:w="1530" w:type="dxa"/>
          </w:tcPr>
          <w:p w14:paraId="25A88654"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11.7-15.7</w:t>
            </w:r>
          </w:p>
        </w:tc>
        <w:tc>
          <w:tcPr>
            <w:tcW w:w="1530" w:type="dxa"/>
          </w:tcPr>
          <w:p w14:paraId="4D361A0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13.92</w:t>
            </w:r>
            <w:r w:rsidRPr="00C12B24">
              <w:rPr>
                <w:rFonts w:ascii="Times New Roman" w:hAnsi="Times New Roman" w:cs="Times New Roman"/>
                <w:sz w:val="20"/>
                <w:szCs w:val="20"/>
              </w:rPr>
              <w:t>±5.04</w:t>
            </w:r>
          </w:p>
        </w:tc>
        <w:tc>
          <w:tcPr>
            <w:tcW w:w="990" w:type="dxa"/>
          </w:tcPr>
          <w:p w14:paraId="2F90A23C"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13.4</w:t>
            </w:r>
          </w:p>
        </w:tc>
        <w:tc>
          <w:tcPr>
            <w:tcW w:w="1620" w:type="dxa"/>
          </w:tcPr>
          <w:p w14:paraId="5AAC93A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11.9-16.5</w:t>
            </w:r>
          </w:p>
        </w:tc>
        <w:tc>
          <w:tcPr>
            <w:tcW w:w="1350" w:type="dxa"/>
          </w:tcPr>
          <w:p w14:paraId="29A9BF9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1.3792</w:t>
            </w:r>
          </w:p>
        </w:tc>
        <w:tc>
          <w:tcPr>
            <w:tcW w:w="1350" w:type="dxa"/>
          </w:tcPr>
          <w:p w14:paraId="7028E89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0.1680</w:t>
            </w:r>
          </w:p>
        </w:tc>
        <w:tc>
          <w:tcPr>
            <w:tcW w:w="1737" w:type="dxa"/>
          </w:tcPr>
          <w:p w14:paraId="6C6FBAAD"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Not Significant</w:t>
            </w:r>
          </w:p>
        </w:tc>
      </w:tr>
      <w:tr w:rsidR="00E13FBF" w:rsidRPr="00C12B24" w14:paraId="216856F0" w14:textId="77777777" w:rsidTr="00C42D9D">
        <w:tc>
          <w:tcPr>
            <w:tcW w:w="1638" w:type="dxa"/>
          </w:tcPr>
          <w:p w14:paraId="21B1926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WBC (x10</w:t>
            </w:r>
            <w:r w:rsidRPr="00C12B24">
              <w:rPr>
                <w:rFonts w:ascii="Times New Roman" w:hAnsi="Times New Roman" w:cs="Times New Roman"/>
                <w:sz w:val="19"/>
                <w:szCs w:val="19"/>
                <w:vertAlign w:val="superscript"/>
              </w:rPr>
              <w:t>3</w:t>
            </w:r>
            <w:r w:rsidRPr="00C12B24">
              <w:rPr>
                <w:rFonts w:ascii="Times New Roman" w:hAnsi="Times New Roman" w:cs="Times New Roman"/>
                <w:sz w:val="19"/>
                <w:szCs w:val="19"/>
              </w:rPr>
              <w:t>/µl)</w:t>
            </w:r>
          </w:p>
        </w:tc>
        <w:tc>
          <w:tcPr>
            <w:tcW w:w="1350" w:type="dxa"/>
          </w:tcPr>
          <w:p w14:paraId="344A734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5.25</w:t>
            </w:r>
            <w:r w:rsidRPr="00C12B24">
              <w:rPr>
                <w:rFonts w:ascii="Times New Roman" w:hAnsi="Times New Roman" w:cs="Times New Roman"/>
                <w:sz w:val="20"/>
                <w:szCs w:val="20"/>
              </w:rPr>
              <w:t>±1.58</w:t>
            </w:r>
          </w:p>
        </w:tc>
        <w:tc>
          <w:tcPr>
            <w:tcW w:w="1080" w:type="dxa"/>
          </w:tcPr>
          <w:p w14:paraId="2734456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5</w:t>
            </w:r>
          </w:p>
        </w:tc>
        <w:tc>
          <w:tcPr>
            <w:tcW w:w="1530" w:type="dxa"/>
          </w:tcPr>
          <w:p w14:paraId="1B58450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3-7.5</w:t>
            </w:r>
          </w:p>
        </w:tc>
        <w:tc>
          <w:tcPr>
            <w:tcW w:w="1530" w:type="dxa"/>
          </w:tcPr>
          <w:p w14:paraId="245C327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5.51</w:t>
            </w:r>
            <w:r w:rsidRPr="00C12B24">
              <w:rPr>
                <w:rFonts w:ascii="Times New Roman" w:hAnsi="Times New Roman" w:cs="Times New Roman"/>
                <w:sz w:val="20"/>
                <w:szCs w:val="20"/>
              </w:rPr>
              <w:t>±2.41</w:t>
            </w:r>
          </w:p>
        </w:tc>
        <w:tc>
          <w:tcPr>
            <w:tcW w:w="990" w:type="dxa"/>
          </w:tcPr>
          <w:p w14:paraId="0009102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5.4</w:t>
            </w:r>
          </w:p>
        </w:tc>
        <w:tc>
          <w:tcPr>
            <w:tcW w:w="1620" w:type="dxa"/>
          </w:tcPr>
          <w:p w14:paraId="76BD1A27"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3.3-7.9</w:t>
            </w:r>
          </w:p>
        </w:tc>
        <w:tc>
          <w:tcPr>
            <w:tcW w:w="1350" w:type="dxa"/>
          </w:tcPr>
          <w:p w14:paraId="4FA14BA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2.7625</w:t>
            </w:r>
          </w:p>
        </w:tc>
        <w:tc>
          <w:tcPr>
            <w:tcW w:w="1350" w:type="dxa"/>
          </w:tcPr>
          <w:p w14:paraId="79DFDBC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0.0058</w:t>
            </w:r>
          </w:p>
        </w:tc>
        <w:tc>
          <w:tcPr>
            <w:tcW w:w="1737" w:type="dxa"/>
          </w:tcPr>
          <w:p w14:paraId="1BFF04D0"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2283360A" w14:textId="77777777" w:rsidTr="00C42D9D">
        <w:tc>
          <w:tcPr>
            <w:tcW w:w="1638" w:type="dxa"/>
          </w:tcPr>
          <w:p w14:paraId="3ADBF19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LYM %</w:t>
            </w:r>
          </w:p>
        </w:tc>
        <w:tc>
          <w:tcPr>
            <w:tcW w:w="1350" w:type="dxa"/>
          </w:tcPr>
          <w:p w14:paraId="22CFA40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46.79</w:t>
            </w:r>
            <w:r w:rsidRPr="00C12B24">
              <w:rPr>
                <w:rFonts w:ascii="Times New Roman" w:hAnsi="Times New Roman" w:cs="Times New Roman"/>
                <w:sz w:val="20"/>
                <w:szCs w:val="20"/>
              </w:rPr>
              <w:t>±10.77</w:t>
            </w:r>
          </w:p>
        </w:tc>
        <w:tc>
          <w:tcPr>
            <w:tcW w:w="1080" w:type="dxa"/>
          </w:tcPr>
          <w:p w14:paraId="12D4F55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47.55</w:t>
            </w:r>
          </w:p>
        </w:tc>
        <w:tc>
          <w:tcPr>
            <w:tcW w:w="1530" w:type="dxa"/>
          </w:tcPr>
          <w:p w14:paraId="0ED4DF0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22.2-62.7</w:t>
            </w:r>
          </w:p>
        </w:tc>
        <w:tc>
          <w:tcPr>
            <w:tcW w:w="1530" w:type="dxa"/>
          </w:tcPr>
          <w:p w14:paraId="177DC46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47.05</w:t>
            </w:r>
            <w:r w:rsidRPr="00C12B24">
              <w:rPr>
                <w:rFonts w:ascii="Times New Roman" w:hAnsi="Times New Roman" w:cs="Times New Roman"/>
                <w:sz w:val="20"/>
                <w:szCs w:val="20"/>
              </w:rPr>
              <w:t>±9.82</w:t>
            </w:r>
          </w:p>
        </w:tc>
        <w:tc>
          <w:tcPr>
            <w:tcW w:w="990" w:type="dxa"/>
          </w:tcPr>
          <w:p w14:paraId="4EE44C4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48</w:t>
            </w:r>
          </w:p>
        </w:tc>
        <w:tc>
          <w:tcPr>
            <w:tcW w:w="1620" w:type="dxa"/>
          </w:tcPr>
          <w:p w14:paraId="274E333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26.4-62.9</w:t>
            </w:r>
          </w:p>
        </w:tc>
        <w:tc>
          <w:tcPr>
            <w:tcW w:w="1350" w:type="dxa"/>
          </w:tcPr>
          <w:p w14:paraId="7E101B3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0.5552</w:t>
            </w:r>
          </w:p>
        </w:tc>
        <w:tc>
          <w:tcPr>
            <w:tcW w:w="1350" w:type="dxa"/>
          </w:tcPr>
          <w:p w14:paraId="4AF0594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0.5788</w:t>
            </w:r>
          </w:p>
        </w:tc>
        <w:tc>
          <w:tcPr>
            <w:tcW w:w="1737" w:type="dxa"/>
          </w:tcPr>
          <w:p w14:paraId="019DEC69"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Not Significant</w:t>
            </w:r>
          </w:p>
        </w:tc>
      </w:tr>
      <w:tr w:rsidR="00E13FBF" w:rsidRPr="00C12B24" w14:paraId="771D630B" w14:textId="77777777" w:rsidTr="00C42D9D">
        <w:tc>
          <w:tcPr>
            <w:tcW w:w="1638" w:type="dxa"/>
          </w:tcPr>
          <w:p w14:paraId="1EBCD27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MXD %</w:t>
            </w:r>
          </w:p>
        </w:tc>
        <w:tc>
          <w:tcPr>
            <w:tcW w:w="1350" w:type="dxa"/>
          </w:tcPr>
          <w:p w14:paraId="4CE2BA04"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11.74</w:t>
            </w:r>
            <w:r w:rsidRPr="00C12B24">
              <w:rPr>
                <w:rFonts w:ascii="Times New Roman" w:hAnsi="Times New Roman" w:cs="Times New Roman"/>
                <w:sz w:val="20"/>
                <w:szCs w:val="20"/>
              </w:rPr>
              <w:t>±5.77</w:t>
            </w:r>
          </w:p>
        </w:tc>
        <w:tc>
          <w:tcPr>
            <w:tcW w:w="1080" w:type="dxa"/>
          </w:tcPr>
          <w:p w14:paraId="3107160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10.7</w:t>
            </w:r>
          </w:p>
        </w:tc>
        <w:tc>
          <w:tcPr>
            <w:tcW w:w="1530" w:type="dxa"/>
          </w:tcPr>
          <w:p w14:paraId="77E5530C"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4.7-21</w:t>
            </w:r>
          </w:p>
        </w:tc>
        <w:tc>
          <w:tcPr>
            <w:tcW w:w="1530" w:type="dxa"/>
          </w:tcPr>
          <w:p w14:paraId="33AFF64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10.76</w:t>
            </w:r>
            <w:r w:rsidRPr="00C12B24">
              <w:rPr>
                <w:rFonts w:ascii="Times New Roman" w:hAnsi="Times New Roman" w:cs="Times New Roman"/>
                <w:sz w:val="20"/>
                <w:szCs w:val="20"/>
              </w:rPr>
              <w:t>±4.58</w:t>
            </w:r>
          </w:p>
        </w:tc>
        <w:tc>
          <w:tcPr>
            <w:tcW w:w="990" w:type="dxa"/>
          </w:tcPr>
          <w:p w14:paraId="0087286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w:t>
            </w:r>
          </w:p>
        </w:tc>
        <w:tc>
          <w:tcPr>
            <w:tcW w:w="1620" w:type="dxa"/>
          </w:tcPr>
          <w:p w14:paraId="5C25DCDF"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4.78-19.25</w:t>
            </w:r>
          </w:p>
        </w:tc>
        <w:tc>
          <w:tcPr>
            <w:tcW w:w="1350" w:type="dxa"/>
          </w:tcPr>
          <w:p w14:paraId="33972E9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4.1593</w:t>
            </w:r>
          </w:p>
        </w:tc>
        <w:tc>
          <w:tcPr>
            <w:tcW w:w="1350" w:type="dxa"/>
          </w:tcPr>
          <w:p w14:paraId="49E3BC3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0.0001</w:t>
            </w:r>
          </w:p>
        </w:tc>
        <w:tc>
          <w:tcPr>
            <w:tcW w:w="1737" w:type="dxa"/>
          </w:tcPr>
          <w:p w14:paraId="40B83D88"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51A8517C" w14:textId="77777777" w:rsidTr="00C42D9D">
        <w:tc>
          <w:tcPr>
            <w:tcW w:w="1638" w:type="dxa"/>
          </w:tcPr>
          <w:p w14:paraId="3D6D98A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NEUT %</w:t>
            </w:r>
          </w:p>
        </w:tc>
        <w:tc>
          <w:tcPr>
            <w:tcW w:w="1350" w:type="dxa"/>
          </w:tcPr>
          <w:p w14:paraId="3085273D"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36.62</w:t>
            </w:r>
            <w:r w:rsidRPr="00C12B24">
              <w:rPr>
                <w:rFonts w:ascii="Times New Roman" w:hAnsi="Times New Roman" w:cs="Times New Roman"/>
                <w:sz w:val="20"/>
                <w:szCs w:val="20"/>
              </w:rPr>
              <w:t>±22.65</w:t>
            </w:r>
          </w:p>
        </w:tc>
        <w:tc>
          <w:tcPr>
            <w:tcW w:w="1080" w:type="dxa"/>
          </w:tcPr>
          <w:p w14:paraId="7F3F255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40.6</w:t>
            </w:r>
          </w:p>
        </w:tc>
        <w:tc>
          <w:tcPr>
            <w:tcW w:w="1530" w:type="dxa"/>
          </w:tcPr>
          <w:p w14:paraId="3487DD0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-37.3-61</w:t>
            </w:r>
          </w:p>
        </w:tc>
        <w:tc>
          <w:tcPr>
            <w:tcW w:w="1530" w:type="dxa"/>
          </w:tcPr>
          <w:p w14:paraId="5B36794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37.87</w:t>
            </w:r>
            <w:r w:rsidRPr="00C12B24">
              <w:rPr>
                <w:rFonts w:ascii="Times New Roman" w:hAnsi="Times New Roman" w:cs="Times New Roman"/>
                <w:sz w:val="20"/>
                <w:szCs w:val="20"/>
              </w:rPr>
              <w:t>±21.36</w:t>
            </w:r>
          </w:p>
        </w:tc>
        <w:tc>
          <w:tcPr>
            <w:tcW w:w="990" w:type="dxa"/>
          </w:tcPr>
          <w:p w14:paraId="53D88E8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41.3</w:t>
            </w:r>
          </w:p>
        </w:tc>
        <w:tc>
          <w:tcPr>
            <w:tcW w:w="1620" w:type="dxa"/>
          </w:tcPr>
          <w:p w14:paraId="35E0F88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-38.15-60.35</w:t>
            </w:r>
          </w:p>
        </w:tc>
        <w:tc>
          <w:tcPr>
            <w:tcW w:w="1350" w:type="dxa"/>
          </w:tcPr>
          <w:p w14:paraId="12AA6BC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1.2482</w:t>
            </w:r>
          </w:p>
        </w:tc>
        <w:tc>
          <w:tcPr>
            <w:tcW w:w="1350" w:type="dxa"/>
          </w:tcPr>
          <w:p w14:paraId="2EF6190C"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0.2121</w:t>
            </w:r>
          </w:p>
        </w:tc>
        <w:tc>
          <w:tcPr>
            <w:tcW w:w="1737" w:type="dxa"/>
          </w:tcPr>
          <w:p w14:paraId="322BB415"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Not Significant</w:t>
            </w:r>
          </w:p>
        </w:tc>
      </w:tr>
      <w:tr w:rsidR="00E13FBF" w:rsidRPr="00C12B24" w14:paraId="74D15C62" w14:textId="77777777" w:rsidTr="00C42D9D">
        <w:tc>
          <w:tcPr>
            <w:tcW w:w="1638" w:type="dxa"/>
          </w:tcPr>
          <w:p w14:paraId="414AE34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LYM (x10</w:t>
            </w:r>
            <w:r w:rsidRPr="00C12B24">
              <w:rPr>
                <w:rFonts w:ascii="Times New Roman" w:hAnsi="Times New Roman" w:cs="Times New Roman"/>
                <w:sz w:val="19"/>
                <w:szCs w:val="19"/>
                <w:vertAlign w:val="superscript"/>
              </w:rPr>
              <w:t>3</w:t>
            </w:r>
            <w:r w:rsidRPr="00C12B24">
              <w:rPr>
                <w:rFonts w:ascii="Times New Roman" w:hAnsi="Times New Roman" w:cs="Times New Roman"/>
                <w:sz w:val="19"/>
                <w:szCs w:val="19"/>
              </w:rPr>
              <w:t>/µl)</w:t>
            </w:r>
          </w:p>
        </w:tc>
        <w:tc>
          <w:tcPr>
            <w:tcW w:w="1350" w:type="dxa"/>
          </w:tcPr>
          <w:p w14:paraId="70FEF85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2.40</w:t>
            </w:r>
            <w:r w:rsidRPr="00C12B24">
              <w:rPr>
                <w:rFonts w:ascii="Times New Roman" w:hAnsi="Times New Roman" w:cs="Times New Roman"/>
                <w:sz w:val="20"/>
                <w:szCs w:val="20"/>
              </w:rPr>
              <w:t>±0.74</w:t>
            </w:r>
          </w:p>
        </w:tc>
        <w:tc>
          <w:tcPr>
            <w:tcW w:w="1080" w:type="dxa"/>
          </w:tcPr>
          <w:p w14:paraId="0089BC4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2.3</w:t>
            </w:r>
          </w:p>
        </w:tc>
        <w:tc>
          <w:tcPr>
            <w:tcW w:w="1530" w:type="dxa"/>
          </w:tcPr>
          <w:p w14:paraId="3F08E31C"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1.2-3.7</w:t>
            </w:r>
          </w:p>
        </w:tc>
        <w:tc>
          <w:tcPr>
            <w:tcW w:w="1530" w:type="dxa"/>
          </w:tcPr>
          <w:p w14:paraId="52FD718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2.62</w:t>
            </w:r>
            <w:r w:rsidRPr="00C12B24">
              <w:rPr>
                <w:rFonts w:ascii="Times New Roman" w:hAnsi="Times New Roman" w:cs="Times New Roman"/>
                <w:sz w:val="20"/>
                <w:szCs w:val="20"/>
              </w:rPr>
              <w:t>±2.92</w:t>
            </w:r>
          </w:p>
        </w:tc>
        <w:tc>
          <w:tcPr>
            <w:tcW w:w="990" w:type="dxa"/>
          </w:tcPr>
          <w:p w14:paraId="5FFA255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2.4</w:t>
            </w:r>
          </w:p>
        </w:tc>
        <w:tc>
          <w:tcPr>
            <w:tcW w:w="1620" w:type="dxa"/>
          </w:tcPr>
          <w:p w14:paraId="1A780CEC"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1.4-3.8</w:t>
            </w:r>
          </w:p>
        </w:tc>
        <w:tc>
          <w:tcPr>
            <w:tcW w:w="1350" w:type="dxa"/>
          </w:tcPr>
          <w:p w14:paraId="0A946CB0"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2.2018</w:t>
            </w:r>
          </w:p>
        </w:tc>
        <w:tc>
          <w:tcPr>
            <w:tcW w:w="1350" w:type="dxa"/>
          </w:tcPr>
          <w:p w14:paraId="7B1A633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0.0278</w:t>
            </w:r>
          </w:p>
        </w:tc>
        <w:tc>
          <w:tcPr>
            <w:tcW w:w="1737" w:type="dxa"/>
          </w:tcPr>
          <w:p w14:paraId="3E5C450A"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3F40DCFD" w14:textId="77777777" w:rsidTr="00C42D9D">
        <w:tc>
          <w:tcPr>
            <w:tcW w:w="1638" w:type="dxa"/>
          </w:tcPr>
          <w:p w14:paraId="1ED20DF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MXD (x10</w:t>
            </w:r>
            <w:r w:rsidRPr="00C12B24">
              <w:rPr>
                <w:rFonts w:ascii="Times New Roman" w:hAnsi="Times New Roman" w:cs="Times New Roman"/>
                <w:sz w:val="19"/>
                <w:szCs w:val="19"/>
                <w:vertAlign w:val="superscript"/>
              </w:rPr>
              <w:t>3</w:t>
            </w:r>
            <w:r w:rsidRPr="00C12B24">
              <w:rPr>
                <w:rFonts w:ascii="Times New Roman" w:hAnsi="Times New Roman" w:cs="Times New Roman"/>
                <w:sz w:val="19"/>
                <w:szCs w:val="19"/>
              </w:rPr>
              <w:t>/µl)</w:t>
            </w:r>
          </w:p>
        </w:tc>
        <w:tc>
          <w:tcPr>
            <w:tcW w:w="1350" w:type="dxa"/>
          </w:tcPr>
          <w:p w14:paraId="7B6DB794"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0.62</w:t>
            </w:r>
            <w:r w:rsidRPr="00C12B24">
              <w:rPr>
                <w:rFonts w:ascii="Times New Roman" w:hAnsi="Times New Roman" w:cs="Times New Roman"/>
                <w:sz w:val="20"/>
                <w:szCs w:val="20"/>
              </w:rPr>
              <w:t>±0.34</w:t>
            </w:r>
          </w:p>
        </w:tc>
        <w:tc>
          <w:tcPr>
            <w:tcW w:w="1080" w:type="dxa"/>
          </w:tcPr>
          <w:p w14:paraId="3B28B19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0.5</w:t>
            </w:r>
          </w:p>
        </w:tc>
        <w:tc>
          <w:tcPr>
            <w:tcW w:w="1530" w:type="dxa"/>
          </w:tcPr>
          <w:p w14:paraId="2331950C"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0.2-1.2</w:t>
            </w:r>
          </w:p>
        </w:tc>
        <w:tc>
          <w:tcPr>
            <w:tcW w:w="1530" w:type="dxa"/>
          </w:tcPr>
          <w:p w14:paraId="402FA0C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0.58</w:t>
            </w:r>
            <w:r w:rsidRPr="00C12B24">
              <w:rPr>
                <w:rFonts w:ascii="Times New Roman" w:hAnsi="Times New Roman" w:cs="Times New Roman"/>
                <w:sz w:val="20"/>
                <w:szCs w:val="20"/>
              </w:rPr>
              <w:t>±0.32</w:t>
            </w:r>
          </w:p>
        </w:tc>
        <w:tc>
          <w:tcPr>
            <w:tcW w:w="990" w:type="dxa"/>
          </w:tcPr>
          <w:p w14:paraId="7E37238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0.5</w:t>
            </w:r>
          </w:p>
        </w:tc>
        <w:tc>
          <w:tcPr>
            <w:tcW w:w="1620" w:type="dxa"/>
          </w:tcPr>
          <w:p w14:paraId="245B690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0.2-1.1</w:t>
            </w:r>
          </w:p>
        </w:tc>
        <w:tc>
          <w:tcPr>
            <w:tcW w:w="1350" w:type="dxa"/>
          </w:tcPr>
          <w:p w14:paraId="61D83F9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2.6635</w:t>
            </w:r>
          </w:p>
        </w:tc>
        <w:tc>
          <w:tcPr>
            <w:tcW w:w="1350" w:type="dxa"/>
          </w:tcPr>
          <w:p w14:paraId="400BE00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0.0078</w:t>
            </w:r>
          </w:p>
        </w:tc>
        <w:tc>
          <w:tcPr>
            <w:tcW w:w="1737" w:type="dxa"/>
          </w:tcPr>
          <w:p w14:paraId="229EC038"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2A208577" w14:textId="77777777" w:rsidTr="00C42D9D">
        <w:tc>
          <w:tcPr>
            <w:tcW w:w="1638" w:type="dxa"/>
          </w:tcPr>
          <w:p w14:paraId="366ABC0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NEUT (x10</w:t>
            </w:r>
            <w:r w:rsidRPr="00C12B24">
              <w:rPr>
                <w:rFonts w:ascii="Times New Roman" w:hAnsi="Times New Roman" w:cs="Times New Roman"/>
                <w:sz w:val="19"/>
                <w:szCs w:val="19"/>
                <w:vertAlign w:val="superscript"/>
              </w:rPr>
              <w:t>3</w:t>
            </w:r>
            <w:r w:rsidRPr="00C12B24">
              <w:rPr>
                <w:rFonts w:ascii="Times New Roman" w:hAnsi="Times New Roman" w:cs="Times New Roman"/>
                <w:sz w:val="19"/>
                <w:szCs w:val="19"/>
              </w:rPr>
              <w:t>/µl)</w:t>
            </w:r>
          </w:p>
        </w:tc>
        <w:tc>
          <w:tcPr>
            <w:tcW w:w="1350" w:type="dxa"/>
          </w:tcPr>
          <w:p w14:paraId="37BC9537"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2.21</w:t>
            </w:r>
            <w:r w:rsidRPr="00C12B24">
              <w:rPr>
                <w:rFonts w:ascii="Times New Roman" w:hAnsi="Times New Roman" w:cs="Times New Roman"/>
                <w:sz w:val="20"/>
                <w:szCs w:val="20"/>
              </w:rPr>
              <w:t>±1.91</w:t>
            </w:r>
          </w:p>
        </w:tc>
        <w:tc>
          <w:tcPr>
            <w:tcW w:w="1080" w:type="dxa"/>
          </w:tcPr>
          <w:p w14:paraId="58B520B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w:t>
            </w:r>
          </w:p>
        </w:tc>
        <w:tc>
          <w:tcPr>
            <w:tcW w:w="1530" w:type="dxa"/>
          </w:tcPr>
          <w:p w14:paraId="37B40B9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0.9-3.9</w:t>
            </w:r>
          </w:p>
        </w:tc>
        <w:tc>
          <w:tcPr>
            <w:tcW w:w="1530" w:type="dxa"/>
          </w:tcPr>
          <w:p w14:paraId="112E02F7"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2.35</w:t>
            </w:r>
            <w:r w:rsidRPr="00C12B24">
              <w:rPr>
                <w:rFonts w:ascii="Times New Roman" w:hAnsi="Times New Roman" w:cs="Times New Roman"/>
                <w:sz w:val="20"/>
                <w:szCs w:val="20"/>
              </w:rPr>
              <w:t>±1.13</w:t>
            </w:r>
          </w:p>
        </w:tc>
        <w:tc>
          <w:tcPr>
            <w:tcW w:w="990" w:type="dxa"/>
          </w:tcPr>
          <w:p w14:paraId="2D34866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2.2</w:t>
            </w:r>
          </w:p>
        </w:tc>
        <w:tc>
          <w:tcPr>
            <w:tcW w:w="1620" w:type="dxa"/>
          </w:tcPr>
          <w:p w14:paraId="53154B5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1-4.1</w:t>
            </w:r>
          </w:p>
        </w:tc>
        <w:tc>
          <w:tcPr>
            <w:tcW w:w="1350" w:type="dxa"/>
          </w:tcPr>
          <w:p w14:paraId="72F79F8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1.9898</w:t>
            </w:r>
          </w:p>
        </w:tc>
        <w:tc>
          <w:tcPr>
            <w:tcW w:w="1350" w:type="dxa"/>
          </w:tcPr>
          <w:p w14:paraId="20B0830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0.0468</w:t>
            </w:r>
          </w:p>
        </w:tc>
        <w:tc>
          <w:tcPr>
            <w:tcW w:w="1737" w:type="dxa"/>
          </w:tcPr>
          <w:p w14:paraId="2E9F2378"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1DD0F218" w14:textId="77777777" w:rsidTr="00C42D9D">
        <w:tc>
          <w:tcPr>
            <w:tcW w:w="1638" w:type="dxa"/>
          </w:tcPr>
          <w:p w14:paraId="3CACFC0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PLT (x10</w:t>
            </w:r>
            <w:r w:rsidRPr="00C12B24">
              <w:rPr>
                <w:rFonts w:ascii="Times New Roman" w:hAnsi="Times New Roman" w:cs="Times New Roman"/>
                <w:sz w:val="19"/>
                <w:szCs w:val="19"/>
                <w:vertAlign w:val="superscript"/>
              </w:rPr>
              <w:t>3</w:t>
            </w:r>
            <w:r w:rsidRPr="00C12B24">
              <w:rPr>
                <w:rFonts w:ascii="Times New Roman" w:hAnsi="Times New Roman" w:cs="Times New Roman"/>
                <w:sz w:val="19"/>
                <w:szCs w:val="19"/>
              </w:rPr>
              <w:t>/µl)</w:t>
            </w:r>
          </w:p>
        </w:tc>
        <w:tc>
          <w:tcPr>
            <w:tcW w:w="1350" w:type="dxa"/>
          </w:tcPr>
          <w:p w14:paraId="534D4B3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208.06</w:t>
            </w:r>
            <w:r w:rsidRPr="00C12B24">
              <w:rPr>
                <w:rFonts w:ascii="Times New Roman" w:hAnsi="Times New Roman" w:cs="Times New Roman"/>
                <w:sz w:val="20"/>
                <w:szCs w:val="20"/>
              </w:rPr>
              <w:t>±68.67</w:t>
            </w:r>
          </w:p>
        </w:tc>
        <w:tc>
          <w:tcPr>
            <w:tcW w:w="1080" w:type="dxa"/>
          </w:tcPr>
          <w:p w14:paraId="574A8EE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205</w:t>
            </w:r>
          </w:p>
        </w:tc>
        <w:tc>
          <w:tcPr>
            <w:tcW w:w="1530" w:type="dxa"/>
          </w:tcPr>
          <w:p w14:paraId="62596100"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78.53-320.95</w:t>
            </w:r>
          </w:p>
        </w:tc>
        <w:tc>
          <w:tcPr>
            <w:tcW w:w="1530" w:type="dxa"/>
          </w:tcPr>
          <w:p w14:paraId="19EB2D7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227.37</w:t>
            </w:r>
            <w:r w:rsidRPr="00C12B24">
              <w:rPr>
                <w:rFonts w:ascii="Times New Roman" w:hAnsi="Times New Roman" w:cs="Times New Roman"/>
                <w:sz w:val="20"/>
                <w:szCs w:val="20"/>
              </w:rPr>
              <w:t>±82.59</w:t>
            </w:r>
          </w:p>
        </w:tc>
        <w:tc>
          <w:tcPr>
            <w:tcW w:w="990" w:type="dxa"/>
          </w:tcPr>
          <w:p w14:paraId="6E3C20B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224</w:t>
            </w:r>
          </w:p>
        </w:tc>
        <w:tc>
          <w:tcPr>
            <w:tcW w:w="1620" w:type="dxa"/>
          </w:tcPr>
          <w:p w14:paraId="13C021A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82.6-345.8</w:t>
            </w:r>
          </w:p>
        </w:tc>
        <w:tc>
          <w:tcPr>
            <w:tcW w:w="1350" w:type="dxa"/>
          </w:tcPr>
          <w:p w14:paraId="4CD8431C"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5.5440</w:t>
            </w:r>
          </w:p>
        </w:tc>
        <w:tc>
          <w:tcPr>
            <w:tcW w:w="1350" w:type="dxa"/>
          </w:tcPr>
          <w:p w14:paraId="1F93668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0.0001</w:t>
            </w:r>
          </w:p>
        </w:tc>
        <w:tc>
          <w:tcPr>
            <w:tcW w:w="1737" w:type="dxa"/>
          </w:tcPr>
          <w:p w14:paraId="74D155AE"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17D1443B" w14:textId="77777777" w:rsidTr="00C42D9D">
        <w:tc>
          <w:tcPr>
            <w:tcW w:w="1638" w:type="dxa"/>
          </w:tcPr>
          <w:p w14:paraId="73E43C30"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PDW (</w:t>
            </w:r>
            <w:proofErr w:type="spellStart"/>
            <w:r w:rsidRPr="00C12B24">
              <w:rPr>
                <w:rFonts w:ascii="Times New Roman" w:hAnsi="Times New Roman" w:cs="Times New Roman"/>
                <w:sz w:val="19"/>
                <w:szCs w:val="19"/>
              </w:rPr>
              <w:t>fL</w:t>
            </w:r>
            <w:proofErr w:type="spellEnd"/>
            <w:r w:rsidRPr="00C12B24">
              <w:rPr>
                <w:rFonts w:ascii="Times New Roman" w:hAnsi="Times New Roman" w:cs="Times New Roman"/>
                <w:sz w:val="19"/>
                <w:szCs w:val="19"/>
              </w:rPr>
              <w:t>)</w:t>
            </w:r>
          </w:p>
        </w:tc>
        <w:tc>
          <w:tcPr>
            <w:tcW w:w="1350" w:type="dxa"/>
          </w:tcPr>
          <w:p w14:paraId="15E5E37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13.71</w:t>
            </w:r>
            <w:r w:rsidRPr="00C12B24">
              <w:rPr>
                <w:rFonts w:ascii="Times New Roman" w:hAnsi="Times New Roman" w:cs="Times New Roman"/>
                <w:sz w:val="20"/>
                <w:szCs w:val="20"/>
              </w:rPr>
              <w:t>±2.89</w:t>
            </w:r>
          </w:p>
        </w:tc>
        <w:tc>
          <w:tcPr>
            <w:tcW w:w="1080" w:type="dxa"/>
          </w:tcPr>
          <w:p w14:paraId="2F551B8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13.4</w:t>
            </w:r>
          </w:p>
        </w:tc>
        <w:tc>
          <w:tcPr>
            <w:tcW w:w="1530" w:type="dxa"/>
          </w:tcPr>
          <w:p w14:paraId="6F0E2A8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10.2-18.2</w:t>
            </w:r>
          </w:p>
        </w:tc>
        <w:tc>
          <w:tcPr>
            <w:tcW w:w="1530" w:type="dxa"/>
          </w:tcPr>
          <w:p w14:paraId="0D82CCD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13.59</w:t>
            </w:r>
            <w:r w:rsidRPr="00C12B24">
              <w:rPr>
                <w:rFonts w:ascii="Times New Roman" w:hAnsi="Times New Roman" w:cs="Times New Roman"/>
                <w:sz w:val="20"/>
                <w:szCs w:val="20"/>
              </w:rPr>
              <w:t>±2.37</w:t>
            </w:r>
          </w:p>
        </w:tc>
        <w:tc>
          <w:tcPr>
            <w:tcW w:w="990" w:type="dxa"/>
          </w:tcPr>
          <w:p w14:paraId="6DF8624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13.2</w:t>
            </w:r>
          </w:p>
        </w:tc>
        <w:tc>
          <w:tcPr>
            <w:tcW w:w="1620" w:type="dxa"/>
          </w:tcPr>
          <w:p w14:paraId="6CDF8E17"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10.2-18.2</w:t>
            </w:r>
          </w:p>
        </w:tc>
        <w:tc>
          <w:tcPr>
            <w:tcW w:w="1350" w:type="dxa"/>
          </w:tcPr>
          <w:p w14:paraId="575B070F"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1.0028</w:t>
            </w:r>
          </w:p>
        </w:tc>
        <w:tc>
          <w:tcPr>
            <w:tcW w:w="1350" w:type="dxa"/>
          </w:tcPr>
          <w:p w14:paraId="5A2AAA4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0.2161</w:t>
            </w:r>
          </w:p>
        </w:tc>
        <w:tc>
          <w:tcPr>
            <w:tcW w:w="1737" w:type="dxa"/>
          </w:tcPr>
          <w:p w14:paraId="31D37236"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Not Significant</w:t>
            </w:r>
          </w:p>
        </w:tc>
      </w:tr>
      <w:tr w:rsidR="00E13FBF" w:rsidRPr="00C12B24" w14:paraId="1421DBCD" w14:textId="77777777" w:rsidTr="00C42D9D">
        <w:tc>
          <w:tcPr>
            <w:tcW w:w="1638" w:type="dxa"/>
          </w:tcPr>
          <w:p w14:paraId="52335144"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MPV (</w:t>
            </w:r>
            <w:proofErr w:type="spellStart"/>
            <w:r w:rsidRPr="00C12B24">
              <w:rPr>
                <w:rFonts w:ascii="Times New Roman" w:hAnsi="Times New Roman" w:cs="Times New Roman"/>
                <w:sz w:val="19"/>
                <w:szCs w:val="19"/>
              </w:rPr>
              <w:t>fL</w:t>
            </w:r>
            <w:proofErr w:type="spellEnd"/>
            <w:r w:rsidRPr="00C12B24">
              <w:rPr>
                <w:rFonts w:ascii="Times New Roman" w:hAnsi="Times New Roman" w:cs="Times New Roman"/>
                <w:sz w:val="19"/>
                <w:szCs w:val="19"/>
              </w:rPr>
              <w:t>)</w:t>
            </w:r>
          </w:p>
        </w:tc>
        <w:tc>
          <w:tcPr>
            <w:tcW w:w="1350" w:type="dxa"/>
          </w:tcPr>
          <w:p w14:paraId="15C182A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10.70</w:t>
            </w:r>
            <w:r w:rsidRPr="00C12B24">
              <w:rPr>
                <w:rFonts w:ascii="Times New Roman" w:hAnsi="Times New Roman" w:cs="Times New Roman"/>
                <w:sz w:val="20"/>
                <w:szCs w:val="20"/>
              </w:rPr>
              <w:t>±3.85</w:t>
            </w:r>
          </w:p>
        </w:tc>
        <w:tc>
          <w:tcPr>
            <w:tcW w:w="1080" w:type="dxa"/>
          </w:tcPr>
          <w:p w14:paraId="3BBD4E07"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10.6</w:t>
            </w:r>
          </w:p>
        </w:tc>
        <w:tc>
          <w:tcPr>
            <w:tcW w:w="1530" w:type="dxa"/>
          </w:tcPr>
          <w:p w14:paraId="68673FD4"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8.7-12.2</w:t>
            </w:r>
          </w:p>
        </w:tc>
        <w:tc>
          <w:tcPr>
            <w:tcW w:w="1530" w:type="dxa"/>
          </w:tcPr>
          <w:p w14:paraId="5C08875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10.59</w:t>
            </w:r>
            <w:r w:rsidRPr="00C12B24">
              <w:rPr>
                <w:rFonts w:ascii="Times New Roman" w:hAnsi="Times New Roman" w:cs="Times New Roman"/>
                <w:sz w:val="20"/>
                <w:szCs w:val="20"/>
              </w:rPr>
              <w:t>±1.29</w:t>
            </w:r>
          </w:p>
        </w:tc>
        <w:tc>
          <w:tcPr>
            <w:tcW w:w="990" w:type="dxa"/>
          </w:tcPr>
          <w:p w14:paraId="4E3C56C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10.6</w:t>
            </w:r>
          </w:p>
        </w:tc>
        <w:tc>
          <w:tcPr>
            <w:tcW w:w="1620" w:type="dxa"/>
          </w:tcPr>
          <w:p w14:paraId="7BDA62D7"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8.98-12.1</w:t>
            </w:r>
          </w:p>
        </w:tc>
        <w:tc>
          <w:tcPr>
            <w:tcW w:w="1350" w:type="dxa"/>
          </w:tcPr>
          <w:p w14:paraId="040EBBAF"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0.8641</w:t>
            </w:r>
          </w:p>
        </w:tc>
        <w:tc>
          <w:tcPr>
            <w:tcW w:w="1350" w:type="dxa"/>
          </w:tcPr>
          <w:p w14:paraId="4442D98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0.3877</w:t>
            </w:r>
          </w:p>
        </w:tc>
        <w:tc>
          <w:tcPr>
            <w:tcW w:w="1737" w:type="dxa"/>
          </w:tcPr>
          <w:p w14:paraId="539EF4CA"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Not Significant</w:t>
            </w:r>
          </w:p>
        </w:tc>
      </w:tr>
      <w:tr w:rsidR="00E13FBF" w:rsidRPr="00C12B24" w14:paraId="1DED0E6F" w14:textId="77777777" w:rsidTr="00C42D9D">
        <w:tc>
          <w:tcPr>
            <w:tcW w:w="1638" w:type="dxa"/>
          </w:tcPr>
          <w:p w14:paraId="71FA08F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P-LCR (%)</w:t>
            </w:r>
          </w:p>
        </w:tc>
        <w:tc>
          <w:tcPr>
            <w:tcW w:w="1350" w:type="dxa"/>
          </w:tcPr>
          <w:p w14:paraId="203695C4"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30.03</w:t>
            </w:r>
            <w:r w:rsidRPr="00C12B24">
              <w:rPr>
                <w:rFonts w:ascii="Times New Roman" w:hAnsi="Times New Roman" w:cs="Times New Roman"/>
                <w:sz w:val="20"/>
                <w:szCs w:val="20"/>
              </w:rPr>
              <w:t>±7.29</w:t>
            </w:r>
          </w:p>
        </w:tc>
        <w:tc>
          <w:tcPr>
            <w:tcW w:w="1080" w:type="dxa"/>
          </w:tcPr>
          <w:p w14:paraId="691C564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30</w:t>
            </w:r>
          </w:p>
        </w:tc>
        <w:tc>
          <w:tcPr>
            <w:tcW w:w="1530" w:type="dxa"/>
          </w:tcPr>
          <w:p w14:paraId="7F27702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15.8-41.9</w:t>
            </w:r>
          </w:p>
        </w:tc>
        <w:tc>
          <w:tcPr>
            <w:tcW w:w="1530" w:type="dxa"/>
          </w:tcPr>
          <w:p w14:paraId="2705AFF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30.12</w:t>
            </w:r>
            <w:r w:rsidRPr="00C12B24">
              <w:rPr>
                <w:rFonts w:ascii="Times New Roman" w:hAnsi="Times New Roman" w:cs="Times New Roman"/>
                <w:sz w:val="20"/>
                <w:szCs w:val="20"/>
              </w:rPr>
              <w:t>±11.54</w:t>
            </w:r>
          </w:p>
        </w:tc>
        <w:tc>
          <w:tcPr>
            <w:tcW w:w="990" w:type="dxa"/>
          </w:tcPr>
          <w:p w14:paraId="203CEBC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29.6</w:t>
            </w:r>
          </w:p>
        </w:tc>
        <w:tc>
          <w:tcPr>
            <w:tcW w:w="1620" w:type="dxa"/>
          </w:tcPr>
          <w:p w14:paraId="5C2D0E1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16.85-41.35</w:t>
            </w:r>
          </w:p>
        </w:tc>
        <w:tc>
          <w:tcPr>
            <w:tcW w:w="1350" w:type="dxa"/>
          </w:tcPr>
          <w:p w14:paraId="4782BDC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0.2017</w:t>
            </w:r>
          </w:p>
        </w:tc>
        <w:tc>
          <w:tcPr>
            <w:tcW w:w="1350" w:type="dxa"/>
          </w:tcPr>
          <w:p w14:paraId="7DB68BCC"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0.8402</w:t>
            </w:r>
          </w:p>
        </w:tc>
        <w:tc>
          <w:tcPr>
            <w:tcW w:w="1737" w:type="dxa"/>
          </w:tcPr>
          <w:p w14:paraId="5F1E0685"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Not Significant</w:t>
            </w:r>
          </w:p>
        </w:tc>
      </w:tr>
    </w:tbl>
    <w:p w14:paraId="2A4F844E" w14:textId="77777777" w:rsidR="00E13FBF" w:rsidRDefault="00E13FBF" w:rsidP="00E13FBF">
      <w:pPr>
        <w:spacing w:line="240" w:lineRule="auto"/>
        <w:rPr>
          <w:rFonts w:ascii="Times New Roman" w:hAnsi="Times New Roman" w:cs="Times New Roman"/>
          <w:b/>
          <w:sz w:val="24"/>
          <w:szCs w:val="24"/>
        </w:rPr>
      </w:pPr>
    </w:p>
    <w:p w14:paraId="47935EDB" w14:textId="77777777" w:rsidR="00E13FBF" w:rsidRPr="00C12B24" w:rsidRDefault="00E13FBF" w:rsidP="00E13FBF">
      <w:pPr>
        <w:spacing w:line="240" w:lineRule="auto"/>
        <w:rPr>
          <w:rFonts w:ascii="Times New Roman" w:hAnsi="Times New Roman" w:cs="Times New Roman"/>
          <w:b/>
          <w:sz w:val="24"/>
          <w:szCs w:val="24"/>
        </w:rPr>
      </w:pPr>
      <w:r w:rsidRPr="00C12B24">
        <w:rPr>
          <w:rFonts w:ascii="Times New Roman" w:hAnsi="Times New Roman" w:cs="Times New Roman"/>
          <w:b/>
          <w:sz w:val="24"/>
          <w:szCs w:val="24"/>
        </w:rPr>
        <w:t xml:space="preserve">Table 3: </w:t>
      </w:r>
      <w:proofErr w:type="spellStart"/>
      <w:r w:rsidRPr="00C12B24">
        <w:rPr>
          <w:rFonts w:ascii="Times New Roman" w:hAnsi="Times New Roman" w:cs="Times New Roman"/>
          <w:b/>
          <w:sz w:val="24"/>
          <w:szCs w:val="24"/>
        </w:rPr>
        <w:t>Haematological</w:t>
      </w:r>
      <w:proofErr w:type="spellEnd"/>
      <w:r w:rsidRPr="00C12B24">
        <w:rPr>
          <w:rFonts w:ascii="Times New Roman" w:hAnsi="Times New Roman" w:cs="Times New Roman"/>
          <w:b/>
          <w:sz w:val="24"/>
          <w:szCs w:val="24"/>
        </w:rPr>
        <w:t xml:space="preserve"> Parameters of the subjects based on age</w:t>
      </w:r>
    </w:p>
    <w:tbl>
      <w:tblPr>
        <w:tblStyle w:val="TableGrid"/>
        <w:tblW w:w="14940" w:type="dxa"/>
        <w:tblInd w:w="-342" w:type="dxa"/>
        <w:tblLayout w:type="fixed"/>
        <w:tblLook w:val="04A0" w:firstRow="1" w:lastRow="0" w:firstColumn="1" w:lastColumn="0" w:noHBand="0" w:noVBand="1"/>
      </w:tblPr>
      <w:tblGrid>
        <w:gridCol w:w="1443"/>
        <w:gridCol w:w="1167"/>
        <w:gridCol w:w="1530"/>
        <w:gridCol w:w="1260"/>
        <w:gridCol w:w="1530"/>
        <w:gridCol w:w="1260"/>
        <w:gridCol w:w="1530"/>
        <w:gridCol w:w="1170"/>
        <w:gridCol w:w="1620"/>
        <w:gridCol w:w="900"/>
        <w:gridCol w:w="720"/>
        <w:gridCol w:w="810"/>
      </w:tblGrid>
      <w:tr w:rsidR="00E13FBF" w:rsidRPr="00C12B24" w14:paraId="531B3C0C" w14:textId="77777777" w:rsidTr="00C42D9D">
        <w:trPr>
          <w:trHeight w:hRule="exact" w:val="652"/>
        </w:trPr>
        <w:tc>
          <w:tcPr>
            <w:tcW w:w="1443" w:type="dxa"/>
          </w:tcPr>
          <w:p w14:paraId="7BAACC13"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Parameters</w:t>
            </w:r>
          </w:p>
        </w:tc>
        <w:tc>
          <w:tcPr>
            <w:tcW w:w="1167" w:type="dxa"/>
          </w:tcPr>
          <w:p w14:paraId="6263F0E8"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16-20 years</w:t>
            </w:r>
          </w:p>
          <w:p w14:paraId="2F1DE5CD"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n=305</w:t>
            </w:r>
          </w:p>
          <w:p w14:paraId="2905A411" w14:textId="77777777" w:rsidR="00E13FBF" w:rsidRPr="00C12B24" w:rsidRDefault="00E13FBF" w:rsidP="00C42D9D">
            <w:pPr>
              <w:spacing w:line="240" w:lineRule="auto"/>
              <w:jc w:val="center"/>
              <w:rPr>
                <w:rFonts w:ascii="Times New Roman" w:hAnsi="Times New Roman" w:cs="Times New Roman"/>
                <w:sz w:val="18"/>
                <w:szCs w:val="18"/>
              </w:rPr>
            </w:pPr>
            <w:proofErr w:type="spellStart"/>
            <w:r w:rsidRPr="00C12B24">
              <w:rPr>
                <w:rFonts w:ascii="Times New Roman" w:hAnsi="Times New Roman" w:cs="Times New Roman"/>
                <w:sz w:val="18"/>
                <w:szCs w:val="18"/>
              </w:rPr>
              <w:t>Mean±S.D</w:t>
            </w:r>
            <w:proofErr w:type="spellEnd"/>
            <w:r w:rsidRPr="00C12B24">
              <w:rPr>
                <w:rFonts w:ascii="Times New Roman" w:hAnsi="Times New Roman" w:cs="Times New Roman"/>
                <w:sz w:val="18"/>
                <w:szCs w:val="18"/>
              </w:rPr>
              <w:t>.</w:t>
            </w:r>
          </w:p>
        </w:tc>
        <w:tc>
          <w:tcPr>
            <w:tcW w:w="1530" w:type="dxa"/>
          </w:tcPr>
          <w:p w14:paraId="5873FBA9"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Median/</w:t>
            </w:r>
          </w:p>
          <w:p w14:paraId="748A7A47"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2.5</w:t>
            </w:r>
            <w:r w:rsidRPr="00C12B24">
              <w:rPr>
                <w:rFonts w:ascii="Times New Roman" w:hAnsi="Times New Roman" w:cs="Times New Roman"/>
                <w:sz w:val="18"/>
                <w:szCs w:val="18"/>
                <w:vertAlign w:val="superscript"/>
              </w:rPr>
              <w:t>th</w:t>
            </w:r>
            <w:r w:rsidRPr="00C12B24">
              <w:rPr>
                <w:rFonts w:ascii="Times New Roman" w:hAnsi="Times New Roman" w:cs="Times New Roman"/>
                <w:sz w:val="18"/>
                <w:szCs w:val="18"/>
              </w:rPr>
              <w:t>-95</w:t>
            </w:r>
            <w:r w:rsidRPr="00C12B24">
              <w:rPr>
                <w:rFonts w:ascii="Times New Roman" w:hAnsi="Times New Roman" w:cs="Times New Roman"/>
                <w:sz w:val="18"/>
                <w:szCs w:val="18"/>
                <w:vertAlign w:val="superscript"/>
              </w:rPr>
              <w:t>th</w:t>
            </w:r>
          </w:p>
          <w:p w14:paraId="7F81E79B"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Percentile</w:t>
            </w:r>
          </w:p>
        </w:tc>
        <w:tc>
          <w:tcPr>
            <w:tcW w:w="1260" w:type="dxa"/>
          </w:tcPr>
          <w:p w14:paraId="359F2237"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21-25 years</w:t>
            </w:r>
          </w:p>
          <w:p w14:paraId="34F06A07"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n=1275</w:t>
            </w:r>
          </w:p>
          <w:p w14:paraId="0620646A" w14:textId="77777777" w:rsidR="00E13FBF" w:rsidRPr="00C12B24" w:rsidRDefault="00E13FBF" w:rsidP="00C42D9D">
            <w:pPr>
              <w:spacing w:line="240" w:lineRule="auto"/>
              <w:jc w:val="center"/>
              <w:rPr>
                <w:rFonts w:ascii="Times New Roman" w:hAnsi="Times New Roman" w:cs="Times New Roman"/>
                <w:sz w:val="18"/>
                <w:szCs w:val="18"/>
              </w:rPr>
            </w:pPr>
            <w:proofErr w:type="spellStart"/>
            <w:r w:rsidRPr="00C12B24">
              <w:rPr>
                <w:rFonts w:ascii="Times New Roman" w:hAnsi="Times New Roman" w:cs="Times New Roman"/>
                <w:sz w:val="18"/>
                <w:szCs w:val="18"/>
              </w:rPr>
              <w:t>Mean±S.D</w:t>
            </w:r>
            <w:proofErr w:type="spellEnd"/>
            <w:r w:rsidRPr="00C12B24">
              <w:rPr>
                <w:rFonts w:ascii="Times New Roman" w:hAnsi="Times New Roman" w:cs="Times New Roman"/>
                <w:sz w:val="18"/>
                <w:szCs w:val="18"/>
              </w:rPr>
              <w:t>.</w:t>
            </w:r>
          </w:p>
        </w:tc>
        <w:tc>
          <w:tcPr>
            <w:tcW w:w="1530" w:type="dxa"/>
          </w:tcPr>
          <w:p w14:paraId="23B8F021"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Median/</w:t>
            </w:r>
          </w:p>
          <w:p w14:paraId="08E0EF9E"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2.5</w:t>
            </w:r>
            <w:r w:rsidRPr="00C12B24">
              <w:rPr>
                <w:rFonts w:ascii="Times New Roman" w:hAnsi="Times New Roman" w:cs="Times New Roman"/>
                <w:sz w:val="18"/>
                <w:szCs w:val="18"/>
                <w:vertAlign w:val="superscript"/>
              </w:rPr>
              <w:t>th</w:t>
            </w:r>
            <w:r w:rsidRPr="00C12B24">
              <w:rPr>
                <w:rFonts w:ascii="Times New Roman" w:hAnsi="Times New Roman" w:cs="Times New Roman"/>
                <w:sz w:val="18"/>
                <w:szCs w:val="18"/>
              </w:rPr>
              <w:t>-95</w:t>
            </w:r>
            <w:r w:rsidRPr="00C12B24">
              <w:rPr>
                <w:rFonts w:ascii="Times New Roman" w:hAnsi="Times New Roman" w:cs="Times New Roman"/>
                <w:sz w:val="18"/>
                <w:szCs w:val="18"/>
                <w:vertAlign w:val="superscript"/>
              </w:rPr>
              <w:t>th</w:t>
            </w:r>
          </w:p>
          <w:p w14:paraId="38553AC5"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Percentile</w:t>
            </w:r>
          </w:p>
        </w:tc>
        <w:tc>
          <w:tcPr>
            <w:tcW w:w="1260" w:type="dxa"/>
          </w:tcPr>
          <w:p w14:paraId="38BC5E26"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26-30 years</w:t>
            </w:r>
          </w:p>
          <w:p w14:paraId="2D74B5B1"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n=313</w:t>
            </w:r>
          </w:p>
          <w:p w14:paraId="716B11A1" w14:textId="77777777" w:rsidR="00E13FBF" w:rsidRPr="00C12B24" w:rsidRDefault="00E13FBF" w:rsidP="00C42D9D">
            <w:pPr>
              <w:spacing w:line="240" w:lineRule="auto"/>
              <w:jc w:val="center"/>
              <w:rPr>
                <w:rFonts w:ascii="Times New Roman" w:hAnsi="Times New Roman" w:cs="Times New Roman"/>
                <w:sz w:val="18"/>
                <w:szCs w:val="18"/>
              </w:rPr>
            </w:pPr>
            <w:proofErr w:type="spellStart"/>
            <w:r w:rsidRPr="00C12B24">
              <w:rPr>
                <w:rFonts w:ascii="Times New Roman" w:hAnsi="Times New Roman" w:cs="Times New Roman"/>
                <w:sz w:val="18"/>
                <w:szCs w:val="18"/>
              </w:rPr>
              <w:t>Mean±S.D</w:t>
            </w:r>
            <w:proofErr w:type="spellEnd"/>
            <w:r w:rsidRPr="00C12B24">
              <w:rPr>
                <w:rFonts w:ascii="Times New Roman" w:hAnsi="Times New Roman" w:cs="Times New Roman"/>
                <w:sz w:val="18"/>
                <w:szCs w:val="18"/>
              </w:rPr>
              <w:t>.</w:t>
            </w:r>
          </w:p>
          <w:p w14:paraId="33902E86" w14:textId="77777777" w:rsidR="00E13FBF" w:rsidRPr="00C12B24" w:rsidRDefault="00E13FBF" w:rsidP="00C42D9D">
            <w:pPr>
              <w:spacing w:line="240" w:lineRule="auto"/>
              <w:jc w:val="left"/>
              <w:rPr>
                <w:rFonts w:ascii="Times New Roman" w:hAnsi="Times New Roman" w:cs="Times New Roman"/>
                <w:sz w:val="18"/>
                <w:szCs w:val="18"/>
              </w:rPr>
            </w:pPr>
          </w:p>
        </w:tc>
        <w:tc>
          <w:tcPr>
            <w:tcW w:w="1530" w:type="dxa"/>
          </w:tcPr>
          <w:p w14:paraId="3D5586D9"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Median/</w:t>
            </w:r>
          </w:p>
          <w:p w14:paraId="15230734"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2.5</w:t>
            </w:r>
            <w:r w:rsidRPr="00C12B24">
              <w:rPr>
                <w:rFonts w:ascii="Times New Roman" w:hAnsi="Times New Roman" w:cs="Times New Roman"/>
                <w:sz w:val="18"/>
                <w:szCs w:val="18"/>
                <w:vertAlign w:val="superscript"/>
              </w:rPr>
              <w:t>th</w:t>
            </w:r>
            <w:r w:rsidRPr="00C12B24">
              <w:rPr>
                <w:rFonts w:ascii="Times New Roman" w:hAnsi="Times New Roman" w:cs="Times New Roman"/>
                <w:sz w:val="18"/>
                <w:szCs w:val="18"/>
              </w:rPr>
              <w:t>-95</w:t>
            </w:r>
            <w:r w:rsidRPr="00C12B24">
              <w:rPr>
                <w:rFonts w:ascii="Times New Roman" w:hAnsi="Times New Roman" w:cs="Times New Roman"/>
                <w:sz w:val="18"/>
                <w:szCs w:val="18"/>
                <w:vertAlign w:val="superscript"/>
              </w:rPr>
              <w:t>th</w:t>
            </w:r>
          </w:p>
          <w:p w14:paraId="7BD81D98"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Percentile</w:t>
            </w:r>
          </w:p>
        </w:tc>
        <w:tc>
          <w:tcPr>
            <w:tcW w:w="1170" w:type="dxa"/>
          </w:tcPr>
          <w:p w14:paraId="2CF449E7"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31-35 years</w:t>
            </w:r>
          </w:p>
          <w:p w14:paraId="32C3FC29"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n=41</w:t>
            </w:r>
          </w:p>
          <w:p w14:paraId="23AD712F" w14:textId="77777777" w:rsidR="00E13FBF" w:rsidRPr="00C12B24" w:rsidRDefault="00E13FBF" w:rsidP="00C42D9D">
            <w:pPr>
              <w:spacing w:line="240" w:lineRule="auto"/>
              <w:jc w:val="center"/>
              <w:rPr>
                <w:rFonts w:ascii="Times New Roman" w:hAnsi="Times New Roman" w:cs="Times New Roman"/>
                <w:sz w:val="18"/>
                <w:szCs w:val="18"/>
              </w:rPr>
            </w:pPr>
            <w:proofErr w:type="spellStart"/>
            <w:r w:rsidRPr="00C12B24">
              <w:rPr>
                <w:rFonts w:ascii="Times New Roman" w:hAnsi="Times New Roman" w:cs="Times New Roman"/>
                <w:sz w:val="18"/>
                <w:szCs w:val="18"/>
              </w:rPr>
              <w:t>Mean±S.D</w:t>
            </w:r>
            <w:proofErr w:type="spellEnd"/>
            <w:r w:rsidRPr="00C12B24">
              <w:rPr>
                <w:rFonts w:ascii="Times New Roman" w:hAnsi="Times New Roman" w:cs="Times New Roman"/>
                <w:sz w:val="18"/>
                <w:szCs w:val="18"/>
              </w:rPr>
              <w:t>.</w:t>
            </w:r>
          </w:p>
        </w:tc>
        <w:tc>
          <w:tcPr>
            <w:tcW w:w="1620" w:type="dxa"/>
          </w:tcPr>
          <w:p w14:paraId="4FDBEC11"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Median/</w:t>
            </w:r>
          </w:p>
          <w:p w14:paraId="42FC39C4"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2.5</w:t>
            </w:r>
            <w:r w:rsidRPr="00C12B24">
              <w:rPr>
                <w:rFonts w:ascii="Times New Roman" w:hAnsi="Times New Roman" w:cs="Times New Roman"/>
                <w:sz w:val="18"/>
                <w:szCs w:val="18"/>
                <w:vertAlign w:val="superscript"/>
              </w:rPr>
              <w:t>th</w:t>
            </w:r>
            <w:r w:rsidRPr="00C12B24">
              <w:rPr>
                <w:rFonts w:ascii="Times New Roman" w:hAnsi="Times New Roman" w:cs="Times New Roman"/>
                <w:sz w:val="18"/>
                <w:szCs w:val="18"/>
              </w:rPr>
              <w:t>-95</w:t>
            </w:r>
            <w:r w:rsidRPr="00C12B24">
              <w:rPr>
                <w:rFonts w:ascii="Times New Roman" w:hAnsi="Times New Roman" w:cs="Times New Roman"/>
                <w:sz w:val="18"/>
                <w:szCs w:val="18"/>
                <w:vertAlign w:val="superscript"/>
              </w:rPr>
              <w:t>th</w:t>
            </w:r>
          </w:p>
          <w:p w14:paraId="6140FC21"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Percentile</w:t>
            </w:r>
          </w:p>
        </w:tc>
        <w:tc>
          <w:tcPr>
            <w:tcW w:w="900" w:type="dxa"/>
          </w:tcPr>
          <w:p w14:paraId="1515555C"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F-value</w:t>
            </w:r>
          </w:p>
        </w:tc>
        <w:tc>
          <w:tcPr>
            <w:tcW w:w="720" w:type="dxa"/>
          </w:tcPr>
          <w:p w14:paraId="6E7855F4"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P-Value</w:t>
            </w:r>
          </w:p>
        </w:tc>
        <w:tc>
          <w:tcPr>
            <w:tcW w:w="810" w:type="dxa"/>
          </w:tcPr>
          <w:p w14:paraId="19865FF0" w14:textId="77777777" w:rsidR="00E13FBF" w:rsidRPr="00C12B24" w:rsidRDefault="00E13FBF" w:rsidP="00C42D9D">
            <w:pPr>
              <w:spacing w:line="240" w:lineRule="auto"/>
              <w:jc w:val="left"/>
              <w:rPr>
                <w:rFonts w:ascii="Times New Roman" w:hAnsi="Times New Roman" w:cs="Times New Roman"/>
                <w:sz w:val="18"/>
                <w:szCs w:val="18"/>
              </w:rPr>
            </w:pPr>
            <w:r w:rsidRPr="00C12B24">
              <w:rPr>
                <w:rFonts w:ascii="Times New Roman" w:hAnsi="Times New Roman" w:cs="Times New Roman"/>
                <w:sz w:val="18"/>
                <w:szCs w:val="18"/>
              </w:rPr>
              <w:t>Remark</w:t>
            </w:r>
          </w:p>
        </w:tc>
      </w:tr>
      <w:tr w:rsidR="00E13FBF" w:rsidRPr="00C12B24" w14:paraId="3BEEDA0C" w14:textId="77777777" w:rsidTr="00C42D9D">
        <w:tc>
          <w:tcPr>
            <w:tcW w:w="1443" w:type="dxa"/>
          </w:tcPr>
          <w:p w14:paraId="56DB8B99"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Age</w:t>
            </w:r>
          </w:p>
        </w:tc>
        <w:tc>
          <w:tcPr>
            <w:tcW w:w="1167" w:type="dxa"/>
          </w:tcPr>
          <w:p w14:paraId="3F87545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19.47±0.83</w:t>
            </w:r>
          </w:p>
        </w:tc>
        <w:tc>
          <w:tcPr>
            <w:tcW w:w="1530" w:type="dxa"/>
          </w:tcPr>
          <w:p w14:paraId="45BC16DA"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20(17.6-20)</w:t>
            </w:r>
          </w:p>
        </w:tc>
        <w:tc>
          <w:tcPr>
            <w:tcW w:w="1260" w:type="dxa"/>
          </w:tcPr>
          <w:p w14:paraId="5BC5835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23.55±1.46</w:t>
            </w:r>
          </w:p>
        </w:tc>
        <w:tc>
          <w:tcPr>
            <w:tcW w:w="1530" w:type="dxa"/>
          </w:tcPr>
          <w:p w14:paraId="434C416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24(21-25)</w:t>
            </w:r>
          </w:p>
        </w:tc>
        <w:tc>
          <w:tcPr>
            <w:tcW w:w="1260" w:type="dxa"/>
          </w:tcPr>
          <w:p w14:paraId="5F76BB8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28.12±1.62</w:t>
            </w:r>
          </w:p>
        </w:tc>
        <w:tc>
          <w:tcPr>
            <w:tcW w:w="1530" w:type="dxa"/>
          </w:tcPr>
          <w:p w14:paraId="69041396"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28(26-30)</w:t>
            </w:r>
          </w:p>
        </w:tc>
        <w:tc>
          <w:tcPr>
            <w:tcW w:w="1170" w:type="dxa"/>
          </w:tcPr>
          <w:p w14:paraId="5C70458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32.83±3.05</w:t>
            </w:r>
          </w:p>
        </w:tc>
        <w:tc>
          <w:tcPr>
            <w:tcW w:w="1620" w:type="dxa"/>
          </w:tcPr>
          <w:p w14:paraId="5A27EBF6"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31(31-40)</w:t>
            </w:r>
          </w:p>
        </w:tc>
        <w:tc>
          <w:tcPr>
            <w:tcW w:w="900" w:type="dxa"/>
          </w:tcPr>
          <w:p w14:paraId="489424B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2295.932</w:t>
            </w:r>
          </w:p>
        </w:tc>
        <w:tc>
          <w:tcPr>
            <w:tcW w:w="720" w:type="dxa"/>
          </w:tcPr>
          <w:p w14:paraId="765267D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0.0001</w:t>
            </w:r>
          </w:p>
        </w:tc>
        <w:tc>
          <w:tcPr>
            <w:tcW w:w="810" w:type="dxa"/>
          </w:tcPr>
          <w:p w14:paraId="52665C46"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Sig.</w:t>
            </w:r>
          </w:p>
        </w:tc>
      </w:tr>
      <w:tr w:rsidR="00E13FBF" w:rsidRPr="00C12B24" w14:paraId="6E560BA9" w14:textId="77777777" w:rsidTr="00C42D9D">
        <w:tc>
          <w:tcPr>
            <w:tcW w:w="1443" w:type="dxa"/>
          </w:tcPr>
          <w:p w14:paraId="552FD86C"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RBC (x10</w:t>
            </w:r>
            <w:r w:rsidRPr="00C12B24">
              <w:rPr>
                <w:rFonts w:ascii="Times New Roman" w:hAnsi="Times New Roman" w:cs="Times New Roman"/>
                <w:b/>
                <w:sz w:val="19"/>
                <w:szCs w:val="19"/>
                <w:vertAlign w:val="superscript"/>
              </w:rPr>
              <w:t>6</w:t>
            </w:r>
            <w:r w:rsidRPr="00C12B24">
              <w:rPr>
                <w:rFonts w:ascii="Times New Roman" w:hAnsi="Times New Roman" w:cs="Times New Roman"/>
                <w:b/>
                <w:sz w:val="19"/>
                <w:szCs w:val="19"/>
              </w:rPr>
              <w:t>/µl)</w:t>
            </w:r>
          </w:p>
        </w:tc>
        <w:tc>
          <w:tcPr>
            <w:tcW w:w="1167" w:type="dxa"/>
          </w:tcPr>
          <w:p w14:paraId="278E8DD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4.73±0.65</w:t>
            </w:r>
          </w:p>
        </w:tc>
        <w:tc>
          <w:tcPr>
            <w:tcW w:w="1530" w:type="dxa"/>
          </w:tcPr>
          <w:p w14:paraId="22E3319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4.67(3.69-5.76)</w:t>
            </w:r>
          </w:p>
        </w:tc>
        <w:tc>
          <w:tcPr>
            <w:tcW w:w="1260" w:type="dxa"/>
          </w:tcPr>
          <w:p w14:paraId="00F23D3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4.79±1.41</w:t>
            </w:r>
          </w:p>
        </w:tc>
        <w:tc>
          <w:tcPr>
            <w:tcW w:w="1530" w:type="dxa"/>
          </w:tcPr>
          <w:p w14:paraId="6822DB7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4.71(3.67-5.79)</w:t>
            </w:r>
          </w:p>
        </w:tc>
        <w:tc>
          <w:tcPr>
            <w:tcW w:w="1260" w:type="dxa"/>
          </w:tcPr>
          <w:p w14:paraId="1C4958F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4.90±0.62</w:t>
            </w:r>
          </w:p>
        </w:tc>
        <w:tc>
          <w:tcPr>
            <w:tcW w:w="1530" w:type="dxa"/>
          </w:tcPr>
          <w:p w14:paraId="44E5E12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4.92(3.99-5.87)</w:t>
            </w:r>
          </w:p>
        </w:tc>
        <w:tc>
          <w:tcPr>
            <w:tcW w:w="1170" w:type="dxa"/>
          </w:tcPr>
          <w:p w14:paraId="41FB799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4.59±0.61</w:t>
            </w:r>
          </w:p>
        </w:tc>
        <w:tc>
          <w:tcPr>
            <w:tcW w:w="1620" w:type="dxa"/>
          </w:tcPr>
          <w:p w14:paraId="6773BF2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4.54(3.69-5.7)</w:t>
            </w:r>
          </w:p>
        </w:tc>
        <w:tc>
          <w:tcPr>
            <w:tcW w:w="900" w:type="dxa"/>
          </w:tcPr>
          <w:p w14:paraId="5E79820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1.500</w:t>
            </w:r>
          </w:p>
        </w:tc>
        <w:tc>
          <w:tcPr>
            <w:tcW w:w="720" w:type="dxa"/>
          </w:tcPr>
          <w:p w14:paraId="767E233A"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0.213</w:t>
            </w:r>
          </w:p>
        </w:tc>
        <w:tc>
          <w:tcPr>
            <w:tcW w:w="810" w:type="dxa"/>
          </w:tcPr>
          <w:p w14:paraId="601A5C5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47495F43" w14:textId="77777777" w:rsidTr="00C42D9D">
        <w:tc>
          <w:tcPr>
            <w:tcW w:w="1443" w:type="dxa"/>
          </w:tcPr>
          <w:p w14:paraId="760A5537"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HGB (g/dl)</w:t>
            </w:r>
          </w:p>
        </w:tc>
        <w:tc>
          <w:tcPr>
            <w:tcW w:w="1167" w:type="dxa"/>
          </w:tcPr>
          <w:p w14:paraId="057424E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12.63±1.65</w:t>
            </w:r>
          </w:p>
        </w:tc>
        <w:tc>
          <w:tcPr>
            <w:tcW w:w="1530" w:type="dxa"/>
          </w:tcPr>
          <w:p w14:paraId="53B795F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12.6(10.1-15.2)</w:t>
            </w:r>
          </w:p>
        </w:tc>
        <w:tc>
          <w:tcPr>
            <w:tcW w:w="1260" w:type="dxa"/>
          </w:tcPr>
          <w:p w14:paraId="45020B56"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12.83±6.00</w:t>
            </w:r>
          </w:p>
        </w:tc>
        <w:tc>
          <w:tcPr>
            <w:tcW w:w="1530" w:type="dxa"/>
          </w:tcPr>
          <w:p w14:paraId="7A79C8D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12.5(9.8-15.2</w:t>
            </w:r>
          </w:p>
        </w:tc>
        <w:tc>
          <w:tcPr>
            <w:tcW w:w="1260" w:type="dxa"/>
          </w:tcPr>
          <w:p w14:paraId="2D19ED5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12.95±1.73</w:t>
            </w:r>
          </w:p>
        </w:tc>
        <w:tc>
          <w:tcPr>
            <w:tcW w:w="1530" w:type="dxa"/>
          </w:tcPr>
          <w:p w14:paraId="56B20BC6"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13.1(3.97-16.6)</w:t>
            </w:r>
          </w:p>
        </w:tc>
        <w:tc>
          <w:tcPr>
            <w:tcW w:w="1170" w:type="dxa"/>
          </w:tcPr>
          <w:p w14:paraId="077A927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12.03±1.33</w:t>
            </w:r>
          </w:p>
        </w:tc>
        <w:tc>
          <w:tcPr>
            <w:tcW w:w="1620" w:type="dxa"/>
          </w:tcPr>
          <w:p w14:paraId="04525393"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11.9(10.1-14.2)</w:t>
            </w:r>
          </w:p>
        </w:tc>
        <w:tc>
          <w:tcPr>
            <w:tcW w:w="900" w:type="dxa"/>
          </w:tcPr>
          <w:p w14:paraId="655CEE8A"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0.621</w:t>
            </w:r>
          </w:p>
        </w:tc>
        <w:tc>
          <w:tcPr>
            <w:tcW w:w="720" w:type="dxa"/>
          </w:tcPr>
          <w:p w14:paraId="3938108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0.602</w:t>
            </w:r>
          </w:p>
        </w:tc>
        <w:tc>
          <w:tcPr>
            <w:tcW w:w="810" w:type="dxa"/>
          </w:tcPr>
          <w:p w14:paraId="36DFEB0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251B3067" w14:textId="77777777" w:rsidTr="00C42D9D">
        <w:tc>
          <w:tcPr>
            <w:tcW w:w="1443" w:type="dxa"/>
          </w:tcPr>
          <w:p w14:paraId="64D86BBF"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PCV (%)</w:t>
            </w:r>
          </w:p>
        </w:tc>
        <w:tc>
          <w:tcPr>
            <w:tcW w:w="1167" w:type="dxa"/>
          </w:tcPr>
          <w:p w14:paraId="5DAA797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37.09±4.34</w:t>
            </w:r>
          </w:p>
        </w:tc>
        <w:tc>
          <w:tcPr>
            <w:tcW w:w="1530" w:type="dxa"/>
          </w:tcPr>
          <w:p w14:paraId="7003C15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37(28.8-44.34)</w:t>
            </w:r>
          </w:p>
        </w:tc>
        <w:tc>
          <w:tcPr>
            <w:tcW w:w="1260" w:type="dxa"/>
          </w:tcPr>
          <w:p w14:paraId="5B1C4BD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37.15±4.42</w:t>
            </w:r>
          </w:p>
        </w:tc>
        <w:tc>
          <w:tcPr>
            <w:tcW w:w="1530" w:type="dxa"/>
          </w:tcPr>
          <w:p w14:paraId="67975ED6"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36.9(29.88-44.3)</w:t>
            </w:r>
          </w:p>
        </w:tc>
        <w:tc>
          <w:tcPr>
            <w:tcW w:w="1260" w:type="dxa"/>
          </w:tcPr>
          <w:p w14:paraId="351E13C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38.15±4.43</w:t>
            </w:r>
          </w:p>
        </w:tc>
        <w:tc>
          <w:tcPr>
            <w:tcW w:w="1530" w:type="dxa"/>
          </w:tcPr>
          <w:p w14:paraId="5DE8AF0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38.6(4.03-44.99)</w:t>
            </w:r>
          </w:p>
        </w:tc>
        <w:tc>
          <w:tcPr>
            <w:tcW w:w="1170" w:type="dxa"/>
          </w:tcPr>
          <w:p w14:paraId="42905AB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35.77±3.78</w:t>
            </w:r>
          </w:p>
        </w:tc>
        <w:tc>
          <w:tcPr>
            <w:tcW w:w="1620" w:type="dxa"/>
          </w:tcPr>
          <w:p w14:paraId="36F41164"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35.4(30-42)</w:t>
            </w:r>
          </w:p>
        </w:tc>
        <w:tc>
          <w:tcPr>
            <w:tcW w:w="900" w:type="dxa"/>
          </w:tcPr>
          <w:p w14:paraId="4C4C020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4.929</w:t>
            </w:r>
          </w:p>
        </w:tc>
        <w:tc>
          <w:tcPr>
            <w:tcW w:w="720" w:type="dxa"/>
          </w:tcPr>
          <w:p w14:paraId="1AF73C3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0.002</w:t>
            </w:r>
          </w:p>
        </w:tc>
        <w:tc>
          <w:tcPr>
            <w:tcW w:w="810" w:type="dxa"/>
          </w:tcPr>
          <w:p w14:paraId="19CE944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Sig.</w:t>
            </w:r>
          </w:p>
        </w:tc>
      </w:tr>
      <w:tr w:rsidR="00E13FBF" w:rsidRPr="00C12B24" w14:paraId="5B6AB2B1" w14:textId="77777777" w:rsidTr="00C42D9D">
        <w:tc>
          <w:tcPr>
            <w:tcW w:w="1443" w:type="dxa"/>
          </w:tcPr>
          <w:p w14:paraId="1F1C9345"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MCV (</w:t>
            </w:r>
            <w:proofErr w:type="spellStart"/>
            <w:r w:rsidRPr="00C12B24">
              <w:rPr>
                <w:rFonts w:ascii="Times New Roman" w:hAnsi="Times New Roman" w:cs="Times New Roman"/>
                <w:b/>
                <w:sz w:val="19"/>
                <w:szCs w:val="19"/>
              </w:rPr>
              <w:t>fL</w:t>
            </w:r>
            <w:proofErr w:type="spellEnd"/>
            <w:r w:rsidRPr="00C12B24">
              <w:rPr>
                <w:rFonts w:ascii="Times New Roman" w:hAnsi="Times New Roman" w:cs="Times New Roman"/>
                <w:b/>
                <w:sz w:val="19"/>
                <w:szCs w:val="19"/>
              </w:rPr>
              <w:t>)</w:t>
            </w:r>
          </w:p>
        </w:tc>
        <w:tc>
          <w:tcPr>
            <w:tcW w:w="1167" w:type="dxa"/>
          </w:tcPr>
          <w:p w14:paraId="264A8C38"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63.77±46.51</w:t>
            </w:r>
          </w:p>
        </w:tc>
        <w:tc>
          <w:tcPr>
            <w:tcW w:w="1530" w:type="dxa"/>
          </w:tcPr>
          <w:p w14:paraId="14F2052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78.6(-81.3-86.94)</w:t>
            </w:r>
          </w:p>
        </w:tc>
        <w:tc>
          <w:tcPr>
            <w:tcW w:w="1260" w:type="dxa"/>
          </w:tcPr>
          <w:p w14:paraId="23BB931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64.92±44.20</w:t>
            </w:r>
          </w:p>
        </w:tc>
        <w:tc>
          <w:tcPr>
            <w:tcW w:w="1530" w:type="dxa"/>
          </w:tcPr>
          <w:p w14:paraId="6E06937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78.3(-79.96-86.7)</w:t>
            </w:r>
          </w:p>
        </w:tc>
        <w:tc>
          <w:tcPr>
            <w:tcW w:w="1260" w:type="dxa"/>
          </w:tcPr>
          <w:p w14:paraId="0D556D8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56.41±54.27</w:t>
            </w:r>
          </w:p>
        </w:tc>
        <w:tc>
          <w:tcPr>
            <w:tcW w:w="1530" w:type="dxa"/>
          </w:tcPr>
          <w:p w14:paraId="2158317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77.4(-76.82-85.86)</w:t>
            </w:r>
          </w:p>
        </w:tc>
        <w:tc>
          <w:tcPr>
            <w:tcW w:w="1170" w:type="dxa"/>
          </w:tcPr>
          <w:p w14:paraId="4F6E25A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79.11±5.47</w:t>
            </w:r>
          </w:p>
        </w:tc>
        <w:tc>
          <w:tcPr>
            <w:tcW w:w="1620" w:type="dxa"/>
          </w:tcPr>
          <w:p w14:paraId="4FA84553"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79.8(68.8-88)</w:t>
            </w:r>
          </w:p>
        </w:tc>
        <w:tc>
          <w:tcPr>
            <w:tcW w:w="900" w:type="dxa"/>
          </w:tcPr>
          <w:p w14:paraId="05785513"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4.470</w:t>
            </w:r>
          </w:p>
        </w:tc>
        <w:tc>
          <w:tcPr>
            <w:tcW w:w="720" w:type="dxa"/>
          </w:tcPr>
          <w:p w14:paraId="74647E29"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0.004</w:t>
            </w:r>
          </w:p>
        </w:tc>
        <w:tc>
          <w:tcPr>
            <w:tcW w:w="810" w:type="dxa"/>
          </w:tcPr>
          <w:p w14:paraId="4E48D6F1"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Sig.</w:t>
            </w:r>
          </w:p>
        </w:tc>
      </w:tr>
      <w:tr w:rsidR="00E13FBF" w:rsidRPr="00C12B24" w14:paraId="117BA7BD" w14:textId="77777777" w:rsidTr="00C42D9D">
        <w:tc>
          <w:tcPr>
            <w:tcW w:w="1443" w:type="dxa"/>
          </w:tcPr>
          <w:p w14:paraId="275613A8"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lastRenderedPageBreak/>
              <w:t>MCH (</w:t>
            </w:r>
            <w:proofErr w:type="spellStart"/>
            <w:r w:rsidRPr="00C12B24">
              <w:rPr>
                <w:rFonts w:ascii="Times New Roman" w:hAnsi="Times New Roman" w:cs="Times New Roman"/>
                <w:b/>
                <w:sz w:val="19"/>
                <w:szCs w:val="19"/>
              </w:rPr>
              <w:t>pg</w:t>
            </w:r>
            <w:proofErr w:type="spellEnd"/>
            <w:r w:rsidRPr="00C12B24">
              <w:rPr>
                <w:rFonts w:ascii="Times New Roman" w:hAnsi="Times New Roman" w:cs="Times New Roman"/>
                <w:b/>
                <w:sz w:val="19"/>
                <w:szCs w:val="19"/>
              </w:rPr>
              <w:t>)</w:t>
            </w:r>
          </w:p>
        </w:tc>
        <w:tc>
          <w:tcPr>
            <w:tcW w:w="1167" w:type="dxa"/>
          </w:tcPr>
          <w:p w14:paraId="2C3CE854"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25.79±9.09</w:t>
            </w:r>
          </w:p>
        </w:tc>
        <w:tc>
          <w:tcPr>
            <w:tcW w:w="1530" w:type="dxa"/>
          </w:tcPr>
          <w:p w14:paraId="37A99F4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27(2.48-30.48)</w:t>
            </w:r>
          </w:p>
        </w:tc>
        <w:tc>
          <w:tcPr>
            <w:tcW w:w="1260" w:type="dxa"/>
          </w:tcPr>
          <w:p w14:paraId="014F580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25.41±8.69</w:t>
            </w:r>
          </w:p>
        </w:tc>
        <w:tc>
          <w:tcPr>
            <w:tcW w:w="1530" w:type="dxa"/>
          </w:tcPr>
          <w:p w14:paraId="5BF1E9F3"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26.95(-21.4-30.2)</w:t>
            </w:r>
          </w:p>
        </w:tc>
        <w:tc>
          <w:tcPr>
            <w:tcW w:w="1260" w:type="dxa"/>
          </w:tcPr>
          <w:p w14:paraId="6AA8F973"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24.45±11.15</w:t>
            </w:r>
          </w:p>
        </w:tc>
        <w:tc>
          <w:tcPr>
            <w:tcW w:w="1530" w:type="dxa"/>
          </w:tcPr>
          <w:p w14:paraId="6F76A4D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26.9(-76.82-30)</w:t>
            </w:r>
          </w:p>
        </w:tc>
        <w:tc>
          <w:tcPr>
            <w:tcW w:w="1170" w:type="dxa"/>
          </w:tcPr>
          <w:p w14:paraId="359EB3C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26.67±2.58</w:t>
            </w:r>
          </w:p>
        </w:tc>
        <w:tc>
          <w:tcPr>
            <w:tcW w:w="1620" w:type="dxa"/>
          </w:tcPr>
          <w:p w14:paraId="2464CEAA"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26.7(21.2-30.2)</w:t>
            </w:r>
          </w:p>
        </w:tc>
        <w:tc>
          <w:tcPr>
            <w:tcW w:w="900" w:type="dxa"/>
          </w:tcPr>
          <w:p w14:paraId="4A5907A7"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1.697</w:t>
            </w:r>
          </w:p>
        </w:tc>
        <w:tc>
          <w:tcPr>
            <w:tcW w:w="720" w:type="dxa"/>
          </w:tcPr>
          <w:p w14:paraId="54877ED6"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0.166</w:t>
            </w:r>
          </w:p>
        </w:tc>
        <w:tc>
          <w:tcPr>
            <w:tcW w:w="810" w:type="dxa"/>
          </w:tcPr>
          <w:p w14:paraId="6D19CA88"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3D13DC32" w14:textId="77777777" w:rsidTr="00C42D9D">
        <w:tc>
          <w:tcPr>
            <w:tcW w:w="1443" w:type="dxa"/>
          </w:tcPr>
          <w:p w14:paraId="4FDEB987"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MCHC (g/dL)</w:t>
            </w:r>
          </w:p>
        </w:tc>
        <w:tc>
          <w:tcPr>
            <w:tcW w:w="1167" w:type="dxa"/>
          </w:tcPr>
          <w:p w14:paraId="2E804EE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33.89±4.08</w:t>
            </w:r>
          </w:p>
        </w:tc>
        <w:tc>
          <w:tcPr>
            <w:tcW w:w="1530" w:type="dxa"/>
          </w:tcPr>
          <w:p w14:paraId="0B5FCC1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34.2(31.4-36.19)</w:t>
            </w:r>
          </w:p>
        </w:tc>
        <w:tc>
          <w:tcPr>
            <w:tcW w:w="1260" w:type="dxa"/>
          </w:tcPr>
          <w:p w14:paraId="75261FF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33.87±3.51</w:t>
            </w:r>
          </w:p>
        </w:tc>
        <w:tc>
          <w:tcPr>
            <w:tcW w:w="1530" w:type="dxa"/>
          </w:tcPr>
          <w:p w14:paraId="52A63A9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34.2(30.29-36.2)</w:t>
            </w:r>
          </w:p>
        </w:tc>
        <w:tc>
          <w:tcPr>
            <w:tcW w:w="1260" w:type="dxa"/>
          </w:tcPr>
          <w:p w14:paraId="4E22EC0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34.24±2.72</w:t>
            </w:r>
          </w:p>
        </w:tc>
        <w:tc>
          <w:tcPr>
            <w:tcW w:w="1530" w:type="dxa"/>
          </w:tcPr>
          <w:p w14:paraId="2CC4B5D6"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34.2(-76.82-36.24)</w:t>
            </w:r>
          </w:p>
        </w:tc>
        <w:tc>
          <w:tcPr>
            <w:tcW w:w="1170" w:type="dxa"/>
          </w:tcPr>
          <w:p w14:paraId="1180938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33.64±1.27</w:t>
            </w:r>
          </w:p>
        </w:tc>
        <w:tc>
          <w:tcPr>
            <w:tcW w:w="1620" w:type="dxa"/>
          </w:tcPr>
          <w:p w14:paraId="0CA98D0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33.8(31-35.6)</w:t>
            </w:r>
          </w:p>
        </w:tc>
        <w:tc>
          <w:tcPr>
            <w:tcW w:w="900" w:type="dxa"/>
          </w:tcPr>
          <w:p w14:paraId="5F92E761"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1.175</w:t>
            </w:r>
          </w:p>
        </w:tc>
        <w:tc>
          <w:tcPr>
            <w:tcW w:w="720" w:type="dxa"/>
          </w:tcPr>
          <w:p w14:paraId="21C35ECA"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0.318</w:t>
            </w:r>
          </w:p>
        </w:tc>
        <w:tc>
          <w:tcPr>
            <w:tcW w:w="810" w:type="dxa"/>
          </w:tcPr>
          <w:p w14:paraId="5F182A1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2EA06227" w14:textId="77777777" w:rsidTr="00C42D9D">
        <w:tc>
          <w:tcPr>
            <w:tcW w:w="1443" w:type="dxa"/>
          </w:tcPr>
          <w:p w14:paraId="3DF33F35"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RDW SD (%)</w:t>
            </w:r>
          </w:p>
        </w:tc>
        <w:tc>
          <w:tcPr>
            <w:tcW w:w="1167" w:type="dxa"/>
          </w:tcPr>
          <w:p w14:paraId="37CCB45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40.07±7.01</w:t>
            </w:r>
          </w:p>
        </w:tc>
        <w:tc>
          <w:tcPr>
            <w:tcW w:w="1530" w:type="dxa"/>
          </w:tcPr>
          <w:p w14:paraId="432E35A8"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40.2(34.08-45.7)</w:t>
            </w:r>
          </w:p>
        </w:tc>
        <w:tc>
          <w:tcPr>
            <w:tcW w:w="1260" w:type="dxa"/>
          </w:tcPr>
          <w:p w14:paraId="5ECD4AA4"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39.58±9.98</w:t>
            </w:r>
          </w:p>
        </w:tc>
        <w:tc>
          <w:tcPr>
            <w:tcW w:w="1530" w:type="dxa"/>
          </w:tcPr>
          <w:p w14:paraId="04B562E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40.2(33.72-46.04)</w:t>
            </w:r>
          </w:p>
        </w:tc>
        <w:tc>
          <w:tcPr>
            <w:tcW w:w="1260" w:type="dxa"/>
          </w:tcPr>
          <w:p w14:paraId="3D9FEBE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39.24±9.34</w:t>
            </w:r>
          </w:p>
        </w:tc>
        <w:tc>
          <w:tcPr>
            <w:tcW w:w="1530" w:type="dxa"/>
          </w:tcPr>
          <w:p w14:paraId="3B2A727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40.1(20.5-44.84)</w:t>
            </w:r>
          </w:p>
        </w:tc>
        <w:tc>
          <w:tcPr>
            <w:tcW w:w="1170" w:type="dxa"/>
          </w:tcPr>
          <w:p w14:paraId="6675D568"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41.29±3.39</w:t>
            </w:r>
          </w:p>
        </w:tc>
        <w:tc>
          <w:tcPr>
            <w:tcW w:w="1620" w:type="dxa"/>
          </w:tcPr>
          <w:p w14:paraId="5188EDF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40.75(36.77-47.41)</w:t>
            </w:r>
          </w:p>
        </w:tc>
        <w:tc>
          <w:tcPr>
            <w:tcW w:w="900" w:type="dxa"/>
          </w:tcPr>
          <w:p w14:paraId="0D1F02BE"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0.874</w:t>
            </w:r>
          </w:p>
        </w:tc>
        <w:tc>
          <w:tcPr>
            <w:tcW w:w="720" w:type="dxa"/>
          </w:tcPr>
          <w:p w14:paraId="79B8E1DA"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0.454</w:t>
            </w:r>
          </w:p>
        </w:tc>
        <w:tc>
          <w:tcPr>
            <w:tcW w:w="810" w:type="dxa"/>
          </w:tcPr>
          <w:p w14:paraId="44BD563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7089804E" w14:textId="77777777" w:rsidTr="00C42D9D">
        <w:tc>
          <w:tcPr>
            <w:tcW w:w="1443" w:type="dxa"/>
          </w:tcPr>
          <w:p w14:paraId="59E24F87"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RDW CV (%)</w:t>
            </w:r>
          </w:p>
        </w:tc>
        <w:tc>
          <w:tcPr>
            <w:tcW w:w="1167" w:type="dxa"/>
          </w:tcPr>
          <w:p w14:paraId="5A11D45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14.05±6.35</w:t>
            </w:r>
          </w:p>
        </w:tc>
        <w:tc>
          <w:tcPr>
            <w:tcW w:w="1530" w:type="dxa"/>
          </w:tcPr>
          <w:p w14:paraId="790B254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13.3(12-16.28)</w:t>
            </w:r>
          </w:p>
        </w:tc>
        <w:tc>
          <w:tcPr>
            <w:tcW w:w="1260" w:type="dxa"/>
          </w:tcPr>
          <w:p w14:paraId="3BA3012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13.81±4.71</w:t>
            </w:r>
          </w:p>
        </w:tc>
        <w:tc>
          <w:tcPr>
            <w:tcW w:w="1530" w:type="dxa"/>
          </w:tcPr>
          <w:p w14:paraId="7770B4B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13.3(11-16.1)</w:t>
            </w:r>
          </w:p>
        </w:tc>
        <w:tc>
          <w:tcPr>
            <w:tcW w:w="1260" w:type="dxa"/>
          </w:tcPr>
          <w:p w14:paraId="39D2F35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13.44±1.34</w:t>
            </w:r>
          </w:p>
        </w:tc>
        <w:tc>
          <w:tcPr>
            <w:tcW w:w="1530" w:type="dxa"/>
          </w:tcPr>
          <w:p w14:paraId="6CCDC5B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13.2(12-15.74)</w:t>
            </w:r>
          </w:p>
        </w:tc>
        <w:tc>
          <w:tcPr>
            <w:tcW w:w="1170" w:type="dxa"/>
          </w:tcPr>
          <w:p w14:paraId="2D27D6E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13.56±1.07</w:t>
            </w:r>
          </w:p>
        </w:tc>
        <w:tc>
          <w:tcPr>
            <w:tcW w:w="1620" w:type="dxa"/>
          </w:tcPr>
          <w:p w14:paraId="6C6C1D7A"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13.3(12-16)</w:t>
            </w:r>
          </w:p>
        </w:tc>
        <w:tc>
          <w:tcPr>
            <w:tcW w:w="900" w:type="dxa"/>
          </w:tcPr>
          <w:p w14:paraId="0AB3CF0E"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0.955</w:t>
            </w:r>
          </w:p>
        </w:tc>
        <w:tc>
          <w:tcPr>
            <w:tcW w:w="720" w:type="dxa"/>
          </w:tcPr>
          <w:p w14:paraId="2F1AF7C5"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0.413</w:t>
            </w:r>
          </w:p>
        </w:tc>
        <w:tc>
          <w:tcPr>
            <w:tcW w:w="810" w:type="dxa"/>
          </w:tcPr>
          <w:p w14:paraId="38A0166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06183534" w14:textId="77777777" w:rsidTr="00C42D9D">
        <w:tc>
          <w:tcPr>
            <w:tcW w:w="1443" w:type="dxa"/>
          </w:tcPr>
          <w:p w14:paraId="660C2453"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WBC (x10</w:t>
            </w:r>
            <w:r w:rsidRPr="00C12B24">
              <w:rPr>
                <w:rFonts w:ascii="Times New Roman" w:hAnsi="Times New Roman" w:cs="Times New Roman"/>
                <w:b/>
                <w:sz w:val="19"/>
                <w:szCs w:val="19"/>
                <w:vertAlign w:val="superscript"/>
              </w:rPr>
              <w:t>3</w:t>
            </w:r>
            <w:r w:rsidRPr="00C12B24">
              <w:rPr>
                <w:rFonts w:ascii="Times New Roman" w:hAnsi="Times New Roman" w:cs="Times New Roman"/>
                <w:b/>
                <w:sz w:val="19"/>
                <w:szCs w:val="19"/>
              </w:rPr>
              <w:t>/µl)</w:t>
            </w:r>
          </w:p>
        </w:tc>
        <w:tc>
          <w:tcPr>
            <w:tcW w:w="1167" w:type="dxa"/>
          </w:tcPr>
          <w:p w14:paraId="7ADA64E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5.52.1.45</w:t>
            </w:r>
          </w:p>
        </w:tc>
        <w:tc>
          <w:tcPr>
            <w:tcW w:w="1530" w:type="dxa"/>
          </w:tcPr>
          <w:p w14:paraId="275D1F0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5.3(3.36-8.0)</w:t>
            </w:r>
          </w:p>
        </w:tc>
        <w:tc>
          <w:tcPr>
            <w:tcW w:w="1260" w:type="dxa"/>
          </w:tcPr>
          <w:p w14:paraId="3A7CED6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5.42±2.28</w:t>
            </w:r>
          </w:p>
        </w:tc>
        <w:tc>
          <w:tcPr>
            <w:tcW w:w="1530" w:type="dxa"/>
          </w:tcPr>
          <w:p w14:paraId="65AC13F4"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5.2(3.1-7.9)</w:t>
            </w:r>
          </w:p>
        </w:tc>
        <w:tc>
          <w:tcPr>
            <w:tcW w:w="1260" w:type="dxa"/>
          </w:tcPr>
          <w:p w14:paraId="158676C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5.16±1.72</w:t>
            </w:r>
          </w:p>
        </w:tc>
        <w:tc>
          <w:tcPr>
            <w:tcW w:w="1530" w:type="dxa"/>
          </w:tcPr>
          <w:p w14:paraId="62882CF3"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5(3.45-7.3)</w:t>
            </w:r>
          </w:p>
        </w:tc>
        <w:tc>
          <w:tcPr>
            <w:tcW w:w="1170" w:type="dxa"/>
          </w:tcPr>
          <w:p w14:paraId="1D31530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5.16±1.28</w:t>
            </w:r>
          </w:p>
        </w:tc>
        <w:tc>
          <w:tcPr>
            <w:tcW w:w="1620" w:type="dxa"/>
          </w:tcPr>
          <w:p w14:paraId="0849EFF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5.2(3.5-7.3)</w:t>
            </w:r>
          </w:p>
        </w:tc>
        <w:tc>
          <w:tcPr>
            <w:tcW w:w="900" w:type="dxa"/>
          </w:tcPr>
          <w:p w14:paraId="178846E1"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1.926</w:t>
            </w:r>
          </w:p>
        </w:tc>
        <w:tc>
          <w:tcPr>
            <w:tcW w:w="720" w:type="dxa"/>
          </w:tcPr>
          <w:p w14:paraId="6213DF48"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0.123</w:t>
            </w:r>
          </w:p>
        </w:tc>
        <w:tc>
          <w:tcPr>
            <w:tcW w:w="810" w:type="dxa"/>
          </w:tcPr>
          <w:p w14:paraId="2F69BA2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14EB656E" w14:textId="77777777" w:rsidTr="00C42D9D">
        <w:tc>
          <w:tcPr>
            <w:tcW w:w="1443" w:type="dxa"/>
          </w:tcPr>
          <w:p w14:paraId="69BDD219"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LYM (%)</w:t>
            </w:r>
          </w:p>
        </w:tc>
        <w:tc>
          <w:tcPr>
            <w:tcW w:w="1167" w:type="dxa"/>
          </w:tcPr>
          <w:p w14:paraId="3231EA7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46.20±10.81</w:t>
            </w:r>
          </w:p>
        </w:tc>
        <w:tc>
          <w:tcPr>
            <w:tcW w:w="1530" w:type="dxa"/>
          </w:tcPr>
          <w:p w14:paraId="3FFD9C58"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46.6(24.84-61.86)</w:t>
            </w:r>
          </w:p>
        </w:tc>
        <w:tc>
          <w:tcPr>
            <w:tcW w:w="1260" w:type="dxa"/>
          </w:tcPr>
          <w:p w14:paraId="7F63BB2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47.19±10.11</w:t>
            </w:r>
          </w:p>
        </w:tc>
        <w:tc>
          <w:tcPr>
            <w:tcW w:w="1530" w:type="dxa"/>
          </w:tcPr>
          <w:p w14:paraId="300EAEB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47.8(24.43-63)</w:t>
            </w:r>
          </w:p>
        </w:tc>
        <w:tc>
          <w:tcPr>
            <w:tcW w:w="1260" w:type="dxa"/>
          </w:tcPr>
          <w:p w14:paraId="3E507DB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46.48±10.45</w:t>
            </w:r>
          </w:p>
        </w:tc>
        <w:tc>
          <w:tcPr>
            <w:tcW w:w="1530" w:type="dxa"/>
          </w:tcPr>
          <w:p w14:paraId="30F39EE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47.8(3.5-61.54)</w:t>
            </w:r>
          </w:p>
        </w:tc>
        <w:tc>
          <w:tcPr>
            <w:tcW w:w="1170" w:type="dxa"/>
          </w:tcPr>
          <w:p w14:paraId="0D242AC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47.86±9.59</w:t>
            </w:r>
          </w:p>
        </w:tc>
        <w:tc>
          <w:tcPr>
            <w:tcW w:w="1620" w:type="dxa"/>
          </w:tcPr>
          <w:p w14:paraId="3F8A2834"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48.5(31.4-61.3)</w:t>
            </w:r>
          </w:p>
        </w:tc>
        <w:tc>
          <w:tcPr>
            <w:tcW w:w="900" w:type="dxa"/>
          </w:tcPr>
          <w:p w14:paraId="32351BCC"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1.012</w:t>
            </w:r>
          </w:p>
        </w:tc>
        <w:tc>
          <w:tcPr>
            <w:tcW w:w="720" w:type="dxa"/>
          </w:tcPr>
          <w:p w14:paraId="3A7830D5"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0.386</w:t>
            </w:r>
          </w:p>
        </w:tc>
        <w:tc>
          <w:tcPr>
            <w:tcW w:w="810" w:type="dxa"/>
          </w:tcPr>
          <w:p w14:paraId="2FF63F6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07C35089" w14:textId="77777777" w:rsidTr="00C42D9D">
        <w:tc>
          <w:tcPr>
            <w:tcW w:w="1443" w:type="dxa"/>
          </w:tcPr>
          <w:p w14:paraId="259EEEFA"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MXD (%)</w:t>
            </w:r>
          </w:p>
        </w:tc>
        <w:tc>
          <w:tcPr>
            <w:tcW w:w="1167" w:type="dxa"/>
          </w:tcPr>
          <w:p w14:paraId="5D42A14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10.79±4.42</w:t>
            </w:r>
          </w:p>
        </w:tc>
        <w:tc>
          <w:tcPr>
            <w:tcW w:w="1530" w:type="dxa"/>
          </w:tcPr>
          <w:p w14:paraId="6031B39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9.7(4.94-19.88)</w:t>
            </w:r>
          </w:p>
        </w:tc>
        <w:tc>
          <w:tcPr>
            <w:tcW w:w="1260" w:type="dxa"/>
          </w:tcPr>
          <w:p w14:paraId="6DC3E51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11.27±4.66</w:t>
            </w:r>
          </w:p>
        </w:tc>
        <w:tc>
          <w:tcPr>
            <w:tcW w:w="1530" w:type="dxa"/>
          </w:tcPr>
          <w:p w14:paraId="0F39CFB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10.5(4.8-19.7)</w:t>
            </w:r>
          </w:p>
        </w:tc>
        <w:tc>
          <w:tcPr>
            <w:tcW w:w="1260" w:type="dxa"/>
          </w:tcPr>
          <w:p w14:paraId="37E2B09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11.30±6.72</w:t>
            </w:r>
          </w:p>
        </w:tc>
        <w:tc>
          <w:tcPr>
            <w:tcW w:w="1530" w:type="dxa"/>
          </w:tcPr>
          <w:p w14:paraId="0E9E7106"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10.2(3.5-21.46)</w:t>
            </w:r>
          </w:p>
        </w:tc>
        <w:tc>
          <w:tcPr>
            <w:tcW w:w="1170" w:type="dxa"/>
          </w:tcPr>
          <w:p w14:paraId="6F629B9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11.54±10.41</w:t>
            </w:r>
          </w:p>
        </w:tc>
        <w:tc>
          <w:tcPr>
            <w:tcW w:w="1620" w:type="dxa"/>
          </w:tcPr>
          <w:p w14:paraId="34F6DFD8"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9.7(4.4-20.1)</w:t>
            </w:r>
          </w:p>
        </w:tc>
        <w:tc>
          <w:tcPr>
            <w:tcW w:w="900" w:type="dxa"/>
          </w:tcPr>
          <w:p w14:paraId="7DF6371C"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0.786</w:t>
            </w:r>
          </w:p>
        </w:tc>
        <w:tc>
          <w:tcPr>
            <w:tcW w:w="720" w:type="dxa"/>
          </w:tcPr>
          <w:p w14:paraId="69AD1E9C"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0.501</w:t>
            </w:r>
          </w:p>
        </w:tc>
        <w:tc>
          <w:tcPr>
            <w:tcW w:w="810" w:type="dxa"/>
          </w:tcPr>
          <w:p w14:paraId="317C472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58962F48" w14:textId="77777777" w:rsidTr="00C42D9D">
        <w:tc>
          <w:tcPr>
            <w:tcW w:w="1443" w:type="dxa"/>
          </w:tcPr>
          <w:p w14:paraId="6AF53A4F"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NEUT (%)</w:t>
            </w:r>
          </w:p>
        </w:tc>
        <w:tc>
          <w:tcPr>
            <w:tcW w:w="1167" w:type="dxa"/>
          </w:tcPr>
          <w:p w14:paraId="5CCADEC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38.41±22.44</w:t>
            </w:r>
          </w:p>
        </w:tc>
        <w:tc>
          <w:tcPr>
            <w:tcW w:w="1530" w:type="dxa"/>
          </w:tcPr>
          <w:p w14:paraId="6DD1A90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42.1(-37.38-63.66)</w:t>
            </w:r>
          </w:p>
        </w:tc>
        <w:tc>
          <w:tcPr>
            <w:tcW w:w="1260" w:type="dxa"/>
          </w:tcPr>
          <w:p w14:paraId="1F4F1E0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37.23±21.32</w:t>
            </w:r>
          </w:p>
        </w:tc>
        <w:tc>
          <w:tcPr>
            <w:tcW w:w="1530" w:type="dxa"/>
          </w:tcPr>
          <w:p w14:paraId="393EF4E4"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40.8(-36.97-60.1)</w:t>
            </w:r>
          </w:p>
        </w:tc>
        <w:tc>
          <w:tcPr>
            <w:tcW w:w="1260" w:type="dxa"/>
          </w:tcPr>
          <w:p w14:paraId="3F45913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35.58±25.54</w:t>
            </w:r>
          </w:p>
        </w:tc>
        <w:tc>
          <w:tcPr>
            <w:tcW w:w="1530" w:type="dxa"/>
          </w:tcPr>
          <w:p w14:paraId="6AE0C24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40.8(-31.12-61.48)</w:t>
            </w:r>
          </w:p>
        </w:tc>
        <w:tc>
          <w:tcPr>
            <w:tcW w:w="1170" w:type="dxa"/>
          </w:tcPr>
          <w:p w14:paraId="4B89C25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41.91±8.83</w:t>
            </w:r>
          </w:p>
        </w:tc>
        <w:tc>
          <w:tcPr>
            <w:tcW w:w="1620" w:type="dxa"/>
          </w:tcPr>
          <w:p w14:paraId="7EF20F78"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41.2(30.1-58.2)</w:t>
            </w:r>
          </w:p>
        </w:tc>
        <w:tc>
          <w:tcPr>
            <w:tcW w:w="900" w:type="dxa"/>
          </w:tcPr>
          <w:p w14:paraId="27487CCF"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1.574</w:t>
            </w:r>
          </w:p>
        </w:tc>
        <w:tc>
          <w:tcPr>
            <w:tcW w:w="720" w:type="dxa"/>
          </w:tcPr>
          <w:p w14:paraId="22E8E1C0"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0.194</w:t>
            </w:r>
          </w:p>
        </w:tc>
        <w:tc>
          <w:tcPr>
            <w:tcW w:w="810" w:type="dxa"/>
          </w:tcPr>
          <w:p w14:paraId="5B29405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17258E6F" w14:textId="77777777" w:rsidTr="00C42D9D">
        <w:tc>
          <w:tcPr>
            <w:tcW w:w="1443" w:type="dxa"/>
          </w:tcPr>
          <w:p w14:paraId="14A0C9A8"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LYM (x10</w:t>
            </w:r>
            <w:r w:rsidRPr="00C12B24">
              <w:rPr>
                <w:rFonts w:ascii="Times New Roman" w:hAnsi="Times New Roman" w:cs="Times New Roman"/>
                <w:b/>
                <w:sz w:val="19"/>
                <w:szCs w:val="19"/>
                <w:vertAlign w:val="superscript"/>
              </w:rPr>
              <w:t>3</w:t>
            </w:r>
            <w:r w:rsidRPr="00C12B24">
              <w:rPr>
                <w:rFonts w:ascii="Times New Roman" w:hAnsi="Times New Roman" w:cs="Times New Roman"/>
                <w:b/>
                <w:sz w:val="19"/>
                <w:szCs w:val="19"/>
              </w:rPr>
              <w:t>/µl)</w:t>
            </w:r>
          </w:p>
        </w:tc>
        <w:tc>
          <w:tcPr>
            <w:tcW w:w="1167" w:type="dxa"/>
          </w:tcPr>
          <w:p w14:paraId="7764E61A"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2.60±1.34</w:t>
            </w:r>
          </w:p>
        </w:tc>
        <w:tc>
          <w:tcPr>
            <w:tcW w:w="1530" w:type="dxa"/>
          </w:tcPr>
          <w:p w14:paraId="74DC7CD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2.5(1.36-3.9)</w:t>
            </w:r>
          </w:p>
        </w:tc>
        <w:tc>
          <w:tcPr>
            <w:tcW w:w="1260" w:type="dxa"/>
          </w:tcPr>
          <w:p w14:paraId="49AF0938"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2.54±2.59</w:t>
            </w:r>
          </w:p>
        </w:tc>
        <w:tc>
          <w:tcPr>
            <w:tcW w:w="1530" w:type="dxa"/>
          </w:tcPr>
          <w:p w14:paraId="5B018894"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2.8(1.3-3.7)</w:t>
            </w:r>
          </w:p>
        </w:tc>
        <w:tc>
          <w:tcPr>
            <w:tcW w:w="1260" w:type="dxa"/>
          </w:tcPr>
          <w:p w14:paraId="64E16A6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2.36±0.77</w:t>
            </w:r>
          </w:p>
        </w:tc>
        <w:tc>
          <w:tcPr>
            <w:tcW w:w="1530" w:type="dxa"/>
          </w:tcPr>
          <w:p w14:paraId="36BD07E8"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2.3(-31.12-3.6)</w:t>
            </w:r>
          </w:p>
        </w:tc>
        <w:tc>
          <w:tcPr>
            <w:tcW w:w="1170" w:type="dxa"/>
          </w:tcPr>
          <w:p w14:paraId="0CE5121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2.44±0.82</w:t>
            </w:r>
          </w:p>
        </w:tc>
        <w:tc>
          <w:tcPr>
            <w:tcW w:w="1620" w:type="dxa"/>
          </w:tcPr>
          <w:p w14:paraId="4AF4E3A3"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2.3(1.2-3.4)</w:t>
            </w:r>
          </w:p>
        </w:tc>
        <w:tc>
          <w:tcPr>
            <w:tcW w:w="900" w:type="dxa"/>
          </w:tcPr>
          <w:p w14:paraId="2FCDBCC8"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0.764</w:t>
            </w:r>
          </w:p>
        </w:tc>
        <w:tc>
          <w:tcPr>
            <w:tcW w:w="720" w:type="dxa"/>
          </w:tcPr>
          <w:p w14:paraId="02D012F6"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0.514</w:t>
            </w:r>
          </w:p>
        </w:tc>
        <w:tc>
          <w:tcPr>
            <w:tcW w:w="810" w:type="dxa"/>
          </w:tcPr>
          <w:p w14:paraId="037413B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02CB55AA" w14:textId="77777777" w:rsidTr="00C42D9D">
        <w:tc>
          <w:tcPr>
            <w:tcW w:w="1443" w:type="dxa"/>
          </w:tcPr>
          <w:p w14:paraId="16D5E3DA"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MXD (x10</w:t>
            </w:r>
            <w:r w:rsidRPr="00C12B24">
              <w:rPr>
                <w:rFonts w:ascii="Times New Roman" w:hAnsi="Times New Roman" w:cs="Times New Roman"/>
                <w:b/>
                <w:sz w:val="19"/>
                <w:szCs w:val="19"/>
                <w:vertAlign w:val="superscript"/>
              </w:rPr>
              <w:t>3</w:t>
            </w:r>
            <w:r w:rsidRPr="00C12B24">
              <w:rPr>
                <w:rFonts w:ascii="Times New Roman" w:hAnsi="Times New Roman" w:cs="Times New Roman"/>
                <w:b/>
                <w:sz w:val="19"/>
                <w:szCs w:val="19"/>
              </w:rPr>
              <w:t>/µl)</w:t>
            </w:r>
          </w:p>
        </w:tc>
        <w:tc>
          <w:tcPr>
            <w:tcW w:w="1167" w:type="dxa"/>
          </w:tcPr>
          <w:p w14:paraId="2692DAE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0.58±0.27</w:t>
            </w:r>
          </w:p>
        </w:tc>
        <w:tc>
          <w:tcPr>
            <w:tcW w:w="1530" w:type="dxa"/>
          </w:tcPr>
          <w:p w14:paraId="6AE3C02A"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0.5(0.2-1.1)</w:t>
            </w:r>
          </w:p>
        </w:tc>
        <w:tc>
          <w:tcPr>
            <w:tcW w:w="1260" w:type="dxa"/>
          </w:tcPr>
          <w:p w14:paraId="3E500C5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0.61±0.35</w:t>
            </w:r>
          </w:p>
        </w:tc>
        <w:tc>
          <w:tcPr>
            <w:tcW w:w="1530" w:type="dxa"/>
          </w:tcPr>
          <w:p w14:paraId="1FF58E2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0.5(0.2-1.13)</w:t>
            </w:r>
          </w:p>
        </w:tc>
        <w:tc>
          <w:tcPr>
            <w:tcW w:w="1260" w:type="dxa"/>
          </w:tcPr>
          <w:p w14:paraId="2A5BBC13"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0.57±0.32</w:t>
            </w:r>
          </w:p>
        </w:tc>
        <w:tc>
          <w:tcPr>
            <w:tcW w:w="1530" w:type="dxa"/>
          </w:tcPr>
          <w:p w14:paraId="1C4ADE13"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0.5(-31.12-1.1)</w:t>
            </w:r>
          </w:p>
        </w:tc>
        <w:tc>
          <w:tcPr>
            <w:tcW w:w="1170" w:type="dxa"/>
          </w:tcPr>
          <w:p w14:paraId="7F364914"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0.56±0.40</w:t>
            </w:r>
          </w:p>
        </w:tc>
        <w:tc>
          <w:tcPr>
            <w:tcW w:w="1620" w:type="dxa"/>
          </w:tcPr>
          <w:p w14:paraId="609E7DB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0.5(0.2-1.5)</w:t>
            </w:r>
          </w:p>
        </w:tc>
        <w:tc>
          <w:tcPr>
            <w:tcW w:w="900" w:type="dxa"/>
          </w:tcPr>
          <w:p w14:paraId="3B4A0CFB"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1.123</w:t>
            </w:r>
          </w:p>
        </w:tc>
        <w:tc>
          <w:tcPr>
            <w:tcW w:w="720" w:type="dxa"/>
          </w:tcPr>
          <w:p w14:paraId="22E0CCCE"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0.338</w:t>
            </w:r>
          </w:p>
        </w:tc>
        <w:tc>
          <w:tcPr>
            <w:tcW w:w="810" w:type="dxa"/>
          </w:tcPr>
          <w:p w14:paraId="251DC996"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699E8E97" w14:textId="77777777" w:rsidTr="00C42D9D">
        <w:tc>
          <w:tcPr>
            <w:tcW w:w="1443" w:type="dxa"/>
          </w:tcPr>
          <w:p w14:paraId="4DA209E3"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NEUT (x10</w:t>
            </w:r>
            <w:r w:rsidRPr="00C12B24">
              <w:rPr>
                <w:rFonts w:ascii="Times New Roman" w:hAnsi="Times New Roman" w:cs="Times New Roman"/>
                <w:b/>
                <w:sz w:val="19"/>
                <w:szCs w:val="19"/>
                <w:vertAlign w:val="superscript"/>
              </w:rPr>
              <w:t>3</w:t>
            </w:r>
            <w:r w:rsidRPr="00C12B24">
              <w:rPr>
                <w:rFonts w:ascii="Times New Roman" w:hAnsi="Times New Roman" w:cs="Times New Roman"/>
                <w:b/>
                <w:sz w:val="19"/>
                <w:szCs w:val="19"/>
              </w:rPr>
              <w:t>/µl)</w:t>
            </w:r>
          </w:p>
        </w:tc>
        <w:tc>
          <w:tcPr>
            <w:tcW w:w="1167" w:type="dxa"/>
          </w:tcPr>
          <w:p w14:paraId="5C622CF8"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2.40±1.02</w:t>
            </w:r>
          </w:p>
        </w:tc>
        <w:tc>
          <w:tcPr>
            <w:tcW w:w="1530" w:type="dxa"/>
          </w:tcPr>
          <w:p w14:paraId="3D641F54"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2.2(1.1-4)</w:t>
            </w:r>
          </w:p>
        </w:tc>
        <w:tc>
          <w:tcPr>
            <w:tcW w:w="1260" w:type="dxa"/>
          </w:tcPr>
          <w:p w14:paraId="4512AF4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2.30±1.23</w:t>
            </w:r>
          </w:p>
        </w:tc>
        <w:tc>
          <w:tcPr>
            <w:tcW w:w="1530" w:type="dxa"/>
          </w:tcPr>
          <w:p w14:paraId="78DC42B6"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2.1(0.9-4)</w:t>
            </w:r>
          </w:p>
        </w:tc>
        <w:tc>
          <w:tcPr>
            <w:tcW w:w="1260" w:type="dxa"/>
          </w:tcPr>
          <w:p w14:paraId="34F8383A"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2.15±2.74</w:t>
            </w:r>
          </w:p>
        </w:tc>
        <w:tc>
          <w:tcPr>
            <w:tcW w:w="1530" w:type="dxa"/>
          </w:tcPr>
          <w:p w14:paraId="3191E98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2.1(0.3-3.9)</w:t>
            </w:r>
          </w:p>
        </w:tc>
        <w:tc>
          <w:tcPr>
            <w:tcW w:w="1170" w:type="dxa"/>
          </w:tcPr>
          <w:p w14:paraId="45B7CAF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2.13±0.78</w:t>
            </w:r>
          </w:p>
        </w:tc>
        <w:tc>
          <w:tcPr>
            <w:tcW w:w="1620" w:type="dxa"/>
          </w:tcPr>
          <w:p w14:paraId="36F1213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2(1.2-3.8)</w:t>
            </w:r>
          </w:p>
        </w:tc>
        <w:tc>
          <w:tcPr>
            <w:tcW w:w="900" w:type="dxa"/>
          </w:tcPr>
          <w:p w14:paraId="5B9343FE"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1.472</w:t>
            </w:r>
          </w:p>
        </w:tc>
        <w:tc>
          <w:tcPr>
            <w:tcW w:w="720" w:type="dxa"/>
          </w:tcPr>
          <w:p w14:paraId="3BA45665"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0.220</w:t>
            </w:r>
          </w:p>
        </w:tc>
        <w:tc>
          <w:tcPr>
            <w:tcW w:w="810" w:type="dxa"/>
          </w:tcPr>
          <w:p w14:paraId="2A93227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332CACE4" w14:textId="77777777" w:rsidTr="00C42D9D">
        <w:tc>
          <w:tcPr>
            <w:tcW w:w="1443" w:type="dxa"/>
          </w:tcPr>
          <w:p w14:paraId="02D122C2"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PLT (x10</w:t>
            </w:r>
            <w:r w:rsidRPr="00C12B24">
              <w:rPr>
                <w:rFonts w:ascii="Times New Roman" w:hAnsi="Times New Roman" w:cs="Times New Roman"/>
                <w:b/>
                <w:sz w:val="19"/>
                <w:szCs w:val="19"/>
                <w:vertAlign w:val="superscript"/>
              </w:rPr>
              <w:t>3</w:t>
            </w:r>
            <w:r w:rsidRPr="00C12B24">
              <w:rPr>
                <w:rFonts w:ascii="Times New Roman" w:hAnsi="Times New Roman" w:cs="Times New Roman"/>
                <w:b/>
                <w:sz w:val="19"/>
                <w:szCs w:val="19"/>
              </w:rPr>
              <w:t>/µl)</w:t>
            </w:r>
          </w:p>
        </w:tc>
        <w:tc>
          <w:tcPr>
            <w:tcW w:w="1167" w:type="dxa"/>
          </w:tcPr>
          <w:p w14:paraId="2C2F0F2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216.58±71.66</w:t>
            </w:r>
          </w:p>
        </w:tc>
        <w:tc>
          <w:tcPr>
            <w:tcW w:w="1530" w:type="dxa"/>
          </w:tcPr>
          <w:p w14:paraId="2465C24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217(85.4-331)</w:t>
            </w:r>
          </w:p>
        </w:tc>
        <w:tc>
          <w:tcPr>
            <w:tcW w:w="1260" w:type="dxa"/>
          </w:tcPr>
          <w:p w14:paraId="6EDB36F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221.60±79.32</w:t>
            </w:r>
          </w:p>
        </w:tc>
        <w:tc>
          <w:tcPr>
            <w:tcW w:w="1530" w:type="dxa"/>
          </w:tcPr>
          <w:p w14:paraId="6AD7C63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216(86-341)</w:t>
            </w:r>
          </w:p>
        </w:tc>
        <w:tc>
          <w:tcPr>
            <w:tcW w:w="1260" w:type="dxa"/>
          </w:tcPr>
          <w:p w14:paraId="72DD1AC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209.62±73.62</w:t>
            </w:r>
          </w:p>
        </w:tc>
        <w:tc>
          <w:tcPr>
            <w:tcW w:w="1530" w:type="dxa"/>
          </w:tcPr>
          <w:p w14:paraId="27583D0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205(0.3-339.8)</w:t>
            </w:r>
          </w:p>
        </w:tc>
        <w:tc>
          <w:tcPr>
            <w:tcW w:w="1170" w:type="dxa"/>
          </w:tcPr>
          <w:p w14:paraId="7F2AD497" w14:textId="77777777" w:rsidR="00E13FBF" w:rsidRPr="00C12B24" w:rsidRDefault="00E13FBF" w:rsidP="00C42D9D">
            <w:pPr>
              <w:spacing w:line="240" w:lineRule="auto"/>
              <w:rPr>
                <w:rFonts w:ascii="Times New Roman" w:hAnsi="Times New Roman" w:cs="Times New Roman"/>
                <w:bCs/>
                <w:sz w:val="18"/>
                <w:szCs w:val="18"/>
              </w:rPr>
            </w:pPr>
            <w:r w:rsidRPr="00C12B24">
              <w:rPr>
                <w:rFonts w:ascii="Times New Roman" w:hAnsi="Times New Roman" w:cs="Times New Roman"/>
                <w:bCs/>
                <w:sz w:val="18"/>
                <w:szCs w:val="18"/>
              </w:rPr>
              <w:t>198.07±61.42</w:t>
            </w:r>
          </w:p>
        </w:tc>
        <w:tc>
          <w:tcPr>
            <w:tcW w:w="1620" w:type="dxa"/>
          </w:tcPr>
          <w:p w14:paraId="292A9FE4"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186(75-323</w:t>
            </w:r>
          </w:p>
        </w:tc>
        <w:tc>
          <w:tcPr>
            <w:tcW w:w="900" w:type="dxa"/>
          </w:tcPr>
          <w:p w14:paraId="6344AB31"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3.106</w:t>
            </w:r>
          </w:p>
        </w:tc>
        <w:tc>
          <w:tcPr>
            <w:tcW w:w="720" w:type="dxa"/>
          </w:tcPr>
          <w:p w14:paraId="5C686DEF"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0.026</w:t>
            </w:r>
          </w:p>
        </w:tc>
        <w:tc>
          <w:tcPr>
            <w:tcW w:w="810" w:type="dxa"/>
          </w:tcPr>
          <w:p w14:paraId="2D4E62A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Sig.</w:t>
            </w:r>
          </w:p>
        </w:tc>
      </w:tr>
      <w:tr w:rsidR="00E13FBF" w:rsidRPr="00C12B24" w14:paraId="21E97CC9" w14:textId="77777777" w:rsidTr="00C42D9D">
        <w:tc>
          <w:tcPr>
            <w:tcW w:w="1443" w:type="dxa"/>
          </w:tcPr>
          <w:p w14:paraId="53F16E16"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PDW (</w:t>
            </w:r>
            <w:proofErr w:type="spellStart"/>
            <w:r w:rsidRPr="00C12B24">
              <w:rPr>
                <w:rFonts w:ascii="Times New Roman" w:hAnsi="Times New Roman" w:cs="Times New Roman"/>
                <w:b/>
                <w:sz w:val="19"/>
                <w:szCs w:val="19"/>
              </w:rPr>
              <w:t>fL</w:t>
            </w:r>
            <w:proofErr w:type="spellEnd"/>
            <w:r w:rsidRPr="00C12B24">
              <w:rPr>
                <w:rFonts w:ascii="Times New Roman" w:hAnsi="Times New Roman" w:cs="Times New Roman"/>
                <w:b/>
                <w:sz w:val="19"/>
                <w:szCs w:val="19"/>
              </w:rPr>
              <w:t>)</w:t>
            </w:r>
          </w:p>
        </w:tc>
        <w:tc>
          <w:tcPr>
            <w:tcW w:w="1167" w:type="dxa"/>
          </w:tcPr>
          <w:p w14:paraId="701911D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13.76±2.40</w:t>
            </w:r>
          </w:p>
        </w:tc>
        <w:tc>
          <w:tcPr>
            <w:tcW w:w="1530" w:type="dxa"/>
          </w:tcPr>
          <w:p w14:paraId="0CCF3D4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13.4(10.16-18.4)</w:t>
            </w:r>
          </w:p>
        </w:tc>
        <w:tc>
          <w:tcPr>
            <w:tcW w:w="1260" w:type="dxa"/>
          </w:tcPr>
          <w:p w14:paraId="056DA4B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13.60±2.41</w:t>
            </w:r>
          </w:p>
        </w:tc>
        <w:tc>
          <w:tcPr>
            <w:tcW w:w="1530" w:type="dxa"/>
          </w:tcPr>
          <w:p w14:paraId="5A5563A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13.3(10.2-18.2)</w:t>
            </w:r>
          </w:p>
        </w:tc>
        <w:tc>
          <w:tcPr>
            <w:tcW w:w="1260" w:type="dxa"/>
          </w:tcPr>
          <w:p w14:paraId="18DD406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13.70±3.56</w:t>
            </w:r>
          </w:p>
        </w:tc>
        <w:tc>
          <w:tcPr>
            <w:tcW w:w="1530" w:type="dxa"/>
          </w:tcPr>
          <w:p w14:paraId="7AFCB2D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13.3(1.1-18.4)</w:t>
            </w:r>
          </w:p>
        </w:tc>
        <w:tc>
          <w:tcPr>
            <w:tcW w:w="1170" w:type="dxa"/>
          </w:tcPr>
          <w:p w14:paraId="4B65D2D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13.79±2.02</w:t>
            </w:r>
          </w:p>
        </w:tc>
        <w:tc>
          <w:tcPr>
            <w:tcW w:w="1620" w:type="dxa"/>
          </w:tcPr>
          <w:p w14:paraId="1C579D1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13.9(10.1-17.4)</w:t>
            </w:r>
          </w:p>
        </w:tc>
        <w:tc>
          <w:tcPr>
            <w:tcW w:w="900" w:type="dxa"/>
          </w:tcPr>
          <w:p w14:paraId="68323A4B"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0.473</w:t>
            </w:r>
          </w:p>
        </w:tc>
        <w:tc>
          <w:tcPr>
            <w:tcW w:w="720" w:type="dxa"/>
          </w:tcPr>
          <w:p w14:paraId="69F33F43"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0.701</w:t>
            </w:r>
          </w:p>
        </w:tc>
        <w:tc>
          <w:tcPr>
            <w:tcW w:w="810" w:type="dxa"/>
          </w:tcPr>
          <w:p w14:paraId="33CEDC6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6BF24DC0" w14:textId="77777777" w:rsidTr="00C42D9D">
        <w:tc>
          <w:tcPr>
            <w:tcW w:w="1443" w:type="dxa"/>
          </w:tcPr>
          <w:p w14:paraId="1564F50D"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MPV (</w:t>
            </w:r>
            <w:proofErr w:type="spellStart"/>
            <w:r w:rsidRPr="00C12B24">
              <w:rPr>
                <w:rFonts w:ascii="Times New Roman" w:hAnsi="Times New Roman" w:cs="Times New Roman"/>
                <w:b/>
                <w:sz w:val="19"/>
                <w:szCs w:val="19"/>
              </w:rPr>
              <w:t>fL</w:t>
            </w:r>
            <w:proofErr w:type="spellEnd"/>
            <w:r w:rsidRPr="00C12B24">
              <w:rPr>
                <w:rFonts w:ascii="Times New Roman" w:hAnsi="Times New Roman" w:cs="Times New Roman"/>
                <w:b/>
                <w:sz w:val="19"/>
                <w:szCs w:val="19"/>
              </w:rPr>
              <w:t>)</w:t>
            </w:r>
          </w:p>
        </w:tc>
        <w:tc>
          <w:tcPr>
            <w:tcW w:w="1167" w:type="dxa"/>
          </w:tcPr>
          <w:p w14:paraId="5D19B8E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10.98±6.31</w:t>
            </w:r>
          </w:p>
        </w:tc>
        <w:tc>
          <w:tcPr>
            <w:tcW w:w="1530" w:type="dxa"/>
          </w:tcPr>
          <w:p w14:paraId="3ED682A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10.7(89-12.2)</w:t>
            </w:r>
          </w:p>
        </w:tc>
        <w:tc>
          <w:tcPr>
            <w:tcW w:w="1260" w:type="dxa"/>
          </w:tcPr>
          <w:p w14:paraId="4660191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10.56±1.42</w:t>
            </w:r>
          </w:p>
        </w:tc>
        <w:tc>
          <w:tcPr>
            <w:tcW w:w="1530" w:type="dxa"/>
          </w:tcPr>
          <w:p w14:paraId="6FB0477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10.6(8.88-12.1)</w:t>
            </w:r>
          </w:p>
        </w:tc>
        <w:tc>
          <w:tcPr>
            <w:tcW w:w="1260" w:type="dxa"/>
          </w:tcPr>
          <w:p w14:paraId="58B1DF6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10.61±1.00</w:t>
            </w:r>
          </w:p>
        </w:tc>
        <w:tc>
          <w:tcPr>
            <w:tcW w:w="1530" w:type="dxa"/>
          </w:tcPr>
          <w:p w14:paraId="3AD4E13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10.6(9.25-12.14)</w:t>
            </w:r>
          </w:p>
        </w:tc>
        <w:tc>
          <w:tcPr>
            <w:tcW w:w="1170" w:type="dxa"/>
          </w:tcPr>
          <w:p w14:paraId="13D0D08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10.82±0.87</w:t>
            </w:r>
          </w:p>
        </w:tc>
        <w:tc>
          <w:tcPr>
            <w:tcW w:w="1620" w:type="dxa"/>
          </w:tcPr>
          <w:p w14:paraId="4CDD755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10.9(8.9-12)</w:t>
            </w:r>
          </w:p>
        </w:tc>
        <w:tc>
          <w:tcPr>
            <w:tcW w:w="900" w:type="dxa"/>
          </w:tcPr>
          <w:p w14:paraId="66EB1BFD"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1.983</w:t>
            </w:r>
          </w:p>
        </w:tc>
        <w:tc>
          <w:tcPr>
            <w:tcW w:w="720" w:type="dxa"/>
          </w:tcPr>
          <w:p w14:paraId="649D9824"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0.115</w:t>
            </w:r>
          </w:p>
        </w:tc>
        <w:tc>
          <w:tcPr>
            <w:tcW w:w="810" w:type="dxa"/>
          </w:tcPr>
          <w:p w14:paraId="0CE2981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17FE4CA7" w14:textId="77777777" w:rsidTr="00C42D9D">
        <w:tc>
          <w:tcPr>
            <w:tcW w:w="1443" w:type="dxa"/>
          </w:tcPr>
          <w:p w14:paraId="499DA7F3"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P-LCR (%)</w:t>
            </w:r>
          </w:p>
        </w:tc>
        <w:tc>
          <w:tcPr>
            <w:tcW w:w="1167" w:type="dxa"/>
          </w:tcPr>
          <w:p w14:paraId="4040F004"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31.26±18.29</w:t>
            </w:r>
          </w:p>
        </w:tc>
        <w:tc>
          <w:tcPr>
            <w:tcW w:w="1530" w:type="dxa"/>
          </w:tcPr>
          <w:p w14:paraId="1644A20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30(16.96-43.46)</w:t>
            </w:r>
          </w:p>
        </w:tc>
        <w:tc>
          <w:tcPr>
            <w:tcW w:w="1260" w:type="dxa"/>
          </w:tcPr>
          <w:p w14:paraId="6208681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28.98±6.34</w:t>
            </w:r>
          </w:p>
        </w:tc>
        <w:tc>
          <w:tcPr>
            <w:tcW w:w="1530" w:type="dxa"/>
          </w:tcPr>
          <w:p w14:paraId="778F199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28.85(17.18-41.9)</w:t>
            </w:r>
          </w:p>
        </w:tc>
        <w:tc>
          <w:tcPr>
            <w:tcW w:w="1260" w:type="dxa"/>
          </w:tcPr>
          <w:p w14:paraId="47D6B09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29.59±7.16</w:t>
            </w:r>
          </w:p>
        </w:tc>
        <w:tc>
          <w:tcPr>
            <w:tcW w:w="1530" w:type="dxa"/>
          </w:tcPr>
          <w:p w14:paraId="12427EB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29.85(9.2-41.6)</w:t>
            </w:r>
          </w:p>
        </w:tc>
        <w:tc>
          <w:tcPr>
            <w:tcW w:w="1170" w:type="dxa"/>
          </w:tcPr>
          <w:p w14:paraId="1C04A3E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31.12±6.68</w:t>
            </w:r>
          </w:p>
        </w:tc>
        <w:tc>
          <w:tcPr>
            <w:tcW w:w="1620" w:type="dxa"/>
          </w:tcPr>
          <w:p w14:paraId="791091D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31.7(17.8-40.2)</w:t>
            </w:r>
          </w:p>
        </w:tc>
        <w:tc>
          <w:tcPr>
            <w:tcW w:w="900" w:type="dxa"/>
          </w:tcPr>
          <w:p w14:paraId="0BB78C12"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0.672</w:t>
            </w:r>
          </w:p>
        </w:tc>
        <w:tc>
          <w:tcPr>
            <w:tcW w:w="720" w:type="dxa"/>
          </w:tcPr>
          <w:p w14:paraId="1B855367"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0.569</w:t>
            </w:r>
          </w:p>
        </w:tc>
        <w:tc>
          <w:tcPr>
            <w:tcW w:w="810" w:type="dxa"/>
          </w:tcPr>
          <w:p w14:paraId="64DD471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bl>
    <w:p w14:paraId="11CF54B9"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b/>
        </w:rPr>
        <w:t>KEYS</w:t>
      </w:r>
      <w:r w:rsidRPr="00C12B24">
        <w:rPr>
          <w:rFonts w:ascii="Times New Roman" w:hAnsi="Times New Roman" w:cs="Times New Roman"/>
        </w:rPr>
        <w:t>:</w:t>
      </w:r>
    </w:p>
    <w:p w14:paraId="59F1FD92"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Sig.-Significant</w:t>
      </w:r>
      <w:r w:rsidRPr="00C12B24">
        <w:rPr>
          <w:rFonts w:ascii="Times New Roman" w:hAnsi="Times New Roman" w:cs="Times New Roman"/>
        </w:rPr>
        <w:tab/>
      </w:r>
      <w:r w:rsidRPr="00C12B24">
        <w:rPr>
          <w:rFonts w:ascii="Times New Roman" w:hAnsi="Times New Roman" w:cs="Times New Roman"/>
        </w:rPr>
        <w:tab/>
      </w:r>
      <w:r w:rsidRPr="00C12B24">
        <w:rPr>
          <w:rFonts w:ascii="Times New Roman" w:hAnsi="Times New Roman" w:cs="Times New Roman"/>
        </w:rPr>
        <w:tab/>
      </w:r>
      <w:r w:rsidRPr="00C12B24">
        <w:rPr>
          <w:rFonts w:ascii="Times New Roman" w:hAnsi="Times New Roman" w:cs="Times New Roman"/>
        </w:rPr>
        <w:tab/>
      </w:r>
      <w:r w:rsidRPr="00C12B24">
        <w:rPr>
          <w:rFonts w:ascii="Times New Roman" w:hAnsi="Times New Roman" w:cs="Times New Roman"/>
        </w:rPr>
        <w:tab/>
      </w:r>
      <w:r w:rsidRPr="00C12B24">
        <w:rPr>
          <w:rFonts w:ascii="Times New Roman" w:hAnsi="Times New Roman" w:cs="Times New Roman"/>
        </w:rPr>
        <w:tab/>
        <w:t>Not Sig.-Not significant           S.D.- Standard Deviation</w:t>
      </w:r>
      <w:r w:rsidRPr="00C12B24">
        <w:rPr>
          <w:rFonts w:ascii="Times New Roman" w:hAnsi="Times New Roman" w:cs="Times New Roman"/>
        </w:rPr>
        <w:br w:type="page"/>
      </w:r>
    </w:p>
    <w:p w14:paraId="3399A501" w14:textId="77777777" w:rsidR="00E13FBF" w:rsidRPr="00C12B24" w:rsidRDefault="00E13FBF" w:rsidP="00E13FBF">
      <w:pPr>
        <w:spacing w:line="240" w:lineRule="auto"/>
        <w:rPr>
          <w:rFonts w:ascii="Times New Roman" w:hAnsi="Times New Roman" w:cs="Times New Roman"/>
          <w:sz w:val="24"/>
          <w:szCs w:val="24"/>
        </w:rPr>
        <w:sectPr w:rsidR="00E13FBF" w:rsidRPr="00C12B24" w:rsidSect="00E13FBF">
          <w:pgSz w:w="16839" w:h="11907" w:orient="landscape" w:code="9"/>
          <w:pgMar w:top="1440" w:right="1440" w:bottom="1440" w:left="1440" w:header="706" w:footer="706" w:gutter="0"/>
          <w:cols w:space="708"/>
          <w:docGrid w:linePitch="360"/>
        </w:sectPr>
      </w:pPr>
    </w:p>
    <w:p w14:paraId="285BDE79" w14:textId="77777777" w:rsidR="00E13FBF" w:rsidRDefault="00E13FBF" w:rsidP="00E13FBF">
      <w:pPr>
        <w:pStyle w:val="ConcHead"/>
        <w:spacing w:after="0"/>
        <w:jc w:val="both"/>
        <w:rPr>
          <w:rFonts w:ascii="Arial" w:hAnsi="Arial" w:cs="Arial"/>
          <w:caps w:val="0"/>
        </w:rPr>
      </w:pPr>
      <w:r>
        <w:rPr>
          <w:rFonts w:ascii="Arial" w:hAnsi="Arial" w:cs="Arial"/>
        </w:rPr>
        <w:lastRenderedPageBreak/>
        <w:t xml:space="preserve">3.2 </w:t>
      </w:r>
      <w:r>
        <w:rPr>
          <w:rFonts w:ascii="Arial" w:hAnsi="Arial" w:cs="Arial"/>
          <w:caps w:val="0"/>
        </w:rPr>
        <w:t>Discussion</w:t>
      </w:r>
    </w:p>
    <w:p w14:paraId="677289E4" w14:textId="77777777" w:rsidR="00E13FBF" w:rsidRPr="00510A61" w:rsidRDefault="00E13FBF" w:rsidP="00E13FBF">
      <w:pPr>
        <w:pStyle w:val="Body"/>
        <w:rPr>
          <w:rFonts w:ascii="Arial" w:hAnsi="Arial" w:cs="Arial"/>
        </w:rPr>
      </w:pPr>
      <w:r w:rsidRPr="00510A61">
        <w:rPr>
          <w:rFonts w:ascii="Arial" w:hAnsi="Arial" w:cs="Arial"/>
        </w:rPr>
        <w:t>Interpretation of laboratory test results appropriately requires standard reference values and it helps in providing quality services in the healthcare delivery (</w:t>
      </w:r>
      <w:proofErr w:type="spellStart"/>
      <w:r w:rsidRPr="00510A61">
        <w:rPr>
          <w:rFonts w:ascii="Arial" w:hAnsi="Arial" w:cs="Arial"/>
        </w:rPr>
        <w:t>Akinbo</w:t>
      </w:r>
      <w:proofErr w:type="spellEnd"/>
      <w:r w:rsidRPr="00510A61">
        <w:rPr>
          <w:rFonts w:ascii="Arial" w:hAnsi="Arial" w:cs="Arial"/>
        </w:rPr>
        <w:t xml:space="preserve"> et al., 2015). In this study, the mean values of the RBC, HGB and PCV of the male subjects were statistically significantly higher in comparison to their female counterparts. With respect to red cell components, Helman and Rubenstein (1975) and White et al. (1991) reported that the levels in women tend to be significantly lower than those of men. This is in line with the previous reports of </w:t>
      </w:r>
      <w:proofErr w:type="spellStart"/>
      <w:r w:rsidRPr="00510A61">
        <w:rPr>
          <w:rFonts w:ascii="Arial" w:hAnsi="Arial" w:cs="Arial"/>
        </w:rPr>
        <w:t>Akinbo</w:t>
      </w:r>
      <w:proofErr w:type="spellEnd"/>
      <w:r w:rsidRPr="00510A61">
        <w:rPr>
          <w:rFonts w:ascii="Arial" w:hAnsi="Arial" w:cs="Arial"/>
        </w:rPr>
        <w:t xml:space="preserve"> et al. (2015) who observed that significant differences are more obvious among the female groups when compared to their male groups. They reported that the females showed a markedly lower </w:t>
      </w:r>
      <w:proofErr w:type="spellStart"/>
      <w:r w:rsidRPr="00510A61">
        <w:rPr>
          <w:rFonts w:ascii="Arial" w:hAnsi="Arial" w:cs="Arial"/>
        </w:rPr>
        <w:t>haemoglobin</w:t>
      </w:r>
      <w:proofErr w:type="spellEnd"/>
      <w:r w:rsidRPr="00510A61">
        <w:rPr>
          <w:rFonts w:ascii="Arial" w:hAnsi="Arial" w:cs="Arial"/>
        </w:rPr>
        <w:t xml:space="preserve"> concentration (HGB), </w:t>
      </w:r>
      <w:proofErr w:type="spellStart"/>
      <w:r w:rsidRPr="00510A61">
        <w:rPr>
          <w:rFonts w:ascii="Arial" w:hAnsi="Arial" w:cs="Arial"/>
        </w:rPr>
        <w:t>haematocrit</w:t>
      </w:r>
      <w:proofErr w:type="spellEnd"/>
      <w:r w:rsidRPr="00510A61">
        <w:rPr>
          <w:rFonts w:ascii="Arial" w:hAnsi="Arial" w:cs="Arial"/>
        </w:rPr>
        <w:t xml:space="preserve"> values (PCV) and red blood cells (RBCs) than the males which confirmed the role of gender as the cause of variations and this may be due to the variations in hormone types and the effect of </w:t>
      </w:r>
      <w:proofErr w:type="spellStart"/>
      <w:r w:rsidRPr="00510A61">
        <w:rPr>
          <w:rFonts w:ascii="Arial" w:hAnsi="Arial" w:cs="Arial"/>
        </w:rPr>
        <w:t>erythropoetin</w:t>
      </w:r>
      <w:proofErr w:type="spellEnd"/>
      <w:r w:rsidRPr="00510A61">
        <w:rPr>
          <w:rFonts w:ascii="Arial" w:hAnsi="Arial" w:cs="Arial"/>
        </w:rPr>
        <w:t xml:space="preserve"> release in response to regular menstruation (Usman et al., 2007; Miri Dashe et al., 2014). With respect to reference ranges, the RBC, HGB and HCT values obtained in our study are lower in comparison to the earlier reports of Dacie and Lewis (2001), Kratz and Ferraro (2004), </w:t>
      </w:r>
      <w:proofErr w:type="spellStart"/>
      <w:r w:rsidRPr="00510A61">
        <w:rPr>
          <w:rFonts w:ascii="Arial" w:hAnsi="Arial" w:cs="Arial"/>
        </w:rPr>
        <w:t>Kibaya</w:t>
      </w:r>
      <w:proofErr w:type="spellEnd"/>
      <w:r w:rsidRPr="00510A61">
        <w:rPr>
          <w:rFonts w:ascii="Arial" w:hAnsi="Arial" w:cs="Arial"/>
        </w:rPr>
        <w:t xml:space="preserve"> et al. (2008), Miri-Dashe </w:t>
      </w:r>
      <w:proofErr w:type="gramStart"/>
      <w:r w:rsidRPr="00510A61">
        <w:rPr>
          <w:rFonts w:ascii="Arial" w:hAnsi="Arial" w:cs="Arial"/>
        </w:rPr>
        <w:t>et al.(</w:t>
      </w:r>
      <w:proofErr w:type="gramEnd"/>
      <w:r w:rsidRPr="00510A61">
        <w:rPr>
          <w:rFonts w:ascii="Arial" w:hAnsi="Arial" w:cs="Arial"/>
        </w:rPr>
        <w:t xml:space="preserve">2014) and </w:t>
      </w:r>
      <w:proofErr w:type="spellStart"/>
      <w:r w:rsidRPr="00510A61">
        <w:rPr>
          <w:rFonts w:ascii="Arial" w:hAnsi="Arial" w:cs="Arial"/>
        </w:rPr>
        <w:t>Akinbo</w:t>
      </w:r>
      <w:proofErr w:type="spellEnd"/>
      <w:r w:rsidRPr="00510A61">
        <w:rPr>
          <w:rFonts w:ascii="Arial" w:hAnsi="Arial" w:cs="Arial"/>
        </w:rPr>
        <w:t xml:space="preserve"> et al. (2015). The different study groups recruited by these authors could be a possible explanation for the higher values obtained by them. The reason for the lower values we found in our study is not clear but this may be attributed to the category of subjects we recruited. For instance, while we recruited apparently healthy students aged 16-35 years, other authors recruited subjects with wider age ranges for their studies. Other reasons are malaria endemicity, intestinal parasitic infestation, dietary, environmental and genetic factors (Essien et al., 1973).</w:t>
      </w:r>
    </w:p>
    <w:p w14:paraId="3020EA0A" w14:textId="77777777" w:rsidR="00E13FBF" w:rsidRPr="00510A61" w:rsidRDefault="00E13FBF" w:rsidP="00E13FBF">
      <w:pPr>
        <w:pStyle w:val="Body"/>
        <w:rPr>
          <w:rFonts w:ascii="Arial" w:hAnsi="Arial" w:cs="Arial"/>
        </w:rPr>
      </w:pPr>
      <w:r w:rsidRPr="00510A61">
        <w:rPr>
          <w:rFonts w:ascii="Arial" w:hAnsi="Arial" w:cs="Arial"/>
        </w:rPr>
        <w:t xml:space="preserve">With respect to White blood cells parameters (WBC), the WBC total count of both sexes were not statistically significant. Our result is in accord with the previous studies of Miri-Dashe et al. (2014) and </w:t>
      </w:r>
      <w:proofErr w:type="spellStart"/>
      <w:r w:rsidRPr="00510A61">
        <w:rPr>
          <w:rFonts w:ascii="Arial" w:hAnsi="Arial" w:cs="Arial"/>
        </w:rPr>
        <w:t>Akinbo</w:t>
      </w:r>
      <w:proofErr w:type="spellEnd"/>
      <w:r w:rsidRPr="00510A61">
        <w:rPr>
          <w:rFonts w:ascii="Arial" w:hAnsi="Arial" w:cs="Arial"/>
        </w:rPr>
        <w:t xml:space="preserve"> et al. (2015). In relation to the reference ranges, the WBC total and differential counts of the subjects studied were lower in comparison to the studies of earlier authors such as Dacie and Lewis (2001), Kratz and Ferraro (2004) and </w:t>
      </w:r>
      <w:proofErr w:type="spellStart"/>
      <w:r w:rsidRPr="00510A61">
        <w:rPr>
          <w:rFonts w:ascii="Arial" w:hAnsi="Arial" w:cs="Arial"/>
        </w:rPr>
        <w:t>Kibaya</w:t>
      </w:r>
      <w:proofErr w:type="spellEnd"/>
      <w:r w:rsidRPr="00510A61">
        <w:rPr>
          <w:rFonts w:ascii="Arial" w:hAnsi="Arial" w:cs="Arial"/>
        </w:rPr>
        <w:t xml:space="preserve"> et al. (2008). As prior mentioned by Essien et al. (1973), malaria endemicity and other factors may be attributed to this. Furthermore, the age of the subjects we recruited might also have contributed to the lower values we obtained in our study. However, our findings contradicted the reports of </w:t>
      </w:r>
      <w:proofErr w:type="spellStart"/>
      <w:r w:rsidRPr="00510A61">
        <w:rPr>
          <w:rFonts w:ascii="Arial" w:hAnsi="Arial" w:cs="Arial"/>
        </w:rPr>
        <w:t>Olawumi</w:t>
      </w:r>
      <w:proofErr w:type="spellEnd"/>
      <w:r w:rsidRPr="00510A61">
        <w:rPr>
          <w:rFonts w:ascii="Arial" w:hAnsi="Arial" w:cs="Arial"/>
        </w:rPr>
        <w:t xml:space="preserve"> et al. (2015), </w:t>
      </w:r>
      <w:proofErr w:type="spellStart"/>
      <w:r w:rsidRPr="00510A61">
        <w:rPr>
          <w:rFonts w:ascii="Arial" w:hAnsi="Arial" w:cs="Arial"/>
        </w:rPr>
        <w:t>Fondoh</w:t>
      </w:r>
      <w:proofErr w:type="spellEnd"/>
      <w:r w:rsidRPr="00510A61">
        <w:rPr>
          <w:rFonts w:ascii="Arial" w:hAnsi="Arial" w:cs="Arial"/>
        </w:rPr>
        <w:t xml:space="preserve"> et al. (2020) and </w:t>
      </w:r>
      <w:proofErr w:type="spellStart"/>
      <w:r w:rsidRPr="00510A61">
        <w:rPr>
          <w:rFonts w:ascii="Arial" w:hAnsi="Arial" w:cs="Arial"/>
        </w:rPr>
        <w:t>Akinbami</w:t>
      </w:r>
      <w:proofErr w:type="spellEnd"/>
      <w:r w:rsidRPr="00510A61">
        <w:rPr>
          <w:rFonts w:ascii="Arial" w:hAnsi="Arial" w:cs="Arial"/>
        </w:rPr>
        <w:t xml:space="preserve"> et al. (2023) who reported the total WBC of female subjects to be significantly higher compared to males. Bhatia et al. (2014) and Bupp (2015) attributed this to the significant difference in the immune system of men and women associated with the presence of sex hormone receptors on the immune cells. These make women generally more prone to autoimmunity resulting to lower rates of infection and chronic inflammatory disease. Furthermore, hormonal changes in females and the use of oral contraceptives have been reported to elevate leucocyte count in females (England &amp; Bain, 1976; </w:t>
      </w:r>
      <w:proofErr w:type="spellStart"/>
      <w:r w:rsidRPr="00510A61">
        <w:rPr>
          <w:rFonts w:ascii="Arial" w:hAnsi="Arial" w:cs="Arial"/>
        </w:rPr>
        <w:t>Okoroiwu</w:t>
      </w:r>
      <w:proofErr w:type="spellEnd"/>
      <w:r w:rsidRPr="00510A61">
        <w:rPr>
          <w:rFonts w:ascii="Arial" w:hAnsi="Arial" w:cs="Arial"/>
        </w:rPr>
        <w:t xml:space="preserve"> et al., 2021; </w:t>
      </w:r>
      <w:proofErr w:type="spellStart"/>
      <w:r w:rsidRPr="00510A61">
        <w:rPr>
          <w:rFonts w:ascii="Arial" w:hAnsi="Arial" w:cs="Arial"/>
        </w:rPr>
        <w:t>Akinbami</w:t>
      </w:r>
      <w:proofErr w:type="spellEnd"/>
      <w:r w:rsidRPr="00510A61">
        <w:rPr>
          <w:rFonts w:ascii="Arial" w:hAnsi="Arial" w:cs="Arial"/>
        </w:rPr>
        <w:t xml:space="preserve"> et al., 2023). Additionally, adrenalin (epinephrine) injection, emotion and smoking can also cause an increase in the leucocyte count (Lewis, 2006).</w:t>
      </w:r>
    </w:p>
    <w:p w14:paraId="79BF3EEC" w14:textId="77777777" w:rsidR="00E13FBF" w:rsidRDefault="00E13FBF" w:rsidP="00E13FBF">
      <w:pPr>
        <w:pStyle w:val="Body"/>
        <w:spacing w:after="0"/>
        <w:rPr>
          <w:rFonts w:ascii="Arial" w:hAnsi="Arial" w:cs="Arial"/>
        </w:rPr>
      </w:pPr>
      <w:r w:rsidRPr="00510A61">
        <w:rPr>
          <w:rFonts w:ascii="Arial" w:hAnsi="Arial" w:cs="Arial"/>
        </w:rPr>
        <w:t xml:space="preserve">From the viewpoint of platelet parameters, the mean values of PLT was significantly higher in female subjects compared to their male counterparts. This is consistent with the previous reports of </w:t>
      </w:r>
      <w:proofErr w:type="spellStart"/>
      <w:r w:rsidRPr="00510A61">
        <w:rPr>
          <w:rFonts w:ascii="Arial" w:hAnsi="Arial" w:cs="Arial"/>
        </w:rPr>
        <w:t>Lugada</w:t>
      </w:r>
      <w:proofErr w:type="spellEnd"/>
      <w:r w:rsidRPr="00510A61">
        <w:rPr>
          <w:rFonts w:ascii="Arial" w:hAnsi="Arial" w:cs="Arial"/>
        </w:rPr>
        <w:t xml:space="preserve"> et al. </w:t>
      </w:r>
      <w:r w:rsidRPr="00510A61">
        <w:rPr>
          <w:rFonts w:ascii="Arial" w:hAnsi="Arial" w:cs="Arial"/>
          <w:lang w:val="fi-FI"/>
        </w:rPr>
        <w:t xml:space="preserve">(2004), Koram et al. (2007), Kibaya et al. (2008), Mine et al. (2011), Miri-Dashe et al. </w:t>
      </w:r>
      <w:r w:rsidRPr="00510A61">
        <w:rPr>
          <w:rFonts w:ascii="Arial" w:hAnsi="Arial" w:cs="Arial"/>
        </w:rPr>
        <w:t xml:space="preserve">(2014), </w:t>
      </w:r>
      <w:proofErr w:type="spellStart"/>
      <w:r w:rsidRPr="00510A61">
        <w:rPr>
          <w:rFonts w:ascii="Arial" w:hAnsi="Arial" w:cs="Arial"/>
        </w:rPr>
        <w:t>Olawumi</w:t>
      </w:r>
      <w:proofErr w:type="spellEnd"/>
      <w:r w:rsidRPr="00510A61">
        <w:rPr>
          <w:rFonts w:ascii="Arial" w:hAnsi="Arial" w:cs="Arial"/>
        </w:rPr>
        <w:t xml:space="preserve"> et al. (2015), </w:t>
      </w:r>
      <w:proofErr w:type="spellStart"/>
      <w:r w:rsidRPr="00510A61">
        <w:rPr>
          <w:rFonts w:ascii="Arial" w:hAnsi="Arial" w:cs="Arial"/>
        </w:rPr>
        <w:t>Fondoh</w:t>
      </w:r>
      <w:proofErr w:type="spellEnd"/>
      <w:r w:rsidRPr="00510A61">
        <w:rPr>
          <w:rFonts w:ascii="Arial" w:hAnsi="Arial" w:cs="Arial"/>
        </w:rPr>
        <w:t xml:space="preserve"> et al. (2020) and </w:t>
      </w:r>
      <w:proofErr w:type="spellStart"/>
      <w:r w:rsidRPr="00510A61">
        <w:rPr>
          <w:rFonts w:ascii="Arial" w:hAnsi="Arial" w:cs="Arial"/>
        </w:rPr>
        <w:t>Akinbami</w:t>
      </w:r>
      <w:proofErr w:type="spellEnd"/>
      <w:r w:rsidRPr="00510A61">
        <w:rPr>
          <w:rFonts w:ascii="Arial" w:hAnsi="Arial" w:cs="Arial"/>
        </w:rPr>
        <w:t xml:space="preserve"> et al. (2023) in Uganda, Mampong (Ghana), Kericho (Kenya), Southern part of Botswana, Jos (Nigeria), Ilorin (North Central Nigeria, Bamenda (Cameroon) and Lagos (Nigeria) respectively. Miri-Dashe et al. (2014) reasoned that this increase may be due to the effect of erythropoietin release in response to regular menstruation cross-stimulating </w:t>
      </w:r>
      <w:proofErr w:type="spellStart"/>
      <w:r w:rsidRPr="00510A61">
        <w:rPr>
          <w:rFonts w:ascii="Arial" w:hAnsi="Arial" w:cs="Arial"/>
        </w:rPr>
        <w:t>megakaryopoiesis</w:t>
      </w:r>
      <w:proofErr w:type="spellEnd"/>
      <w:r w:rsidRPr="00510A61">
        <w:rPr>
          <w:rFonts w:ascii="Arial" w:hAnsi="Arial" w:cs="Arial"/>
        </w:rPr>
        <w:t xml:space="preserve">. The significant differences observed in the platelet counts could also be attributed to the variations in sex, age, race/ethnicity, genetic factors, and/or biological factors such as geographical, seasonal, and lipid variations (Bain, 1996; Buckley et al., 2000; Peng et al., 2004; Hartmann et al., 2005; Segal &amp; Moliterno, 2006).  Furthermore, Stevens and Alexander (1977) stated that in women, the platelet count has been reported to be about 20% higher than in men. On the other hand, our results disagreed with the findings of </w:t>
      </w:r>
      <w:proofErr w:type="spellStart"/>
      <w:r w:rsidRPr="00510A61">
        <w:rPr>
          <w:rFonts w:ascii="Arial" w:hAnsi="Arial" w:cs="Arial"/>
        </w:rPr>
        <w:t>Akinbo</w:t>
      </w:r>
      <w:proofErr w:type="spellEnd"/>
      <w:r w:rsidRPr="00510A61">
        <w:rPr>
          <w:rFonts w:ascii="Arial" w:hAnsi="Arial" w:cs="Arial"/>
        </w:rPr>
        <w:t xml:space="preserve"> et al. (2015) who found no sex difference in the subjects they studied in Owo, Ondo State, Nigeria. The reason for this is not clear but according to Gilles (1981) and Usman et al. (2007), the reasons might be due to different geographical areas, climate, dietary habits and environmental factors or genetic variations. Based on reference range, the PLT value was lower in the study area compared to the reports of other authors such as Dacie and Lewis (2001), Kratz and Ferraro (2004), </w:t>
      </w:r>
      <w:proofErr w:type="spellStart"/>
      <w:r w:rsidRPr="00510A61">
        <w:rPr>
          <w:rFonts w:ascii="Arial" w:hAnsi="Arial" w:cs="Arial"/>
        </w:rPr>
        <w:t>Kibaya</w:t>
      </w:r>
      <w:proofErr w:type="spellEnd"/>
      <w:r w:rsidRPr="00510A61">
        <w:rPr>
          <w:rFonts w:ascii="Arial" w:hAnsi="Arial" w:cs="Arial"/>
        </w:rPr>
        <w:t xml:space="preserve"> et al. (2008), Miri-Dashe et al. (2014) and </w:t>
      </w:r>
      <w:proofErr w:type="spellStart"/>
      <w:r w:rsidRPr="00510A61">
        <w:rPr>
          <w:rFonts w:ascii="Arial" w:hAnsi="Arial" w:cs="Arial"/>
        </w:rPr>
        <w:t>Akinbo</w:t>
      </w:r>
      <w:proofErr w:type="spellEnd"/>
      <w:r w:rsidRPr="00510A61">
        <w:rPr>
          <w:rFonts w:ascii="Arial" w:hAnsi="Arial" w:cs="Arial"/>
        </w:rPr>
        <w:t xml:space="preserve"> et al. (2015). The lower values obtained in our study can be attributed the various factors aforementioned by Essien et al. (1973) as well as the age category (16-35 years) we recruited for this study. Higher values could be attributed to genetic factors compounded by the increased consumption of platelets by plasmodium spp. in malaria-endemic areas (</w:t>
      </w:r>
      <w:proofErr w:type="spellStart"/>
      <w:r w:rsidRPr="00510A61">
        <w:rPr>
          <w:rFonts w:ascii="Arial" w:hAnsi="Arial" w:cs="Arial"/>
        </w:rPr>
        <w:t>Hoffbrand</w:t>
      </w:r>
      <w:proofErr w:type="spellEnd"/>
      <w:r w:rsidRPr="00510A61">
        <w:rPr>
          <w:rFonts w:ascii="Arial" w:hAnsi="Arial" w:cs="Arial"/>
        </w:rPr>
        <w:t xml:space="preserve"> et al., 2006; </w:t>
      </w:r>
      <w:proofErr w:type="spellStart"/>
      <w:r w:rsidRPr="00510A61">
        <w:rPr>
          <w:rFonts w:ascii="Arial" w:hAnsi="Arial" w:cs="Arial"/>
        </w:rPr>
        <w:t>Asare-Ntow</w:t>
      </w:r>
      <w:proofErr w:type="spellEnd"/>
      <w:r w:rsidRPr="00510A61">
        <w:rPr>
          <w:rFonts w:ascii="Arial" w:hAnsi="Arial" w:cs="Arial"/>
        </w:rPr>
        <w:t xml:space="preserve"> et al., 2017).</w:t>
      </w:r>
    </w:p>
    <w:p w14:paraId="38DDD3E7" w14:textId="77777777" w:rsidR="00E13FBF" w:rsidRPr="00FB3A86" w:rsidRDefault="00E13FBF" w:rsidP="00E13FBF">
      <w:pPr>
        <w:pStyle w:val="Body"/>
        <w:spacing w:after="0"/>
        <w:rPr>
          <w:rFonts w:ascii="Arial" w:hAnsi="Arial" w:cs="Arial"/>
        </w:rPr>
      </w:pPr>
    </w:p>
    <w:p w14:paraId="31171B9C" w14:textId="77777777" w:rsidR="00E13FBF" w:rsidRDefault="00E13FBF" w:rsidP="00E13FB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E8B0F94" w14:textId="77777777" w:rsidR="00E13FBF" w:rsidRPr="00FB3A86" w:rsidRDefault="00E13FBF" w:rsidP="00E13FBF">
      <w:pPr>
        <w:pStyle w:val="ConcHead"/>
        <w:spacing w:after="0"/>
        <w:jc w:val="both"/>
        <w:rPr>
          <w:rFonts w:ascii="Arial" w:hAnsi="Arial" w:cs="Arial"/>
        </w:rPr>
      </w:pPr>
    </w:p>
    <w:p w14:paraId="17E18DCA" w14:textId="77777777" w:rsidR="00E13FBF" w:rsidRDefault="00E13FBF" w:rsidP="00E13FBF">
      <w:pPr>
        <w:pStyle w:val="Body"/>
        <w:spacing w:after="0"/>
        <w:rPr>
          <w:rFonts w:ascii="Arial" w:hAnsi="Arial" w:cs="Arial"/>
        </w:rPr>
      </w:pPr>
      <w:r w:rsidRPr="00510A61">
        <w:rPr>
          <w:rFonts w:ascii="Arial" w:hAnsi="Arial" w:cs="Arial"/>
        </w:rPr>
        <w:t xml:space="preserve">In conclusion, the </w:t>
      </w:r>
      <w:proofErr w:type="spellStart"/>
      <w:r w:rsidRPr="00510A61">
        <w:rPr>
          <w:rFonts w:ascii="Arial" w:hAnsi="Arial" w:cs="Arial"/>
        </w:rPr>
        <w:t>haematologic</w:t>
      </w:r>
      <w:proofErr w:type="spellEnd"/>
      <w:r w:rsidRPr="00510A61">
        <w:rPr>
          <w:rFonts w:ascii="Arial" w:hAnsi="Arial" w:cs="Arial"/>
        </w:rPr>
        <w:t xml:space="preserve"> reference values obtained in the study area were lower compared to reference intervals elsewhere. Furthermore, some </w:t>
      </w:r>
      <w:proofErr w:type="spellStart"/>
      <w:r w:rsidRPr="00510A61">
        <w:rPr>
          <w:rFonts w:ascii="Arial" w:hAnsi="Arial" w:cs="Arial"/>
        </w:rPr>
        <w:t>haematological</w:t>
      </w:r>
      <w:proofErr w:type="spellEnd"/>
      <w:r w:rsidRPr="00510A61">
        <w:rPr>
          <w:rFonts w:ascii="Arial" w:hAnsi="Arial" w:cs="Arial"/>
        </w:rPr>
        <w:t xml:space="preserve"> parameters were affected by both sex and age while the remainder were not affected. The importance of this study lies in the fact that it has established the normal reference values of some </w:t>
      </w:r>
      <w:proofErr w:type="spellStart"/>
      <w:r w:rsidRPr="00510A61">
        <w:rPr>
          <w:rFonts w:ascii="Arial" w:hAnsi="Arial" w:cs="Arial"/>
        </w:rPr>
        <w:t>haematological</w:t>
      </w:r>
      <w:proofErr w:type="spellEnd"/>
      <w:r w:rsidRPr="00510A61">
        <w:rPr>
          <w:rFonts w:ascii="Arial" w:hAnsi="Arial" w:cs="Arial"/>
        </w:rPr>
        <w:t xml:space="preserve"> parameters for undergraduate students aged 16-35 years which is intended to serve as a standard for the interpretation of results in the study area.</w:t>
      </w:r>
    </w:p>
    <w:p w14:paraId="43093CE0" w14:textId="77777777" w:rsidR="00E13FBF" w:rsidRDefault="00E13FBF" w:rsidP="00E13FBF">
      <w:pPr>
        <w:pStyle w:val="AcknHead"/>
        <w:spacing w:after="0"/>
        <w:jc w:val="both"/>
        <w:rPr>
          <w:rFonts w:ascii="Arial" w:hAnsi="Arial" w:cs="Arial"/>
        </w:rPr>
      </w:pPr>
    </w:p>
    <w:p w14:paraId="51971A66" w14:textId="77777777" w:rsidR="00E13FBF" w:rsidRDefault="00E13FBF" w:rsidP="00E13FBF">
      <w:pPr>
        <w:pStyle w:val="ReferHead"/>
        <w:spacing w:after="0"/>
        <w:jc w:val="both"/>
        <w:rPr>
          <w:rFonts w:ascii="Arial" w:hAnsi="Arial" w:cs="Arial"/>
          <w:b w:val="0"/>
          <w:caps w:val="0"/>
          <w:sz w:val="20"/>
        </w:rPr>
      </w:pPr>
    </w:p>
    <w:p w14:paraId="2CDC8AA1" w14:textId="77777777" w:rsidR="00E13FBF" w:rsidRDefault="00E13FBF" w:rsidP="00E13FBF">
      <w:pPr>
        <w:pStyle w:val="ReferHead"/>
        <w:spacing w:after="0"/>
        <w:jc w:val="both"/>
        <w:rPr>
          <w:rFonts w:ascii="Arial" w:hAnsi="Arial" w:cs="Arial"/>
          <w:b w:val="0"/>
          <w:caps w:val="0"/>
          <w:sz w:val="20"/>
        </w:rPr>
      </w:pPr>
    </w:p>
    <w:p w14:paraId="23BF1895" w14:textId="77777777" w:rsidR="00E13FBF" w:rsidRDefault="00E13FBF" w:rsidP="00E13FBF">
      <w:pPr>
        <w:pStyle w:val="ReferHead"/>
        <w:spacing w:after="0"/>
        <w:jc w:val="both"/>
        <w:rPr>
          <w:rFonts w:ascii="Arial" w:hAnsi="Arial" w:cs="Arial"/>
          <w:bCs/>
        </w:rPr>
      </w:pPr>
      <w:r>
        <w:rPr>
          <w:rFonts w:ascii="Arial" w:hAnsi="Arial" w:cs="Arial"/>
          <w:bCs/>
        </w:rPr>
        <w:t>Ethical approval (where ever applicable)</w:t>
      </w:r>
    </w:p>
    <w:p w14:paraId="751EDAA7" w14:textId="77777777" w:rsidR="00E13FBF" w:rsidRPr="002B685A" w:rsidRDefault="00E13FBF" w:rsidP="00E13FBF">
      <w:pPr>
        <w:pStyle w:val="ReferHead"/>
        <w:spacing w:after="0"/>
        <w:jc w:val="both"/>
        <w:rPr>
          <w:rFonts w:ascii="Arial" w:hAnsi="Arial" w:cs="Arial"/>
          <w:bCs/>
        </w:rPr>
      </w:pPr>
    </w:p>
    <w:p w14:paraId="3BB7204B" w14:textId="77777777" w:rsidR="00E13FBF" w:rsidRDefault="00E13FBF" w:rsidP="00E13FBF">
      <w:pPr>
        <w:pStyle w:val="ReferHead"/>
        <w:spacing w:after="0"/>
        <w:jc w:val="both"/>
        <w:rPr>
          <w:rFonts w:ascii="Arial" w:hAnsi="Arial" w:cs="Arial"/>
          <w:b w:val="0"/>
          <w:caps w:val="0"/>
          <w:sz w:val="20"/>
        </w:rPr>
      </w:pPr>
      <w:r w:rsidRPr="00510A61">
        <w:rPr>
          <w:rFonts w:ascii="Arial" w:hAnsi="Arial" w:cs="Arial"/>
          <w:b w:val="0"/>
          <w:caps w:val="0"/>
          <w:sz w:val="20"/>
        </w:rPr>
        <w:t>Ethical clearance was obtained from the Ambrose Alli University Health Research and Ethics Committee. Informed consent was obtained from each of the participants.</w:t>
      </w:r>
    </w:p>
    <w:p w14:paraId="53E183DD" w14:textId="77777777" w:rsidR="005C6D77" w:rsidRDefault="005C6D77" w:rsidP="00E13FBF">
      <w:pPr>
        <w:pStyle w:val="ReferHead"/>
        <w:spacing w:after="0"/>
        <w:jc w:val="both"/>
        <w:rPr>
          <w:rFonts w:ascii="Arial" w:hAnsi="Arial" w:cs="Arial"/>
          <w:b w:val="0"/>
          <w:caps w:val="0"/>
          <w:sz w:val="20"/>
        </w:rPr>
      </w:pPr>
    </w:p>
    <w:p w14:paraId="30DE4203" w14:textId="77777777" w:rsidR="005C6D77" w:rsidRPr="005C6D77" w:rsidRDefault="005C6D77" w:rsidP="005C6D77">
      <w:pPr>
        <w:spacing w:after="200"/>
        <w:outlineLvl w:val="0"/>
        <w:rPr>
          <w:rFonts w:ascii="Arial" w:eastAsia="Times New Roman" w:hAnsi="Arial" w:cs="Arial"/>
          <w:lang w:val="en-GB" w:eastAsia="en-GB"/>
        </w:rPr>
      </w:pPr>
      <w:r w:rsidRPr="005C6D77">
        <w:rPr>
          <w:rFonts w:ascii="Arial" w:eastAsia="Times New Roman" w:hAnsi="Arial" w:cs="Arial"/>
          <w:b/>
          <w:bCs/>
          <w:lang w:val="en-GB" w:eastAsia="en-GB"/>
        </w:rPr>
        <w:t>COMPETING INTERESTS DISCLAIMER:</w:t>
      </w:r>
    </w:p>
    <w:p w14:paraId="59974069" w14:textId="77777777" w:rsidR="005C6D77" w:rsidRPr="005C6D77" w:rsidRDefault="005C6D77" w:rsidP="005C6D77">
      <w:pPr>
        <w:spacing w:after="200"/>
        <w:jc w:val="left"/>
        <w:rPr>
          <w:rFonts w:ascii="Calibri" w:eastAsia="Times New Roman" w:hAnsi="Calibri" w:cs="Times New Roman"/>
          <w:lang w:val="en-GB" w:eastAsia="en-GB"/>
        </w:rPr>
      </w:pPr>
      <w:r w:rsidRPr="005C6D77">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40B13EB" w14:textId="77777777" w:rsidR="005C6D77" w:rsidRPr="00F469F0" w:rsidRDefault="005C6D77" w:rsidP="00E13FBF">
      <w:pPr>
        <w:pStyle w:val="ReferHead"/>
        <w:spacing w:after="0"/>
        <w:jc w:val="both"/>
        <w:rPr>
          <w:rFonts w:ascii="Arial" w:hAnsi="Arial" w:cs="Arial"/>
          <w:b w:val="0"/>
          <w:caps w:val="0"/>
          <w:sz w:val="20"/>
          <w:u w:val="single"/>
        </w:rPr>
      </w:pPr>
    </w:p>
    <w:p w14:paraId="7B5EBF2D" w14:textId="77777777" w:rsidR="00E13FBF" w:rsidRDefault="00E13FBF" w:rsidP="00E13FBF">
      <w:pPr>
        <w:pStyle w:val="ReferHead"/>
        <w:spacing w:after="0"/>
        <w:jc w:val="both"/>
        <w:rPr>
          <w:rFonts w:ascii="Arial" w:hAnsi="Arial" w:cs="Arial"/>
        </w:rPr>
      </w:pPr>
    </w:p>
    <w:p w14:paraId="7CD90AB2" w14:textId="77777777" w:rsidR="00E13FBF" w:rsidRDefault="00E13FBF" w:rsidP="00E13FBF">
      <w:pPr>
        <w:pStyle w:val="ReferHead"/>
        <w:spacing w:after="0"/>
        <w:jc w:val="both"/>
        <w:rPr>
          <w:rFonts w:ascii="Arial" w:hAnsi="Arial" w:cs="Arial"/>
        </w:rPr>
      </w:pPr>
      <w:r w:rsidRPr="00FB3A86">
        <w:rPr>
          <w:rFonts w:ascii="Arial" w:hAnsi="Arial" w:cs="Arial"/>
        </w:rPr>
        <w:t>References</w:t>
      </w:r>
    </w:p>
    <w:p w14:paraId="2D7C377D" w14:textId="77777777" w:rsidR="00E13FBF" w:rsidRPr="00FB3A86" w:rsidRDefault="00E13FBF" w:rsidP="00E13FBF">
      <w:pPr>
        <w:pStyle w:val="ReferHead"/>
        <w:spacing w:after="0"/>
        <w:jc w:val="both"/>
        <w:rPr>
          <w:rFonts w:ascii="Arial" w:hAnsi="Arial" w:cs="Arial"/>
        </w:rPr>
      </w:pPr>
    </w:p>
    <w:p w14:paraId="116994BF" w14:textId="77777777" w:rsidR="00E13FBF" w:rsidRDefault="00E13FBF" w:rsidP="00E13FBF">
      <w:pPr>
        <w:pStyle w:val="Body"/>
      </w:pPr>
      <w:r>
        <w:t xml:space="preserve">Ahmed, M.H., Ghatge, M.S; &amp; Safo, M.K. (2020). </w:t>
      </w:r>
      <w:proofErr w:type="spellStart"/>
      <w:r>
        <w:t>Haemoglobin</w:t>
      </w:r>
      <w:proofErr w:type="spellEnd"/>
      <w:r>
        <w:t>: Structure, function and allostery. Vertebrate and Invertebrate Respiratory proteins, Lipoproteins. Journal of Body Fluid Proteins,20,345-382.</w:t>
      </w:r>
    </w:p>
    <w:p w14:paraId="1A7C312A" w14:textId="77777777" w:rsidR="00E13FBF" w:rsidRDefault="00E13FBF" w:rsidP="00E13FBF">
      <w:pPr>
        <w:pStyle w:val="Body"/>
      </w:pPr>
      <w:proofErr w:type="spellStart"/>
      <w:r>
        <w:t>Akinbo</w:t>
      </w:r>
      <w:proofErr w:type="spellEnd"/>
      <w:r>
        <w:t xml:space="preserve">, B.D., </w:t>
      </w:r>
      <w:proofErr w:type="spellStart"/>
      <w:r>
        <w:t>Atere</w:t>
      </w:r>
      <w:proofErr w:type="spellEnd"/>
      <w:r>
        <w:t xml:space="preserve">, A.D., </w:t>
      </w:r>
      <w:proofErr w:type="spellStart"/>
      <w:r>
        <w:t>Fatunade</w:t>
      </w:r>
      <w:proofErr w:type="spellEnd"/>
      <w:r>
        <w:t xml:space="preserve">, H.B &amp; </w:t>
      </w:r>
      <w:proofErr w:type="spellStart"/>
      <w:r>
        <w:t>Iyabor</w:t>
      </w:r>
      <w:proofErr w:type="spellEnd"/>
      <w:r>
        <w:t xml:space="preserve">, N.O. (2015). </w:t>
      </w:r>
      <w:proofErr w:type="spellStart"/>
      <w:r>
        <w:t>Haematological</w:t>
      </w:r>
      <w:proofErr w:type="spellEnd"/>
      <w:r>
        <w:t xml:space="preserve"> indices and absolute CD4 counts of apparently healthy population in Ondo State, Nigeria. British Journal of Medicine &amp; Medical Research, 8(8), 717-723.</w:t>
      </w:r>
    </w:p>
    <w:p w14:paraId="2976E091" w14:textId="77777777" w:rsidR="00E13FBF" w:rsidRDefault="00E13FBF" w:rsidP="00E13FBF">
      <w:pPr>
        <w:pStyle w:val="Body"/>
      </w:pPr>
      <w:r>
        <w:t xml:space="preserve">Akinbami, A.A., Wright, K.O., Dada, A.O., Uche, E.J., Dada A.O., </w:t>
      </w:r>
      <w:proofErr w:type="spellStart"/>
      <w:r>
        <w:t>Onwah</w:t>
      </w:r>
      <w:proofErr w:type="spellEnd"/>
      <w:r>
        <w:t>, L.A.&amp; Kareem, A.O. (2023).  Population-based full blood count Reference Intervals in Lagos, Nigeria. Annals of Tropical Pathology, 14(1), 16-22.</w:t>
      </w:r>
    </w:p>
    <w:p w14:paraId="5091D904" w14:textId="77777777" w:rsidR="00E13FBF" w:rsidRDefault="00E13FBF" w:rsidP="00E13FBF">
      <w:pPr>
        <w:pStyle w:val="Body"/>
      </w:pPr>
      <w:proofErr w:type="spellStart"/>
      <w:r>
        <w:t>Asare</w:t>
      </w:r>
      <w:proofErr w:type="spellEnd"/>
      <w:r>
        <w:t xml:space="preserve">- </w:t>
      </w:r>
      <w:proofErr w:type="spellStart"/>
      <w:r>
        <w:t>Ntow</w:t>
      </w:r>
      <w:proofErr w:type="spellEnd"/>
      <w:r>
        <w:t>, K., Kuma, G. &amp; Adjei, R. (2018). Analysis of malaria diagnosis and treatment data amongst pregnant women after the implementation of Test-Treat-Track policy, Brong Ahafo Region-2017. International Journal of Infectious Diseases, 73, 171-172.</w:t>
      </w:r>
    </w:p>
    <w:p w14:paraId="063F4D17" w14:textId="77777777" w:rsidR="00E13FBF" w:rsidRDefault="00E13FBF" w:rsidP="00E13FBF">
      <w:pPr>
        <w:pStyle w:val="Body"/>
      </w:pPr>
      <w:r>
        <w:t>Bain, B.J. (1996). Ethnic and sex differences in the total and differential white cell count and platelet count. Journal of Clinical Pathology, 49, 664-666.</w:t>
      </w:r>
    </w:p>
    <w:p w14:paraId="457D2EA4" w14:textId="77777777" w:rsidR="00E13FBF" w:rsidRDefault="00E13FBF" w:rsidP="00E13FBF">
      <w:pPr>
        <w:pStyle w:val="Body"/>
      </w:pPr>
      <w:r>
        <w:t>Bhatia, A., Sekhon, H.K. &amp; Kaur, G. (2014). Sex hormones and immune dimorphism. Science World Journal, 2014, 1-9.</w:t>
      </w:r>
    </w:p>
    <w:p w14:paraId="6E7327C3" w14:textId="77777777" w:rsidR="00E13FBF" w:rsidRDefault="00E13FBF" w:rsidP="00E13FBF">
      <w:pPr>
        <w:pStyle w:val="Body"/>
      </w:pPr>
      <w:r>
        <w:t xml:space="preserve">Buckley, M.F., James, J.W., Brown, D., Whyte, G.S., Dean, M.G., Chesterman, C.N. &amp; Donald, J.A. (2000). A novel approach to the assessment of variations in the human platelet count. Thrombosis &amp; </w:t>
      </w:r>
      <w:proofErr w:type="spellStart"/>
      <w:r>
        <w:t>Haemostasis</w:t>
      </w:r>
      <w:proofErr w:type="spellEnd"/>
      <w:r>
        <w:t>, 3(3), 480-484.</w:t>
      </w:r>
    </w:p>
    <w:p w14:paraId="52C94A0B" w14:textId="77777777" w:rsidR="00E13FBF" w:rsidRDefault="00E13FBF" w:rsidP="00E13FBF">
      <w:pPr>
        <w:pStyle w:val="Body"/>
      </w:pPr>
      <w:r>
        <w:t>Bupp, M.R.G. (2015). Sex, the aging immune system, and chronic disease. Cell Immunology, 294(2), 102-110.</w:t>
      </w:r>
    </w:p>
    <w:p w14:paraId="0F2A588C" w14:textId="77777777" w:rsidR="00E13FBF" w:rsidRDefault="00E13FBF" w:rsidP="00E13FBF">
      <w:pPr>
        <w:pStyle w:val="Body"/>
      </w:pPr>
      <w:r>
        <w:lastRenderedPageBreak/>
        <w:t>Clinical and Laboratory Standards Institute (CLSI) (2010). Defining, establishing, and verifying Reference Intervals in the Clinical Laboratory; Approved Guideline 3rd edition. Available from: https://elsi.org/media/1421/ep28a3c-sample-pot.accessed 27 January 2021.</w:t>
      </w:r>
    </w:p>
    <w:p w14:paraId="6693B073" w14:textId="77777777" w:rsidR="00E13FBF" w:rsidRDefault="00E13FBF" w:rsidP="00E13FBF">
      <w:pPr>
        <w:pStyle w:val="Body"/>
      </w:pPr>
      <w:r>
        <w:t xml:space="preserve">Dacie, J.V. &amp; Lewis, S.M. (2001). Practical </w:t>
      </w:r>
      <w:proofErr w:type="spellStart"/>
      <w:r>
        <w:t>Haematology</w:t>
      </w:r>
      <w:proofErr w:type="spellEnd"/>
      <w:r>
        <w:t xml:space="preserve"> 7th ed. London. Churchill Livingstone.</w:t>
      </w:r>
    </w:p>
    <w:p w14:paraId="4AE51174" w14:textId="77777777" w:rsidR="00E13FBF" w:rsidRDefault="00E13FBF" w:rsidP="00E13FBF">
      <w:pPr>
        <w:pStyle w:val="Body"/>
      </w:pPr>
      <w:proofErr w:type="spellStart"/>
      <w:proofErr w:type="gramStart"/>
      <w:r>
        <w:t>Daly,C.H</w:t>
      </w:r>
      <w:proofErr w:type="spellEnd"/>
      <w:r>
        <w:t>.</w:t>
      </w:r>
      <w:proofErr w:type="gramEnd"/>
      <w:r>
        <w:t>, Higgins, V., Adeli, K., Grey, V.L. &amp; Hamid, J.S. (2017). Reference interval estimation: methodological comparison using extensive simulations and empirical data. Clinical Biochemistry, 50(18), 1145-1158.</w:t>
      </w:r>
    </w:p>
    <w:p w14:paraId="50DB7BA3" w14:textId="77777777" w:rsidR="00E13FBF" w:rsidRDefault="00E13FBF" w:rsidP="00E13FBF">
      <w:pPr>
        <w:pStyle w:val="Body"/>
      </w:pPr>
      <w:r>
        <w:t>Eller, L.A., Eller, M.A., Ouma, B. et al. (2008). Reference intervals in healthy adult Ugandans blood donors and their impact on conducting international vaccine trials. PLOS ONE, 3: e3919.</w:t>
      </w:r>
    </w:p>
    <w:p w14:paraId="0F22F6A8" w14:textId="77777777" w:rsidR="00E13FBF" w:rsidRDefault="00E13FBF" w:rsidP="00E13FBF">
      <w:pPr>
        <w:pStyle w:val="Body"/>
      </w:pPr>
      <w:r>
        <w:t xml:space="preserve">England, J.M. &amp; Bain, B.J. (1976). Total and differential leucocyte count. British Journal of </w:t>
      </w:r>
      <w:proofErr w:type="spellStart"/>
      <w:r>
        <w:t>Haematology</w:t>
      </w:r>
      <w:proofErr w:type="spellEnd"/>
      <w:r>
        <w:t>, 33, 1-7.</w:t>
      </w:r>
    </w:p>
    <w:p w14:paraId="4B5D47B9" w14:textId="77777777" w:rsidR="00E13FBF" w:rsidRDefault="00E13FBF" w:rsidP="00E13FBF">
      <w:pPr>
        <w:pStyle w:val="Body"/>
      </w:pPr>
      <w:r>
        <w:t xml:space="preserve">Essien, E.M., Usanga, E.C. &amp; Ayeni, O. (1993). The normal platelet count and platelet factor 3 availability in some Nigeria population groups. Scandinavian Journal of </w:t>
      </w:r>
      <w:proofErr w:type="spellStart"/>
      <w:r>
        <w:t>Haematology</w:t>
      </w:r>
      <w:proofErr w:type="spellEnd"/>
      <w:r>
        <w:t>, 10, 378-383.</w:t>
      </w:r>
    </w:p>
    <w:p w14:paraId="549562FE" w14:textId="77777777" w:rsidR="00E13FBF" w:rsidRDefault="00E13FBF" w:rsidP="00E13FBF">
      <w:pPr>
        <w:pStyle w:val="Body"/>
      </w:pPr>
      <w:r>
        <w:t xml:space="preserve">Ezeilo, G.C. (1972). Normal </w:t>
      </w:r>
      <w:proofErr w:type="spellStart"/>
      <w:r>
        <w:t>haematological</w:t>
      </w:r>
      <w:proofErr w:type="spellEnd"/>
      <w:r>
        <w:t xml:space="preserve"> values in adult Zambians. East Africa Medical Journal, 49, 94-100.</w:t>
      </w:r>
    </w:p>
    <w:p w14:paraId="02037B80" w14:textId="77777777" w:rsidR="00E13FBF" w:rsidRDefault="00E13FBF" w:rsidP="00E13FBF">
      <w:pPr>
        <w:pStyle w:val="Body"/>
      </w:pPr>
      <w:r>
        <w:t xml:space="preserve">Fiseha, T., Alemayehu, E., Mohammed, O., Gedefie, A., Adamu, A., Tamir, Z. &amp; </w:t>
      </w:r>
      <w:proofErr w:type="spellStart"/>
      <w:r>
        <w:t>Gebreweld</w:t>
      </w:r>
      <w:proofErr w:type="spellEnd"/>
      <w:r>
        <w:t xml:space="preserve">, A. (2023). Reference intervals of </w:t>
      </w:r>
      <w:proofErr w:type="spellStart"/>
      <w:r>
        <w:t>Haematology</w:t>
      </w:r>
      <w:proofErr w:type="spellEnd"/>
      <w:r>
        <w:t xml:space="preserve"> Parameters for Apparently Healthy Adults in Northeast Ethiopia. International Journal of General Medicine, 16, 5309-5321</w:t>
      </w:r>
    </w:p>
    <w:p w14:paraId="5AA58D14" w14:textId="77777777" w:rsidR="00E13FBF" w:rsidRDefault="00E13FBF" w:rsidP="00E13FBF">
      <w:pPr>
        <w:pStyle w:val="Body"/>
      </w:pPr>
      <w:proofErr w:type="spellStart"/>
      <w:r>
        <w:t>Fondoh</w:t>
      </w:r>
      <w:proofErr w:type="spellEnd"/>
      <w:r>
        <w:t xml:space="preserve">, V.N., </w:t>
      </w:r>
      <w:proofErr w:type="spellStart"/>
      <w:r>
        <w:t>Fondoh</w:t>
      </w:r>
      <w:proofErr w:type="spellEnd"/>
      <w:r>
        <w:t xml:space="preserve">, R.M., </w:t>
      </w:r>
      <w:proofErr w:type="spellStart"/>
      <w:r>
        <w:t>Awason</w:t>
      </w:r>
      <w:proofErr w:type="spellEnd"/>
      <w:r>
        <w:t xml:space="preserve">, C.N., </w:t>
      </w:r>
      <w:proofErr w:type="spellStart"/>
      <w:r>
        <w:t>Pefoule</w:t>
      </w:r>
      <w:proofErr w:type="spellEnd"/>
      <w:r>
        <w:t xml:space="preserve">, L.E., </w:t>
      </w:r>
      <w:proofErr w:type="spellStart"/>
      <w:r>
        <w:t>Ntungwen</w:t>
      </w:r>
      <w:proofErr w:type="spellEnd"/>
      <w:r>
        <w:t xml:space="preserve">, W.A., Roland, B., Enow-Tanjong, R., </w:t>
      </w:r>
      <w:proofErr w:type="spellStart"/>
      <w:r>
        <w:t>Njukeng</w:t>
      </w:r>
      <w:proofErr w:type="spellEnd"/>
      <w:r>
        <w:t xml:space="preserve">, P., Shang, J., </w:t>
      </w:r>
      <w:proofErr w:type="spellStart"/>
      <w:r>
        <w:t>Egbengu</w:t>
      </w:r>
      <w:proofErr w:type="spellEnd"/>
      <w:r>
        <w:t xml:space="preserve">, E., Marata, T., </w:t>
      </w:r>
      <w:proofErr w:type="spellStart"/>
      <w:r>
        <w:t>Akazong</w:t>
      </w:r>
      <w:proofErr w:type="spellEnd"/>
      <w:r>
        <w:t xml:space="preserve">, E., Leke, R., Ayuk, L.&amp; </w:t>
      </w:r>
      <w:proofErr w:type="spellStart"/>
      <w:r>
        <w:t>Nsame</w:t>
      </w:r>
      <w:proofErr w:type="spellEnd"/>
      <w:r>
        <w:t xml:space="preserve">, D. (2020). </w:t>
      </w:r>
      <w:proofErr w:type="spellStart"/>
      <w:r>
        <w:t>Haematological</w:t>
      </w:r>
      <w:proofErr w:type="spellEnd"/>
      <w:r>
        <w:t xml:space="preserve"> reference intervals for healthy adults in Bamenda, Cameroon. African Journal of Laboratory Medicine, 9(1).</w:t>
      </w:r>
    </w:p>
    <w:p w14:paraId="1C221F39" w14:textId="77777777" w:rsidR="00E13FBF" w:rsidRDefault="00E13FBF" w:rsidP="00E13FBF">
      <w:pPr>
        <w:pStyle w:val="Body"/>
      </w:pPr>
      <w:r>
        <w:t>Francis, A.T., Berry, K., Thomas, E.C., Hill, A.H. &amp; Fu, D. (2019). In vitro quantification of single red blood cell oxygen saturation by Femtosecond transient absorption microscopy. The Journal of Physical Chemistry Letter, 10(12), 3312-3317.</w:t>
      </w:r>
    </w:p>
    <w:p w14:paraId="641487D9" w14:textId="77777777" w:rsidR="00E13FBF" w:rsidRDefault="00E13FBF" w:rsidP="00E13FBF">
      <w:pPr>
        <w:pStyle w:val="Body"/>
      </w:pPr>
      <w:r>
        <w:t xml:space="preserve">Gilles, H.M. (1981). </w:t>
      </w:r>
      <w:proofErr w:type="spellStart"/>
      <w:r>
        <w:t>Haematology</w:t>
      </w:r>
      <w:proofErr w:type="spellEnd"/>
      <w:r>
        <w:t xml:space="preserve"> in Tropical Africa. Clinical </w:t>
      </w:r>
      <w:proofErr w:type="spellStart"/>
      <w:r>
        <w:t>Haematology</w:t>
      </w:r>
      <w:proofErr w:type="spellEnd"/>
      <w:r>
        <w:t>, 10, 697-705.</w:t>
      </w:r>
    </w:p>
    <w:p w14:paraId="02AC8E3D" w14:textId="77777777" w:rsidR="00E13FBF" w:rsidRDefault="00E13FBF" w:rsidP="00E13FBF">
      <w:pPr>
        <w:pStyle w:val="Body"/>
      </w:pPr>
      <w:r>
        <w:t xml:space="preserve">Glenn, A. &amp; Armstrong, C.E. (2019). Physiology of red and white blood cells. </w:t>
      </w:r>
      <w:proofErr w:type="spellStart"/>
      <w:r>
        <w:t>Anaesthesia</w:t>
      </w:r>
      <w:proofErr w:type="spellEnd"/>
      <w:r>
        <w:t xml:space="preserve"> &amp; Intensive Care Medicine, 20(3), 170-174.</w:t>
      </w:r>
    </w:p>
    <w:p w14:paraId="30D97E0C" w14:textId="77777777" w:rsidR="00E13FBF" w:rsidRDefault="00E13FBF" w:rsidP="00E13FBF">
      <w:pPr>
        <w:pStyle w:val="Body"/>
      </w:pPr>
      <w:proofErr w:type="spellStart"/>
      <w:r>
        <w:t>Granthan-</w:t>
      </w:r>
      <w:proofErr w:type="gramStart"/>
      <w:r>
        <w:t>McGregor,S.M</w:t>
      </w:r>
      <w:proofErr w:type="spellEnd"/>
      <w:r>
        <w:t>.</w:t>
      </w:r>
      <w:proofErr w:type="gramEnd"/>
      <w:r>
        <w:t xml:space="preserve">, Desai, P. &amp; Milner, P.F. (1974). </w:t>
      </w:r>
      <w:proofErr w:type="spellStart"/>
      <w:r>
        <w:t>Haematological</w:t>
      </w:r>
      <w:proofErr w:type="spellEnd"/>
      <w:r>
        <w:t xml:space="preserve"> levels in Jamaican infants. Archives of Diseases in Childhood, 49, 525-530.</w:t>
      </w:r>
    </w:p>
    <w:p w14:paraId="22C55B92" w14:textId="77777777" w:rsidR="00E13FBF" w:rsidRDefault="00E13FBF" w:rsidP="00E13FBF">
      <w:pPr>
        <w:pStyle w:val="Body"/>
      </w:pPr>
      <w:r>
        <w:t>Hammarsten, O., Jacobsson, S. &amp; Fu, M. (2010). The red cell distribution width in chronic heart failure: a new independent marker for its diagnosis? European Journal of Heart Failure, 21(12), 213-214.</w:t>
      </w:r>
    </w:p>
    <w:p w14:paraId="0856A5EB" w14:textId="77777777" w:rsidR="00E13FBF" w:rsidRDefault="00E13FBF" w:rsidP="00E13FBF">
      <w:pPr>
        <w:pStyle w:val="Body"/>
      </w:pPr>
      <w:r>
        <w:t xml:space="preserve">Hartmann, S., Krafft, A., Huch, R. &amp; </w:t>
      </w:r>
      <w:proofErr w:type="spellStart"/>
      <w:r>
        <w:t>Breymann</w:t>
      </w:r>
      <w:proofErr w:type="spellEnd"/>
      <w:r>
        <w:t xml:space="preserve">, C. (2005). Effect of attitude on </w:t>
      </w:r>
      <w:proofErr w:type="spellStart"/>
      <w:r>
        <w:t>thrompoietin</w:t>
      </w:r>
      <w:proofErr w:type="spellEnd"/>
      <w:r>
        <w:t xml:space="preserve"> and the platelet count in healthy volunteers. Thrombosis &amp; </w:t>
      </w:r>
      <w:proofErr w:type="spellStart"/>
      <w:r>
        <w:t>Haemostasis</w:t>
      </w:r>
      <w:proofErr w:type="spellEnd"/>
      <w:r>
        <w:t>, 93(1), 115-117.</w:t>
      </w:r>
    </w:p>
    <w:p w14:paraId="7F27CC7C" w14:textId="77777777" w:rsidR="00E13FBF" w:rsidRDefault="00E13FBF" w:rsidP="00E13FBF">
      <w:pPr>
        <w:pStyle w:val="Body"/>
      </w:pPr>
      <w:r>
        <w:t xml:space="preserve">Helman, N. &amp; Rubenstein, L.S. (1975). The effects of age, sex and smoking on </w:t>
      </w:r>
      <w:proofErr w:type="spellStart"/>
      <w:r>
        <w:t>enythrocytes</w:t>
      </w:r>
      <w:proofErr w:type="spellEnd"/>
      <w:r>
        <w:t xml:space="preserve"> and leucocytes. American Journal of Clinical Pathology, 63, 35-44.</w:t>
      </w:r>
    </w:p>
    <w:p w14:paraId="34DCA004" w14:textId="77777777" w:rsidR="00E13FBF" w:rsidRDefault="00E13FBF" w:rsidP="00E13FBF">
      <w:pPr>
        <w:pStyle w:val="Body"/>
      </w:pPr>
      <w:proofErr w:type="spellStart"/>
      <w:r>
        <w:t>Hoffbrand</w:t>
      </w:r>
      <w:proofErr w:type="spellEnd"/>
      <w:r>
        <w:t xml:space="preserve">, A.V., Moss, P.A.H. &amp; Pettit, J.E. (2006). Essential </w:t>
      </w:r>
      <w:proofErr w:type="spellStart"/>
      <w:r>
        <w:t>Haematology</w:t>
      </w:r>
      <w:proofErr w:type="spellEnd"/>
      <w:r>
        <w:t>, vol 5. Malden, Mass: Oxford: Blackwell Publishing. Pp.249.</w:t>
      </w:r>
    </w:p>
    <w:p w14:paraId="0EF393BF" w14:textId="77777777" w:rsidR="00E13FBF" w:rsidRDefault="00E13FBF" w:rsidP="00E13FBF">
      <w:pPr>
        <w:pStyle w:val="Body"/>
      </w:pPr>
      <w:r>
        <w:t xml:space="preserve">Khalid, U., Zeeshan, A.S. &amp; Arif, A.R. (2007). Reference range values of </w:t>
      </w:r>
      <w:proofErr w:type="spellStart"/>
      <w:r>
        <w:t>haematological</w:t>
      </w:r>
      <w:proofErr w:type="spellEnd"/>
      <w:r>
        <w:t xml:space="preserve"> parameters in healthy Pakistanis adults.  Pakistani Journal of Physiology, 3, 19-22.</w:t>
      </w:r>
    </w:p>
    <w:p w14:paraId="3177B525" w14:textId="77777777" w:rsidR="00E13FBF" w:rsidRDefault="00E13FBF" w:rsidP="00E13FBF">
      <w:pPr>
        <w:pStyle w:val="Body"/>
      </w:pPr>
      <w:proofErr w:type="spellStart"/>
      <w:r>
        <w:lastRenderedPageBreak/>
        <w:t>Kibaya</w:t>
      </w:r>
      <w:proofErr w:type="spellEnd"/>
      <w:r>
        <w:t xml:space="preserve">, S.S., </w:t>
      </w:r>
      <w:proofErr w:type="spellStart"/>
      <w:r>
        <w:t>Bantista</w:t>
      </w:r>
      <w:proofErr w:type="spellEnd"/>
      <w:r>
        <w:t xml:space="preserve">, C.T., Sawe, F.K., Shaffer, D.N., Sateren, W.B., Scott, P.T., Michael, N.L., Robb, M.L., Birx, D.L. &amp; De Souza, M.S. (2008). Reference ranges for the clinical laboratory derived from a rural population in Kericho, Kenya. </w:t>
      </w:r>
      <w:proofErr w:type="spellStart"/>
      <w:r>
        <w:t>PLoS</w:t>
      </w:r>
      <w:proofErr w:type="spellEnd"/>
      <w:r>
        <w:t xml:space="preserve"> ONE, 9(5), e3327.</w:t>
      </w:r>
    </w:p>
    <w:p w14:paraId="586D0D1A" w14:textId="77777777" w:rsidR="00E13FBF" w:rsidRDefault="00E13FBF" w:rsidP="00E13FBF">
      <w:pPr>
        <w:pStyle w:val="Body"/>
      </w:pPr>
      <w:r>
        <w:t xml:space="preserve">Koram, K.A., Addae, M.M., Ocran, J.C., Adu-Amankwah, S., Rogers, W.O. &amp; Nkrumah, F.H. (2007). Population based reference intervals for common blood </w:t>
      </w:r>
      <w:proofErr w:type="spellStart"/>
      <w:r>
        <w:t>haematological</w:t>
      </w:r>
      <w:proofErr w:type="spellEnd"/>
      <w:r>
        <w:t xml:space="preserve"> and biochemical parameters in the </w:t>
      </w:r>
      <w:proofErr w:type="spellStart"/>
      <w:r>
        <w:t>Akuapem</w:t>
      </w:r>
      <w:proofErr w:type="spellEnd"/>
      <w:r>
        <w:t xml:space="preserve"> North District. Ghana Medical Journal, 41(4), 160-166.</w:t>
      </w:r>
    </w:p>
    <w:p w14:paraId="6A9C9548" w14:textId="77777777" w:rsidR="00E13FBF" w:rsidRDefault="00E13FBF" w:rsidP="00E13FBF">
      <w:pPr>
        <w:pStyle w:val="Body"/>
      </w:pPr>
      <w:r>
        <w:t>Kratz, A. &amp; Ferraro, M. (2004). Laboratory reference values. New England Journal, 2004, 1548-1563.</w:t>
      </w:r>
    </w:p>
    <w:p w14:paraId="1417C825" w14:textId="77777777" w:rsidR="00E13FBF" w:rsidRDefault="00E13FBF" w:rsidP="00E13FBF">
      <w:pPr>
        <w:pStyle w:val="Body"/>
      </w:pPr>
      <w:r>
        <w:t xml:space="preserve">Lewis, S.M. (2006). Reference ranges and normal </w:t>
      </w:r>
      <w:proofErr w:type="spellStart"/>
      <w:proofErr w:type="gramStart"/>
      <w:r>
        <w:t>values.In</w:t>
      </w:r>
      <w:proofErr w:type="spellEnd"/>
      <w:proofErr w:type="gramEnd"/>
      <w:r>
        <w:t xml:space="preserve">: Lewis, S.M., Bain, B.J. and Bates, I., editors. Dacie and Lewis Practical </w:t>
      </w:r>
      <w:proofErr w:type="spellStart"/>
      <w:r>
        <w:t>Haematology</w:t>
      </w:r>
      <w:proofErr w:type="spellEnd"/>
      <w:r>
        <w:t xml:space="preserve">. 10th ed. </w:t>
      </w:r>
      <w:proofErr w:type="spellStart"/>
      <w:r>
        <w:t>Churhill</w:t>
      </w:r>
      <w:proofErr w:type="spellEnd"/>
      <w:r>
        <w:t xml:space="preserve"> Livingstone, Philadelphia. Pp 11-24. </w:t>
      </w:r>
    </w:p>
    <w:p w14:paraId="6F65F6E0" w14:textId="77777777" w:rsidR="00E13FBF" w:rsidRDefault="00E13FBF" w:rsidP="00E13FBF">
      <w:pPr>
        <w:pStyle w:val="Body"/>
      </w:pPr>
      <w:proofErr w:type="spellStart"/>
      <w:r>
        <w:t>Lugada</w:t>
      </w:r>
      <w:proofErr w:type="spellEnd"/>
      <w:r>
        <w:t xml:space="preserve">, E.S., </w:t>
      </w:r>
      <w:proofErr w:type="spellStart"/>
      <w:r>
        <w:t>Mermin</w:t>
      </w:r>
      <w:proofErr w:type="spellEnd"/>
      <w:r>
        <w:t xml:space="preserve">, J., </w:t>
      </w:r>
      <w:proofErr w:type="spellStart"/>
      <w:r>
        <w:t>Kaharuza</w:t>
      </w:r>
      <w:proofErr w:type="spellEnd"/>
      <w:r>
        <w:t xml:space="preserve">, F., Ulvestad, E., Were, W., Langeland, N., </w:t>
      </w:r>
      <w:proofErr w:type="spellStart"/>
      <w:r>
        <w:t>Asjo</w:t>
      </w:r>
      <w:proofErr w:type="spellEnd"/>
      <w:r>
        <w:t xml:space="preserve">, B., Malamba, S. &amp; Downing, R. (2004). Population-based </w:t>
      </w:r>
      <w:proofErr w:type="spellStart"/>
      <w:r>
        <w:t>Haematologic</w:t>
      </w:r>
      <w:proofErr w:type="spellEnd"/>
      <w:r>
        <w:t xml:space="preserve"> and Immunologic Reference values for a Healthy Ugandan population. Clinical and Diagnostic Laboratory Immunology, 11, 29-34.</w:t>
      </w:r>
    </w:p>
    <w:p w14:paraId="35BCDB7F" w14:textId="77777777" w:rsidR="00E13FBF" w:rsidRDefault="00E13FBF" w:rsidP="00E13FBF">
      <w:pPr>
        <w:pStyle w:val="Body"/>
      </w:pPr>
      <w:proofErr w:type="spellStart"/>
      <w:r>
        <w:t>Malenica</w:t>
      </w:r>
      <w:proofErr w:type="spellEnd"/>
      <w:r>
        <w:t xml:space="preserve"> </w:t>
      </w:r>
      <w:proofErr w:type="spellStart"/>
      <w:r>
        <w:t>Projavorac</w:t>
      </w:r>
      <w:proofErr w:type="spellEnd"/>
      <w:r>
        <w:t xml:space="preserve">, B., Bego, T., </w:t>
      </w:r>
      <w:proofErr w:type="spellStart"/>
      <w:r>
        <w:t>Dujic</w:t>
      </w:r>
      <w:proofErr w:type="spellEnd"/>
      <w:r>
        <w:t xml:space="preserve">, T., Semiz, S., </w:t>
      </w:r>
      <w:proofErr w:type="spellStart"/>
      <w:r>
        <w:t>Skrbo</w:t>
      </w:r>
      <w:proofErr w:type="spellEnd"/>
      <w:r>
        <w:t xml:space="preserve">, S., &amp; </w:t>
      </w:r>
      <w:proofErr w:type="spellStart"/>
      <w:r>
        <w:t>Ccusevic</w:t>
      </w:r>
      <w:proofErr w:type="spellEnd"/>
      <w:r>
        <w:t xml:space="preserve">, A. (2017). Effect of cigarette smoking on </w:t>
      </w:r>
      <w:proofErr w:type="spellStart"/>
      <w:r>
        <w:t>haematological</w:t>
      </w:r>
      <w:proofErr w:type="spellEnd"/>
      <w:r>
        <w:t xml:space="preserve"> parameters in healthy population. Medical Archives, 71(2), 132.  </w:t>
      </w:r>
    </w:p>
    <w:p w14:paraId="293D752C" w14:textId="77777777" w:rsidR="00E13FBF" w:rsidRDefault="00E13FBF" w:rsidP="00E13FBF">
      <w:pPr>
        <w:pStyle w:val="Body"/>
      </w:pPr>
      <w:r>
        <w:t xml:space="preserve">McGann, P.T., Williams, A.M., Ellis, G., McElhinney, K.E., Romano, L., Woodall, J., … </w:t>
      </w:r>
      <w:proofErr w:type="spellStart"/>
      <w:r>
        <w:t>Suchdex</w:t>
      </w:r>
      <w:proofErr w:type="spellEnd"/>
      <w:r>
        <w:t xml:space="preserve">, P.S. (2018). Prevalence of inherent blood disorders and associations with malaria and </w:t>
      </w:r>
      <w:proofErr w:type="spellStart"/>
      <w:r>
        <w:t>anaemia</w:t>
      </w:r>
      <w:proofErr w:type="spellEnd"/>
      <w:r>
        <w:t xml:space="preserve"> in Malawian Children. Blood Advances, 2(21), 3035-3044.</w:t>
      </w:r>
    </w:p>
    <w:p w14:paraId="35C4F140" w14:textId="77777777" w:rsidR="00E13FBF" w:rsidRDefault="00E13FBF" w:rsidP="00E13FBF">
      <w:pPr>
        <w:pStyle w:val="Body"/>
      </w:pPr>
      <w:r>
        <w:t xml:space="preserve">Miri-Dashe, T., </w:t>
      </w:r>
      <w:proofErr w:type="spellStart"/>
      <w:r>
        <w:t>Osawe</w:t>
      </w:r>
      <w:proofErr w:type="spellEnd"/>
      <w:r>
        <w:t xml:space="preserve">, S., </w:t>
      </w:r>
      <w:proofErr w:type="spellStart"/>
      <w:r>
        <w:t>Tokdung</w:t>
      </w:r>
      <w:proofErr w:type="spellEnd"/>
      <w:r>
        <w:t xml:space="preserve">, Daniel, N., </w:t>
      </w:r>
      <w:proofErr w:type="spellStart"/>
      <w:r>
        <w:t>Choji</w:t>
      </w:r>
      <w:proofErr w:type="spellEnd"/>
      <w:r>
        <w:t xml:space="preserve">, R.P., </w:t>
      </w:r>
      <w:proofErr w:type="spellStart"/>
      <w:r>
        <w:t>Maman</w:t>
      </w:r>
      <w:proofErr w:type="spellEnd"/>
      <w:r>
        <w:t xml:space="preserve">, I., Deme, K., Damulak, D. &amp; </w:t>
      </w:r>
      <w:proofErr w:type="spellStart"/>
      <w:r>
        <w:t>Abimiku</w:t>
      </w:r>
      <w:proofErr w:type="spellEnd"/>
      <w:r>
        <w:t xml:space="preserve">, A. (2014). Comprehensive Reference ranges for </w:t>
      </w:r>
      <w:proofErr w:type="spellStart"/>
      <w:r>
        <w:t>Haematology</w:t>
      </w:r>
      <w:proofErr w:type="spellEnd"/>
      <w:r>
        <w:t xml:space="preserve"> and Clinical Chemistry Laboratory Parameters Derived from Normal Nigerian Adults. </w:t>
      </w:r>
      <w:proofErr w:type="spellStart"/>
      <w:r>
        <w:t>PLoS</w:t>
      </w:r>
      <w:proofErr w:type="spellEnd"/>
      <w:r>
        <w:t xml:space="preserve"> ONE, 9(5), e93919.</w:t>
      </w:r>
    </w:p>
    <w:p w14:paraId="5F67FD0A" w14:textId="77777777" w:rsidR="00E13FBF" w:rsidRDefault="00E13FBF" w:rsidP="00E13FBF">
      <w:pPr>
        <w:pStyle w:val="Body"/>
      </w:pPr>
      <w:r>
        <w:t xml:space="preserve">Mine, M., Moyo, S., Stevens, P., Michael, K. &amp; Novitsky, V. (2011). Immune </w:t>
      </w:r>
      <w:proofErr w:type="spellStart"/>
      <w:r>
        <w:t>haematological</w:t>
      </w:r>
      <w:proofErr w:type="spellEnd"/>
      <w:r>
        <w:t xml:space="preserve"> reference values for HIV- negative healthy adults in Botswana. African Journal of Laboratory Medicine, 1(1), 165-169.</w:t>
      </w:r>
    </w:p>
    <w:p w14:paraId="33634BD7" w14:textId="77777777" w:rsidR="00E13FBF" w:rsidRDefault="00E13FBF" w:rsidP="00E13FBF">
      <w:pPr>
        <w:pStyle w:val="Body"/>
      </w:pPr>
      <w:proofErr w:type="spellStart"/>
      <w:r>
        <w:t>Okoroiwu</w:t>
      </w:r>
      <w:proofErr w:type="spellEnd"/>
      <w:r>
        <w:t xml:space="preserve">, I., </w:t>
      </w:r>
      <w:proofErr w:type="spellStart"/>
      <w:r>
        <w:t>Obeagu</w:t>
      </w:r>
      <w:proofErr w:type="spellEnd"/>
      <w:r>
        <w:t xml:space="preserve">, E. &amp; </w:t>
      </w:r>
      <w:proofErr w:type="spellStart"/>
      <w:r>
        <w:t>Egwim</w:t>
      </w:r>
      <w:proofErr w:type="spellEnd"/>
      <w:r>
        <w:t>, V. (2012). Assessment of white Blood cell count and platelet count of women on hormonal contraceptives in Owerri, Imo State, Nigeria. Journal of Research in Medical and Dental Science, 9, 498-501.</w:t>
      </w:r>
    </w:p>
    <w:p w14:paraId="03613D78" w14:textId="77777777" w:rsidR="00E13FBF" w:rsidRDefault="00E13FBF" w:rsidP="00E13FBF">
      <w:pPr>
        <w:pStyle w:val="Body"/>
      </w:pPr>
      <w:r>
        <w:t xml:space="preserve">Olawumi, H.O., Afolabi, J.K., Fadeyi, A., </w:t>
      </w:r>
      <w:proofErr w:type="spellStart"/>
      <w:r>
        <w:t>Desalu</w:t>
      </w:r>
      <w:proofErr w:type="spellEnd"/>
      <w:r>
        <w:t xml:space="preserve">, O.O., </w:t>
      </w:r>
      <w:proofErr w:type="spellStart"/>
      <w:r>
        <w:t>Aderibigbe</w:t>
      </w:r>
      <w:proofErr w:type="spellEnd"/>
      <w:r>
        <w:t xml:space="preserve">, S.A., Babatunde, A.S., Ernest, S.K., Salami, A.K., Saadu, R., Adeboye, M.A.N. &amp; </w:t>
      </w:r>
      <w:proofErr w:type="spellStart"/>
      <w:r>
        <w:t>Aboyeji</w:t>
      </w:r>
      <w:proofErr w:type="spellEnd"/>
      <w:r>
        <w:t xml:space="preserve">, A.P. (2015). Reference values of </w:t>
      </w:r>
      <w:proofErr w:type="spellStart"/>
      <w:r>
        <w:t>Haematological</w:t>
      </w:r>
      <w:proofErr w:type="spellEnd"/>
      <w:r>
        <w:t xml:space="preserve"> parameters of healthy Adults in the North Central Zone of Nigeria. East Africa Medical Journal, 92(8), 420-425.</w:t>
      </w:r>
    </w:p>
    <w:p w14:paraId="447FC736" w14:textId="77777777" w:rsidR="00E13FBF" w:rsidRDefault="00E13FBF" w:rsidP="00E13FBF">
      <w:pPr>
        <w:pStyle w:val="Body"/>
      </w:pPr>
      <w:proofErr w:type="spellStart"/>
      <w:r>
        <w:t>Ozarda</w:t>
      </w:r>
      <w:proofErr w:type="spellEnd"/>
      <w:r>
        <w:t xml:space="preserve">, Y. (2016). Reference intervals: current status, recent developments and future considerations. </w:t>
      </w:r>
      <w:proofErr w:type="spellStart"/>
      <w:r>
        <w:t>Biochemia</w:t>
      </w:r>
      <w:proofErr w:type="spellEnd"/>
      <w:r>
        <w:t xml:space="preserve"> </w:t>
      </w:r>
      <w:proofErr w:type="spellStart"/>
      <w:r>
        <w:t>Medica</w:t>
      </w:r>
      <w:proofErr w:type="spellEnd"/>
      <w:r>
        <w:t xml:space="preserve"> Zagreb, 26(1), 5-16.</w:t>
      </w:r>
    </w:p>
    <w:p w14:paraId="750A394E" w14:textId="77777777" w:rsidR="00E13FBF" w:rsidRDefault="00E13FBF" w:rsidP="00E13FBF">
      <w:pPr>
        <w:pStyle w:val="Body"/>
      </w:pPr>
      <w:r>
        <w:t xml:space="preserve">Peng, L., Yang, J., Lu, X., Okada, T., Kondo, T., Ruan, C., Wu, Y. &amp; Xin, W. (2004). Effects of biological variations on platelet count in healthy subjects in China, Thrombosis &amp; </w:t>
      </w:r>
      <w:proofErr w:type="spellStart"/>
      <w:r>
        <w:t>Haemostasis</w:t>
      </w:r>
      <w:proofErr w:type="spellEnd"/>
      <w:r>
        <w:t>, 91(2), 367-372.</w:t>
      </w:r>
    </w:p>
    <w:p w14:paraId="24456B9C" w14:textId="77777777" w:rsidR="00E13FBF" w:rsidRDefault="00E13FBF" w:rsidP="00E13FBF">
      <w:pPr>
        <w:pStyle w:val="Body"/>
      </w:pPr>
      <w:r>
        <w:t>Segal, J.B. &amp; Moliterno, A.R. (2006). Platelet counts differ by sex, ethnicity, and age in the United States. Annals of Epidemiology, 16(2), 123-130.</w:t>
      </w:r>
    </w:p>
    <w:p w14:paraId="163E0655" w14:textId="77777777" w:rsidR="00E13FBF" w:rsidRDefault="00E13FBF" w:rsidP="00E13FBF">
      <w:pPr>
        <w:pStyle w:val="Body"/>
      </w:pPr>
      <w:r>
        <w:t xml:space="preserve">Stevens, R.F. &amp; Alexander, M.K. (1977). A sex difference in the platelet count. British Journal of </w:t>
      </w:r>
      <w:proofErr w:type="spellStart"/>
      <w:r>
        <w:t>Haematology</w:t>
      </w:r>
      <w:proofErr w:type="spellEnd"/>
      <w:r>
        <w:t>, 37, 295 -300.</w:t>
      </w:r>
    </w:p>
    <w:p w14:paraId="6485A95E" w14:textId="77777777" w:rsidR="00E13FBF" w:rsidRDefault="00E13FBF" w:rsidP="00E13FBF">
      <w:pPr>
        <w:pStyle w:val="Body"/>
      </w:pPr>
      <w:r>
        <w:t xml:space="preserve">Usman, K., Syed, Z.A. &amp; Rao, A.A. (2007). Reference range values of </w:t>
      </w:r>
      <w:proofErr w:type="spellStart"/>
      <w:r>
        <w:t>haematological</w:t>
      </w:r>
      <w:proofErr w:type="spellEnd"/>
      <w:r>
        <w:t xml:space="preserve"> parameters in healthy Pakistani adults. Pakistani Journal of Physiology, 3(1), 19-22.</w:t>
      </w:r>
    </w:p>
    <w:p w14:paraId="76BF67B7" w14:textId="77777777" w:rsidR="00E13FBF" w:rsidRDefault="00E13FBF" w:rsidP="00E13FBF">
      <w:pPr>
        <w:pStyle w:val="Body"/>
      </w:pPr>
      <w:r>
        <w:t>White, A., Nicolaas, G., Foster, K. et al. (1991). Health survey for England:  Office of population census and surveys-Social Survey Division. HMSO, London.</w:t>
      </w:r>
    </w:p>
    <w:p w14:paraId="27FADF41" w14:textId="77777777" w:rsidR="00E13FBF" w:rsidRDefault="00E13FBF" w:rsidP="00E13FBF">
      <w:pPr>
        <w:pStyle w:val="Body"/>
      </w:pPr>
      <w:r>
        <w:lastRenderedPageBreak/>
        <w:t>Whyte, M. &amp; Kelly, P.A. (2018). Normal range: it is not normal and it is not a range. Postgraduate Medical Journal, 94(1117), 613-616.</w:t>
      </w:r>
    </w:p>
    <w:p w14:paraId="5E53792F" w14:textId="77777777" w:rsidR="00E13FBF" w:rsidRPr="00FB3A86" w:rsidRDefault="00E13FBF" w:rsidP="00E13FBF">
      <w:pPr>
        <w:pStyle w:val="Body"/>
        <w:spacing w:after="0"/>
        <w:rPr>
          <w:rFonts w:ascii="Arial" w:hAnsi="Arial" w:cs="Arial"/>
          <w:b/>
        </w:rPr>
      </w:pPr>
      <w:r>
        <w:t xml:space="preserve">World </w:t>
      </w:r>
      <w:proofErr w:type="spellStart"/>
      <w:r>
        <w:t>Gazzetter</w:t>
      </w:r>
      <w:proofErr w:type="spellEnd"/>
      <w:r>
        <w:t xml:space="preserve"> Nigeria (2007). Largest cities and towns statistics populations, 2007. https://www.worldgazzetter.com. Accessed 23/10/2023.</w:t>
      </w:r>
    </w:p>
    <w:p w14:paraId="435BF8B0" w14:textId="443A12C6" w:rsidR="00513EBA" w:rsidRPr="00E13FBF" w:rsidRDefault="00513EBA" w:rsidP="00E13FBF"/>
    <w:sectPr w:rsidR="00513EBA" w:rsidRPr="00E13FBF" w:rsidSect="004B004D">
      <w:headerReference w:type="even" r:id="rId13"/>
      <w:headerReference w:type="default" r:id="rId14"/>
      <w:footerReference w:type="default" r:id="rId15"/>
      <w:headerReference w:type="first" r:id="rId16"/>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46FC0" w14:textId="77777777" w:rsidR="007A5FFF" w:rsidRDefault="007A5FFF">
      <w:pPr>
        <w:spacing w:line="240" w:lineRule="auto"/>
      </w:pPr>
      <w:r>
        <w:separator/>
      </w:r>
    </w:p>
  </w:endnote>
  <w:endnote w:type="continuationSeparator" w:id="0">
    <w:p w14:paraId="14EE906E" w14:textId="77777777" w:rsidR="007A5FFF" w:rsidRDefault="007A5F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9691" w14:textId="77777777" w:rsidR="00B519E1" w:rsidRDefault="00B51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06B03" w14:textId="77777777" w:rsidR="00B519E1" w:rsidRDefault="00B51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14C9" w14:textId="34E98A2C" w:rsidR="00E13FBF" w:rsidRPr="00B519E1" w:rsidRDefault="00E13FBF" w:rsidP="00B519E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4969"/>
      <w:docPartObj>
        <w:docPartGallery w:val="Page Numbers (Bottom of Page)"/>
        <w:docPartUnique/>
      </w:docPartObj>
    </w:sdtPr>
    <w:sdtEndPr/>
    <w:sdtContent>
      <w:p w14:paraId="185A782D" w14:textId="77777777" w:rsidR="004B004D" w:rsidRDefault="004B004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61C10EEB" w14:textId="77777777" w:rsidR="004B004D" w:rsidRDefault="004B0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CD8E5" w14:textId="77777777" w:rsidR="007A5FFF" w:rsidRDefault="007A5FFF">
      <w:pPr>
        <w:spacing w:line="240" w:lineRule="auto"/>
      </w:pPr>
      <w:r>
        <w:separator/>
      </w:r>
    </w:p>
  </w:footnote>
  <w:footnote w:type="continuationSeparator" w:id="0">
    <w:p w14:paraId="183AD0F6" w14:textId="77777777" w:rsidR="007A5FFF" w:rsidRDefault="007A5F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95B5E" w14:textId="1D294D27" w:rsidR="00B519E1" w:rsidRDefault="00B519E1">
    <w:pPr>
      <w:pStyle w:val="Header"/>
    </w:pPr>
    <w:r>
      <w:rPr>
        <w:noProof/>
      </w:rPr>
      <w:pict w14:anchorId="25DCA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40376"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6F0F8" w14:textId="05588707" w:rsidR="00B519E1" w:rsidRDefault="00B519E1">
    <w:pPr>
      <w:pStyle w:val="Header"/>
    </w:pPr>
    <w:r>
      <w:rPr>
        <w:noProof/>
      </w:rPr>
      <w:pict w14:anchorId="0A8E0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40377"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48B91" w14:textId="4A70D8B4" w:rsidR="00E13FBF" w:rsidRPr="00296529" w:rsidRDefault="00B519E1" w:rsidP="00296529">
    <w:pPr>
      <w:ind w:left="2160"/>
      <w:jc w:val="center"/>
      <w:rPr>
        <w:rFonts w:ascii="Times New Roman" w:eastAsia="Calibri" w:hAnsi="Times New Roman"/>
        <w:i/>
        <w:sz w:val="18"/>
      </w:rPr>
    </w:pPr>
    <w:r>
      <w:rPr>
        <w:noProof/>
      </w:rPr>
      <w:pict w14:anchorId="4B1A4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40375"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73AB17EF" w14:textId="77777777" w:rsidR="00E13FBF" w:rsidRPr="00296529" w:rsidRDefault="00E13FBF"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05C21900" w14:textId="77777777" w:rsidR="00E13FBF" w:rsidRPr="00296529" w:rsidRDefault="00E13FBF" w:rsidP="00296529">
    <w:pPr>
      <w:jc w:val="center"/>
      <w:rPr>
        <w:rFonts w:ascii="Times New Roman" w:eastAsia="Calibri" w:hAnsi="Times New Roman"/>
        <w:i/>
        <w:sz w:val="18"/>
      </w:rPr>
    </w:pPr>
    <w:r>
      <w:rPr>
        <w:rFonts w:ascii="Times New Roman" w:eastAsia="Calibri" w:hAnsi="Times New Roman"/>
        <w:i/>
        <w:sz w:val="18"/>
      </w:rPr>
      <w:t>.</w:t>
    </w:r>
  </w:p>
  <w:p w14:paraId="0245BB25" w14:textId="77777777" w:rsidR="00E13FBF" w:rsidRPr="00296529" w:rsidRDefault="00E13FBF"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48291903" w14:textId="77777777" w:rsidR="00E13FBF" w:rsidRDefault="00E13FBF"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6BB16620" w14:textId="77777777" w:rsidR="00E13FBF" w:rsidRDefault="00E13FBF" w:rsidP="00296529">
    <w:pPr>
      <w:tabs>
        <w:tab w:val="left" w:pos="2145"/>
      </w:tabs>
      <w:rPr>
        <w:rFonts w:ascii="Times New Roman" w:eastAsia="Calibri" w:hAnsi="Times New Roman"/>
        <w:i/>
        <w:sz w:val="18"/>
      </w:rPr>
    </w:pPr>
    <w:r>
      <w:rPr>
        <w:rFonts w:ascii="Times New Roman" w:eastAsia="Calibri" w:hAnsi="Times New Roman"/>
        <w:i/>
        <w:sz w:val="18"/>
      </w:rPr>
      <w:tab/>
      <w:t>.</w:t>
    </w:r>
  </w:p>
  <w:p w14:paraId="0FA7C8E6" w14:textId="77777777" w:rsidR="00E13FBF" w:rsidRDefault="00E13FB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66DE0" w14:textId="39CAABFC" w:rsidR="00B519E1" w:rsidRDefault="00B519E1">
    <w:pPr>
      <w:pStyle w:val="Header"/>
    </w:pPr>
    <w:r>
      <w:rPr>
        <w:noProof/>
      </w:rPr>
      <w:pict w14:anchorId="5B0DC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40379" o:spid="_x0000_s2053" type="#_x0000_t136" style="position:absolute;left:0;text-align:left;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A88E8" w14:textId="024BE700" w:rsidR="00B519E1" w:rsidRDefault="00B519E1">
    <w:pPr>
      <w:pStyle w:val="Header"/>
    </w:pPr>
    <w:r>
      <w:rPr>
        <w:noProof/>
      </w:rPr>
      <w:pict w14:anchorId="0550A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40380" o:spid="_x0000_s2054" type="#_x0000_t136" style="position:absolute;left:0;text-align:left;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1D92A" w14:textId="11E69CFC" w:rsidR="00B519E1" w:rsidRDefault="00B519E1">
    <w:pPr>
      <w:pStyle w:val="Header"/>
    </w:pPr>
    <w:r>
      <w:rPr>
        <w:noProof/>
      </w:rPr>
      <w:pict w14:anchorId="6A246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40378" o:spid="_x0000_s2052" type="#_x0000_t136" style="position:absolute;left:0;text-align:left;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4D"/>
    <w:rsid w:val="00020384"/>
    <w:rsid w:val="000A5389"/>
    <w:rsid w:val="000C109F"/>
    <w:rsid w:val="001514C9"/>
    <w:rsid w:val="00152AA6"/>
    <w:rsid w:val="001E7164"/>
    <w:rsid w:val="00365290"/>
    <w:rsid w:val="00373045"/>
    <w:rsid w:val="004B004D"/>
    <w:rsid w:val="004E43EE"/>
    <w:rsid w:val="00513EBA"/>
    <w:rsid w:val="005C6D77"/>
    <w:rsid w:val="005D564E"/>
    <w:rsid w:val="00761529"/>
    <w:rsid w:val="007A5FFF"/>
    <w:rsid w:val="007C34F1"/>
    <w:rsid w:val="008A77F8"/>
    <w:rsid w:val="008B3366"/>
    <w:rsid w:val="0095265B"/>
    <w:rsid w:val="00A00B52"/>
    <w:rsid w:val="00B17053"/>
    <w:rsid w:val="00B519E1"/>
    <w:rsid w:val="00C12B24"/>
    <w:rsid w:val="00C13B71"/>
    <w:rsid w:val="00C67513"/>
    <w:rsid w:val="00E13FBF"/>
    <w:rsid w:val="00E92443"/>
    <w:rsid w:val="00E94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E30D09E"/>
  <w15:chartTrackingRefBased/>
  <w15:docId w15:val="{7521C084-2CCF-4087-B03C-111E8C8A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04D"/>
    <w:pPr>
      <w:spacing w:after="0" w:line="276" w:lineRule="auto"/>
      <w:jc w:val="both"/>
    </w:pPr>
  </w:style>
  <w:style w:type="paragraph" w:styleId="Heading1">
    <w:name w:val="heading 1"/>
    <w:basedOn w:val="Normal"/>
    <w:next w:val="Normal"/>
    <w:link w:val="Heading1Char"/>
    <w:qFormat/>
    <w:rsid w:val="004B00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00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00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00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00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00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0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0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0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0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00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00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00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00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0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04D"/>
    <w:rPr>
      <w:rFonts w:eastAsiaTheme="majorEastAsia" w:cstheme="majorBidi"/>
      <w:color w:val="272727" w:themeColor="text1" w:themeTint="D8"/>
    </w:rPr>
  </w:style>
  <w:style w:type="paragraph" w:styleId="Title">
    <w:name w:val="Title"/>
    <w:basedOn w:val="Normal"/>
    <w:next w:val="Normal"/>
    <w:link w:val="TitleChar"/>
    <w:qFormat/>
    <w:rsid w:val="004B0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04D"/>
    <w:pPr>
      <w:spacing w:before="160"/>
      <w:jc w:val="center"/>
    </w:pPr>
    <w:rPr>
      <w:i/>
      <w:iCs/>
      <w:color w:val="404040" w:themeColor="text1" w:themeTint="BF"/>
    </w:rPr>
  </w:style>
  <w:style w:type="character" w:customStyle="1" w:styleId="QuoteChar">
    <w:name w:val="Quote Char"/>
    <w:basedOn w:val="DefaultParagraphFont"/>
    <w:link w:val="Quote"/>
    <w:uiPriority w:val="29"/>
    <w:rsid w:val="004B004D"/>
    <w:rPr>
      <w:i/>
      <w:iCs/>
      <w:color w:val="404040" w:themeColor="text1" w:themeTint="BF"/>
    </w:rPr>
  </w:style>
  <w:style w:type="paragraph" w:styleId="ListParagraph">
    <w:name w:val="List Paragraph"/>
    <w:basedOn w:val="Normal"/>
    <w:uiPriority w:val="34"/>
    <w:qFormat/>
    <w:rsid w:val="004B004D"/>
    <w:pPr>
      <w:ind w:left="720"/>
      <w:contextualSpacing/>
    </w:pPr>
  </w:style>
  <w:style w:type="character" w:styleId="IntenseEmphasis">
    <w:name w:val="Intense Emphasis"/>
    <w:basedOn w:val="DefaultParagraphFont"/>
    <w:uiPriority w:val="21"/>
    <w:qFormat/>
    <w:rsid w:val="004B004D"/>
    <w:rPr>
      <w:i/>
      <w:iCs/>
      <w:color w:val="2F5496" w:themeColor="accent1" w:themeShade="BF"/>
    </w:rPr>
  </w:style>
  <w:style w:type="paragraph" w:styleId="IntenseQuote">
    <w:name w:val="Intense Quote"/>
    <w:basedOn w:val="Normal"/>
    <w:next w:val="Normal"/>
    <w:link w:val="IntenseQuoteChar"/>
    <w:uiPriority w:val="30"/>
    <w:qFormat/>
    <w:rsid w:val="004B0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004D"/>
    <w:rPr>
      <w:i/>
      <w:iCs/>
      <w:color w:val="2F5496" w:themeColor="accent1" w:themeShade="BF"/>
    </w:rPr>
  </w:style>
  <w:style w:type="character" w:styleId="IntenseReference">
    <w:name w:val="Intense Reference"/>
    <w:basedOn w:val="DefaultParagraphFont"/>
    <w:uiPriority w:val="32"/>
    <w:qFormat/>
    <w:rsid w:val="004B004D"/>
    <w:rPr>
      <w:b/>
      <w:bCs/>
      <w:smallCaps/>
      <w:color w:val="2F5496" w:themeColor="accent1" w:themeShade="BF"/>
      <w:spacing w:val="5"/>
    </w:rPr>
  </w:style>
  <w:style w:type="character" w:styleId="Hyperlink">
    <w:name w:val="Hyperlink"/>
    <w:basedOn w:val="DefaultParagraphFont"/>
    <w:unhideWhenUsed/>
    <w:rsid w:val="004B004D"/>
    <w:rPr>
      <w:color w:val="0563C1" w:themeColor="hyperlink"/>
      <w:u w:val="single"/>
    </w:rPr>
  </w:style>
  <w:style w:type="table" w:styleId="TableGrid">
    <w:name w:val="Table Grid"/>
    <w:basedOn w:val="TableNormal"/>
    <w:uiPriority w:val="59"/>
    <w:rsid w:val="004B004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nhideWhenUsed/>
    <w:rsid w:val="004B004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B004D"/>
    <w:rPr>
      <w:rFonts w:ascii="Tahoma" w:hAnsi="Tahoma" w:cs="Tahoma"/>
      <w:sz w:val="16"/>
      <w:szCs w:val="16"/>
    </w:rPr>
  </w:style>
  <w:style w:type="paragraph" w:styleId="Header">
    <w:name w:val="header"/>
    <w:basedOn w:val="Normal"/>
    <w:link w:val="HeaderChar"/>
    <w:unhideWhenUsed/>
    <w:rsid w:val="004B004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B004D"/>
  </w:style>
  <w:style w:type="paragraph" w:styleId="Footer">
    <w:name w:val="footer"/>
    <w:basedOn w:val="Normal"/>
    <w:link w:val="FooterChar"/>
    <w:unhideWhenUsed/>
    <w:rsid w:val="004B004D"/>
    <w:pPr>
      <w:tabs>
        <w:tab w:val="center" w:pos="4680"/>
        <w:tab w:val="right" w:pos="9360"/>
      </w:tabs>
      <w:spacing w:line="240" w:lineRule="auto"/>
    </w:pPr>
  </w:style>
  <w:style w:type="character" w:customStyle="1" w:styleId="FooterChar">
    <w:name w:val="Footer Char"/>
    <w:basedOn w:val="DefaultParagraphFont"/>
    <w:link w:val="Footer"/>
    <w:uiPriority w:val="99"/>
    <w:rsid w:val="004B004D"/>
  </w:style>
  <w:style w:type="character" w:styleId="PlaceholderText">
    <w:name w:val="Placeholder Text"/>
    <w:basedOn w:val="DefaultParagraphFont"/>
    <w:uiPriority w:val="99"/>
    <w:semiHidden/>
    <w:rsid w:val="004B004D"/>
    <w:rPr>
      <w:color w:val="808080"/>
    </w:rPr>
  </w:style>
  <w:style w:type="paragraph" w:customStyle="1" w:styleId="Author">
    <w:name w:val="Author"/>
    <w:basedOn w:val="Normal"/>
    <w:rsid w:val="00E13FBF"/>
    <w:pPr>
      <w:spacing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E13FBF"/>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E13FBF"/>
    <w:pPr>
      <w:spacing w:after="240" w:line="240" w:lineRule="auto"/>
    </w:pPr>
    <w:rPr>
      <w:rFonts w:ascii="Helvetica" w:eastAsia="Times New Roman" w:hAnsi="Helvetica" w:cs="Times New Roman"/>
      <w:sz w:val="20"/>
      <w:szCs w:val="20"/>
    </w:rPr>
  </w:style>
  <w:style w:type="paragraph" w:customStyle="1" w:styleId="AbstHead">
    <w:name w:val="Abst Head"/>
    <w:basedOn w:val="MainHead"/>
    <w:rsid w:val="00E13FBF"/>
    <w:rPr>
      <w:sz w:val="22"/>
    </w:rPr>
  </w:style>
  <w:style w:type="paragraph" w:customStyle="1" w:styleId="IntroHead">
    <w:name w:val="Intro Head"/>
    <w:basedOn w:val="MainHead"/>
    <w:rsid w:val="00E13FBF"/>
    <w:rPr>
      <w:sz w:val="22"/>
    </w:rPr>
  </w:style>
  <w:style w:type="paragraph" w:customStyle="1" w:styleId="PaperNumber">
    <w:name w:val="Paper Number"/>
    <w:basedOn w:val="Normal"/>
    <w:rsid w:val="00E13FBF"/>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E13FBF"/>
    <w:rPr>
      <w:sz w:val="22"/>
    </w:rPr>
  </w:style>
  <w:style w:type="paragraph" w:customStyle="1" w:styleId="AcknHead">
    <w:name w:val="Ackn Head"/>
    <w:basedOn w:val="MainHead"/>
    <w:rsid w:val="00E13FBF"/>
    <w:rPr>
      <w:sz w:val="22"/>
    </w:rPr>
  </w:style>
  <w:style w:type="paragraph" w:customStyle="1" w:styleId="ReferHead">
    <w:name w:val="Refer Head"/>
    <w:basedOn w:val="MainHead"/>
    <w:rsid w:val="00E13FBF"/>
    <w:rPr>
      <w:sz w:val="22"/>
    </w:rPr>
  </w:style>
  <w:style w:type="paragraph" w:customStyle="1" w:styleId="AddSrcHead">
    <w:name w:val="AddSrc Head"/>
    <w:basedOn w:val="MainHead"/>
    <w:rsid w:val="00E13FBF"/>
    <w:rPr>
      <w:sz w:val="22"/>
    </w:rPr>
  </w:style>
  <w:style w:type="paragraph" w:customStyle="1" w:styleId="DefAcrHead">
    <w:name w:val="DefAcrHead"/>
    <w:basedOn w:val="MainHead"/>
    <w:rsid w:val="00E13FBF"/>
    <w:rPr>
      <w:sz w:val="22"/>
    </w:rPr>
  </w:style>
  <w:style w:type="paragraph" w:customStyle="1" w:styleId="Copyright">
    <w:name w:val="Copyright"/>
    <w:basedOn w:val="Normal"/>
    <w:rsid w:val="00E13FBF"/>
    <w:pPr>
      <w:spacing w:after="960" w:line="200" w:lineRule="exact"/>
      <w:jc w:val="left"/>
    </w:pPr>
    <w:rPr>
      <w:rFonts w:ascii="Helvetica" w:eastAsia="Times New Roman" w:hAnsi="Helvetica" w:cs="Times New Roman"/>
      <w:sz w:val="16"/>
      <w:szCs w:val="20"/>
    </w:rPr>
  </w:style>
  <w:style w:type="paragraph" w:customStyle="1" w:styleId="Reference">
    <w:name w:val="Reference"/>
    <w:basedOn w:val="Body"/>
    <w:rsid w:val="00E13FBF"/>
    <w:pPr>
      <w:numPr>
        <w:numId w:val="23"/>
      </w:numPr>
      <w:spacing w:after="0" w:line="240" w:lineRule="exact"/>
    </w:pPr>
  </w:style>
  <w:style w:type="paragraph" w:customStyle="1" w:styleId="Head1">
    <w:name w:val="Head1"/>
    <w:basedOn w:val="MainHead"/>
    <w:rsid w:val="00E13FBF"/>
    <w:rPr>
      <w:sz w:val="22"/>
    </w:rPr>
  </w:style>
  <w:style w:type="paragraph" w:customStyle="1" w:styleId="ContactHead">
    <w:name w:val="Contact Head"/>
    <w:basedOn w:val="MainHead"/>
    <w:rsid w:val="00E13FBF"/>
    <w:rPr>
      <w:sz w:val="22"/>
    </w:rPr>
  </w:style>
  <w:style w:type="paragraph" w:customStyle="1" w:styleId="Head3">
    <w:name w:val="Head3"/>
    <w:basedOn w:val="Head2"/>
    <w:rsid w:val="00E13FBF"/>
    <w:rPr>
      <w:caps w:val="0"/>
      <w:u w:val="single"/>
    </w:rPr>
  </w:style>
  <w:style w:type="paragraph" w:customStyle="1" w:styleId="Head4">
    <w:name w:val="Head4"/>
    <w:basedOn w:val="Head3"/>
    <w:rsid w:val="00E13FBF"/>
    <w:rPr>
      <w:u w:val="none"/>
    </w:rPr>
  </w:style>
  <w:style w:type="paragraph" w:customStyle="1" w:styleId="UnordList">
    <w:name w:val="Unord List"/>
    <w:basedOn w:val="Body"/>
    <w:rsid w:val="00E13FBF"/>
    <w:pPr>
      <w:spacing w:after="0"/>
      <w:ind w:left="360" w:hanging="360"/>
    </w:pPr>
  </w:style>
  <w:style w:type="paragraph" w:customStyle="1" w:styleId="OrdList">
    <w:name w:val="Ord List"/>
    <w:basedOn w:val="UnordList"/>
    <w:rsid w:val="00E13FBF"/>
    <w:pPr>
      <w:jc w:val="left"/>
    </w:pPr>
  </w:style>
  <w:style w:type="paragraph" w:customStyle="1" w:styleId="Appendix">
    <w:name w:val="Appendix"/>
    <w:basedOn w:val="MainHead"/>
    <w:rsid w:val="00E13FBF"/>
    <w:rPr>
      <w:sz w:val="22"/>
    </w:rPr>
  </w:style>
  <w:style w:type="paragraph" w:customStyle="1" w:styleId="Term">
    <w:name w:val="Term"/>
    <w:basedOn w:val="Body"/>
    <w:rsid w:val="00E13FBF"/>
    <w:pPr>
      <w:spacing w:after="0"/>
    </w:pPr>
    <w:rPr>
      <w:b/>
    </w:rPr>
  </w:style>
  <w:style w:type="paragraph" w:customStyle="1" w:styleId="Definition">
    <w:name w:val="Definition"/>
    <w:basedOn w:val="Body"/>
    <w:rsid w:val="00E13FBF"/>
  </w:style>
  <w:style w:type="paragraph" w:customStyle="1" w:styleId="Head2">
    <w:name w:val="Head2"/>
    <w:basedOn w:val="Normal"/>
    <w:next w:val="Body"/>
    <w:rsid w:val="00E13FBF"/>
    <w:pPr>
      <w:keepNext/>
      <w:spacing w:after="240" w:line="240" w:lineRule="auto"/>
      <w:jc w:val="left"/>
    </w:pPr>
    <w:rPr>
      <w:rFonts w:ascii="Helvetica" w:eastAsia="Times New Roman" w:hAnsi="Helvetica" w:cs="Times New Roman"/>
      <w:caps/>
      <w:sz w:val="20"/>
      <w:szCs w:val="20"/>
    </w:rPr>
  </w:style>
  <w:style w:type="character" w:customStyle="1" w:styleId="Bold">
    <w:name w:val="Bold"/>
    <w:rsid w:val="00E13FBF"/>
    <w:rPr>
      <w:b/>
    </w:rPr>
  </w:style>
  <w:style w:type="character" w:customStyle="1" w:styleId="Italic">
    <w:name w:val="Italic"/>
    <w:rsid w:val="00E13FBF"/>
    <w:rPr>
      <w:i/>
    </w:rPr>
  </w:style>
  <w:style w:type="character" w:customStyle="1" w:styleId="Underline">
    <w:name w:val="Underline"/>
    <w:rsid w:val="00E13FBF"/>
    <w:rPr>
      <w:u w:val="single"/>
    </w:rPr>
  </w:style>
  <w:style w:type="paragraph" w:customStyle="1" w:styleId="MainHead">
    <w:name w:val="Main Head"/>
    <w:basedOn w:val="Normal"/>
    <w:rsid w:val="00E13FBF"/>
    <w:pPr>
      <w:keepNext/>
      <w:spacing w:after="240" w:line="240" w:lineRule="auto"/>
      <w:jc w:val="left"/>
    </w:pPr>
    <w:rPr>
      <w:rFonts w:ascii="Helvetica" w:eastAsia="Times New Roman" w:hAnsi="Helvetica" w:cs="Times New Roman"/>
      <w:b/>
      <w:caps/>
      <w:sz w:val="20"/>
      <w:szCs w:val="20"/>
    </w:rPr>
  </w:style>
  <w:style w:type="paragraph" w:customStyle="1" w:styleId="Equation">
    <w:name w:val="Equation"/>
    <w:basedOn w:val="Body"/>
    <w:rsid w:val="00E13FBF"/>
  </w:style>
  <w:style w:type="paragraph" w:customStyle="1" w:styleId="Figure">
    <w:name w:val="Figure"/>
    <w:basedOn w:val="Copyright"/>
    <w:rsid w:val="00E13FBF"/>
    <w:pPr>
      <w:spacing w:after="240"/>
    </w:pPr>
    <w:rPr>
      <w:sz w:val="20"/>
    </w:rPr>
  </w:style>
  <w:style w:type="paragraph" w:customStyle="1" w:styleId="Head40">
    <w:name w:val="Head 4"/>
    <w:basedOn w:val="Head3"/>
    <w:rsid w:val="00E13FBF"/>
    <w:rPr>
      <w:u w:val="none"/>
    </w:rPr>
  </w:style>
  <w:style w:type="paragraph" w:customStyle="1" w:styleId="Paper">
    <w:name w:val="Paper"/>
    <w:basedOn w:val="Normal"/>
    <w:rsid w:val="00E13FBF"/>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E13FBF"/>
    <w:pPr>
      <w:spacing w:line="240" w:lineRule="auto"/>
      <w:ind w:left="4320"/>
      <w:jc w:val="left"/>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E13FBF"/>
    <w:rPr>
      <w:rFonts w:ascii="Helvetica" w:eastAsia="Times New Roman" w:hAnsi="Helvetica" w:cs="Times New Roman"/>
      <w:sz w:val="20"/>
      <w:szCs w:val="20"/>
    </w:rPr>
  </w:style>
  <w:style w:type="character" w:customStyle="1" w:styleId="Subscript">
    <w:name w:val="Subscript"/>
    <w:rsid w:val="00E13FBF"/>
    <w:rPr>
      <w:vertAlign w:val="subscript"/>
    </w:rPr>
  </w:style>
  <w:style w:type="character" w:customStyle="1" w:styleId="Superscript">
    <w:name w:val="Superscript"/>
    <w:rsid w:val="00E13FBF"/>
    <w:rPr>
      <w:vertAlign w:val="superscript"/>
    </w:rPr>
  </w:style>
  <w:style w:type="character" w:customStyle="1" w:styleId="Symbol">
    <w:name w:val="Symbol"/>
    <w:rsid w:val="00E13FBF"/>
    <w:rPr>
      <w:rFonts w:ascii="Symbol" w:hAnsi="Symbol"/>
    </w:rPr>
  </w:style>
  <w:style w:type="paragraph" w:customStyle="1" w:styleId="SymbolP">
    <w:name w:val="Symbol P"/>
    <w:basedOn w:val="Body"/>
    <w:rsid w:val="00E13FBF"/>
    <w:pPr>
      <w:tabs>
        <w:tab w:val="left" w:pos="720"/>
        <w:tab w:val="left" w:pos="3780"/>
      </w:tabs>
      <w:spacing w:after="0"/>
    </w:pPr>
    <w:rPr>
      <w:sz w:val="24"/>
    </w:rPr>
  </w:style>
  <w:style w:type="character" w:customStyle="1" w:styleId="BoldItal">
    <w:name w:val="BoldItal"/>
    <w:basedOn w:val="DefaultParagraphFont"/>
    <w:rsid w:val="00E13FBF"/>
    <w:rPr>
      <w:b/>
      <w:i/>
    </w:rPr>
  </w:style>
  <w:style w:type="character" w:customStyle="1" w:styleId="SubItal">
    <w:name w:val="SubItal"/>
    <w:rsid w:val="00E13FBF"/>
    <w:rPr>
      <w:i/>
      <w:vertAlign w:val="subscript"/>
    </w:rPr>
  </w:style>
  <w:style w:type="character" w:customStyle="1" w:styleId="SuperItal">
    <w:name w:val="SuperItal"/>
    <w:rsid w:val="00E13FBF"/>
    <w:rPr>
      <w:i/>
      <w:vertAlign w:val="superscript"/>
    </w:rPr>
  </w:style>
  <w:style w:type="character" w:customStyle="1" w:styleId="SymItal">
    <w:name w:val="SymItal"/>
    <w:rsid w:val="00E13FBF"/>
    <w:rPr>
      <w:rFonts w:ascii="Symbol" w:hAnsi="Symbol"/>
      <w:i/>
    </w:rPr>
  </w:style>
  <w:style w:type="character" w:styleId="FollowedHyperlink">
    <w:name w:val="FollowedHyperlink"/>
    <w:basedOn w:val="DefaultParagraphFont"/>
    <w:rsid w:val="00E13FBF"/>
    <w:rPr>
      <w:color w:val="800080"/>
      <w:u w:val="single"/>
    </w:rPr>
  </w:style>
  <w:style w:type="paragraph" w:styleId="BodyText2">
    <w:name w:val="Body Text 2"/>
    <w:basedOn w:val="Normal"/>
    <w:link w:val="BodyText2Char"/>
    <w:rsid w:val="00E13FBF"/>
    <w:pPr>
      <w:spacing w:after="120" w:line="480" w:lineRule="auto"/>
      <w:jc w:val="left"/>
    </w:pPr>
    <w:rPr>
      <w:rFonts w:ascii="Helvetica" w:eastAsia="Times New Roman" w:hAnsi="Helvetica" w:cs="Times New Roman"/>
      <w:sz w:val="20"/>
      <w:szCs w:val="20"/>
    </w:rPr>
  </w:style>
  <w:style w:type="character" w:customStyle="1" w:styleId="BodyText2Char">
    <w:name w:val="Body Text 2 Char"/>
    <w:basedOn w:val="DefaultParagraphFont"/>
    <w:link w:val="BodyText2"/>
    <w:rsid w:val="00E13FBF"/>
    <w:rPr>
      <w:rFonts w:ascii="Helvetica" w:eastAsia="Times New Roman" w:hAnsi="Helvetica" w:cs="Times New Roman"/>
      <w:sz w:val="20"/>
      <w:szCs w:val="20"/>
    </w:rPr>
  </w:style>
  <w:style w:type="character" w:styleId="CommentReference">
    <w:name w:val="annotation reference"/>
    <w:basedOn w:val="DefaultParagraphFont"/>
    <w:uiPriority w:val="99"/>
    <w:unhideWhenUsed/>
    <w:rsid w:val="00E13FBF"/>
    <w:rPr>
      <w:sz w:val="16"/>
      <w:szCs w:val="16"/>
    </w:rPr>
  </w:style>
  <w:style w:type="paragraph" w:styleId="CommentText">
    <w:name w:val="annotation text"/>
    <w:basedOn w:val="Normal"/>
    <w:link w:val="CommentTextChar"/>
    <w:uiPriority w:val="99"/>
    <w:unhideWhenUsed/>
    <w:rsid w:val="00E13FBF"/>
    <w:pPr>
      <w:spacing w:line="240" w:lineRule="auto"/>
      <w:jc w:val="left"/>
    </w:pPr>
    <w:rPr>
      <w:rFonts w:ascii="Times New Roman" w:eastAsia="Times New Roman" w:hAnsi="Times New Roman" w:cs="Times New Roman"/>
      <w:sz w:val="20"/>
      <w:szCs w:val="20"/>
      <w:lang w:val="nb-NO" w:eastAsia="nb-NO"/>
    </w:rPr>
  </w:style>
  <w:style w:type="character" w:customStyle="1" w:styleId="CommentTextChar">
    <w:name w:val="Comment Text Char"/>
    <w:basedOn w:val="DefaultParagraphFont"/>
    <w:link w:val="CommentText"/>
    <w:uiPriority w:val="99"/>
    <w:rsid w:val="00E13FBF"/>
    <w:rPr>
      <w:rFonts w:ascii="Times New Roman" w:eastAsia="Times New Roman" w:hAnsi="Times New Roman" w:cs="Times New Roman"/>
      <w:sz w:val="20"/>
      <w:szCs w:val="20"/>
      <w:lang w:val="nb-NO" w:eastAsia="nb-NO"/>
    </w:rPr>
  </w:style>
  <w:style w:type="paragraph" w:styleId="BodyText3">
    <w:name w:val="Body Text 3"/>
    <w:basedOn w:val="Normal"/>
    <w:link w:val="BodyText3Char"/>
    <w:rsid w:val="00E13FBF"/>
    <w:pPr>
      <w:spacing w:after="120" w:line="240" w:lineRule="auto"/>
      <w:jc w:val="left"/>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E13FBF"/>
    <w:rPr>
      <w:rFonts w:ascii="Helvetica" w:eastAsia="Times New Roman" w:hAnsi="Helvetica" w:cs="Times New Roman"/>
      <w:sz w:val="16"/>
      <w:szCs w:val="16"/>
    </w:rPr>
  </w:style>
  <w:style w:type="character" w:styleId="LineNumber">
    <w:name w:val="line number"/>
    <w:basedOn w:val="DefaultParagraphFont"/>
    <w:rsid w:val="00E13FBF"/>
  </w:style>
  <w:style w:type="character" w:styleId="Emphasis">
    <w:name w:val="Emphasis"/>
    <w:basedOn w:val="DefaultParagraphFont"/>
    <w:uiPriority w:val="20"/>
    <w:qFormat/>
    <w:rsid w:val="00E13FBF"/>
    <w:rPr>
      <w:i/>
      <w:iCs/>
    </w:rPr>
  </w:style>
  <w:style w:type="character" w:styleId="UnresolvedMention">
    <w:name w:val="Unresolved Mention"/>
    <w:basedOn w:val="DefaultParagraphFont"/>
    <w:uiPriority w:val="99"/>
    <w:semiHidden/>
    <w:unhideWhenUsed/>
    <w:rsid w:val="00E13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4808</Words>
  <Characters>27408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IYEVHOBU</dc:creator>
  <cp:keywords/>
  <dc:description/>
  <cp:lastModifiedBy>SDI 1084</cp:lastModifiedBy>
  <cp:revision>14</cp:revision>
  <dcterms:created xsi:type="dcterms:W3CDTF">2025-09-29T20:47:00Z</dcterms:created>
  <dcterms:modified xsi:type="dcterms:W3CDTF">2025-10-28T14:17:00Z</dcterms:modified>
</cp:coreProperties>
</file>