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99ADC" w14:textId="2888DA82" w:rsidR="004D3A2B" w:rsidRDefault="00ED68D4" w:rsidP="00B5276C">
      <w:pPr>
        <w:spacing w:line="360" w:lineRule="auto"/>
        <w:jc w:val="both"/>
        <w:rPr>
          <w:rFonts w:ascii="Arial" w:hAnsi="Arial" w:cs="Arial"/>
          <w:b/>
          <w:bCs/>
          <w:sz w:val="20"/>
          <w:szCs w:val="20"/>
        </w:rPr>
      </w:pPr>
      <w:r w:rsidRPr="006E3255">
        <w:rPr>
          <w:rFonts w:ascii="Arial" w:hAnsi="Arial" w:cs="Arial"/>
          <w:b/>
          <w:bCs/>
          <w:sz w:val="20"/>
          <w:szCs w:val="20"/>
        </w:rPr>
        <w:t>A</w:t>
      </w:r>
      <w:r w:rsidR="00696DE6" w:rsidRPr="006E3255">
        <w:rPr>
          <w:rFonts w:ascii="Arial" w:hAnsi="Arial" w:cs="Arial"/>
          <w:b/>
          <w:bCs/>
          <w:sz w:val="20"/>
          <w:szCs w:val="20"/>
        </w:rPr>
        <w:t>ssessment</w:t>
      </w:r>
      <w:r w:rsidR="00963E3D" w:rsidRPr="006E3255">
        <w:rPr>
          <w:rFonts w:ascii="Arial" w:hAnsi="Arial" w:cs="Arial"/>
          <w:b/>
          <w:bCs/>
          <w:sz w:val="20"/>
          <w:szCs w:val="20"/>
        </w:rPr>
        <w:t xml:space="preserve"> of</w:t>
      </w:r>
      <w:r w:rsidR="00716B5C" w:rsidRPr="006E3255">
        <w:rPr>
          <w:rFonts w:ascii="Arial" w:hAnsi="Arial" w:cs="Arial"/>
          <w:b/>
          <w:bCs/>
          <w:sz w:val="20"/>
          <w:szCs w:val="20"/>
        </w:rPr>
        <w:t xml:space="preserve"> </w:t>
      </w:r>
      <w:r w:rsidR="00C93AAA">
        <w:rPr>
          <w:rFonts w:ascii="Arial" w:hAnsi="Arial" w:cs="Arial"/>
          <w:b/>
          <w:bCs/>
          <w:sz w:val="20"/>
          <w:szCs w:val="20"/>
        </w:rPr>
        <w:t xml:space="preserve">the </w:t>
      </w:r>
      <w:r w:rsidR="00E40A43" w:rsidRPr="006E3255">
        <w:rPr>
          <w:rFonts w:ascii="Arial" w:hAnsi="Arial" w:cs="Arial"/>
          <w:b/>
          <w:bCs/>
          <w:sz w:val="20"/>
          <w:szCs w:val="20"/>
        </w:rPr>
        <w:t>D</w:t>
      </w:r>
      <w:r w:rsidR="00963E3D" w:rsidRPr="006E3255">
        <w:rPr>
          <w:rFonts w:ascii="Arial" w:hAnsi="Arial" w:cs="Arial"/>
          <w:b/>
          <w:bCs/>
          <w:sz w:val="20"/>
          <w:szCs w:val="20"/>
        </w:rPr>
        <w:t>airy</w:t>
      </w:r>
      <w:r w:rsidR="00897703" w:rsidRPr="006E3255">
        <w:rPr>
          <w:rFonts w:ascii="Arial" w:hAnsi="Arial" w:cs="Arial"/>
          <w:b/>
          <w:bCs/>
          <w:sz w:val="20"/>
          <w:szCs w:val="20"/>
        </w:rPr>
        <w:t xml:space="preserve"> </w:t>
      </w:r>
      <w:r w:rsidR="00E40A43" w:rsidRPr="006E3255">
        <w:rPr>
          <w:rFonts w:ascii="Arial" w:hAnsi="Arial" w:cs="Arial"/>
          <w:b/>
          <w:bCs/>
          <w:sz w:val="20"/>
          <w:szCs w:val="20"/>
        </w:rPr>
        <w:t>S</w:t>
      </w:r>
      <w:r w:rsidR="00897703" w:rsidRPr="006E3255">
        <w:rPr>
          <w:rFonts w:ascii="Arial" w:hAnsi="Arial" w:cs="Arial"/>
          <w:b/>
          <w:bCs/>
          <w:sz w:val="20"/>
          <w:szCs w:val="20"/>
        </w:rPr>
        <w:t>ector in Northeast India</w:t>
      </w:r>
    </w:p>
    <w:p w14:paraId="13A3E6F1" w14:textId="77777777" w:rsidR="00D325FF" w:rsidRPr="006E3255" w:rsidRDefault="00D325FF" w:rsidP="00B5276C">
      <w:pPr>
        <w:spacing w:line="360" w:lineRule="auto"/>
        <w:jc w:val="both"/>
        <w:rPr>
          <w:rFonts w:ascii="Arial" w:hAnsi="Arial" w:cs="Arial"/>
          <w:b/>
          <w:bCs/>
          <w:sz w:val="20"/>
          <w:szCs w:val="20"/>
        </w:rPr>
      </w:pPr>
    </w:p>
    <w:p w14:paraId="216C7992" w14:textId="77777777" w:rsidR="00D325FF" w:rsidRPr="006E3255" w:rsidRDefault="00D325FF" w:rsidP="00B5276C">
      <w:pPr>
        <w:spacing w:line="360" w:lineRule="auto"/>
        <w:jc w:val="both"/>
        <w:rPr>
          <w:rFonts w:ascii="Arial" w:hAnsi="Arial" w:cs="Arial"/>
          <w:sz w:val="20"/>
          <w:szCs w:val="20"/>
        </w:rPr>
      </w:pPr>
    </w:p>
    <w:p w14:paraId="48520E85" w14:textId="565B5F31" w:rsidR="00DB1DF8" w:rsidRPr="006E3255" w:rsidRDefault="00A83D30" w:rsidP="00B5276C">
      <w:pPr>
        <w:spacing w:line="360" w:lineRule="auto"/>
        <w:jc w:val="both"/>
        <w:rPr>
          <w:rFonts w:ascii="Arial" w:hAnsi="Arial" w:cs="Arial"/>
          <w:b/>
          <w:bCs/>
        </w:rPr>
      </w:pPr>
      <w:r w:rsidRPr="006E3255">
        <w:rPr>
          <w:rFonts w:ascii="Arial" w:hAnsi="Arial" w:cs="Arial"/>
          <w:b/>
          <w:bCs/>
        </w:rPr>
        <w:t>ABSTRACT</w:t>
      </w:r>
    </w:p>
    <w:p w14:paraId="2C8BED2B" w14:textId="695C3320" w:rsidR="001E43D1" w:rsidRPr="006E3255" w:rsidRDefault="007F6883" w:rsidP="00B5276C">
      <w:pPr>
        <w:spacing w:line="360" w:lineRule="auto"/>
        <w:jc w:val="both"/>
        <w:rPr>
          <w:rFonts w:ascii="Arial" w:hAnsi="Arial" w:cs="Arial"/>
          <w:sz w:val="20"/>
          <w:szCs w:val="20"/>
        </w:rPr>
      </w:pPr>
      <w:r w:rsidRPr="006E3255">
        <w:rPr>
          <w:rFonts w:ascii="Arial" w:hAnsi="Arial" w:cs="Arial"/>
          <w:sz w:val="20"/>
          <w:szCs w:val="20"/>
        </w:rPr>
        <w:t xml:space="preserve">The milk production in the Northeastern states makes up only 0.70 percent of the country’s total milk output. The region, </w:t>
      </w:r>
      <w:r w:rsidR="00002075" w:rsidRPr="006E3255">
        <w:rPr>
          <w:rFonts w:ascii="Arial" w:hAnsi="Arial" w:cs="Arial"/>
          <w:sz w:val="20"/>
          <w:szCs w:val="20"/>
        </w:rPr>
        <w:t xml:space="preserve">which </w:t>
      </w:r>
      <w:r w:rsidRPr="006E3255">
        <w:rPr>
          <w:rFonts w:ascii="Arial" w:hAnsi="Arial" w:cs="Arial"/>
          <w:sz w:val="20"/>
          <w:szCs w:val="20"/>
        </w:rPr>
        <w:t>co</w:t>
      </w:r>
      <w:r w:rsidR="00002075" w:rsidRPr="006E3255">
        <w:rPr>
          <w:rFonts w:ascii="Arial" w:hAnsi="Arial" w:cs="Arial"/>
          <w:sz w:val="20"/>
          <w:szCs w:val="20"/>
        </w:rPr>
        <w:t>nsist</w:t>
      </w:r>
      <w:r w:rsidR="00CA191B" w:rsidRPr="006E3255">
        <w:rPr>
          <w:rFonts w:ascii="Arial" w:hAnsi="Arial" w:cs="Arial"/>
          <w:sz w:val="20"/>
          <w:szCs w:val="20"/>
        </w:rPr>
        <w:t>s</w:t>
      </w:r>
      <w:r w:rsidRPr="006E3255">
        <w:rPr>
          <w:rFonts w:ascii="Arial" w:hAnsi="Arial" w:cs="Arial"/>
          <w:sz w:val="20"/>
          <w:szCs w:val="20"/>
        </w:rPr>
        <w:t xml:space="preserve"> mostly of smallholder farms with limited resources and infrastructure, faces issues like low productivity, lack of fodder, low adoption of improved breeds, cooperative challenges, and reliance on milk imports from other states. Assam leads regional production, followed by Tripura, while states like Mizoram and Arunachal Pradesh contribut</w:t>
      </w:r>
      <w:r w:rsidR="000A2AA7" w:rsidRPr="006E3255">
        <w:rPr>
          <w:rFonts w:ascii="Arial" w:hAnsi="Arial" w:cs="Arial"/>
          <w:sz w:val="20"/>
          <w:szCs w:val="20"/>
        </w:rPr>
        <w:t>e minimal</w:t>
      </w:r>
      <w:r w:rsidR="002537FE" w:rsidRPr="006E3255">
        <w:rPr>
          <w:rFonts w:ascii="Arial" w:hAnsi="Arial" w:cs="Arial"/>
          <w:sz w:val="20"/>
          <w:szCs w:val="20"/>
        </w:rPr>
        <w:t>ly</w:t>
      </w:r>
      <w:r w:rsidRPr="006E3255">
        <w:rPr>
          <w:rFonts w:ascii="Arial" w:hAnsi="Arial" w:cs="Arial"/>
          <w:sz w:val="20"/>
          <w:szCs w:val="20"/>
        </w:rPr>
        <w:t xml:space="preserve">. </w:t>
      </w:r>
      <w:r w:rsidR="00612728" w:rsidRPr="006E3255">
        <w:rPr>
          <w:rFonts w:ascii="Arial" w:hAnsi="Arial" w:cs="Arial"/>
          <w:sz w:val="20"/>
          <w:szCs w:val="20"/>
        </w:rPr>
        <w:t xml:space="preserve">The region’s per capita availability is </w:t>
      </w:r>
      <w:r w:rsidR="00612728" w:rsidRPr="006E3255">
        <w:rPr>
          <w:rFonts w:ascii="Arial" w:hAnsi="Arial" w:cs="Arial"/>
          <w:color w:val="000000" w:themeColor="text1"/>
          <w:sz w:val="20"/>
          <w:szCs w:val="20"/>
        </w:rPr>
        <w:t xml:space="preserve">71 g/day. </w:t>
      </w:r>
      <w:r w:rsidRPr="006E3255">
        <w:rPr>
          <w:rFonts w:ascii="Arial" w:hAnsi="Arial" w:cs="Arial"/>
          <w:sz w:val="20"/>
          <w:szCs w:val="20"/>
        </w:rPr>
        <w:t xml:space="preserve">Increasing urbanization, changing lifestyles, and rising purchasing power are driving higher demand for milk and dairy products, creating new market opportunities. However, problems with marketing, processing infrastructure, and perceptions of quality limit growth. </w:t>
      </w:r>
    </w:p>
    <w:p w14:paraId="0472B8C8" w14:textId="05F71552" w:rsidR="00033BAE" w:rsidRPr="006E3255" w:rsidRDefault="00033BAE" w:rsidP="00B5276C">
      <w:pPr>
        <w:spacing w:line="360" w:lineRule="auto"/>
        <w:jc w:val="both"/>
        <w:rPr>
          <w:rFonts w:ascii="Arial" w:eastAsia="Calibri" w:hAnsi="Arial" w:cs="Arial"/>
          <w:b/>
          <w:sz w:val="20"/>
          <w:szCs w:val="20"/>
        </w:rPr>
      </w:pPr>
      <w:r w:rsidRPr="006E3255">
        <w:rPr>
          <w:rFonts w:ascii="Arial" w:eastAsia="Calibri" w:hAnsi="Arial" w:cs="Arial"/>
          <w:b/>
          <w:sz w:val="20"/>
          <w:szCs w:val="20"/>
        </w:rPr>
        <w:t xml:space="preserve">Aims: </w:t>
      </w:r>
      <w:r w:rsidR="005D395D" w:rsidRPr="006E3255">
        <w:rPr>
          <w:rFonts w:ascii="Arial" w:eastAsia="Calibri" w:hAnsi="Arial" w:cs="Arial"/>
          <w:b/>
          <w:sz w:val="20"/>
          <w:szCs w:val="20"/>
        </w:rPr>
        <w:t>To analyse milk production and per capita availability in Northeast India</w:t>
      </w:r>
    </w:p>
    <w:p w14:paraId="7718BC84" w14:textId="677A5CFF" w:rsidR="00033BAE" w:rsidRPr="006E3255" w:rsidRDefault="00033BAE" w:rsidP="00B5276C">
      <w:pPr>
        <w:spacing w:line="360" w:lineRule="auto"/>
        <w:jc w:val="both"/>
        <w:rPr>
          <w:rFonts w:ascii="Arial" w:eastAsia="Calibri" w:hAnsi="Arial" w:cs="Arial"/>
          <w:sz w:val="20"/>
          <w:szCs w:val="20"/>
        </w:rPr>
      </w:pPr>
      <w:r w:rsidRPr="006E3255">
        <w:rPr>
          <w:rFonts w:ascii="Arial" w:eastAsia="Calibri" w:hAnsi="Arial" w:cs="Arial"/>
          <w:b/>
          <w:sz w:val="20"/>
          <w:szCs w:val="20"/>
        </w:rPr>
        <w:t>Study design:</w:t>
      </w:r>
      <w:r w:rsidRPr="006E3255">
        <w:rPr>
          <w:rFonts w:ascii="Arial" w:eastAsia="Calibri" w:hAnsi="Arial" w:cs="Arial"/>
          <w:sz w:val="20"/>
          <w:szCs w:val="20"/>
        </w:rPr>
        <w:t xml:space="preserve">  </w:t>
      </w:r>
      <w:r w:rsidR="001E4F5C" w:rsidRPr="006E3255">
        <w:rPr>
          <w:rFonts w:ascii="Arial" w:eastAsia="Calibri" w:hAnsi="Arial" w:cs="Arial"/>
          <w:sz w:val="20"/>
          <w:szCs w:val="20"/>
        </w:rPr>
        <w:t xml:space="preserve">The study is a secondary time series data, designed to study the landscape </w:t>
      </w:r>
      <w:r w:rsidR="009C73CB" w:rsidRPr="006E3255">
        <w:rPr>
          <w:rFonts w:ascii="Arial" w:eastAsia="Calibri" w:hAnsi="Arial" w:cs="Arial"/>
          <w:sz w:val="20"/>
          <w:szCs w:val="20"/>
        </w:rPr>
        <w:t>of dairy sector in</w:t>
      </w:r>
      <w:r w:rsidR="001E4F5C" w:rsidRPr="006E3255">
        <w:rPr>
          <w:rFonts w:ascii="Arial" w:eastAsia="Calibri" w:hAnsi="Arial" w:cs="Arial"/>
          <w:sz w:val="20"/>
          <w:szCs w:val="20"/>
        </w:rPr>
        <w:t xml:space="preserve"> </w:t>
      </w:r>
      <w:r w:rsidR="00DB4B5E" w:rsidRPr="006E3255">
        <w:rPr>
          <w:rFonts w:ascii="Arial" w:eastAsia="Calibri" w:hAnsi="Arial" w:cs="Arial"/>
          <w:sz w:val="20"/>
          <w:szCs w:val="20"/>
        </w:rPr>
        <w:t xml:space="preserve">the </w:t>
      </w:r>
      <w:r w:rsidR="001E4F5C" w:rsidRPr="006E3255">
        <w:rPr>
          <w:rFonts w:ascii="Arial" w:eastAsia="Calibri" w:hAnsi="Arial" w:cs="Arial"/>
          <w:sz w:val="20"/>
          <w:szCs w:val="20"/>
        </w:rPr>
        <w:t>Northeastern states</w:t>
      </w:r>
      <w:r w:rsidR="005A680B" w:rsidRPr="006E3255">
        <w:rPr>
          <w:rFonts w:ascii="Arial" w:eastAsia="Calibri" w:hAnsi="Arial" w:cs="Arial"/>
          <w:sz w:val="20"/>
          <w:szCs w:val="20"/>
        </w:rPr>
        <w:t>.</w:t>
      </w:r>
      <w:r w:rsidR="00DB4B5E" w:rsidRPr="006E3255">
        <w:rPr>
          <w:rFonts w:ascii="Arial" w:eastAsia="Calibri" w:hAnsi="Arial" w:cs="Arial"/>
          <w:sz w:val="20"/>
          <w:szCs w:val="20"/>
        </w:rPr>
        <w:t xml:space="preserve"> The study on this region is important as milk production is fluctuating over the years despite an increas</w:t>
      </w:r>
      <w:r w:rsidR="00A04B39">
        <w:rPr>
          <w:rFonts w:ascii="Arial" w:eastAsia="Calibri" w:hAnsi="Arial" w:cs="Arial"/>
          <w:sz w:val="20"/>
          <w:szCs w:val="20"/>
        </w:rPr>
        <w:t>e</w:t>
      </w:r>
      <w:r w:rsidR="00DB4B5E" w:rsidRPr="006E3255">
        <w:rPr>
          <w:rFonts w:ascii="Arial" w:eastAsia="Calibri" w:hAnsi="Arial" w:cs="Arial"/>
          <w:sz w:val="20"/>
          <w:szCs w:val="20"/>
        </w:rPr>
        <w:t xml:space="preserve"> in milk production nationwide.</w:t>
      </w:r>
      <w:r w:rsidR="009C73CB" w:rsidRPr="006E3255">
        <w:rPr>
          <w:rFonts w:ascii="Arial" w:eastAsia="Calibri" w:hAnsi="Arial" w:cs="Arial"/>
          <w:sz w:val="20"/>
          <w:szCs w:val="20"/>
        </w:rPr>
        <w:t xml:space="preserve"> </w:t>
      </w:r>
    </w:p>
    <w:p w14:paraId="5569A72B" w14:textId="32FD47F0" w:rsidR="00D91AA5" w:rsidRPr="006E3255" w:rsidRDefault="00D91AA5" w:rsidP="00B5276C">
      <w:pPr>
        <w:spacing w:line="360" w:lineRule="auto"/>
        <w:jc w:val="both"/>
        <w:rPr>
          <w:rFonts w:ascii="Arial" w:eastAsia="Calibri" w:hAnsi="Arial" w:cs="Arial"/>
          <w:sz w:val="20"/>
          <w:szCs w:val="20"/>
        </w:rPr>
      </w:pPr>
      <w:r w:rsidRPr="006E3255">
        <w:rPr>
          <w:rFonts w:ascii="Arial" w:eastAsia="Calibri" w:hAnsi="Arial" w:cs="Arial"/>
          <w:b/>
          <w:sz w:val="20"/>
          <w:szCs w:val="20"/>
        </w:rPr>
        <w:t>Place and Duration of Study:</w:t>
      </w:r>
      <w:r w:rsidRPr="006E3255">
        <w:rPr>
          <w:rFonts w:ascii="Arial" w:eastAsia="Calibri" w:hAnsi="Arial" w:cs="Arial"/>
          <w:sz w:val="20"/>
          <w:szCs w:val="20"/>
        </w:rPr>
        <w:t xml:space="preserve"> </w:t>
      </w:r>
      <w:r w:rsidR="002518E3" w:rsidRPr="006E3255">
        <w:rPr>
          <w:rFonts w:ascii="Arial" w:eastAsia="Calibri" w:hAnsi="Arial" w:cs="Arial"/>
          <w:sz w:val="20"/>
          <w:szCs w:val="20"/>
        </w:rPr>
        <w:t>Northeast India, for the year 2010-2023.</w:t>
      </w:r>
    </w:p>
    <w:p w14:paraId="78069963" w14:textId="44272824" w:rsidR="00D91AA5" w:rsidRPr="006E3255" w:rsidRDefault="00D91AA5" w:rsidP="00B5276C">
      <w:pPr>
        <w:spacing w:line="360" w:lineRule="auto"/>
        <w:jc w:val="both"/>
        <w:rPr>
          <w:rFonts w:ascii="Arial" w:eastAsia="Calibri" w:hAnsi="Arial" w:cs="Arial"/>
          <w:sz w:val="20"/>
          <w:szCs w:val="20"/>
        </w:rPr>
      </w:pPr>
      <w:r w:rsidRPr="006E3255">
        <w:rPr>
          <w:rFonts w:ascii="Arial" w:eastAsia="Calibri" w:hAnsi="Arial" w:cs="Arial"/>
          <w:b/>
          <w:bCs/>
          <w:sz w:val="20"/>
          <w:szCs w:val="20"/>
        </w:rPr>
        <w:t>Methodology:</w:t>
      </w:r>
      <w:r w:rsidRPr="006E3255">
        <w:rPr>
          <w:rFonts w:ascii="Arial" w:eastAsia="Calibri" w:hAnsi="Arial" w:cs="Arial"/>
          <w:sz w:val="20"/>
          <w:szCs w:val="20"/>
        </w:rPr>
        <w:t xml:space="preserve"> </w:t>
      </w:r>
      <w:r w:rsidR="00057C2B" w:rsidRPr="006E3255">
        <w:rPr>
          <w:rFonts w:ascii="Arial" w:eastAsia="Calibri" w:hAnsi="Arial" w:cs="Arial"/>
          <w:sz w:val="20"/>
          <w:szCs w:val="20"/>
        </w:rPr>
        <w:t>Compound annual growth rate</w:t>
      </w:r>
      <w:r w:rsidR="00902BE3">
        <w:rPr>
          <w:rFonts w:ascii="Arial" w:eastAsia="Calibri" w:hAnsi="Arial" w:cs="Arial"/>
          <w:sz w:val="20"/>
          <w:szCs w:val="20"/>
        </w:rPr>
        <w:t xml:space="preserve"> (CAGR)</w:t>
      </w:r>
    </w:p>
    <w:p w14:paraId="4155944E" w14:textId="20A29B67" w:rsidR="00D91AA5" w:rsidRPr="006E3255" w:rsidRDefault="00D91AA5" w:rsidP="00B5276C">
      <w:pPr>
        <w:spacing w:line="360" w:lineRule="auto"/>
        <w:jc w:val="both"/>
        <w:rPr>
          <w:rFonts w:ascii="Arial" w:hAnsi="Arial" w:cs="Arial"/>
          <w:sz w:val="20"/>
          <w:szCs w:val="20"/>
        </w:rPr>
      </w:pPr>
      <w:r w:rsidRPr="006E3255">
        <w:rPr>
          <w:rFonts w:ascii="Arial" w:eastAsia="Calibri" w:hAnsi="Arial" w:cs="Arial"/>
          <w:b/>
          <w:bCs/>
          <w:sz w:val="20"/>
          <w:szCs w:val="20"/>
        </w:rPr>
        <w:t>Results:</w:t>
      </w:r>
      <w:r w:rsidRPr="006E3255">
        <w:rPr>
          <w:rFonts w:ascii="Arial" w:eastAsia="Calibri" w:hAnsi="Arial" w:cs="Arial"/>
          <w:sz w:val="20"/>
          <w:szCs w:val="20"/>
        </w:rPr>
        <w:t xml:space="preserve"> </w:t>
      </w:r>
      <w:r w:rsidR="008630CB" w:rsidRPr="006E3255">
        <w:rPr>
          <w:rFonts w:ascii="Arial" w:hAnsi="Arial" w:cs="Arial"/>
          <w:sz w:val="20"/>
          <w:szCs w:val="20"/>
        </w:rPr>
        <w:t>The regional average growth fluctuates between small positive values and several negative years. While some states contribute to occasional regional improvement, widespread negative values in recent years between 2020-2023 show a decreasing trend, especially in states like Arunachal Pradesh, Manipur, Nagaland, and Mizoram.</w:t>
      </w:r>
      <w:r w:rsidR="00BA3D71" w:rsidRPr="006E3255">
        <w:rPr>
          <w:rFonts w:ascii="Arial" w:hAnsi="Arial" w:cs="Arial"/>
          <w:sz w:val="20"/>
          <w:szCs w:val="20"/>
        </w:rPr>
        <w:t xml:space="preserve"> Outliers in the per capita availability are observed in Arunachal.</w:t>
      </w:r>
    </w:p>
    <w:p w14:paraId="5281EECB" w14:textId="256D5E9E" w:rsidR="004B11D9" w:rsidRPr="006E3255" w:rsidRDefault="004B11D9" w:rsidP="00B5276C">
      <w:pPr>
        <w:spacing w:line="360" w:lineRule="auto"/>
        <w:jc w:val="both"/>
        <w:rPr>
          <w:rFonts w:ascii="Arial" w:hAnsi="Arial" w:cs="Arial"/>
          <w:b/>
          <w:bCs/>
          <w:sz w:val="20"/>
          <w:szCs w:val="20"/>
        </w:rPr>
      </w:pPr>
      <w:r w:rsidRPr="006E3255">
        <w:rPr>
          <w:rFonts w:ascii="Arial" w:hAnsi="Arial" w:cs="Arial"/>
          <w:b/>
          <w:bCs/>
          <w:sz w:val="20"/>
          <w:szCs w:val="20"/>
        </w:rPr>
        <w:t xml:space="preserve">Keywords: </w:t>
      </w:r>
      <w:r w:rsidRPr="006E3255">
        <w:rPr>
          <w:rFonts w:ascii="Arial" w:hAnsi="Arial" w:cs="Arial"/>
          <w:sz w:val="20"/>
          <w:szCs w:val="20"/>
        </w:rPr>
        <w:t xml:space="preserve">Dairy, </w:t>
      </w:r>
      <w:r w:rsidR="003564E1" w:rsidRPr="006E3255">
        <w:rPr>
          <w:rFonts w:ascii="Arial" w:hAnsi="Arial" w:cs="Arial"/>
          <w:sz w:val="20"/>
          <w:szCs w:val="20"/>
        </w:rPr>
        <w:t>D</w:t>
      </w:r>
      <w:r w:rsidR="00FE35C9" w:rsidRPr="006E3255">
        <w:rPr>
          <w:rFonts w:ascii="Arial" w:hAnsi="Arial" w:cs="Arial"/>
          <w:sz w:val="20"/>
          <w:szCs w:val="20"/>
        </w:rPr>
        <w:t xml:space="preserve">airy </w:t>
      </w:r>
      <w:r w:rsidR="003564E1" w:rsidRPr="006E3255">
        <w:rPr>
          <w:rFonts w:ascii="Arial" w:hAnsi="Arial" w:cs="Arial"/>
          <w:sz w:val="20"/>
          <w:szCs w:val="20"/>
        </w:rPr>
        <w:t>c</w:t>
      </w:r>
      <w:r w:rsidR="00FE35C9" w:rsidRPr="006E3255">
        <w:rPr>
          <w:rFonts w:ascii="Arial" w:hAnsi="Arial" w:cs="Arial"/>
          <w:sz w:val="20"/>
          <w:szCs w:val="20"/>
        </w:rPr>
        <w:t xml:space="preserve">ooperatives, </w:t>
      </w:r>
      <w:r w:rsidR="003564E1" w:rsidRPr="006E3255">
        <w:rPr>
          <w:rFonts w:ascii="Arial" w:hAnsi="Arial" w:cs="Arial"/>
          <w:sz w:val="20"/>
          <w:szCs w:val="20"/>
        </w:rPr>
        <w:t>G</w:t>
      </w:r>
      <w:r w:rsidRPr="006E3255">
        <w:rPr>
          <w:rFonts w:ascii="Arial" w:hAnsi="Arial" w:cs="Arial"/>
          <w:sz w:val="20"/>
          <w:szCs w:val="20"/>
        </w:rPr>
        <w:t xml:space="preserve">rowth rate, Northeast India </w:t>
      </w:r>
    </w:p>
    <w:p w14:paraId="3EBF8706" w14:textId="6773F7DD" w:rsidR="002A47CD" w:rsidRPr="006E3255" w:rsidRDefault="00A83D30" w:rsidP="00B5276C">
      <w:pPr>
        <w:pStyle w:val="ListParagraph"/>
        <w:numPr>
          <w:ilvl w:val="0"/>
          <w:numId w:val="1"/>
        </w:numPr>
        <w:spacing w:line="360" w:lineRule="auto"/>
        <w:jc w:val="both"/>
        <w:rPr>
          <w:rFonts w:ascii="Arial" w:hAnsi="Arial" w:cs="Arial"/>
          <w:b/>
          <w:bCs/>
        </w:rPr>
      </w:pPr>
      <w:r w:rsidRPr="006E3255">
        <w:rPr>
          <w:rFonts w:ascii="Arial" w:hAnsi="Arial" w:cs="Arial"/>
          <w:b/>
          <w:bCs/>
        </w:rPr>
        <w:t>INTRODUCTION</w:t>
      </w:r>
    </w:p>
    <w:p w14:paraId="5F00791B" w14:textId="56715581" w:rsidR="00672469" w:rsidRPr="006E3255" w:rsidRDefault="00674FD8" w:rsidP="00B5276C">
      <w:pPr>
        <w:spacing w:line="360" w:lineRule="auto"/>
        <w:jc w:val="both"/>
        <w:rPr>
          <w:rFonts w:ascii="Arial" w:hAnsi="Arial" w:cs="Arial"/>
          <w:sz w:val="20"/>
          <w:szCs w:val="20"/>
        </w:rPr>
      </w:pPr>
      <w:r w:rsidRPr="006E3255">
        <w:rPr>
          <w:rFonts w:ascii="Arial" w:hAnsi="Arial" w:cs="Arial"/>
          <w:sz w:val="20"/>
          <w:szCs w:val="20"/>
        </w:rPr>
        <w:t>India is the world’s largest milk producer</w:t>
      </w:r>
      <w:r w:rsidR="006E5B4E" w:rsidRPr="006E3255">
        <w:rPr>
          <w:rFonts w:ascii="Arial" w:hAnsi="Arial" w:cs="Arial"/>
          <w:sz w:val="20"/>
          <w:szCs w:val="20"/>
        </w:rPr>
        <w:t>,</w:t>
      </w:r>
      <w:r w:rsidRPr="006E3255">
        <w:rPr>
          <w:rFonts w:ascii="Arial" w:hAnsi="Arial" w:cs="Arial"/>
          <w:sz w:val="20"/>
          <w:szCs w:val="20"/>
        </w:rPr>
        <w:t xml:space="preserve"> </w:t>
      </w:r>
      <w:r w:rsidR="00E40A43" w:rsidRPr="006E3255">
        <w:rPr>
          <w:rFonts w:ascii="Arial" w:hAnsi="Arial" w:cs="Arial"/>
          <w:sz w:val="20"/>
          <w:szCs w:val="20"/>
        </w:rPr>
        <w:t>with</w:t>
      </w:r>
      <w:r w:rsidRPr="006E3255">
        <w:rPr>
          <w:rFonts w:ascii="Arial" w:hAnsi="Arial" w:cs="Arial"/>
          <w:sz w:val="20"/>
          <w:szCs w:val="20"/>
        </w:rPr>
        <w:t xml:space="preserve"> 23</w:t>
      </w:r>
      <w:r w:rsidR="00DF7D4F" w:rsidRPr="006E3255">
        <w:rPr>
          <w:rFonts w:ascii="Arial" w:hAnsi="Arial" w:cs="Arial"/>
          <w:sz w:val="20"/>
          <w:szCs w:val="20"/>
        </w:rPr>
        <w:t>9.30</w:t>
      </w:r>
      <w:r w:rsidRPr="006E3255">
        <w:rPr>
          <w:rFonts w:ascii="Arial" w:hAnsi="Arial" w:cs="Arial"/>
          <w:sz w:val="20"/>
          <w:szCs w:val="20"/>
        </w:rPr>
        <w:t xml:space="preserve"> million metric </w:t>
      </w:r>
      <w:r w:rsidR="009242C7" w:rsidRPr="006E3255">
        <w:rPr>
          <w:rFonts w:ascii="Arial" w:hAnsi="Arial" w:cs="Arial"/>
          <w:sz w:val="20"/>
          <w:szCs w:val="20"/>
        </w:rPr>
        <w:t>tons</w:t>
      </w:r>
      <w:r w:rsidRPr="006E3255">
        <w:rPr>
          <w:rFonts w:ascii="Arial" w:hAnsi="Arial" w:cs="Arial"/>
          <w:sz w:val="20"/>
          <w:szCs w:val="20"/>
        </w:rPr>
        <w:t xml:space="preserve"> (MT) of milk </w:t>
      </w:r>
      <w:r w:rsidR="00E40A43" w:rsidRPr="006E3255">
        <w:rPr>
          <w:rFonts w:ascii="Arial" w:hAnsi="Arial" w:cs="Arial"/>
          <w:sz w:val="20"/>
          <w:szCs w:val="20"/>
        </w:rPr>
        <w:t>and</w:t>
      </w:r>
      <w:r w:rsidRPr="006E3255">
        <w:rPr>
          <w:rFonts w:ascii="Arial" w:hAnsi="Arial" w:cs="Arial"/>
          <w:sz w:val="20"/>
          <w:szCs w:val="20"/>
        </w:rPr>
        <w:t xml:space="preserve"> </w:t>
      </w:r>
      <w:r w:rsidR="006E5B4E" w:rsidRPr="006E3255">
        <w:rPr>
          <w:rFonts w:ascii="Arial" w:hAnsi="Arial" w:cs="Arial"/>
          <w:sz w:val="20"/>
          <w:szCs w:val="20"/>
        </w:rPr>
        <w:t>a</w:t>
      </w:r>
      <w:r w:rsidRPr="006E3255">
        <w:rPr>
          <w:rFonts w:ascii="Arial" w:hAnsi="Arial" w:cs="Arial"/>
          <w:sz w:val="20"/>
          <w:szCs w:val="20"/>
        </w:rPr>
        <w:t xml:space="preserve"> per capita availability of 4</w:t>
      </w:r>
      <w:r w:rsidR="00DF7D4F" w:rsidRPr="006E3255">
        <w:rPr>
          <w:rFonts w:ascii="Arial" w:hAnsi="Arial" w:cs="Arial"/>
          <w:sz w:val="20"/>
          <w:szCs w:val="20"/>
        </w:rPr>
        <w:t>71</w:t>
      </w:r>
      <w:r w:rsidRPr="006E3255">
        <w:rPr>
          <w:rFonts w:ascii="Arial" w:hAnsi="Arial" w:cs="Arial"/>
          <w:sz w:val="20"/>
          <w:szCs w:val="20"/>
        </w:rPr>
        <w:t xml:space="preserve"> g/day (NDDB, 202</w:t>
      </w:r>
      <w:r w:rsidR="002B240F" w:rsidRPr="006E3255">
        <w:rPr>
          <w:rFonts w:ascii="Arial" w:hAnsi="Arial" w:cs="Arial"/>
          <w:sz w:val="20"/>
          <w:szCs w:val="20"/>
        </w:rPr>
        <w:t>4</w:t>
      </w:r>
      <w:r w:rsidR="00CC5A0A" w:rsidRPr="006E3255">
        <w:rPr>
          <w:rFonts w:ascii="Arial" w:hAnsi="Arial" w:cs="Arial"/>
          <w:sz w:val="20"/>
          <w:szCs w:val="20"/>
        </w:rPr>
        <w:t>).</w:t>
      </w:r>
      <w:r w:rsidRPr="006E3255">
        <w:rPr>
          <w:rFonts w:ascii="Arial" w:hAnsi="Arial" w:cs="Arial"/>
          <w:sz w:val="20"/>
          <w:szCs w:val="20"/>
        </w:rPr>
        <w:t xml:space="preserve"> </w:t>
      </w:r>
      <w:r w:rsidR="00F24A81" w:rsidRPr="006E3255">
        <w:rPr>
          <w:rFonts w:ascii="Arial" w:hAnsi="Arial" w:cs="Arial"/>
          <w:sz w:val="20"/>
          <w:szCs w:val="20"/>
        </w:rPr>
        <w:t>Milk production and dairy farming hold significant importance as subsidiary occupations of agriculture. They generate employment, strengthen the national economy, and provide income to both urban and rural areas (</w:t>
      </w:r>
      <w:r w:rsidR="00250E6F" w:rsidRPr="006E3255">
        <w:rPr>
          <w:rFonts w:ascii="Arial" w:hAnsi="Arial" w:cs="Arial"/>
          <w:sz w:val="20"/>
          <w:szCs w:val="20"/>
        </w:rPr>
        <w:t>P</w:t>
      </w:r>
      <w:r w:rsidR="00F24A81" w:rsidRPr="006E3255">
        <w:rPr>
          <w:rFonts w:ascii="Arial" w:hAnsi="Arial" w:cs="Arial"/>
          <w:sz w:val="20"/>
          <w:szCs w:val="20"/>
        </w:rPr>
        <w:t xml:space="preserve">asar </w:t>
      </w:r>
      <w:r w:rsidR="003E444D" w:rsidRPr="006E3255">
        <w:rPr>
          <w:rFonts w:ascii="Arial" w:hAnsi="Arial" w:cs="Arial"/>
          <w:sz w:val="20"/>
          <w:szCs w:val="20"/>
        </w:rPr>
        <w:t>et al.</w:t>
      </w:r>
      <w:r w:rsidR="00F24A81" w:rsidRPr="006E3255">
        <w:rPr>
          <w:rFonts w:ascii="Arial" w:hAnsi="Arial" w:cs="Arial"/>
          <w:sz w:val="20"/>
          <w:szCs w:val="20"/>
        </w:rPr>
        <w:t xml:space="preserve"> 2024). </w:t>
      </w:r>
      <w:r w:rsidR="00E40A43" w:rsidRPr="006E3255">
        <w:rPr>
          <w:rFonts w:ascii="Arial" w:hAnsi="Arial" w:cs="Arial"/>
          <w:sz w:val="20"/>
          <w:szCs w:val="20"/>
        </w:rPr>
        <w:t>Alt</w:t>
      </w:r>
      <w:r w:rsidR="00605D67" w:rsidRPr="006E3255">
        <w:rPr>
          <w:rFonts w:ascii="Arial" w:hAnsi="Arial" w:cs="Arial"/>
          <w:sz w:val="20"/>
          <w:szCs w:val="20"/>
        </w:rPr>
        <w:t>hough the country is self-sufficient in milk production</w:t>
      </w:r>
      <w:r w:rsidR="001E20C2" w:rsidRPr="006E3255">
        <w:rPr>
          <w:rFonts w:ascii="Arial" w:hAnsi="Arial" w:cs="Arial"/>
          <w:sz w:val="20"/>
          <w:szCs w:val="20"/>
        </w:rPr>
        <w:t xml:space="preserve">, </w:t>
      </w:r>
      <w:r w:rsidR="00E40A43" w:rsidRPr="006E3255">
        <w:rPr>
          <w:rFonts w:ascii="Arial" w:hAnsi="Arial" w:cs="Arial"/>
          <w:sz w:val="20"/>
          <w:szCs w:val="20"/>
        </w:rPr>
        <w:t xml:space="preserve">there are </w:t>
      </w:r>
      <w:r w:rsidR="001E20C2" w:rsidRPr="006E3255">
        <w:rPr>
          <w:rFonts w:ascii="Arial" w:hAnsi="Arial" w:cs="Arial"/>
          <w:sz w:val="20"/>
          <w:szCs w:val="20"/>
        </w:rPr>
        <w:t xml:space="preserve">significant regional </w:t>
      </w:r>
      <w:r w:rsidR="00E40A43" w:rsidRPr="006E3255">
        <w:rPr>
          <w:rFonts w:ascii="Arial" w:hAnsi="Arial" w:cs="Arial"/>
          <w:sz w:val="20"/>
          <w:szCs w:val="20"/>
        </w:rPr>
        <w:t>differences</w:t>
      </w:r>
      <w:r w:rsidR="00B4784D" w:rsidRPr="006E3255">
        <w:rPr>
          <w:rFonts w:ascii="Arial" w:hAnsi="Arial" w:cs="Arial"/>
          <w:sz w:val="20"/>
          <w:szCs w:val="20"/>
        </w:rPr>
        <w:t xml:space="preserve"> in northeastern </w:t>
      </w:r>
      <w:r w:rsidR="004900FF" w:rsidRPr="006E3255">
        <w:rPr>
          <w:rFonts w:ascii="Arial" w:hAnsi="Arial" w:cs="Arial"/>
          <w:sz w:val="20"/>
          <w:szCs w:val="20"/>
        </w:rPr>
        <w:t xml:space="preserve">(NE) </w:t>
      </w:r>
      <w:r w:rsidR="00B4784D" w:rsidRPr="006E3255">
        <w:rPr>
          <w:rFonts w:ascii="Arial" w:hAnsi="Arial" w:cs="Arial"/>
          <w:sz w:val="20"/>
          <w:szCs w:val="20"/>
        </w:rPr>
        <w:t>India</w:t>
      </w:r>
      <w:r w:rsidR="004D404D" w:rsidRPr="006E3255">
        <w:rPr>
          <w:rFonts w:ascii="Arial" w:hAnsi="Arial" w:cs="Arial"/>
          <w:sz w:val="20"/>
          <w:szCs w:val="20"/>
        </w:rPr>
        <w:t xml:space="preserve">. </w:t>
      </w:r>
      <w:r w:rsidR="008C048C" w:rsidRPr="006E3255">
        <w:rPr>
          <w:rFonts w:ascii="Arial" w:hAnsi="Arial" w:cs="Arial"/>
          <w:sz w:val="20"/>
          <w:szCs w:val="20"/>
        </w:rPr>
        <w:t xml:space="preserve">The northeastern states contribute only 0.19 percent to the total milk procured by cooperatives, despite accounting for 0.71 percent of total milk production (NDDB, 2017). </w:t>
      </w:r>
      <w:r w:rsidR="00672469" w:rsidRPr="006E3255">
        <w:rPr>
          <w:rFonts w:ascii="Arial" w:hAnsi="Arial" w:cs="Arial"/>
          <w:sz w:val="20"/>
          <w:szCs w:val="20"/>
        </w:rPr>
        <w:t xml:space="preserve">In this region, milk and milk products are supplied through a combination of local production, leading dairy cooperatives, and private dairies.  The </w:t>
      </w:r>
      <w:r w:rsidR="00E40A43" w:rsidRPr="006E3255">
        <w:rPr>
          <w:rFonts w:ascii="Arial" w:hAnsi="Arial" w:cs="Arial"/>
          <w:sz w:val="20"/>
          <w:szCs w:val="20"/>
        </w:rPr>
        <w:t xml:space="preserve">demand often exceeds supply, leading to a shortage that is most met through imports </w:t>
      </w:r>
      <w:r w:rsidR="00A57AF4" w:rsidRPr="006E3255">
        <w:rPr>
          <w:rFonts w:ascii="Arial" w:hAnsi="Arial" w:cs="Arial"/>
          <w:sz w:val="20"/>
          <w:szCs w:val="20"/>
        </w:rPr>
        <w:t>from other states</w:t>
      </w:r>
      <w:r w:rsidR="00B52CDA" w:rsidRPr="006E3255">
        <w:rPr>
          <w:rFonts w:ascii="Arial" w:hAnsi="Arial" w:cs="Arial"/>
          <w:sz w:val="20"/>
          <w:szCs w:val="20"/>
        </w:rPr>
        <w:t>,</w:t>
      </w:r>
      <w:r w:rsidR="00F74E40" w:rsidRPr="006E3255">
        <w:rPr>
          <w:rFonts w:ascii="Arial" w:hAnsi="Arial" w:cs="Arial"/>
          <w:sz w:val="20"/>
          <w:szCs w:val="20"/>
        </w:rPr>
        <w:t xml:space="preserve"> mostly the Amul brand</w:t>
      </w:r>
      <w:r w:rsidR="00B52CDA" w:rsidRPr="006E3255">
        <w:rPr>
          <w:rFonts w:ascii="Arial" w:hAnsi="Arial" w:cs="Arial"/>
          <w:sz w:val="20"/>
          <w:szCs w:val="20"/>
        </w:rPr>
        <w:t xml:space="preserve">, </w:t>
      </w:r>
      <w:r w:rsidR="00E40A43" w:rsidRPr="006E3255">
        <w:rPr>
          <w:rFonts w:ascii="Arial" w:hAnsi="Arial" w:cs="Arial"/>
          <w:sz w:val="20"/>
          <w:szCs w:val="20"/>
        </w:rPr>
        <w:t xml:space="preserve">which </w:t>
      </w:r>
      <w:r w:rsidR="00B52CDA" w:rsidRPr="006E3255">
        <w:rPr>
          <w:rFonts w:ascii="Arial" w:hAnsi="Arial" w:cs="Arial"/>
          <w:sz w:val="20"/>
          <w:szCs w:val="20"/>
        </w:rPr>
        <w:t>resul</w:t>
      </w:r>
      <w:r w:rsidR="00E40A43" w:rsidRPr="006E3255">
        <w:rPr>
          <w:rFonts w:ascii="Arial" w:hAnsi="Arial" w:cs="Arial"/>
          <w:sz w:val="20"/>
          <w:szCs w:val="20"/>
        </w:rPr>
        <w:t>ts</w:t>
      </w:r>
      <w:r w:rsidR="00B52CDA" w:rsidRPr="006E3255">
        <w:rPr>
          <w:rFonts w:ascii="Arial" w:hAnsi="Arial" w:cs="Arial"/>
          <w:sz w:val="20"/>
          <w:szCs w:val="20"/>
        </w:rPr>
        <w:t xml:space="preserve"> in </w:t>
      </w:r>
      <w:r w:rsidR="00E40A43" w:rsidRPr="006E3255">
        <w:rPr>
          <w:rFonts w:ascii="Arial" w:hAnsi="Arial" w:cs="Arial"/>
          <w:sz w:val="20"/>
          <w:szCs w:val="20"/>
        </w:rPr>
        <w:t>lower</w:t>
      </w:r>
      <w:r w:rsidR="00B52CDA" w:rsidRPr="006E3255">
        <w:rPr>
          <w:rFonts w:ascii="Arial" w:hAnsi="Arial" w:cs="Arial"/>
          <w:sz w:val="20"/>
          <w:szCs w:val="20"/>
        </w:rPr>
        <w:t xml:space="preserve"> brand popularity of local</w:t>
      </w:r>
      <w:r w:rsidR="00E40A43" w:rsidRPr="006E3255">
        <w:rPr>
          <w:rFonts w:ascii="Arial" w:hAnsi="Arial" w:cs="Arial"/>
          <w:sz w:val="20"/>
          <w:szCs w:val="20"/>
        </w:rPr>
        <w:t xml:space="preserve"> production</w:t>
      </w:r>
      <w:r w:rsidR="00A9008F" w:rsidRPr="006E3255">
        <w:rPr>
          <w:rFonts w:ascii="Arial" w:hAnsi="Arial" w:cs="Arial"/>
          <w:sz w:val="20"/>
          <w:szCs w:val="20"/>
        </w:rPr>
        <w:t xml:space="preserve">. </w:t>
      </w:r>
    </w:p>
    <w:p w14:paraId="26ADEE6F" w14:textId="3388B122" w:rsidR="006A7662" w:rsidRPr="006E3255" w:rsidRDefault="00220738" w:rsidP="00B5276C">
      <w:pPr>
        <w:spacing w:line="360" w:lineRule="auto"/>
        <w:jc w:val="both"/>
        <w:rPr>
          <w:rFonts w:ascii="Arial" w:hAnsi="Arial" w:cs="Arial"/>
          <w:sz w:val="20"/>
          <w:szCs w:val="20"/>
        </w:rPr>
      </w:pPr>
      <w:r w:rsidRPr="006E3255">
        <w:rPr>
          <w:rFonts w:ascii="Arial" w:hAnsi="Arial" w:cs="Arial"/>
          <w:sz w:val="20"/>
          <w:szCs w:val="20"/>
        </w:rPr>
        <w:lastRenderedPageBreak/>
        <w:t>Traditionally,</w:t>
      </w:r>
      <w:r w:rsidR="009F244E" w:rsidRPr="006E3255">
        <w:rPr>
          <w:rFonts w:ascii="Arial" w:hAnsi="Arial" w:cs="Arial"/>
          <w:sz w:val="20"/>
          <w:szCs w:val="20"/>
        </w:rPr>
        <w:t xml:space="preserve"> farmers</w:t>
      </w:r>
      <w:r w:rsidR="0041173E" w:rsidRPr="006E3255">
        <w:rPr>
          <w:rFonts w:ascii="Arial" w:hAnsi="Arial" w:cs="Arial"/>
          <w:sz w:val="20"/>
          <w:szCs w:val="20"/>
        </w:rPr>
        <w:t xml:space="preserve"> in NE rely</w:t>
      </w:r>
      <w:r w:rsidR="009F244E" w:rsidRPr="006E3255">
        <w:rPr>
          <w:rFonts w:ascii="Arial" w:hAnsi="Arial" w:cs="Arial"/>
          <w:sz w:val="20"/>
          <w:szCs w:val="20"/>
        </w:rPr>
        <w:t xml:space="preserve"> on </w:t>
      </w:r>
      <w:r w:rsidRPr="006E3255">
        <w:rPr>
          <w:rFonts w:ascii="Arial" w:hAnsi="Arial" w:cs="Arial"/>
          <w:sz w:val="20"/>
          <w:szCs w:val="20"/>
        </w:rPr>
        <w:t>agricultur</w:t>
      </w:r>
      <w:r w:rsidR="009F244E" w:rsidRPr="006E3255">
        <w:rPr>
          <w:rFonts w:ascii="Arial" w:hAnsi="Arial" w:cs="Arial"/>
          <w:sz w:val="20"/>
          <w:szCs w:val="20"/>
        </w:rPr>
        <w:t xml:space="preserve">al cultivation. </w:t>
      </w:r>
      <w:r w:rsidR="00DF60CA" w:rsidRPr="006E3255">
        <w:rPr>
          <w:rFonts w:ascii="Arial" w:hAnsi="Arial" w:cs="Arial"/>
          <w:sz w:val="20"/>
          <w:szCs w:val="20"/>
        </w:rPr>
        <w:t>However</w:t>
      </w:r>
      <w:r w:rsidR="00A9008F" w:rsidRPr="006E3255">
        <w:rPr>
          <w:rFonts w:ascii="Arial" w:hAnsi="Arial" w:cs="Arial"/>
          <w:sz w:val="20"/>
          <w:szCs w:val="20"/>
        </w:rPr>
        <w:t>,</w:t>
      </w:r>
      <w:r w:rsidR="002E1DEE" w:rsidRPr="006E3255">
        <w:rPr>
          <w:rFonts w:ascii="Arial" w:hAnsi="Arial" w:cs="Arial"/>
          <w:sz w:val="20"/>
          <w:szCs w:val="20"/>
        </w:rPr>
        <w:t xml:space="preserve"> dairy farming</w:t>
      </w:r>
      <w:r w:rsidR="0041173E" w:rsidRPr="006E3255">
        <w:rPr>
          <w:rFonts w:ascii="Arial" w:hAnsi="Arial" w:cs="Arial"/>
          <w:sz w:val="20"/>
          <w:szCs w:val="20"/>
        </w:rPr>
        <w:t xml:space="preserve"> has become an important activity</w:t>
      </w:r>
      <w:r w:rsidR="006A227E" w:rsidRPr="006E3255">
        <w:rPr>
          <w:rFonts w:ascii="Arial" w:hAnsi="Arial" w:cs="Arial"/>
          <w:sz w:val="20"/>
          <w:szCs w:val="20"/>
        </w:rPr>
        <w:t xml:space="preserve"> </w:t>
      </w:r>
      <w:r w:rsidR="001D0AEC" w:rsidRPr="006E3255">
        <w:rPr>
          <w:rFonts w:ascii="Arial" w:hAnsi="Arial" w:cs="Arial"/>
          <w:sz w:val="20"/>
          <w:szCs w:val="20"/>
        </w:rPr>
        <w:t xml:space="preserve">in </w:t>
      </w:r>
      <w:r w:rsidR="005D3DA7" w:rsidRPr="006E3255">
        <w:rPr>
          <w:rFonts w:ascii="Arial" w:hAnsi="Arial" w:cs="Arial"/>
          <w:sz w:val="20"/>
          <w:szCs w:val="20"/>
        </w:rPr>
        <w:t>the</w:t>
      </w:r>
      <w:r w:rsidR="006A227E" w:rsidRPr="006E3255">
        <w:rPr>
          <w:rFonts w:ascii="Arial" w:hAnsi="Arial" w:cs="Arial"/>
          <w:sz w:val="20"/>
          <w:szCs w:val="20"/>
        </w:rPr>
        <w:t xml:space="preserve"> region</w:t>
      </w:r>
      <w:r w:rsidR="0041173E" w:rsidRPr="006E3255">
        <w:rPr>
          <w:rFonts w:ascii="Arial" w:hAnsi="Arial" w:cs="Arial"/>
          <w:sz w:val="20"/>
          <w:szCs w:val="20"/>
        </w:rPr>
        <w:t>, offering</w:t>
      </w:r>
      <w:r w:rsidR="001674E9" w:rsidRPr="006E3255">
        <w:rPr>
          <w:rFonts w:ascii="Arial" w:hAnsi="Arial" w:cs="Arial"/>
          <w:sz w:val="20"/>
          <w:szCs w:val="20"/>
        </w:rPr>
        <w:t xml:space="preserve"> numerous</w:t>
      </w:r>
      <w:r w:rsidR="0041173E" w:rsidRPr="006E3255">
        <w:rPr>
          <w:rFonts w:ascii="Arial" w:hAnsi="Arial" w:cs="Arial"/>
          <w:sz w:val="20"/>
          <w:szCs w:val="20"/>
        </w:rPr>
        <w:t xml:space="preserve"> investment</w:t>
      </w:r>
      <w:r w:rsidR="002E1DEE" w:rsidRPr="006E3255">
        <w:rPr>
          <w:rFonts w:ascii="Arial" w:hAnsi="Arial" w:cs="Arial"/>
          <w:sz w:val="20"/>
          <w:szCs w:val="20"/>
        </w:rPr>
        <w:t xml:space="preserve"> </w:t>
      </w:r>
      <w:r w:rsidR="00E52489" w:rsidRPr="006E3255">
        <w:rPr>
          <w:rFonts w:ascii="Arial" w:hAnsi="Arial" w:cs="Arial"/>
          <w:sz w:val="20"/>
          <w:szCs w:val="20"/>
        </w:rPr>
        <w:t>opportunities.</w:t>
      </w:r>
      <w:r w:rsidR="002E1DEE" w:rsidRPr="006E3255">
        <w:rPr>
          <w:rFonts w:ascii="Arial" w:hAnsi="Arial" w:cs="Arial"/>
          <w:sz w:val="20"/>
          <w:szCs w:val="20"/>
        </w:rPr>
        <w:t xml:space="preserve"> </w:t>
      </w:r>
      <w:r w:rsidR="000126B1" w:rsidRPr="006E3255">
        <w:rPr>
          <w:rFonts w:ascii="Arial" w:hAnsi="Arial" w:cs="Arial"/>
          <w:sz w:val="20"/>
          <w:szCs w:val="20"/>
        </w:rPr>
        <w:t xml:space="preserve">Northeast India has diverse geographical features, including hills, plains, and valleys, which </w:t>
      </w:r>
      <w:r w:rsidR="00BA75FE" w:rsidRPr="006E3255">
        <w:rPr>
          <w:rFonts w:ascii="Arial" w:hAnsi="Arial" w:cs="Arial"/>
          <w:sz w:val="20"/>
          <w:szCs w:val="20"/>
        </w:rPr>
        <w:t>influence</w:t>
      </w:r>
      <w:r w:rsidR="000126B1" w:rsidRPr="006E3255">
        <w:rPr>
          <w:rFonts w:ascii="Arial" w:hAnsi="Arial" w:cs="Arial"/>
          <w:sz w:val="20"/>
          <w:szCs w:val="20"/>
        </w:rPr>
        <w:t xml:space="preserve"> dairy farming practices.</w:t>
      </w:r>
      <w:r w:rsidR="00BA75FE" w:rsidRPr="006E3255">
        <w:rPr>
          <w:rFonts w:ascii="Arial" w:hAnsi="Arial" w:cs="Arial"/>
          <w:sz w:val="20"/>
          <w:szCs w:val="20"/>
        </w:rPr>
        <w:t xml:space="preserve"> Although smaller in scale compared to</w:t>
      </w:r>
      <w:r w:rsidR="000126B1" w:rsidRPr="006E3255">
        <w:rPr>
          <w:rFonts w:ascii="Arial" w:hAnsi="Arial" w:cs="Arial"/>
          <w:sz w:val="20"/>
          <w:szCs w:val="20"/>
        </w:rPr>
        <w:t xml:space="preserve"> </w:t>
      </w:r>
      <w:r w:rsidR="003C693F" w:rsidRPr="006E3255">
        <w:rPr>
          <w:rFonts w:ascii="Arial" w:hAnsi="Arial" w:cs="Arial"/>
          <w:sz w:val="20"/>
          <w:szCs w:val="20"/>
        </w:rPr>
        <w:t>other parts of the country, the dairy sector in Northeast India significant</w:t>
      </w:r>
      <w:r w:rsidR="00BA75FE" w:rsidRPr="006E3255">
        <w:rPr>
          <w:rFonts w:ascii="Arial" w:hAnsi="Arial" w:cs="Arial"/>
          <w:sz w:val="20"/>
          <w:szCs w:val="20"/>
        </w:rPr>
        <w:t>ly supports local</w:t>
      </w:r>
      <w:r w:rsidR="003C693F" w:rsidRPr="006E3255">
        <w:rPr>
          <w:rFonts w:ascii="Arial" w:hAnsi="Arial" w:cs="Arial"/>
          <w:sz w:val="20"/>
          <w:szCs w:val="20"/>
        </w:rPr>
        <w:t xml:space="preserve"> livelihoods and nutrition</w:t>
      </w:r>
      <w:r w:rsidR="00BA75FE" w:rsidRPr="006E3255">
        <w:rPr>
          <w:rFonts w:ascii="Arial" w:hAnsi="Arial" w:cs="Arial"/>
          <w:sz w:val="20"/>
          <w:szCs w:val="20"/>
        </w:rPr>
        <w:t xml:space="preserve">. </w:t>
      </w:r>
      <w:r w:rsidR="00395B17" w:rsidRPr="006E3255">
        <w:rPr>
          <w:rFonts w:ascii="Arial" w:hAnsi="Arial" w:cs="Arial"/>
          <w:sz w:val="20"/>
          <w:szCs w:val="20"/>
        </w:rPr>
        <w:t xml:space="preserve">Due to small landholdings and limited alternative </w:t>
      </w:r>
      <w:r w:rsidR="00BA75FE" w:rsidRPr="006E3255">
        <w:rPr>
          <w:rFonts w:ascii="Arial" w:hAnsi="Arial" w:cs="Arial"/>
          <w:sz w:val="20"/>
          <w:szCs w:val="20"/>
        </w:rPr>
        <w:t>income sources</w:t>
      </w:r>
      <w:r w:rsidR="00395B17" w:rsidRPr="006E3255">
        <w:rPr>
          <w:rFonts w:ascii="Arial" w:hAnsi="Arial" w:cs="Arial"/>
          <w:sz w:val="20"/>
          <w:szCs w:val="20"/>
        </w:rPr>
        <w:t xml:space="preserve">, dairy farming and livestock enterprises are particularly </w:t>
      </w:r>
      <w:r w:rsidR="00BA75FE" w:rsidRPr="006E3255">
        <w:rPr>
          <w:rFonts w:ascii="Arial" w:hAnsi="Arial" w:cs="Arial"/>
          <w:sz w:val="20"/>
          <w:szCs w:val="20"/>
        </w:rPr>
        <w:t>vita</w:t>
      </w:r>
      <w:r w:rsidR="00395B17" w:rsidRPr="006E3255">
        <w:rPr>
          <w:rFonts w:ascii="Arial" w:hAnsi="Arial" w:cs="Arial"/>
          <w:sz w:val="20"/>
          <w:szCs w:val="20"/>
        </w:rPr>
        <w:t>l in this region (Priscilla</w:t>
      </w:r>
      <w:r w:rsidR="00130986" w:rsidRPr="006E3255">
        <w:rPr>
          <w:rFonts w:ascii="Arial" w:hAnsi="Arial" w:cs="Arial"/>
          <w:sz w:val="20"/>
          <w:szCs w:val="20"/>
        </w:rPr>
        <w:t xml:space="preserve"> </w:t>
      </w:r>
      <w:r w:rsidR="003E444D" w:rsidRPr="006E3255">
        <w:rPr>
          <w:rFonts w:ascii="Arial" w:hAnsi="Arial" w:cs="Arial"/>
          <w:sz w:val="20"/>
          <w:szCs w:val="20"/>
        </w:rPr>
        <w:t>et al</w:t>
      </w:r>
      <w:r w:rsidR="003E444D" w:rsidRPr="006E3255">
        <w:rPr>
          <w:rFonts w:ascii="Arial" w:hAnsi="Arial" w:cs="Arial"/>
          <w:i/>
          <w:iCs/>
          <w:sz w:val="20"/>
          <w:szCs w:val="20"/>
        </w:rPr>
        <w:t>.</w:t>
      </w:r>
      <w:r w:rsidR="00395B17" w:rsidRPr="006E3255">
        <w:rPr>
          <w:rFonts w:ascii="Arial" w:hAnsi="Arial" w:cs="Arial"/>
          <w:sz w:val="20"/>
          <w:szCs w:val="20"/>
        </w:rPr>
        <w:t xml:space="preserve"> 2017).</w:t>
      </w:r>
      <w:r w:rsidR="008C048C" w:rsidRPr="006E3255">
        <w:rPr>
          <w:rFonts w:ascii="Arial" w:hAnsi="Arial" w:cs="Arial"/>
          <w:sz w:val="20"/>
          <w:szCs w:val="20"/>
        </w:rPr>
        <w:t xml:space="preserve"> Some dairy brands present in the Northeast include </w:t>
      </w:r>
      <w:proofErr w:type="spellStart"/>
      <w:r w:rsidR="008C048C" w:rsidRPr="006E3255">
        <w:rPr>
          <w:rFonts w:ascii="Arial" w:hAnsi="Arial" w:cs="Arial"/>
          <w:sz w:val="20"/>
          <w:szCs w:val="20"/>
        </w:rPr>
        <w:t>Purabi</w:t>
      </w:r>
      <w:proofErr w:type="spellEnd"/>
      <w:r w:rsidR="008C048C" w:rsidRPr="006E3255">
        <w:rPr>
          <w:rFonts w:ascii="Arial" w:hAnsi="Arial" w:cs="Arial"/>
          <w:sz w:val="20"/>
          <w:szCs w:val="20"/>
        </w:rPr>
        <w:t xml:space="preserve"> in Assam, Gomati in Tripura, DIMUL in Nagaland, Na Ri in Meghalaya, </w:t>
      </w:r>
      <w:proofErr w:type="spellStart"/>
      <w:r w:rsidR="008C048C" w:rsidRPr="006E3255">
        <w:rPr>
          <w:rFonts w:ascii="Arial" w:hAnsi="Arial" w:cs="Arial"/>
          <w:sz w:val="20"/>
          <w:szCs w:val="20"/>
        </w:rPr>
        <w:t>Chumthang</w:t>
      </w:r>
      <w:proofErr w:type="spellEnd"/>
      <w:r w:rsidR="008C048C" w:rsidRPr="006E3255">
        <w:rPr>
          <w:rFonts w:ascii="Arial" w:hAnsi="Arial" w:cs="Arial"/>
          <w:sz w:val="20"/>
          <w:szCs w:val="20"/>
        </w:rPr>
        <w:t xml:space="preserve"> in Manipur, MULCO in Mizoram, </w:t>
      </w:r>
      <w:proofErr w:type="spellStart"/>
      <w:r w:rsidR="008C048C" w:rsidRPr="006E3255">
        <w:rPr>
          <w:rFonts w:ascii="Arial" w:hAnsi="Arial" w:cs="Arial"/>
          <w:sz w:val="20"/>
          <w:szCs w:val="20"/>
        </w:rPr>
        <w:t>Nyukmadung</w:t>
      </w:r>
      <w:proofErr w:type="spellEnd"/>
      <w:r w:rsidR="008C048C" w:rsidRPr="006E3255">
        <w:rPr>
          <w:rFonts w:ascii="Arial" w:hAnsi="Arial" w:cs="Arial"/>
          <w:sz w:val="20"/>
          <w:szCs w:val="20"/>
        </w:rPr>
        <w:t xml:space="preserve"> in Arunachal, and Kanchenjunga in Sikkim.</w:t>
      </w:r>
    </w:p>
    <w:p w14:paraId="2EE42676" w14:textId="062F7E65" w:rsidR="00227B70" w:rsidRPr="006E3255" w:rsidRDefault="008C048C" w:rsidP="00B5276C">
      <w:pPr>
        <w:spacing w:line="360" w:lineRule="auto"/>
        <w:jc w:val="both"/>
        <w:rPr>
          <w:rFonts w:ascii="Arial" w:hAnsi="Arial" w:cs="Arial"/>
          <w:sz w:val="20"/>
          <w:szCs w:val="20"/>
        </w:rPr>
      </w:pPr>
      <w:r w:rsidRPr="006E3255">
        <w:rPr>
          <w:rFonts w:ascii="Arial" w:hAnsi="Arial" w:cs="Arial"/>
          <w:sz w:val="20"/>
          <w:szCs w:val="20"/>
        </w:rPr>
        <w:t>The future of processed milk and related industries in the area looks promising, supported by initiatives like the Government of India’s Act East Policy, the Free Trade Agreement with ASEAN, and the Pan Asian Highway. The region’s strategic location, sharing 98 percent of its borders with neighbo</w:t>
      </w:r>
      <w:r w:rsidR="00C65CD1" w:rsidRPr="006E3255">
        <w:rPr>
          <w:rFonts w:ascii="Arial" w:hAnsi="Arial" w:cs="Arial"/>
          <w:sz w:val="20"/>
          <w:szCs w:val="20"/>
        </w:rPr>
        <w:t>u</w:t>
      </w:r>
      <w:r w:rsidRPr="006E3255">
        <w:rPr>
          <w:rFonts w:ascii="Arial" w:hAnsi="Arial" w:cs="Arial"/>
          <w:sz w:val="20"/>
          <w:szCs w:val="20"/>
        </w:rPr>
        <w:t xml:space="preserve">ring countries, offers significant export opportunities and enhances its economic potential. </w:t>
      </w:r>
      <w:r w:rsidR="00227B70" w:rsidRPr="006E3255">
        <w:rPr>
          <w:rFonts w:ascii="Arial" w:hAnsi="Arial" w:cs="Arial"/>
          <w:sz w:val="20"/>
          <w:szCs w:val="20"/>
        </w:rPr>
        <w:t xml:space="preserve">Consumption of milk and milk products is low in the region. Nonetheless, with the increasing per capita income and changing lifestyle, the demand for milk and milk products is rising (Feroze </w:t>
      </w:r>
      <w:r w:rsidR="003E444D" w:rsidRPr="006E3255">
        <w:rPr>
          <w:rFonts w:ascii="Arial" w:hAnsi="Arial" w:cs="Arial"/>
          <w:sz w:val="20"/>
          <w:szCs w:val="20"/>
        </w:rPr>
        <w:t>et al.</w:t>
      </w:r>
      <w:r w:rsidR="00227B70" w:rsidRPr="006E3255">
        <w:rPr>
          <w:rFonts w:ascii="Arial" w:hAnsi="Arial" w:cs="Arial"/>
          <w:sz w:val="20"/>
          <w:szCs w:val="20"/>
        </w:rPr>
        <w:t xml:space="preserve"> 2010). The projected household demand in 2030 indicates significant market potential for dairy products in the Northeastern States (NDDB, 2021). </w:t>
      </w:r>
      <w:r w:rsidR="003F100E" w:rsidRPr="006E3255">
        <w:rPr>
          <w:rFonts w:ascii="Arial" w:hAnsi="Arial" w:cs="Arial"/>
          <w:sz w:val="20"/>
          <w:szCs w:val="20"/>
        </w:rPr>
        <w:t>This study aims to study the trends of milk production and per capita income in Northeastern India.</w:t>
      </w:r>
    </w:p>
    <w:p w14:paraId="55392769" w14:textId="1DDC3BD6" w:rsidR="006A06F5" w:rsidRPr="006E3255" w:rsidRDefault="006F287F" w:rsidP="00B5276C">
      <w:pPr>
        <w:spacing w:line="360" w:lineRule="auto"/>
        <w:jc w:val="both"/>
        <w:rPr>
          <w:rFonts w:ascii="Arial" w:hAnsi="Arial" w:cs="Arial"/>
          <w:b/>
          <w:bCs/>
          <w:sz w:val="20"/>
          <w:szCs w:val="20"/>
        </w:rPr>
      </w:pPr>
      <w:r w:rsidRPr="006E3255">
        <w:rPr>
          <w:rFonts w:ascii="Arial" w:hAnsi="Arial" w:cs="Arial"/>
          <w:b/>
          <w:bCs/>
        </w:rPr>
        <w:t>2. METHODOLOGY</w:t>
      </w:r>
    </w:p>
    <w:p w14:paraId="0CA9BCCB" w14:textId="59CA0AD7" w:rsidR="006A06F5" w:rsidRPr="006E3255" w:rsidRDefault="00277130" w:rsidP="00B5276C">
      <w:pPr>
        <w:spacing w:line="360" w:lineRule="auto"/>
        <w:jc w:val="both"/>
        <w:rPr>
          <w:rFonts w:ascii="Arial" w:hAnsi="Arial" w:cs="Arial"/>
          <w:b/>
          <w:bCs/>
          <w:sz w:val="20"/>
          <w:szCs w:val="20"/>
          <w:u w:val="single"/>
        </w:rPr>
      </w:pPr>
      <w:r w:rsidRPr="006E3255">
        <w:rPr>
          <w:rFonts w:ascii="Arial" w:hAnsi="Arial" w:cs="Arial"/>
          <w:b/>
          <w:bCs/>
          <w:sz w:val="20"/>
          <w:szCs w:val="20"/>
          <w:u w:val="single"/>
        </w:rPr>
        <w:t xml:space="preserve">2.1 </w:t>
      </w:r>
      <w:r w:rsidR="006A06F5" w:rsidRPr="006E3255">
        <w:rPr>
          <w:rFonts w:ascii="Arial" w:hAnsi="Arial" w:cs="Arial"/>
          <w:b/>
          <w:bCs/>
          <w:sz w:val="20"/>
          <w:szCs w:val="20"/>
          <w:u w:val="single"/>
        </w:rPr>
        <w:t>Compound annual growth rate (CAGR)</w:t>
      </w:r>
    </w:p>
    <w:p w14:paraId="66BC5C75" w14:textId="77777777" w:rsidR="006A06F5" w:rsidRPr="006E3255" w:rsidRDefault="006A06F5" w:rsidP="00B5276C">
      <w:pPr>
        <w:spacing w:line="360" w:lineRule="auto"/>
        <w:jc w:val="both"/>
        <w:rPr>
          <w:rFonts w:ascii="Arial" w:hAnsi="Arial" w:cs="Arial"/>
          <w:sz w:val="20"/>
          <w:szCs w:val="20"/>
        </w:rPr>
      </w:pPr>
      <w:r w:rsidRPr="006E3255">
        <w:rPr>
          <w:rFonts w:ascii="Arial" w:hAnsi="Arial" w:cs="Arial"/>
          <w:sz w:val="20"/>
          <w:szCs w:val="20"/>
        </w:rPr>
        <w:t>It gives a single percentage figure that indicates the average yearly rate at which the variable has grown during the specified period. Mathematically,</w:t>
      </w:r>
    </w:p>
    <w:p w14:paraId="6333F4DB" w14:textId="11CF9475" w:rsidR="006A06F5" w:rsidRPr="006E3255" w:rsidRDefault="006A06F5" w:rsidP="00B5276C">
      <w:pPr>
        <w:spacing w:line="360" w:lineRule="auto"/>
        <w:jc w:val="both"/>
        <w:rPr>
          <w:rFonts w:ascii="Arial" w:hAnsi="Arial" w:cs="Arial"/>
          <w:sz w:val="20"/>
          <w:szCs w:val="20"/>
        </w:rPr>
      </w:pPr>
      <w:r w:rsidRPr="006E3255">
        <w:rPr>
          <w:rFonts w:ascii="Arial" w:hAnsi="Arial" w:cs="Arial"/>
          <w:sz w:val="20"/>
          <w:szCs w:val="20"/>
        </w:rPr>
        <w:t>CAGR</w:t>
      </w:r>
      <w:r w:rsidRPr="006E3255">
        <w:rPr>
          <w:rFonts w:ascii="Arial" w:hAnsi="Arial" w:cs="Arial"/>
          <w:b/>
          <w:bCs/>
          <w:sz w:val="20"/>
          <w:szCs w:val="20"/>
        </w:rPr>
        <w:t xml:space="preserve"> = </w:t>
      </w:r>
      <m:oMath>
        <m:sSup>
          <m:sSupPr>
            <m:ctrlPr>
              <w:rPr>
                <w:rFonts w:ascii="Cambria Math" w:hAnsi="Cambria Math" w:cs="Arial"/>
                <w:b/>
                <w:bCs/>
                <w:i/>
                <w:sz w:val="20"/>
                <w:szCs w:val="20"/>
              </w:rPr>
            </m:ctrlPr>
          </m:sSupPr>
          <m:e>
            <m:r>
              <m:rPr>
                <m:sty m:val="bi"/>
              </m:rPr>
              <w:rPr>
                <w:rFonts w:ascii="Cambria Math" w:hAnsi="Cambria Math" w:cs="Arial"/>
                <w:sz w:val="20"/>
                <w:szCs w:val="20"/>
              </w:rPr>
              <m:t>(</m:t>
            </m:r>
            <m:f>
              <m:fPr>
                <m:ctrlPr>
                  <w:rPr>
                    <w:rFonts w:ascii="Cambria Math" w:hAnsi="Cambria Math" w:cs="Arial"/>
                    <w:b/>
                    <w:bCs/>
                    <w:i/>
                    <w:sz w:val="20"/>
                    <w:szCs w:val="20"/>
                  </w:rPr>
                </m:ctrlPr>
              </m:fPr>
              <m:num>
                <m:r>
                  <m:rPr>
                    <m:sty m:val="bi"/>
                  </m:rPr>
                  <w:rPr>
                    <w:rFonts w:ascii="Cambria Math" w:hAnsi="Cambria Math" w:cs="Arial"/>
                    <w:sz w:val="20"/>
                    <w:szCs w:val="20"/>
                  </w:rPr>
                  <m:t>V(</m:t>
                </m:r>
                <m:sSub>
                  <m:sSubPr>
                    <m:ctrlPr>
                      <w:rPr>
                        <w:rFonts w:ascii="Cambria Math" w:hAnsi="Cambria Math" w:cs="Arial"/>
                        <w:b/>
                        <w:bCs/>
                        <w:i/>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n</m:t>
                    </m:r>
                  </m:sub>
                </m:sSub>
                <m:r>
                  <m:rPr>
                    <m:sty m:val="bi"/>
                  </m:rPr>
                  <w:rPr>
                    <w:rFonts w:ascii="Cambria Math" w:hAnsi="Cambria Math" w:cs="Arial"/>
                    <w:sz w:val="20"/>
                    <w:szCs w:val="20"/>
                  </w:rPr>
                  <m:t>)</m:t>
                </m:r>
              </m:num>
              <m:den>
                <m:r>
                  <m:rPr>
                    <m:sty m:val="bi"/>
                  </m:rPr>
                  <w:rPr>
                    <w:rFonts w:ascii="Cambria Math" w:hAnsi="Cambria Math" w:cs="Arial"/>
                    <w:sz w:val="20"/>
                    <w:szCs w:val="20"/>
                  </w:rPr>
                  <m:t>V(</m:t>
                </m:r>
                <m:sSub>
                  <m:sSubPr>
                    <m:ctrlPr>
                      <w:rPr>
                        <w:rFonts w:ascii="Cambria Math" w:hAnsi="Cambria Math" w:cs="Arial"/>
                        <w:b/>
                        <w:bCs/>
                        <w:i/>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0</m:t>
                    </m:r>
                  </m:sub>
                </m:sSub>
                <m:r>
                  <m:rPr>
                    <m:sty m:val="bi"/>
                  </m:rPr>
                  <w:rPr>
                    <w:rFonts w:ascii="Cambria Math" w:hAnsi="Cambria Math" w:cs="Arial"/>
                    <w:sz w:val="20"/>
                    <w:szCs w:val="20"/>
                  </w:rPr>
                  <m:t>)</m:t>
                </m:r>
              </m:den>
            </m:f>
            <m:r>
              <m:rPr>
                <m:sty m:val="bi"/>
              </m:rPr>
              <w:rPr>
                <w:rFonts w:ascii="Cambria Math" w:hAnsi="Cambria Math" w:cs="Arial"/>
                <w:sz w:val="20"/>
                <w:szCs w:val="20"/>
              </w:rPr>
              <m:t>)</m:t>
            </m:r>
          </m:e>
          <m:sup>
            <m:f>
              <m:fPr>
                <m:ctrlPr>
                  <w:rPr>
                    <w:rFonts w:ascii="Cambria Math" w:hAnsi="Cambria Math" w:cs="Arial"/>
                    <w:b/>
                    <w:bCs/>
                    <w:i/>
                    <w:sz w:val="20"/>
                    <w:szCs w:val="20"/>
                  </w:rPr>
                </m:ctrlPr>
              </m:fPr>
              <m:num>
                <m:r>
                  <m:rPr>
                    <m:sty m:val="bi"/>
                  </m:rPr>
                  <w:rPr>
                    <w:rFonts w:ascii="Cambria Math" w:hAnsi="Cambria Math" w:cs="Arial"/>
                    <w:sz w:val="20"/>
                    <w:szCs w:val="20"/>
                  </w:rPr>
                  <m:t>1</m:t>
                </m:r>
              </m:num>
              <m:den>
                <m:sSub>
                  <m:sSubPr>
                    <m:ctrlPr>
                      <w:rPr>
                        <w:rFonts w:ascii="Cambria Math" w:hAnsi="Cambria Math" w:cs="Arial"/>
                        <w:b/>
                        <w:bCs/>
                        <w:i/>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n</m:t>
                    </m:r>
                  </m:sub>
                </m:sSub>
                <m:r>
                  <m:rPr>
                    <m:sty m:val="bi"/>
                  </m:rPr>
                  <w:rPr>
                    <w:rFonts w:ascii="Cambria Math" w:hAnsi="Cambria Math" w:cs="Arial"/>
                    <w:sz w:val="20"/>
                    <w:szCs w:val="20"/>
                  </w:rPr>
                  <m:t>-</m:t>
                </m:r>
                <m:sSub>
                  <m:sSubPr>
                    <m:ctrlPr>
                      <w:rPr>
                        <w:rFonts w:ascii="Cambria Math" w:hAnsi="Cambria Math" w:cs="Arial"/>
                        <w:b/>
                        <w:bCs/>
                        <w:i/>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0</m:t>
                    </m:r>
                  </m:sub>
                </m:sSub>
              </m:den>
            </m:f>
          </m:sup>
        </m:sSup>
        <m:r>
          <m:rPr>
            <m:sty m:val="bi"/>
          </m:rPr>
          <w:rPr>
            <w:rFonts w:ascii="Cambria Math" w:hAnsi="Cambria Math" w:cs="Arial"/>
            <w:sz w:val="20"/>
            <w:szCs w:val="20"/>
          </w:rPr>
          <m:t xml:space="preserve"> </m:t>
        </m:r>
      </m:oMath>
      <w:r w:rsidRPr="006E3255">
        <w:rPr>
          <w:rFonts w:ascii="Arial" w:eastAsiaTheme="minorEastAsia" w:hAnsi="Arial" w:cs="Arial"/>
          <w:b/>
          <w:bCs/>
          <w:sz w:val="20"/>
          <w:szCs w:val="20"/>
        </w:rPr>
        <w:t>-</w:t>
      </w:r>
      <w:r w:rsidRPr="006E3255">
        <w:rPr>
          <w:rFonts w:ascii="Arial" w:eastAsiaTheme="minorEastAsia" w:hAnsi="Arial" w:cs="Arial"/>
          <w:sz w:val="20"/>
          <w:szCs w:val="20"/>
        </w:rPr>
        <w:t>1</w:t>
      </w:r>
    </w:p>
    <w:p w14:paraId="0F94C032" w14:textId="7FACAE20" w:rsidR="00250A2E" w:rsidRPr="006E3255" w:rsidRDefault="006A06F5" w:rsidP="00B5276C">
      <w:pPr>
        <w:spacing w:line="360" w:lineRule="auto"/>
        <w:jc w:val="both"/>
        <w:rPr>
          <w:rFonts w:ascii="Arial" w:hAnsi="Arial" w:cs="Arial"/>
          <w:b/>
          <w:bCs/>
          <w:sz w:val="20"/>
          <w:szCs w:val="20"/>
        </w:rPr>
      </w:pPr>
      <w:r w:rsidRPr="006E3255">
        <w:rPr>
          <w:rFonts w:ascii="Arial" w:eastAsiaTheme="minorEastAsia" w:hAnsi="Arial" w:cs="Arial"/>
          <w:sz w:val="20"/>
          <w:szCs w:val="20"/>
        </w:rPr>
        <w:t xml:space="preserve">where, </w:t>
      </w:r>
      <m:oMath>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Vt</m:t>
            </m:r>
          </m:e>
          <m:sub>
            <m:r>
              <m:rPr>
                <m:sty m:val="p"/>
              </m:rPr>
              <w:rPr>
                <w:rFonts w:ascii="Cambria Math" w:eastAsiaTheme="minorEastAsia" w:hAnsi="Cambria Math" w:cs="Arial"/>
                <w:sz w:val="20"/>
                <w:szCs w:val="20"/>
              </w:rPr>
              <m:t xml:space="preserve">0 </m:t>
            </m:r>
          </m:sub>
        </m:sSub>
        <m:r>
          <m:rPr>
            <m:sty m:val="p"/>
          </m:rPr>
          <w:rPr>
            <w:rFonts w:ascii="Cambria Math" w:eastAsiaTheme="minorEastAsia" w:hAnsi="Cambria Math" w:cs="Arial"/>
            <w:sz w:val="20"/>
            <w:szCs w:val="20"/>
          </w:rPr>
          <m:t>is the start value, V</m:t>
        </m:r>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t</m:t>
            </m:r>
          </m:e>
          <m:sub>
            <m:r>
              <m:rPr>
                <m:sty m:val="p"/>
              </m:rPr>
              <w:rPr>
                <w:rFonts w:ascii="Cambria Math" w:eastAsiaTheme="minorEastAsia" w:hAnsi="Cambria Math" w:cs="Arial"/>
                <w:sz w:val="20"/>
                <w:szCs w:val="20"/>
              </w:rPr>
              <m:t xml:space="preserve">n </m:t>
            </m:r>
          </m:sub>
        </m:sSub>
        <m:r>
          <m:rPr>
            <m:sty m:val="p"/>
          </m:rPr>
          <w:rPr>
            <w:rFonts w:ascii="Cambria Math" w:eastAsiaTheme="minorEastAsia" w:hAnsi="Cambria Math" w:cs="Arial"/>
            <w:sz w:val="20"/>
            <w:szCs w:val="20"/>
          </w:rPr>
          <m:t xml:space="preserve">is the finish value, and </m:t>
        </m:r>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t</m:t>
            </m:r>
          </m:e>
          <m:sub>
            <m:r>
              <m:rPr>
                <m:sty m:val="p"/>
              </m:rPr>
              <w:rPr>
                <w:rFonts w:ascii="Cambria Math" w:eastAsiaTheme="minorEastAsia" w:hAnsi="Cambria Math" w:cs="Arial"/>
                <w:sz w:val="20"/>
                <w:szCs w:val="20"/>
              </w:rPr>
              <m:t>n-</m:t>
            </m:r>
          </m:sub>
        </m:sSub>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t</m:t>
            </m:r>
          </m:e>
          <m:sub>
            <m:r>
              <m:rPr>
                <m:sty m:val="p"/>
              </m:rPr>
              <w:rPr>
                <w:rFonts w:ascii="Cambria Math" w:eastAsiaTheme="minorEastAsia" w:hAnsi="Cambria Math" w:cs="Arial"/>
                <w:sz w:val="20"/>
                <w:szCs w:val="20"/>
              </w:rPr>
              <m:t>0</m:t>
            </m:r>
          </m:sub>
        </m:sSub>
        <m:r>
          <m:rPr>
            <m:sty m:val="p"/>
          </m:rPr>
          <w:rPr>
            <w:rFonts w:ascii="Cambria Math" w:eastAsiaTheme="minorEastAsia" w:hAnsi="Cambria Math" w:cs="Arial"/>
            <w:sz w:val="20"/>
            <w:szCs w:val="20"/>
          </w:rPr>
          <m:t>is the number of years</m:t>
        </m:r>
      </m:oMath>
      <w:r w:rsidRPr="006E3255">
        <w:rPr>
          <w:rFonts w:ascii="Arial" w:eastAsiaTheme="minorEastAsia" w:hAnsi="Arial" w:cs="Arial"/>
          <w:iCs/>
          <w:sz w:val="20"/>
          <w:szCs w:val="20"/>
        </w:rPr>
        <w:t>.</w:t>
      </w:r>
    </w:p>
    <w:p w14:paraId="4CDAFE51" w14:textId="0219472A" w:rsidR="006F287F" w:rsidRPr="006E3255" w:rsidRDefault="006F287F" w:rsidP="00B5276C">
      <w:pPr>
        <w:pStyle w:val="ListParagraph"/>
        <w:numPr>
          <w:ilvl w:val="0"/>
          <w:numId w:val="4"/>
        </w:numPr>
        <w:spacing w:line="360" w:lineRule="auto"/>
        <w:jc w:val="both"/>
        <w:rPr>
          <w:rFonts w:ascii="Arial" w:hAnsi="Arial" w:cs="Arial"/>
          <w:b/>
          <w:bCs/>
        </w:rPr>
      </w:pPr>
      <w:r w:rsidRPr="006E3255">
        <w:rPr>
          <w:rFonts w:ascii="Arial" w:hAnsi="Arial" w:cs="Arial"/>
          <w:b/>
          <w:bCs/>
        </w:rPr>
        <w:t>RESULTS AND DISCUSSIONS</w:t>
      </w:r>
    </w:p>
    <w:p w14:paraId="64A80DA3" w14:textId="1A130D83" w:rsidR="00580BDB" w:rsidRPr="006E3255" w:rsidRDefault="00BB735A" w:rsidP="00B5276C">
      <w:pPr>
        <w:spacing w:line="360" w:lineRule="auto"/>
        <w:jc w:val="both"/>
        <w:rPr>
          <w:rFonts w:ascii="Arial" w:hAnsi="Arial" w:cs="Arial"/>
          <w:b/>
          <w:bCs/>
          <w:sz w:val="20"/>
          <w:szCs w:val="20"/>
          <w:u w:val="single"/>
        </w:rPr>
      </w:pPr>
      <w:r w:rsidRPr="006E3255">
        <w:rPr>
          <w:rFonts w:ascii="Arial" w:hAnsi="Arial" w:cs="Arial"/>
          <w:b/>
          <w:bCs/>
          <w:sz w:val="20"/>
          <w:szCs w:val="20"/>
          <w:u w:val="single"/>
        </w:rPr>
        <w:t xml:space="preserve">3.1 </w:t>
      </w:r>
      <w:r w:rsidR="00F36611" w:rsidRPr="006E3255">
        <w:rPr>
          <w:rFonts w:ascii="Arial" w:hAnsi="Arial" w:cs="Arial"/>
          <w:b/>
          <w:bCs/>
          <w:sz w:val="20"/>
          <w:szCs w:val="20"/>
          <w:u w:val="single"/>
        </w:rPr>
        <w:t>Status of m</w:t>
      </w:r>
      <w:r w:rsidR="00580BDB" w:rsidRPr="006E3255">
        <w:rPr>
          <w:rFonts w:ascii="Arial" w:hAnsi="Arial" w:cs="Arial"/>
          <w:b/>
          <w:bCs/>
          <w:sz w:val="20"/>
          <w:szCs w:val="20"/>
          <w:u w:val="single"/>
        </w:rPr>
        <w:t>ilk production</w:t>
      </w:r>
      <w:r w:rsidR="00F36611" w:rsidRPr="006E3255">
        <w:rPr>
          <w:rFonts w:ascii="Arial" w:hAnsi="Arial" w:cs="Arial"/>
          <w:b/>
          <w:bCs/>
          <w:sz w:val="20"/>
          <w:szCs w:val="20"/>
          <w:u w:val="single"/>
        </w:rPr>
        <w:t xml:space="preserve"> in </w:t>
      </w:r>
      <w:r w:rsidR="007E4301" w:rsidRPr="006E3255">
        <w:rPr>
          <w:rFonts w:ascii="Arial" w:hAnsi="Arial" w:cs="Arial"/>
          <w:b/>
          <w:bCs/>
          <w:sz w:val="20"/>
          <w:szCs w:val="20"/>
          <w:u w:val="single"/>
        </w:rPr>
        <w:t xml:space="preserve">the </w:t>
      </w:r>
      <w:r w:rsidR="00F36611" w:rsidRPr="006E3255">
        <w:rPr>
          <w:rFonts w:ascii="Arial" w:hAnsi="Arial" w:cs="Arial"/>
          <w:b/>
          <w:bCs/>
          <w:sz w:val="20"/>
          <w:szCs w:val="20"/>
          <w:u w:val="single"/>
        </w:rPr>
        <w:t>northeast</w:t>
      </w:r>
    </w:p>
    <w:p w14:paraId="07C1CA7E" w14:textId="11CC7912" w:rsidR="006A06F5" w:rsidRPr="006E3255" w:rsidRDefault="000C1872" w:rsidP="00B5276C">
      <w:pPr>
        <w:spacing w:line="360" w:lineRule="auto"/>
        <w:jc w:val="both"/>
        <w:rPr>
          <w:rFonts w:ascii="Arial" w:hAnsi="Arial" w:cs="Arial"/>
          <w:sz w:val="20"/>
          <w:szCs w:val="20"/>
        </w:rPr>
      </w:pPr>
      <w:r w:rsidRPr="006E3255">
        <w:rPr>
          <w:rFonts w:ascii="Arial" w:hAnsi="Arial" w:cs="Arial"/>
          <w:sz w:val="20"/>
          <w:szCs w:val="20"/>
        </w:rPr>
        <w:t xml:space="preserve">The </w:t>
      </w:r>
      <w:r w:rsidR="00791B1F" w:rsidRPr="006E3255">
        <w:rPr>
          <w:rFonts w:ascii="Arial" w:hAnsi="Arial" w:cs="Arial"/>
          <w:sz w:val="20"/>
          <w:szCs w:val="20"/>
        </w:rPr>
        <w:t xml:space="preserve">milk </w:t>
      </w:r>
      <w:r w:rsidRPr="006E3255">
        <w:rPr>
          <w:rFonts w:ascii="Arial" w:hAnsi="Arial" w:cs="Arial"/>
          <w:sz w:val="20"/>
          <w:szCs w:val="20"/>
        </w:rPr>
        <w:t xml:space="preserve">production of </w:t>
      </w:r>
      <w:r w:rsidR="00244E81" w:rsidRPr="006E3255">
        <w:rPr>
          <w:rFonts w:ascii="Arial" w:hAnsi="Arial" w:cs="Arial"/>
          <w:sz w:val="20"/>
          <w:szCs w:val="20"/>
        </w:rPr>
        <w:t>northeastern</w:t>
      </w:r>
      <w:r w:rsidRPr="006E3255">
        <w:rPr>
          <w:rFonts w:ascii="Arial" w:hAnsi="Arial" w:cs="Arial"/>
          <w:sz w:val="20"/>
          <w:szCs w:val="20"/>
        </w:rPr>
        <w:t xml:space="preserve"> states </w:t>
      </w:r>
      <w:r w:rsidR="00612728" w:rsidRPr="006E3255">
        <w:rPr>
          <w:rFonts w:ascii="Arial" w:hAnsi="Arial" w:cs="Arial"/>
          <w:sz w:val="20"/>
          <w:szCs w:val="20"/>
        </w:rPr>
        <w:t>is</w:t>
      </w:r>
      <w:r w:rsidRPr="006E3255">
        <w:rPr>
          <w:rFonts w:ascii="Arial" w:hAnsi="Arial" w:cs="Arial"/>
          <w:sz w:val="20"/>
          <w:szCs w:val="20"/>
        </w:rPr>
        <w:t xml:space="preserve"> still very low</w:t>
      </w:r>
      <w:r w:rsidR="007D4165" w:rsidRPr="006E3255">
        <w:rPr>
          <w:rFonts w:ascii="Arial" w:hAnsi="Arial" w:cs="Arial"/>
          <w:sz w:val="20"/>
          <w:szCs w:val="20"/>
        </w:rPr>
        <w:t>,</w:t>
      </w:r>
      <w:r w:rsidR="00A463F5" w:rsidRPr="006E3255">
        <w:rPr>
          <w:rFonts w:ascii="Arial" w:hAnsi="Arial" w:cs="Arial"/>
          <w:sz w:val="20"/>
          <w:szCs w:val="20"/>
        </w:rPr>
        <w:t xml:space="preserve"> contributing </w:t>
      </w:r>
      <w:r w:rsidR="00A463F5" w:rsidRPr="006E3255">
        <w:rPr>
          <w:rFonts w:ascii="Arial" w:hAnsi="Arial" w:cs="Arial"/>
          <w:color w:val="000000" w:themeColor="text1"/>
          <w:sz w:val="20"/>
          <w:szCs w:val="20"/>
        </w:rPr>
        <w:t xml:space="preserve">just 0.70 </w:t>
      </w:r>
      <w:r w:rsidR="00A463F5" w:rsidRPr="006E3255">
        <w:rPr>
          <w:rFonts w:ascii="Arial" w:hAnsi="Arial" w:cs="Arial"/>
          <w:sz w:val="20"/>
          <w:szCs w:val="20"/>
        </w:rPr>
        <w:t>percent</w:t>
      </w:r>
      <w:r w:rsidR="00994C4E" w:rsidRPr="006E3255">
        <w:rPr>
          <w:rFonts w:ascii="Arial" w:hAnsi="Arial" w:cs="Arial"/>
          <w:sz w:val="20"/>
          <w:szCs w:val="20"/>
        </w:rPr>
        <w:t xml:space="preserve"> to the nation’s </w:t>
      </w:r>
      <w:r w:rsidR="00E70491" w:rsidRPr="006E3255">
        <w:rPr>
          <w:rFonts w:ascii="Arial" w:hAnsi="Arial" w:cs="Arial"/>
          <w:sz w:val="20"/>
          <w:szCs w:val="20"/>
        </w:rPr>
        <w:t>total milk production</w:t>
      </w:r>
      <w:r w:rsidR="007D4165" w:rsidRPr="006E3255">
        <w:rPr>
          <w:rFonts w:ascii="Arial" w:hAnsi="Arial" w:cs="Arial"/>
          <w:sz w:val="20"/>
          <w:szCs w:val="20"/>
        </w:rPr>
        <w:t>,</w:t>
      </w:r>
      <w:r w:rsidR="00E70491" w:rsidRPr="006E3255">
        <w:rPr>
          <w:rFonts w:ascii="Arial" w:hAnsi="Arial" w:cs="Arial"/>
          <w:sz w:val="20"/>
          <w:szCs w:val="20"/>
        </w:rPr>
        <w:t xml:space="preserve"> </w:t>
      </w:r>
      <w:r w:rsidR="00DF174F" w:rsidRPr="006E3255">
        <w:rPr>
          <w:rFonts w:ascii="Arial" w:hAnsi="Arial" w:cs="Arial"/>
          <w:sz w:val="20"/>
          <w:szCs w:val="20"/>
        </w:rPr>
        <w:t>with</w:t>
      </w:r>
      <w:r w:rsidR="00994C4E" w:rsidRPr="006E3255">
        <w:rPr>
          <w:rFonts w:ascii="Arial" w:hAnsi="Arial" w:cs="Arial"/>
          <w:sz w:val="20"/>
          <w:szCs w:val="20"/>
        </w:rPr>
        <w:t xml:space="preserve"> Assam alone accounting </w:t>
      </w:r>
      <w:r w:rsidR="009316C7" w:rsidRPr="006E3255">
        <w:rPr>
          <w:rFonts w:ascii="Arial" w:hAnsi="Arial" w:cs="Arial"/>
          <w:sz w:val="20"/>
          <w:szCs w:val="20"/>
        </w:rPr>
        <w:t xml:space="preserve">for </w:t>
      </w:r>
      <w:r w:rsidR="00994C4E" w:rsidRPr="006E3255">
        <w:rPr>
          <w:rFonts w:ascii="Arial" w:hAnsi="Arial" w:cs="Arial"/>
          <w:sz w:val="20"/>
          <w:szCs w:val="20"/>
        </w:rPr>
        <w:t>62.</w:t>
      </w:r>
      <w:r w:rsidR="004769D9" w:rsidRPr="006E3255">
        <w:rPr>
          <w:rFonts w:ascii="Arial" w:hAnsi="Arial" w:cs="Arial"/>
          <w:sz w:val="20"/>
          <w:szCs w:val="20"/>
        </w:rPr>
        <w:t>53</w:t>
      </w:r>
      <w:r w:rsidR="00994C4E" w:rsidRPr="006E3255">
        <w:rPr>
          <w:rFonts w:ascii="Arial" w:hAnsi="Arial" w:cs="Arial"/>
          <w:sz w:val="20"/>
          <w:szCs w:val="20"/>
        </w:rPr>
        <w:t xml:space="preserve"> percent of this total</w:t>
      </w:r>
      <w:r w:rsidR="007C47D5" w:rsidRPr="006E3255">
        <w:rPr>
          <w:rFonts w:ascii="Arial" w:hAnsi="Arial" w:cs="Arial"/>
          <w:sz w:val="20"/>
          <w:szCs w:val="20"/>
        </w:rPr>
        <w:t xml:space="preserve"> (Fig. 1)</w:t>
      </w:r>
      <w:r w:rsidR="007507B4" w:rsidRPr="006E3255">
        <w:rPr>
          <w:rFonts w:ascii="Arial" w:hAnsi="Arial" w:cs="Arial"/>
          <w:sz w:val="20"/>
          <w:szCs w:val="20"/>
        </w:rPr>
        <w:t>.</w:t>
      </w:r>
      <w:r w:rsidR="00994C4E" w:rsidRPr="006E3255">
        <w:rPr>
          <w:rFonts w:ascii="Arial" w:hAnsi="Arial" w:cs="Arial"/>
          <w:sz w:val="20"/>
          <w:szCs w:val="20"/>
        </w:rPr>
        <w:t xml:space="preserve"> </w:t>
      </w:r>
      <w:r w:rsidR="007507B4" w:rsidRPr="006E3255">
        <w:rPr>
          <w:rFonts w:ascii="Arial" w:hAnsi="Arial" w:cs="Arial"/>
          <w:sz w:val="20"/>
          <w:szCs w:val="20"/>
        </w:rPr>
        <w:t>Assam is the leading milk-producing state in the region, followed by Tripura, where</w:t>
      </w:r>
      <w:r w:rsidR="00917F09" w:rsidRPr="006E3255">
        <w:rPr>
          <w:rFonts w:ascii="Arial" w:hAnsi="Arial" w:cs="Arial"/>
          <w:sz w:val="20"/>
          <w:szCs w:val="20"/>
        </w:rPr>
        <w:t xml:space="preserve"> milk</w:t>
      </w:r>
    </w:p>
    <w:p w14:paraId="2D922F41" w14:textId="77777777" w:rsidR="006A06F5" w:rsidRPr="006E3255" w:rsidRDefault="006A06F5" w:rsidP="00BB735A">
      <w:pPr>
        <w:spacing w:line="360" w:lineRule="auto"/>
        <w:jc w:val="center"/>
        <w:rPr>
          <w:rFonts w:ascii="Arial" w:hAnsi="Arial" w:cs="Arial"/>
          <w:sz w:val="20"/>
          <w:szCs w:val="20"/>
        </w:rPr>
      </w:pPr>
      <w:r w:rsidRPr="006E3255">
        <w:rPr>
          <w:rFonts w:ascii="Arial" w:hAnsi="Arial" w:cs="Arial"/>
          <w:b/>
          <w:bCs/>
          <w:noProof/>
          <w:sz w:val="20"/>
          <w:szCs w:val="20"/>
        </w:rPr>
        <w:lastRenderedPageBreak/>
        <w:drawing>
          <wp:inline distT="0" distB="0" distL="0" distR="0" wp14:anchorId="7B146687" wp14:editId="58AE4280">
            <wp:extent cx="3315335" cy="2162755"/>
            <wp:effectExtent l="19050" t="19050" r="18415" b="28575"/>
            <wp:docPr id="393907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6864" cy="2170276"/>
                    </a:xfrm>
                    <a:prstGeom prst="rect">
                      <a:avLst/>
                    </a:prstGeom>
                    <a:noFill/>
                    <a:ln>
                      <a:solidFill>
                        <a:schemeClr val="tx1"/>
                      </a:solidFill>
                    </a:ln>
                  </pic:spPr>
                </pic:pic>
              </a:graphicData>
            </a:graphic>
          </wp:inline>
        </w:drawing>
      </w:r>
    </w:p>
    <w:p w14:paraId="5C2BAB6D" w14:textId="77777777" w:rsidR="006A06F5" w:rsidRPr="006E3255" w:rsidRDefault="006A06F5" w:rsidP="00B5276C">
      <w:pPr>
        <w:spacing w:line="360" w:lineRule="auto"/>
        <w:jc w:val="both"/>
        <w:rPr>
          <w:rFonts w:ascii="Arial" w:hAnsi="Arial" w:cs="Arial"/>
          <w:sz w:val="20"/>
          <w:szCs w:val="20"/>
        </w:rPr>
      </w:pPr>
      <w:r w:rsidRPr="006E3255">
        <w:rPr>
          <w:rFonts w:ascii="Arial" w:hAnsi="Arial" w:cs="Arial"/>
          <w:b/>
          <w:bCs/>
          <w:sz w:val="20"/>
          <w:szCs w:val="20"/>
        </w:rPr>
        <w:t xml:space="preserve">Fig 1: </w:t>
      </w:r>
      <w:r w:rsidRPr="006E3255">
        <w:rPr>
          <w:rFonts w:ascii="Arial" w:hAnsi="Arial" w:cs="Arial"/>
          <w:sz w:val="20"/>
          <w:szCs w:val="20"/>
        </w:rPr>
        <w:t>Total milk production contribution in northeast India during 2010-2023</w:t>
      </w:r>
    </w:p>
    <w:p w14:paraId="067E1256" w14:textId="303A1346" w:rsidR="006A06F5" w:rsidRPr="006E3255" w:rsidRDefault="006A06F5" w:rsidP="00B5276C">
      <w:pPr>
        <w:spacing w:line="360" w:lineRule="auto"/>
        <w:jc w:val="both"/>
        <w:rPr>
          <w:rFonts w:ascii="Arial" w:hAnsi="Arial" w:cs="Arial"/>
          <w:b/>
          <w:bCs/>
          <w:sz w:val="20"/>
          <w:szCs w:val="20"/>
        </w:rPr>
      </w:pPr>
      <w:r w:rsidRPr="006E3255">
        <w:rPr>
          <w:rFonts w:ascii="Arial" w:hAnsi="Arial" w:cs="Arial"/>
          <w:b/>
          <w:bCs/>
          <w:sz w:val="20"/>
          <w:szCs w:val="20"/>
        </w:rPr>
        <w:t>Source: BAHS, 2024</w:t>
      </w:r>
    </w:p>
    <w:p w14:paraId="64970D2D" w14:textId="431B343A" w:rsidR="00001DC6" w:rsidRPr="006E3255" w:rsidRDefault="007507B4" w:rsidP="00B5276C">
      <w:pPr>
        <w:spacing w:line="360" w:lineRule="auto"/>
        <w:jc w:val="both"/>
        <w:rPr>
          <w:rFonts w:ascii="Arial" w:hAnsi="Arial" w:cs="Arial"/>
          <w:sz w:val="20"/>
          <w:szCs w:val="20"/>
        </w:rPr>
      </w:pPr>
      <w:r w:rsidRPr="006E3255">
        <w:rPr>
          <w:rFonts w:ascii="Arial" w:hAnsi="Arial" w:cs="Arial"/>
          <w:sz w:val="20"/>
          <w:szCs w:val="20"/>
        </w:rPr>
        <w:t>production has steadily increased over the last decade.</w:t>
      </w:r>
      <w:r w:rsidR="00093E90" w:rsidRPr="006E3255">
        <w:rPr>
          <w:rFonts w:ascii="Arial" w:hAnsi="Arial" w:cs="Arial"/>
          <w:sz w:val="20"/>
          <w:szCs w:val="20"/>
        </w:rPr>
        <w:t xml:space="preserve"> </w:t>
      </w:r>
      <w:r w:rsidRPr="006E3255">
        <w:rPr>
          <w:rFonts w:ascii="Arial" w:hAnsi="Arial" w:cs="Arial"/>
          <w:sz w:val="20"/>
          <w:szCs w:val="20"/>
        </w:rPr>
        <w:t xml:space="preserve">Other states show fluctuating trends in production. </w:t>
      </w:r>
      <w:r w:rsidR="00E2355F" w:rsidRPr="006E3255">
        <w:rPr>
          <w:rFonts w:ascii="Arial" w:hAnsi="Arial" w:cs="Arial"/>
          <w:sz w:val="20"/>
          <w:szCs w:val="20"/>
        </w:rPr>
        <w:t>The least contribution is the state of Mizoram</w:t>
      </w:r>
      <w:r w:rsidR="00001DC6" w:rsidRPr="006E3255">
        <w:rPr>
          <w:rFonts w:ascii="Arial" w:hAnsi="Arial" w:cs="Arial"/>
          <w:sz w:val="20"/>
          <w:szCs w:val="20"/>
        </w:rPr>
        <w:t>,</w:t>
      </w:r>
      <w:r w:rsidR="00E2355F" w:rsidRPr="006E3255">
        <w:rPr>
          <w:rFonts w:ascii="Arial" w:hAnsi="Arial" w:cs="Arial"/>
          <w:sz w:val="20"/>
          <w:szCs w:val="20"/>
        </w:rPr>
        <w:t xml:space="preserve"> followed by Arunachal Pradesh. </w:t>
      </w:r>
      <w:r w:rsidR="00A65158" w:rsidRPr="006E3255">
        <w:rPr>
          <w:rFonts w:ascii="Arial" w:hAnsi="Arial" w:cs="Arial"/>
          <w:sz w:val="20"/>
          <w:szCs w:val="20"/>
        </w:rPr>
        <w:t xml:space="preserve">The total milk produced in the Northeast from 2010 to 2022 is </w:t>
      </w:r>
      <w:r w:rsidR="00A65158" w:rsidRPr="006E3255">
        <w:rPr>
          <w:rFonts w:ascii="Arial" w:eastAsia="Times New Roman" w:hAnsi="Arial" w:cs="Arial"/>
          <w:kern w:val="0"/>
          <w:sz w:val="20"/>
          <w:szCs w:val="20"/>
          <w:lang w:eastAsia="en-IN"/>
          <w14:ligatures w14:val="none"/>
        </w:rPr>
        <w:t>19,359.65 thousand tonnes, with Assam alone contributing 12,106.42 thousand tonnes, accounting 62.53 percent. Mizoram produced the least, with just 238.88 thousand tonnes (1.47%) followed by Arunachal Pradesh (2.93%) during the same period.</w:t>
      </w:r>
    </w:p>
    <w:p w14:paraId="201FF857" w14:textId="0C1B8F7C" w:rsidR="006A06F5" w:rsidRPr="006E3255" w:rsidRDefault="00001DC6" w:rsidP="00B5276C">
      <w:pPr>
        <w:spacing w:line="360" w:lineRule="auto"/>
        <w:jc w:val="both"/>
        <w:rPr>
          <w:rFonts w:ascii="Arial" w:hAnsi="Arial" w:cs="Arial"/>
          <w:sz w:val="20"/>
          <w:szCs w:val="20"/>
        </w:rPr>
      </w:pPr>
      <w:r w:rsidRPr="006E3255">
        <w:rPr>
          <w:rFonts w:ascii="Arial" w:hAnsi="Arial" w:cs="Arial"/>
          <w:sz w:val="20"/>
          <w:szCs w:val="20"/>
        </w:rPr>
        <w:t>Table 1 presents annual percentage growth rates. The regional average growth fluctuates between small positive values and several negative years. While some states contribute to occasional regional improvement, widespread negative values in recent years between 2020-2023 show</w:t>
      </w:r>
      <w:r w:rsidR="00620322" w:rsidRPr="006E3255">
        <w:rPr>
          <w:rFonts w:ascii="Arial" w:hAnsi="Arial" w:cs="Arial"/>
          <w:sz w:val="20"/>
          <w:szCs w:val="20"/>
        </w:rPr>
        <w:t xml:space="preserve"> a</w:t>
      </w:r>
      <w:r w:rsidRPr="006E3255">
        <w:rPr>
          <w:rFonts w:ascii="Arial" w:hAnsi="Arial" w:cs="Arial"/>
          <w:sz w:val="20"/>
          <w:szCs w:val="20"/>
        </w:rPr>
        <w:t xml:space="preserve"> decreasing trend</w:t>
      </w:r>
      <w:r w:rsidR="00552D21" w:rsidRPr="006E3255">
        <w:rPr>
          <w:rFonts w:ascii="Arial" w:hAnsi="Arial" w:cs="Arial"/>
          <w:sz w:val="20"/>
          <w:szCs w:val="20"/>
        </w:rPr>
        <w:t xml:space="preserve">, especially </w:t>
      </w:r>
      <w:r w:rsidR="00F36A42" w:rsidRPr="006E3255">
        <w:rPr>
          <w:rFonts w:ascii="Arial" w:hAnsi="Arial" w:cs="Arial"/>
          <w:sz w:val="20"/>
          <w:szCs w:val="20"/>
        </w:rPr>
        <w:t xml:space="preserve">in </w:t>
      </w:r>
      <w:r w:rsidR="00552D21" w:rsidRPr="006E3255">
        <w:rPr>
          <w:rFonts w:ascii="Arial" w:hAnsi="Arial" w:cs="Arial"/>
          <w:sz w:val="20"/>
          <w:szCs w:val="20"/>
        </w:rPr>
        <w:t xml:space="preserve">states like Arunachal Pradesh, Manipur, Nagaland, and Mizoram. </w:t>
      </w:r>
      <w:r w:rsidR="007507B4" w:rsidRPr="006E3255">
        <w:rPr>
          <w:rFonts w:ascii="Arial" w:hAnsi="Arial" w:cs="Arial"/>
          <w:sz w:val="20"/>
          <w:szCs w:val="20"/>
        </w:rPr>
        <w:t>Assam shows a lower growth rate than Tripura (Table 1). The lowest growth rate was observed in Nagaland, while Arunachal Pradesh also exhibit</w:t>
      </w:r>
      <w:r w:rsidR="00494C21" w:rsidRPr="006E3255">
        <w:rPr>
          <w:rFonts w:ascii="Arial" w:hAnsi="Arial" w:cs="Arial"/>
          <w:sz w:val="20"/>
          <w:szCs w:val="20"/>
        </w:rPr>
        <w:t>s</w:t>
      </w:r>
      <w:r w:rsidR="007507B4" w:rsidRPr="006E3255">
        <w:rPr>
          <w:rFonts w:ascii="Arial" w:hAnsi="Arial" w:cs="Arial"/>
          <w:sz w:val="20"/>
          <w:szCs w:val="20"/>
        </w:rPr>
        <w:t xml:space="preserve"> significant fluctuations in its growth rate.</w:t>
      </w:r>
      <w:r w:rsidR="00494C21" w:rsidRPr="006E3255">
        <w:rPr>
          <w:rFonts w:ascii="Arial" w:hAnsi="Arial" w:cs="Arial"/>
          <w:sz w:val="20"/>
          <w:szCs w:val="20"/>
        </w:rPr>
        <w:t xml:space="preserve"> </w:t>
      </w:r>
      <w:r w:rsidR="00A463F5" w:rsidRPr="006E3255">
        <w:rPr>
          <w:rFonts w:ascii="Arial" w:hAnsi="Arial" w:cs="Arial"/>
          <w:sz w:val="20"/>
          <w:szCs w:val="20"/>
        </w:rPr>
        <w:t xml:space="preserve">This </w:t>
      </w:r>
      <w:r w:rsidR="009520F9" w:rsidRPr="006E3255">
        <w:rPr>
          <w:rFonts w:ascii="Arial" w:hAnsi="Arial" w:cs="Arial"/>
          <w:sz w:val="20"/>
          <w:szCs w:val="20"/>
        </w:rPr>
        <w:t>indicates</w:t>
      </w:r>
      <w:r w:rsidR="00A463F5" w:rsidRPr="006E3255">
        <w:rPr>
          <w:rFonts w:ascii="Arial" w:hAnsi="Arial" w:cs="Arial"/>
          <w:sz w:val="20"/>
          <w:szCs w:val="20"/>
        </w:rPr>
        <w:t xml:space="preserve"> that there is a scope for</w:t>
      </w:r>
      <w:r w:rsidRPr="006E3255">
        <w:rPr>
          <w:rFonts w:ascii="Arial" w:hAnsi="Arial" w:cs="Arial"/>
          <w:sz w:val="20"/>
          <w:szCs w:val="20"/>
        </w:rPr>
        <w:t xml:space="preserve"> improvement in these </w:t>
      </w:r>
      <w:r w:rsidR="001C4FEA" w:rsidRPr="006E3255">
        <w:rPr>
          <w:rFonts w:ascii="Arial" w:hAnsi="Arial" w:cs="Arial"/>
          <w:sz w:val="20"/>
          <w:szCs w:val="20"/>
        </w:rPr>
        <w:t xml:space="preserve">states dairy sector. </w:t>
      </w:r>
      <w:r w:rsidR="00F965F1" w:rsidRPr="006E3255">
        <w:rPr>
          <w:rFonts w:ascii="Arial" w:hAnsi="Arial" w:cs="Arial"/>
          <w:sz w:val="20"/>
          <w:szCs w:val="20"/>
        </w:rPr>
        <w:t xml:space="preserve">This may be due to the slower growth of the livestock sector in the NER compared to the national level, which is in consistent with the study of (Kumar </w:t>
      </w:r>
      <w:r w:rsidR="003E444D" w:rsidRPr="006E3255">
        <w:rPr>
          <w:rFonts w:ascii="Arial" w:hAnsi="Arial" w:cs="Arial"/>
          <w:i/>
          <w:iCs/>
          <w:sz w:val="20"/>
          <w:szCs w:val="20"/>
        </w:rPr>
        <w:t>et al.</w:t>
      </w:r>
      <w:r w:rsidR="00F965F1" w:rsidRPr="006E3255">
        <w:rPr>
          <w:rFonts w:ascii="Arial" w:hAnsi="Arial" w:cs="Arial"/>
          <w:sz w:val="20"/>
          <w:szCs w:val="20"/>
        </w:rPr>
        <w:t xml:space="preserve"> 2007), which could be linked to poor resource endowment in terms of crossbred, cooperative organizations, marketing channels, and dairy infrastructures (Feroze </w:t>
      </w:r>
      <w:r w:rsidR="003E444D" w:rsidRPr="006E3255">
        <w:rPr>
          <w:rFonts w:ascii="Arial" w:hAnsi="Arial" w:cs="Arial"/>
          <w:sz w:val="20"/>
          <w:szCs w:val="20"/>
        </w:rPr>
        <w:t>et al.</w:t>
      </w:r>
      <w:r w:rsidR="00F965F1" w:rsidRPr="006E3255">
        <w:rPr>
          <w:rFonts w:ascii="Arial" w:hAnsi="Arial" w:cs="Arial"/>
          <w:sz w:val="20"/>
          <w:szCs w:val="20"/>
        </w:rPr>
        <w:t xml:space="preserve"> 2017), thereby affecting production. The decline in dairy farming is largely driven by urbanization and land use changes. As cities expand, agricultural land is often repurposed for residential, commercial, and industrial development, reducing land availability for dairy farming. Urban sprawl leads to higher land prices, making it large-scale dairy operations less viable for farmers. Additionally, infrastructure development, such as roads and factories, disrupts traditional farming areas, limiting grazing space and access to resources. The shift from rural agriculture to urban infrastructure also results in fewer areas designated for livestock rearing. Consequently, dairy production is increasingly shifting to more rural or specialized regions where land remains available and affordable, leading to a concentration rather than expansion of dairy farms. </w:t>
      </w:r>
    </w:p>
    <w:p w14:paraId="75D6D6A6" w14:textId="77777777" w:rsidR="006A06F5" w:rsidRPr="006E3255" w:rsidRDefault="006A06F5" w:rsidP="00B5276C">
      <w:pPr>
        <w:spacing w:line="360" w:lineRule="auto"/>
        <w:jc w:val="both"/>
        <w:rPr>
          <w:rFonts w:ascii="Arial" w:hAnsi="Arial" w:cs="Arial"/>
          <w:sz w:val="20"/>
          <w:szCs w:val="20"/>
        </w:rPr>
      </w:pPr>
      <w:r w:rsidRPr="006E3255">
        <w:rPr>
          <w:rFonts w:ascii="Arial" w:hAnsi="Arial" w:cs="Arial"/>
          <w:b/>
          <w:bCs/>
          <w:sz w:val="20"/>
          <w:szCs w:val="20"/>
        </w:rPr>
        <w:t xml:space="preserve">Table 1: </w:t>
      </w:r>
      <w:r w:rsidRPr="006E3255">
        <w:rPr>
          <w:rFonts w:ascii="Arial" w:hAnsi="Arial" w:cs="Arial"/>
          <w:sz w:val="20"/>
          <w:szCs w:val="20"/>
        </w:rPr>
        <w:t>Annual growth rate of milk production in Northeast India</w:t>
      </w:r>
    </w:p>
    <w:tbl>
      <w:tblPr>
        <w:tblW w:w="5000" w:type="pct"/>
        <w:tblBorders>
          <w:top w:val="single" w:sz="4" w:space="0" w:color="auto"/>
          <w:bottom w:val="single" w:sz="4" w:space="0" w:color="auto"/>
        </w:tblBorders>
        <w:tblLook w:val="04A0" w:firstRow="1" w:lastRow="0" w:firstColumn="1" w:lastColumn="0" w:noHBand="0" w:noVBand="1"/>
      </w:tblPr>
      <w:tblGrid>
        <w:gridCol w:w="657"/>
        <w:gridCol w:w="1107"/>
        <w:gridCol w:w="821"/>
        <w:gridCol w:w="931"/>
        <w:gridCol w:w="1184"/>
        <w:gridCol w:w="975"/>
        <w:gridCol w:w="1064"/>
        <w:gridCol w:w="799"/>
        <w:gridCol w:w="843"/>
        <w:gridCol w:w="645"/>
      </w:tblGrid>
      <w:tr w:rsidR="00F46753" w:rsidRPr="006E3255" w14:paraId="4DEA43E2" w14:textId="77777777" w:rsidTr="0049507B">
        <w:trPr>
          <w:trHeight w:val="290"/>
        </w:trPr>
        <w:tc>
          <w:tcPr>
            <w:tcW w:w="359" w:type="pct"/>
            <w:tcBorders>
              <w:top w:val="single" w:sz="4" w:space="0" w:color="auto"/>
              <w:bottom w:val="single" w:sz="4" w:space="0" w:color="auto"/>
            </w:tcBorders>
            <w:noWrap/>
            <w:vAlign w:val="bottom"/>
            <w:hideMark/>
          </w:tcPr>
          <w:p w14:paraId="4DF59AD6"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lastRenderedPageBreak/>
              <w:t>Year</w:t>
            </w:r>
          </w:p>
        </w:tc>
        <w:tc>
          <w:tcPr>
            <w:tcW w:w="613" w:type="pct"/>
            <w:tcBorders>
              <w:top w:val="single" w:sz="4" w:space="0" w:color="auto"/>
              <w:bottom w:val="single" w:sz="4" w:space="0" w:color="auto"/>
            </w:tcBorders>
            <w:noWrap/>
            <w:vAlign w:val="bottom"/>
            <w:hideMark/>
          </w:tcPr>
          <w:p w14:paraId="6241D962"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Arunachal</w:t>
            </w:r>
          </w:p>
        </w:tc>
        <w:tc>
          <w:tcPr>
            <w:tcW w:w="441" w:type="pct"/>
            <w:tcBorders>
              <w:top w:val="single" w:sz="4" w:space="0" w:color="auto"/>
              <w:bottom w:val="single" w:sz="4" w:space="0" w:color="auto"/>
            </w:tcBorders>
            <w:noWrap/>
            <w:vAlign w:val="bottom"/>
            <w:hideMark/>
          </w:tcPr>
          <w:p w14:paraId="133D760C"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 xml:space="preserve">Assam </w:t>
            </w:r>
          </w:p>
        </w:tc>
        <w:tc>
          <w:tcPr>
            <w:tcW w:w="526" w:type="pct"/>
            <w:tcBorders>
              <w:top w:val="single" w:sz="4" w:space="0" w:color="auto"/>
              <w:bottom w:val="single" w:sz="4" w:space="0" w:color="auto"/>
            </w:tcBorders>
            <w:noWrap/>
            <w:vAlign w:val="bottom"/>
            <w:hideMark/>
          </w:tcPr>
          <w:p w14:paraId="37E65DFC"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Manipur</w:t>
            </w:r>
          </w:p>
        </w:tc>
        <w:tc>
          <w:tcPr>
            <w:tcW w:w="644" w:type="pct"/>
            <w:tcBorders>
              <w:top w:val="single" w:sz="4" w:space="0" w:color="auto"/>
              <w:bottom w:val="single" w:sz="4" w:space="0" w:color="auto"/>
            </w:tcBorders>
            <w:noWrap/>
            <w:vAlign w:val="bottom"/>
            <w:hideMark/>
          </w:tcPr>
          <w:p w14:paraId="1BB06C28"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Meghalaya</w:t>
            </w:r>
          </w:p>
        </w:tc>
        <w:tc>
          <w:tcPr>
            <w:tcW w:w="552" w:type="pct"/>
            <w:tcBorders>
              <w:top w:val="single" w:sz="4" w:space="0" w:color="auto"/>
              <w:bottom w:val="single" w:sz="4" w:space="0" w:color="auto"/>
            </w:tcBorders>
            <w:noWrap/>
            <w:vAlign w:val="bottom"/>
            <w:hideMark/>
          </w:tcPr>
          <w:p w14:paraId="5A320BAD"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Mizoram</w:t>
            </w:r>
          </w:p>
        </w:tc>
        <w:tc>
          <w:tcPr>
            <w:tcW w:w="572" w:type="pct"/>
            <w:tcBorders>
              <w:top w:val="single" w:sz="4" w:space="0" w:color="auto"/>
              <w:bottom w:val="single" w:sz="4" w:space="0" w:color="auto"/>
            </w:tcBorders>
            <w:noWrap/>
            <w:vAlign w:val="bottom"/>
            <w:hideMark/>
          </w:tcPr>
          <w:p w14:paraId="4CF6E12F"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Nagaland</w:t>
            </w:r>
          </w:p>
        </w:tc>
        <w:tc>
          <w:tcPr>
            <w:tcW w:w="461" w:type="pct"/>
            <w:tcBorders>
              <w:top w:val="single" w:sz="4" w:space="0" w:color="auto"/>
              <w:bottom w:val="single" w:sz="4" w:space="0" w:color="auto"/>
            </w:tcBorders>
            <w:noWrap/>
            <w:vAlign w:val="bottom"/>
            <w:hideMark/>
          </w:tcPr>
          <w:p w14:paraId="3629B326"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Sikkim</w:t>
            </w:r>
          </w:p>
        </w:tc>
        <w:tc>
          <w:tcPr>
            <w:tcW w:w="474" w:type="pct"/>
            <w:tcBorders>
              <w:top w:val="single" w:sz="4" w:space="0" w:color="auto"/>
              <w:bottom w:val="single" w:sz="4" w:space="0" w:color="auto"/>
            </w:tcBorders>
            <w:noWrap/>
            <w:vAlign w:val="bottom"/>
            <w:hideMark/>
          </w:tcPr>
          <w:p w14:paraId="78CA81EE"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Tripura</w:t>
            </w:r>
          </w:p>
        </w:tc>
        <w:tc>
          <w:tcPr>
            <w:tcW w:w="358" w:type="pct"/>
            <w:tcBorders>
              <w:top w:val="single" w:sz="4" w:space="0" w:color="auto"/>
              <w:bottom w:val="single" w:sz="4" w:space="0" w:color="auto"/>
            </w:tcBorders>
          </w:tcPr>
          <w:p w14:paraId="0BE79275"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All India</w:t>
            </w:r>
          </w:p>
        </w:tc>
      </w:tr>
      <w:tr w:rsidR="00F46753" w:rsidRPr="006E3255" w14:paraId="68563F6B" w14:textId="77777777" w:rsidTr="0049507B">
        <w:trPr>
          <w:trHeight w:val="290"/>
        </w:trPr>
        <w:tc>
          <w:tcPr>
            <w:tcW w:w="359" w:type="pct"/>
            <w:tcBorders>
              <w:top w:val="single" w:sz="4" w:space="0" w:color="auto"/>
            </w:tcBorders>
            <w:noWrap/>
            <w:vAlign w:val="bottom"/>
            <w:hideMark/>
          </w:tcPr>
          <w:p w14:paraId="2F3B037A"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2010</w:t>
            </w:r>
          </w:p>
        </w:tc>
        <w:tc>
          <w:tcPr>
            <w:tcW w:w="613" w:type="pct"/>
            <w:tcBorders>
              <w:top w:val="single" w:sz="4" w:space="0" w:color="auto"/>
            </w:tcBorders>
            <w:noWrap/>
            <w:vAlign w:val="bottom"/>
            <w:hideMark/>
          </w:tcPr>
          <w:p w14:paraId="06013903"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9.31</w:t>
            </w:r>
          </w:p>
        </w:tc>
        <w:tc>
          <w:tcPr>
            <w:tcW w:w="441" w:type="pct"/>
            <w:tcBorders>
              <w:top w:val="single" w:sz="4" w:space="0" w:color="auto"/>
            </w:tcBorders>
            <w:noWrap/>
            <w:vAlign w:val="bottom"/>
            <w:hideMark/>
          </w:tcPr>
          <w:p w14:paraId="77F4EBD2"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4.55</w:t>
            </w:r>
          </w:p>
        </w:tc>
        <w:tc>
          <w:tcPr>
            <w:tcW w:w="526" w:type="pct"/>
            <w:tcBorders>
              <w:top w:val="single" w:sz="4" w:space="0" w:color="auto"/>
            </w:tcBorders>
            <w:noWrap/>
            <w:vAlign w:val="bottom"/>
            <w:hideMark/>
          </w:tcPr>
          <w:p w14:paraId="0A07DF4A"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0.00</w:t>
            </w:r>
          </w:p>
        </w:tc>
        <w:tc>
          <w:tcPr>
            <w:tcW w:w="644" w:type="pct"/>
            <w:tcBorders>
              <w:top w:val="single" w:sz="4" w:space="0" w:color="auto"/>
            </w:tcBorders>
            <w:noWrap/>
            <w:vAlign w:val="bottom"/>
            <w:hideMark/>
          </w:tcPr>
          <w:p w14:paraId="6B0DC111"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1.46</w:t>
            </w:r>
          </w:p>
        </w:tc>
        <w:tc>
          <w:tcPr>
            <w:tcW w:w="552" w:type="pct"/>
            <w:tcBorders>
              <w:top w:val="single" w:sz="4" w:space="0" w:color="auto"/>
            </w:tcBorders>
            <w:noWrap/>
            <w:vAlign w:val="bottom"/>
            <w:hideMark/>
          </w:tcPr>
          <w:p w14:paraId="09B4A94F"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3.91</w:t>
            </w:r>
          </w:p>
        </w:tc>
        <w:tc>
          <w:tcPr>
            <w:tcW w:w="572" w:type="pct"/>
            <w:tcBorders>
              <w:top w:val="single" w:sz="4" w:space="0" w:color="auto"/>
            </w:tcBorders>
            <w:noWrap/>
            <w:vAlign w:val="bottom"/>
            <w:hideMark/>
          </w:tcPr>
          <w:p w14:paraId="72CFE030"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-2.53</w:t>
            </w:r>
          </w:p>
        </w:tc>
        <w:tc>
          <w:tcPr>
            <w:tcW w:w="461" w:type="pct"/>
            <w:tcBorders>
              <w:top w:val="single" w:sz="4" w:space="0" w:color="auto"/>
            </w:tcBorders>
            <w:noWrap/>
            <w:vAlign w:val="bottom"/>
            <w:hideMark/>
          </w:tcPr>
          <w:p w14:paraId="2BD87CE3"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-1.80</w:t>
            </w:r>
          </w:p>
        </w:tc>
        <w:tc>
          <w:tcPr>
            <w:tcW w:w="474" w:type="pct"/>
            <w:tcBorders>
              <w:top w:val="single" w:sz="4" w:space="0" w:color="auto"/>
            </w:tcBorders>
            <w:noWrap/>
            <w:vAlign w:val="bottom"/>
            <w:hideMark/>
          </w:tcPr>
          <w:p w14:paraId="2B3BD63A"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4.48</w:t>
            </w:r>
          </w:p>
        </w:tc>
        <w:tc>
          <w:tcPr>
            <w:tcW w:w="358" w:type="pct"/>
            <w:tcBorders>
              <w:top w:val="single" w:sz="4" w:space="0" w:color="auto"/>
            </w:tcBorders>
            <w:vAlign w:val="bottom"/>
          </w:tcPr>
          <w:p w14:paraId="319626AB"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hAnsi="Arial" w:cs="Arial"/>
                <w:sz w:val="20"/>
                <w:szCs w:val="20"/>
              </w:rPr>
              <w:t>4.66</w:t>
            </w:r>
          </w:p>
        </w:tc>
      </w:tr>
      <w:tr w:rsidR="00F46753" w:rsidRPr="006E3255" w14:paraId="2C5A10E3" w14:textId="77777777" w:rsidTr="0049507B">
        <w:trPr>
          <w:trHeight w:val="290"/>
        </w:trPr>
        <w:tc>
          <w:tcPr>
            <w:tcW w:w="359" w:type="pct"/>
            <w:noWrap/>
            <w:vAlign w:val="bottom"/>
            <w:hideMark/>
          </w:tcPr>
          <w:p w14:paraId="4FCBC8C8"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2011</w:t>
            </w:r>
          </w:p>
        </w:tc>
        <w:tc>
          <w:tcPr>
            <w:tcW w:w="613" w:type="pct"/>
            <w:noWrap/>
            <w:vAlign w:val="bottom"/>
            <w:hideMark/>
          </w:tcPr>
          <w:p w14:paraId="57E2837C"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-22.84</w:t>
            </w:r>
          </w:p>
        </w:tc>
        <w:tc>
          <w:tcPr>
            <w:tcW w:w="441" w:type="pct"/>
            <w:noWrap/>
            <w:vAlign w:val="bottom"/>
            <w:hideMark/>
          </w:tcPr>
          <w:p w14:paraId="27DB1C4B"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0.70</w:t>
            </w:r>
          </w:p>
        </w:tc>
        <w:tc>
          <w:tcPr>
            <w:tcW w:w="526" w:type="pct"/>
            <w:noWrap/>
            <w:vAlign w:val="bottom"/>
            <w:hideMark/>
          </w:tcPr>
          <w:p w14:paraId="1BD92079"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0.78</w:t>
            </w:r>
          </w:p>
        </w:tc>
        <w:tc>
          <w:tcPr>
            <w:tcW w:w="644" w:type="pct"/>
            <w:noWrap/>
            <w:vAlign w:val="bottom"/>
            <w:hideMark/>
          </w:tcPr>
          <w:p w14:paraId="73BF7069"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0.69</w:t>
            </w:r>
          </w:p>
        </w:tc>
        <w:tc>
          <w:tcPr>
            <w:tcW w:w="552" w:type="pct"/>
            <w:noWrap/>
            <w:vAlign w:val="bottom"/>
            <w:hideMark/>
          </w:tcPr>
          <w:p w14:paraId="12485DAA"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21.70</w:t>
            </w:r>
          </w:p>
        </w:tc>
        <w:tc>
          <w:tcPr>
            <w:tcW w:w="572" w:type="pct"/>
            <w:noWrap/>
            <w:vAlign w:val="bottom"/>
            <w:hideMark/>
          </w:tcPr>
          <w:p w14:paraId="7D3DFD6C"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2.59</w:t>
            </w:r>
          </w:p>
        </w:tc>
        <w:tc>
          <w:tcPr>
            <w:tcW w:w="461" w:type="pct"/>
            <w:noWrap/>
            <w:vAlign w:val="bottom"/>
            <w:hideMark/>
          </w:tcPr>
          <w:p w14:paraId="4E30210E"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4.14</w:t>
            </w:r>
          </w:p>
        </w:tc>
        <w:tc>
          <w:tcPr>
            <w:tcW w:w="474" w:type="pct"/>
            <w:noWrap/>
            <w:vAlign w:val="bottom"/>
            <w:hideMark/>
          </w:tcPr>
          <w:p w14:paraId="2770E3A3"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6.24</w:t>
            </w:r>
          </w:p>
        </w:tc>
        <w:tc>
          <w:tcPr>
            <w:tcW w:w="358" w:type="pct"/>
            <w:vAlign w:val="bottom"/>
          </w:tcPr>
          <w:p w14:paraId="30D9BDFB"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hAnsi="Arial" w:cs="Arial"/>
                <w:sz w:val="20"/>
                <w:szCs w:val="20"/>
              </w:rPr>
              <w:t>4.97</w:t>
            </w:r>
          </w:p>
        </w:tc>
      </w:tr>
      <w:tr w:rsidR="00F46753" w:rsidRPr="006E3255" w14:paraId="5838E798" w14:textId="77777777" w:rsidTr="0049507B">
        <w:trPr>
          <w:trHeight w:val="290"/>
        </w:trPr>
        <w:tc>
          <w:tcPr>
            <w:tcW w:w="359" w:type="pct"/>
            <w:noWrap/>
            <w:vAlign w:val="bottom"/>
            <w:hideMark/>
          </w:tcPr>
          <w:p w14:paraId="1646B1FA"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2012</w:t>
            </w:r>
          </w:p>
        </w:tc>
        <w:tc>
          <w:tcPr>
            <w:tcW w:w="613" w:type="pct"/>
            <w:noWrap/>
            <w:vAlign w:val="bottom"/>
            <w:hideMark/>
          </w:tcPr>
          <w:p w14:paraId="312691AC"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3.60</w:t>
            </w:r>
          </w:p>
        </w:tc>
        <w:tc>
          <w:tcPr>
            <w:tcW w:w="441" w:type="pct"/>
            <w:noWrap/>
            <w:vAlign w:val="bottom"/>
            <w:hideMark/>
          </w:tcPr>
          <w:p w14:paraId="2FAF42C3"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0.46</w:t>
            </w:r>
          </w:p>
        </w:tc>
        <w:tc>
          <w:tcPr>
            <w:tcW w:w="526" w:type="pct"/>
            <w:noWrap/>
            <w:vAlign w:val="bottom"/>
            <w:hideMark/>
          </w:tcPr>
          <w:p w14:paraId="71A0ED0E"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1.81</w:t>
            </w:r>
          </w:p>
        </w:tc>
        <w:tc>
          <w:tcPr>
            <w:tcW w:w="644" w:type="pct"/>
            <w:noWrap/>
            <w:vAlign w:val="bottom"/>
            <w:hideMark/>
          </w:tcPr>
          <w:p w14:paraId="45B33775"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1.04</w:t>
            </w:r>
          </w:p>
        </w:tc>
        <w:tc>
          <w:tcPr>
            <w:tcW w:w="552" w:type="pct"/>
            <w:noWrap/>
            <w:vAlign w:val="bottom"/>
            <w:hideMark/>
          </w:tcPr>
          <w:p w14:paraId="076369A3"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-2.01</w:t>
            </w:r>
          </w:p>
        </w:tc>
        <w:tc>
          <w:tcPr>
            <w:tcW w:w="572" w:type="pct"/>
            <w:noWrap/>
            <w:vAlign w:val="bottom"/>
            <w:hideMark/>
          </w:tcPr>
          <w:p w14:paraId="0BD8356F"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0.85</w:t>
            </w:r>
          </w:p>
        </w:tc>
        <w:tc>
          <w:tcPr>
            <w:tcW w:w="461" w:type="pct"/>
            <w:noWrap/>
            <w:vAlign w:val="bottom"/>
            <w:hideMark/>
          </w:tcPr>
          <w:p w14:paraId="0086A50A"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-6.13</w:t>
            </w:r>
          </w:p>
        </w:tc>
        <w:tc>
          <w:tcPr>
            <w:tcW w:w="474" w:type="pct"/>
            <w:noWrap/>
            <w:vAlign w:val="bottom"/>
            <w:hideMark/>
          </w:tcPr>
          <w:p w14:paraId="48762F93"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6.34</w:t>
            </w:r>
          </w:p>
        </w:tc>
        <w:tc>
          <w:tcPr>
            <w:tcW w:w="358" w:type="pct"/>
            <w:vAlign w:val="bottom"/>
          </w:tcPr>
          <w:p w14:paraId="790BE40E"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hAnsi="Arial" w:cs="Arial"/>
                <w:sz w:val="20"/>
                <w:szCs w:val="20"/>
              </w:rPr>
              <w:t>3.54</w:t>
            </w:r>
          </w:p>
        </w:tc>
      </w:tr>
      <w:tr w:rsidR="00F46753" w:rsidRPr="006E3255" w14:paraId="06A1C08E" w14:textId="77777777" w:rsidTr="0049507B">
        <w:trPr>
          <w:trHeight w:val="290"/>
        </w:trPr>
        <w:tc>
          <w:tcPr>
            <w:tcW w:w="359" w:type="pct"/>
            <w:noWrap/>
            <w:vAlign w:val="bottom"/>
            <w:hideMark/>
          </w:tcPr>
          <w:p w14:paraId="1A198B76"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2013</w:t>
            </w:r>
          </w:p>
        </w:tc>
        <w:tc>
          <w:tcPr>
            <w:tcW w:w="613" w:type="pct"/>
            <w:noWrap/>
            <w:vAlign w:val="bottom"/>
            <w:hideMark/>
          </w:tcPr>
          <w:p w14:paraId="6107EE27"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89.26</w:t>
            </w:r>
          </w:p>
        </w:tc>
        <w:tc>
          <w:tcPr>
            <w:tcW w:w="441" w:type="pct"/>
            <w:noWrap/>
            <w:vAlign w:val="bottom"/>
            <w:hideMark/>
          </w:tcPr>
          <w:p w14:paraId="08484888"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1.92</w:t>
            </w:r>
          </w:p>
        </w:tc>
        <w:tc>
          <w:tcPr>
            <w:tcW w:w="526" w:type="pct"/>
            <w:noWrap/>
            <w:vAlign w:val="bottom"/>
            <w:hideMark/>
          </w:tcPr>
          <w:p w14:paraId="58132E45"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2.46</w:t>
            </w:r>
          </w:p>
        </w:tc>
        <w:tc>
          <w:tcPr>
            <w:tcW w:w="644" w:type="pct"/>
            <w:noWrap/>
            <w:vAlign w:val="bottom"/>
            <w:hideMark/>
          </w:tcPr>
          <w:p w14:paraId="72E2F4FD"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1.84</w:t>
            </w:r>
          </w:p>
        </w:tc>
        <w:tc>
          <w:tcPr>
            <w:tcW w:w="552" w:type="pct"/>
            <w:noWrap/>
            <w:vAlign w:val="bottom"/>
            <w:hideMark/>
          </w:tcPr>
          <w:p w14:paraId="07DD8BA5"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10.05</w:t>
            </w:r>
          </w:p>
        </w:tc>
        <w:tc>
          <w:tcPr>
            <w:tcW w:w="572" w:type="pct"/>
            <w:noWrap/>
            <w:vAlign w:val="bottom"/>
            <w:hideMark/>
          </w:tcPr>
          <w:p w14:paraId="5942E4A0"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2.97</w:t>
            </w:r>
          </w:p>
        </w:tc>
        <w:tc>
          <w:tcPr>
            <w:tcW w:w="461" w:type="pct"/>
            <w:noWrap/>
            <w:vAlign w:val="bottom"/>
            <w:hideMark/>
          </w:tcPr>
          <w:p w14:paraId="7649A3FD"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8.90</w:t>
            </w:r>
          </w:p>
        </w:tc>
        <w:tc>
          <w:tcPr>
            <w:tcW w:w="474" w:type="pct"/>
            <w:noWrap/>
            <w:vAlign w:val="bottom"/>
            <w:hideMark/>
          </w:tcPr>
          <w:p w14:paraId="02252743"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10.13</w:t>
            </w:r>
          </w:p>
        </w:tc>
        <w:tc>
          <w:tcPr>
            <w:tcW w:w="358" w:type="pct"/>
            <w:vAlign w:val="bottom"/>
          </w:tcPr>
          <w:p w14:paraId="665FDCAD"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hAnsi="Arial" w:cs="Arial"/>
                <w:sz w:val="20"/>
                <w:szCs w:val="20"/>
              </w:rPr>
              <w:t>3.97</w:t>
            </w:r>
          </w:p>
        </w:tc>
      </w:tr>
      <w:tr w:rsidR="00F46753" w:rsidRPr="006E3255" w14:paraId="521837AC" w14:textId="77777777" w:rsidTr="0049507B">
        <w:trPr>
          <w:trHeight w:val="290"/>
        </w:trPr>
        <w:tc>
          <w:tcPr>
            <w:tcW w:w="359" w:type="pct"/>
            <w:noWrap/>
            <w:vAlign w:val="bottom"/>
            <w:hideMark/>
          </w:tcPr>
          <w:p w14:paraId="0664BAB1"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2014</w:t>
            </w:r>
          </w:p>
        </w:tc>
        <w:tc>
          <w:tcPr>
            <w:tcW w:w="613" w:type="pct"/>
            <w:noWrap/>
            <w:vAlign w:val="bottom"/>
            <w:hideMark/>
          </w:tcPr>
          <w:p w14:paraId="615AC721"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6.98</w:t>
            </w:r>
          </w:p>
        </w:tc>
        <w:tc>
          <w:tcPr>
            <w:tcW w:w="441" w:type="pct"/>
            <w:noWrap/>
            <w:vAlign w:val="bottom"/>
            <w:hideMark/>
          </w:tcPr>
          <w:p w14:paraId="72962AFB"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1.72</w:t>
            </w:r>
          </w:p>
        </w:tc>
        <w:tc>
          <w:tcPr>
            <w:tcW w:w="526" w:type="pct"/>
            <w:noWrap/>
            <w:vAlign w:val="bottom"/>
            <w:hideMark/>
          </w:tcPr>
          <w:p w14:paraId="05FBD1E7"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0.00</w:t>
            </w:r>
          </w:p>
        </w:tc>
        <w:tc>
          <w:tcPr>
            <w:tcW w:w="644" w:type="pct"/>
            <w:noWrap/>
            <w:vAlign w:val="bottom"/>
            <w:hideMark/>
          </w:tcPr>
          <w:p w14:paraId="28B041FE"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1.22</w:t>
            </w:r>
          </w:p>
        </w:tc>
        <w:tc>
          <w:tcPr>
            <w:tcW w:w="552" w:type="pct"/>
            <w:noWrap/>
            <w:vAlign w:val="bottom"/>
            <w:hideMark/>
          </w:tcPr>
          <w:p w14:paraId="0CE07429"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46.67</w:t>
            </w:r>
          </w:p>
        </w:tc>
        <w:tc>
          <w:tcPr>
            <w:tcW w:w="572" w:type="pct"/>
            <w:noWrap/>
            <w:vAlign w:val="bottom"/>
            <w:hideMark/>
          </w:tcPr>
          <w:p w14:paraId="19D4F5EE"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6.17</w:t>
            </w:r>
          </w:p>
        </w:tc>
        <w:tc>
          <w:tcPr>
            <w:tcW w:w="461" w:type="pct"/>
            <w:noWrap/>
            <w:vAlign w:val="bottom"/>
            <w:hideMark/>
          </w:tcPr>
          <w:p w14:paraId="19EB654F"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8.70</w:t>
            </w:r>
          </w:p>
        </w:tc>
        <w:tc>
          <w:tcPr>
            <w:tcW w:w="474" w:type="pct"/>
            <w:noWrap/>
            <w:vAlign w:val="bottom"/>
            <w:hideMark/>
          </w:tcPr>
          <w:p w14:paraId="769A43DD"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8.46</w:t>
            </w:r>
          </w:p>
        </w:tc>
        <w:tc>
          <w:tcPr>
            <w:tcW w:w="358" w:type="pct"/>
            <w:vAlign w:val="bottom"/>
          </w:tcPr>
          <w:p w14:paraId="172A7005"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hAnsi="Arial" w:cs="Arial"/>
                <w:sz w:val="20"/>
                <w:szCs w:val="20"/>
              </w:rPr>
              <w:t>6.27</w:t>
            </w:r>
          </w:p>
        </w:tc>
      </w:tr>
      <w:tr w:rsidR="00F46753" w:rsidRPr="006E3255" w14:paraId="3C052431" w14:textId="77777777" w:rsidTr="0049507B">
        <w:trPr>
          <w:trHeight w:val="290"/>
        </w:trPr>
        <w:tc>
          <w:tcPr>
            <w:tcW w:w="359" w:type="pct"/>
            <w:noWrap/>
            <w:vAlign w:val="bottom"/>
            <w:hideMark/>
          </w:tcPr>
          <w:p w14:paraId="061CA2BF"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2015</w:t>
            </w:r>
          </w:p>
        </w:tc>
        <w:tc>
          <w:tcPr>
            <w:tcW w:w="613" w:type="pct"/>
            <w:noWrap/>
            <w:vAlign w:val="bottom"/>
            <w:hideMark/>
          </w:tcPr>
          <w:p w14:paraId="139C2406"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8.70</w:t>
            </w:r>
          </w:p>
        </w:tc>
        <w:tc>
          <w:tcPr>
            <w:tcW w:w="441" w:type="pct"/>
            <w:noWrap/>
            <w:vAlign w:val="bottom"/>
            <w:hideMark/>
          </w:tcPr>
          <w:p w14:paraId="681EBB37"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1.69</w:t>
            </w:r>
          </w:p>
        </w:tc>
        <w:tc>
          <w:tcPr>
            <w:tcW w:w="526" w:type="pct"/>
            <w:noWrap/>
            <w:vAlign w:val="bottom"/>
            <w:hideMark/>
          </w:tcPr>
          <w:p w14:paraId="7E01204B"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-3.66</w:t>
            </w:r>
          </w:p>
        </w:tc>
        <w:tc>
          <w:tcPr>
            <w:tcW w:w="644" w:type="pct"/>
            <w:noWrap/>
            <w:vAlign w:val="bottom"/>
            <w:hideMark/>
          </w:tcPr>
          <w:p w14:paraId="0C40CBFE"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1.20</w:t>
            </w:r>
          </w:p>
        </w:tc>
        <w:tc>
          <w:tcPr>
            <w:tcW w:w="552" w:type="pct"/>
            <w:noWrap/>
            <w:vAlign w:val="bottom"/>
            <w:hideMark/>
          </w:tcPr>
          <w:p w14:paraId="2CDE94BC"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9.09</w:t>
            </w:r>
          </w:p>
        </w:tc>
        <w:tc>
          <w:tcPr>
            <w:tcW w:w="572" w:type="pct"/>
            <w:noWrap/>
            <w:vAlign w:val="bottom"/>
            <w:hideMark/>
          </w:tcPr>
          <w:p w14:paraId="71FCB262"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-10.47</w:t>
            </w:r>
          </w:p>
        </w:tc>
        <w:tc>
          <w:tcPr>
            <w:tcW w:w="461" w:type="pct"/>
            <w:noWrap/>
            <w:vAlign w:val="bottom"/>
            <w:hideMark/>
          </w:tcPr>
          <w:p w14:paraId="06543B63"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34.00</w:t>
            </w:r>
          </w:p>
        </w:tc>
        <w:tc>
          <w:tcPr>
            <w:tcW w:w="474" w:type="pct"/>
            <w:noWrap/>
            <w:vAlign w:val="bottom"/>
            <w:hideMark/>
          </w:tcPr>
          <w:p w14:paraId="6876FA16"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7.80</w:t>
            </w:r>
          </w:p>
        </w:tc>
        <w:tc>
          <w:tcPr>
            <w:tcW w:w="358" w:type="pct"/>
            <w:vAlign w:val="bottom"/>
          </w:tcPr>
          <w:p w14:paraId="376515E1"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hAnsi="Arial" w:cs="Arial"/>
                <w:sz w:val="20"/>
                <w:szCs w:val="20"/>
              </w:rPr>
              <w:t>6.27</w:t>
            </w:r>
          </w:p>
        </w:tc>
      </w:tr>
      <w:tr w:rsidR="00F46753" w:rsidRPr="006E3255" w14:paraId="388DE1D4" w14:textId="77777777" w:rsidTr="0049507B">
        <w:trPr>
          <w:trHeight w:val="290"/>
        </w:trPr>
        <w:tc>
          <w:tcPr>
            <w:tcW w:w="359" w:type="pct"/>
            <w:noWrap/>
            <w:vAlign w:val="bottom"/>
            <w:hideMark/>
          </w:tcPr>
          <w:p w14:paraId="2C4A4245"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2016</w:t>
            </w:r>
          </w:p>
        </w:tc>
        <w:tc>
          <w:tcPr>
            <w:tcW w:w="613" w:type="pct"/>
            <w:noWrap/>
            <w:vAlign w:val="bottom"/>
            <w:hideMark/>
          </w:tcPr>
          <w:p w14:paraId="37DD1C12"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5.06</w:t>
            </w:r>
          </w:p>
        </w:tc>
        <w:tc>
          <w:tcPr>
            <w:tcW w:w="441" w:type="pct"/>
            <w:noWrap/>
            <w:vAlign w:val="bottom"/>
            <w:hideMark/>
          </w:tcPr>
          <w:p w14:paraId="388AB18F"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2.17</w:t>
            </w:r>
          </w:p>
        </w:tc>
        <w:tc>
          <w:tcPr>
            <w:tcW w:w="526" w:type="pct"/>
            <w:noWrap/>
            <w:vAlign w:val="bottom"/>
            <w:hideMark/>
          </w:tcPr>
          <w:p w14:paraId="3BCA9EAE"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-0.23</w:t>
            </w:r>
          </w:p>
        </w:tc>
        <w:tc>
          <w:tcPr>
            <w:tcW w:w="644" w:type="pct"/>
            <w:noWrap/>
            <w:vAlign w:val="bottom"/>
            <w:hideMark/>
          </w:tcPr>
          <w:p w14:paraId="673649FB"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-0.05</w:t>
            </w:r>
          </w:p>
        </w:tc>
        <w:tc>
          <w:tcPr>
            <w:tcW w:w="552" w:type="pct"/>
            <w:noWrap/>
            <w:vAlign w:val="bottom"/>
            <w:hideMark/>
          </w:tcPr>
          <w:p w14:paraId="28C11B0B"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0.67</w:t>
            </w:r>
          </w:p>
        </w:tc>
        <w:tc>
          <w:tcPr>
            <w:tcW w:w="572" w:type="pct"/>
            <w:noWrap/>
            <w:vAlign w:val="bottom"/>
            <w:hideMark/>
          </w:tcPr>
          <w:p w14:paraId="13374E50"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3.08</w:t>
            </w:r>
          </w:p>
        </w:tc>
        <w:tc>
          <w:tcPr>
            <w:tcW w:w="461" w:type="pct"/>
            <w:noWrap/>
            <w:vAlign w:val="bottom"/>
            <w:hideMark/>
          </w:tcPr>
          <w:p w14:paraId="4BC41A52"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-18.88</w:t>
            </w:r>
          </w:p>
        </w:tc>
        <w:tc>
          <w:tcPr>
            <w:tcW w:w="474" w:type="pct"/>
            <w:noWrap/>
            <w:vAlign w:val="bottom"/>
            <w:hideMark/>
          </w:tcPr>
          <w:p w14:paraId="3D328BAA"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4.99</w:t>
            </w:r>
          </w:p>
        </w:tc>
        <w:tc>
          <w:tcPr>
            <w:tcW w:w="358" w:type="pct"/>
            <w:vAlign w:val="bottom"/>
          </w:tcPr>
          <w:p w14:paraId="5724C45C"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hAnsi="Arial" w:cs="Arial"/>
                <w:sz w:val="20"/>
                <w:szCs w:val="20"/>
              </w:rPr>
              <w:t>6.38</w:t>
            </w:r>
          </w:p>
        </w:tc>
      </w:tr>
      <w:tr w:rsidR="00F46753" w:rsidRPr="006E3255" w14:paraId="4BB27CDD" w14:textId="77777777" w:rsidTr="0049507B">
        <w:trPr>
          <w:trHeight w:val="290"/>
        </w:trPr>
        <w:tc>
          <w:tcPr>
            <w:tcW w:w="359" w:type="pct"/>
            <w:noWrap/>
            <w:vAlign w:val="bottom"/>
            <w:hideMark/>
          </w:tcPr>
          <w:p w14:paraId="361D44C7"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2017</w:t>
            </w:r>
          </w:p>
        </w:tc>
        <w:tc>
          <w:tcPr>
            <w:tcW w:w="613" w:type="pct"/>
            <w:noWrap/>
            <w:vAlign w:val="bottom"/>
            <w:hideMark/>
          </w:tcPr>
          <w:p w14:paraId="1BE45A11"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2.84</w:t>
            </w:r>
          </w:p>
        </w:tc>
        <w:tc>
          <w:tcPr>
            <w:tcW w:w="441" w:type="pct"/>
            <w:noWrap/>
            <w:vAlign w:val="bottom"/>
            <w:hideMark/>
          </w:tcPr>
          <w:p w14:paraId="225FF480"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1.23</w:t>
            </w:r>
          </w:p>
        </w:tc>
        <w:tc>
          <w:tcPr>
            <w:tcW w:w="526" w:type="pct"/>
            <w:noWrap/>
            <w:vAlign w:val="bottom"/>
            <w:hideMark/>
          </w:tcPr>
          <w:p w14:paraId="5633A06D"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3.60</w:t>
            </w:r>
          </w:p>
        </w:tc>
        <w:tc>
          <w:tcPr>
            <w:tcW w:w="644" w:type="pct"/>
            <w:noWrap/>
            <w:vAlign w:val="bottom"/>
            <w:hideMark/>
          </w:tcPr>
          <w:p w14:paraId="159E4BD8"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1.27</w:t>
            </w:r>
          </w:p>
        </w:tc>
        <w:tc>
          <w:tcPr>
            <w:tcW w:w="552" w:type="pct"/>
            <w:noWrap/>
            <w:vAlign w:val="bottom"/>
            <w:hideMark/>
          </w:tcPr>
          <w:p w14:paraId="74D05390"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3.56</w:t>
            </w:r>
          </w:p>
        </w:tc>
        <w:tc>
          <w:tcPr>
            <w:tcW w:w="572" w:type="pct"/>
            <w:noWrap/>
            <w:vAlign w:val="bottom"/>
            <w:hideMark/>
          </w:tcPr>
          <w:p w14:paraId="7722C10E"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-6.65</w:t>
            </w:r>
          </w:p>
        </w:tc>
        <w:tc>
          <w:tcPr>
            <w:tcW w:w="461" w:type="pct"/>
            <w:noWrap/>
            <w:vAlign w:val="bottom"/>
            <w:hideMark/>
          </w:tcPr>
          <w:p w14:paraId="0B553F22"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7.95</w:t>
            </w:r>
          </w:p>
        </w:tc>
        <w:tc>
          <w:tcPr>
            <w:tcW w:w="474" w:type="pct"/>
            <w:noWrap/>
            <w:vAlign w:val="bottom"/>
            <w:hideMark/>
          </w:tcPr>
          <w:p w14:paraId="6063B75E"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9.19</w:t>
            </w:r>
          </w:p>
        </w:tc>
        <w:tc>
          <w:tcPr>
            <w:tcW w:w="358" w:type="pct"/>
            <w:vAlign w:val="bottom"/>
          </w:tcPr>
          <w:p w14:paraId="6C7E7DF1" w14:textId="77777777" w:rsidR="006A06F5" w:rsidRPr="006E3255" w:rsidRDefault="006A06F5"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hAnsi="Arial" w:cs="Arial"/>
                <w:sz w:val="20"/>
                <w:szCs w:val="20"/>
              </w:rPr>
              <w:t>6.62</w:t>
            </w:r>
          </w:p>
        </w:tc>
      </w:tr>
      <w:tr w:rsidR="00F46753" w:rsidRPr="006E3255" w14:paraId="28B628A4" w14:textId="77777777" w:rsidTr="0049507B">
        <w:trPr>
          <w:trHeight w:val="290"/>
        </w:trPr>
        <w:tc>
          <w:tcPr>
            <w:tcW w:w="359" w:type="pct"/>
            <w:noWrap/>
            <w:vAlign w:val="bottom"/>
          </w:tcPr>
          <w:p w14:paraId="0AB90FBD" w14:textId="01424F37"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2018</w:t>
            </w:r>
          </w:p>
        </w:tc>
        <w:tc>
          <w:tcPr>
            <w:tcW w:w="613" w:type="pct"/>
            <w:noWrap/>
            <w:vAlign w:val="bottom"/>
          </w:tcPr>
          <w:p w14:paraId="789D87F8" w14:textId="67E59AA3"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2.00</w:t>
            </w:r>
          </w:p>
        </w:tc>
        <w:tc>
          <w:tcPr>
            <w:tcW w:w="441" w:type="pct"/>
            <w:noWrap/>
            <w:vAlign w:val="bottom"/>
          </w:tcPr>
          <w:p w14:paraId="4E762BC8" w14:textId="6E6A5F1E"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1.19</w:t>
            </w:r>
          </w:p>
        </w:tc>
        <w:tc>
          <w:tcPr>
            <w:tcW w:w="526" w:type="pct"/>
            <w:noWrap/>
            <w:vAlign w:val="bottom"/>
          </w:tcPr>
          <w:p w14:paraId="267A66B5" w14:textId="01CFE987"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5.01</w:t>
            </w:r>
          </w:p>
        </w:tc>
        <w:tc>
          <w:tcPr>
            <w:tcW w:w="644" w:type="pct"/>
            <w:noWrap/>
            <w:vAlign w:val="bottom"/>
          </w:tcPr>
          <w:p w14:paraId="40C2F96F" w14:textId="203E9B9D"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1.86</w:t>
            </w:r>
          </w:p>
        </w:tc>
        <w:tc>
          <w:tcPr>
            <w:tcW w:w="552" w:type="pct"/>
            <w:noWrap/>
            <w:vAlign w:val="bottom"/>
          </w:tcPr>
          <w:p w14:paraId="12E7DC56" w14:textId="1CE49907"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2.92</w:t>
            </w:r>
          </w:p>
        </w:tc>
        <w:tc>
          <w:tcPr>
            <w:tcW w:w="572" w:type="pct"/>
            <w:noWrap/>
            <w:vAlign w:val="bottom"/>
          </w:tcPr>
          <w:p w14:paraId="63FC8DE1" w14:textId="08CF547F"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-2.05</w:t>
            </w:r>
          </w:p>
        </w:tc>
        <w:tc>
          <w:tcPr>
            <w:tcW w:w="461" w:type="pct"/>
            <w:noWrap/>
            <w:vAlign w:val="bottom"/>
          </w:tcPr>
          <w:p w14:paraId="6ADBEB3E" w14:textId="14E95365"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3.72</w:t>
            </w:r>
          </w:p>
        </w:tc>
        <w:tc>
          <w:tcPr>
            <w:tcW w:w="474" w:type="pct"/>
            <w:noWrap/>
            <w:vAlign w:val="bottom"/>
          </w:tcPr>
          <w:p w14:paraId="11DCA90E" w14:textId="56311990"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6.32</w:t>
            </w:r>
          </w:p>
        </w:tc>
        <w:tc>
          <w:tcPr>
            <w:tcW w:w="358" w:type="pct"/>
            <w:vAlign w:val="bottom"/>
          </w:tcPr>
          <w:p w14:paraId="594E378E" w14:textId="5B57824A" w:rsidR="007D4B93" w:rsidRPr="006E3255" w:rsidRDefault="007D4B93" w:rsidP="00B5276C">
            <w:pPr>
              <w:spacing w:after="0" w:line="240" w:lineRule="auto"/>
              <w:jc w:val="both"/>
              <w:rPr>
                <w:rFonts w:ascii="Arial" w:hAnsi="Arial" w:cs="Arial"/>
                <w:sz w:val="20"/>
                <w:szCs w:val="20"/>
              </w:rPr>
            </w:pPr>
            <w:r w:rsidRPr="006E3255">
              <w:rPr>
                <w:rFonts w:ascii="Arial" w:eastAsia="Times New Roman" w:hAnsi="Arial" w:cs="Arial"/>
                <w:kern w:val="0"/>
                <w:sz w:val="20"/>
                <w:szCs w:val="20"/>
                <w:lang w:eastAsia="en-IN"/>
                <w14:ligatures w14:val="none"/>
              </w:rPr>
              <w:t>6.47</w:t>
            </w:r>
          </w:p>
        </w:tc>
      </w:tr>
      <w:tr w:rsidR="00F46753" w:rsidRPr="006E3255" w14:paraId="4688C833" w14:textId="77777777" w:rsidTr="0049507B">
        <w:trPr>
          <w:trHeight w:val="290"/>
        </w:trPr>
        <w:tc>
          <w:tcPr>
            <w:tcW w:w="359" w:type="pct"/>
            <w:noWrap/>
            <w:vAlign w:val="bottom"/>
          </w:tcPr>
          <w:p w14:paraId="56FFBCD1" w14:textId="646A0221"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2019</w:t>
            </w:r>
          </w:p>
        </w:tc>
        <w:tc>
          <w:tcPr>
            <w:tcW w:w="613" w:type="pct"/>
            <w:noWrap/>
            <w:vAlign w:val="bottom"/>
          </w:tcPr>
          <w:p w14:paraId="2BFB9477" w14:textId="51E0896C"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10.04</w:t>
            </w:r>
          </w:p>
        </w:tc>
        <w:tc>
          <w:tcPr>
            <w:tcW w:w="441" w:type="pct"/>
            <w:noWrap/>
            <w:vAlign w:val="bottom"/>
          </w:tcPr>
          <w:p w14:paraId="6D7B5A57" w14:textId="2E04E17B"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4.27</w:t>
            </w:r>
          </w:p>
        </w:tc>
        <w:tc>
          <w:tcPr>
            <w:tcW w:w="526" w:type="pct"/>
            <w:noWrap/>
            <w:vAlign w:val="bottom"/>
          </w:tcPr>
          <w:p w14:paraId="3045B5E4" w14:textId="0C4AFF15"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4.55</w:t>
            </w:r>
          </w:p>
        </w:tc>
        <w:tc>
          <w:tcPr>
            <w:tcW w:w="644" w:type="pct"/>
            <w:noWrap/>
            <w:vAlign w:val="bottom"/>
          </w:tcPr>
          <w:p w14:paraId="7D5FB016" w14:textId="34288279"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1.14</w:t>
            </w:r>
          </w:p>
        </w:tc>
        <w:tc>
          <w:tcPr>
            <w:tcW w:w="552" w:type="pct"/>
            <w:noWrap/>
            <w:vAlign w:val="bottom"/>
          </w:tcPr>
          <w:p w14:paraId="5AF3280A" w14:textId="11223E7E"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-8.62</w:t>
            </w:r>
          </w:p>
        </w:tc>
        <w:tc>
          <w:tcPr>
            <w:tcW w:w="572" w:type="pct"/>
            <w:noWrap/>
            <w:vAlign w:val="bottom"/>
          </w:tcPr>
          <w:p w14:paraId="3D53DEC6" w14:textId="69C415C7"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-15.06</w:t>
            </w:r>
          </w:p>
        </w:tc>
        <w:tc>
          <w:tcPr>
            <w:tcW w:w="461" w:type="pct"/>
            <w:noWrap/>
            <w:vAlign w:val="bottom"/>
          </w:tcPr>
          <w:p w14:paraId="55963549" w14:textId="2284615D"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37.95</w:t>
            </w:r>
          </w:p>
        </w:tc>
        <w:tc>
          <w:tcPr>
            <w:tcW w:w="474" w:type="pct"/>
            <w:noWrap/>
            <w:vAlign w:val="bottom"/>
          </w:tcPr>
          <w:p w14:paraId="7E8705CF" w14:textId="4B98001B"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7.19</w:t>
            </w:r>
          </w:p>
        </w:tc>
        <w:tc>
          <w:tcPr>
            <w:tcW w:w="358" w:type="pct"/>
            <w:vAlign w:val="bottom"/>
          </w:tcPr>
          <w:p w14:paraId="1CF6E3AB" w14:textId="0BF7494F" w:rsidR="007D4B93" w:rsidRPr="006E3255" w:rsidRDefault="007D4B93" w:rsidP="00B5276C">
            <w:pPr>
              <w:spacing w:after="0" w:line="240" w:lineRule="auto"/>
              <w:jc w:val="both"/>
              <w:rPr>
                <w:rFonts w:ascii="Arial" w:hAnsi="Arial" w:cs="Arial"/>
                <w:sz w:val="20"/>
                <w:szCs w:val="20"/>
              </w:rPr>
            </w:pPr>
            <w:r w:rsidRPr="006E3255">
              <w:rPr>
                <w:rFonts w:ascii="Arial" w:hAnsi="Arial" w:cs="Arial"/>
                <w:sz w:val="20"/>
                <w:szCs w:val="20"/>
              </w:rPr>
              <w:t>5.69</w:t>
            </w:r>
          </w:p>
        </w:tc>
      </w:tr>
      <w:tr w:rsidR="00F46753" w:rsidRPr="006E3255" w14:paraId="52092771" w14:textId="77777777" w:rsidTr="0049507B">
        <w:trPr>
          <w:trHeight w:val="290"/>
        </w:trPr>
        <w:tc>
          <w:tcPr>
            <w:tcW w:w="359" w:type="pct"/>
            <w:noWrap/>
            <w:vAlign w:val="bottom"/>
          </w:tcPr>
          <w:p w14:paraId="007B45E1" w14:textId="4A81F50B" w:rsidR="007D4B93" w:rsidRPr="006E3255" w:rsidRDefault="007D4B93" w:rsidP="00B5276C">
            <w:pPr>
              <w:spacing w:after="0" w:line="240" w:lineRule="auto"/>
              <w:jc w:val="both"/>
              <w:rPr>
                <w:rFonts w:ascii="Arial" w:eastAsia="Times New Roman" w:hAnsi="Arial" w:cs="Arial"/>
                <w:b/>
                <w:bCs/>
                <w:kern w:val="0"/>
                <w:sz w:val="20"/>
                <w:szCs w:val="20"/>
                <w:lang w:eastAsia="en-IN"/>
                <w14:ligatures w14:val="none"/>
              </w:rPr>
            </w:pPr>
            <w:r w:rsidRPr="006E3255">
              <w:rPr>
                <w:rFonts w:ascii="Arial" w:eastAsia="Times New Roman" w:hAnsi="Arial" w:cs="Arial"/>
                <w:kern w:val="0"/>
                <w:sz w:val="20"/>
                <w:szCs w:val="20"/>
                <w:lang w:eastAsia="en-IN"/>
                <w14:ligatures w14:val="none"/>
              </w:rPr>
              <w:t>2020</w:t>
            </w:r>
          </w:p>
        </w:tc>
        <w:tc>
          <w:tcPr>
            <w:tcW w:w="613" w:type="pct"/>
            <w:noWrap/>
            <w:vAlign w:val="bottom"/>
          </w:tcPr>
          <w:p w14:paraId="14346BCF" w14:textId="76A2931D"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-27.61</w:t>
            </w:r>
          </w:p>
        </w:tc>
        <w:tc>
          <w:tcPr>
            <w:tcW w:w="441" w:type="pct"/>
            <w:noWrap/>
            <w:vAlign w:val="bottom"/>
          </w:tcPr>
          <w:p w14:paraId="3A1897FA" w14:textId="55F2C3DC"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3.71</w:t>
            </w:r>
          </w:p>
        </w:tc>
        <w:tc>
          <w:tcPr>
            <w:tcW w:w="526" w:type="pct"/>
            <w:noWrap/>
            <w:vAlign w:val="bottom"/>
          </w:tcPr>
          <w:p w14:paraId="5C8B2481" w14:textId="5D50A05E"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-20.75</w:t>
            </w:r>
          </w:p>
        </w:tc>
        <w:tc>
          <w:tcPr>
            <w:tcW w:w="644" w:type="pct"/>
            <w:noWrap/>
            <w:vAlign w:val="bottom"/>
          </w:tcPr>
          <w:p w14:paraId="61044061" w14:textId="792520FE"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1.76</w:t>
            </w:r>
          </w:p>
        </w:tc>
        <w:tc>
          <w:tcPr>
            <w:tcW w:w="552" w:type="pct"/>
            <w:noWrap/>
            <w:vAlign w:val="bottom"/>
          </w:tcPr>
          <w:p w14:paraId="7B26A911" w14:textId="206FB13A"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7.86</w:t>
            </w:r>
          </w:p>
        </w:tc>
        <w:tc>
          <w:tcPr>
            <w:tcW w:w="572" w:type="pct"/>
            <w:noWrap/>
            <w:vAlign w:val="bottom"/>
          </w:tcPr>
          <w:p w14:paraId="1530FD98" w14:textId="77EEC8C5"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-9.26</w:t>
            </w:r>
          </w:p>
        </w:tc>
        <w:tc>
          <w:tcPr>
            <w:tcW w:w="461" w:type="pct"/>
            <w:noWrap/>
            <w:vAlign w:val="bottom"/>
          </w:tcPr>
          <w:p w14:paraId="137D72FC" w14:textId="1E993171"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-12.02</w:t>
            </w:r>
          </w:p>
        </w:tc>
        <w:tc>
          <w:tcPr>
            <w:tcW w:w="474" w:type="pct"/>
            <w:noWrap/>
            <w:vAlign w:val="bottom"/>
          </w:tcPr>
          <w:p w14:paraId="4EB0DAF4" w14:textId="760A89E6"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3.81</w:t>
            </w:r>
          </w:p>
        </w:tc>
        <w:tc>
          <w:tcPr>
            <w:tcW w:w="358" w:type="pct"/>
            <w:vAlign w:val="bottom"/>
          </w:tcPr>
          <w:p w14:paraId="71CC9F53" w14:textId="2EFF2AB0" w:rsidR="007D4B93" w:rsidRPr="006E3255" w:rsidRDefault="007D4B93" w:rsidP="00B5276C">
            <w:pPr>
              <w:spacing w:after="0" w:line="240" w:lineRule="auto"/>
              <w:jc w:val="both"/>
              <w:rPr>
                <w:rFonts w:ascii="Arial" w:hAnsi="Arial" w:cs="Arial"/>
                <w:sz w:val="20"/>
                <w:szCs w:val="20"/>
              </w:rPr>
            </w:pPr>
            <w:r w:rsidRPr="006E3255">
              <w:rPr>
                <w:rFonts w:ascii="Arial" w:hAnsi="Arial" w:cs="Arial"/>
                <w:sz w:val="20"/>
                <w:szCs w:val="20"/>
              </w:rPr>
              <w:t>5.81</w:t>
            </w:r>
          </w:p>
        </w:tc>
      </w:tr>
      <w:tr w:rsidR="00F46753" w:rsidRPr="006E3255" w14:paraId="493862DB" w14:textId="77777777" w:rsidTr="0049507B">
        <w:trPr>
          <w:trHeight w:val="290"/>
        </w:trPr>
        <w:tc>
          <w:tcPr>
            <w:tcW w:w="359" w:type="pct"/>
            <w:noWrap/>
            <w:vAlign w:val="bottom"/>
          </w:tcPr>
          <w:p w14:paraId="40120F0F" w14:textId="2E46B93D"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2021</w:t>
            </w:r>
          </w:p>
        </w:tc>
        <w:tc>
          <w:tcPr>
            <w:tcW w:w="613" w:type="pct"/>
            <w:noWrap/>
            <w:vAlign w:val="bottom"/>
          </w:tcPr>
          <w:p w14:paraId="0FD88027" w14:textId="6A3D1939"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4.83</w:t>
            </w:r>
          </w:p>
        </w:tc>
        <w:tc>
          <w:tcPr>
            <w:tcW w:w="441" w:type="pct"/>
            <w:noWrap/>
            <w:vAlign w:val="bottom"/>
          </w:tcPr>
          <w:p w14:paraId="7FB91980" w14:textId="44FD8529"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2.93</w:t>
            </w:r>
          </w:p>
        </w:tc>
        <w:tc>
          <w:tcPr>
            <w:tcW w:w="526" w:type="pct"/>
            <w:noWrap/>
            <w:vAlign w:val="bottom"/>
          </w:tcPr>
          <w:p w14:paraId="7B1452AF" w14:textId="4CEA4D7C"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6.33</w:t>
            </w:r>
          </w:p>
        </w:tc>
        <w:tc>
          <w:tcPr>
            <w:tcW w:w="644" w:type="pct"/>
            <w:noWrap/>
            <w:vAlign w:val="bottom"/>
          </w:tcPr>
          <w:p w14:paraId="55B50845" w14:textId="53AB74D9"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1.22</w:t>
            </w:r>
          </w:p>
        </w:tc>
        <w:tc>
          <w:tcPr>
            <w:tcW w:w="552" w:type="pct"/>
            <w:noWrap/>
            <w:vAlign w:val="bottom"/>
          </w:tcPr>
          <w:p w14:paraId="1D0B3348" w14:textId="73AE8AC3"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-3.11</w:t>
            </w:r>
          </w:p>
        </w:tc>
        <w:tc>
          <w:tcPr>
            <w:tcW w:w="572" w:type="pct"/>
            <w:noWrap/>
            <w:vAlign w:val="bottom"/>
          </w:tcPr>
          <w:p w14:paraId="51BB206E" w14:textId="0A0E4431"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9.19</w:t>
            </w:r>
          </w:p>
        </w:tc>
        <w:tc>
          <w:tcPr>
            <w:tcW w:w="461" w:type="pct"/>
            <w:noWrap/>
            <w:vAlign w:val="bottom"/>
          </w:tcPr>
          <w:p w14:paraId="12D7FC8C" w14:textId="605ACE43"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17.16</w:t>
            </w:r>
          </w:p>
        </w:tc>
        <w:tc>
          <w:tcPr>
            <w:tcW w:w="474" w:type="pct"/>
            <w:noWrap/>
            <w:vAlign w:val="bottom"/>
          </w:tcPr>
          <w:p w14:paraId="03003F82" w14:textId="16A7BE9A"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5.23</w:t>
            </w:r>
          </w:p>
        </w:tc>
        <w:tc>
          <w:tcPr>
            <w:tcW w:w="358" w:type="pct"/>
            <w:vAlign w:val="bottom"/>
          </w:tcPr>
          <w:p w14:paraId="3B911DFE" w14:textId="1C158CA5" w:rsidR="007D4B93" w:rsidRPr="006E3255" w:rsidRDefault="007D4B93" w:rsidP="00B5276C">
            <w:pPr>
              <w:spacing w:after="0" w:line="240" w:lineRule="auto"/>
              <w:jc w:val="both"/>
              <w:rPr>
                <w:rFonts w:ascii="Arial" w:hAnsi="Arial" w:cs="Arial"/>
                <w:sz w:val="20"/>
                <w:szCs w:val="20"/>
              </w:rPr>
            </w:pPr>
            <w:r w:rsidRPr="006E3255">
              <w:rPr>
                <w:rFonts w:ascii="Arial" w:hAnsi="Arial" w:cs="Arial"/>
                <w:sz w:val="20"/>
                <w:szCs w:val="20"/>
              </w:rPr>
              <w:t>5.29</w:t>
            </w:r>
          </w:p>
        </w:tc>
      </w:tr>
      <w:tr w:rsidR="00F46753" w:rsidRPr="006E3255" w14:paraId="402BDD1B" w14:textId="77777777" w:rsidTr="0049507B">
        <w:trPr>
          <w:trHeight w:val="290"/>
        </w:trPr>
        <w:tc>
          <w:tcPr>
            <w:tcW w:w="359" w:type="pct"/>
            <w:noWrap/>
            <w:vAlign w:val="bottom"/>
          </w:tcPr>
          <w:p w14:paraId="25502052" w14:textId="05DD4A3F"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2022</w:t>
            </w:r>
          </w:p>
        </w:tc>
        <w:tc>
          <w:tcPr>
            <w:tcW w:w="613" w:type="pct"/>
            <w:noWrap/>
            <w:vAlign w:val="bottom"/>
          </w:tcPr>
          <w:p w14:paraId="0DF4A523" w14:textId="1575FFC6"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-1.02</w:t>
            </w:r>
          </w:p>
        </w:tc>
        <w:tc>
          <w:tcPr>
            <w:tcW w:w="441" w:type="pct"/>
            <w:noWrap/>
            <w:vAlign w:val="bottom"/>
          </w:tcPr>
          <w:p w14:paraId="7D6FDDCB" w14:textId="6AE1FAD6"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2.48</w:t>
            </w:r>
          </w:p>
        </w:tc>
        <w:tc>
          <w:tcPr>
            <w:tcW w:w="526" w:type="pct"/>
            <w:noWrap/>
            <w:vAlign w:val="bottom"/>
          </w:tcPr>
          <w:p w14:paraId="479CA9C9" w14:textId="7A60CE83"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-4.87</w:t>
            </w:r>
          </w:p>
        </w:tc>
        <w:tc>
          <w:tcPr>
            <w:tcW w:w="644" w:type="pct"/>
            <w:noWrap/>
            <w:vAlign w:val="bottom"/>
          </w:tcPr>
          <w:p w14:paraId="602A535E" w14:textId="6EDF71A5"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3.64</w:t>
            </w:r>
          </w:p>
        </w:tc>
        <w:tc>
          <w:tcPr>
            <w:tcW w:w="552" w:type="pct"/>
            <w:noWrap/>
            <w:vAlign w:val="bottom"/>
          </w:tcPr>
          <w:p w14:paraId="52CD24B3" w14:textId="0D17C31A"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-0.45</w:t>
            </w:r>
          </w:p>
        </w:tc>
        <w:tc>
          <w:tcPr>
            <w:tcW w:w="572" w:type="pct"/>
            <w:noWrap/>
            <w:vAlign w:val="bottom"/>
          </w:tcPr>
          <w:p w14:paraId="2305C1EB" w14:textId="63A46F2B"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-18.83</w:t>
            </w:r>
          </w:p>
        </w:tc>
        <w:tc>
          <w:tcPr>
            <w:tcW w:w="461" w:type="pct"/>
            <w:noWrap/>
            <w:vAlign w:val="bottom"/>
          </w:tcPr>
          <w:p w14:paraId="2EED1483" w14:textId="3649C3B3"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0.01</w:t>
            </w:r>
          </w:p>
        </w:tc>
        <w:tc>
          <w:tcPr>
            <w:tcW w:w="474" w:type="pct"/>
            <w:noWrap/>
            <w:vAlign w:val="bottom"/>
          </w:tcPr>
          <w:p w14:paraId="5838ABA6" w14:textId="46E58644"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6.07</w:t>
            </w:r>
          </w:p>
        </w:tc>
        <w:tc>
          <w:tcPr>
            <w:tcW w:w="358" w:type="pct"/>
            <w:vAlign w:val="bottom"/>
          </w:tcPr>
          <w:p w14:paraId="111DD2C7" w14:textId="18026381" w:rsidR="007D4B93" w:rsidRPr="006E3255" w:rsidRDefault="007D4B93" w:rsidP="00B5276C">
            <w:pPr>
              <w:spacing w:after="0" w:line="240" w:lineRule="auto"/>
              <w:jc w:val="both"/>
              <w:rPr>
                <w:rFonts w:ascii="Arial" w:hAnsi="Arial" w:cs="Arial"/>
                <w:sz w:val="20"/>
                <w:szCs w:val="20"/>
              </w:rPr>
            </w:pPr>
            <w:r w:rsidRPr="006E3255">
              <w:rPr>
                <w:rFonts w:ascii="Arial" w:hAnsi="Arial" w:cs="Arial"/>
                <w:sz w:val="20"/>
                <w:szCs w:val="20"/>
              </w:rPr>
              <w:t>4.30</w:t>
            </w:r>
          </w:p>
        </w:tc>
      </w:tr>
      <w:tr w:rsidR="00F46753" w:rsidRPr="006E3255" w14:paraId="00E087A5" w14:textId="77777777" w:rsidTr="0049507B">
        <w:trPr>
          <w:trHeight w:val="290"/>
        </w:trPr>
        <w:tc>
          <w:tcPr>
            <w:tcW w:w="359" w:type="pct"/>
            <w:noWrap/>
            <w:vAlign w:val="bottom"/>
          </w:tcPr>
          <w:p w14:paraId="7DCD98D9" w14:textId="7719A0ED"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2023</w:t>
            </w:r>
          </w:p>
        </w:tc>
        <w:tc>
          <w:tcPr>
            <w:tcW w:w="613" w:type="pct"/>
            <w:noWrap/>
            <w:vAlign w:val="bottom"/>
          </w:tcPr>
          <w:p w14:paraId="536DA641" w14:textId="2D3FA4C0"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-56.08</w:t>
            </w:r>
          </w:p>
        </w:tc>
        <w:tc>
          <w:tcPr>
            <w:tcW w:w="441" w:type="pct"/>
            <w:noWrap/>
            <w:vAlign w:val="bottom"/>
          </w:tcPr>
          <w:p w14:paraId="308FFB55" w14:textId="7DA02EF1"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8.53</w:t>
            </w:r>
          </w:p>
        </w:tc>
        <w:tc>
          <w:tcPr>
            <w:tcW w:w="526" w:type="pct"/>
            <w:noWrap/>
            <w:vAlign w:val="bottom"/>
          </w:tcPr>
          <w:p w14:paraId="1EA9BF0D" w14:textId="0535C18D"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-11.83</w:t>
            </w:r>
          </w:p>
        </w:tc>
        <w:tc>
          <w:tcPr>
            <w:tcW w:w="644" w:type="pct"/>
            <w:noWrap/>
            <w:vAlign w:val="bottom"/>
          </w:tcPr>
          <w:p w14:paraId="71132106" w14:textId="7A4EE435"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3.77</w:t>
            </w:r>
          </w:p>
        </w:tc>
        <w:tc>
          <w:tcPr>
            <w:tcW w:w="552" w:type="pct"/>
            <w:noWrap/>
            <w:vAlign w:val="bottom"/>
          </w:tcPr>
          <w:p w14:paraId="05E6D214" w14:textId="3F95C8FA"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3.88</w:t>
            </w:r>
          </w:p>
        </w:tc>
        <w:tc>
          <w:tcPr>
            <w:tcW w:w="572" w:type="pct"/>
            <w:noWrap/>
            <w:vAlign w:val="bottom"/>
          </w:tcPr>
          <w:p w14:paraId="0315F627" w14:textId="704C053F"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6.50</w:t>
            </w:r>
          </w:p>
        </w:tc>
        <w:tc>
          <w:tcPr>
            <w:tcW w:w="461" w:type="pct"/>
            <w:noWrap/>
            <w:vAlign w:val="bottom"/>
          </w:tcPr>
          <w:p w14:paraId="7C90E213" w14:textId="2F722757"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-6.40</w:t>
            </w:r>
          </w:p>
        </w:tc>
        <w:tc>
          <w:tcPr>
            <w:tcW w:w="474" w:type="pct"/>
            <w:noWrap/>
            <w:vAlign w:val="bottom"/>
          </w:tcPr>
          <w:p w14:paraId="5D3DDDAD" w14:textId="495C0C59" w:rsidR="007D4B93" w:rsidRPr="006E3255" w:rsidRDefault="007D4B93" w:rsidP="00B5276C">
            <w:pPr>
              <w:spacing w:after="0" w:line="240" w:lineRule="auto"/>
              <w:jc w:val="both"/>
              <w:rPr>
                <w:rFonts w:ascii="Arial" w:eastAsia="Times New Roman" w:hAnsi="Arial" w:cs="Arial"/>
                <w:kern w:val="0"/>
                <w:sz w:val="20"/>
                <w:szCs w:val="20"/>
                <w:lang w:eastAsia="en-IN"/>
                <w14:ligatures w14:val="none"/>
              </w:rPr>
            </w:pPr>
            <w:r w:rsidRPr="006E3255">
              <w:rPr>
                <w:rFonts w:ascii="Arial" w:eastAsia="Times New Roman" w:hAnsi="Arial" w:cs="Arial"/>
                <w:kern w:val="0"/>
                <w:sz w:val="20"/>
                <w:szCs w:val="20"/>
                <w:lang w:eastAsia="en-IN"/>
                <w14:ligatures w14:val="none"/>
              </w:rPr>
              <w:t>7.47</w:t>
            </w:r>
          </w:p>
        </w:tc>
        <w:tc>
          <w:tcPr>
            <w:tcW w:w="358" w:type="pct"/>
            <w:vAlign w:val="bottom"/>
          </w:tcPr>
          <w:p w14:paraId="296E2079" w14:textId="2A1F5E7A" w:rsidR="007D4B93" w:rsidRPr="006E3255" w:rsidRDefault="007D4B93" w:rsidP="00B5276C">
            <w:pPr>
              <w:spacing w:after="0" w:line="240" w:lineRule="auto"/>
              <w:jc w:val="both"/>
              <w:rPr>
                <w:rFonts w:ascii="Arial" w:hAnsi="Arial" w:cs="Arial"/>
                <w:sz w:val="20"/>
                <w:szCs w:val="20"/>
              </w:rPr>
            </w:pPr>
            <w:r w:rsidRPr="006E3255">
              <w:rPr>
                <w:rFonts w:ascii="Arial" w:hAnsi="Arial" w:cs="Arial"/>
                <w:sz w:val="20"/>
                <w:szCs w:val="20"/>
              </w:rPr>
              <w:t>3.78</w:t>
            </w:r>
          </w:p>
        </w:tc>
      </w:tr>
    </w:tbl>
    <w:p w14:paraId="186207E8" w14:textId="77777777" w:rsidR="006A06F5" w:rsidRPr="006E3255" w:rsidRDefault="006A06F5" w:rsidP="00B5276C">
      <w:pPr>
        <w:spacing w:line="360" w:lineRule="auto"/>
        <w:jc w:val="both"/>
        <w:rPr>
          <w:rFonts w:ascii="Arial" w:hAnsi="Arial" w:cs="Arial"/>
          <w:sz w:val="20"/>
          <w:szCs w:val="20"/>
        </w:rPr>
      </w:pPr>
      <w:r w:rsidRPr="006E3255">
        <w:rPr>
          <w:rFonts w:ascii="Arial" w:hAnsi="Arial" w:cs="Arial"/>
          <w:sz w:val="20"/>
          <w:szCs w:val="20"/>
        </w:rPr>
        <w:t>The unit of the figure is expressed in percentage</w:t>
      </w:r>
    </w:p>
    <w:p w14:paraId="5586F77A" w14:textId="77777777" w:rsidR="006A06F5" w:rsidRPr="006E3255" w:rsidRDefault="006A06F5" w:rsidP="00B5276C">
      <w:pPr>
        <w:spacing w:line="360" w:lineRule="auto"/>
        <w:jc w:val="both"/>
        <w:rPr>
          <w:rFonts w:ascii="Arial" w:hAnsi="Arial" w:cs="Arial"/>
          <w:sz w:val="20"/>
          <w:szCs w:val="20"/>
        </w:rPr>
      </w:pPr>
      <w:r w:rsidRPr="006E3255">
        <w:rPr>
          <w:rFonts w:ascii="Arial" w:hAnsi="Arial" w:cs="Arial"/>
          <w:b/>
          <w:bCs/>
          <w:sz w:val="20"/>
          <w:szCs w:val="20"/>
        </w:rPr>
        <w:t>Source:</w:t>
      </w:r>
      <w:r w:rsidRPr="006E3255">
        <w:rPr>
          <w:rFonts w:ascii="Arial" w:hAnsi="Arial" w:cs="Arial"/>
          <w:sz w:val="20"/>
          <w:szCs w:val="20"/>
        </w:rPr>
        <w:t xml:space="preserve"> BAHS, 2024</w:t>
      </w:r>
    </w:p>
    <w:p w14:paraId="7D8C3511" w14:textId="5C5BC59A" w:rsidR="00210E0B" w:rsidRPr="006E3255" w:rsidRDefault="00210E0B" w:rsidP="00B5276C">
      <w:pPr>
        <w:spacing w:line="360" w:lineRule="auto"/>
        <w:jc w:val="both"/>
        <w:rPr>
          <w:rFonts w:ascii="Arial" w:hAnsi="Arial" w:cs="Arial"/>
          <w:sz w:val="20"/>
          <w:szCs w:val="20"/>
        </w:rPr>
      </w:pPr>
      <w:r w:rsidRPr="006E3255">
        <w:rPr>
          <w:rFonts w:ascii="Arial" w:hAnsi="Arial" w:cs="Arial"/>
          <w:sz w:val="20"/>
          <w:szCs w:val="20"/>
        </w:rPr>
        <w:t xml:space="preserve">The region’s per capita availability is 71 g/day which is below the all-India average </w:t>
      </w:r>
      <w:r w:rsidR="00DC4E07">
        <w:rPr>
          <w:rFonts w:ascii="Arial" w:hAnsi="Arial" w:cs="Arial"/>
          <w:sz w:val="20"/>
          <w:szCs w:val="20"/>
        </w:rPr>
        <w:t xml:space="preserve">of </w:t>
      </w:r>
      <w:r w:rsidRPr="006E3255">
        <w:rPr>
          <w:rFonts w:ascii="Arial" w:hAnsi="Arial" w:cs="Arial"/>
          <w:sz w:val="20"/>
          <w:szCs w:val="20"/>
        </w:rPr>
        <w:t xml:space="preserve">471 g/day (BAHS, 2024). Figure 2 illustrates significant variations in the growth rate of per capita availability in Arunachal Pradesh, exhibiting outliers. A large negative dip was seen in 2011 and a major spike in 2013, which is likely to be because of the poor infrastructure.  A relatively stronger and stable positive growth rate was seen in the states of Mizoram and Sikkim. These two states show strong positive growth from 2014 to 2016. Sikkim has shown </w:t>
      </w:r>
      <w:r w:rsidR="00CF3682" w:rsidRPr="006E3255">
        <w:rPr>
          <w:rFonts w:ascii="Arial" w:hAnsi="Arial" w:cs="Arial"/>
          <w:sz w:val="20"/>
          <w:szCs w:val="20"/>
        </w:rPr>
        <w:t xml:space="preserve">a </w:t>
      </w:r>
      <w:r w:rsidRPr="006E3255">
        <w:rPr>
          <w:rFonts w:ascii="Arial" w:hAnsi="Arial" w:cs="Arial"/>
          <w:sz w:val="20"/>
          <w:szCs w:val="20"/>
        </w:rPr>
        <w:t xml:space="preserve">better-than-average steady growth rate compared to the other north-eastern states over the years. The </w:t>
      </w:r>
    </w:p>
    <w:p w14:paraId="7640681E" w14:textId="77777777" w:rsidR="00210E0B" w:rsidRPr="006E3255" w:rsidRDefault="00210E0B" w:rsidP="00B5276C">
      <w:pPr>
        <w:spacing w:line="360" w:lineRule="auto"/>
        <w:jc w:val="both"/>
        <w:rPr>
          <w:rFonts w:ascii="Arial" w:hAnsi="Arial" w:cs="Arial"/>
          <w:sz w:val="20"/>
          <w:szCs w:val="20"/>
        </w:rPr>
      </w:pPr>
      <w:r w:rsidRPr="006E3255">
        <w:rPr>
          <w:rFonts w:ascii="Arial" w:hAnsi="Arial" w:cs="Arial"/>
          <w:noProof/>
          <w:sz w:val="20"/>
          <w:szCs w:val="20"/>
        </w:rPr>
        <w:lastRenderedPageBreak/>
        <w:drawing>
          <wp:inline distT="0" distB="0" distL="0" distR="0" wp14:anchorId="075D39A9" wp14:editId="1E79BEF2">
            <wp:extent cx="5731510" cy="3352165"/>
            <wp:effectExtent l="0" t="0" r="2540" b="635"/>
            <wp:docPr id="1116545035" name="Chart 1">
              <a:extLst xmlns:a="http://schemas.openxmlformats.org/drawingml/2006/main">
                <a:ext uri="{FF2B5EF4-FFF2-40B4-BE49-F238E27FC236}">
                  <a16:creationId xmlns:a16="http://schemas.microsoft.com/office/drawing/2014/main" id="{9B34CF7D-71BF-FB33-5264-C21FD22C1E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E74C0C" w14:textId="1DC7DB39" w:rsidR="00210E0B" w:rsidRPr="006E3255" w:rsidRDefault="00210E0B" w:rsidP="00B5276C">
      <w:pPr>
        <w:spacing w:line="360" w:lineRule="auto"/>
        <w:jc w:val="both"/>
        <w:rPr>
          <w:rFonts w:ascii="Arial" w:hAnsi="Arial" w:cs="Arial"/>
          <w:sz w:val="20"/>
          <w:szCs w:val="20"/>
        </w:rPr>
      </w:pPr>
      <w:r w:rsidRPr="006E3255">
        <w:rPr>
          <w:rFonts w:ascii="Arial" w:hAnsi="Arial" w:cs="Arial"/>
          <w:b/>
          <w:bCs/>
          <w:sz w:val="20"/>
          <w:szCs w:val="20"/>
        </w:rPr>
        <w:t>Fig</w:t>
      </w:r>
      <w:r w:rsidR="00CF3682" w:rsidRPr="006E3255">
        <w:rPr>
          <w:rFonts w:ascii="Arial" w:hAnsi="Arial" w:cs="Arial"/>
          <w:b/>
          <w:bCs/>
          <w:sz w:val="20"/>
          <w:szCs w:val="20"/>
        </w:rPr>
        <w:t>ure</w:t>
      </w:r>
      <w:r w:rsidRPr="006E3255">
        <w:rPr>
          <w:rFonts w:ascii="Arial" w:hAnsi="Arial" w:cs="Arial"/>
          <w:b/>
          <w:bCs/>
          <w:sz w:val="20"/>
          <w:szCs w:val="20"/>
        </w:rPr>
        <w:t xml:space="preserve"> 2: </w:t>
      </w:r>
      <w:r w:rsidRPr="006E3255">
        <w:rPr>
          <w:rFonts w:ascii="Arial" w:hAnsi="Arial" w:cs="Arial"/>
          <w:sz w:val="20"/>
          <w:szCs w:val="20"/>
        </w:rPr>
        <w:t>Per capita growth rate of northeastern states and India during 2010-2023</w:t>
      </w:r>
    </w:p>
    <w:p w14:paraId="5FC4BEC5" w14:textId="45D49374" w:rsidR="00210E0B" w:rsidRPr="006E3255" w:rsidRDefault="00210E0B" w:rsidP="00B5276C">
      <w:pPr>
        <w:spacing w:line="360" w:lineRule="auto"/>
        <w:jc w:val="both"/>
        <w:rPr>
          <w:rFonts w:ascii="Arial" w:hAnsi="Arial" w:cs="Arial"/>
          <w:sz w:val="20"/>
          <w:szCs w:val="20"/>
        </w:rPr>
      </w:pPr>
      <w:r w:rsidRPr="006E3255">
        <w:rPr>
          <w:rFonts w:ascii="Arial" w:hAnsi="Arial" w:cs="Arial"/>
          <w:sz w:val="20"/>
          <w:szCs w:val="20"/>
        </w:rPr>
        <w:t xml:space="preserve">states of Assam, Tripura, Manipur, Meghalaya, and Nagaland have shown moderate growth with fewer extreme highs and lows over the years. India’s national growth rate shows a </w:t>
      </w:r>
      <w:r w:rsidR="00CF3682" w:rsidRPr="006E3255">
        <w:rPr>
          <w:rFonts w:ascii="Arial" w:hAnsi="Arial" w:cs="Arial"/>
          <w:sz w:val="20"/>
          <w:szCs w:val="20"/>
        </w:rPr>
        <w:t>positive trend</w:t>
      </w:r>
      <w:r w:rsidRPr="006E3255">
        <w:rPr>
          <w:rFonts w:ascii="Arial" w:hAnsi="Arial" w:cs="Arial"/>
          <w:sz w:val="20"/>
          <w:szCs w:val="20"/>
        </w:rPr>
        <w:t xml:space="preserve"> throughout the study period, reflecting smoother national-level economic trends in milk production. Overall, there is high variability in the growth rate in the northeastern states, in contrast to the minor year-to-year changes at the national level.</w:t>
      </w:r>
    </w:p>
    <w:p w14:paraId="2A4E9D9C" w14:textId="34F66051" w:rsidR="00F655A7" w:rsidRPr="006E3255" w:rsidRDefault="00C6093C" w:rsidP="00B5276C">
      <w:pPr>
        <w:spacing w:line="360" w:lineRule="auto"/>
        <w:jc w:val="both"/>
        <w:rPr>
          <w:rFonts w:ascii="Arial" w:hAnsi="Arial" w:cs="Arial"/>
          <w:b/>
          <w:bCs/>
          <w:sz w:val="20"/>
          <w:szCs w:val="20"/>
        </w:rPr>
      </w:pPr>
      <w:r w:rsidRPr="006E3255">
        <w:rPr>
          <w:rFonts w:ascii="Arial" w:hAnsi="Arial" w:cs="Arial"/>
          <w:b/>
          <w:bCs/>
          <w:sz w:val="20"/>
          <w:szCs w:val="20"/>
        </w:rPr>
        <w:t xml:space="preserve">3.2 </w:t>
      </w:r>
      <w:r w:rsidR="00AD0643" w:rsidRPr="006E3255">
        <w:rPr>
          <w:rFonts w:ascii="Arial" w:hAnsi="Arial" w:cs="Arial"/>
          <w:b/>
          <w:bCs/>
          <w:sz w:val="20"/>
          <w:szCs w:val="20"/>
        </w:rPr>
        <w:t>Challenges</w:t>
      </w:r>
      <w:r w:rsidR="00F7115F" w:rsidRPr="006E3255">
        <w:rPr>
          <w:rFonts w:ascii="Arial" w:hAnsi="Arial" w:cs="Arial"/>
          <w:b/>
          <w:bCs/>
          <w:sz w:val="20"/>
          <w:szCs w:val="20"/>
        </w:rPr>
        <w:t xml:space="preserve"> in the dairy sector</w:t>
      </w:r>
    </w:p>
    <w:p w14:paraId="2CE9F180" w14:textId="11DB9D17" w:rsidR="005D6929" w:rsidRPr="006E3255" w:rsidRDefault="006A29C5" w:rsidP="00B5276C">
      <w:pPr>
        <w:spacing w:line="360" w:lineRule="auto"/>
        <w:jc w:val="both"/>
        <w:rPr>
          <w:rFonts w:ascii="Arial" w:hAnsi="Arial" w:cs="Arial"/>
          <w:sz w:val="20"/>
          <w:szCs w:val="20"/>
        </w:rPr>
      </w:pPr>
      <w:r w:rsidRPr="006E3255">
        <w:rPr>
          <w:rFonts w:ascii="Arial" w:hAnsi="Arial" w:cs="Arial"/>
          <w:sz w:val="20"/>
          <w:szCs w:val="20"/>
        </w:rPr>
        <w:t>Inadequate dry fodder is the main constraint faced by farmers, followed by the high cost of concentrate feed and transportation. Other major feeding challenges include insufficient green fodder, lack of knowledge about balanced feeding (</w:t>
      </w:r>
      <w:proofErr w:type="spellStart"/>
      <w:r w:rsidR="00917F09" w:rsidRPr="006E3255">
        <w:rPr>
          <w:rFonts w:ascii="Arial" w:hAnsi="Arial" w:cs="Arial"/>
          <w:sz w:val="20"/>
          <w:szCs w:val="20"/>
        </w:rPr>
        <w:t>Khoveio</w:t>
      </w:r>
      <w:proofErr w:type="spellEnd"/>
      <w:r w:rsidR="00703A29" w:rsidRPr="006E3255">
        <w:rPr>
          <w:rFonts w:ascii="Arial" w:hAnsi="Arial" w:cs="Arial"/>
          <w:sz w:val="20"/>
          <w:szCs w:val="20"/>
        </w:rPr>
        <w:t xml:space="preserve"> </w:t>
      </w:r>
      <w:r w:rsidR="003E444D" w:rsidRPr="006E3255">
        <w:rPr>
          <w:rFonts w:ascii="Arial" w:hAnsi="Arial" w:cs="Arial"/>
          <w:sz w:val="20"/>
          <w:szCs w:val="20"/>
        </w:rPr>
        <w:t>et al.</w:t>
      </w:r>
      <w:r w:rsidRPr="006E3255">
        <w:rPr>
          <w:rFonts w:ascii="Arial" w:hAnsi="Arial" w:cs="Arial"/>
          <w:sz w:val="20"/>
          <w:szCs w:val="20"/>
        </w:rPr>
        <w:t xml:space="preserve"> 2012; </w:t>
      </w:r>
      <w:proofErr w:type="spellStart"/>
      <w:r w:rsidRPr="006E3255">
        <w:rPr>
          <w:rFonts w:ascii="Arial" w:hAnsi="Arial" w:cs="Arial"/>
          <w:sz w:val="20"/>
          <w:szCs w:val="20"/>
        </w:rPr>
        <w:t>Lalrinsangpuii</w:t>
      </w:r>
      <w:proofErr w:type="spellEnd"/>
      <w:r w:rsidRPr="006E3255">
        <w:rPr>
          <w:rFonts w:ascii="Arial" w:hAnsi="Arial" w:cs="Arial"/>
          <w:sz w:val="20"/>
          <w:szCs w:val="20"/>
        </w:rPr>
        <w:t xml:space="preserve"> </w:t>
      </w:r>
      <w:r w:rsidR="003E444D" w:rsidRPr="006E3255">
        <w:rPr>
          <w:rFonts w:ascii="Arial" w:hAnsi="Arial" w:cs="Arial"/>
          <w:sz w:val="20"/>
          <w:szCs w:val="20"/>
        </w:rPr>
        <w:t>et al.</w:t>
      </w:r>
      <w:r w:rsidRPr="006E3255">
        <w:rPr>
          <w:rFonts w:ascii="Arial" w:hAnsi="Arial" w:cs="Arial"/>
          <w:sz w:val="20"/>
          <w:szCs w:val="20"/>
        </w:rPr>
        <w:t xml:space="preserve"> 2016; Singh </w:t>
      </w:r>
      <w:r w:rsidR="003E444D" w:rsidRPr="006E3255">
        <w:rPr>
          <w:rFonts w:ascii="Arial" w:hAnsi="Arial" w:cs="Arial"/>
          <w:sz w:val="20"/>
          <w:szCs w:val="20"/>
        </w:rPr>
        <w:t>et al.</w:t>
      </w:r>
      <w:r w:rsidRPr="006E3255">
        <w:rPr>
          <w:rFonts w:ascii="Arial" w:hAnsi="Arial" w:cs="Arial"/>
          <w:sz w:val="20"/>
          <w:szCs w:val="20"/>
        </w:rPr>
        <w:t xml:space="preserve"> 2021), and the non-adoption of quality feed and scientific management practices. Another significant issue is the limited use of improved breeds, along with the unavailability and inaccessibility of quality feed (Singh </w:t>
      </w:r>
      <w:r w:rsidR="003E444D" w:rsidRPr="006E3255">
        <w:rPr>
          <w:rFonts w:ascii="Arial" w:hAnsi="Arial" w:cs="Arial"/>
          <w:sz w:val="20"/>
          <w:szCs w:val="20"/>
        </w:rPr>
        <w:t>et al.</w:t>
      </w:r>
      <w:r w:rsidRPr="006E3255">
        <w:rPr>
          <w:rFonts w:ascii="Arial" w:hAnsi="Arial" w:cs="Arial"/>
          <w:sz w:val="20"/>
          <w:szCs w:val="20"/>
        </w:rPr>
        <w:t xml:space="preserve"> 2012). The inability of breeds like </w:t>
      </w:r>
      <w:proofErr w:type="spellStart"/>
      <w:r w:rsidRPr="006E3255">
        <w:rPr>
          <w:rFonts w:ascii="Arial" w:hAnsi="Arial" w:cs="Arial"/>
          <w:sz w:val="20"/>
          <w:szCs w:val="20"/>
        </w:rPr>
        <w:t>Gir</w:t>
      </w:r>
      <w:proofErr w:type="spellEnd"/>
      <w:r w:rsidRPr="006E3255">
        <w:rPr>
          <w:rFonts w:ascii="Arial" w:hAnsi="Arial" w:cs="Arial"/>
          <w:sz w:val="20"/>
          <w:szCs w:val="20"/>
        </w:rPr>
        <w:t xml:space="preserve">, </w:t>
      </w:r>
      <w:proofErr w:type="spellStart"/>
      <w:r w:rsidRPr="006E3255">
        <w:rPr>
          <w:rFonts w:ascii="Arial" w:hAnsi="Arial" w:cs="Arial"/>
          <w:sz w:val="20"/>
          <w:szCs w:val="20"/>
        </w:rPr>
        <w:t>Tharparkar</w:t>
      </w:r>
      <w:proofErr w:type="spellEnd"/>
      <w:r w:rsidRPr="006E3255">
        <w:rPr>
          <w:rFonts w:ascii="Arial" w:hAnsi="Arial" w:cs="Arial"/>
          <w:sz w:val="20"/>
          <w:szCs w:val="20"/>
        </w:rPr>
        <w:t xml:space="preserve">, and Sahiwal to adapt to different climatic conditions also presents challenges in rearing high milk-yielding animals. Limited AI services, especially among non-member cooperative farmers, pose a major challenge, as timely insemination is crucial for dairy cows to optimize reproductive efficiency by breeding at the right time in their </w:t>
      </w:r>
      <w:proofErr w:type="spellStart"/>
      <w:r w:rsidRPr="006E3255">
        <w:rPr>
          <w:rFonts w:ascii="Arial" w:hAnsi="Arial" w:cs="Arial"/>
          <w:sz w:val="20"/>
          <w:szCs w:val="20"/>
        </w:rPr>
        <w:t>estrous</w:t>
      </w:r>
      <w:proofErr w:type="spellEnd"/>
      <w:r w:rsidRPr="006E3255">
        <w:rPr>
          <w:rFonts w:ascii="Arial" w:hAnsi="Arial" w:cs="Arial"/>
          <w:sz w:val="20"/>
          <w:szCs w:val="20"/>
        </w:rPr>
        <w:t xml:space="preserve"> cycle. This enhances conception rates, reduces calving intervals, and boosts milk production, supporting overall herd productivity and profitability. Besides low surplus production by farmers, inadequate marketing infrastructure and an inefficient milk delivery system force producers to sell their milk at low prices through existing co-operatives, as they have few options to sell directly to consumers. Moreover, many cooperative member farmers have not received services beyond milk procurement. Fluctuations in milk prices also remain a major constraint for farmers (Singh </w:t>
      </w:r>
      <w:r w:rsidR="003E444D" w:rsidRPr="006E3255">
        <w:rPr>
          <w:rFonts w:ascii="Arial" w:hAnsi="Arial" w:cs="Arial"/>
          <w:sz w:val="20"/>
          <w:szCs w:val="20"/>
        </w:rPr>
        <w:t>et al.</w:t>
      </w:r>
      <w:r w:rsidRPr="006E3255">
        <w:rPr>
          <w:rFonts w:ascii="Arial" w:hAnsi="Arial" w:cs="Arial"/>
          <w:sz w:val="20"/>
          <w:szCs w:val="20"/>
        </w:rPr>
        <w:t xml:space="preserve"> 2021</w:t>
      </w:r>
      <w:r w:rsidR="0082297D">
        <w:rPr>
          <w:rFonts w:ascii="Arial" w:hAnsi="Arial" w:cs="Arial"/>
          <w:sz w:val="20"/>
          <w:szCs w:val="20"/>
        </w:rPr>
        <w:t xml:space="preserve">; </w:t>
      </w:r>
      <w:proofErr w:type="spellStart"/>
      <w:r w:rsidRPr="006E3255">
        <w:rPr>
          <w:rFonts w:ascii="Arial" w:hAnsi="Arial" w:cs="Arial"/>
          <w:sz w:val="20"/>
          <w:szCs w:val="20"/>
        </w:rPr>
        <w:t>Lalrinsangpuii</w:t>
      </w:r>
      <w:proofErr w:type="spellEnd"/>
      <w:r w:rsidRPr="006E3255">
        <w:rPr>
          <w:rFonts w:ascii="Arial" w:hAnsi="Arial" w:cs="Arial"/>
          <w:sz w:val="20"/>
          <w:szCs w:val="20"/>
        </w:rPr>
        <w:t xml:space="preserve"> </w:t>
      </w:r>
      <w:r w:rsidR="003E444D" w:rsidRPr="006E3255">
        <w:rPr>
          <w:rFonts w:ascii="Arial" w:hAnsi="Arial" w:cs="Arial"/>
          <w:sz w:val="20"/>
          <w:szCs w:val="20"/>
        </w:rPr>
        <w:t>et al.</w:t>
      </w:r>
      <w:r w:rsidRPr="006E3255">
        <w:rPr>
          <w:rFonts w:ascii="Arial" w:hAnsi="Arial" w:cs="Arial"/>
          <w:sz w:val="20"/>
          <w:szCs w:val="20"/>
        </w:rPr>
        <w:t xml:space="preserve"> 2016). Cooperatives face issues such as inadequate infrastructure and high transportation costs. Besides low </w:t>
      </w:r>
      <w:r w:rsidRPr="006E3255">
        <w:rPr>
          <w:rFonts w:ascii="Arial" w:hAnsi="Arial" w:cs="Arial"/>
          <w:sz w:val="20"/>
          <w:szCs w:val="20"/>
        </w:rPr>
        <w:lastRenderedPageBreak/>
        <w:t xml:space="preserve">milk production, most member farmers supply only surplus milk to cooperatives, which often results in processing plants importing raw milk from other states, creating financial burdens due to transportation costs. </w:t>
      </w:r>
      <w:proofErr w:type="spellStart"/>
      <w:r w:rsidRPr="006E3255">
        <w:rPr>
          <w:rFonts w:ascii="Arial" w:hAnsi="Arial" w:cs="Arial"/>
          <w:sz w:val="20"/>
          <w:szCs w:val="20"/>
        </w:rPr>
        <w:t>Sirohi’s</w:t>
      </w:r>
      <w:proofErr w:type="spellEnd"/>
      <w:r w:rsidRPr="006E3255">
        <w:rPr>
          <w:rFonts w:ascii="Arial" w:hAnsi="Arial" w:cs="Arial"/>
          <w:sz w:val="20"/>
          <w:szCs w:val="20"/>
        </w:rPr>
        <w:t xml:space="preserve"> (2009) study noted that necessary institutional and infrastructural support mechanisms have not been implemented, and a comprehensive business and management plan is lacking in cooperatives. The entire value chain faces challenges, with consumers perceiving locally packaged milk as lacking quality. Consequently, some consumers have shifted to raw milk consumption but continue to encounter problems such as </w:t>
      </w:r>
      <w:proofErr w:type="gramStart"/>
      <w:r w:rsidRPr="006E3255">
        <w:rPr>
          <w:rFonts w:ascii="Arial" w:hAnsi="Arial" w:cs="Arial"/>
          <w:sz w:val="20"/>
          <w:szCs w:val="20"/>
        </w:rPr>
        <w:t>poor</w:t>
      </w:r>
      <w:r w:rsidR="00E432EC" w:rsidRPr="006E3255">
        <w:rPr>
          <w:rFonts w:ascii="Arial" w:hAnsi="Arial" w:cs="Arial"/>
          <w:sz w:val="20"/>
          <w:szCs w:val="20"/>
        </w:rPr>
        <w:t xml:space="preserve"> </w:t>
      </w:r>
      <w:r w:rsidRPr="006E3255">
        <w:rPr>
          <w:rFonts w:ascii="Arial" w:hAnsi="Arial" w:cs="Arial"/>
          <w:sz w:val="20"/>
          <w:szCs w:val="20"/>
        </w:rPr>
        <w:t>quality</w:t>
      </w:r>
      <w:proofErr w:type="gramEnd"/>
      <w:r w:rsidRPr="006E3255">
        <w:rPr>
          <w:rFonts w:ascii="Arial" w:hAnsi="Arial" w:cs="Arial"/>
          <w:sz w:val="20"/>
          <w:szCs w:val="20"/>
        </w:rPr>
        <w:t xml:space="preserve"> control, increased adulteration, and foul odo</w:t>
      </w:r>
      <w:r w:rsidR="00612728" w:rsidRPr="006E3255">
        <w:rPr>
          <w:rFonts w:ascii="Arial" w:hAnsi="Arial" w:cs="Arial"/>
          <w:sz w:val="20"/>
          <w:szCs w:val="20"/>
        </w:rPr>
        <w:t>u</w:t>
      </w:r>
      <w:r w:rsidRPr="006E3255">
        <w:rPr>
          <w:rFonts w:ascii="Arial" w:hAnsi="Arial" w:cs="Arial"/>
          <w:sz w:val="20"/>
          <w:szCs w:val="20"/>
        </w:rPr>
        <w:t xml:space="preserve">rs, ultimately leading to a preference for UHT milk imported from outside the northeastern states. This adulteration issue is often linked to low milk production despite high demand. </w:t>
      </w:r>
    </w:p>
    <w:p w14:paraId="164104E5" w14:textId="2C93E14E" w:rsidR="003904A4" w:rsidRPr="006E3255" w:rsidRDefault="00C57817" w:rsidP="00B5276C">
      <w:pPr>
        <w:pStyle w:val="ListParagraph"/>
        <w:numPr>
          <w:ilvl w:val="0"/>
          <w:numId w:val="2"/>
        </w:numPr>
        <w:spacing w:line="360" w:lineRule="auto"/>
        <w:jc w:val="both"/>
        <w:rPr>
          <w:rFonts w:ascii="Arial" w:hAnsi="Arial" w:cs="Arial"/>
          <w:b/>
          <w:bCs/>
        </w:rPr>
      </w:pPr>
      <w:r w:rsidRPr="006E3255">
        <w:rPr>
          <w:rFonts w:ascii="Arial" w:hAnsi="Arial" w:cs="Arial"/>
          <w:b/>
          <w:bCs/>
        </w:rPr>
        <w:t>CONCLUSION</w:t>
      </w:r>
    </w:p>
    <w:p w14:paraId="7AB38D8C" w14:textId="64E05461" w:rsidR="0018755F" w:rsidRPr="006E3255" w:rsidRDefault="006A29C5" w:rsidP="00B5276C">
      <w:pPr>
        <w:spacing w:line="360" w:lineRule="auto"/>
        <w:jc w:val="both"/>
        <w:rPr>
          <w:rFonts w:ascii="Arial" w:hAnsi="Arial" w:cs="Arial"/>
          <w:sz w:val="20"/>
          <w:szCs w:val="20"/>
        </w:rPr>
      </w:pPr>
      <w:r w:rsidRPr="006E3255">
        <w:rPr>
          <w:rFonts w:ascii="Arial" w:hAnsi="Arial" w:cs="Arial"/>
          <w:sz w:val="20"/>
          <w:szCs w:val="20"/>
        </w:rPr>
        <w:t>The landscape of the dairy sector in Northeast India offers both challenges and promising opportunities. The region’s natural resources and increasing demand for dairy products provide a strong foundation for growth. However, there are significant gaps in infrastructure, low productivity, and reliance on milk imports from other areas, which create obstacles. With more government support, technological innovations, and the development of cooperative models, the Northeast has the potential to become a self-sufficient and competitive dairy hub. By tackling infrastructure and productivity issues, the region can transform its dairy industry, supporting rural livelihoods and boosting regional economic growth.</w:t>
      </w:r>
    </w:p>
    <w:p w14:paraId="655AFC69" w14:textId="77777777" w:rsidR="00A6600E" w:rsidRDefault="00A6600E" w:rsidP="00B5276C">
      <w:pPr>
        <w:spacing w:line="360" w:lineRule="auto"/>
        <w:jc w:val="both"/>
        <w:rPr>
          <w:rFonts w:ascii="Arial" w:hAnsi="Arial" w:cs="Arial"/>
          <w:sz w:val="20"/>
          <w:szCs w:val="20"/>
        </w:rPr>
      </w:pPr>
      <w:bookmarkStart w:id="0" w:name="_GoBack"/>
      <w:bookmarkEnd w:id="0"/>
    </w:p>
    <w:p w14:paraId="2574D213" w14:textId="77777777" w:rsidR="00CD431E" w:rsidRPr="00CD431E" w:rsidRDefault="00CD431E" w:rsidP="00CD431E">
      <w:pPr>
        <w:spacing w:after="200" w:line="276" w:lineRule="auto"/>
        <w:jc w:val="both"/>
        <w:outlineLvl w:val="0"/>
        <w:rPr>
          <w:rFonts w:ascii="Arial" w:eastAsia="Times New Roman" w:hAnsi="Arial" w:cs="Arial"/>
          <w:kern w:val="0"/>
          <w:lang w:val="en-GB" w:eastAsia="en-GB"/>
          <w14:ligatures w14:val="none"/>
        </w:rPr>
      </w:pPr>
      <w:r w:rsidRPr="00CD431E">
        <w:rPr>
          <w:rFonts w:ascii="Arial" w:eastAsia="Times New Roman" w:hAnsi="Arial" w:cs="Arial"/>
          <w:b/>
          <w:bCs/>
          <w:kern w:val="0"/>
          <w:lang w:val="en-GB" w:eastAsia="en-GB"/>
          <w14:ligatures w14:val="none"/>
        </w:rPr>
        <w:t>COMPETING INTERESTS DISCLAIMER:</w:t>
      </w:r>
    </w:p>
    <w:p w14:paraId="0DABEC43" w14:textId="77777777" w:rsidR="00CD431E" w:rsidRPr="00CD431E" w:rsidRDefault="00CD431E" w:rsidP="00CD431E">
      <w:pPr>
        <w:spacing w:after="200" w:line="276" w:lineRule="auto"/>
        <w:rPr>
          <w:rFonts w:ascii="Calibri" w:eastAsia="Times New Roman" w:hAnsi="Calibri" w:cs="Times New Roman"/>
          <w:kern w:val="0"/>
          <w:lang w:val="en-GB" w:eastAsia="en-GB"/>
          <w14:ligatures w14:val="none"/>
        </w:rPr>
      </w:pPr>
      <w:r w:rsidRPr="00CD431E">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EB5441C" w14:textId="77777777" w:rsidR="00CD431E" w:rsidRPr="00CD431E" w:rsidRDefault="00CD431E" w:rsidP="00CD431E">
      <w:pPr>
        <w:spacing w:after="200" w:line="276" w:lineRule="auto"/>
        <w:rPr>
          <w:rFonts w:ascii="Calibri" w:eastAsia="Times New Roman" w:hAnsi="Calibri" w:cs="Times New Roman"/>
          <w:kern w:val="0"/>
          <w:lang w:val="en-GB" w:eastAsia="en-GB"/>
          <w14:ligatures w14:val="none"/>
        </w:rPr>
      </w:pPr>
    </w:p>
    <w:p w14:paraId="2887DB3C" w14:textId="77777777" w:rsidR="00CD431E" w:rsidRPr="006E3255" w:rsidRDefault="00CD431E" w:rsidP="00B5276C">
      <w:pPr>
        <w:spacing w:line="360" w:lineRule="auto"/>
        <w:jc w:val="both"/>
        <w:rPr>
          <w:rFonts w:ascii="Arial" w:hAnsi="Arial" w:cs="Arial"/>
          <w:sz w:val="20"/>
          <w:szCs w:val="20"/>
        </w:rPr>
      </w:pPr>
    </w:p>
    <w:p w14:paraId="1228A79D" w14:textId="0AA4118D" w:rsidR="00813F7D" w:rsidRPr="006E3255" w:rsidRDefault="00480810" w:rsidP="00B5276C">
      <w:pPr>
        <w:spacing w:line="360" w:lineRule="auto"/>
        <w:jc w:val="both"/>
        <w:rPr>
          <w:rFonts w:ascii="Arial" w:hAnsi="Arial" w:cs="Arial"/>
          <w:b/>
          <w:bCs/>
        </w:rPr>
      </w:pPr>
      <w:r w:rsidRPr="006E3255">
        <w:rPr>
          <w:rFonts w:ascii="Arial" w:hAnsi="Arial" w:cs="Arial"/>
          <w:b/>
          <w:bCs/>
        </w:rPr>
        <w:t>REFERENCES</w:t>
      </w:r>
    </w:p>
    <w:p w14:paraId="22E5997B" w14:textId="25C56BA6" w:rsidR="007E7570" w:rsidRPr="006E3255" w:rsidRDefault="007E7570" w:rsidP="00B5276C">
      <w:pPr>
        <w:spacing w:line="360" w:lineRule="auto"/>
        <w:ind w:left="720" w:hanging="720"/>
        <w:jc w:val="both"/>
        <w:rPr>
          <w:rFonts w:ascii="Arial" w:hAnsi="Arial" w:cs="Arial"/>
          <w:sz w:val="20"/>
          <w:szCs w:val="20"/>
        </w:rPr>
      </w:pPr>
      <w:r w:rsidRPr="006E3255">
        <w:rPr>
          <w:rFonts w:ascii="Arial" w:hAnsi="Arial" w:cs="Arial"/>
          <w:sz w:val="20"/>
          <w:szCs w:val="20"/>
        </w:rPr>
        <w:t>BAHS</w:t>
      </w:r>
      <w:r w:rsidR="001470F9" w:rsidRPr="006E3255">
        <w:rPr>
          <w:rFonts w:ascii="Arial" w:hAnsi="Arial" w:cs="Arial"/>
          <w:sz w:val="20"/>
          <w:szCs w:val="20"/>
        </w:rPr>
        <w:t>.</w:t>
      </w:r>
      <w:r w:rsidRPr="006E3255">
        <w:rPr>
          <w:rFonts w:ascii="Arial" w:hAnsi="Arial" w:cs="Arial"/>
          <w:sz w:val="20"/>
          <w:szCs w:val="20"/>
        </w:rPr>
        <w:t xml:space="preserve"> (20</w:t>
      </w:r>
      <w:r w:rsidR="00161759" w:rsidRPr="006E3255">
        <w:rPr>
          <w:rFonts w:ascii="Arial" w:hAnsi="Arial" w:cs="Arial"/>
          <w:sz w:val="20"/>
          <w:szCs w:val="20"/>
        </w:rPr>
        <w:t>2</w:t>
      </w:r>
      <w:r w:rsidR="00953C63" w:rsidRPr="006E3255">
        <w:rPr>
          <w:rFonts w:ascii="Arial" w:hAnsi="Arial" w:cs="Arial"/>
          <w:sz w:val="20"/>
          <w:szCs w:val="20"/>
        </w:rPr>
        <w:t>4</w:t>
      </w:r>
      <w:r w:rsidRPr="006E3255">
        <w:rPr>
          <w:rFonts w:ascii="Arial" w:hAnsi="Arial" w:cs="Arial"/>
          <w:sz w:val="20"/>
          <w:szCs w:val="20"/>
        </w:rPr>
        <w:t>)</w:t>
      </w:r>
      <w:r w:rsidR="001470F9" w:rsidRPr="006E3255">
        <w:rPr>
          <w:rFonts w:ascii="Arial" w:hAnsi="Arial" w:cs="Arial"/>
          <w:sz w:val="20"/>
          <w:szCs w:val="20"/>
        </w:rPr>
        <w:t>.</w:t>
      </w:r>
      <w:r w:rsidRPr="006E3255">
        <w:rPr>
          <w:rFonts w:ascii="Arial" w:hAnsi="Arial" w:cs="Arial"/>
          <w:sz w:val="20"/>
          <w:szCs w:val="20"/>
        </w:rPr>
        <w:t xml:space="preserve"> Basic Animal Husbandry &amp; Fisheries Statistics, Ministry of Agriculture, Department of Animal Husbandry, Dairying and Fisheries, Krishi Bhawan, New Delhi</w:t>
      </w:r>
    </w:p>
    <w:p w14:paraId="26857097" w14:textId="5A6B892B" w:rsidR="007E7570" w:rsidRPr="006E3255" w:rsidRDefault="007E7570" w:rsidP="00B5276C">
      <w:pPr>
        <w:spacing w:line="360" w:lineRule="auto"/>
        <w:ind w:left="720" w:hanging="720"/>
        <w:jc w:val="both"/>
        <w:rPr>
          <w:rFonts w:ascii="Arial" w:hAnsi="Arial" w:cs="Arial"/>
          <w:sz w:val="20"/>
          <w:szCs w:val="20"/>
        </w:rPr>
      </w:pPr>
      <w:r w:rsidRPr="006E3255">
        <w:rPr>
          <w:rFonts w:ascii="Arial" w:hAnsi="Arial" w:cs="Arial"/>
          <w:sz w:val="20"/>
          <w:szCs w:val="20"/>
        </w:rPr>
        <w:t>Feroze</w:t>
      </w:r>
      <w:r w:rsidR="001470F9" w:rsidRPr="006E3255">
        <w:rPr>
          <w:rFonts w:ascii="Arial" w:hAnsi="Arial" w:cs="Arial"/>
          <w:sz w:val="20"/>
          <w:szCs w:val="20"/>
        </w:rPr>
        <w:t>,</w:t>
      </w:r>
      <w:r w:rsidRPr="006E3255">
        <w:rPr>
          <w:rFonts w:ascii="Arial" w:hAnsi="Arial" w:cs="Arial"/>
          <w:sz w:val="20"/>
          <w:szCs w:val="20"/>
        </w:rPr>
        <w:t xml:space="preserve"> S</w:t>
      </w:r>
      <w:r w:rsidR="001470F9" w:rsidRPr="006E3255">
        <w:rPr>
          <w:rFonts w:ascii="Arial" w:hAnsi="Arial" w:cs="Arial"/>
          <w:sz w:val="20"/>
          <w:szCs w:val="20"/>
        </w:rPr>
        <w:t xml:space="preserve">.  </w:t>
      </w:r>
      <w:r w:rsidRPr="006E3255">
        <w:rPr>
          <w:rFonts w:ascii="Arial" w:hAnsi="Arial" w:cs="Arial"/>
          <w:sz w:val="20"/>
          <w:szCs w:val="20"/>
        </w:rPr>
        <w:t>M</w:t>
      </w:r>
      <w:r w:rsidR="001470F9" w:rsidRPr="006E3255">
        <w:rPr>
          <w:rFonts w:ascii="Arial" w:hAnsi="Arial" w:cs="Arial"/>
          <w:sz w:val="20"/>
          <w:szCs w:val="20"/>
        </w:rPr>
        <w:t>.</w:t>
      </w:r>
      <w:r w:rsidRPr="006E3255">
        <w:rPr>
          <w:rFonts w:ascii="Arial" w:hAnsi="Arial" w:cs="Arial"/>
          <w:sz w:val="20"/>
          <w:szCs w:val="20"/>
        </w:rPr>
        <w:t>, Raju</w:t>
      </w:r>
      <w:r w:rsidR="001470F9" w:rsidRPr="006E3255">
        <w:rPr>
          <w:rFonts w:ascii="Arial" w:hAnsi="Arial" w:cs="Arial"/>
          <w:sz w:val="20"/>
          <w:szCs w:val="20"/>
        </w:rPr>
        <w:t>,</w:t>
      </w:r>
      <w:r w:rsidRPr="006E3255">
        <w:rPr>
          <w:rFonts w:ascii="Arial" w:hAnsi="Arial" w:cs="Arial"/>
          <w:sz w:val="20"/>
          <w:szCs w:val="20"/>
        </w:rPr>
        <w:t xml:space="preserve"> V</w:t>
      </w:r>
      <w:r w:rsidR="001470F9" w:rsidRPr="006E3255">
        <w:rPr>
          <w:rFonts w:ascii="Arial" w:hAnsi="Arial" w:cs="Arial"/>
          <w:sz w:val="20"/>
          <w:szCs w:val="20"/>
        </w:rPr>
        <w:t xml:space="preserve">. </w:t>
      </w:r>
      <w:r w:rsidRPr="006E3255">
        <w:rPr>
          <w:rFonts w:ascii="Arial" w:hAnsi="Arial" w:cs="Arial"/>
          <w:sz w:val="20"/>
          <w:szCs w:val="20"/>
        </w:rPr>
        <w:t>T</w:t>
      </w:r>
      <w:r w:rsidR="001470F9" w:rsidRPr="006E3255">
        <w:rPr>
          <w:rFonts w:ascii="Arial" w:hAnsi="Arial" w:cs="Arial"/>
          <w:sz w:val="20"/>
          <w:szCs w:val="20"/>
        </w:rPr>
        <w:t>.</w:t>
      </w:r>
      <w:r w:rsidRPr="006E3255">
        <w:rPr>
          <w:rFonts w:ascii="Arial" w:hAnsi="Arial" w:cs="Arial"/>
          <w:sz w:val="20"/>
          <w:szCs w:val="20"/>
        </w:rPr>
        <w:t>, Singh</w:t>
      </w:r>
      <w:r w:rsidR="001470F9" w:rsidRPr="006E3255">
        <w:rPr>
          <w:rFonts w:ascii="Arial" w:hAnsi="Arial" w:cs="Arial"/>
          <w:sz w:val="20"/>
          <w:szCs w:val="20"/>
        </w:rPr>
        <w:t>,</w:t>
      </w:r>
      <w:r w:rsidR="00306EF4" w:rsidRPr="006E3255">
        <w:rPr>
          <w:rFonts w:ascii="Arial" w:hAnsi="Arial" w:cs="Arial"/>
          <w:sz w:val="20"/>
          <w:szCs w:val="20"/>
        </w:rPr>
        <w:t xml:space="preserve"> </w:t>
      </w:r>
      <w:r w:rsidRPr="006E3255">
        <w:rPr>
          <w:rFonts w:ascii="Arial" w:hAnsi="Arial" w:cs="Arial"/>
          <w:sz w:val="20"/>
          <w:szCs w:val="20"/>
        </w:rPr>
        <w:t>R</w:t>
      </w:r>
      <w:r w:rsidR="001470F9" w:rsidRPr="006E3255">
        <w:rPr>
          <w:rFonts w:ascii="Arial" w:hAnsi="Arial" w:cs="Arial"/>
          <w:sz w:val="20"/>
          <w:szCs w:val="20"/>
        </w:rPr>
        <w:t>.</w:t>
      </w:r>
      <w:r w:rsidRPr="006E3255">
        <w:rPr>
          <w:rFonts w:ascii="Arial" w:hAnsi="Arial" w:cs="Arial"/>
          <w:sz w:val="20"/>
          <w:szCs w:val="20"/>
        </w:rPr>
        <w:t xml:space="preserve">, </w:t>
      </w:r>
      <w:r w:rsidR="001470F9" w:rsidRPr="006E3255">
        <w:rPr>
          <w:rFonts w:ascii="Arial" w:hAnsi="Arial" w:cs="Arial"/>
          <w:sz w:val="20"/>
          <w:szCs w:val="20"/>
        </w:rPr>
        <w:t xml:space="preserve">&amp; </w:t>
      </w:r>
      <w:r w:rsidRPr="006E3255">
        <w:rPr>
          <w:rFonts w:ascii="Arial" w:hAnsi="Arial" w:cs="Arial"/>
          <w:sz w:val="20"/>
          <w:szCs w:val="20"/>
        </w:rPr>
        <w:t>Tripathi</w:t>
      </w:r>
      <w:r w:rsidR="001470F9" w:rsidRPr="006E3255">
        <w:rPr>
          <w:rFonts w:ascii="Arial" w:hAnsi="Arial" w:cs="Arial"/>
          <w:sz w:val="20"/>
          <w:szCs w:val="20"/>
        </w:rPr>
        <w:t>,</w:t>
      </w:r>
      <w:r w:rsidRPr="006E3255">
        <w:rPr>
          <w:rFonts w:ascii="Arial" w:hAnsi="Arial" w:cs="Arial"/>
          <w:sz w:val="20"/>
          <w:szCs w:val="20"/>
        </w:rPr>
        <w:t xml:space="preserve"> A</w:t>
      </w:r>
      <w:r w:rsidR="001470F9" w:rsidRPr="006E3255">
        <w:rPr>
          <w:rFonts w:ascii="Arial" w:hAnsi="Arial" w:cs="Arial"/>
          <w:sz w:val="20"/>
          <w:szCs w:val="20"/>
        </w:rPr>
        <w:t xml:space="preserve"> </w:t>
      </w:r>
      <w:r w:rsidRPr="006E3255">
        <w:rPr>
          <w:rFonts w:ascii="Arial" w:hAnsi="Arial" w:cs="Arial"/>
          <w:sz w:val="20"/>
          <w:szCs w:val="20"/>
        </w:rPr>
        <w:t>K</w:t>
      </w:r>
      <w:r w:rsidR="001470F9" w:rsidRPr="006E3255">
        <w:rPr>
          <w:rFonts w:ascii="Arial" w:hAnsi="Arial" w:cs="Arial"/>
          <w:sz w:val="20"/>
          <w:szCs w:val="20"/>
        </w:rPr>
        <w:t>.</w:t>
      </w:r>
      <w:r w:rsidRPr="006E3255">
        <w:rPr>
          <w:rFonts w:ascii="Arial" w:hAnsi="Arial" w:cs="Arial"/>
          <w:sz w:val="20"/>
          <w:szCs w:val="20"/>
        </w:rPr>
        <w:t xml:space="preserve"> (2010)</w:t>
      </w:r>
      <w:r w:rsidR="001470F9" w:rsidRPr="006E3255">
        <w:rPr>
          <w:rFonts w:ascii="Arial" w:hAnsi="Arial" w:cs="Arial"/>
          <w:sz w:val="20"/>
          <w:szCs w:val="20"/>
        </w:rPr>
        <w:t>.</w:t>
      </w:r>
      <w:r w:rsidRPr="006E3255">
        <w:rPr>
          <w:rFonts w:ascii="Arial" w:hAnsi="Arial" w:cs="Arial"/>
          <w:sz w:val="20"/>
          <w:szCs w:val="20"/>
        </w:rPr>
        <w:t xml:space="preserve"> Status of Livestock Sector: A Micro Study of North Eastern India. </w:t>
      </w:r>
      <w:r w:rsidR="00E15AA8" w:rsidRPr="006E3255">
        <w:rPr>
          <w:rFonts w:ascii="Arial" w:hAnsi="Arial" w:cs="Arial"/>
          <w:sz w:val="20"/>
          <w:szCs w:val="20"/>
        </w:rPr>
        <w:t>Indian J</w:t>
      </w:r>
      <w:r w:rsidR="005A06DB" w:rsidRPr="006E3255">
        <w:rPr>
          <w:rFonts w:ascii="Arial" w:hAnsi="Arial" w:cs="Arial"/>
          <w:sz w:val="20"/>
          <w:szCs w:val="20"/>
        </w:rPr>
        <w:t>ournal of</w:t>
      </w:r>
      <w:r w:rsidR="00E15AA8" w:rsidRPr="006E3255">
        <w:rPr>
          <w:rFonts w:ascii="Arial" w:hAnsi="Arial" w:cs="Arial"/>
          <w:sz w:val="20"/>
          <w:szCs w:val="20"/>
        </w:rPr>
        <w:t xml:space="preserve"> Hill Farming</w:t>
      </w:r>
      <w:r w:rsidR="00283616" w:rsidRPr="006E3255">
        <w:rPr>
          <w:rFonts w:ascii="Arial" w:hAnsi="Arial" w:cs="Arial"/>
          <w:sz w:val="20"/>
          <w:szCs w:val="20"/>
        </w:rPr>
        <w:t>,</w:t>
      </w:r>
      <w:r w:rsidRPr="006E3255">
        <w:rPr>
          <w:rFonts w:ascii="Arial" w:hAnsi="Arial" w:cs="Arial"/>
          <w:sz w:val="20"/>
          <w:szCs w:val="20"/>
        </w:rPr>
        <w:t xml:space="preserve"> 23</w:t>
      </w:r>
      <w:r w:rsidR="00283616" w:rsidRPr="006E3255">
        <w:rPr>
          <w:rFonts w:ascii="Arial" w:hAnsi="Arial" w:cs="Arial"/>
          <w:sz w:val="20"/>
          <w:szCs w:val="20"/>
        </w:rPr>
        <w:t>,</w:t>
      </w:r>
      <w:r w:rsidRPr="006E3255">
        <w:rPr>
          <w:rFonts w:ascii="Arial" w:hAnsi="Arial" w:cs="Arial"/>
          <w:sz w:val="20"/>
          <w:szCs w:val="20"/>
        </w:rPr>
        <w:t xml:space="preserve"> 43-51.</w:t>
      </w:r>
    </w:p>
    <w:p w14:paraId="683D1B2F" w14:textId="4D5BC803" w:rsidR="007E7570" w:rsidRPr="006E3255" w:rsidRDefault="007E7570" w:rsidP="00B5276C">
      <w:pPr>
        <w:spacing w:line="360" w:lineRule="auto"/>
        <w:ind w:left="720" w:hanging="720"/>
        <w:jc w:val="both"/>
        <w:rPr>
          <w:rFonts w:ascii="Arial" w:hAnsi="Arial" w:cs="Arial"/>
          <w:sz w:val="20"/>
          <w:szCs w:val="20"/>
        </w:rPr>
      </w:pPr>
      <w:r w:rsidRPr="006E3255">
        <w:rPr>
          <w:rFonts w:ascii="Arial" w:hAnsi="Arial" w:cs="Arial"/>
          <w:sz w:val="20"/>
          <w:szCs w:val="20"/>
        </w:rPr>
        <w:t>Feroze</w:t>
      </w:r>
      <w:r w:rsidR="001470F9" w:rsidRPr="006E3255">
        <w:rPr>
          <w:rFonts w:ascii="Arial" w:hAnsi="Arial" w:cs="Arial"/>
          <w:sz w:val="20"/>
          <w:szCs w:val="20"/>
        </w:rPr>
        <w:t>,</w:t>
      </w:r>
      <w:r w:rsidRPr="006E3255">
        <w:rPr>
          <w:rFonts w:ascii="Arial" w:hAnsi="Arial" w:cs="Arial"/>
          <w:sz w:val="20"/>
          <w:szCs w:val="20"/>
        </w:rPr>
        <w:t xml:space="preserve"> S</w:t>
      </w:r>
      <w:r w:rsidR="001470F9" w:rsidRPr="006E3255">
        <w:rPr>
          <w:rFonts w:ascii="Arial" w:hAnsi="Arial" w:cs="Arial"/>
          <w:sz w:val="20"/>
          <w:szCs w:val="20"/>
        </w:rPr>
        <w:t xml:space="preserve"> </w:t>
      </w:r>
      <w:r w:rsidRPr="006E3255">
        <w:rPr>
          <w:rFonts w:ascii="Arial" w:hAnsi="Arial" w:cs="Arial"/>
          <w:sz w:val="20"/>
          <w:szCs w:val="20"/>
        </w:rPr>
        <w:t>M</w:t>
      </w:r>
      <w:r w:rsidR="001470F9" w:rsidRPr="006E3255">
        <w:rPr>
          <w:rFonts w:ascii="Arial" w:hAnsi="Arial" w:cs="Arial"/>
          <w:sz w:val="20"/>
          <w:szCs w:val="20"/>
        </w:rPr>
        <w:t>.</w:t>
      </w:r>
      <w:r w:rsidRPr="006E3255">
        <w:rPr>
          <w:rFonts w:ascii="Arial" w:hAnsi="Arial" w:cs="Arial"/>
          <w:sz w:val="20"/>
          <w:szCs w:val="20"/>
        </w:rPr>
        <w:t>, Singh</w:t>
      </w:r>
      <w:r w:rsidR="001470F9" w:rsidRPr="006E3255">
        <w:rPr>
          <w:rFonts w:ascii="Arial" w:hAnsi="Arial" w:cs="Arial"/>
          <w:sz w:val="20"/>
          <w:szCs w:val="20"/>
        </w:rPr>
        <w:t>,</w:t>
      </w:r>
      <w:r w:rsidRPr="006E3255">
        <w:rPr>
          <w:rFonts w:ascii="Arial" w:hAnsi="Arial" w:cs="Arial"/>
          <w:sz w:val="20"/>
          <w:szCs w:val="20"/>
        </w:rPr>
        <w:t xml:space="preserve"> R</w:t>
      </w:r>
      <w:r w:rsidR="001470F9" w:rsidRPr="006E3255">
        <w:rPr>
          <w:rFonts w:ascii="Arial" w:hAnsi="Arial" w:cs="Arial"/>
          <w:sz w:val="20"/>
          <w:szCs w:val="20"/>
        </w:rPr>
        <w:t>.</w:t>
      </w:r>
      <w:r w:rsidRPr="006E3255">
        <w:rPr>
          <w:rFonts w:ascii="Arial" w:hAnsi="Arial" w:cs="Arial"/>
          <w:sz w:val="20"/>
          <w:szCs w:val="20"/>
        </w:rPr>
        <w:t xml:space="preserve">, </w:t>
      </w:r>
      <w:r w:rsidR="001470F9" w:rsidRPr="006E3255">
        <w:rPr>
          <w:rFonts w:ascii="Arial" w:hAnsi="Arial" w:cs="Arial"/>
          <w:sz w:val="20"/>
          <w:szCs w:val="20"/>
        </w:rPr>
        <w:t xml:space="preserve">&amp; </w:t>
      </w:r>
      <w:proofErr w:type="spellStart"/>
      <w:r w:rsidRPr="006E3255">
        <w:rPr>
          <w:rFonts w:ascii="Arial" w:hAnsi="Arial" w:cs="Arial"/>
          <w:sz w:val="20"/>
          <w:szCs w:val="20"/>
        </w:rPr>
        <w:t>Sirohi</w:t>
      </w:r>
      <w:proofErr w:type="spellEnd"/>
      <w:r w:rsidR="001470F9" w:rsidRPr="006E3255">
        <w:rPr>
          <w:rFonts w:ascii="Arial" w:hAnsi="Arial" w:cs="Arial"/>
          <w:sz w:val="20"/>
          <w:szCs w:val="20"/>
        </w:rPr>
        <w:t>,</w:t>
      </w:r>
      <w:r w:rsidRPr="006E3255">
        <w:rPr>
          <w:rFonts w:ascii="Arial" w:hAnsi="Arial" w:cs="Arial"/>
          <w:sz w:val="20"/>
          <w:szCs w:val="20"/>
        </w:rPr>
        <w:t xml:space="preserve"> S</w:t>
      </w:r>
      <w:r w:rsidR="001470F9" w:rsidRPr="006E3255">
        <w:rPr>
          <w:rFonts w:ascii="Arial" w:hAnsi="Arial" w:cs="Arial"/>
          <w:sz w:val="20"/>
          <w:szCs w:val="20"/>
        </w:rPr>
        <w:t>.</w:t>
      </w:r>
      <w:r w:rsidRPr="006E3255">
        <w:rPr>
          <w:rFonts w:ascii="Arial" w:hAnsi="Arial" w:cs="Arial"/>
          <w:sz w:val="20"/>
          <w:szCs w:val="20"/>
        </w:rPr>
        <w:t xml:space="preserve"> (2017)</w:t>
      </w:r>
      <w:r w:rsidR="001470F9" w:rsidRPr="006E3255">
        <w:rPr>
          <w:rFonts w:ascii="Arial" w:hAnsi="Arial" w:cs="Arial"/>
          <w:sz w:val="20"/>
          <w:szCs w:val="20"/>
        </w:rPr>
        <w:t>.</w:t>
      </w:r>
      <w:r w:rsidRPr="006E3255">
        <w:rPr>
          <w:rFonts w:ascii="Arial" w:hAnsi="Arial" w:cs="Arial"/>
          <w:sz w:val="20"/>
          <w:szCs w:val="20"/>
        </w:rPr>
        <w:t xml:space="preserve"> Fodder and labour for augmenting milk production in hills: A case study of Meghalaya</w:t>
      </w:r>
      <w:r w:rsidR="00B75CA1" w:rsidRPr="006E3255">
        <w:rPr>
          <w:rFonts w:ascii="Arial" w:hAnsi="Arial" w:cs="Arial"/>
          <w:sz w:val="20"/>
          <w:szCs w:val="20"/>
        </w:rPr>
        <w:t xml:space="preserve">. </w:t>
      </w:r>
      <w:r w:rsidR="005A06DB" w:rsidRPr="006E3255">
        <w:rPr>
          <w:rFonts w:ascii="Arial" w:hAnsi="Arial" w:cs="Arial"/>
          <w:sz w:val="20"/>
          <w:szCs w:val="20"/>
        </w:rPr>
        <w:t>Indian Journal of Dairy Science</w:t>
      </w:r>
      <w:r w:rsidR="00283616" w:rsidRPr="006E3255">
        <w:rPr>
          <w:rFonts w:ascii="Arial" w:hAnsi="Arial" w:cs="Arial"/>
          <w:sz w:val="20"/>
          <w:szCs w:val="20"/>
        </w:rPr>
        <w:t>,</w:t>
      </w:r>
      <w:r w:rsidR="005A06DB" w:rsidRPr="006E3255">
        <w:rPr>
          <w:rFonts w:ascii="Arial" w:hAnsi="Arial" w:cs="Arial"/>
          <w:sz w:val="20"/>
          <w:szCs w:val="20"/>
        </w:rPr>
        <w:t xml:space="preserve"> </w:t>
      </w:r>
      <w:r w:rsidRPr="006E3255">
        <w:rPr>
          <w:rFonts w:ascii="Arial" w:hAnsi="Arial" w:cs="Arial"/>
          <w:sz w:val="20"/>
          <w:szCs w:val="20"/>
        </w:rPr>
        <w:t>70</w:t>
      </w:r>
      <w:r w:rsidR="00283616" w:rsidRPr="006E3255">
        <w:rPr>
          <w:rFonts w:ascii="Arial" w:hAnsi="Arial" w:cs="Arial"/>
          <w:sz w:val="20"/>
          <w:szCs w:val="20"/>
        </w:rPr>
        <w:t>,</w:t>
      </w:r>
      <w:r w:rsidRPr="006E3255">
        <w:rPr>
          <w:rFonts w:ascii="Arial" w:hAnsi="Arial" w:cs="Arial"/>
          <w:sz w:val="20"/>
          <w:szCs w:val="20"/>
        </w:rPr>
        <w:t xml:space="preserve"> 611-615</w:t>
      </w:r>
      <w:r w:rsidR="00F04BE0" w:rsidRPr="006E3255">
        <w:rPr>
          <w:rFonts w:ascii="Arial" w:hAnsi="Arial" w:cs="Arial"/>
          <w:sz w:val="20"/>
          <w:szCs w:val="20"/>
        </w:rPr>
        <w:t>.</w:t>
      </w:r>
    </w:p>
    <w:p w14:paraId="0B48BB1C" w14:textId="2CB354A5" w:rsidR="007E7570" w:rsidRPr="006E3255" w:rsidRDefault="007E7570" w:rsidP="00B5276C">
      <w:pPr>
        <w:spacing w:line="360" w:lineRule="auto"/>
        <w:ind w:left="720" w:hanging="720"/>
        <w:jc w:val="both"/>
        <w:rPr>
          <w:rFonts w:ascii="Arial" w:hAnsi="Arial" w:cs="Arial"/>
          <w:sz w:val="20"/>
          <w:szCs w:val="20"/>
        </w:rPr>
      </w:pPr>
      <w:r w:rsidRPr="006E3255">
        <w:rPr>
          <w:rFonts w:ascii="Arial" w:hAnsi="Arial" w:cs="Arial"/>
          <w:sz w:val="20"/>
          <w:szCs w:val="20"/>
        </w:rPr>
        <w:t>Kumar</w:t>
      </w:r>
      <w:r w:rsidR="001470F9" w:rsidRPr="006E3255">
        <w:rPr>
          <w:rFonts w:ascii="Arial" w:hAnsi="Arial" w:cs="Arial"/>
          <w:sz w:val="20"/>
          <w:szCs w:val="20"/>
        </w:rPr>
        <w:t>,</w:t>
      </w:r>
      <w:r w:rsidRPr="006E3255">
        <w:rPr>
          <w:rFonts w:ascii="Arial" w:hAnsi="Arial" w:cs="Arial"/>
          <w:sz w:val="20"/>
          <w:szCs w:val="20"/>
        </w:rPr>
        <w:t xml:space="preserve"> A</w:t>
      </w:r>
      <w:r w:rsidR="001470F9" w:rsidRPr="006E3255">
        <w:rPr>
          <w:rFonts w:ascii="Arial" w:hAnsi="Arial" w:cs="Arial"/>
          <w:sz w:val="20"/>
          <w:szCs w:val="20"/>
        </w:rPr>
        <w:t>.</w:t>
      </w:r>
      <w:r w:rsidRPr="006E3255">
        <w:rPr>
          <w:rFonts w:ascii="Arial" w:hAnsi="Arial" w:cs="Arial"/>
          <w:sz w:val="20"/>
          <w:szCs w:val="20"/>
        </w:rPr>
        <w:t>, Staal</w:t>
      </w:r>
      <w:r w:rsidR="001470F9" w:rsidRPr="006E3255">
        <w:rPr>
          <w:rFonts w:ascii="Arial" w:hAnsi="Arial" w:cs="Arial"/>
          <w:sz w:val="20"/>
          <w:szCs w:val="20"/>
        </w:rPr>
        <w:t>,</w:t>
      </w:r>
      <w:r w:rsidRPr="006E3255">
        <w:rPr>
          <w:rFonts w:ascii="Arial" w:hAnsi="Arial" w:cs="Arial"/>
          <w:sz w:val="20"/>
          <w:szCs w:val="20"/>
        </w:rPr>
        <w:t xml:space="preserve"> S</w:t>
      </w:r>
      <w:r w:rsidR="001470F9" w:rsidRPr="006E3255">
        <w:rPr>
          <w:rFonts w:ascii="Arial" w:hAnsi="Arial" w:cs="Arial"/>
          <w:sz w:val="20"/>
          <w:szCs w:val="20"/>
        </w:rPr>
        <w:t>.</w:t>
      </w:r>
      <w:r w:rsidRPr="006E3255">
        <w:rPr>
          <w:rFonts w:ascii="Arial" w:hAnsi="Arial" w:cs="Arial"/>
          <w:sz w:val="20"/>
          <w:szCs w:val="20"/>
        </w:rPr>
        <w:t>, Elumalai</w:t>
      </w:r>
      <w:r w:rsidR="001470F9" w:rsidRPr="006E3255">
        <w:rPr>
          <w:rFonts w:ascii="Arial" w:hAnsi="Arial" w:cs="Arial"/>
          <w:sz w:val="20"/>
          <w:szCs w:val="20"/>
        </w:rPr>
        <w:t>,</w:t>
      </w:r>
      <w:r w:rsidRPr="006E3255">
        <w:rPr>
          <w:rFonts w:ascii="Arial" w:hAnsi="Arial" w:cs="Arial"/>
          <w:sz w:val="20"/>
          <w:szCs w:val="20"/>
        </w:rPr>
        <w:t xml:space="preserve"> K</w:t>
      </w:r>
      <w:r w:rsidR="001470F9" w:rsidRPr="006E3255">
        <w:rPr>
          <w:rFonts w:ascii="Arial" w:hAnsi="Arial" w:cs="Arial"/>
          <w:sz w:val="20"/>
          <w:szCs w:val="20"/>
        </w:rPr>
        <w:t>.</w:t>
      </w:r>
      <w:r w:rsidRPr="006E3255">
        <w:rPr>
          <w:rFonts w:ascii="Arial" w:hAnsi="Arial" w:cs="Arial"/>
          <w:sz w:val="20"/>
          <w:szCs w:val="20"/>
        </w:rPr>
        <w:t>,</w:t>
      </w:r>
      <w:r w:rsidR="001470F9" w:rsidRPr="006E3255">
        <w:rPr>
          <w:rFonts w:ascii="Arial" w:hAnsi="Arial" w:cs="Arial"/>
          <w:sz w:val="20"/>
          <w:szCs w:val="20"/>
        </w:rPr>
        <w:t xml:space="preserve"> &amp;</w:t>
      </w:r>
      <w:r w:rsidRPr="006E3255">
        <w:rPr>
          <w:rFonts w:ascii="Arial" w:hAnsi="Arial" w:cs="Arial"/>
          <w:sz w:val="20"/>
          <w:szCs w:val="20"/>
        </w:rPr>
        <w:t xml:space="preserve"> Singh</w:t>
      </w:r>
      <w:r w:rsidR="001470F9" w:rsidRPr="006E3255">
        <w:rPr>
          <w:rFonts w:ascii="Arial" w:hAnsi="Arial" w:cs="Arial"/>
          <w:sz w:val="20"/>
          <w:szCs w:val="20"/>
        </w:rPr>
        <w:t>,</w:t>
      </w:r>
      <w:r w:rsidRPr="006E3255">
        <w:rPr>
          <w:rFonts w:ascii="Arial" w:hAnsi="Arial" w:cs="Arial"/>
          <w:sz w:val="20"/>
          <w:szCs w:val="20"/>
        </w:rPr>
        <w:t xml:space="preserve"> D</w:t>
      </w:r>
      <w:r w:rsidR="001470F9" w:rsidRPr="006E3255">
        <w:rPr>
          <w:rFonts w:ascii="Arial" w:hAnsi="Arial" w:cs="Arial"/>
          <w:sz w:val="20"/>
          <w:szCs w:val="20"/>
        </w:rPr>
        <w:t xml:space="preserve">. </w:t>
      </w:r>
      <w:r w:rsidRPr="006E3255">
        <w:rPr>
          <w:rFonts w:ascii="Arial" w:hAnsi="Arial" w:cs="Arial"/>
          <w:sz w:val="20"/>
          <w:szCs w:val="20"/>
        </w:rPr>
        <w:t>K</w:t>
      </w:r>
      <w:r w:rsidR="001470F9" w:rsidRPr="006E3255">
        <w:rPr>
          <w:rFonts w:ascii="Arial" w:hAnsi="Arial" w:cs="Arial"/>
          <w:sz w:val="20"/>
          <w:szCs w:val="20"/>
        </w:rPr>
        <w:t>.</w:t>
      </w:r>
      <w:r w:rsidRPr="006E3255">
        <w:rPr>
          <w:rFonts w:ascii="Arial" w:hAnsi="Arial" w:cs="Arial"/>
          <w:sz w:val="20"/>
          <w:szCs w:val="20"/>
        </w:rPr>
        <w:t xml:space="preserve"> (2007)</w:t>
      </w:r>
      <w:r w:rsidR="001470F9" w:rsidRPr="006E3255">
        <w:rPr>
          <w:rFonts w:ascii="Arial" w:hAnsi="Arial" w:cs="Arial"/>
          <w:sz w:val="20"/>
          <w:szCs w:val="20"/>
        </w:rPr>
        <w:t>.</w:t>
      </w:r>
      <w:r w:rsidRPr="006E3255">
        <w:rPr>
          <w:rFonts w:ascii="Arial" w:hAnsi="Arial" w:cs="Arial"/>
          <w:sz w:val="20"/>
          <w:szCs w:val="20"/>
        </w:rPr>
        <w:t xml:space="preserve"> Livestock Sector in North- Eastern Region of India: An Appraisal of Performance. </w:t>
      </w:r>
      <w:r w:rsidR="005A06DB" w:rsidRPr="006E3255">
        <w:rPr>
          <w:rFonts w:ascii="Arial" w:hAnsi="Arial" w:cs="Arial"/>
          <w:sz w:val="20"/>
          <w:szCs w:val="20"/>
        </w:rPr>
        <w:t>Agricultural Economics Research Review</w:t>
      </w:r>
      <w:r w:rsidR="00283616" w:rsidRPr="006E3255">
        <w:rPr>
          <w:rFonts w:ascii="Arial" w:hAnsi="Arial" w:cs="Arial"/>
          <w:sz w:val="20"/>
          <w:szCs w:val="20"/>
        </w:rPr>
        <w:t>,</w:t>
      </w:r>
      <w:r w:rsidR="005A06DB" w:rsidRPr="006E3255">
        <w:rPr>
          <w:rFonts w:ascii="Arial" w:hAnsi="Arial" w:cs="Arial"/>
          <w:sz w:val="20"/>
          <w:szCs w:val="20"/>
        </w:rPr>
        <w:t xml:space="preserve"> </w:t>
      </w:r>
      <w:r w:rsidRPr="006E3255">
        <w:rPr>
          <w:rFonts w:ascii="Arial" w:hAnsi="Arial" w:cs="Arial"/>
          <w:sz w:val="20"/>
          <w:szCs w:val="20"/>
        </w:rPr>
        <w:t>20</w:t>
      </w:r>
      <w:r w:rsidR="00283616" w:rsidRPr="006E3255">
        <w:rPr>
          <w:rFonts w:ascii="Arial" w:hAnsi="Arial" w:cs="Arial"/>
          <w:sz w:val="20"/>
          <w:szCs w:val="20"/>
        </w:rPr>
        <w:t>,</w:t>
      </w:r>
      <w:r w:rsidR="00EB740D" w:rsidRPr="006E3255">
        <w:rPr>
          <w:rFonts w:ascii="Arial" w:hAnsi="Arial" w:cs="Arial"/>
          <w:sz w:val="20"/>
          <w:szCs w:val="20"/>
        </w:rPr>
        <w:t xml:space="preserve"> </w:t>
      </w:r>
      <w:r w:rsidRPr="006E3255">
        <w:rPr>
          <w:rFonts w:ascii="Arial" w:hAnsi="Arial" w:cs="Arial"/>
          <w:sz w:val="20"/>
          <w:szCs w:val="20"/>
        </w:rPr>
        <w:t>255-272</w:t>
      </w:r>
      <w:r w:rsidR="00EB740D" w:rsidRPr="006E3255">
        <w:rPr>
          <w:rFonts w:ascii="Arial" w:hAnsi="Arial" w:cs="Arial"/>
          <w:sz w:val="20"/>
          <w:szCs w:val="20"/>
        </w:rPr>
        <w:t>.</w:t>
      </w:r>
    </w:p>
    <w:p w14:paraId="5CEF601F" w14:textId="739D5206" w:rsidR="00754334" w:rsidRPr="006E3255" w:rsidRDefault="00754334" w:rsidP="00B5276C">
      <w:pPr>
        <w:spacing w:line="360" w:lineRule="auto"/>
        <w:ind w:left="720" w:hanging="720"/>
        <w:jc w:val="both"/>
        <w:rPr>
          <w:rFonts w:ascii="Arial" w:hAnsi="Arial" w:cs="Arial"/>
          <w:sz w:val="20"/>
          <w:szCs w:val="20"/>
        </w:rPr>
      </w:pPr>
      <w:r w:rsidRPr="006E3255">
        <w:rPr>
          <w:rFonts w:ascii="Arial" w:hAnsi="Arial" w:cs="Arial"/>
          <w:sz w:val="20"/>
          <w:szCs w:val="20"/>
        </w:rPr>
        <w:lastRenderedPageBreak/>
        <w:t>Pasar</w:t>
      </w:r>
      <w:r w:rsidR="001470F9" w:rsidRPr="006E3255">
        <w:rPr>
          <w:rFonts w:ascii="Arial" w:hAnsi="Arial" w:cs="Arial"/>
          <w:sz w:val="20"/>
          <w:szCs w:val="20"/>
        </w:rPr>
        <w:t>,</w:t>
      </w:r>
      <w:r w:rsidRPr="006E3255">
        <w:rPr>
          <w:rFonts w:ascii="Arial" w:hAnsi="Arial" w:cs="Arial"/>
          <w:sz w:val="20"/>
          <w:szCs w:val="20"/>
        </w:rPr>
        <w:t xml:space="preserve"> M</w:t>
      </w:r>
      <w:r w:rsidR="001470F9" w:rsidRPr="006E3255">
        <w:rPr>
          <w:rFonts w:ascii="Arial" w:hAnsi="Arial" w:cs="Arial"/>
          <w:sz w:val="20"/>
          <w:szCs w:val="20"/>
        </w:rPr>
        <w:t>.</w:t>
      </w:r>
      <w:r w:rsidRPr="006E3255">
        <w:rPr>
          <w:rFonts w:ascii="Arial" w:hAnsi="Arial" w:cs="Arial"/>
          <w:sz w:val="20"/>
          <w:szCs w:val="20"/>
        </w:rPr>
        <w:t xml:space="preserve">, </w:t>
      </w:r>
      <w:proofErr w:type="spellStart"/>
      <w:r w:rsidRPr="006E3255">
        <w:rPr>
          <w:rFonts w:ascii="Arial" w:hAnsi="Arial" w:cs="Arial"/>
          <w:sz w:val="20"/>
          <w:szCs w:val="20"/>
        </w:rPr>
        <w:t>Houmai</w:t>
      </w:r>
      <w:proofErr w:type="spellEnd"/>
      <w:r w:rsidR="001470F9" w:rsidRPr="006E3255">
        <w:rPr>
          <w:rFonts w:ascii="Arial" w:hAnsi="Arial" w:cs="Arial"/>
          <w:sz w:val="20"/>
          <w:szCs w:val="20"/>
        </w:rPr>
        <w:t>,</w:t>
      </w:r>
      <w:r w:rsidRPr="006E3255">
        <w:rPr>
          <w:rFonts w:ascii="Arial" w:hAnsi="Arial" w:cs="Arial"/>
          <w:sz w:val="20"/>
          <w:szCs w:val="20"/>
        </w:rPr>
        <w:t xml:space="preserve"> T</w:t>
      </w:r>
      <w:r w:rsidR="001470F9" w:rsidRPr="006E3255">
        <w:rPr>
          <w:rFonts w:ascii="Arial" w:hAnsi="Arial" w:cs="Arial"/>
          <w:sz w:val="20"/>
          <w:szCs w:val="20"/>
        </w:rPr>
        <w:t xml:space="preserve">. </w:t>
      </w:r>
      <w:r w:rsidRPr="006E3255">
        <w:rPr>
          <w:rFonts w:ascii="Arial" w:hAnsi="Arial" w:cs="Arial"/>
          <w:sz w:val="20"/>
          <w:szCs w:val="20"/>
        </w:rPr>
        <w:t xml:space="preserve">A, </w:t>
      </w:r>
      <w:proofErr w:type="spellStart"/>
      <w:r w:rsidRPr="006E3255">
        <w:rPr>
          <w:rFonts w:ascii="Arial" w:hAnsi="Arial" w:cs="Arial"/>
          <w:sz w:val="20"/>
          <w:szCs w:val="20"/>
        </w:rPr>
        <w:t>Lalhmingmawii</w:t>
      </w:r>
      <w:proofErr w:type="spellEnd"/>
      <w:r w:rsidR="001470F9" w:rsidRPr="006E3255">
        <w:rPr>
          <w:rFonts w:ascii="Arial" w:hAnsi="Arial" w:cs="Arial"/>
          <w:sz w:val="20"/>
          <w:szCs w:val="20"/>
        </w:rPr>
        <w:t xml:space="preserve">, </w:t>
      </w:r>
      <w:r w:rsidRPr="006E3255">
        <w:rPr>
          <w:rFonts w:ascii="Arial" w:hAnsi="Arial" w:cs="Arial"/>
          <w:sz w:val="20"/>
          <w:szCs w:val="20"/>
        </w:rPr>
        <w:t>S</w:t>
      </w:r>
      <w:r w:rsidR="001470F9" w:rsidRPr="006E3255">
        <w:rPr>
          <w:rFonts w:ascii="Arial" w:hAnsi="Arial" w:cs="Arial"/>
          <w:sz w:val="20"/>
          <w:szCs w:val="20"/>
        </w:rPr>
        <w:t>.</w:t>
      </w:r>
      <w:r w:rsidRPr="006E3255">
        <w:rPr>
          <w:rFonts w:ascii="Arial" w:hAnsi="Arial" w:cs="Arial"/>
          <w:sz w:val="20"/>
          <w:szCs w:val="20"/>
        </w:rPr>
        <w:t>,</w:t>
      </w:r>
      <w:r w:rsidR="001470F9" w:rsidRPr="006E3255">
        <w:rPr>
          <w:rFonts w:ascii="Arial" w:hAnsi="Arial" w:cs="Arial"/>
          <w:sz w:val="20"/>
          <w:szCs w:val="20"/>
        </w:rPr>
        <w:t xml:space="preserve"> &amp;</w:t>
      </w:r>
      <w:r w:rsidRPr="006E3255">
        <w:rPr>
          <w:rFonts w:ascii="Arial" w:hAnsi="Arial" w:cs="Arial"/>
          <w:sz w:val="20"/>
          <w:szCs w:val="20"/>
        </w:rPr>
        <w:t xml:space="preserve"> </w:t>
      </w:r>
      <w:proofErr w:type="spellStart"/>
      <w:r w:rsidRPr="006E3255">
        <w:rPr>
          <w:rFonts w:ascii="Arial" w:hAnsi="Arial" w:cs="Arial"/>
          <w:sz w:val="20"/>
          <w:szCs w:val="20"/>
        </w:rPr>
        <w:t>Lalmuansangi</w:t>
      </w:r>
      <w:proofErr w:type="spellEnd"/>
      <w:r w:rsidR="001470F9" w:rsidRPr="006E3255">
        <w:rPr>
          <w:rFonts w:ascii="Arial" w:hAnsi="Arial" w:cs="Arial"/>
          <w:sz w:val="20"/>
          <w:szCs w:val="20"/>
        </w:rPr>
        <w:t>.</w:t>
      </w:r>
      <w:r w:rsidRPr="006E3255">
        <w:rPr>
          <w:rFonts w:ascii="Arial" w:hAnsi="Arial" w:cs="Arial"/>
          <w:sz w:val="20"/>
          <w:szCs w:val="20"/>
        </w:rPr>
        <w:t xml:space="preserve"> (2024). Growth Trends and Instability Analysis of Milk Production in India International Journal of Agriculture, Environment and Biotechnology Citation: </w:t>
      </w:r>
      <w:r w:rsidR="00437E88" w:rsidRPr="006E3255">
        <w:rPr>
          <w:rFonts w:ascii="Arial" w:hAnsi="Arial" w:cs="Arial"/>
          <w:sz w:val="20"/>
          <w:szCs w:val="20"/>
        </w:rPr>
        <w:t>International Journal of Agriculture, Environment and Biotechnology</w:t>
      </w:r>
      <w:r w:rsidR="00283616" w:rsidRPr="006E3255">
        <w:rPr>
          <w:rFonts w:ascii="Arial" w:hAnsi="Arial" w:cs="Arial"/>
          <w:sz w:val="20"/>
          <w:szCs w:val="20"/>
        </w:rPr>
        <w:t>,</w:t>
      </w:r>
      <w:r w:rsidRPr="006E3255">
        <w:rPr>
          <w:rFonts w:ascii="Arial" w:hAnsi="Arial" w:cs="Arial"/>
          <w:sz w:val="20"/>
          <w:szCs w:val="20"/>
        </w:rPr>
        <w:t xml:space="preserve"> 17</w:t>
      </w:r>
      <w:r w:rsidR="00283616" w:rsidRPr="006E3255">
        <w:rPr>
          <w:rFonts w:ascii="Arial" w:hAnsi="Arial" w:cs="Arial"/>
          <w:sz w:val="20"/>
          <w:szCs w:val="20"/>
        </w:rPr>
        <w:t>,</w:t>
      </w:r>
      <w:r w:rsidRPr="006E3255">
        <w:rPr>
          <w:rFonts w:ascii="Arial" w:hAnsi="Arial" w:cs="Arial"/>
          <w:sz w:val="20"/>
          <w:szCs w:val="20"/>
        </w:rPr>
        <w:t xml:space="preserve"> 289-294</w:t>
      </w:r>
      <w:r w:rsidR="00437E88" w:rsidRPr="006E3255">
        <w:rPr>
          <w:rFonts w:ascii="Arial" w:hAnsi="Arial" w:cs="Arial"/>
          <w:sz w:val="20"/>
          <w:szCs w:val="20"/>
        </w:rPr>
        <w:t xml:space="preserve">. </w:t>
      </w:r>
      <w:r w:rsidRPr="006E3255">
        <w:rPr>
          <w:rFonts w:ascii="Arial" w:hAnsi="Arial" w:cs="Arial"/>
          <w:sz w:val="20"/>
          <w:szCs w:val="20"/>
        </w:rPr>
        <w:t>DOI: 10.30954/0974-1712.03.2024.13</w:t>
      </w:r>
    </w:p>
    <w:p w14:paraId="06BB471C" w14:textId="69185506" w:rsidR="007E7570" w:rsidRPr="006E3255" w:rsidRDefault="007E7570" w:rsidP="00B5276C">
      <w:pPr>
        <w:spacing w:line="360" w:lineRule="auto"/>
        <w:ind w:left="720" w:hanging="720"/>
        <w:jc w:val="both"/>
        <w:rPr>
          <w:rFonts w:ascii="Arial" w:hAnsi="Arial" w:cs="Arial"/>
          <w:sz w:val="20"/>
          <w:szCs w:val="20"/>
        </w:rPr>
      </w:pPr>
      <w:r w:rsidRPr="006E3255">
        <w:rPr>
          <w:rFonts w:ascii="Arial" w:hAnsi="Arial" w:cs="Arial"/>
          <w:sz w:val="20"/>
          <w:szCs w:val="20"/>
        </w:rPr>
        <w:t>Priscilla</w:t>
      </w:r>
      <w:r w:rsidR="001470F9" w:rsidRPr="006E3255">
        <w:rPr>
          <w:rFonts w:ascii="Arial" w:hAnsi="Arial" w:cs="Arial"/>
          <w:sz w:val="20"/>
          <w:szCs w:val="20"/>
        </w:rPr>
        <w:t>,</w:t>
      </w:r>
      <w:r w:rsidR="004273F4" w:rsidRPr="006E3255">
        <w:rPr>
          <w:rFonts w:ascii="Arial" w:hAnsi="Arial" w:cs="Arial"/>
          <w:sz w:val="20"/>
          <w:szCs w:val="20"/>
        </w:rPr>
        <w:t xml:space="preserve"> L</w:t>
      </w:r>
      <w:r w:rsidR="001470F9" w:rsidRPr="006E3255">
        <w:rPr>
          <w:rFonts w:ascii="Arial" w:hAnsi="Arial" w:cs="Arial"/>
          <w:sz w:val="20"/>
          <w:szCs w:val="20"/>
        </w:rPr>
        <w:t>.</w:t>
      </w:r>
      <w:r w:rsidRPr="006E3255">
        <w:rPr>
          <w:rFonts w:ascii="Arial" w:hAnsi="Arial" w:cs="Arial"/>
          <w:sz w:val="20"/>
          <w:szCs w:val="20"/>
        </w:rPr>
        <w:t>, Chauhan</w:t>
      </w:r>
      <w:r w:rsidR="001470F9" w:rsidRPr="006E3255">
        <w:rPr>
          <w:rFonts w:ascii="Arial" w:hAnsi="Arial" w:cs="Arial"/>
          <w:sz w:val="20"/>
          <w:szCs w:val="20"/>
        </w:rPr>
        <w:t>,</w:t>
      </w:r>
      <w:r w:rsidR="004273F4" w:rsidRPr="006E3255">
        <w:rPr>
          <w:rFonts w:ascii="Arial" w:hAnsi="Arial" w:cs="Arial"/>
          <w:sz w:val="20"/>
          <w:szCs w:val="20"/>
        </w:rPr>
        <w:t xml:space="preserve"> A</w:t>
      </w:r>
      <w:r w:rsidR="001470F9" w:rsidRPr="006E3255">
        <w:rPr>
          <w:rFonts w:ascii="Arial" w:hAnsi="Arial" w:cs="Arial"/>
          <w:sz w:val="20"/>
          <w:szCs w:val="20"/>
        </w:rPr>
        <w:t xml:space="preserve">. </w:t>
      </w:r>
      <w:r w:rsidR="004273F4" w:rsidRPr="006E3255">
        <w:rPr>
          <w:rFonts w:ascii="Arial" w:hAnsi="Arial" w:cs="Arial"/>
          <w:sz w:val="20"/>
          <w:szCs w:val="20"/>
        </w:rPr>
        <w:t>K</w:t>
      </w:r>
      <w:r w:rsidR="001470F9" w:rsidRPr="006E3255">
        <w:rPr>
          <w:rFonts w:ascii="Arial" w:hAnsi="Arial" w:cs="Arial"/>
          <w:sz w:val="20"/>
          <w:szCs w:val="20"/>
        </w:rPr>
        <w:t>.</w:t>
      </w:r>
      <w:r w:rsidRPr="006E3255">
        <w:rPr>
          <w:rFonts w:ascii="Arial" w:hAnsi="Arial" w:cs="Arial"/>
          <w:sz w:val="20"/>
          <w:szCs w:val="20"/>
        </w:rPr>
        <w:t xml:space="preserve">, </w:t>
      </w:r>
      <w:proofErr w:type="spellStart"/>
      <w:r w:rsidRPr="006E3255">
        <w:rPr>
          <w:rFonts w:ascii="Arial" w:hAnsi="Arial" w:cs="Arial"/>
          <w:sz w:val="20"/>
          <w:szCs w:val="20"/>
        </w:rPr>
        <w:t>Lalrinsangpuii</w:t>
      </w:r>
      <w:proofErr w:type="spellEnd"/>
      <w:r w:rsidR="001470F9" w:rsidRPr="006E3255">
        <w:rPr>
          <w:rFonts w:ascii="Arial" w:hAnsi="Arial" w:cs="Arial"/>
          <w:sz w:val="20"/>
          <w:szCs w:val="20"/>
        </w:rPr>
        <w:t>.</w:t>
      </w:r>
      <w:r w:rsidRPr="006E3255">
        <w:rPr>
          <w:rFonts w:ascii="Arial" w:hAnsi="Arial" w:cs="Arial"/>
          <w:sz w:val="20"/>
          <w:szCs w:val="20"/>
        </w:rPr>
        <w:t>, Balakrishnan</w:t>
      </w:r>
      <w:r w:rsidR="001470F9" w:rsidRPr="006E3255">
        <w:rPr>
          <w:rFonts w:ascii="Arial" w:hAnsi="Arial" w:cs="Arial"/>
          <w:sz w:val="20"/>
          <w:szCs w:val="20"/>
        </w:rPr>
        <w:t>,</w:t>
      </w:r>
      <w:r w:rsidR="004273F4" w:rsidRPr="006E3255">
        <w:rPr>
          <w:rFonts w:ascii="Arial" w:hAnsi="Arial" w:cs="Arial"/>
          <w:sz w:val="20"/>
          <w:szCs w:val="20"/>
        </w:rPr>
        <w:t xml:space="preserve"> A</w:t>
      </w:r>
      <w:r w:rsidR="001470F9" w:rsidRPr="006E3255">
        <w:rPr>
          <w:rFonts w:ascii="Arial" w:hAnsi="Arial" w:cs="Arial"/>
          <w:sz w:val="20"/>
          <w:szCs w:val="20"/>
        </w:rPr>
        <w:t>.</w:t>
      </w:r>
      <w:r w:rsidR="004273F4" w:rsidRPr="006E3255">
        <w:rPr>
          <w:rFonts w:ascii="Arial" w:hAnsi="Arial" w:cs="Arial"/>
          <w:sz w:val="20"/>
          <w:szCs w:val="20"/>
        </w:rPr>
        <w:t>,</w:t>
      </w:r>
      <w:r w:rsidR="001470F9" w:rsidRPr="006E3255">
        <w:rPr>
          <w:rFonts w:ascii="Arial" w:hAnsi="Arial" w:cs="Arial"/>
          <w:sz w:val="20"/>
          <w:szCs w:val="20"/>
        </w:rPr>
        <w:t xml:space="preserve"> &amp;</w:t>
      </w:r>
      <w:r w:rsidRPr="006E3255">
        <w:rPr>
          <w:rFonts w:ascii="Arial" w:hAnsi="Arial" w:cs="Arial"/>
          <w:sz w:val="20"/>
          <w:szCs w:val="20"/>
        </w:rPr>
        <w:t xml:space="preserve"> Gururaj</w:t>
      </w:r>
      <w:r w:rsidR="001470F9" w:rsidRPr="006E3255">
        <w:rPr>
          <w:rFonts w:ascii="Arial" w:hAnsi="Arial" w:cs="Arial"/>
          <w:sz w:val="20"/>
          <w:szCs w:val="20"/>
        </w:rPr>
        <w:t>,</w:t>
      </w:r>
      <w:r w:rsidR="004273F4" w:rsidRPr="006E3255">
        <w:rPr>
          <w:rFonts w:ascii="Arial" w:hAnsi="Arial" w:cs="Arial"/>
          <w:sz w:val="20"/>
          <w:szCs w:val="20"/>
        </w:rPr>
        <w:t xml:space="preserve"> M</w:t>
      </w:r>
      <w:r w:rsidR="001470F9" w:rsidRPr="006E3255">
        <w:rPr>
          <w:rFonts w:ascii="Arial" w:hAnsi="Arial" w:cs="Arial"/>
          <w:sz w:val="20"/>
          <w:szCs w:val="20"/>
        </w:rPr>
        <w:t>.</w:t>
      </w:r>
      <w:r w:rsidRPr="006E3255">
        <w:rPr>
          <w:rFonts w:ascii="Arial" w:hAnsi="Arial" w:cs="Arial"/>
          <w:sz w:val="20"/>
          <w:szCs w:val="20"/>
        </w:rPr>
        <w:t xml:space="preserve"> (2017)</w:t>
      </w:r>
      <w:r w:rsidR="001470F9" w:rsidRPr="006E3255">
        <w:rPr>
          <w:rFonts w:ascii="Arial" w:hAnsi="Arial" w:cs="Arial"/>
          <w:sz w:val="20"/>
          <w:szCs w:val="20"/>
        </w:rPr>
        <w:t>.</w:t>
      </w:r>
      <w:r w:rsidRPr="006E3255">
        <w:rPr>
          <w:rFonts w:ascii="Arial" w:hAnsi="Arial" w:cs="Arial"/>
          <w:sz w:val="20"/>
          <w:szCs w:val="20"/>
        </w:rPr>
        <w:t xml:space="preserve"> Participation Behaviour of Dairy Farmers in Dairy Co-operative Societies in Manipur: A Double Hurdle Approach. </w:t>
      </w:r>
      <w:r w:rsidR="00D37FD8" w:rsidRPr="006E3255">
        <w:rPr>
          <w:rFonts w:ascii="Arial" w:hAnsi="Arial" w:cs="Arial"/>
          <w:sz w:val="20"/>
          <w:szCs w:val="20"/>
        </w:rPr>
        <w:t>Indian J</w:t>
      </w:r>
      <w:r w:rsidR="00437E88" w:rsidRPr="006E3255">
        <w:rPr>
          <w:rFonts w:ascii="Arial" w:hAnsi="Arial" w:cs="Arial"/>
          <w:sz w:val="20"/>
          <w:szCs w:val="20"/>
        </w:rPr>
        <w:t>ournal of</w:t>
      </w:r>
      <w:r w:rsidR="00D37FD8" w:rsidRPr="006E3255">
        <w:rPr>
          <w:rFonts w:ascii="Arial" w:hAnsi="Arial" w:cs="Arial"/>
          <w:sz w:val="20"/>
          <w:szCs w:val="20"/>
        </w:rPr>
        <w:t xml:space="preserve"> Agric</w:t>
      </w:r>
      <w:r w:rsidR="00437E88" w:rsidRPr="006E3255">
        <w:rPr>
          <w:rFonts w:ascii="Arial" w:hAnsi="Arial" w:cs="Arial"/>
          <w:sz w:val="20"/>
          <w:szCs w:val="20"/>
        </w:rPr>
        <w:t xml:space="preserve">ultural </w:t>
      </w:r>
      <w:r w:rsidR="00D37FD8" w:rsidRPr="006E3255">
        <w:rPr>
          <w:rFonts w:ascii="Arial" w:hAnsi="Arial" w:cs="Arial"/>
          <w:sz w:val="20"/>
          <w:szCs w:val="20"/>
        </w:rPr>
        <w:t>Econ</w:t>
      </w:r>
      <w:r w:rsidR="00437E88" w:rsidRPr="006E3255">
        <w:rPr>
          <w:rFonts w:ascii="Arial" w:hAnsi="Arial" w:cs="Arial"/>
          <w:sz w:val="20"/>
          <w:szCs w:val="20"/>
        </w:rPr>
        <w:t>omics</w:t>
      </w:r>
      <w:r w:rsidR="00283616" w:rsidRPr="006E3255">
        <w:rPr>
          <w:rFonts w:ascii="Arial" w:hAnsi="Arial" w:cs="Arial"/>
          <w:sz w:val="20"/>
          <w:szCs w:val="20"/>
        </w:rPr>
        <w:t>,</w:t>
      </w:r>
      <w:r w:rsidR="00D37FD8" w:rsidRPr="006E3255">
        <w:rPr>
          <w:rFonts w:ascii="Arial" w:hAnsi="Arial" w:cs="Arial"/>
          <w:sz w:val="20"/>
          <w:szCs w:val="20"/>
        </w:rPr>
        <w:t xml:space="preserve"> </w:t>
      </w:r>
      <w:r w:rsidRPr="006E3255">
        <w:rPr>
          <w:rFonts w:ascii="Arial" w:hAnsi="Arial" w:cs="Arial"/>
          <w:sz w:val="20"/>
          <w:szCs w:val="20"/>
        </w:rPr>
        <w:t>72</w:t>
      </w:r>
      <w:r w:rsidR="00283616" w:rsidRPr="006E3255">
        <w:rPr>
          <w:rFonts w:ascii="Arial" w:hAnsi="Arial" w:cs="Arial"/>
          <w:sz w:val="20"/>
          <w:szCs w:val="20"/>
        </w:rPr>
        <w:t>,</w:t>
      </w:r>
      <w:r w:rsidR="007712B0" w:rsidRPr="006E3255">
        <w:rPr>
          <w:rFonts w:ascii="Arial" w:hAnsi="Arial" w:cs="Arial"/>
          <w:sz w:val="20"/>
          <w:szCs w:val="20"/>
        </w:rPr>
        <w:t xml:space="preserve"> 420-428.</w:t>
      </w:r>
    </w:p>
    <w:p w14:paraId="59A3A2A3" w14:textId="14451B6E" w:rsidR="007E7570" w:rsidRPr="006E3255" w:rsidRDefault="007E7570" w:rsidP="00B5276C">
      <w:pPr>
        <w:spacing w:line="360" w:lineRule="auto"/>
        <w:ind w:left="720" w:hanging="720"/>
        <w:jc w:val="both"/>
        <w:rPr>
          <w:rFonts w:ascii="Arial" w:hAnsi="Arial" w:cs="Arial"/>
          <w:sz w:val="20"/>
          <w:szCs w:val="20"/>
        </w:rPr>
      </w:pPr>
      <w:proofErr w:type="spellStart"/>
      <w:r w:rsidRPr="006E3255">
        <w:rPr>
          <w:rFonts w:ascii="Arial" w:hAnsi="Arial" w:cs="Arial"/>
          <w:sz w:val="20"/>
          <w:szCs w:val="20"/>
        </w:rPr>
        <w:t>Lalrinsangpuii</w:t>
      </w:r>
      <w:proofErr w:type="spellEnd"/>
      <w:r w:rsidR="009C1CDE" w:rsidRPr="006E3255">
        <w:rPr>
          <w:rFonts w:ascii="Arial" w:hAnsi="Arial" w:cs="Arial"/>
          <w:sz w:val="20"/>
          <w:szCs w:val="20"/>
        </w:rPr>
        <w:t>.</w:t>
      </w:r>
      <w:r w:rsidRPr="006E3255">
        <w:rPr>
          <w:rFonts w:ascii="Arial" w:hAnsi="Arial" w:cs="Arial"/>
          <w:sz w:val="20"/>
          <w:szCs w:val="20"/>
        </w:rPr>
        <w:t>, Malhotra</w:t>
      </w:r>
      <w:r w:rsidR="009C1CDE" w:rsidRPr="006E3255">
        <w:rPr>
          <w:rFonts w:ascii="Arial" w:hAnsi="Arial" w:cs="Arial"/>
          <w:sz w:val="20"/>
          <w:szCs w:val="20"/>
        </w:rPr>
        <w:t>,</w:t>
      </w:r>
      <w:r w:rsidR="004273F4" w:rsidRPr="006E3255">
        <w:rPr>
          <w:rFonts w:ascii="Arial" w:hAnsi="Arial" w:cs="Arial"/>
          <w:sz w:val="20"/>
          <w:szCs w:val="20"/>
        </w:rPr>
        <w:t xml:space="preserve"> R</w:t>
      </w:r>
      <w:r w:rsidR="009C1CDE" w:rsidRPr="006E3255">
        <w:rPr>
          <w:rFonts w:ascii="Arial" w:hAnsi="Arial" w:cs="Arial"/>
          <w:sz w:val="20"/>
          <w:szCs w:val="20"/>
        </w:rPr>
        <w:t>.</w:t>
      </w:r>
      <w:r w:rsidR="004273F4" w:rsidRPr="006E3255">
        <w:rPr>
          <w:rFonts w:ascii="Arial" w:hAnsi="Arial" w:cs="Arial"/>
          <w:sz w:val="20"/>
          <w:szCs w:val="20"/>
        </w:rPr>
        <w:t>,</w:t>
      </w:r>
      <w:r w:rsidRPr="006E3255">
        <w:rPr>
          <w:rFonts w:ascii="Arial" w:hAnsi="Arial" w:cs="Arial"/>
          <w:sz w:val="20"/>
          <w:szCs w:val="20"/>
        </w:rPr>
        <w:t xml:space="preserve"> </w:t>
      </w:r>
      <w:r w:rsidR="009C1CDE" w:rsidRPr="006E3255">
        <w:rPr>
          <w:rFonts w:ascii="Arial" w:hAnsi="Arial" w:cs="Arial"/>
          <w:sz w:val="20"/>
          <w:szCs w:val="20"/>
        </w:rPr>
        <w:t xml:space="preserve">&amp; </w:t>
      </w:r>
      <w:r w:rsidRPr="006E3255">
        <w:rPr>
          <w:rFonts w:ascii="Arial" w:hAnsi="Arial" w:cs="Arial"/>
          <w:sz w:val="20"/>
          <w:szCs w:val="20"/>
        </w:rPr>
        <w:t>Priscilla</w:t>
      </w:r>
      <w:r w:rsidR="009C1CDE" w:rsidRPr="006E3255">
        <w:rPr>
          <w:rFonts w:ascii="Arial" w:hAnsi="Arial" w:cs="Arial"/>
          <w:sz w:val="20"/>
          <w:szCs w:val="20"/>
        </w:rPr>
        <w:t>.,</w:t>
      </w:r>
      <w:r w:rsidR="004273F4" w:rsidRPr="006E3255">
        <w:rPr>
          <w:rFonts w:ascii="Arial" w:hAnsi="Arial" w:cs="Arial"/>
          <w:sz w:val="20"/>
          <w:szCs w:val="20"/>
        </w:rPr>
        <w:t xml:space="preserve"> L</w:t>
      </w:r>
      <w:r w:rsidR="009C1CDE" w:rsidRPr="006E3255">
        <w:rPr>
          <w:rFonts w:ascii="Arial" w:hAnsi="Arial" w:cs="Arial"/>
          <w:sz w:val="20"/>
          <w:szCs w:val="20"/>
        </w:rPr>
        <w:t>.</w:t>
      </w:r>
      <w:r w:rsidR="005C72EA" w:rsidRPr="006E3255">
        <w:rPr>
          <w:rFonts w:ascii="Arial" w:hAnsi="Arial" w:cs="Arial"/>
          <w:sz w:val="20"/>
          <w:szCs w:val="20"/>
        </w:rPr>
        <w:t xml:space="preserve"> </w:t>
      </w:r>
      <w:r w:rsidRPr="006E3255">
        <w:rPr>
          <w:rFonts w:ascii="Arial" w:hAnsi="Arial" w:cs="Arial"/>
          <w:sz w:val="20"/>
          <w:szCs w:val="20"/>
        </w:rPr>
        <w:t>(2018)</w:t>
      </w:r>
      <w:r w:rsidR="009C1CDE" w:rsidRPr="006E3255">
        <w:rPr>
          <w:rFonts w:ascii="Arial" w:hAnsi="Arial" w:cs="Arial"/>
          <w:sz w:val="20"/>
          <w:szCs w:val="20"/>
        </w:rPr>
        <w:t>.</w:t>
      </w:r>
      <w:r w:rsidRPr="006E3255">
        <w:rPr>
          <w:rFonts w:ascii="Arial" w:hAnsi="Arial" w:cs="Arial"/>
          <w:sz w:val="20"/>
          <w:szCs w:val="20"/>
        </w:rPr>
        <w:t xml:space="preserve"> Economics of milk production and its constraints in Mizoram. </w:t>
      </w:r>
      <w:r w:rsidR="00437E88" w:rsidRPr="006E3255">
        <w:rPr>
          <w:rFonts w:ascii="Arial" w:hAnsi="Arial" w:cs="Arial"/>
          <w:sz w:val="20"/>
          <w:szCs w:val="20"/>
        </w:rPr>
        <w:t>Indian Journal of Dairy Science</w:t>
      </w:r>
      <w:r w:rsidR="00283616" w:rsidRPr="006E3255">
        <w:rPr>
          <w:rFonts w:ascii="Arial" w:hAnsi="Arial" w:cs="Arial"/>
          <w:sz w:val="20"/>
          <w:szCs w:val="20"/>
        </w:rPr>
        <w:t>,</w:t>
      </w:r>
      <w:r w:rsidR="005A06DB" w:rsidRPr="006E3255">
        <w:rPr>
          <w:rFonts w:ascii="Arial" w:hAnsi="Arial" w:cs="Arial"/>
          <w:sz w:val="20"/>
          <w:szCs w:val="20"/>
        </w:rPr>
        <w:t xml:space="preserve"> </w:t>
      </w:r>
      <w:r w:rsidRPr="006E3255">
        <w:rPr>
          <w:rFonts w:ascii="Arial" w:hAnsi="Arial" w:cs="Arial"/>
          <w:sz w:val="20"/>
          <w:szCs w:val="20"/>
        </w:rPr>
        <w:t>69</w:t>
      </w:r>
      <w:r w:rsidR="00283616" w:rsidRPr="006E3255">
        <w:rPr>
          <w:rFonts w:ascii="Arial" w:hAnsi="Arial" w:cs="Arial"/>
          <w:sz w:val="20"/>
          <w:szCs w:val="20"/>
        </w:rPr>
        <w:t>,</w:t>
      </w:r>
      <w:r w:rsidRPr="006E3255">
        <w:rPr>
          <w:rFonts w:ascii="Arial" w:hAnsi="Arial" w:cs="Arial"/>
          <w:sz w:val="20"/>
          <w:szCs w:val="20"/>
        </w:rPr>
        <w:t xml:space="preserve"> 588-594. </w:t>
      </w:r>
    </w:p>
    <w:p w14:paraId="2BAB3E98" w14:textId="6DD38671" w:rsidR="006B3AA6" w:rsidRPr="006E3255" w:rsidRDefault="006B3AA6" w:rsidP="00B5276C">
      <w:pPr>
        <w:spacing w:line="360" w:lineRule="auto"/>
        <w:ind w:left="720" w:hanging="720"/>
        <w:jc w:val="both"/>
        <w:rPr>
          <w:rFonts w:ascii="Arial" w:hAnsi="Arial" w:cs="Arial"/>
          <w:sz w:val="20"/>
          <w:szCs w:val="20"/>
        </w:rPr>
      </w:pPr>
      <w:proofErr w:type="spellStart"/>
      <w:r w:rsidRPr="006E3255">
        <w:rPr>
          <w:rFonts w:ascii="Arial" w:hAnsi="Arial" w:cs="Arial"/>
          <w:sz w:val="20"/>
          <w:szCs w:val="20"/>
        </w:rPr>
        <w:t>Khoveio</w:t>
      </w:r>
      <w:proofErr w:type="spellEnd"/>
      <w:r w:rsidR="009C1CDE" w:rsidRPr="006E3255">
        <w:rPr>
          <w:rFonts w:ascii="Arial" w:hAnsi="Arial" w:cs="Arial"/>
          <w:sz w:val="20"/>
          <w:szCs w:val="20"/>
        </w:rPr>
        <w:t>,</w:t>
      </w:r>
      <w:r w:rsidRPr="006E3255">
        <w:rPr>
          <w:rFonts w:ascii="Arial" w:hAnsi="Arial" w:cs="Arial"/>
          <w:sz w:val="20"/>
          <w:szCs w:val="20"/>
        </w:rPr>
        <w:t xml:space="preserve"> M</w:t>
      </w:r>
      <w:r w:rsidR="009C1CDE" w:rsidRPr="006E3255">
        <w:rPr>
          <w:rFonts w:ascii="Arial" w:hAnsi="Arial" w:cs="Arial"/>
          <w:sz w:val="20"/>
          <w:szCs w:val="20"/>
        </w:rPr>
        <w:t xml:space="preserve">. </w:t>
      </w:r>
      <w:r w:rsidRPr="006E3255">
        <w:rPr>
          <w:rFonts w:ascii="Arial" w:hAnsi="Arial" w:cs="Arial"/>
          <w:sz w:val="20"/>
          <w:szCs w:val="20"/>
        </w:rPr>
        <w:t>L</w:t>
      </w:r>
      <w:r w:rsidR="009C1CDE" w:rsidRPr="006E3255">
        <w:rPr>
          <w:rFonts w:ascii="Arial" w:hAnsi="Arial" w:cs="Arial"/>
          <w:sz w:val="20"/>
          <w:szCs w:val="20"/>
        </w:rPr>
        <w:t>.</w:t>
      </w:r>
      <w:r w:rsidRPr="006E3255">
        <w:rPr>
          <w:rFonts w:ascii="Arial" w:hAnsi="Arial" w:cs="Arial"/>
          <w:sz w:val="20"/>
          <w:szCs w:val="20"/>
        </w:rPr>
        <w:t>, Jain</w:t>
      </w:r>
      <w:r w:rsidR="009C1CDE" w:rsidRPr="006E3255">
        <w:rPr>
          <w:rFonts w:ascii="Arial" w:hAnsi="Arial" w:cs="Arial"/>
          <w:sz w:val="20"/>
          <w:szCs w:val="20"/>
        </w:rPr>
        <w:t>,</w:t>
      </w:r>
      <w:r w:rsidRPr="006E3255">
        <w:rPr>
          <w:rFonts w:ascii="Arial" w:hAnsi="Arial" w:cs="Arial"/>
          <w:sz w:val="20"/>
          <w:szCs w:val="20"/>
        </w:rPr>
        <w:t xml:space="preserve"> D</w:t>
      </w:r>
      <w:r w:rsidR="009C1CDE" w:rsidRPr="006E3255">
        <w:rPr>
          <w:rFonts w:ascii="Arial" w:hAnsi="Arial" w:cs="Arial"/>
          <w:sz w:val="20"/>
          <w:szCs w:val="20"/>
        </w:rPr>
        <w:t xml:space="preserve">. </w:t>
      </w:r>
      <w:r w:rsidRPr="006E3255">
        <w:rPr>
          <w:rFonts w:ascii="Arial" w:hAnsi="Arial" w:cs="Arial"/>
          <w:sz w:val="20"/>
          <w:szCs w:val="20"/>
        </w:rPr>
        <w:t>K</w:t>
      </w:r>
      <w:r w:rsidR="009C1CDE" w:rsidRPr="006E3255">
        <w:rPr>
          <w:rFonts w:ascii="Arial" w:hAnsi="Arial" w:cs="Arial"/>
          <w:sz w:val="20"/>
          <w:szCs w:val="20"/>
        </w:rPr>
        <w:t>.</w:t>
      </w:r>
      <w:r w:rsidRPr="006E3255">
        <w:rPr>
          <w:rFonts w:ascii="Arial" w:hAnsi="Arial" w:cs="Arial"/>
          <w:sz w:val="20"/>
          <w:szCs w:val="20"/>
        </w:rPr>
        <w:t>, Chauhan</w:t>
      </w:r>
      <w:r w:rsidR="009C1CDE" w:rsidRPr="006E3255">
        <w:rPr>
          <w:rFonts w:ascii="Arial" w:hAnsi="Arial" w:cs="Arial"/>
          <w:sz w:val="20"/>
          <w:szCs w:val="20"/>
        </w:rPr>
        <w:t>,</w:t>
      </w:r>
      <w:r w:rsidRPr="006E3255">
        <w:rPr>
          <w:rFonts w:ascii="Arial" w:hAnsi="Arial" w:cs="Arial"/>
          <w:sz w:val="20"/>
          <w:szCs w:val="20"/>
        </w:rPr>
        <w:t xml:space="preserve"> A</w:t>
      </w:r>
      <w:r w:rsidR="009C1CDE" w:rsidRPr="006E3255">
        <w:rPr>
          <w:rFonts w:ascii="Arial" w:hAnsi="Arial" w:cs="Arial"/>
          <w:sz w:val="20"/>
          <w:szCs w:val="20"/>
        </w:rPr>
        <w:t xml:space="preserve">. </w:t>
      </w:r>
      <w:r w:rsidRPr="006E3255">
        <w:rPr>
          <w:rFonts w:ascii="Arial" w:hAnsi="Arial" w:cs="Arial"/>
          <w:sz w:val="20"/>
          <w:szCs w:val="20"/>
        </w:rPr>
        <w:t>K</w:t>
      </w:r>
      <w:r w:rsidR="009C1CDE" w:rsidRPr="006E3255">
        <w:rPr>
          <w:rFonts w:ascii="Arial" w:hAnsi="Arial" w:cs="Arial"/>
          <w:sz w:val="20"/>
          <w:szCs w:val="20"/>
        </w:rPr>
        <w:t>.</w:t>
      </w:r>
      <w:r w:rsidRPr="006E3255">
        <w:rPr>
          <w:rFonts w:ascii="Arial" w:hAnsi="Arial" w:cs="Arial"/>
          <w:sz w:val="20"/>
          <w:szCs w:val="20"/>
        </w:rPr>
        <w:t xml:space="preserve"> (2012)</w:t>
      </w:r>
      <w:r w:rsidR="009C1CDE" w:rsidRPr="006E3255">
        <w:rPr>
          <w:rFonts w:ascii="Arial" w:hAnsi="Arial" w:cs="Arial"/>
          <w:sz w:val="20"/>
          <w:szCs w:val="20"/>
        </w:rPr>
        <w:t>.</w:t>
      </w:r>
      <w:r w:rsidRPr="006E3255">
        <w:rPr>
          <w:rFonts w:ascii="Arial" w:hAnsi="Arial" w:cs="Arial"/>
          <w:sz w:val="20"/>
          <w:szCs w:val="20"/>
        </w:rPr>
        <w:t xml:space="preserve"> Economics of milk production and its constraints in Nagaland. </w:t>
      </w:r>
      <w:r w:rsidR="00D37FD8" w:rsidRPr="006E3255">
        <w:rPr>
          <w:rFonts w:ascii="Arial" w:hAnsi="Arial" w:cs="Arial"/>
          <w:sz w:val="20"/>
          <w:szCs w:val="20"/>
        </w:rPr>
        <w:t>Indian J</w:t>
      </w:r>
      <w:r w:rsidR="00463F51" w:rsidRPr="006E3255">
        <w:rPr>
          <w:rFonts w:ascii="Arial" w:hAnsi="Arial" w:cs="Arial"/>
          <w:sz w:val="20"/>
          <w:szCs w:val="20"/>
        </w:rPr>
        <w:t>ournal of</w:t>
      </w:r>
      <w:r w:rsidR="00D37FD8" w:rsidRPr="006E3255">
        <w:rPr>
          <w:rFonts w:ascii="Arial" w:hAnsi="Arial" w:cs="Arial"/>
          <w:sz w:val="20"/>
          <w:szCs w:val="20"/>
        </w:rPr>
        <w:t xml:space="preserve"> Dairy Sci</w:t>
      </w:r>
      <w:r w:rsidR="00463F51" w:rsidRPr="006E3255">
        <w:rPr>
          <w:rFonts w:ascii="Arial" w:hAnsi="Arial" w:cs="Arial"/>
          <w:sz w:val="20"/>
          <w:szCs w:val="20"/>
        </w:rPr>
        <w:t>ence</w:t>
      </w:r>
      <w:r w:rsidR="00283616" w:rsidRPr="006E3255">
        <w:rPr>
          <w:rFonts w:ascii="Arial" w:hAnsi="Arial" w:cs="Arial"/>
          <w:sz w:val="20"/>
          <w:szCs w:val="20"/>
        </w:rPr>
        <w:t>,</w:t>
      </w:r>
      <w:r w:rsidR="00D37FD8" w:rsidRPr="006E3255">
        <w:rPr>
          <w:rFonts w:ascii="Arial" w:hAnsi="Arial" w:cs="Arial"/>
          <w:sz w:val="20"/>
          <w:szCs w:val="20"/>
        </w:rPr>
        <w:t xml:space="preserve"> </w:t>
      </w:r>
      <w:r w:rsidRPr="006E3255">
        <w:rPr>
          <w:rFonts w:ascii="Arial" w:hAnsi="Arial" w:cs="Arial"/>
          <w:sz w:val="20"/>
          <w:szCs w:val="20"/>
        </w:rPr>
        <w:t>65</w:t>
      </w:r>
      <w:r w:rsidR="00283616" w:rsidRPr="006E3255">
        <w:rPr>
          <w:rFonts w:ascii="Arial" w:hAnsi="Arial" w:cs="Arial"/>
          <w:sz w:val="20"/>
          <w:szCs w:val="20"/>
        </w:rPr>
        <w:t>,</w:t>
      </w:r>
      <w:r w:rsidRPr="006E3255">
        <w:rPr>
          <w:rFonts w:ascii="Arial" w:hAnsi="Arial" w:cs="Arial"/>
          <w:sz w:val="20"/>
          <w:szCs w:val="20"/>
        </w:rPr>
        <w:t xml:space="preserve"> 520-526</w:t>
      </w:r>
      <w:r w:rsidR="00EB740D" w:rsidRPr="006E3255">
        <w:rPr>
          <w:rFonts w:ascii="Arial" w:hAnsi="Arial" w:cs="Arial"/>
          <w:sz w:val="20"/>
          <w:szCs w:val="20"/>
        </w:rPr>
        <w:t>.</w:t>
      </w:r>
    </w:p>
    <w:p w14:paraId="52E8F161" w14:textId="37C73354" w:rsidR="00F04BE0" w:rsidRPr="006E3255" w:rsidRDefault="00F04BE0" w:rsidP="00B5276C">
      <w:pPr>
        <w:spacing w:line="360" w:lineRule="auto"/>
        <w:ind w:left="720" w:hanging="720"/>
        <w:jc w:val="both"/>
        <w:rPr>
          <w:rFonts w:ascii="Arial" w:hAnsi="Arial" w:cs="Arial"/>
          <w:sz w:val="20"/>
          <w:szCs w:val="20"/>
        </w:rPr>
      </w:pPr>
      <w:r w:rsidRPr="006E3255">
        <w:rPr>
          <w:rFonts w:ascii="Arial" w:hAnsi="Arial" w:cs="Arial"/>
          <w:sz w:val="20"/>
          <w:szCs w:val="20"/>
        </w:rPr>
        <w:t>NDDB</w:t>
      </w:r>
      <w:r w:rsidR="00783F20" w:rsidRPr="006E3255">
        <w:rPr>
          <w:rFonts w:ascii="Arial" w:hAnsi="Arial" w:cs="Arial"/>
          <w:sz w:val="20"/>
          <w:szCs w:val="20"/>
        </w:rPr>
        <w:t>.</w:t>
      </w:r>
      <w:r w:rsidRPr="006E3255">
        <w:rPr>
          <w:rFonts w:ascii="Arial" w:hAnsi="Arial" w:cs="Arial"/>
          <w:sz w:val="20"/>
          <w:szCs w:val="20"/>
        </w:rPr>
        <w:t xml:space="preserve"> (2017)</w:t>
      </w:r>
      <w:r w:rsidR="00783F20" w:rsidRPr="006E3255">
        <w:rPr>
          <w:rFonts w:ascii="Arial" w:hAnsi="Arial" w:cs="Arial"/>
          <w:sz w:val="20"/>
          <w:szCs w:val="20"/>
        </w:rPr>
        <w:t>.</w:t>
      </w:r>
      <w:r w:rsidR="002650F7" w:rsidRPr="006E3255">
        <w:rPr>
          <w:rFonts w:ascii="Arial" w:hAnsi="Arial" w:cs="Arial"/>
          <w:sz w:val="20"/>
          <w:szCs w:val="20"/>
        </w:rPr>
        <w:t xml:space="preserve"> NDDB</w:t>
      </w:r>
      <w:r w:rsidR="005C72EA" w:rsidRPr="006E3255">
        <w:rPr>
          <w:rFonts w:ascii="Arial" w:hAnsi="Arial" w:cs="Arial"/>
          <w:sz w:val="20"/>
          <w:szCs w:val="20"/>
        </w:rPr>
        <w:t xml:space="preserve"> </w:t>
      </w:r>
      <w:r w:rsidR="002650F7" w:rsidRPr="006E3255">
        <w:rPr>
          <w:rFonts w:ascii="Arial" w:hAnsi="Arial" w:cs="Arial"/>
          <w:sz w:val="20"/>
          <w:szCs w:val="20"/>
        </w:rPr>
        <w:t>Annual Report 2016-17 National Dairy Development Board, India.</w:t>
      </w:r>
    </w:p>
    <w:p w14:paraId="75A32889" w14:textId="1FD014B8" w:rsidR="007E7570" w:rsidRPr="006E3255" w:rsidRDefault="007E7570" w:rsidP="00B5276C">
      <w:pPr>
        <w:spacing w:line="360" w:lineRule="auto"/>
        <w:ind w:left="720" w:hanging="720"/>
        <w:jc w:val="both"/>
        <w:rPr>
          <w:rFonts w:ascii="Arial" w:hAnsi="Arial" w:cs="Arial"/>
          <w:sz w:val="20"/>
          <w:szCs w:val="20"/>
        </w:rPr>
      </w:pPr>
      <w:r w:rsidRPr="006E3255">
        <w:rPr>
          <w:rFonts w:ascii="Arial" w:hAnsi="Arial" w:cs="Arial"/>
          <w:sz w:val="20"/>
          <w:szCs w:val="20"/>
        </w:rPr>
        <w:t>NDDB</w:t>
      </w:r>
      <w:r w:rsidR="00783F20" w:rsidRPr="006E3255">
        <w:rPr>
          <w:rFonts w:ascii="Arial" w:hAnsi="Arial" w:cs="Arial"/>
          <w:sz w:val="20"/>
          <w:szCs w:val="20"/>
        </w:rPr>
        <w:t>.</w:t>
      </w:r>
      <w:r w:rsidRPr="006E3255">
        <w:rPr>
          <w:rFonts w:ascii="Arial" w:hAnsi="Arial" w:cs="Arial"/>
          <w:sz w:val="20"/>
          <w:szCs w:val="20"/>
        </w:rPr>
        <w:t xml:space="preserve"> (202</w:t>
      </w:r>
      <w:r w:rsidR="00F04BE0" w:rsidRPr="006E3255">
        <w:rPr>
          <w:rFonts w:ascii="Arial" w:hAnsi="Arial" w:cs="Arial"/>
          <w:sz w:val="20"/>
          <w:szCs w:val="20"/>
        </w:rPr>
        <w:t>1</w:t>
      </w:r>
      <w:r w:rsidRPr="006E3255">
        <w:rPr>
          <w:rFonts w:ascii="Arial" w:hAnsi="Arial" w:cs="Arial"/>
          <w:sz w:val="20"/>
          <w:szCs w:val="20"/>
        </w:rPr>
        <w:t>)</w:t>
      </w:r>
      <w:r w:rsidR="00783F20" w:rsidRPr="006E3255">
        <w:rPr>
          <w:rFonts w:ascii="Arial" w:hAnsi="Arial" w:cs="Arial"/>
          <w:sz w:val="20"/>
          <w:szCs w:val="20"/>
        </w:rPr>
        <w:t>.</w:t>
      </w:r>
      <w:r w:rsidRPr="006E3255">
        <w:rPr>
          <w:rFonts w:ascii="Arial" w:hAnsi="Arial" w:cs="Arial"/>
          <w:sz w:val="20"/>
          <w:szCs w:val="20"/>
        </w:rPr>
        <w:t xml:space="preserve"> </w:t>
      </w:r>
      <w:r w:rsidR="002650F7" w:rsidRPr="006E3255">
        <w:rPr>
          <w:rFonts w:ascii="Arial" w:hAnsi="Arial" w:cs="Arial"/>
          <w:sz w:val="20"/>
          <w:szCs w:val="20"/>
        </w:rPr>
        <w:t>Annual Report 2022-23</w:t>
      </w:r>
      <w:r w:rsidR="005C72EA" w:rsidRPr="006E3255">
        <w:rPr>
          <w:rFonts w:ascii="Arial" w:hAnsi="Arial" w:cs="Arial"/>
          <w:sz w:val="20"/>
          <w:szCs w:val="20"/>
        </w:rPr>
        <w:t>.</w:t>
      </w:r>
      <w:r w:rsidRPr="006E3255">
        <w:rPr>
          <w:rFonts w:ascii="Arial" w:hAnsi="Arial" w:cs="Arial"/>
          <w:sz w:val="20"/>
          <w:szCs w:val="20"/>
        </w:rPr>
        <w:t xml:space="preserve"> Retrieved from </w:t>
      </w:r>
      <w:hyperlink r:id="rId9" w:history="1">
        <w:r w:rsidR="00E80FAF" w:rsidRPr="006E3255">
          <w:rPr>
            <w:rStyle w:val="Hyperlink"/>
            <w:rFonts w:ascii="Arial" w:hAnsi="Arial" w:cs="Arial"/>
            <w:color w:val="auto"/>
            <w:sz w:val="20"/>
            <w:szCs w:val="20"/>
          </w:rPr>
          <w:t>https://www.nddb.coop/about/report.2022- 23</w:t>
        </w:r>
      </w:hyperlink>
      <w:r w:rsidRPr="006E3255">
        <w:rPr>
          <w:rFonts w:ascii="Arial" w:hAnsi="Arial" w:cs="Arial"/>
          <w:sz w:val="20"/>
          <w:szCs w:val="20"/>
        </w:rPr>
        <w:t>.</w:t>
      </w:r>
    </w:p>
    <w:p w14:paraId="37FB44DC" w14:textId="7C588E62" w:rsidR="00E80FAF" w:rsidRPr="006E3255" w:rsidRDefault="00E80FAF" w:rsidP="00B5276C">
      <w:pPr>
        <w:spacing w:line="360" w:lineRule="auto"/>
        <w:ind w:left="720" w:hanging="720"/>
        <w:jc w:val="both"/>
        <w:rPr>
          <w:rFonts w:ascii="Arial" w:hAnsi="Arial" w:cs="Arial"/>
          <w:sz w:val="20"/>
          <w:szCs w:val="20"/>
        </w:rPr>
      </w:pPr>
      <w:r w:rsidRPr="006E3255">
        <w:rPr>
          <w:rFonts w:ascii="Arial" w:hAnsi="Arial" w:cs="Arial"/>
          <w:sz w:val="20"/>
          <w:szCs w:val="20"/>
        </w:rPr>
        <w:t>NDDB</w:t>
      </w:r>
      <w:r w:rsidR="00783F20" w:rsidRPr="006E3255">
        <w:rPr>
          <w:rFonts w:ascii="Arial" w:hAnsi="Arial" w:cs="Arial"/>
          <w:sz w:val="20"/>
          <w:szCs w:val="20"/>
        </w:rPr>
        <w:t>.</w:t>
      </w:r>
      <w:r w:rsidRPr="006E3255">
        <w:rPr>
          <w:rFonts w:ascii="Arial" w:hAnsi="Arial" w:cs="Arial"/>
          <w:sz w:val="20"/>
          <w:szCs w:val="20"/>
        </w:rPr>
        <w:t xml:space="preserve"> (2024)</w:t>
      </w:r>
      <w:r w:rsidR="00783F20" w:rsidRPr="006E3255">
        <w:rPr>
          <w:rFonts w:ascii="Arial" w:hAnsi="Arial" w:cs="Arial"/>
          <w:sz w:val="20"/>
          <w:szCs w:val="20"/>
        </w:rPr>
        <w:t>.</w:t>
      </w:r>
      <w:r w:rsidRPr="006E3255">
        <w:rPr>
          <w:rFonts w:ascii="Arial" w:hAnsi="Arial" w:cs="Arial"/>
          <w:sz w:val="20"/>
          <w:szCs w:val="20"/>
        </w:rPr>
        <w:t xml:space="preserve"> Annual Report 2022-23</w:t>
      </w:r>
      <w:r w:rsidR="005C72EA" w:rsidRPr="006E3255">
        <w:rPr>
          <w:rFonts w:ascii="Arial" w:hAnsi="Arial" w:cs="Arial"/>
          <w:sz w:val="20"/>
          <w:szCs w:val="20"/>
        </w:rPr>
        <w:t>.</w:t>
      </w:r>
      <w:r w:rsidRPr="006E3255">
        <w:rPr>
          <w:rFonts w:ascii="Arial" w:hAnsi="Arial" w:cs="Arial"/>
          <w:sz w:val="20"/>
          <w:szCs w:val="20"/>
        </w:rPr>
        <w:t xml:space="preserve"> Retrieved from https://www.nddb.coop/about/report.2023- 24.</w:t>
      </w:r>
    </w:p>
    <w:p w14:paraId="0F56FED1" w14:textId="161F2B6A" w:rsidR="007E7570" w:rsidRPr="006E3255" w:rsidRDefault="007E7570" w:rsidP="00B5276C">
      <w:pPr>
        <w:spacing w:line="360" w:lineRule="auto"/>
        <w:ind w:left="720" w:hanging="720"/>
        <w:jc w:val="both"/>
        <w:rPr>
          <w:rFonts w:ascii="Arial" w:hAnsi="Arial" w:cs="Arial"/>
          <w:sz w:val="20"/>
          <w:szCs w:val="20"/>
        </w:rPr>
      </w:pPr>
      <w:r w:rsidRPr="006E3255">
        <w:rPr>
          <w:rFonts w:ascii="Arial" w:hAnsi="Arial" w:cs="Arial"/>
          <w:sz w:val="20"/>
          <w:szCs w:val="20"/>
        </w:rPr>
        <w:t>Singh</w:t>
      </w:r>
      <w:r w:rsidR="00783F20" w:rsidRPr="006E3255">
        <w:rPr>
          <w:rFonts w:ascii="Arial" w:hAnsi="Arial" w:cs="Arial"/>
          <w:sz w:val="20"/>
          <w:szCs w:val="20"/>
        </w:rPr>
        <w:t>,</w:t>
      </w:r>
      <w:r w:rsidR="004273F4" w:rsidRPr="006E3255">
        <w:rPr>
          <w:rFonts w:ascii="Arial" w:hAnsi="Arial" w:cs="Arial"/>
          <w:sz w:val="20"/>
          <w:szCs w:val="20"/>
        </w:rPr>
        <w:t xml:space="preserve"> R</w:t>
      </w:r>
      <w:r w:rsidR="00783F20" w:rsidRPr="006E3255">
        <w:rPr>
          <w:rFonts w:ascii="Arial" w:hAnsi="Arial" w:cs="Arial"/>
          <w:sz w:val="20"/>
          <w:szCs w:val="20"/>
        </w:rPr>
        <w:t>.</w:t>
      </w:r>
      <w:r w:rsidRPr="006E3255">
        <w:rPr>
          <w:rFonts w:ascii="Arial" w:hAnsi="Arial" w:cs="Arial"/>
          <w:sz w:val="20"/>
          <w:szCs w:val="20"/>
        </w:rPr>
        <w:t xml:space="preserve">, </w:t>
      </w:r>
      <w:proofErr w:type="spellStart"/>
      <w:r w:rsidRPr="006E3255">
        <w:rPr>
          <w:rFonts w:ascii="Arial" w:hAnsi="Arial" w:cs="Arial"/>
          <w:sz w:val="20"/>
          <w:szCs w:val="20"/>
        </w:rPr>
        <w:t>Chiphang</w:t>
      </w:r>
      <w:proofErr w:type="spellEnd"/>
      <w:r w:rsidR="00783F20" w:rsidRPr="006E3255">
        <w:rPr>
          <w:rFonts w:ascii="Arial" w:hAnsi="Arial" w:cs="Arial"/>
          <w:sz w:val="20"/>
          <w:szCs w:val="20"/>
        </w:rPr>
        <w:t>,</w:t>
      </w:r>
      <w:r w:rsidR="004273F4" w:rsidRPr="006E3255">
        <w:rPr>
          <w:rFonts w:ascii="Arial" w:hAnsi="Arial" w:cs="Arial"/>
          <w:sz w:val="20"/>
          <w:szCs w:val="20"/>
        </w:rPr>
        <w:t xml:space="preserve"> S</w:t>
      </w:r>
      <w:r w:rsidR="00783F20" w:rsidRPr="006E3255">
        <w:rPr>
          <w:rFonts w:ascii="Arial" w:hAnsi="Arial" w:cs="Arial"/>
          <w:sz w:val="20"/>
          <w:szCs w:val="20"/>
        </w:rPr>
        <w:t>.</w:t>
      </w:r>
      <w:r w:rsidR="004273F4" w:rsidRPr="006E3255">
        <w:rPr>
          <w:rFonts w:ascii="Arial" w:hAnsi="Arial" w:cs="Arial"/>
          <w:sz w:val="20"/>
          <w:szCs w:val="20"/>
        </w:rPr>
        <w:t>,</w:t>
      </w:r>
      <w:r w:rsidRPr="006E3255">
        <w:rPr>
          <w:rFonts w:ascii="Arial" w:hAnsi="Arial" w:cs="Arial"/>
          <w:sz w:val="20"/>
          <w:szCs w:val="20"/>
        </w:rPr>
        <w:t xml:space="preserve"> </w:t>
      </w:r>
      <w:r w:rsidR="00783F20" w:rsidRPr="006E3255">
        <w:rPr>
          <w:rFonts w:ascii="Arial" w:hAnsi="Arial" w:cs="Arial"/>
          <w:sz w:val="20"/>
          <w:szCs w:val="20"/>
        </w:rPr>
        <w:t xml:space="preserve">&amp; </w:t>
      </w:r>
      <w:r w:rsidRPr="006E3255">
        <w:rPr>
          <w:rFonts w:ascii="Arial" w:hAnsi="Arial" w:cs="Arial"/>
          <w:sz w:val="20"/>
          <w:szCs w:val="20"/>
        </w:rPr>
        <w:t>Singh</w:t>
      </w:r>
      <w:r w:rsidR="00783F20" w:rsidRPr="006E3255">
        <w:rPr>
          <w:rFonts w:ascii="Arial" w:hAnsi="Arial" w:cs="Arial"/>
          <w:sz w:val="20"/>
          <w:szCs w:val="20"/>
        </w:rPr>
        <w:t>,</w:t>
      </w:r>
      <w:r w:rsidR="004273F4" w:rsidRPr="006E3255">
        <w:rPr>
          <w:rFonts w:ascii="Arial" w:hAnsi="Arial" w:cs="Arial"/>
          <w:sz w:val="20"/>
          <w:szCs w:val="20"/>
        </w:rPr>
        <w:t xml:space="preserve"> A</w:t>
      </w:r>
      <w:r w:rsidR="00783F20" w:rsidRPr="006E3255">
        <w:rPr>
          <w:rFonts w:ascii="Arial" w:hAnsi="Arial" w:cs="Arial"/>
          <w:sz w:val="20"/>
          <w:szCs w:val="20"/>
        </w:rPr>
        <w:t>.</w:t>
      </w:r>
      <w:r w:rsidRPr="006E3255">
        <w:rPr>
          <w:rFonts w:ascii="Arial" w:hAnsi="Arial" w:cs="Arial"/>
          <w:sz w:val="20"/>
          <w:szCs w:val="20"/>
        </w:rPr>
        <w:t xml:space="preserve"> (2021)</w:t>
      </w:r>
      <w:r w:rsidR="00783F20" w:rsidRPr="006E3255">
        <w:rPr>
          <w:rFonts w:ascii="Arial" w:hAnsi="Arial" w:cs="Arial"/>
          <w:sz w:val="20"/>
          <w:szCs w:val="20"/>
        </w:rPr>
        <w:t>.</w:t>
      </w:r>
      <w:r w:rsidRPr="006E3255">
        <w:rPr>
          <w:rFonts w:ascii="Arial" w:hAnsi="Arial" w:cs="Arial"/>
          <w:sz w:val="20"/>
          <w:szCs w:val="20"/>
        </w:rPr>
        <w:t xml:space="preserve"> Constraint analysis of dairy sector in North Eastern Region: A producers and consumers perspective. </w:t>
      </w:r>
      <w:r w:rsidR="00082812" w:rsidRPr="006E3255">
        <w:rPr>
          <w:rFonts w:ascii="Arial" w:hAnsi="Arial" w:cs="Arial"/>
          <w:sz w:val="20"/>
          <w:szCs w:val="20"/>
        </w:rPr>
        <w:t>Indian Journal of Dairy Science</w:t>
      </w:r>
      <w:r w:rsidR="00283616" w:rsidRPr="006E3255">
        <w:rPr>
          <w:rFonts w:ascii="Arial" w:hAnsi="Arial" w:cs="Arial"/>
          <w:sz w:val="20"/>
          <w:szCs w:val="20"/>
        </w:rPr>
        <w:t xml:space="preserve">, </w:t>
      </w:r>
      <w:r w:rsidRPr="006E3255">
        <w:rPr>
          <w:rFonts w:ascii="Arial" w:hAnsi="Arial" w:cs="Arial"/>
          <w:sz w:val="20"/>
          <w:szCs w:val="20"/>
        </w:rPr>
        <w:t>74</w:t>
      </w:r>
      <w:r w:rsidR="00283616" w:rsidRPr="006E3255">
        <w:rPr>
          <w:rFonts w:ascii="Arial" w:hAnsi="Arial" w:cs="Arial"/>
          <w:sz w:val="20"/>
          <w:szCs w:val="20"/>
        </w:rPr>
        <w:t>,</w:t>
      </w:r>
      <w:r w:rsidRPr="006E3255">
        <w:rPr>
          <w:rFonts w:ascii="Arial" w:hAnsi="Arial" w:cs="Arial"/>
          <w:sz w:val="20"/>
          <w:szCs w:val="20"/>
        </w:rPr>
        <w:t xml:space="preserve"> 277-279</w:t>
      </w:r>
      <w:r w:rsidR="00EB740D" w:rsidRPr="006E3255">
        <w:rPr>
          <w:rFonts w:ascii="Arial" w:hAnsi="Arial" w:cs="Arial"/>
          <w:sz w:val="20"/>
          <w:szCs w:val="20"/>
        </w:rPr>
        <w:t>.</w:t>
      </w:r>
    </w:p>
    <w:p w14:paraId="177A52E6" w14:textId="4C4B363F" w:rsidR="007E7570" w:rsidRPr="006E3255" w:rsidRDefault="007E7570" w:rsidP="00B5276C">
      <w:pPr>
        <w:spacing w:line="360" w:lineRule="auto"/>
        <w:ind w:left="720" w:hanging="720"/>
        <w:jc w:val="both"/>
        <w:rPr>
          <w:rFonts w:ascii="Arial" w:hAnsi="Arial" w:cs="Arial"/>
          <w:sz w:val="20"/>
          <w:szCs w:val="20"/>
        </w:rPr>
      </w:pPr>
      <w:proofErr w:type="spellStart"/>
      <w:r w:rsidRPr="006E3255">
        <w:rPr>
          <w:rFonts w:ascii="Arial" w:hAnsi="Arial" w:cs="Arial"/>
          <w:sz w:val="20"/>
          <w:szCs w:val="20"/>
        </w:rPr>
        <w:t>Sirohi</w:t>
      </w:r>
      <w:proofErr w:type="spellEnd"/>
      <w:r w:rsidR="00783F20" w:rsidRPr="006E3255">
        <w:rPr>
          <w:rFonts w:ascii="Arial" w:hAnsi="Arial" w:cs="Arial"/>
          <w:sz w:val="20"/>
          <w:szCs w:val="20"/>
        </w:rPr>
        <w:t>,</w:t>
      </w:r>
      <w:r w:rsidR="00FD1817" w:rsidRPr="006E3255">
        <w:rPr>
          <w:rFonts w:ascii="Arial" w:hAnsi="Arial" w:cs="Arial"/>
          <w:sz w:val="20"/>
          <w:szCs w:val="20"/>
        </w:rPr>
        <w:t xml:space="preserve"> </w:t>
      </w:r>
      <w:r w:rsidR="004273F4" w:rsidRPr="006E3255">
        <w:rPr>
          <w:rFonts w:ascii="Arial" w:hAnsi="Arial" w:cs="Arial"/>
          <w:sz w:val="20"/>
          <w:szCs w:val="20"/>
        </w:rPr>
        <w:t>S</w:t>
      </w:r>
      <w:r w:rsidR="00783F20" w:rsidRPr="006E3255">
        <w:rPr>
          <w:rFonts w:ascii="Arial" w:hAnsi="Arial" w:cs="Arial"/>
          <w:sz w:val="20"/>
          <w:szCs w:val="20"/>
        </w:rPr>
        <w:t>.</w:t>
      </w:r>
      <w:r w:rsidRPr="006E3255">
        <w:rPr>
          <w:rFonts w:ascii="Arial" w:hAnsi="Arial" w:cs="Arial"/>
          <w:sz w:val="20"/>
          <w:szCs w:val="20"/>
        </w:rPr>
        <w:t>, Kumar</w:t>
      </w:r>
      <w:r w:rsidR="00783F20" w:rsidRPr="006E3255">
        <w:rPr>
          <w:rFonts w:ascii="Arial" w:hAnsi="Arial" w:cs="Arial"/>
          <w:sz w:val="20"/>
          <w:szCs w:val="20"/>
        </w:rPr>
        <w:t>,</w:t>
      </w:r>
      <w:r w:rsidR="004273F4" w:rsidRPr="006E3255">
        <w:rPr>
          <w:rFonts w:ascii="Arial" w:hAnsi="Arial" w:cs="Arial"/>
          <w:sz w:val="20"/>
          <w:szCs w:val="20"/>
        </w:rPr>
        <w:t xml:space="preserve"> A</w:t>
      </w:r>
      <w:r w:rsidR="00783F20" w:rsidRPr="006E3255">
        <w:rPr>
          <w:rFonts w:ascii="Arial" w:hAnsi="Arial" w:cs="Arial"/>
          <w:sz w:val="20"/>
          <w:szCs w:val="20"/>
        </w:rPr>
        <w:t>.</w:t>
      </w:r>
      <w:r w:rsidR="004273F4" w:rsidRPr="006E3255">
        <w:rPr>
          <w:rFonts w:ascii="Arial" w:hAnsi="Arial" w:cs="Arial"/>
          <w:sz w:val="20"/>
          <w:szCs w:val="20"/>
        </w:rPr>
        <w:t>,</w:t>
      </w:r>
      <w:r w:rsidRPr="006E3255">
        <w:rPr>
          <w:rFonts w:ascii="Arial" w:hAnsi="Arial" w:cs="Arial"/>
          <w:sz w:val="20"/>
          <w:szCs w:val="20"/>
        </w:rPr>
        <w:t xml:space="preserve"> </w:t>
      </w:r>
      <w:r w:rsidR="00783F20" w:rsidRPr="006E3255">
        <w:rPr>
          <w:rFonts w:ascii="Arial" w:hAnsi="Arial" w:cs="Arial"/>
          <w:sz w:val="20"/>
          <w:szCs w:val="20"/>
        </w:rPr>
        <w:t xml:space="preserve">&amp; </w:t>
      </w:r>
      <w:r w:rsidRPr="006E3255">
        <w:rPr>
          <w:rFonts w:ascii="Arial" w:hAnsi="Arial" w:cs="Arial"/>
          <w:sz w:val="20"/>
          <w:szCs w:val="20"/>
        </w:rPr>
        <w:t>Staal</w:t>
      </w:r>
      <w:r w:rsidR="00783F20" w:rsidRPr="006E3255">
        <w:rPr>
          <w:rFonts w:ascii="Arial" w:hAnsi="Arial" w:cs="Arial"/>
          <w:sz w:val="20"/>
          <w:szCs w:val="20"/>
        </w:rPr>
        <w:t>,</w:t>
      </w:r>
      <w:r w:rsidR="004273F4" w:rsidRPr="006E3255">
        <w:rPr>
          <w:rFonts w:ascii="Arial" w:hAnsi="Arial" w:cs="Arial"/>
          <w:sz w:val="20"/>
          <w:szCs w:val="20"/>
        </w:rPr>
        <w:t xml:space="preserve"> S</w:t>
      </w:r>
      <w:r w:rsidR="00783F20" w:rsidRPr="006E3255">
        <w:rPr>
          <w:rFonts w:ascii="Arial" w:hAnsi="Arial" w:cs="Arial"/>
          <w:sz w:val="20"/>
          <w:szCs w:val="20"/>
        </w:rPr>
        <w:t xml:space="preserve">. </w:t>
      </w:r>
      <w:r w:rsidR="004273F4" w:rsidRPr="006E3255">
        <w:rPr>
          <w:rFonts w:ascii="Arial" w:hAnsi="Arial" w:cs="Arial"/>
          <w:sz w:val="20"/>
          <w:szCs w:val="20"/>
        </w:rPr>
        <w:t>J</w:t>
      </w:r>
      <w:r w:rsidR="00783F20" w:rsidRPr="006E3255">
        <w:rPr>
          <w:rFonts w:ascii="Arial" w:hAnsi="Arial" w:cs="Arial"/>
          <w:sz w:val="20"/>
          <w:szCs w:val="20"/>
        </w:rPr>
        <w:t>.</w:t>
      </w:r>
      <w:r w:rsidRPr="006E3255">
        <w:rPr>
          <w:rFonts w:ascii="Arial" w:hAnsi="Arial" w:cs="Arial"/>
          <w:sz w:val="20"/>
          <w:szCs w:val="20"/>
        </w:rPr>
        <w:t xml:space="preserve"> (2009)</w:t>
      </w:r>
      <w:r w:rsidR="00783F20" w:rsidRPr="006E3255">
        <w:rPr>
          <w:rFonts w:ascii="Arial" w:hAnsi="Arial" w:cs="Arial"/>
          <w:sz w:val="20"/>
          <w:szCs w:val="20"/>
        </w:rPr>
        <w:t>.</w:t>
      </w:r>
      <w:r w:rsidRPr="006E3255">
        <w:rPr>
          <w:rFonts w:ascii="Arial" w:hAnsi="Arial" w:cs="Arial"/>
          <w:sz w:val="20"/>
          <w:szCs w:val="20"/>
        </w:rPr>
        <w:t xml:space="preserve"> Formal Milk Processing Sector in Assam: Lessons to be Learnt from Institutional Failure. </w:t>
      </w:r>
      <w:r w:rsidR="00082812" w:rsidRPr="006E3255">
        <w:rPr>
          <w:rFonts w:ascii="Arial" w:hAnsi="Arial" w:cs="Arial"/>
          <w:sz w:val="20"/>
          <w:szCs w:val="20"/>
        </w:rPr>
        <w:t>Agricultural Economics Research Review</w:t>
      </w:r>
      <w:r w:rsidR="00283616" w:rsidRPr="006E3255">
        <w:rPr>
          <w:rFonts w:ascii="Arial" w:hAnsi="Arial" w:cs="Arial"/>
          <w:sz w:val="20"/>
          <w:szCs w:val="20"/>
        </w:rPr>
        <w:t>,</w:t>
      </w:r>
      <w:r w:rsidR="00082812" w:rsidRPr="006E3255">
        <w:rPr>
          <w:rFonts w:ascii="Arial" w:hAnsi="Arial" w:cs="Arial"/>
          <w:sz w:val="20"/>
          <w:szCs w:val="20"/>
        </w:rPr>
        <w:t xml:space="preserve"> </w:t>
      </w:r>
      <w:r w:rsidRPr="006E3255">
        <w:rPr>
          <w:rFonts w:ascii="Arial" w:hAnsi="Arial" w:cs="Arial"/>
          <w:sz w:val="20"/>
          <w:szCs w:val="20"/>
        </w:rPr>
        <w:t>22</w:t>
      </w:r>
      <w:r w:rsidR="00283616" w:rsidRPr="006E3255">
        <w:rPr>
          <w:rFonts w:ascii="Arial" w:hAnsi="Arial" w:cs="Arial"/>
          <w:sz w:val="20"/>
          <w:szCs w:val="20"/>
        </w:rPr>
        <w:t>,</w:t>
      </w:r>
      <w:r w:rsidRPr="006E3255">
        <w:rPr>
          <w:rFonts w:ascii="Arial" w:hAnsi="Arial" w:cs="Arial"/>
          <w:sz w:val="20"/>
          <w:szCs w:val="20"/>
        </w:rPr>
        <w:t xml:space="preserve"> 245-254</w:t>
      </w:r>
      <w:r w:rsidR="006B3AA6" w:rsidRPr="006E3255">
        <w:rPr>
          <w:rFonts w:ascii="Arial" w:hAnsi="Arial" w:cs="Arial"/>
          <w:sz w:val="20"/>
          <w:szCs w:val="20"/>
        </w:rPr>
        <w:t>.</w:t>
      </w:r>
    </w:p>
    <w:p w14:paraId="61449F4B" w14:textId="622CA77E" w:rsidR="00C93C99" w:rsidRPr="006E3255" w:rsidRDefault="00C93C99" w:rsidP="00B5276C">
      <w:pPr>
        <w:spacing w:line="360" w:lineRule="auto"/>
        <w:ind w:left="720" w:hanging="720"/>
        <w:jc w:val="both"/>
        <w:rPr>
          <w:rFonts w:ascii="Arial" w:hAnsi="Arial" w:cs="Arial"/>
          <w:sz w:val="20"/>
          <w:szCs w:val="20"/>
        </w:rPr>
      </w:pPr>
      <w:r w:rsidRPr="006E3255">
        <w:rPr>
          <w:rFonts w:ascii="Arial" w:hAnsi="Arial" w:cs="Arial"/>
          <w:sz w:val="20"/>
          <w:szCs w:val="20"/>
        </w:rPr>
        <w:t>Singh</w:t>
      </w:r>
      <w:r w:rsidR="00783F20" w:rsidRPr="006E3255">
        <w:rPr>
          <w:rFonts w:ascii="Arial" w:hAnsi="Arial" w:cs="Arial"/>
          <w:sz w:val="20"/>
          <w:szCs w:val="20"/>
        </w:rPr>
        <w:t>,</w:t>
      </w:r>
      <w:r w:rsidRPr="006E3255">
        <w:rPr>
          <w:rFonts w:ascii="Arial" w:hAnsi="Arial" w:cs="Arial"/>
          <w:sz w:val="20"/>
          <w:szCs w:val="20"/>
        </w:rPr>
        <w:t xml:space="preserve"> A</w:t>
      </w:r>
      <w:r w:rsidR="00783F20" w:rsidRPr="006E3255">
        <w:rPr>
          <w:rFonts w:ascii="Arial" w:hAnsi="Arial" w:cs="Arial"/>
          <w:sz w:val="20"/>
          <w:szCs w:val="20"/>
        </w:rPr>
        <w:t xml:space="preserve">. </w:t>
      </w:r>
      <w:r w:rsidRPr="006E3255">
        <w:rPr>
          <w:rFonts w:ascii="Arial" w:hAnsi="Arial" w:cs="Arial"/>
          <w:sz w:val="20"/>
          <w:szCs w:val="20"/>
        </w:rPr>
        <w:t>S</w:t>
      </w:r>
      <w:r w:rsidR="00783F20" w:rsidRPr="006E3255">
        <w:rPr>
          <w:rFonts w:ascii="Arial" w:hAnsi="Arial" w:cs="Arial"/>
          <w:sz w:val="20"/>
          <w:szCs w:val="20"/>
        </w:rPr>
        <w:t>.</w:t>
      </w:r>
      <w:r w:rsidRPr="006E3255">
        <w:rPr>
          <w:rFonts w:ascii="Arial" w:hAnsi="Arial" w:cs="Arial"/>
          <w:sz w:val="20"/>
          <w:szCs w:val="20"/>
        </w:rPr>
        <w:t>, Singh</w:t>
      </w:r>
      <w:r w:rsidR="00783F20" w:rsidRPr="006E3255">
        <w:rPr>
          <w:rFonts w:ascii="Arial" w:hAnsi="Arial" w:cs="Arial"/>
          <w:sz w:val="20"/>
          <w:szCs w:val="20"/>
        </w:rPr>
        <w:t>,</w:t>
      </w:r>
      <w:r w:rsidRPr="006E3255">
        <w:rPr>
          <w:rFonts w:ascii="Arial" w:hAnsi="Arial" w:cs="Arial"/>
          <w:sz w:val="20"/>
          <w:szCs w:val="20"/>
        </w:rPr>
        <w:t xml:space="preserve"> K</w:t>
      </w:r>
      <w:r w:rsidR="00783F20" w:rsidRPr="006E3255">
        <w:rPr>
          <w:rFonts w:ascii="Arial" w:hAnsi="Arial" w:cs="Arial"/>
          <w:sz w:val="20"/>
          <w:szCs w:val="20"/>
        </w:rPr>
        <w:t>.</w:t>
      </w:r>
      <w:r w:rsidRPr="006E3255">
        <w:rPr>
          <w:rFonts w:ascii="Arial" w:hAnsi="Arial" w:cs="Arial"/>
          <w:sz w:val="20"/>
          <w:szCs w:val="20"/>
        </w:rPr>
        <w:t>, Chakravarty</w:t>
      </w:r>
      <w:r w:rsidR="00783F20" w:rsidRPr="006E3255">
        <w:rPr>
          <w:rFonts w:ascii="Arial" w:hAnsi="Arial" w:cs="Arial"/>
          <w:sz w:val="20"/>
          <w:szCs w:val="20"/>
        </w:rPr>
        <w:t>,</w:t>
      </w:r>
      <w:r w:rsidRPr="006E3255">
        <w:rPr>
          <w:rFonts w:ascii="Arial" w:hAnsi="Arial" w:cs="Arial"/>
          <w:sz w:val="20"/>
          <w:szCs w:val="20"/>
        </w:rPr>
        <w:t xml:space="preserve"> R</w:t>
      </w:r>
      <w:r w:rsidR="00783F20" w:rsidRPr="006E3255">
        <w:rPr>
          <w:rFonts w:ascii="Arial" w:hAnsi="Arial" w:cs="Arial"/>
          <w:sz w:val="20"/>
          <w:szCs w:val="20"/>
        </w:rPr>
        <w:t>.</w:t>
      </w:r>
      <w:r w:rsidRPr="006E3255">
        <w:rPr>
          <w:rFonts w:ascii="Arial" w:hAnsi="Arial" w:cs="Arial"/>
          <w:sz w:val="20"/>
          <w:szCs w:val="20"/>
        </w:rPr>
        <w:t xml:space="preserve">, </w:t>
      </w:r>
      <w:proofErr w:type="spellStart"/>
      <w:r w:rsidRPr="006E3255">
        <w:rPr>
          <w:rFonts w:ascii="Arial" w:hAnsi="Arial" w:cs="Arial"/>
          <w:sz w:val="20"/>
          <w:szCs w:val="20"/>
        </w:rPr>
        <w:t>Vairagar</w:t>
      </w:r>
      <w:proofErr w:type="spellEnd"/>
      <w:r w:rsidR="00783F20" w:rsidRPr="006E3255">
        <w:rPr>
          <w:rFonts w:ascii="Arial" w:hAnsi="Arial" w:cs="Arial"/>
          <w:sz w:val="20"/>
          <w:szCs w:val="20"/>
        </w:rPr>
        <w:t>,</w:t>
      </w:r>
      <w:r w:rsidRPr="006E3255">
        <w:rPr>
          <w:rFonts w:ascii="Arial" w:hAnsi="Arial" w:cs="Arial"/>
          <w:sz w:val="20"/>
          <w:szCs w:val="20"/>
        </w:rPr>
        <w:t xml:space="preserve"> V</w:t>
      </w:r>
      <w:r w:rsidR="00783F20" w:rsidRPr="006E3255">
        <w:rPr>
          <w:rFonts w:ascii="Arial" w:hAnsi="Arial" w:cs="Arial"/>
          <w:sz w:val="20"/>
          <w:szCs w:val="20"/>
        </w:rPr>
        <w:t xml:space="preserve">. </w:t>
      </w:r>
      <w:r w:rsidRPr="006E3255">
        <w:rPr>
          <w:rFonts w:ascii="Arial" w:hAnsi="Arial" w:cs="Arial"/>
          <w:sz w:val="20"/>
          <w:szCs w:val="20"/>
        </w:rPr>
        <w:t>G</w:t>
      </w:r>
      <w:r w:rsidR="00783F20" w:rsidRPr="006E3255">
        <w:rPr>
          <w:rFonts w:ascii="Arial" w:hAnsi="Arial" w:cs="Arial"/>
          <w:sz w:val="20"/>
          <w:szCs w:val="20"/>
        </w:rPr>
        <w:t>.</w:t>
      </w:r>
      <w:r w:rsidR="00FD1817" w:rsidRPr="006E3255">
        <w:rPr>
          <w:rFonts w:ascii="Arial" w:hAnsi="Arial" w:cs="Arial"/>
          <w:sz w:val="20"/>
          <w:szCs w:val="20"/>
        </w:rPr>
        <w:t>,</w:t>
      </w:r>
      <w:r w:rsidR="00783F20" w:rsidRPr="006E3255">
        <w:rPr>
          <w:rFonts w:ascii="Arial" w:hAnsi="Arial" w:cs="Arial"/>
          <w:sz w:val="20"/>
          <w:szCs w:val="20"/>
        </w:rPr>
        <w:t xml:space="preserve"> &amp;</w:t>
      </w:r>
      <w:r w:rsidRPr="006E3255">
        <w:rPr>
          <w:rFonts w:ascii="Arial" w:hAnsi="Arial" w:cs="Arial"/>
          <w:sz w:val="20"/>
          <w:szCs w:val="20"/>
        </w:rPr>
        <w:t xml:space="preserve"> Kumar</w:t>
      </w:r>
      <w:r w:rsidR="00783F20" w:rsidRPr="006E3255">
        <w:rPr>
          <w:rFonts w:ascii="Arial" w:hAnsi="Arial" w:cs="Arial"/>
          <w:sz w:val="20"/>
          <w:szCs w:val="20"/>
        </w:rPr>
        <w:t>,</w:t>
      </w:r>
      <w:r w:rsidRPr="006E3255">
        <w:rPr>
          <w:rFonts w:ascii="Arial" w:hAnsi="Arial" w:cs="Arial"/>
          <w:sz w:val="20"/>
          <w:szCs w:val="20"/>
        </w:rPr>
        <w:t xml:space="preserve"> C</w:t>
      </w:r>
      <w:r w:rsidR="00783F20" w:rsidRPr="006E3255">
        <w:rPr>
          <w:rFonts w:ascii="Arial" w:hAnsi="Arial" w:cs="Arial"/>
          <w:sz w:val="20"/>
          <w:szCs w:val="20"/>
        </w:rPr>
        <w:t>.</w:t>
      </w:r>
      <w:r w:rsidRPr="006E3255">
        <w:rPr>
          <w:rFonts w:ascii="Arial" w:hAnsi="Arial" w:cs="Arial"/>
          <w:sz w:val="20"/>
          <w:szCs w:val="20"/>
        </w:rPr>
        <w:t xml:space="preserve"> (2012)</w:t>
      </w:r>
      <w:r w:rsidR="00783F20" w:rsidRPr="006E3255">
        <w:rPr>
          <w:rFonts w:ascii="Arial" w:hAnsi="Arial" w:cs="Arial"/>
          <w:sz w:val="20"/>
          <w:szCs w:val="20"/>
        </w:rPr>
        <w:t>.</w:t>
      </w:r>
      <w:r w:rsidRPr="006E3255">
        <w:rPr>
          <w:rFonts w:ascii="Arial" w:hAnsi="Arial" w:cs="Arial"/>
          <w:sz w:val="20"/>
          <w:szCs w:val="20"/>
        </w:rPr>
        <w:t xml:space="preserve"> Constraints perceived by members of Manipur (India) milk producers’ cooperative union in practicing improved dairy farming. </w:t>
      </w:r>
      <w:r w:rsidR="00082812" w:rsidRPr="006E3255">
        <w:rPr>
          <w:rFonts w:ascii="Arial" w:hAnsi="Arial" w:cs="Arial"/>
          <w:sz w:val="20"/>
          <w:szCs w:val="20"/>
        </w:rPr>
        <w:t>Journal of Dairying, Foods &amp; Home Sciences</w:t>
      </w:r>
      <w:r w:rsidR="00283616" w:rsidRPr="006E3255">
        <w:rPr>
          <w:rFonts w:ascii="Arial" w:hAnsi="Arial" w:cs="Arial"/>
          <w:sz w:val="20"/>
          <w:szCs w:val="20"/>
        </w:rPr>
        <w:t>,</w:t>
      </w:r>
      <w:r w:rsidR="00437E88" w:rsidRPr="006E3255">
        <w:rPr>
          <w:rFonts w:ascii="Arial" w:hAnsi="Arial" w:cs="Arial"/>
          <w:sz w:val="20"/>
          <w:szCs w:val="20"/>
        </w:rPr>
        <w:t xml:space="preserve"> </w:t>
      </w:r>
      <w:r w:rsidRPr="006E3255">
        <w:rPr>
          <w:rFonts w:ascii="Arial" w:hAnsi="Arial" w:cs="Arial"/>
          <w:sz w:val="20"/>
          <w:szCs w:val="20"/>
        </w:rPr>
        <w:t>31</w:t>
      </w:r>
      <w:r w:rsidR="00283616" w:rsidRPr="006E3255">
        <w:rPr>
          <w:rFonts w:ascii="Arial" w:hAnsi="Arial" w:cs="Arial"/>
          <w:sz w:val="20"/>
          <w:szCs w:val="20"/>
        </w:rPr>
        <w:t>,</w:t>
      </w:r>
      <w:r w:rsidRPr="006E3255">
        <w:rPr>
          <w:rFonts w:ascii="Arial" w:hAnsi="Arial" w:cs="Arial"/>
          <w:sz w:val="20"/>
          <w:szCs w:val="20"/>
        </w:rPr>
        <w:t xml:space="preserve"> 279 – 283.</w:t>
      </w:r>
    </w:p>
    <w:p w14:paraId="0E9B5C47" w14:textId="77777777" w:rsidR="006569F8" w:rsidRPr="006E3255" w:rsidRDefault="006569F8" w:rsidP="00B5276C">
      <w:pPr>
        <w:spacing w:line="360" w:lineRule="auto"/>
        <w:ind w:firstLine="720"/>
        <w:jc w:val="both"/>
        <w:rPr>
          <w:rFonts w:ascii="Arial" w:hAnsi="Arial" w:cs="Arial"/>
          <w:sz w:val="20"/>
          <w:szCs w:val="20"/>
        </w:rPr>
      </w:pPr>
    </w:p>
    <w:sectPr w:rsidR="006569F8" w:rsidRPr="006E3255" w:rsidSect="00B404D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E7C97" w14:textId="77777777" w:rsidR="00F13269" w:rsidRDefault="00F13269" w:rsidP="00DB1DF8">
      <w:pPr>
        <w:spacing w:after="0" w:line="240" w:lineRule="auto"/>
      </w:pPr>
      <w:r>
        <w:separator/>
      </w:r>
    </w:p>
  </w:endnote>
  <w:endnote w:type="continuationSeparator" w:id="0">
    <w:p w14:paraId="490836DF" w14:textId="77777777" w:rsidR="00F13269" w:rsidRDefault="00F13269" w:rsidP="00DB1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30DFB" w14:textId="77777777" w:rsidR="00B404DB" w:rsidRDefault="00B40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229250"/>
      <w:docPartObj>
        <w:docPartGallery w:val="Page Numbers (Bottom of Page)"/>
        <w:docPartUnique/>
      </w:docPartObj>
    </w:sdtPr>
    <w:sdtEndPr>
      <w:rPr>
        <w:noProof/>
      </w:rPr>
    </w:sdtEndPr>
    <w:sdtContent>
      <w:p w14:paraId="56F6B6F9" w14:textId="2677C813" w:rsidR="002973DF" w:rsidRDefault="002973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9215BA" w14:textId="77777777" w:rsidR="00DB1DF8" w:rsidRDefault="00DB1D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BB07" w14:textId="77777777" w:rsidR="00B404DB" w:rsidRDefault="00B40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C3335" w14:textId="77777777" w:rsidR="00F13269" w:rsidRDefault="00F13269" w:rsidP="00DB1DF8">
      <w:pPr>
        <w:spacing w:after="0" w:line="240" w:lineRule="auto"/>
      </w:pPr>
      <w:r>
        <w:separator/>
      </w:r>
    </w:p>
  </w:footnote>
  <w:footnote w:type="continuationSeparator" w:id="0">
    <w:p w14:paraId="548A6D4B" w14:textId="77777777" w:rsidR="00F13269" w:rsidRDefault="00F13269" w:rsidP="00DB1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7B67F" w14:textId="4DBB8BEF" w:rsidR="00B404DB" w:rsidRDefault="00B404DB">
    <w:pPr>
      <w:pStyle w:val="Header"/>
    </w:pPr>
    <w:r>
      <w:rPr>
        <w:noProof/>
      </w:rPr>
      <w:pict w14:anchorId="0812A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76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79BCA" w14:textId="36AA63AB" w:rsidR="00B404DB" w:rsidRDefault="00B404DB">
    <w:pPr>
      <w:pStyle w:val="Header"/>
    </w:pPr>
    <w:r>
      <w:rPr>
        <w:noProof/>
      </w:rPr>
      <w:pict w14:anchorId="620D6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76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9A89D" w14:textId="55280A2B" w:rsidR="00B404DB" w:rsidRDefault="00B404DB">
    <w:pPr>
      <w:pStyle w:val="Header"/>
    </w:pPr>
    <w:r>
      <w:rPr>
        <w:noProof/>
      </w:rPr>
      <w:pict w14:anchorId="2E462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76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B441B"/>
    <w:multiLevelType w:val="hybridMultilevel"/>
    <w:tmpl w:val="C5864B9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6F7705D"/>
    <w:multiLevelType w:val="hybridMultilevel"/>
    <w:tmpl w:val="9782D6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9633A0A"/>
    <w:multiLevelType w:val="hybridMultilevel"/>
    <w:tmpl w:val="31C25B1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9921BBC"/>
    <w:multiLevelType w:val="hybridMultilevel"/>
    <w:tmpl w:val="1D1C468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B8"/>
    <w:rsid w:val="00001DC6"/>
    <w:rsid w:val="00002075"/>
    <w:rsid w:val="00003957"/>
    <w:rsid w:val="00004E8D"/>
    <w:rsid w:val="000126B1"/>
    <w:rsid w:val="00033BAE"/>
    <w:rsid w:val="000431C3"/>
    <w:rsid w:val="00043DFE"/>
    <w:rsid w:val="00050561"/>
    <w:rsid w:val="00051BD1"/>
    <w:rsid w:val="00055E81"/>
    <w:rsid w:val="00057C2B"/>
    <w:rsid w:val="00074327"/>
    <w:rsid w:val="00075599"/>
    <w:rsid w:val="00076DA7"/>
    <w:rsid w:val="000772B0"/>
    <w:rsid w:val="00077DD8"/>
    <w:rsid w:val="000803F9"/>
    <w:rsid w:val="0008099D"/>
    <w:rsid w:val="00082812"/>
    <w:rsid w:val="00093E90"/>
    <w:rsid w:val="00094ECC"/>
    <w:rsid w:val="000A2AA7"/>
    <w:rsid w:val="000A49BF"/>
    <w:rsid w:val="000B1EB4"/>
    <w:rsid w:val="000B2256"/>
    <w:rsid w:val="000B510C"/>
    <w:rsid w:val="000B7AF7"/>
    <w:rsid w:val="000C1849"/>
    <w:rsid w:val="000C1872"/>
    <w:rsid w:val="000C5720"/>
    <w:rsid w:val="000D1936"/>
    <w:rsid w:val="000D57AA"/>
    <w:rsid w:val="000D7B2F"/>
    <w:rsid w:val="000F476D"/>
    <w:rsid w:val="000F7BAA"/>
    <w:rsid w:val="00100453"/>
    <w:rsid w:val="00100692"/>
    <w:rsid w:val="00100DCF"/>
    <w:rsid w:val="00101BB2"/>
    <w:rsid w:val="00113395"/>
    <w:rsid w:val="00114F6E"/>
    <w:rsid w:val="00116AA7"/>
    <w:rsid w:val="00126E9D"/>
    <w:rsid w:val="00130986"/>
    <w:rsid w:val="00130C8F"/>
    <w:rsid w:val="001347C9"/>
    <w:rsid w:val="00135948"/>
    <w:rsid w:val="001365E8"/>
    <w:rsid w:val="001470F9"/>
    <w:rsid w:val="00151AF7"/>
    <w:rsid w:val="00153781"/>
    <w:rsid w:val="00154C94"/>
    <w:rsid w:val="00156C07"/>
    <w:rsid w:val="00161759"/>
    <w:rsid w:val="00162EA2"/>
    <w:rsid w:val="00165F5E"/>
    <w:rsid w:val="001674E9"/>
    <w:rsid w:val="00167B6C"/>
    <w:rsid w:val="00175F54"/>
    <w:rsid w:val="001808E7"/>
    <w:rsid w:val="0018178D"/>
    <w:rsid w:val="001827AF"/>
    <w:rsid w:val="00183A5B"/>
    <w:rsid w:val="0018755F"/>
    <w:rsid w:val="00187AA6"/>
    <w:rsid w:val="001971DE"/>
    <w:rsid w:val="00197506"/>
    <w:rsid w:val="001A0045"/>
    <w:rsid w:val="001A0253"/>
    <w:rsid w:val="001A61DF"/>
    <w:rsid w:val="001B2948"/>
    <w:rsid w:val="001C2564"/>
    <w:rsid w:val="001C4FEA"/>
    <w:rsid w:val="001D0AEC"/>
    <w:rsid w:val="001D4ECE"/>
    <w:rsid w:val="001E02BD"/>
    <w:rsid w:val="001E20C2"/>
    <w:rsid w:val="001E3985"/>
    <w:rsid w:val="001E43D1"/>
    <w:rsid w:val="001E4F5C"/>
    <w:rsid w:val="001E767B"/>
    <w:rsid w:val="001F0AE3"/>
    <w:rsid w:val="001F37DA"/>
    <w:rsid w:val="001F5C0D"/>
    <w:rsid w:val="002007B7"/>
    <w:rsid w:val="00206F53"/>
    <w:rsid w:val="00207C49"/>
    <w:rsid w:val="00210E0B"/>
    <w:rsid w:val="00212E26"/>
    <w:rsid w:val="002139EA"/>
    <w:rsid w:val="00215198"/>
    <w:rsid w:val="00220685"/>
    <w:rsid w:val="00220738"/>
    <w:rsid w:val="00227B70"/>
    <w:rsid w:val="00231DB5"/>
    <w:rsid w:val="00240C72"/>
    <w:rsid w:val="002411DE"/>
    <w:rsid w:val="0024154F"/>
    <w:rsid w:val="00242701"/>
    <w:rsid w:val="002447C5"/>
    <w:rsid w:val="00244E81"/>
    <w:rsid w:val="00250A2E"/>
    <w:rsid w:val="00250E6F"/>
    <w:rsid w:val="002514FE"/>
    <w:rsid w:val="002518E3"/>
    <w:rsid w:val="0025215C"/>
    <w:rsid w:val="002537FE"/>
    <w:rsid w:val="002574F8"/>
    <w:rsid w:val="00261545"/>
    <w:rsid w:val="00264A67"/>
    <w:rsid w:val="002650F7"/>
    <w:rsid w:val="002707F9"/>
    <w:rsid w:val="0027630A"/>
    <w:rsid w:val="00277130"/>
    <w:rsid w:val="00277AB2"/>
    <w:rsid w:val="00283100"/>
    <w:rsid w:val="00283616"/>
    <w:rsid w:val="00287125"/>
    <w:rsid w:val="002900FE"/>
    <w:rsid w:val="002902BB"/>
    <w:rsid w:val="002973DF"/>
    <w:rsid w:val="002A47CD"/>
    <w:rsid w:val="002B240F"/>
    <w:rsid w:val="002B2732"/>
    <w:rsid w:val="002C4A0C"/>
    <w:rsid w:val="002E1DEE"/>
    <w:rsid w:val="002E252B"/>
    <w:rsid w:val="002E257D"/>
    <w:rsid w:val="002E5D50"/>
    <w:rsid w:val="002F267E"/>
    <w:rsid w:val="002F39D1"/>
    <w:rsid w:val="002F47D7"/>
    <w:rsid w:val="002F5CB6"/>
    <w:rsid w:val="002F65ED"/>
    <w:rsid w:val="003012C9"/>
    <w:rsid w:val="00304E16"/>
    <w:rsid w:val="00306EF4"/>
    <w:rsid w:val="0031033D"/>
    <w:rsid w:val="0031241B"/>
    <w:rsid w:val="00313846"/>
    <w:rsid w:val="00326097"/>
    <w:rsid w:val="00326748"/>
    <w:rsid w:val="00327E20"/>
    <w:rsid w:val="00330261"/>
    <w:rsid w:val="00331A61"/>
    <w:rsid w:val="00331ED2"/>
    <w:rsid w:val="003349EC"/>
    <w:rsid w:val="00336A9A"/>
    <w:rsid w:val="003412BC"/>
    <w:rsid w:val="0034754D"/>
    <w:rsid w:val="00347811"/>
    <w:rsid w:val="003519DE"/>
    <w:rsid w:val="00351EFF"/>
    <w:rsid w:val="0035584D"/>
    <w:rsid w:val="003564E1"/>
    <w:rsid w:val="00356931"/>
    <w:rsid w:val="00360841"/>
    <w:rsid w:val="00362D95"/>
    <w:rsid w:val="00366ADA"/>
    <w:rsid w:val="003712D1"/>
    <w:rsid w:val="00371E15"/>
    <w:rsid w:val="0037327E"/>
    <w:rsid w:val="00376F77"/>
    <w:rsid w:val="00382C17"/>
    <w:rsid w:val="003850F4"/>
    <w:rsid w:val="00386997"/>
    <w:rsid w:val="00387245"/>
    <w:rsid w:val="003874F6"/>
    <w:rsid w:val="00387664"/>
    <w:rsid w:val="003904A4"/>
    <w:rsid w:val="0039054A"/>
    <w:rsid w:val="0039086B"/>
    <w:rsid w:val="00391A70"/>
    <w:rsid w:val="00395B17"/>
    <w:rsid w:val="003960FE"/>
    <w:rsid w:val="003962FB"/>
    <w:rsid w:val="00397C45"/>
    <w:rsid w:val="003A5985"/>
    <w:rsid w:val="003B10B5"/>
    <w:rsid w:val="003B1565"/>
    <w:rsid w:val="003B1FFC"/>
    <w:rsid w:val="003B72A4"/>
    <w:rsid w:val="003C26AC"/>
    <w:rsid w:val="003C2861"/>
    <w:rsid w:val="003C2C45"/>
    <w:rsid w:val="003C693F"/>
    <w:rsid w:val="003D1B50"/>
    <w:rsid w:val="003D4670"/>
    <w:rsid w:val="003D72F6"/>
    <w:rsid w:val="003E444D"/>
    <w:rsid w:val="003E4F02"/>
    <w:rsid w:val="003F0EFA"/>
    <w:rsid w:val="003F100E"/>
    <w:rsid w:val="0041173E"/>
    <w:rsid w:val="00415B7E"/>
    <w:rsid w:val="00415D33"/>
    <w:rsid w:val="00420995"/>
    <w:rsid w:val="004232A8"/>
    <w:rsid w:val="00424388"/>
    <w:rsid w:val="00425D5D"/>
    <w:rsid w:val="00426D71"/>
    <w:rsid w:val="004273F4"/>
    <w:rsid w:val="00433080"/>
    <w:rsid w:val="0043554F"/>
    <w:rsid w:val="00437A7B"/>
    <w:rsid w:val="00437E88"/>
    <w:rsid w:val="004427EF"/>
    <w:rsid w:val="00446CFC"/>
    <w:rsid w:val="00452588"/>
    <w:rsid w:val="00457443"/>
    <w:rsid w:val="00461CE4"/>
    <w:rsid w:val="00463F51"/>
    <w:rsid w:val="00464C21"/>
    <w:rsid w:val="00471D96"/>
    <w:rsid w:val="004769D9"/>
    <w:rsid w:val="00480810"/>
    <w:rsid w:val="004812A2"/>
    <w:rsid w:val="004828A7"/>
    <w:rsid w:val="00482959"/>
    <w:rsid w:val="00483B2A"/>
    <w:rsid w:val="00485A10"/>
    <w:rsid w:val="004900FF"/>
    <w:rsid w:val="004916B7"/>
    <w:rsid w:val="00494C21"/>
    <w:rsid w:val="0049507B"/>
    <w:rsid w:val="004A1E44"/>
    <w:rsid w:val="004A2428"/>
    <w:rsid w:val="004A5263"/>
    <w:rsid w:val="004A5951"/>
    <w:rsid w:val="004B11D9"/>
    <w:rsid w:val="004B6493"/>
    <w:rsid w:val="004D1804"/>
    <w:rsid w:val="004D3A2B"/>
    <w:rsid w:val="004D404D"/>
    <w:rsid w:val="004D768E"/>
    <w:rsid w:val="004E1CEC"/>
    <w:rsid w:val="004E2701"/>
    <w:rsid w:val="004F1CA3"/>
    <w:rsid w:val="004F434C"/>
    <w:rsid w:val="004F618A"/>
    <w:rsid w:val="0050303F"/>
    <w:rsid w:val="00504637"/>
    <w:rsid w:val="00505863"/>
    <w:rsid w:val="005127B6"/>
    <w:rsid w:val="00523657"/>
    <w:rsid w:val="005314F7"/>
    <w:rsid w:val="00534647"/>
    <w:rsid w:val="00537905"/>
    <w:rsid w:val="00537B69"/>
    <w:rsid w:val="00541CC7"/>
    <w:rsid w:val="0054399C"/>
    <w:rsid w:val="00544271"/>
    <w:rsid w:val="00552D21"/>
    <w:rsid w:val="0056017D"/>
    <w:rsid w:val="00560806"/>
    <w:rsid w:val="005624F3"/>
    <w:rsid w:val="00562EB5"/>
    <w:rsid w:val="00563ED8"/>
    <w:rsid w:val="00564D09"/>
    <w:rsid w:val="005665DB"/>
    <w:rsid w:val="00572029"/>
    <w:rsid w:val="005769A3"/>
    <w:rsid w:val="00580A46"/>
    <w:rsid w:val="00580BDB"/>
    <w:rsid w:val="0058126E"/>
    <w:rsid w:val="00581486"/>
    <w:rsid w:val="005827BC"/>
    <w:rsid w:val="00587908"/>
    <w:rsid w:val="0059099A"/>
    <w:rsid w:val="00595FCB"/>
    <w:rsid w:val="00597276"/>
    <w:rsid w:val="005A06DB"/>
    <w:rsid w:val="005A3773"/>
    <w:rsid w:val="005A526B"/>
    <w:rsid w:val="005A566D"/>
    <w:rsid w:val="005A680B"/>
    <w:rsid w:val="005B56EF"/>
    <w:rsid w:val="005C0B7C"/>
    <w:rsid w:val="005C6385"/>
    <w:rsid w:val="005C72EA"/>
    <w:rsid w:val="005D057D"/>
    <w:rsid w:val="005D18E9"/>
    <w:rsid w:val="005D395D"/>
    <w:rsid w:val="005D3DA7"/>
    <w:rsid w:val="005D6929"/>
    <w:rsid w:val="005E5171"/>
    <w:rsid w:val="005E7CCC"/>
    <w:rsid w:val="005E7D6D"/>
    <w:rsid w:val="005F42FF"/>
    <w:rsid w:val="005F7278"/>
    <w:rsid w:val="00600E57"/>
    <w:rsid w:val="0060293C"/>
    <w:rsid w:val="00603B38"/>
    <w:rsid w:val="00605D67"/>
    <w:rsid w:val="00612546"/>
    <w:rsid w:val="00612728"/>
    <w:rsid w:val="00614654"/>
    <w:rsid w:val="006178DC"/>
    <w:rsid w:val="00620322"/>
    <w:rsid w:val="00636B1B"/>
    <w:rsid w:val="006434E9"/>
    <w:rsid w:val="00651020"/>
    <w:rsid w:val="00653D97"/>
    <w:rsid w:val="006549C9"/>
    <w:rsid w:val="006569F8"/>
    <w:rsid w:val="00670D4A"/>
    <w:rsid w:val="00672469"/>
    <w:rsid w:val="00674FD8"/>
    <w:rsid w:val="00675A17"/>
    <w:rsid w:val="0067613B"/>
    <w:rsid w:val="00681806"/>
    <w:rsid w:val="00687048"/>
    <w:rsid w:val="00696DE6"/>
    <w:rsid w:val="006973B6"/>
    <w:rsid w:val="006A06F5"/>
    <w:rsid w:val="006A227E"/>
    <w:rsid w:val="006A29C5"/>
    <w:rsid w:val="006A7662"/>
    <w:rsid w:val="006A77BE"/>
    <w:rsid w:val="006B3AA6"/>
    <w:rsid w:val="006B4E11"/>
    <w:rsid w:val="006C132C"/>
    <w:rsid w:val="006C37E8"/>
    <w:rsid w:val="006C4C52"/>
    <w:rsid w:val="006C5AD9"/>
    <w:rsid w:val="006D3497"/>
    <w:rsid w:val="006D64CC"/>
    <w:rsid w:val="006E3255"/>
    <w:rsid w:val="006E5B4E"/>
    <w:rsid w:val="006F287F"/>
    <w:rsid w:val="006F3489"/>
    <w:rsid w:val="006F42A3"/>
    <w:rsid w:val="006F45E6"/>
    <w:rsid w:val="006F7EFC"/>
    <w:rsid w:val="0070002D"/>
    <w:rsid w:val="00703A29"/>
    <w:rsid w:val="00705516"/>
    <w:rsid w:val="00711051"/>
    <w:rsid w:val="00711ADB"/>
    <w:rsid w:val="0071481C"/>
    <w:rsid w:val="00716B5C"/>
    <w:rsid w:val="007228FC"/>
    <w:rsid w:val="00725031"/>
    <w:rsid w:val="00727B53"/>
    <w:rsid w:val="0073626E"/>
    <w:rsid w:val="00740EE7"/>
    <w:rsid w:val="007507B4"/>
    <w:rsid w:val="00752DF8"/>
    <w:rsid w:val="00754310"/>
    <w:rsid w:val="00754334"/>
    <w:rsid w:val="00756157"/>
    <w:rsid w:val="0076292D"/>
    <w:rsid w:val="00766539"/>
    <w:rsid w:val="007712B0"/>
    <w:rsid w:val="007713A0"/>
    <w:rsid w:val="007722E6"/>
    <w:rsid w:val="00773F6E"/>
    <w:rsid w:val="007757A1"/>
    <w:rsid w:val="00782234"/>
    <w:rsid w:val="00783F20"/>
    <w:rsid w:val="00786DC8"/>
    <w:rsid w:val="007878C1"/>
    <w:rsid w:val="00791B1F"/>
    <w:rsid w:val="00793B0E"/>
    <w:rsid w:val="007A25AD"/>
    <w:rsid w:val="007A3624"/>
    <w:rsid w:val="007A3E07"/>
    <w:rsid w:val="007B1A09"/>
    <w:rsid w:val="007B72B9"/>
    <w:rsid w:val="007C47D5"/>
    <w:rsid w:val="007C4DC3"/>
    <w:rsid w:val="007C65BC"/>
    <w:rsid w:val="007C6619"/>
    <w:rsid w:val="007D4124"/>
    <w:rsid w:val="007D4165"/>
    <w:rsid w:val="007D4B93"/>
    <w:rsid w:val="007D5F3F"/>
    <w:rsid w:val="007E1FEA"/>
    <w:rsid w:val="007E2789"/>
    <w:rsid w:val="007E4301"/>
    <w:rsid w:val="007E5868"/>
    <w:rsid w:val="007E7570"/>
    <w:rsid w:val="007F0F4C"/>
    <w:rsid w:val="007F0FB3"/>
    <w:rsid w:val="007F4C24"/>
    <w:rsid w:val="007F6883"/>
    <w:rsid w:val="0080017C"/>
    <w:rsid w:val="008043CC"/>
    <w:rsid w:val="008048DE"/>
    <w:rsid w:val="008053E9"/>
    <w:rsid w:val="008116A0"/>
    <w:rsid w:val="00811BAA"/>
    <w:rsid w:val="00813F7D"/>
    <w:rsid w:val="00821368"/>
    <w:rsid w:val="0082297D"/>
    <w:rsid w:val="0083105C"/>
    <w:rsid w:val="00833E94"/>
    <w:rsid w:val="00836A93"/>
    <w:rsid w:val="00840296"/>
    <w:rsid w:val="00841720"/>
    <w:rsid w:val="00851356"/>
    <w:rsid w:val="00857DDB"/>
    <w:rsid w:val="008630CB"/>
    <w:rsid w:val="0086664C"/>
    <w:rsid w:val="008672D9"/>
    <w:rsid w:val="00870FAF"/>
    <w:rsid w:val="00875C7D"/>
    <w:rsid w:val="00887043"/>
    <w:rsid w:val="00890447"/>
    <w:rsid w:val="00894508"/>
    <w:rsid w:val="00894E31"/>
    <w:rsid w:val="00897703"/>
    <w:rsid w:val="008A2E23"/>
    <w:rsid w:val="008A69D4"/>
    <w:rsid w:val="008B01DB"/>
    <w:rsid w:val="008B23B4"/>
    <w:rsid w:val="008C048C"/>
    <w:rsid w:val="008C1FA0"/>
    <w:rsid w:val="008C5B60"/>
    <w:rsid w:val="008C6461"/>
    <w:rsid w:val="008C7204"/>
    <w:rsid w:val="008D3C96"/>
    <w:rsid w:val="008E1BED"/>
    <w:rsid w:val="008E5936"/>
    <w:rsid w:val="008E65E7"/>
    <w:rsid w:val="008E7E04"/>
    <w:rsid w:val="008F02E9"/>
    <w:rsid w:val="008F2497"/>
    <w:rsid w:val="008F2DDA"/>
    <w:rsid w:val="008F4706"/>
    <w:rsid w:val="008F6B9F"/>
    <w:rsid w:val="009000B7"/>
    <w:rsid w:val="009028FB"/>
    <w:rsid w:val="00902BE3"/>
    <w:rsid w:val="00910137"/>
    <w:rsid w:val="009102D3"/>
    <w:rsid w:val="00913CFE"/>
    <w:rsid w:val="009172B0"/>
    <w:rsid w:val="00917314"/>
    <w:rsid w:val="00917F09"/>
    <w:rsid w:val="009242C7"/>
    <w:rsid w:val="009256F6"/>
    <w:rsid w:val="009316C7"/>
    <w:rsid w:val="00933275"/>
    <w:rsid w:val="009429B4"/>
    <w:rsid w:val="009443BC"/>
    <w:rsid w:val="00945F10"/>
    <w:rsid w:val="0094603F"/>
    <w:rsid w:val="0095120E"/>
    <w:rsid w:val="009520F9"/>
    <w:rsid w:val="00952130"/>
    <w:rsid w:val="00952DFB"/>
    <w:rsid w:val="00953C63"/>
    <w:rsid w:val="00954D64"/>
    <w:rsid w:val="009614F4"/>
    <w:rsid w:val="00963E3D"/>
    <w:rsid w:val="00965C4C"/>
    <w:rsid w:val="009674DD"/>
    <w:rsid w:val="0096768A"/>
    <w:rsid w:val="00976E47"/>
    <w:rsid w:val="009817BE"/>
    <w:rsid w:val="0098781D"/>
    <w:rsid w:val="00994C4E"/>
    <w:rsid w:val="0099566F"/>
    <w:rsid w:val="009A1B21"/>
    <w:rsid w:val="009B0292"/>
    <w:rsid w:val="009B1D11"/>
    <w:rsid w:val="009B2125"/>
    <w:rsid w:val="009B4823"/>
    <w:rsid w:val="009B5366"/>
    <w:rsid w:val="009B6F35"/>
    <w:rsid w:val="009C1CDE"/>
    <w:rsid w:val="009C5080"/>
    <w:rsid w:val="009C586F"/>
    <w:rsid w:val="009C73CB"/>
    <w:rsid w:val="009C79DC"/>
    <w:rsid w:val="009D1993"/>
    <w:rsid w:val="009D1A5D"/>
    <w:rsid w:val="009D3410"/>
    <w:rsid w:val="009E35E6"/>
    <w:rsid w:val="009F244E"/>
    <w:rsid w:val="009F5698"/>
    <w:rsid w:val="00A0028D"/>
    <w:rsid w:val="00A02AEF"/>
    <w:rsid w:val="00A04200"/>
    <w:rsid w:val="00A04B39"/>
    <w:rsid w:val="00A0601E"/>
    <w:rsid w:val="00A07925"/>
    <w:rsid w:val="00A17962"/>
    <w:rsid w:val="00A249BC"/>
    <w:rsid w:val="00A27924"/>
    <w:rsid w:val="00A326AA"/>
    <w:rsid w:val="00A34FDB"/>
    <w:rsid w:val="00A406E6"/>
    <w:rsid w:val="00A4105C"/>
    <w:rsid w:val="00A4500C"/>
    <w:rsid w:val="00A463F5"/>
    <w:rsid w:val="00A57AF4"/>
    <w:rsid w:val="00A614C6"/>
    <w:rsid w:val="00A61BCC"/>
    <w:rsid w:val="00A622C3"/>
    <w:rsid w:val="00A63564"/>
    <w:rsid w:val="00A64211"/>
    <w:rsid w:val="00A65158"/>
    <w:rsid w:val="00A6600E"/>
    <w:rsid w:val="00A6642F"/>
    <w:rsid w:val="00A73924"/>
    <w:rsid w:val="00A73F80"/>
    <w:rsid w:val="00A81B0B"/>
    <w:rsid w:val="00A824D4"/>
    <w:rsid w:val="00A83D30"/>
    <w:rsid w:val="00A84D91"/>
    <w:rsid w:val="00A8656A"/>
    <w:rsid w:val="00A9008F"/>
    <w:rsid w:val="00A91904"/>
    <w:rsid w:val="00A93196"/>
    <w:rsid w:val="00A94FE1"/>
    <w:rsid w:val="00AA4991"/>
    <w:rsid w:val="00AA68C3"/>
    <w:rsid w:val="00AA692B"/>
    <w:rsid w:val="00AB0558"/>
    <w:rsid w:val="00AB0C15"/>
    <w:rsid w:val="00AB48AA"/>
    <w:rsid w:val="00AB57D5"/>
    <w:rsid w:val="00AC0C7B"/>
    <w:rsid w:val="00AC0FB6"/>
    <w:rsid w:val="00AC180D"/>
    <w:rsid w:val="00AC32DD"/>
    <w:rsid w:val="00AD0643"/>
    <w:rsid w:val="00AD495C"/>
    <w:rsid w:val="00AD4D53"/>
    <w:rsid w:val="00AD5E0E"/>
    <w:rsid w:val="00AD7547"/>
    <w:rsid w:val="00AE4697"/>
    <w:rsid w:val="00AE472C"/>
    <w:rsid w:val="00AE7B1F"/>
    <w:rsid w:val="00AF66F4"/>
    <w:rsid w:val="00AF75D8"/>
    <w:rsid w:val="00B07C53"/>
    <w:rsid w:val="00B1119B"/>
    <w:rsid w:val="00B116F0"/>
    <w:rsid w:val="00B176B8"/>
    <w:rsid w:val="00B23092"/>
    <w:rsid w:val="00B23674"/>
    <w:rsid w:val="00B2634B"/>
    <w:rsid w:val="00B30656"/>
    <w:rsid w:val="00B30BE7"/>
    <w:rsid w:val="00B3220A"/>
    <w:rsid w:val="00B32A21"/>
    <w:rsid w:val="00B34482"/>
    <w:rsid w:val="00B35E46"/>
    <w:rsid w:val="00B404DB"/>
    <w:rsid w:val="00B4106B"/>
    <w:rsid w:val="00B4784D"/>
    <w:rsid w:val="00B51564"/>
    <w:rsid w:val="00B51DB8"/>
    <w:rsid w:val="00B5276C"/>
    <w:rsid w:val="00B52CDA"/>
    <w:rsid w:val="00B55C6F"/>
    <w:rsid w:val="00B621D2"/>
    <w:rsid w:val="00B645AC"/>
    <w:rsid w:val="00B64B63"/>
    <w:rsid w:val="00B657FB"/>
    <w:rsid w:val="00B70149"/>
    <w:rsid w:val="00B7021F"/>
    <w:rsid w:val="00B759D0"/>
    <w:rsid w:val="00B75CA1"/>
    <w:rsid w:val="00B82E46"/>
    <w:rsid w:val="00B83E6F"/>
    <w:rsid w:val="00B87489"/>
    <w:rsid w:val="00B91374"/>
    <w:rsid w:val="00B914AF"/>
    <w:rsid w:val="00B920C1"/>
    <w:rsid w:val="00B97A10"/>
    <w:rsid w:val="00B97E79"/>
    <w:rsid w:val="00BA0681"/>
    <w:rsid w:val="00BA3D71"/>
    <w:rsid w:val="00BA44C6"/>
    <w:rsid w:val="00BA75FE"/>
    <w:rsid w:val="00BB087F"/>
    <w:rsid w:val="00BB167F"/>
    <w:rsid w:val="00BB2438"/>
    <w:rsid w:val="00BB2AF9"/>
    <w:rsid w:val="00BB68BF"/>
    <w:rsid w:val="00BB735A"/>
    <w:rsid w:val="00BB7703"/>
    <w:rsid w:val="00BC501B"/>
    <w:rsid w:val="00BC596B"/>
    <w:rsid w:val="00BC6301"/>
    <w:rsid w:val="00BD21CD"/>
    <w:rsid w:val="00BD3154"/>
    <w:rsid w:val="00BE078C"/>
    <w:rsid w:val="00BE256D"/>
    <w:rsid w:val="00BE6E9C"/>
    <w:rsid w:val="00BE7355"/>
    <w:rsid w:val="00BE7890"/>
    <w:rsid w:val="00BF1E97"/>
    <w:rsid w:val="00C13AB9"/>
    <w:rsid w:val="00C1641F"/>
    <w:rsid w:val="00C175BA"/>
    <w:rsid w:val="00C21834"/>
    <w:rsid w:val="00C21E3B"/>
    <w:rsid w:val="00C247F2"/>
    <w:rsid w:val="00C32EE2"/>
    <w:rsid w:val="00C35160"/>
    <w:rsid w:val="00C354F0"/>
    <w:rsid w:val="00C35E60"/>
    <w:rsid w:val="00C509DF"/>
    <w:rsid w:val="00C57549"/>
    <w:rsid w:val="00C57817"/>
    <w:rsid w:val="00C6093C"/>
    <w:rsid w:val="00C61D4E"/>
    <w:rsid w:val="00C62FCC"/>
    <w:rsid w:val="00C64BF0"/>
    <w:rsid w:val="00C65A3F"/>
    <w:rsid w:val="00C65CD1"/>
    <w:rsid w:val="00C73C1A"/>
    <w:rsid w:val="00C754AA"/>
    <w:rsid w:val="00C77CEF"/>
    <w:rsid w:val="00C85C9D"/>
    <w:rsid w:val="00C87703"/>
    <w:rsid w:val="00C930CA"/>
    <w:rsid w:val="00C93A5D"/>
    <w:rsid w:val="00C93AAA"/>
    <w:rsid w:val="00C93C99"/>
    <w:rsid w:val="00C96413"/>
    <w:rsid w:val="00CA191B"/>
    <w:rsid w:val="00CA62E8"/>
    <w:rsid w:val="00CA6B34"/>
    <w:rsid w:val="00CB04CD"/>
    <w:rsid w:val="00CB2067"/>
    <w:rsid w:val="00CB6794"/>
    <w:rsid w:val="00CB6E55"/>
    <w:rsid w:val="00CC2655"/>
    <w:rsid w:val="00CC2EDB"/>
    <w:rsid w:val="00CC5A0A"/>
    <w:rsid w:val="00CD431E"/>
    <w:rsid w:val="00CD593F"/>
    <w:rsid w:val="00CD644B"/>
    <w:rsid w:val="00CE1FE4"/>
    <w:rsid w:val="00CE32C9"/>
    <w:rsid w:val="00CE697E"/>
    <w:rsid w:val="00CE7D7A"/>
    <w:rsid w:val="00CF3682"/>
    <w:rsid w:val="00CF6C4E"/>
    <w:rsid w:val="00CF78C6"/>
    <w:rsid w:val="00CF7F8E"/>
    <w:rsid w:val="00D0424E"/>
    <w:rsid w:val="00D06FC0"/>
    <w:rsid w:val="00D23452"/>
    <w:rsid w:val="00D27EA5"/>
    <w:rsid w:val="00D30BE5"/>
    <w:rsid w:val="00D325FF"/>
    <w:rsid w:val="00D37FD8"/>
    <w:rsid w:val="00D50243"/>
    <w:rsid w:val="00D551F3"/>
    <w:rsid w:val="00D6225C"/>
    <w:rsid w:val="00D64AEE"/>
    <w:rsid w:val="00D67897"/>
    <w:rsid w:val="00D76471"/>
    <w:rsid w:val="00D8124A"/>
    <w:rsid w:val="00D871A5"/>
    <w:rsid w:val="00D87BD9"/>
    <w:rsid w:val="00D911AF"/>
    <w:rsid w:val="00D91AA5"/>
    <w:rsid w:val="00D92638"/>
    <w:rsid w:val="00DA747C"/>
    <w:rsid w:val="00DB1B1B"/>
    <w:rsid w:val="00DB1DF8"/>
    <w:rsid w:val="00DB4B5E"/>
    <w:rsid w:val="00DB6AED"/>
    <w:rsid w:val="00DC4E07"/>
    <w:rsid w:val="00DC57FD"/>
    <w:rsid w:val="00DD3CB7"/>
    <w:rsid w:val="00DD4C60"/>
    <w:rsid w:val="00DD5CA5"/>
    <w:rsid w:val="00DE598B"/>
    <w:rsid w:val="00DE78B1"/>
    <w:rsid w:val="00DF174F"/>
    <w:rsid w:val="00DF60CA"/>
    <w:rsid w:val="00DF7D4F"/>
    <w:rsid w:val="00E02626"/>
    <w:rsid w:val="00E0507A"/>
    <w:rsid w:val="00E15AA8"/>
    <w:rsid w:val="00E21B8F"/>
    <w:rsid w:val="00E232DD"/>
    <w:rsid w:val="00E2355F"/>
    <w:rsid w:val="00E2401C"/>
    <w:rsid w:val="00E2567B"/>
    <w:rsid w:val="00E2721E"/>
    <w:rsid w:val="00E30313"/>
    <w:rsid w:val="00E338EB"/>
    <w:rsid w:val="00E34A45"/>
    <w:rsid w:val="00E365DC"/>
    <w:rsid w:val="00E40A43"/>
    <w:rsid w:val="00E432EC"/>
    <w:rsid w:val="00E446B1"/>
    <w:rsid w:val="00E52489"/>
    <w:rsid w:val="00E53DA0"/>
    <w:rsid w:val="00E55C29"/>
    <w:rsid w:val="00E55C60"/>
    <w:rsid w:val="00E55F48"/>
    <w:rsid w:val="00E62145"/>
    <w:rsid w:val="00E66AAA"/>
    <w:rsid w:val="00E70491"/>
    <w:rsid w:val="00E71E71"/>
    <w:rsid w:val="00E72363"/>
    <w:rsid w:val="00E80BFC"/>
    <w:rsid w:val="00E80FAF"/>
    <w:rsid w:val="00E858ED"/>
    <w:rsid w:val="00E9171B"/>
    <w:rsid w:val="00E926A0"/>
    <w:rsid w:val="00E932EE"/>
    <w:rsid w:val="00E949C5"/>
    <w:rsid w:val="00E95605"/>
    <w:rsid w:val="00EA5990"/>
    <w:rsid w:val="00EA7DA7"/>
    <w:rsid w:val="00EA7E53"/>
    <w:rsid w:val="00EB4E59"/>
    <w:rsid w:val="00EB740D"/>
    <w:rsid w:val="00EC1A8C"/>
    <w:rsid w:val="00EC1C66"/>
    <w:rsid w:val="00ED3639"/>
    <w:rsid w:val="00ED424E"/>
    <w:rsid w:val="00ED4A6D"/>
    <w:rsid w:val="00ED68D4"/>
    <w:rsid w:val="00ED6C59"/>
    <w:rsid w:val="00EE214B"/>
    <w:rsid w:val="00EE3BD3"/>
    <w:rsid w:val="00EF662D"/>
    <w:rsid w:val="00EF7473"/>
    <w:rsid w:val="00F01C27"/>
    <w:rsid w:val="00F03106"/>
    <w:rsid w:val="00F04BE0"/>
    <w:rsid w:val="00F05812"/>
    <w:rsid w:val="00F068E2"/>
    <w:rsid w:val="00F06900"/>
    <w:rsid w:val="00F06E2C"/>
    <w:rsid w:val="00F114CB"/>
    <w:rsid w:val="00F120DC"/>
    <w:rsid w:val="00F13269"/>
    <w:rsid w:val="00F153E8"/>
    <w:rsid w:val="00F173E7"/>
    <w:rsid w:val="00F23219"/>
    <w:rsid w:val="00F24A81"/>
    <w:rsid w:val="00F27983"/>
    <w:rsid w:val="00F36611"/>
    <w:rsid w:val="00F366BC"/>
    <w:rsid w:val="00F36A42"/>
    <w:rsid w:val="00F37B06"/>
    <w:rsid w:val="00F4051E"/>
    <w:rsid w:val="00F46753"/>
    <w:rsid w:val="00F47952"/>
    <w:rsid w:val="00F508DF"/>
    <w:rsid w:val="00F525BE"/>
    <w:rsid w:val="00F53A93"/>
    <w:rsid w:val="00F5417A"/>
    <w:rsid w:val="00F60831"/>
    <w:rsid w:val="00F64759"/>
    <w:rsid w:val="00F655A7"/>
    <w:rsid w:val="00F66ABA"/>
    <w:rsid w:val="00F7115F"/>
    <w:rsid w:val="00F71C62"/>
    <w:rsid w:val="00F74E40"/>
    <w:rsid w:val="00F81E86"/>
    <w:rsid w:val="00F90F56"/>
    <w:rsid w:val="00F91CAE"/>
    <w:rsid w:val="00F93CD8"/>
    <w:rsid w:val="00F952F4"/>
    <w:rsid w:val="00F965F1"/>
    <w:rsid w:val="00F9683C"/>
    <w:rsid w:val="00F96F47"/>
    <w:rsid w:val="00FB1CD2"/>
    <w:rsid w:val="00FB44E1"/>
    <w:rsid w:val="00FB6810"/>
    <w:rsid w:val="00FC0438"/>
    <w:rsid w:val="00FC3814"/>
    <w:rsid w:val="00FC6181"/>
    <w:rsid w:val="00FC7A59"/>
    <w:rsid w:val="00FD0E2E"/>
    <w:rsid w:val="00FD1817"/>
    <w:rsid w:val="00FD2CD1"/>
    <w:rsid w:val="00FD2EB4"/>
    <w:rsid w:val="00FD5389"/>
    <w:rsid w:val="00FD54D8"/>
    <w:rsid w:val="00FE0CF0"/>
    <w:rsid w:val="00FE166A"/>
    <w:rsid w:val="00FE35C9"/>
    <w:rsid w:val="00FE7562"/>
    <w:rsid w:val="00FF05D5"/>
    <w:rsid w:val="00FF4AB2"/>
    <w:rsid w:val="00FF5DC6"/>
    <w:rsid w:val="00FF70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771CE4"/>
  <w15:chartTrackingRefBased/>
  <w15:docId w15:val="{107150F4-0C74-4A59-B29A-77333277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D64AE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124"/>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D64AEE"/>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793B0E"/>
    <w:rPr>
      <w:color w:val="0563C1" w:themeColor="hyperlink"/>
      <w:u w:val="single"/>
    </w:rPr>
  </w:style>
  <w:style w:type="character" w:styleId="UnresolvedMention">
    <w:name w:val="Unresolved Mention"/>
    <w:basedOn w:val="DefaultParagraphFont"/>
    <w:uiPriority w:val="99"/>
    <w:semiHidden/>
    <w:unhideWhenUsed/>
    <w:rsid w:val="00793B0E"/>
    <w:rPr>
      <w:color w:val="605E5C"/>
      <w:shd w:val="clear" w:color="auto" w:fill="E1DFDD"/>
    </w:rPr>
  </w:style>
  <w:style w:type="paragraph" w:styleId="Header">
    <w:name w:val="header"/>
    <w:basedOn w:val="Normal"/>
    <w:link w:val="HeaderChar"/>
    <w:uiPriority w:val="99"/>
    <w:unhideWhenUsed/>
    <w:rsid w:val="00DB1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DF8"/>
  </w:style>
  <w:style w:type="paragraph" w:styleId="Footer">
    <w:name w:val="footer"/>
    <w:basedOn w:val="Normal"/>
    <w:link w:val="FooterChar"/>
    <w:uiPriority w:val="99"/>
    <w:unhideWhenUsed/>
    <w:rsid w:val="00DB1D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DF8"/>
  </w:style>
  <w:style w:type="character" w:styleId="LineNumber">
    <w:name w:val="line number"/>
    <w:basedOn w:val="DefaultParagraphFont"/>
    <w:uiPriority w:val="99"/>
    <w:semiHidden/>
    <w:unhideWhenUsed/>
    <w:rsid w:val="00DB1DF8"/>
  </w:style>
  <w:style w:type="paragraph" w:styleId="ListParagraph">
    <w:name w:val="List Paragraph"/>
    <w:basedOn w:val="Normal"/>
    <w:uiPriority w:val="34"/>
    <w:qFormat/>
    <w:rsid w:val="006F287F"/>
    <w:pPr>
      <w:ind w:left="720"/>
      <w:contextualSpacing/>
    </w:pPr>
  </w:style>
  <w:style w:type="paragraph" w:customStyle="1" w:styleId="AcknHead">
    <w:name w:val="Ackn Head"/>
    <w:basedOn w:val="Normal"/>
    <w:rsid w:val="00A6600E"/>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A6600E"/>
    <w:pPr>
      <w:keepNext/>
      <w:spacing w:after="240" w:line="240" w:lineRule="auto"/>
    </w:pPr>
    <w:rPr>
      <w:rFonts w:ascii="Helvetica" w:eastAsia="Times New Roman" w:hAnsi="Helvetica" w:cs="Times New Roman"/>
      <w:b/>
      <w:caps/>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35468">
      <w:bodyDiv w:val="1"/>
      <w:marLeft w:val="0"/>
      <w:marRight w:val="0"/>
      <w:marTop w:val="0"/>
      <w:marBottom w:val="0"/>
      <w:divBdr>
        <w:top w:val="none" w:sz="0" w:space="0" w:color="auto"/>
        <w:left w:val="none" w:sz="0" w:space="0" w:color="auto"/>
        <w:bottom w:val="none" w:sz="0" w:space="0" w:color="auto"/>
        <w:right w:val="none" w:sz="0" w:space="0" w:color="auto"/>
      </w:divBdr>
    </w:div>
    <w:div w:id="229005490">
      <w:bodyDiv w:val="1"/>
      <w:marLeft w:val="0"/>
      <w:marRight w:val="0"/>
      <w:marTop w:val="0"/>
      <w:marBottom w:val="0"/>
      <w:divBdr>
        <w:top w:val="none" w:sz="0" w:space="0" w:color="auto"/>
        <w:left w:val="none" w:sz="0" w:space="0" w:color="auto"/>
        <w:bottom w:val="none" w:sz="0" w:space="0" w:color="auto"/>
        <w:right w:val="none" w:sz="0" w:space="0" w:color="auto"/>
      </w:divBdr>
    </w:div>
    <w:div w:id="322975224">
      <w:bodyDiv w:val="1"/>
      <w:marLeft w:val="0"/>
      <w:marRight w:val="0"/>
      <w:marTop w:val="0"/>
      <w:marBottom w:val="0"/>
      <w:divBdr>
        <w:top w:val="none" w:sz="0" w:space="0" w:color="auto"/>
        <w:left w:val="none" w:sz="0" w:space="0" w:color="auto"/>
        <w:bottom w:val="none" w:sz="0" w:space="0" w:color="auto"/>
        <w:right w:val="none" w:sz="0" w:space="0" w:color="auto"/>
      </w:divBdr>
    </w:div>
    <w:div w:id="333148903">
      <w:bodyDiv w:val="1"/>
      <w:marLeft w:val="0"/>
      <w:marRight w:val="0"/>
      <w:marTop w:val="0"/>
      <w:marBottom w:val="0"/>
      <w:divBdr>
        <w:top w:val="none" w:sz="0" w:space="0" w:color="auto"/>
        <w:left w:val="none" w:sz="0" w:space="0" w:color="auto"/>
        <w:bottom w:val="none" w:sz="0" w:space="0" w:color="auto"/>
        <w:right w:val="none" w:sz="0" w:space="0" w:color="auto"/>
      </w:divBdr>
    </w:div>
    <w:div w:id="637027506">
      <w:bodyDiv w:val="1"/>
      <w:marLeft w:val="0"/>
      <w:marRight w:val="0"/>
      <w:marTop w:val="0"/>
      <w:marBottom w:val="0"/>
      <w:divBdr>
        <w:top w:val="none" w:sz="0" w:space="0" w:color="auto"/>
        <w:left w:val="none" w:sz="0" w:space="0" w:color="auto"/>
        <w:bottom w:val="none" w:sz="0" w:space="0" w:color="auto"/>
        <w:right w:val="none" w:sz="0" w:space="0" w:color="auto"/>
      </w:divBdr>
    </w:div>
    <w:div w:id="644236733">
      <w:bodyDiv w:val="1"/>
      <w:marLeft w:val="0"/>
      <w:marRight w:val="0"/>
      <w:marTop w:val="0"/>
      <w:marBottom w:val="0"/>
      <w:divBdr>
        <w:top w:val="none" w:sz="0" w:space="0" w:color="auto"/>
        <w:left w:val="none" w:sz="0" w:space="0" w:color="auto"/>
        <w:bottom w:val="none" w:sz="0" w:space="0" w:color="auto"/>
        <w:right w:val="none" w:sz="0" w:space="0" w:color="auto"/>
      </w:divBdr>
    </w:div>
    <w:div w:id="652828893">
      <w:bodyDiv w:val="1"/>
      <w:marLeft w:val="0"/>
      <w:marRight w:val="0"/>
      <w:marTop w:val="0"/>
      <w:marBottom w:val="0"/>
      <w:divBdr>
        <w:top w:val="none" w:sz="0" w:space="0" w:color="auto"/>
        <w:left w:val="none" w:sz="0" w:space="0" w:color="auto"/>
        <w:bottom w:val="none" w:sz="0" w:space="0" w:color="auto"/>
        <w:right w:val="none" w:sz="0" w:space="0" w:color="auto"/>
      </w:divBdr>
    </w:div>
    <w:div w:id="744575916">
      <w:bodyDiv w:val="1"/>
      <w:marLeft w:val="0"/>
      <w:marRight w:val="0"/>
      <w:marTop w:val="0"/>
      <w:marBottom w:val="0"/>
      <w:divBdr>
        <w:top w:val="none" w:sz="0" w:space="0" w:color="auto"/>
        <w:left w:val="none" w:sz="0" w:space="0" w:color="auto"/>
        <w:bottom w:val="none" w:sz="0" w:space="0" w:color="auto"/>
        <w:right w:val="none" w:sz="0" w:space="0" w:color="auto"/>
      </w:divBdr>
    </w:div>
    <w:div w:id="758477666">
      <w:bodyDiv w:val="1"/>
      <w:marLeft w:val="0"/>
      <w:marRight w:val="0"/>
      <w:marTop w:val="0"/>
      <w:marBottom w:val="0"/>
      <w:divBdr>
        <w:top w:val="none" w:sz="0" w:space="0" w:color="auto"/>
        <w:left w:val="none" w:sz="0" w:space="0" w:color="auto"/>
        <w:bottom w:val="none" w:sz="0" w:space="0" w:color="auto"/>
        <w:right w:val="none" w:sz="0" w:space="0" w:color="auto"/>
      </w:divBdr>
      <w:divsChild>
        <w:div w:id="385108007">
          <w:marLeft w:val="0"/>
          <w:marRight w:val="0"/>
          <w:marTop w:val="0"/>
          <w:marBottom w:val="0"/>
          <w:divBdr>
            <w:top w:val="none" w:sz="0" w:space="0" w:color="auto"/>
            <w:left w:val="none" w:sz="0" w:space="0" w:color="auto"/>
            <w:bottom w:val="none" w:sz="0" w:space="0" w:color="auto"/>
            <w:right w:val="none" w:sz="0" w:space="0" w:color="auto"/>
          </w:divBdr>
        </w:div>
      </w:divsChild>
    </w:div>
    <w:div w:id="830831569">
      <w:bodyDiv w:val="1"/>
      <w:marLeft w:val="0"/>
      <w:marRight w:val="0"/>
      <w:marTop w:val="0"/>
      <w:marBottom w:val="0"/>
      <w:divBdr>
        <w:top w:val="none" w:sz="0" w:space="0" w:color="auto"/>
        <w:left w:val="none" w:sz="0" w:space="0" w:color="auto"/>
        <w:bottom w:val="none" w:sz="0" w:space="0" w:color="auto"/>
        <w:right w:val="none" w:sz="0" w:space="0" w:color="auto"/>
      </w:divBdr>
    </w:div>
    <w:div w:id="875657993">
      <w:bodyDiv w:val="1"/>
      <w:marLeft w:val="0"/>
      <w:marRight w:val="0"/>
      <w:marTop w:val="0"/>
      <w:marBottom w:val="0"/>
      <w:divBdr>
        <w:top w:val="none" w:sz="0" w:space="0" w:color="auto"/>
        <w:left w:val="none" w:sz="0" w:space="0" w:color="auto"/>
        <w:bottom w:val="none" w:sz="0" w:space="0" w:color="auto"/>
        <w:right w:val="none" w:sz="0" w:space="0" w:color="auto"/>
      </w:divBdr>
      <w:divsChild>
        <w:div w:id="1443961716">
          <w:marLeft w:val="0"/>
          <w:marRight w:val="0"/>
          <w:marTop w:val="0"/>
          <w:marBottom w:val="0"/>
          <w:divBdr>
            <w:top w:val="none" w:sz="0" w:space="0" w:color="auto"/>
            <w:left w:val="none" w:sz="0" w:space="0" w:color="auto"/>
            <w:bottom w:val="none" w:sz="0" w:space="0" w:color="auto"/>
            <w:right w:val="none" w:sz="0" w:space="0" w:color="auto"/>
          </w:divBdr>
          <w:divsChild>
            <w:div w:id="1778524565">
              <w:marLeft w:val="0"/>
              <w:marRight w:val="0"/>
              <w:marTop w:val="0"/>
              <w:marBottom w:val="0"/>
              <w:divBdr>
                <w:top w:val="none" w:sz="0" w:space="0" w:color="auto"/>
                <w:left w:val="none" w:sz="0" w:space="0" w:color="auto"/>
                <w:bottom w:val="none" w:sz="0" w:space="0" w:color="auto"/>
                <w:right w:val="none" w:sz="0" w:space="0" w:color="auto"/>
              </w:divBdr>
              <w:divsChild>
                <w:div w:id="65617000">
                  <w:marLeft w:val="0"/>
                  <w:marRight w:val="0"/>
                  <w:marTop w:val="0"/>
                  <w:marBottom w:val="0"/>
                  <w:divBdr>
                    <w:top w:val="none" w:sz="0" w:space="0" w:color="auto"/>
                    <w:left w:val="none" w:sz="0" w:space="0" w:color="auto"/>
                    <w:bottom w:val="none" w:sz="0" w:space="0" w:color="auto"/>
                    <w:right w:val="none" w:sz="0" w:space="0" w:color="auto"/>
                  </w:divBdr>
                  <w:divsChild>
                    <w:div w:id="38831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363442">
          <w:marLeft w:val="0"/>
          <w:marRight w:val="0"/>
          <w:marTop w:val="0"/>
          <w:marBottom w:val="0"/>
          <w:divBdr>
            <w:top w:val="none" w:sz="0" w:space="0" w:color="auto"/>
            <w:left w:val="none" w:sz="0" w:space="0" w:color="auto"/>
            <w:bottom w:val="none" w:sz="0" w:space="0" w:color="auto"/>
            <w:right w:val="none" w:sz="0" w:space="0" w:color="auto"/>
          </w:divBdr>
          <w:divsChild>
            <w:div w:id="403797901">
              <w:marLeft w:val="0"/>
              <w:marRight w:val="0"/>
              <w:marTop w:val="0"/>
              <w:marBottom w:val="0"/>
              <w:divBdr>
                <w:top w:val="none" w:sz="0" w:space="0" w:color="auto"/>
                <w:left w:val="none" w:sz="0" w:space="0" w:color="auto"/>
                <w:bottom w:val="none" w:sz="0" w:space="0" w:color="auto"/>
                <w:right w:val="none" w:sz="0" w:space="0" w:color="auto"/>
              </w:divBdr>
              <w:divsChild>
                <w:div w:id="81268914">
                  <w:marLeft w:val="0"/>
                  <w:marRight w:val="0"/>
                  <w:marTop w:val="0"/>
                  <w:marBottom w:val="0"/>
                  <w:divBdr>
                    <w:top w:val="none" w:sz="0" w:space="0" w:color="auto"/>
                    <w:left w:val="none" w:sz="0" w:space="0" w:color="auto"/>
                    <w:bottom w:val="none" w:sz="0" w:space="0" w:color="auto"/>
                    <w:right w:val="none" w:sz="0" w:space="0" w:color="auto"/>
                  </w:divBdr>
                  <w:divsChild>
                    <w:div w:id="9774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933097">
      <w:bodyDiv w:val="1"/>
      <w:marLeft w:val="0"/>
      <w:marRight w:val="0"/>
      <w:marTop w:val="0"/>
      <w:marBottom w:val="0"/>
      <w:divBdr>
        <w:top w:val="none" w:sz="0" w:space="0" w:color="auto"/>
        <w:left w:val="none" w:sz="0" w:space="0" w:color="auto"/>
        <w:bottom w:val="none" w:sz="0" w:space="0" w:color="auto"/>
        <w:right w:val="none" w:sz="0" w:space="0" w:color="auto"/>
      </w:divBdr>
    </w:div>
    <w:div w:id="1434856396">
      <w:bodyDiv w:val="1"/>
      <w:marLeft w:val="0"/>
      <w:marRight w:val="0"/>
      <w:marTop w:val="0"/>
      <w:marBottom w:val="0"/>
      <w:divBdr>
        <w:top w:val="none" w:sz="0" w:space="0" w:color="auto"/>
        <w:left w:val="none" w:sz="0" w:space="0" w:color="auto"/>
        <w:bottom w:val="none" w:sz="0" w:space="0" w:color="auto"/>
        <w:right w:val="none" w:sz="0" w:space="0" w:color="auto"/>
      </w:divBdr>
    </w:div>
    <w:div w:id="1559902092">
      <w:bodyDiv w:val="1"/>
      <w:marLeft w:val="0"/>
      <w:marRight w:val="0"/>
      <w:marTop w:val="0"/>
      <w:marBottom w:val="0"/>
      <w:divBdr>
        <w:top w:val="none" w:sz="0" w:space="0" w:color="auto"/>
        <w:left w:val="none" w:sz="0" w:space="0" w:color="auto"/>
        <w:bottom w:val="none" w:sz="0" w:space="0" w:color="auto"/>
        <w:right w:val="none" w:sz="0" w:space="0" w:color="auto"/>
      </w:divBdr>
    </w:div>
    <w:div w:id="1561671719">
      <w:bodyDiv w:val="1"/>
      <w:marLeft w:val="0"/>
      <w:marRight w:val="0"/>
      <w:marTop w:val="0"/>
      <w:marBottom w:val="0"/>
      <w:divBdr>
        <w:top w:val="none" w:sz="0" w:space="0" w:color="auto"/>
        <w:left w:val="none" w:sz="0" w:space="0" w:color="auto"/>
        <w:bottom w:val="none" w:sz="0" w:space="0" w:color="auto"/>
        <w:right w:val="none" w:sz="0" w:space="0" w:color="auto"/>
      </w:divBdr>
      <w:divsChild>
        <w:div w:id="1276710919">
          <w:marLeft w:val="0"/>
          <w:marRight w:val="0"/>
          <w:marTop w:val="0"/>
          <w:marBottom w:val="0"/>
          <w:divBdr>
            <w:top w:val="none" w:sz="0" w:space="0" w:color="auto"/>
            <w:left w:val="none" w:sz="0" w:space="0" w:color="auto"/>
            <w:bottom w:val="none" w:sz="0" w:space="0" w:color="auto"/>
            <w:right w:val="none" w:sz="0" w:space="0" w:color="auto"/>
          </w:divBdr>
          <w:divsChild>
            <w:div w:id="1241717944">
              <w:marLeft w:val="0"/>
              <w:marRight w:val="0"/>
              <w:marTop w:val="0"/>
              <w:marBottom w:val="0"/>
              <w:divBdr>
                <w:top w:val="none" w:sz="0" w:space="0" w:color="auto"/>
                <w:left w:val="none" w:sz="0" w:space="0" w:color="auto"/>
                <w:bottom w:val="none" w:sz="0" w:space="0" w:color="auto"/>
                <w:right w:val="none" w:sz="0" w:space="0" w:color="auto"/>
              </w:divBdr>
              <w:divsChild>
                <w:div w:id="233399715">
                  <w:marLeft w:val="0"/>
                  <w:marRight w:val="0"/>
                  <w:marTop w:val="0"/>
                  <w:marBottom w:val="0"/>
                  <w:divBdr>
                    <w:top w:val="none" w:sz="0" w:space="0" w:color="auto"/>
                    <w:left w:val="none" w:sz="0" w:space="0" w:color="auto"/>
                    <w:bottom w:val="none" w:sz="0" w:space="0" w:color="auto"/>
                    <w:right w:val="none" w:sz="0" w:space="0" w:color="auto"/>
                  </w:divBdr>
                  <w:divsChild>
                    <w:div w:id="9136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81360">
          <w:marLeft w:val="0"/>
          <w:marRight w:val="0"/>
          <w:marTop w:val="0"/>
          <w:marBottom w:val="0"/>
          <w:divBdr>
            <w:top w:val="none" w:sz="0" w:space="0" w:color="auto"/>
            <w:left w:val="none" w:sz="0" w:space="0" w:color="auto"/>
            <w:bottom w:val="none" w:sz="0" w:space="0" w:color="auto"/>
            <w:right w:val="none" w:sz="0" w:space="0" w:color="auto"/>
          </w:divBdr>
          <w:divsChild>
            <w:div w:id="1576090352">
              <w:marLeft w:val="0"/>
              <w:marRight w:val="0"/>
              <w:marTop w:val="0"/>
              <w:marBottom w:val="0"/>
              <w:divBdr>
                <w:top w:val="none" w:sz="0" w:space="0" w:color="auto"/>
                <w:left w:val="none" w:sz="0" w:space="0" w:color="auto"/>
                <w:bottom w:val="none" w:sz="0" w:space="0" w:color="auto"/>
                <w:right w:val="none" w:sz="0" w:space="0" w:color="auto"/>
              </w:divBdr>
              <w:divsChild>
                <w:div w:id="1861702811">
                  <w:marLeft w:val="0"/>
                  <w:marRight w:val="0"/>
                  <w:marTop w:val="0"/>
                  <w:marBottom w:val="0"/>
                  <w:divBdr>
                    <w:top w:val="none" w:sz="0" w:space="0" w:color="auto"/>
                    <w:left w:val="none" w:sz="0" w:space="0" w:color="auto"/>
                    <w:bottom w:val="none" w:sz="0" w:space="0" w:color="auto"/>
                    <w:right w:val="none" w:sz="0" w:space="0" w:color="auto"/>
                  </w:divBdr>
                  <w:divsChild>
                    <w:div w:id="18701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31624">
      <w:bodyDiv w:val="1"/>
      <w:marLeft w:val="0"/>
      <w:marRight w:val="0"/>
      <w:marTop w:val="0"/>
      <w:marBottom w:val="0"/>
      <w:divBdr>
        <w:top w:val="none" w:sz="0" w:space="0" w:color="auto"/>
        <w:left w:val="none" w:sz="0" w:space="0" w:color="auto"/>
        <w:bottom w:val="none" w:sz="0" w:space="0" w:color="auto"/>
        <w:right w:val="none" w:sz="0" w:space="0" w:color="auto"/>
      </w:divBdr>
      <w:divsChild>
        <w:div w:id="613907250">
          <w:marLeft w:val="0"/>
          <w:marRight w:val="0"/>
          <w:marTop w:val="0"/>
          <w:marBottom w:val="0"/>
          <w:divBdr>
            <w:top w:val="none" w:sz="0" w:space="0" w:color="auto"/>
            <w:left w:val="none" w:sz="0" w:space="0" w:color="auto"/>
            <w:bottom w:val="none" w:sz="0" w:space="0" w:color="auto"/>
            <w:right w:val="none" w:sz="0" w:space="0" w:color="auto"/>
          </w:divBdr>
        </w:div>
      </w:divsChild>
    </w:div>
    <w:div w:id="1628243714">
      <w:bodyDiv w:val="1"/>
      <w:marLeft w:val="0"/>
      <w:marRight w:val="0"/>
      <w:marTop w:val="0"/>
      <w:marBottom w:val="0"/>
      <w:divBdr>
        <w:top w:val="none" w:sz="0" w:space="0" w:color="auto"/>
        <w:left w:val="none" w:sz="0" w:space="0" w:color="auto"/>
        <w:bottom w:val="none" w:sz="0" w:space="0" w:color="auto"/>
        <w:right w:val="none" w:sz="0" w:space="0" w:color="auto"/>
      </w:divBdr>
    </w:div>
    <w:div w:id="1680037228">
      <w:bodyDiv w:val="1"/>
      <w:marLeft w:val="0"/>
      <w:marRight w:val="0"/>
      <w:marTop w:val="0"/>
      <w:marBottom w:val="0"/>
      <w:divBdr>
        <w:top w:val="none" w:sz="0" w:space="0" w:color="auto"/>
        <w:left w:val="none" w:sz="0" w:space="0" w:color="auto"/>
        <w:bottom w:val="none" w:sz="0" w:space="0" w:color="auto"/>
        <w:right w:val="none" w:sz="0" w:space="0" w:color="auto"/>
      </w:divBdr>
    </w:div>
    <w:div w:id="1691877806">
      <w:bodyDiv w:val="1"/>
      <w:marLeft w:val="0"/>
      <w:marRight w:val="0"/>
      <w:marTop w:val="0"/>
      <w:marBottom w:val="0"/>
      <w:divBdr>
        <w:top w:val="none" w:sz="0" w:space="0" w:color="auto"/>
        <w:left w:val="none" w:sz="0" w:space="0" w:color="auto"/>
        <w:bottom w:val="none" w:sz="0" w:space="0" w:color="auto"/>
        <w:right w:val="none" w:sz="0" w:space="0" w:color="auto"/>
      </w:divBdr>
    </w:div>
    <w:div w:id="1740326788">
      <w:bodyDiv w:val="1"/>
      <w:marLeft w:val="0"/>
      <w:marRight w:val="0"/>
      <w:marTop w:val="0"/>
      <w:marBottom w:val="0"/>
      <w:divBdr>
        <w:top w:val="none" w:sz="0" w:space="0" w:color="auto"/>
        <w:left w:val="none" w:sz="0" w:space="0" w:color="auto"/>
        <w:bottom w:val="none" w:sz="0" w:space="0" w:color="auto"/>
        <w:right w:val="none" w:sz="0" w:space="0" w:color="auto"/>
      </w:divBdr>
    </w:div>
    <w:div w:id="1836415196">
      <w:bodyDiv w:val="1"/>
      <w:marLeft w:val="0"/>
      <w:marRight w:val="0"/>
      <w:marTop w:val="0"/>
      <w:marBottom w:val="0"/>
      <w:divBdr>
        <w:top w:val="none" w:sz="0" w:space="0" w:color="auto"/>
        <w:left w:val="none" w:sz="0" w:space="0" w:color="auto"/>
        <w:bottom w:val="none" w:sz="0" w:space="0" w:color="auto"/>
        <w:right w:val="none" w:sz="0" w:space="0" w:color="auto"/>
      </w:divBdr>
    </w:div>
    <w:div w:id="1871258307">
      <w:bodyDiv w:val="1"/>
      <w:marLeft w:val="0"/>
      <w:marRight w:val="0"/>
      <w:marTop w:val="0"/>
      <w:marBottom w:val="0"/>
      <w:divBdr>
        <w:top w:val="none" w:sz="0" w:space="0" w:color="auto"/>
        <w:left w:val="none" w:sz="0" w:space="0" w:color="auto"/>
        <w:bottom w:val="none" w:sz="0" w:space="0" w:color="auto"/>
        <w:right w:val="none" w:sz="0" w:space="0" w:color="auto"/>
      </w:divBdr>
    </w:div>
    <w:div w:id="202231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ddb.coop/about/report.2022-%2023"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asar\AppData\Local\Microsoft\Windows\INetCache\IE\213CP25A\Copy_of_percapita_milk_NE_2001_2023.revised%5b1%5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'[Copy_of_percapita_milk_NE_2001_2023.revised(1).xlsx]Sheet1'!$L$12</c:f>
              <c:strCache>
                <c:ptCount val="1"/>
                <c:pt idx="0">
                  <c:v>Arunachal Pradesh</c:v>
                </c:pt>
              </c:strCache>
            </c:strRef>
          </c:tx>
          <c:spPr>
            <a:solidFill>
              <a:schemeClr val="accent2">
                <a:lumMod val="60000"/>
                <a:lumOff val="40000"/>
              </a:schemeClr>
            </a:solidFill>
            <a:ln>
              <a:noFill/>
            </a:ln>
            <a:effectLst/>
          </c:spPr>
          <c:invertIfNegative val="0"/>
          <c:cat>
            <c:numRef>
              <c:f>'[Copy_of_percapita_milk_NE_2001_2023.revised(1).xlsx]Sheet1'!$K$13:$K$25</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'[Copy_of_percapita_milk_NE_2001_2023.revised(1).xlsx]Sheet1'!$L$13:$L$25</c:f>
              <c:numCache>
                <c:formatCode>0.00</c:formatCode>
                <c:ptCount val="13"/>
                <c:pt idx="0">
                  <c:v>-30.158730158730162</c:v>
                </c:pt>
                <c:pt idx="1">
                  <c:v>11.363636363636376</c:v>
                </c:pt>
                <c:pt idx="2">
                  <c:v>89.795918367347042</c:v>
                </c:pt>
                <c:pt idx="3">
                  <c:v>5.3763440860215228</c:v>
                </c:pt>
                <c:pt idx="4">
                  <c:v>7.1428571428570731</c:v>
                </c:pt>
                <c:pt idx="5">
                  <c:v>3.8095238095238182</c:v>
                </c:pt>
                <c:pt idx="6">
                  <c:v>-8.2568807339448931</c:v>
                </c:pt>
                <c:pt idx="7">
                  <c:v>0.99999999999997868</c:v>
                </c:pt>
                <c:pt idx="8">
                  <c:v>8.9108910891089188</c:v>
                </c:pt>
                <c:pt idx="9">
                  <c:v>-28.181818181818208</c:v>
                </c:pt>
                <c:pt idx="10">
                  <c:v>3.7974683544304</c:v>
                </c:pt>
                <c:pt idx="11">
                  <c:v>-1.2195121951219412</c:v>
                </c:pt>
                <c:pt idx="12">
                  <c:v>-56.790123456790155</c:v>
                </c:pt>
              </c:numCache>
            </c:numRef>
          </c:val>
          <c:extLst>
            <c:ext xmlns:c16="http://schemas.microsoft.com/office/drawing/2014/chart" uri="{C3380CC4-5D6E-409C-BE32-E72D297353CC}">
              <c16:uniqueId val="{00000000-FF1D-465F-AF4B-B0833FD3277A}"/>
            </c:ext>
          </c:extLst>
        </c:ser>
        <c:ser>
          <c:idx val="1"/>
          <c:order val="1"/>
          <c:tx>
            <c:strRef>
              <c:f>'[Copy_of_percapita_milk_NE_2001_2023.revised(1).xlsx]Sheet1'!$M$12</c:f>
              <c:strCache>
                <c:ptCount val="1"/>
                <c:pt idx="0">
                  <c:v>Assam</c:v>
                </c:pt>
              </c:strCache>
            </c:strRef>
          </c:tx>
          <c:spPr>
            <a:solidFill>
              <a:srgbClr val="00B050"/>
            </a:solidFill>
            <a:ln>
              <a:noFill/>
            </a:ln>
            <a:effectLst/>
          </c:spPr>
          <c:invertIfNegative val="0"/>
          <c:cat>
            <c:numRef>
              <c:f>'[Copy_of_percapita_milk_NE_2001_2023.revised(1).xlsx]Sheet1'!$K$13:$K$25</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'[Copy_of_percapita_milk_NE_2001_2023.revised(1).xlsx]Sheet1'!$M$13:$M$25</c:f>
              <c:numCache>
                <c:formatCode>0.00</c:formatCode>
                <c:ptCount val="13"/>
                <c:pt idx="0">
                  <c:v>-1.4084507042253169</c:v>
                </c:pt>
                <c:pt idx="1">
                  <c:v>-1.4285714285714346</c:v>
                </c:pt>
                <c:pt idx="2">
                  <c:v>0</c:v>
                </c:pt>
                <c:pt idx="3">
                  <c:v>1.449275362318847</c:v>
                </c:pt>
                <c:pt idx="4">
                  <c:v>0</c:v>
                </c:pt>
                <c:pt idx="5">
                  <c:v>1.4285714285714013</c:v>
                </c:pt>
                <c:pt idx="6">
                  <c:v>0</c:v>
                </c:pt>
                <c:pt idx="7">
                  <c:v>0</c:v>
                </c:pt>
                <c:pt idx="8">
                  <c:v>2.8169014084506783</c:v>
                </c:pt>
                <c:pt idx="9">
                  <c:v>2.739726027397249</c:v>
                </c:pt>
                <c:pt idx="10">
                  <c:v>2.6666666666667282</c:v>
                </c:pt>
                <c:pt idx="11">
                  <c:v>1.2987012987012658</c:v>
                </c:pt>
                <c:pt idx="12">
                  <c:v>7.692307692307665</c:v>
                </c:pt>
              </c:numCache>
            </c:numRef>
          </c:val>
          <c:extLst>
            <c:ext xmlns:c16="http://schemas.microsoft.com/office/drawing/2014/chart" uri="{C3380CC4-5D6E-409C-BE32-E72D297353CC}">
              <c16:uniqueId val="{00000001-FF1D-465F-AF4B-B0833FD3277A}"/>
            </c:ext>
          </c:extLst>
        </c:ser>
        <c:ser>
          <c:idx val="2"/>
          <c:order val="2"/>
          <c:tx>
            <c:strRef>
              <c:f>'[Copy_of_percapita_milk_NE_2001_2023.revised(1).xlsx]Sheet1'!$N$12</c:f>
              <c:strCache>
                <c:ptCount val="1"/>
                <c:pt idx="0">
                  <c:v>Manipur</c:v>
                </c:pt>
              </c:strCache>
            </c:strRef>
          </c:tx>
          <c:spPr>
            <a:solidFill>
              <a:schemeClr val="accent3"/>
            </a:solidFill>
            <a:ln>
              <a:noFill/>
            </a:ln>
            <a:effectLst/>
          </c:spPr>
          <c:invertIfNegative val="0"/>
          <c:cat>
            <c:numRef>
              <c:f>'[Copy_of_percapita_milk_NE_2001_2023.revised(1).xlsx]Sheet1'!$K$13:$K$25</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'[Copy_of_percapita_milk_NE_2001_2023.revised(1).xlsx]Sheet1'!$N$13:$N$25</c:f>
              <c:numCache>
                <c:formatCode>0.00</c:formatCode>
                <c:ptCount val="13"/>
                <c:pt idx="0">
                  <c:v>-9.090909090909161</c:v>
                </c:pt>
                <c:pt idx="1">
                  <c:v>0</c:v>
                </c:pt>
                <c:pt idx="2">
                  <c:v>0</c:v>
                </c:pt>
                <c:pt idx="3">
                  <c:v>0</c:v>
                </c:pt>
                <c:pt idx="4">
                  <c:v>-4.99999999999996</c:v>
                </c:pt>
                <c:pt idx="5">
                  <c:v>-1.3157894736842368</c:v>
                </c:pt>
                <c:pt idx="6">
                  <c:v>-1.3333333333332642</c:v>
                </c:pt>
                <c:pt idx="7">
                  <c:v>2.7027027027026529</c:v>
                </c:pt>
                <c:pt idx="8">
                  <c:v>3.9473684210526327</c:v>
                </c:pt>
                <c:pt idx="9">
                  <c:v>-21.518987341772146</c:v>
                </c:pt>
                <c:pt idx="10">
                  <c:v>4.8387096774193061</c:v>
                </c:pt>
                <c:pt idx="11">
                  <c:v>-4.6153846153845768</c:v>
                </c:pt>
                <c:pt idx="12">
                  <c:v>-12.903225806451612</c:v>
                </c:pt>
              </c:numCache>
            </c:numRef>
          </c:val>
          <c:extLst>
            <c:ext xmlns:c16="http://schemas.microsoft.com/office/drawing/2014/chart" uri="{C3380CC4-5D6E-409C-BE32-E72D297353CC}">
              <c16:uniqueId val="{00000002-FF1D-465F-AF4B-B0833FD3277A}"/>
            </c:ext>
          </c:extLst>
        </c:ser>
        <c:ser>
          <c:idx val="3"/>
          <c:order val="3"/>
          <c:tx>
            <c:strRef>
              <c:f>'[Copy_of_percapita_milk_NE_2001_2023.revised(1).xlsx]Sheet1'!$O$12</c:f>
              <c:strCache>
                <c:ptCount val="1"/>
                <c:pt idx="0">
                  <c:v>Meghalaya</c:v>
                </c:pt>
              </c:strCache>
            </c:strRef>
          </c:tx>
          <c:spPr>
            <a:solidFill>
              <a:schemeClr val="accent4"/>
            </a:solidFill>
            <a:ln>
              <a:noFill/>
            </a:ln>
            <a:effectLst/>
          </c:spPr>
          <c:invertIfNegative val="0"/>
          <c:cat>
            <c:numRef>
              <c:f>'[Copy_of_percapita_milk_NE_2001_2023.revised(1).xlsx]Sheet1'!$K$13:$K$25</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'[Copy_of_percapita_milk_NE_2001_2023.revised(1).xlsx]Sheet1'!$O$13:$O$25</c:f>
              <c:numCache>
                <c:formatCode>0.00</c:formatCode>
                <c:ptCount val="13"/>
                <c:pt idx="0">
                  <c:v>-10.843373493975895</c:v>
                </c:pt>
                <c:pt idx="1">
                  <c:v>12.162162162162149</c:v>
                </c:pt>
                <c:pt idx="2">
                  <c:v>1.2048192771083821</c:v>
                </c:pt>
                <c:pt idx="3">
                  <c:v>0</c:v>
                </c:pt>
                <c:pt idx="4">
                  <c:v>-1.1904761904761307</c:v>
                </c:pt>
                <c:pt idx="5">
                  <c:v>0</c:v>
                </c:pt>
                <c:pt idx="6">
                  <c:v>-10.843373493975895</c:v>
                </c:pt>
                <c:pt idx="7">
                  <c:v>0</c:v>
                </c:pt>
                <c:pt idx="8">
                  <c:v>0</c:v>
                </c:pt>
                <c:pt idx="9">
                  <c:v>1.3513513513512709</c:v>
                </c:pt>
                <c:pt idx="10">
                  <c:v>0</c:v>
                </c:pt>
                <c:pt idx="11">
                  <c:v>2.6666666666667282</c:v>
                </c:pt>
                <c:pt idx="12">
                  <c:v>2.5974025974025761</c:v>
                </c:pt>
              </c:numCache>
            </c:numRef>
          </c:val>
          <c:extLst>
            <c:ext xmlns:c16="http://schemas.microsoft.com/office/drawing/2014/chart" uri="{C3380CC4-5D6E-409C-BE32-E72D297353CC}">
              <c16:uniqueId val="{00000003-FF1D-465F-AF4B-B0833FD3277A}"/>
            </c:ext>
          </c:extLst>
        </c:ser>
        <c:ser>
          <c:idx val="4"/>
          <c:order val="4"/>
          <c:tx>
            <c:strRef>
              <c:f>'[Copy_of_percapita_milk_NE_2001_2023.revised(1).xlsx]Sheet1'!$P$12</c:f>
              <c:strCache>
                <c:ptCount val="1"/>
                <c:pt idx="0">
                  <c:v>Mizoram</c:v>
                </c:pt>
              </c:strCache>
            </c:strRef>
          </c:tx>
          <c:spPr>
            <a:solidFill>
              <a:schemeClr val="accent5"/>
            </a:solidFill>
            <a:ln>
              <a:noFill/>
            </a:ln>
            <a:effectLst/>
          </c:spPr>
          <c:invertIfNegative val="0"/>
          <c:cat>
            <c:numRef>
              <c:f>'[Copy_of_percapita_milk_NE_2001_2023.revised(1).xlsx]Sheet1'!$K$13:$K$25</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'[Copy_of_percapita_milk_NE_2001_2023.revised(1).xlsx]Sheet1'!$P$13:$P$25</c:f>
              <c:numCache>
                <c:formatCode>0.00</c:formatCode>
                <c:ptCount val="13"/>
                <c:pt idx="0">
                  <c:v>12.903225806451601</c:v>
                </c:pt>
                <c:pt idx="1">
                  <c:v>2.8571428571428692</c:v>
                </c:pt>
                <c:pt idx="2">
                  <c:v>11.111111111111116</c:v>
                </c:pt>
                <c:pt idx="3">
                  <c:v>32.500000000000014</c:v>
                </c:pt>
                <c:pt idx="4">
                  <c:v>7.547169811320753</c:v>
                </c:pt>
                <c:pt idx="5">
                  <c:v>8.7719298245614077</c:v>
                </c:pt>
                <c:pt idx="6">
                  <c:v>-4.8387096774193399</c:v>
                </c:pt>
                <c:pt idx="7">
                  <c:v>1.6949152542372392</c:v>
                </c:pt>
                <c:pt idx="8">
                  <c:v>-9.9999999999999645</c:v>
                </c:pt>
                <c:pt idx="9">
                  <c:v>7.4074074074073737</c:v>
                </c:pt>
                <c:pt idx="10">
                  <c:v>-5.1724137931034031</c:v>
                </c:pt>
                <c:pt idx="11">
                  <c:v>0</c:v>
                </c:pt>
                <c:pt idx="12">
                  <c:v>1.8181818181818299</c:v>
                </c:pt>
              </c:numCache>
            </c:numRef>
          </c:val>
          <c:extLst>
            <c:ext xmlns:c16="http://schemas.microsoft.com/office/drawing/2014/chart" uri="{C3380CC4-5D6E-409C-BE32-E72D297353CC}">
              <c16:uniqueId val="{00000004-FF1D-465F-AF4B-B0833FD3277A}"/>
            </c:ext>
          </c:extLst>
        </c:ser>
        <c:ser>
          <c:idx val="5"/>
          <c:order val="5"/>
          <c:tx>
            <c:strRef>
              <c:f>'[Copy_of_percapita_milk_NE_2001_2023.revised(1).xlsx]Sheet1'!$Q$12</c:f>
              <c:strCache>
                <c:ptCount val="1"/>
                <c:pt idx="0">
                  <c:v>Nagaland</c:v>
                </c:pt>
              </c:strCache>
            </c:strRef>
          </c:tx>
          <c:spPr>
            <a:solidFill>
              <a:schemeClr val="accent6"/>
            </a:solidFill>
            <a:ln>
              <a:noFill/>
            </a:ln>
            <a:effectLst/>
          </c:spPr>
          <c:invertIfNegative val="0"/>
          <c:cat>
            <c:numRef>
              <c:f>'[Copy_of_percapita_milk_NE_2001_2023.revised(1).xlsx]Sheet1'!$K$13:$K$25</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'[Copy_of_percapita_milk_NE_2001_2023.revised(1).xlsx]Sheet1'!$Q$13:$Q$25</c:f>
              <c:numCache>
                <c:formatCode>0.00</c:formatCode>
                <c:ptCount val="13"/>
                <c:pt idx="0">
                  <c:v>16.129032258064502</c:v>
                </c:pt>
                <c:pt idx="1">
                  <c:v>-12.962962962962987</c:v>
                </c:pt>
                <c:pt idx="2">
                  <c:v>1.0638297872340496</c:v>
                </c:pt>
                <c:pt idx="3">
                  <c:v>-7.3684210526315352</c:v>
                </c:pt>
                <c:pt idx="4">
                  <c:v>1.1363636363635798</c:v>
                </c:pt>
                <c:pt idx="5">
                  <c:v>2.2471910112359383</c:v>
                </c:pt>
                <c:pt idx="6">
                  <c:v>5.4945054945055194</c:v>
                </c:pt>
                <c:pt idx="7">
                  <c:v>-3.1249999999999556</c:v>
                </c:pt>
                <c:pt idx="8">
                  <c:v>-16.129032258064548</c:v>
                </c:pt>
                <c:pt idx="9">
                  <c:v>-8.9743589743589638</c:v>
                </c:pt>
                <c:pt idx="10">
                  <c:v>7.0422535211267512</c:v>
                </c:pt>
                <c:pt idx="11">
                  <c:v>-19.736842105263154</c:v>
                </c:pt>
                <c:pt idx="12">
                  <c:v>6.5573770491802907</c:v>
                </c:pt>
              </c:numCache>
            </c:numRef>
          </c:val>
          <c:extLst>
            <c:ext xmlns:c16="http://schemas.microsoft.com/office/drawing/2014/chart" uri="{C3380CC4-5D6E-409C-BE32-E72D297353CC}">
              <c16:uniqueId val="{00000005-FF1D-465F-AF4B-B0833FD3277A}"/>
            </c:ext>
          </c:extLst>
        </c:ser>
        <c:ser>
          <c:idx val="6"/>
          <c:order val="6"/>
          <c:tx>
            <c:strRef>
              <c:f>'[Copy_of_percapita_milk_NE_2001_2023.revised(1).xlsx]Sheet1'!$R$12</c:f>
              <c:strCache>
                <c:ptCount val="1"/>
                <c:pt idx="0">
                  <c:v>Sikkim</c:v>
                </c:pt>
              </c:strCache>
            </c:strRef>
          </c:tx>
          <c:spPr>
            <a:solidFill>
              <a:srgbClr val="FF0000"/>
            </a:solidFill>
            <a:ln>
              <a:noFill/>
            </a:ln>
            <a:effectLst/>
          </c:spPr>
          <c:invertIfNegative val="0"/>
          <c:cat>
            <c:numRef>
              <c:f>'[Copy_of_percapita_milk_NE_2001_2023.revised(1).xlsx]Sheet1'!$K$13:$K$25</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'[Copy_of_percapita_milk_NE_2001_2023.revised(1).xlsx]Sheet1'!$R$13:$R$25</c:f>
              <c:numCache>
                <c:formatCode>0.00</c:formatCode>
                <c:ptCount val="13"/>
                <c:pt idx="0">
                  <c:v>4.1237113402062153</c:v>
                </c:pt>
                <c:pt idx="1">
                  <c:v>-7.9207920792079172</c:v>
                </c:pt>
                <c:pt idx="2">
                  <c:v>7.526881720430012</c:v>
                </c:pt>
                <c:pt idx="3">
                  <c:v>7.4999999999999956</c:v>
                </c:pt>
                <c:pt idx="4">
                  <c:v>31.162790697674492</c:v>
                </c:pt>
                <c:pt idx="5">
                  <c:v>-19.14893617021276</c:v>
                </c:pt>
                <c:pt idx="6">
                  <c:v>8.333333333333325</c:v>
                </c:pt>
                <c:pt idx="7">
                  <c:v>2.8340080971659631</c:v>
                </c:pt>
                <c:pt idx="8">
                  <c:v>35.826771653543354</c:v>
                </c:pt>
                <c:pt idx="9">
                  <c:v>-12.463768115942065</c:v>
                </c:pt>
                <c:pt idx="10">
                  <c:v>15.894039735099286</c:v>
                </c:pt>
                <c:pt idx="11">
                  <c:v>-0.85714285714281191</c:v>
                </c:pt>
                <c:pt idx="12">
                  <c:v>-7.4927953890490118</c:v>
                </c:pt>
              </c:numCache>
            </c:numRef>
          </c:val>
          <c:extLst>
            <c:ext xmlns:c16="http://schemas.microsoft.com/office/drawing/2014/chart" uri="{C3380CC4-5D6E-409C-BE32-E72D297353CC}">
              <c16:uniqueId val="{00000006-FF1D-465F-AF4B-B0833FD3277A}"/>
            </c:ext>
          </c:extLst>
        </c:ser>
        <c:ser>
          <c:idx val="7"/>
          <c:order val="7"/>
          <c:tx>
            <c:strRef>
              <c:f>'[Copy_of_percapita_milk_NE_2001_2023.revised(1).xlsx]Sheet1'!$S$12</c:f>
              <c:strCache>
                <c:ptCount val="1"/>
                <c:pt idx="0">
                  <c:v>Tripura</c:v>
                </c:pt>
              </c:strCache>
            </c:strRef>
          </c:tx>
          <c:spPr>
            <a:solidFill>
              <a:schemeClr val="tx1"/>
            </a:solidFill>
            <a:ln>
              <a:noFill/>
            </a:ln>
            <a:effectLst/>
          </c:spPr>
          <c:invertIfNegative val="0"/>
          <c:cat>
            <c:numRef>
              <c:f>'[Copy_of_percapita_milk_NE_2001_2023.revised(1).xlsx]Sheet1'!$K$13:$K$25</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'[Copy_of_percapita_milk_NE_2001_2023.revised(1).xlsx]Sheet1'!$S$13:$S$25</c:f>
              <c:numCache>
                <c:formatCode>0.00</c:formatCode>
                <c:ptCount val="13"/>
                <c:pt idx="0">
                  <c:v>3.7500000000000755</c:v>
                </c:pt>
                <c:pt idx="1">
                  <c:v>6.024096385542177</c:v>
                </c:pt>
                <c:pt idx="2">
                  <c:v>7.9545454545454142</c:v>
                </c:pt>
                <c:pt idx="3">
                  <c:v>8.4210526315789735</c:v>
                </c:pt>
                <c:pt idx="4">
                  <c:v>5.8252427184465772</c:v>
                </c:pt>
                <c:pt idx="5">
                  <c:v>4.5871559633027914</c:v>
                </c:pt>
                <c:pt idx="6">
                  <c:v>7.0175438596491224</c:v>
                </c:pt>
                <c:pt idx="7">
                  <c:v>4.918032786885207</c:v>
                </c:pt>
                <c:pt idx="8">
                  <c:v>6.2500000000000666</c:v>
                </c:pt>
                <c:pt idx="9">
                  <c:v>2.9411764705881582</c:v>
                </c:pt>
                <c:pt idx="10">
                  <c:v>4.2857142857143149</c:v>
                </c:pt>
                <c:pt idx="11">
                  <c:v>4.7945205479452024</c:v>
                </c:pt>
                <c:pt idx="12">
                  <c:v>6.5359477124183218</c:v>
                </c:pt>
              </c:numCache>
            </c:numRef>
          </c:val>
          <c:extLst>
            <c:ext xmlns:c16="http://schemas.microsoft.com/office/drawing/2014/chart" uri="{C3380CC4-5D6E-409C-BE32-E72D297353CC}">
              <c16:uniqueId val="{00000007-FF1D-465F-AF4B-B0833FD3277A}"/>
            </c:ext>
          </c:extLst>
        </c:ser>
        <c:ser>
          <c:idx val="8"/>
          <c:order val="8"/>
          <c:tx>
            <c:strRef>
              <c:f>'[Copy_of_percapita_milk_NE_2001_2023.revised(1).xlsx]Sheet1'!$T$12</c:f>
              <c:strCache>
                <c:ptCount val="1"/>
                <c:pt idx="0">
                  <c:v>India</c:v>
                </c:pt>
              </c:strCache>
            </c:strRef>
          </c:tx>
          <c:spPr>
            <a:solidFill>
              <a:srgbClr val="FFFF00"/>
            </a:solidFill>
            <a:ln>
              <a:noFill/>
            </a:ln>
            <a:effectLst/>
          </c:spPr>
          <c:invertIfNegative val="0"/>
          <c:cat>
            <c:numRef>
              <c:f>'[Copy_of_percapita_milk_NE_2001_2023.revised(1).xlsx]Sheet1'!$K$13:$K$25</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'[Copy_of_percapita_milk_NE_2001_2023.revised(1).xlsx]Sheet1'!$T$13:$T$25</c:f>
              <c:numCache>
                <c:formatCode>0.00</c:formatCode>
                <c:ptCount val="13"/>
                <c:pt idx="0">
                  <c:v>3.202846975088991</c:v>
                </c:pt>
                <c:pt idx="1">
                  <c:v>3.1034482758621307</c:v>
                </c:pt>
                <c:pt idx="2">
                  <c:v>2.6755852842808681</c:v>
                </c:pt>
                <c:pt idx="3">
                  <c:v>3.9087947882736174</c:v>
                </c:pt>
                <c:pt idx="4">
                  <c:v>4.3887147335423426</c:v>
                </c:pt>
                <c:pt idx="5">
                  <c:v>5.4054054054053502</c:v>
                </c:pt>
                <c:pt idx="6">
                  <c:v>5.4131054131054235</c:v>
                </c:pt>
                <c:pt idx="7">
                  <c:v>5.4054054054054612</c:v>
                </c:pt>
                <c:pt idx="8">
                  <c:v>4.102564102564088</c:v>
                </c:pt>
                <c:pt idx="9">
                  <c:v>5.1724137931034919</c:v>
                </c:pt>
                <c:pt idx="10">
                  <c:v>4.4496487119437766</c:v>
                </c:pt>
                <c:pt idx="11">
                  <c:v>2.9147982062780242</c:v>
                </c:pt>
                <c:pt idx="12">
                  <c:v>2.614379084967311</c:v>
                </c:pt>
              </c:numCache>
            </c:numRef>
          </c:val>
          <c:extLst>
            <c:ext xmlns:c16="http://schemas.microsoft.com/office/drawing/2014/chart" uri="{C3380CC4-5D6E-409C-BE32-E72D297353CC}">
              <c16:uniqueId val="{00000008-FF1D-465F-AF4B-B0833FD3277A}"/>
            </c:ext>
          </c:extLst>
        </c:ser>
        <c:dLbls>
          <c:showLegendKey val="0"/>
          <c:showVal val="0"/>
          <c:showCatName val="0"/>
          <c:showSerName val="0"/>
          <c:showPercent val="0"/>
          <c:showBubbleSize val="0"/>
        </c:dLbls>
        <c:gapWidth val="219"/>
        <c:axId val="1543241951"/>
        <c:axId val="1543225631"/>
      </c:barChart>
      <c:catAx>
        <c:axId val="15432419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a:solidFill>
                      <a:schemeClr val="tx1"/>
                    </a:solidFill>
                  </a:rPr>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43225631"/>
        <c:crosses val="autoZero"/>
        <c:auto val="1"/>
        <c:lblAlgn val="ctr"/>
        <c:lblOffset val="100"/>
        <c:noMultiLvlLbl val="0"/>
      </c:catAx>
      <c:valAx>
        <c:axId val="15432256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a:solidFill>
                      <a:schemeClr val="tx1"/>
                    </a:solidFill>
                  </a:rPr>
                  <a:t> Per capita</a:t>
                </a:r>
                <a:r>
                  <a:rPr lang="en-IN" baseline="0">
                    <a:solidFill>
                      <a:schemeClr val="tx1"/>
                    </a:solidFill>
                  </a:rPr>
                  <a:t> g</a:t>
                </a:r>
                <a:r>
                  <a:rPr lang="en-IN">
                    <a:solidFill>
                      <a:schemeClr val="tx1"/>
                    </a:solidFill>
                  </a:rPr>
                  <a:t>rowth</a:t>
                </a:r>
                <a:r>
                  <a:rPr lang="en-IN" baseline="0">
                    <a:solidFill>
                      <a:schemeClr val="tx1"/>
                    </a:solidFill>
                  </a:rPr>
                  <a:t> rate (%)</a:t>
                </a:r>
                <a:endParaRPr lang="en-IN">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43241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2382</Words>
  <Characters>13580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Tusoing Alphonse</dc:creator>
  <cp:keywords/>
  <dc:description/>
  <cp:lastModifiedBy>SDI 1084</cp:lastModifiedBy>
  <cp:revision>8</cp:revision>
  <dcterms:created xsi:type="dcterms:W3CDTF">2025-11-18T18:45:00Z</dcterms:created>
  <dcterms:modified xsi:type="dcterms:W3CDTF">2025-11-19T11:11:00Z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2e4a2f1e-a3a7-4f35-be09-55f7789eb439</vt:lpwstr>
  </property>
</Properties>
</file>