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bookmarkStart w:id="0" w:name="_GoBack"/>
      <w:bookmarkEnd w:id="0"/>
    </w:p>
    <w:p w:rsidR="00E36BCF" w:rsidRPr="00E36BCF" w:rsidRDefault="00E36BCF" w:rsidP="00441B6F">
      <w:pPr>
        <w:pStyle w:val="Author"/>
        <w:spacing w:line="240" w:lineRule="auto"/>
        <w:rPr>
          <w:rFonts w:ascii="Arial" w:hAnsi="Arial" w:cs="Arial"/>
          <w:bCs/>
          <w:iCs/>
          <w:kern w:val="28"/>
          <w:sz w:val="36"/>
          <w:szCs w:val="36"/>
        </w:rPr>
      </w:pPr>
      <w:r w:rsidRPr="00E36BCF">
        <w:rPr>
          <w:rFonts w:ascii="Arial" w:hAnsi="Arial" w:cs="Arial"/>
          <w:bCs/>
          <w:color w:val="000000" w:themeColor="text1"/>
          <w:sz w:val="36"/>
          <w:szCs w:val="36"/>
        </w:rPr>
        <w:t>Effect of three endodontic sealers and ultrasonic agitation on tooth discoloration</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33BBF"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o:lock v:ext="edit" rotation="t" position="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C85FB9" w:rsidRPr="00FB3A86" w:rsidRDefault="00C85FB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E564B" w:rsidRPr="005E564B">
              <w:rPr>
                <w:rFonts w:ascii="Arial" w:eastAsia="Calibri" w:hAnsi="Arial" w:cs="Arial"/>
                <w:szCs w:val="22"/>
              </w:rPr>
              <w:t xml:space="preserve">Evaluate the color change (ΔE) provided by </w:t>
            </w:r>
            <w:proofErr w:type="spellStart"/>
            <w:r w:rsidR="005E564B" w:rsidRPr="005E564B">
              <w:rPr>
                <w:rFonts w:ascii="Arial" w:eastAsia="Calibri" w:hAnsi="Arial" w:cs="Arial"/>
                <w:szCs w:val="22"/>
              </w:rPr>
              <w:t>Endofill</w:t>
            </w:r>
            <w:proofErr w:type="spellEnd"/>
            <w:r w:rsidR="005E564B" w:rsidRPr="005E564B">
              <w:rPr>
                <w:rFonts w:ascii="Arial" w:eastAsia="Calibri" w:hAnsi="Arial" w:cs="Arial"/>
                <w:szCs w:val="22"/>
              </w:rPr>
              <w:t xml:space="preserve"> (EF), Sealer 26 (S26) and MTA </w:t>
            </w:r>
            <w:proofErr w:type="spellStart"/>
            <w:r w:rsidR="005E564B" w:rsidRPr="005E564B">
              <w:rPr>
                <w:rFonts w:ascii="Arial" w:eastAsia="Calibri" w:hAnsi="Arial" w:cs="Arial"/>
                <w:szCs w:val="22"/>
              </w:rPr>
              <w:t>Fillapex</w:t>
            </w:r>
            <w:proofErr w:type="spellEnd"/>
            <w:r w:rsidR="005E564B" w:rsidRPr="005E564B">
              <w:rPr>
                <w:rFonts w:ascii="Arial" w:eastAsia="Calibri" w:hAnsi="Arial" w:cs="Arial"/>
                <w:szCs w:val="22"/>
              </w:rPr>
              <w:t xml:space="preserve"> (MTAF) endodontic sealers; also, to evaluate the influence of ultrasonic agitation (UA) in this discoloration.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E564B" w:rsidRPr="005E564B">
              <w:rPr>
                <w:rFonts w:ascii="Arial" w:eastAsia="Calibri" w:hAnsi="Arial" w:cs="Arial"/>
                <w:szCs w:val="22"/>
              </w:rPr>
              <w:t xml:space="preserve">Sixty blocks of bovine incisors were prepared and had circular cavities performed on their palatine faces in order to maintain a remnant of 2.0 mm thickness. They were divided into 6 groups according to the sealer/treatment. When used, UA was performed with a smooth ultrasonic insert coupled to a piezoelectric device. The color parameters were measured by means of a Vita </w:t>
            </w:r>
            <w:proofErr w:type="spellStart"/>
            <w:r w:rsidR="005E564B" w:rsidRPr="005E564B">
              <w:rPr>
                <w:rFonts w:ascii="Arial" w:eastAsia="Calibri" w:hAnsi="Arial" w:cs="Arial"/>
                <w:szCs w:val="22"/>
              </w:rPr>
              <w:t>Easyshade</w:t>
            </w:r>
            <w:proofErr w:type="spellEnd"/>
            <w:r w:rsidR="005E564B" w:rsidRPr="005E564B">
              <w:rPr>
                <w:rFonts w:ascii="Arial" w:eastAsia="Calibri" w:hAnsi="Arial" w:cs="Arial"/>
                <w:szCs w:val="22"/>
              </w:rPr>
              <w:t xml:space="preserve"> spectrophotometer after materials insertion and restoration achievement at the periods: immediately (T0), at 7 (T1), 30 (T2), 60 (T3), 90 (T4) and 180 days (T5). During the period the specimens were maintained immersed in containers filled with 2 mL of saline solution kept in an oven at 37 ºC. Statistical analysis was performed by Kruskal-Wallis and Dunn tests with significance set at 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E564B" w:rsidRPr="005E564B">
              <w:rPr>
                <w:rFonts w:ascii="Arial" w:eastAsia="Calibri" w:hAnsi="Arial" w:cs="Arial"/>
                <w:szCs w:val="22"/>
              </w:rPr>
              <w:t>It was observed at 7 and 30 days that just the EF group without UA presented ΔE&gt;3.7, a reference for clinically perceptible alterations. At 60 days all materials presented perceptible ΔE. Significant differences were observed throughout the experimental period in all groups (P&lt;0.05)</w:t>
            </w:r>
            <w:r w:rsidR="005E564B">
              <w:rPr>
                <w:rFonts w:ascii="Arial" w:eastAsia="Calibri" w:hAnsi="Arial" w:cs="Arial"/>
                <w:szCs w:val="22"/>
              </w:rPr>
              <w:t>.</w:t>
            </w:r>
          </w:p>
          <w:p w:rsidR="00505F06" w:rsidRPr="00BA1B01" w:rsidRDefault="00BA1B01" w:rsidP="005E564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E564B" w:rsidRPr="005E564B">
              <w:rPr>
                <w:rFonts w:ascii="Arial" w:eastAsia="Calibri" w:hAnsi="Arial" w:cs="Arial"/>
                <w:szCs w:val="22"/>
              </w:rPr>
              <w:t>In this study conditions could be concluded that, although initially only the EF showed a noticeable color variation, at the end of the experimental period all materials under test produced darkening. Furthermore, UA did not significantly interfere in ΔE effects of tested materials</w:t>
            </w:r>
            <w:r w:rsidRPr="00BA1B01">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7D5380" w:rsidRPr="007D5380">
        <w:rPr>
          <w:rFonts w:ascii="Arial" w:hAnsi="Arial" w:cs="Arial"/>
          <w:i/>
          <w:iCs/>
          <w:color w:val="000000" w:themeColor="text1"/>
        </w:rPr>
        <w:t xml:space="preserve">Endodontics; Tooth Discoloration; Root Canal Filling Materials; </w:t>
      </w:r>
      <w:proofErr w:type="spellStart"/>
      <w:r w:rsidR="007D5380" w:rsidRPr="007D5380">
        <w:rPr>
          <w:rFonts w:ascii="Arial" w:hAnsi="Arial" w:cs="Arial"/>
          <w:i/>
          <w:iCs/>
          <w:color w:val="000000" w:themeColor="text1"/>
        </w:rPr>
        <w:t>Ultrasonics</w:t>
      </w:r>
      <w:proofErr w:type="spellEnd"/>
      <w:r w:rsidR="007D5380" w:rsidRPr="007D5380">
        <w:rPr>
          <w:rFonts w:ascii="Arial" w:hAnsi="Arial" w:cs="Arial"/>
          <w:i/>
          <w:sz w:val="16"/>
          <w:szCs w:val="16"/>
        </w:rPr>
        <w:t xml:space="preserve"> </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1203A1" w:rsidRDefault="001203A1"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When the pulp becomes non-viable, endodontic treatment aims to achieve its objective through debridement and disinfection, removing microorganisms, and obturation, in order to fill the root canal system (</w:t>
      </w:r>
      <w:r w:rsidR="0092466D">
        <w:rPr>
          <w:rFonts w:ascii="Arial" w:hAnsi="Arial" w:cs="Arial"/>
          <w:color w:val="000000" w:themeColor="text1"/>
        </w:rPr>
        <w:t>Chen, et al., 2017</w:t>
      </w:r>
      <w:r w:rsidRPr="00CC3F94">
        <w:rPr>
          <w:rFonts w:ascii="Arial" w:hAnsi="Arial" w:cs="Arial"/>
          <w:color w:val="000000" w:themeColor="text1"/>
        </w:rPr>
        <w:t>). However, incomplete filling by obturation materials can lead to endodontic failure, even with meticulous biomechanical preparation (</w:t>
      </w:r>
      <w:proofErr w:type="spellStart"/>
      <w:r w:rsidR="0092466D">
        <w:rPr>
          <w:rFonts w:ascii="Arial" w:hAnsi="Arial" w:cs="Arial"/>
          <w:color w:val="000000" w:themeColor="text1"/>
        </w:rPr>
        <w:t>Kalantar</w:t>
      </w:r>
      <w:proofErr w:type="spellEnd"/>
      <w:r w:rsidR="0092466D">
        <w:rPr>
          <w:rFonts w:ascii="Arial" w:hAnsi="Arial" w:cs="Arial"/>
          <w:color w:val="000000" w:themeColor="text1"/>
        </w:rPr>
        <w:t xml:space="preserve"> et al., 2021</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An important aspect of endodontic treatment is the patient’s quality of life, as oral problems can significantly affect physical and psychological well-being (</w:t>
      </w:r>
      <w:proofErr w:type="spellStart"/>
      <w:r w:rsidR="0092466D">
        <w:rPr>
          <w:rFonts w:ascii="Arial" w:hAnsi="Arial" w:cs="Arial"/>
          <w:color w:val="000000" w:themeColor="text1"/>
        </w:rPr>
        <w:t>Avancini</w:t>
      </w:r>
      <w:proofErr w:type="spellEnd"/>
      <w:r w:rsidR="0092466D">
        <w:rPr>
          <w:rFonts w:ascii="Arial" w:hAnsi="Arial" w:cs="Arial"/>
          <w:color w:val="000000" w:themeColor="text1"/>
        </w:rPr>
        <w:t xml:space="preserve"> et al., 2025</w:t>
      </w:r>
      <w:r w:rsidRPr="00CC3F94">
        <w:rPr>
          <w:rFonts w:ascii="Arial" w:hAnsi="Arial" w:cs="Arial"/>
          <w:color w:val="000000" w:themeColor="text1"/>
        </w:rPr>
        <w:t>). Among the associated issues, dental discoloration -often caused by materials used in obturation- is a significant aesthetic concern.</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Dentin discoloration induced by endodontic sealers occurs due to the interaction between radiopacifying agents and dentin collagen fibers, compromising the aesthetic outcome of the treatment (</w:t>
      </w:r>
      <w:proofErr w:type="spellStart"/>
      <w:r w:rsidR="0092466D">
        <w:rPr>
          <w:rFonts w:ascii="Arial" w:hAnsi="Arial" w:cs="Arial"/>
          <w:color w:val="000000" w:themeColor="text1"/>
        </w:rPr>
        <w:t>Savaris</w:t>
      </w:r>
      <w:proofErr w:type="spellEnd"/>
      <w:r w:rsidR="0092466D">
        <w:rPr>
          <w:rFonts w:ascii="Arial" w:hAnsi="Arial" w:cs="Arial"/>
          <w:color w:val="000000" w:themeColor="text1"/>
        </w:rPr>
        <w:t xml:space="preserve"> et al., 2024; Luna-Cruz et al., 2024; </w:t>
      </w:r>
      <w:proofErr w:type="spellStart"/>
      <w:r w:rsidR="0092466D">
        <w:rPr>
          <w:rFonts w:ascii="Arial" w:hAnsi="Arial" w:cs="Arial"/>
          <w:color w:val="000000" w:themeColor="text1"/>
        </w:rPr>
        <w:t>Assmann</w:t>
      </w:r>
      <w:proofErr w:type="spellEnd"/>
      <w:r w:rsidR="0092466D">
        <w:rPr>
          <w:rFonts w:ascii="Arial" w:hAnsi="Arial" w:cs="Arial"/>
          <w:color w:val="000000" w:themeColor="text1"/>
        </w:rPr>
        <w:t xml:space="preserve"> et al., 2012</w:t>
      </w:r>
      <w:r w:rsidRPr="00CC3F94">
        <w:rPr>
          <w:rFonts w:ascii="Arial" w:hAnsi="Arial" w:cs="Arial"/>
          <w:color w:val="000000" w:themeColor="text1"/>
        </w:rPr>
        <w:t>). This effect can directly impact patient satisfaction and emotional well-being.</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lastRenderedPageBreak/>
        <w:t>Various types of endodontic sealers are currently available on the market. Among the most traditional are zinc oxide and eugenol-based sealers, which are widely used worldwide (</w:t>
      </w:r>
      <w:proofErr w:type="spellStart"/>
      <w:r w:rsidR="00B879A3">
        <w:rPr>
          <w:rFonts w:ascii="Arial" w:hAnsi="Arial" w:cs="Arial"/>
          <w:color w:val="000000" w:themeColor="text1"/>
        </w:rPr>
        <w:t>Assmann</w:t>
      </w:r>
      <w:proofErr w:type="spellEnd"/>
      <w:r w:rsidR="00B879A3">
        <w:rPr>
          <w:rFonts w:ascii="Arial" w:hAnsi="Arial" w:cs="Arial"/>
          <w:color w:val="000000" w:themeColor="text1"/>
        </w:rPr>
        <w:t xml:space="preserve"> et al., 2012; </w:t>
      </w:r>
      <w:proofErr w:type="spellStart"/>
      <w:r w:rsidR="00B879A3">
        <w:rPr>
          <w:rFonts w:ascii="Arial" w:hAnsi="Arial" w:cs="Arial"/>
          <w:color w:val="000000" w:themeColor="text1"/>
        </w:rPr>
        <w:t>Komabayashi</w:t>
      </w:r>
      <w:proofErr w:type="spellEnd"/>
      <w:r w:rsidR="00B879A3">
        <w:rPr>
          <w:rFonts w:ascii="Arial" w:hAnsi="Arial" w:cs="Arial"/>
          <w:color w:val="000000" w:themeColor="text1"/>
        </w:rPr>
        <w:t xml:space="preserve"> et al., 2020</w:t>
      </w:r>
      <w:r w:rsidRPr="00CC3F94">
        <w:rPr>
          <w:rFonts w:ascii="Arial" w:hAnsi="Arial" w:cs="Arial"/>
          <w:color w:val="000000" w:themeColor="text1"/>
        </w:rPr>
        <w:t xml:space="preserve">). </w:t>
      </w:r>
      <w:proofErr w:type="spellStart"/>
      <w:r w:rsidRPr="00CC3F94">
        <w:rPr>
          <w:rFonts w:ascii="Arial" w:hAnsi="Arial" w:cs="Arial"/>
          <w:color w:val="000000" w:themeColor="text1"/>
        </w:rPr>
        <w:t>Endofill</w:t>
      </w:r>
      <w:proofErr w:type="spellEnd"/>
      <w:r w:rsidRPr="00CC3F94">
        <w:rPr>
          <w:rFonts w:ascii="Arial" w:hAnsi="Arial" w:cs="Arial"/>
          <w:color w:val="000000" w:themeColor="text1"/>
        </w:rPr>
        <w:t xml:space="preserve"> cement (Dentsply </w:t>
      </w:r>
      <w:proofErr w:type="spellStart"/>
      <w:r w:rsidRPr="00CC3F94">
        <w:rPr>
          <w:rFonts w:ascii="Arial" w:hAnsi="Arial" w:cs="Arial"/>
          <w:color w:val="000000" w:themeColor="text1"/>
        </w:rPr>
        <w:t>Brasil</w:t>
      </w:r>
      <w:proofErr w:type="spellEnd"/>
      <w:r w:rsidRPr="00CC3F94">
        <w:rPr>
          <w:rFonts w:ascii="Arial" w:hAnsi="Arial" w:cs="Arial"/>
          <w:color w:val="000000" w:themeColor="text1"/>
        </w:rPr>
        <w:t xml:space="preserve">, </w:t>
      </w:r>
      <w:proofErr w:type="spellStart"/>
      <w:r w:rsidRPr="00CC3F94">
        <w:rPr>
          <w:rFonts w:ascii="Arial" w:hAnsi="Arial" w:cs="Arial"/>
          <w:color w:val="000000" w:themeColor="text1"/>
        </w:rPr>
        <w:t>Petrópolis</w:t>
      </w:r>
      <w:proofErr w:type="spellEnd"/>
      <w:r w:rsidRPr="00CC3F94">
        <w:rPr>
          <w:rFonts w:ascii="Arial" w:hAnsi="Arial" w:cs="Arial"/>
          <w:color w:val="000000" w:themeColor="text1"/>
        </w:rPr>
        <w:t xml:space="preserve">, RJ, Brazil) belongs to this category, comprising a powder component (zinc oxide, hydrogenated resin, bismuth </w:t>
      </w:r>
      <w:proofErr w:type="spellStart"/>
      <w:r w:rsidRPr="00CC3F94">
        <w:rPr>
          <w:rFonts w:ascii="Arial" w:hAnsi="Arial" w:cs="Arial"/>
          <w:color w:val="000000" w:themeColor="text1"/>
        </w:rPr>
        <w:t>subcarbonate</w:t>
      </w:r>
      <w:proofErr w:type="spellEnd"/>
      <w:r w:rsidRPr="00CC3F94">
        <w:rPr>
          <w:rFonts w:ascii="Arial" w:hAnsi="Arial" w:cs="Arial"/>
          <w:color w:val="000000" w:themeColor="text1"/>
        </w:rPr>
        <w:t>, barium sulfate, and sodium borate) and a liquid component (eugenol and sweet almond oil). This sealer exhibits exceptional flowability and meets appropriate standards for radiopacity and plasticity, as required by ISO 6876/2012 (</w:t>
      </w:r>
      <w:proofErr w:type="spellStart"/>
      <w:r w:rsidR="001D3CCA">
        <w:rPr>
          <w:rFonts w:ascii="Arial" w:hAnsi="Arial" w:cs="Arial"/>
          <w:color w:val="000000" w:themeColor="text1"/>
        </w:rPr>
        <w:t>Torabinejad</w:t>
      </w:r>
      <w:proofErr w:type="spellEnd"/>
      <w:r w:rsidR="001D3CCA">
        <w:rPr>
          <w:rFonts w:ascii="Arial" w:hAnsi="Arial" w:cs="Arial"/>
          <w:color w:val="000000" w:themeColor="text1"/>
        </w:rPr>
        <w:t xml:space="preserve">, </w:t>
      </w:r>
      <w:proofErr w:type="spellStart"/>
      <w:r w:rsidR="001D3CCA">
        <w:rPr>
          <w:rFonts w:ascii="Arial" w:hAnsi="Arial" w:cs="Arial"/>
          <w:color w:val="000000" w:themeColor="text1"/>
        </w:rPr>
        <w:t>Pariokh</w:t>
      </w:r>
      <w:proofErr w:type="spellEnd"/>
      <w:r w:rsidR="001D3CCA">
        <w:rPr>
          <w:rFonts w:ascii="Arial" w:hAnsi="Arial" w:cs="Arial"/>
          <w:color w:val="000000" w:themeColor="text1"/>
        </w:rPr>
        <w:t xml:space="preserve"> and </w:t>
      </w:r>
      <w:proofErr w:type="spellStart"/>
      <w:r w:rsidR="001D3CCA">
        <w:rPr>
          <w:rFonts w:ascii="Arial" w:hAnsi="Arial" w:cs="Arial"/>
          <w:color w:val="000000" w:themeColor="text1"/>
        </w:rPr>
        <w:t>Dummer</w:t>
      </w:r>
      <w:proofErr w:type="spellEnd"/>
      <w:r w:rsidR="001D3CCA">
        <w:rPr>
          <w:rFonts w:ascii="Arial" w:hAnsi="Arial" w:cs="Arial"/>
          <w:color w:val="000000" w:themeColor="text1"/>
        </w:rPr>
        <w:t xml:space="preserve"> 2018</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In addition to zinc oxide and eugenol-based sealers, there are those formulated with plastic resins as the main component (</w:t>
      </w:r>
      <w:r w:rsidR="00136FD9">
        <w:rPr>
          <w:rFonts w:ascii="Arial" w:hAnsi="Arial" w:cs="Arial"/>
          <w:color w:val="000000" w:themeColor="text1"/>
        </w:rPr>
        <w:t>Alcalde et al., 2017; Camilleri 2015</w:t>
      </w:r>
      <w:r w:rsidRPr="00CC3F94">
        <w:rPr>
          <w:rFonts w:ascii="Arial" w:hAnsi="Arial" w:cs="Arial"/>
          <w:color w:val="000000" w:themeColor="text1"/>
        </w:rPr>
        <w:t>), providing greater mechanical strength compared to conventional materials (</w:t>
      </w:r>
      <w:proofErr w:type="spellStart"/>
      <w:r w:rsidR="008069B9">
        <w:rPr>
          <w:rFonts w:ascii="Arial" w:hAnsi="Arial" w:cs="Arial"/>
          <w:color w:val="000000" w:themeColor="text1"/>
        </w:rPr>
        <w:t>Eramo</w:t>
      </w:r>
      <w:proofErr w:type="spellEnd"/>
      <w:r w:rsidR="008069B9">
        <w:rPr>
          <w:rFonts w:ascii="Arial" w:hAnsi="Arial" w:cs="Arial"/>
          <w:color w:val="000000" w:themeColor="text1"/>
        </w:rPr>
        <w:t xml:space="preserve"> et al., 2018; Cintra et al., 2017; Tomás-</w:t>
      </w:r>
      <w:proofErr w:type="spellStart"/>
      <w:r w:rsidR="008069B9">
        <w:rPr>
          <w:rFonts w:ascii="Arial" w:hAnsi="Arial" w:cs="Arial"/>
          <w:color w:val="000000" w:themeColor="text1"/>
        </w:rPr>
        <w:t>Catalá</w:t>
      </w:r>
      <w:proofErr w:type="spellEnd"/>
      <w:r w:rsidR="008069B9">
        <w:rPr>
          <w:rFonts w:ascii="Arial" w:hAnsi="Arial" w:cs="Arial"/>
          <w:color w:val="000000" w:themeColor="text1"/>
        </w:rPr>
        <w:t xml:space="preserve"> et al., 2017)</w:t>
      </w:r>
      <w:r w:rsidRPr="00CC3F94">
        <w:rPr>
          <w:rFonts w:ascii="Arial" w:hAnsi="Arial" w:cs="Arial"/>
          <w:color w:val="000000" w:themeColor="text1"/>
        </w:rPr>
        <w:t xml:space="preserve">. An example of this group is Sealer 26 (Dentsply </w:t>
      </w:r>
      <w:proofErr w:type="spellStart"/>
      <w:r w:rsidRPr="00CC3F94">
        <w:rPr>
          <w:rFonts w:ascii="Arial" w:hAnsi="Arial" w:cs="Arial"/>
          <w:color w:val="000000" w:themeColor="text1"/>
        </w:rPr>
        <w:t>Brasil</w:t>
      </w:r>
      <w:proofErr w:type="spellEnd"/>
      <w:r w:rsidRPr="00CC3F94">
        <w:rPr>
          <w:rFonts w:ascii="Arial" w:hAnsi="Arial" w:cs="Arial"/>
          <w:color w:val="000000" w:themeColor="text1"/>
        </w:rPr>
        <w:t>), which consists of a powder (composed of bismuth oxide, calcium hydroxide, hexamethylenetetramine, and titanium dioxide) bound to an epoxy-bisphenol resin (</w:t>
      </w:r>
      <w:proofErr w:type="spellStart"/>
      <w:r w:rsidR="000F0DEF">
        <w:rPr>
          <w:rFonts w:ascii="Arial" w:hAnsi="Arial" w:cs="Arial"/>
          <w:color w:val="000000" w:themeColor="text1"/>
        </w:rPr>
        <w:t>Bernabé</w:t>
      </w:r>
      <w:proofErr w:type="spellEnd"/>
      <w:r w:rsidR="000F0DEF">
        <w:rPr>
          <w:rFonts w:ascii="Arial" w:hAnsi="Arial" w:cs="Arial"/>
          <w:color w:val="000000" w:themeColor="text1"/>
        </w:rPr>
        <w:t xml:space="preserve"> et al., 2013; </w:t>
      </w:r>
      <w:proofErr w:type="spellStart"/>
      <w:r w:rsidR="000F0DEF">
        <w:rPr>
          <w:rFonts w:ascii="Arial" w:hAnsi="Arial" w:cs="Arial"/>
          <w:color w:val="000000" w:themeColor="text1"/>
        </w:rPr>
        <w:t>Guimarães</w:t>
      </w:r>
      <w:proofErr w:type="spellEnd"/>
      <w:r w:rsidR="000F0DEF">
        <w:rPr>
          <w:rFonts w:ascii="Arial" w:hAnsi="Arial" w:cs="Arial"/>
          <w:color w:val="000000" w:themeColor="text1"/>
        </w:rPr>
        <w:t xml:space="preserve"> et al., 2014</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 xml:space="preserve">Another relevant category includes </w:t>
      </w:r>
      <w:proofErr w:type="spellStart"/>
      <w:r w:rsidRPr="00CC3F94">
        <w:rPr>
          <w:rFonts w:ascii="Arial" w:hAnsi="Arial" w:cs="Arial"/>
          <w:color w:val="000000" w:themeColor="text1"/>
        </w:rPr>
        <w:t>bioceramic</w:t>
      </w:r>
      <w:proofErr w:type="spellEnd"/>
      <w:r w:rsidRPr="00CC3F94">
        <w:rPr>
          <w:rFonts w:ascii="Arial" w:hAnsi="Arial" w:cs="Arial"/>
          <w:color w:val="000000" w:themeColor="text1"/>
        </w:rPr>
        <w:t xml:space="preserve"> sealers, which consist of ceramic or metallic oxides with sufficient biocompatibility to interact with human tissues, stimulate regeneration, and promote tissue resorption (</w:t>
      </w:r>
      <w:r w:rsidR="0061617C">
        <w:rPr>
          <w:rFonts w:ascii="Arial" w:hAnsi="Arial" w:cs="Arial"/>
          <w:color w:val="000000" w:themeColor="text1"/>
        </w:rPr>
        <w:t>Marciano et al., 2017; Al-</w:t>
      </w:r>
      <w:proofErr w:type="spellStart"/>
      <w:r w:rsidR="0061617C">
        <w:rPr>
          <w:rFonts w:ascii="Arial" w:hAnsi="Arial" w:cs="Arial"/>
          <w:color w:val="000000" w:themeColor="text1"/>
        </w:rPr>
        <w:t>Fouzan</w:t>
      </w:r>
      <w:proofErr w:type="spellEnd"/>
      <w:r w:rsidR="0061617C">
        <w:rPr>
          <w:rFonts w:ascii="Arial" w:hAnsi="Arial" w:cs="Arial"/>
          <w:color w:val="000000" w:themeColor="text1"/>
        </w:rPr>
        <w:t xml:space="preserve"> et al., 2012; </w:t>
      </w:r>
      <w:proofErr w:type="spellStart"/>
      <w:r w:rsidR="0061617C">
        <w:rPr>
          <w:rFonts w:ascii="Arial" w:hAnsi="Arial" w:cs="Arial"/>
          <w:color w:val="000000" w:themeColor="text1"/>
        </w:rPr>
        <w:t>Lenherr</w:t>
      </w:r>
      <w:proofErr w:type="spellEnd"/>
      <w:r w:rsidR="0061617C">
        <w:rPr>
          <w:rFonts w:ascii="Arial" w:hAnsi="Arial" w:cs="Arial"/>
          <w:color w:val="000000" w:themeColor="text1"/>
        </w:rPr>
        <w:t xml:space="preserve"> et al., 2012</w:t>
      </w:r>
      <w:r w:rsidRPr="00CC3F94">
        <w:rPr>
          <w:rFonts w:ascii="Arial" w:hAnsi="Arial" w:cs="Arial"/>
          <w:color w:val="000000" w:themeColor="text1"/>
        </w:rPr>
        <w:t>). A well-known example is mineral trioxide aggregate (MTA)-based sealers (</w:t>
      </w:r>
      <w:r w:rsidR="00B908EE">
        <w:rPr>
          <w:rFonts w:ascii="Arial" w:hAnsi="Arial" w:cs="Arial"/>
          <w:color w:val="000000" w:themeColor="text1"/>
        </w:rPr>
        <w:t xml:space="preserve">Marciano et al., 2014; </w:t>
      </w:r>
      <w:proofErr w:type="spellStart"/>
      <w:r w:rsidR="00B908EE">
        <w:rPr>
          <w:rFonts w:ascii="Arial" w:hAnsi="Arial" w:cs="Arial"/>
          <w:color w:val="000000" w:themeColor="text1"/>
        </w:rPr>
        <w:t>Dettwiler</w:t>
      </w:r>
      <w:proofErr w:type="spellEnd"/>
      <w:r w:rsidR="00B908EE">
        <w:rPr>
          <w:rFonts w:ascii="Arial" w:hAnsi="Arial" w:cs="Arial"/>
          <w:color w:val="000000" w:themeColor="text1"/>
        </w:rPr>
        <w:t xml:space="preserve"> et al., 2016</w:t>
      </w:r>
      <w:r w:rsidRPr="00CC3F94">
        <w:rPr>
          <w:rFonts w:ascii="Arial" w:hAnsi="Arial" w:cs="Arial"/>
          <w:color w:val="000000" w:themeColor="text1"/>
        </w:rPr>
        <w:t>). These materials exhibit excellent sealing ability, biocompatibility, and bioactivity, making them widely indicated for endodontic therapy, including pulp capping, pulpotomy, root perforation sealing, apexification, and retrograde obturation (</w:t>
      </w:r>
      <w:r w:rsidR="004B7456">
        <w:rPr>
          <w:rFonts w:ascii="Arial" w:hAnsi="Arial" w:cs="Arial"/>
          <w:color w:val="000000" w:themeColor="text1"/>
        </w:rPr>
        <w:t>Marciano, Duarte and Camilleri 2015</w:t>
      </w:r>
      <w:r w:rsidRPr="00CC3F94">
        <w:rPr>
          <w:rFonts w:ascii="Arial" w:hAnsi="Arial" w:cs="Arial"/>
          <w:color w:val="000000" w:themeColor="text1"/>
        </w:rPr>
        <w:t>). However, MTA has some drawbacks, such as handling difficulties, prolonged setting time, and potential color alteration (</w:t>
      </w:r>
      <w:r w:rsidR="00C95014">
        <w:rPr>
          <w:rFonts w:ascii="Arial" w:hAnsi="Arial" w:cs="Arial"/>
          <w:color w:val="000000" w:themeColor="text1"/>
        </w:rPr>
        <w:t xml:space="preserve">Camilleri, Sorrentino and </w:t>
      </w:r>
      <w:proofErr w:type="spellStart"/>
      <w:r w:rsidR="00C95014">
        <w:rPr>
          <w:rFonts w:ascii="Arial" w:hAnsi="Arial" w:cs="Arial"/>
          <w:color w:val="000000" w:themeColor="text1"/>
        </w:rPr>
        <w:t>Damidot</w:t>
      </w:r>
      <w:proofErr w:type="spellEnd"/>
      <w:r w:rsidR="00C95014">
        <w:rPr>
          <w:rFonts w:ascii="Arial" w:hAnsi="Arial" w:cs="Arial"/>
          <w:color w:val="000000" w:themeColor="text1"/>
        </w:rPr>
        <w:t xml:space="preserve"> 2013; Richman 195</w:t>
      </w:r>
      <w:r w:rsidR="00D33F96">
        <w:rPr>
          <w:rFonts w:ascii="Arial" w:hAnsi="Arial" w:cs="Arial"/>
          <w:color w:val="000000" w:themeColor="text1"/>
        </w:rPr>
        <w:t>7</w:t>
      </w:r>
      <w:r w:rsidRPr="00CC3F94">
        <w:rPr>
          <w:rFonts w:ascii="Arial" w:hAnsi="Arial" w:cs="Arial"/>
          <w:color w:val="000000" w:themeColor="text1"/>
        </w:rPr>
        <w:t xml:space="preserve">). Among the most accessible materials in this category, MTA </w:t>
      </w:r>
      <w:proofErr w:type="spellStart"/>
      <w:r w:rsidRPr="00CC3F94">
        <w:rPr>
          <w:rFonts w:ascii="Arial" w:hAnsi="Arial" w:cs="Arial"/>
          <w:color w:val="000000" w:themeColor="text1"/>
        </w:rPr>
        <w:t>Fillapex</w:t>
      </w:r>
      <w:proofErr w:type="spellEnd"/>
      <w:r w:rsidRPr="00CC3F94">
        <w:rPr>
          <w:rFonts w:ascii="Arial" w:hAnsi="Arial" w:cs="Arial"/>
          <w:color w:val="000000" w:themeColor="text1"/>
        </w:rPr>
        <w:t xml:space="preserve"> stands out as a sealer composed of salicylate resin, diluent resin, natural resin, bismuth oxide, radiopacifying agents, silica nanoparticles, MTA, and pigments (</w:t>
      </w:r>
      <w:proofErr w:type="spellStart"/>
      <w:r w:rsidR="005F4268">
        <w:rPr>
          <w:rFonts w:ascii="Arial" w:hAnsi="Arial" w:cs="Arial"/>
          <w:color w:val="000000" w:themeColor="text1"/>
        </w:rPr>
        <w:t>Dettwiler</w:t>
      </w:r>
      <w:proofErr w:type="spellEnd"/>
      <w:r w:rsidR="005F4268">
        <w:rPr>
          <w:rFonts w:ascii="Arial" w:hAnsi="Arial" w:cs="Arial"/>
          <w:color w:val="000000" w:themeColor="text1"/>
        </w:rPr>
        <w:t xml:space="preserve"> et al., 2016; Camilleri, Sorrentino and </w:t>
      </w:r>
      <w:proofErr w:type="spellStart"/>
      <w:r w:rsidR="005F4268">
        <w:rPr>
          <w:rFonts w:ascii="Arial" w:hAnsi="Arial" w:cs="Arial"/>
          <w:color w:val="000000" w:themeColor="text1"/>
        </w:rPr>
        <w:t>Damidot</w:t>
      </w:r>
      <w:proofErr w:type="spellEnd"/>
      <w:r w:rsidR="005F4268">
        <w:rPr>
          <w:rFonts w:ascii="Arial" w:hAnsi="Arial" w:cs="Arial"/>
          <w:color w:val="000000" w:themeColor="text1"/>
        </w:rPr>
        <w:t xml:space="preserve"> 2013</w:t>
      </w:r>
      <w:r w:rsidRPr="00CC3F94">
        <w:rPr>
          <w:rFonts w:ascii="Arial" w:hAnsi="Arial" w:cs="Arial"/>
          <w:color w:val="000000" w:themeColor="text1"/>
        </w:rPr>
        <w:t xml:space="preserve">). Its distinctive feature lies in its </w:t>
      </w:r>
      <w:proofErr w:type="spellStart"/>
      <w:r w:rsidRPr="00CC3F94">
        <w:rPr>
          <w:rFonts w:ascii="Arial" w:hAnsi="Arial" w:cs="Arial"/>
          <w:color w:val="000000" w:themeColor="text1"/>
        </w:rPr>
        <w:t>radiopacifier</w:t>
      </w:r>
      <w:proofErr w:type="spellEnd"/>
      <w:r w:rsidRPr="00CC3F94">
        <w:rPr>
          <w:rFonts w:ascii="Arial" w:hAnsi="Arial" w:cs="Arial"/>
          <w:color w:val="000000" w:themeColor="text1"/>
        </w:rPr>
        <w:t>: calcium tungstate.</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Studies have shown that ultrasound-assisted obturation results in a denser and more homogeneous filling compared to the more commonly used lateral compaction technique (</w:t>
      </w:r>
      <w:r w:rsidR="00F42B62">
        <w:rPr>
          <w:rFonts w:ascii="Arial" w:hAnsi="Arial" w:cs="Arial"/>
          <w:color w:val="000000" w:themeColor="text1"/>
        </w:rPr>
        <w:t xml:space="preserve">Alcalde et al., 2017; </w:t>
      </w:r>
      <w:proofErr w:type="spellStart"/>
      <w:r w:rsidR="00F42B62">
        <w:rPr>
          <w:rFonts w:ascii="Arial" w:hAnsi="Arial" w:cs="Arial"/>
          <w:color w:val="000000" w:themeColor="text1"/>
        </w:rPr>
        <w:t>Bernabé</w:t>
      </w:r>
      <w:proofErr w:type="spellEnd"/>
      <w:r w:rsidR="00F42B62">
        <w:rPr>
          <w:rFonts w:ascii="Arial" w:hAnsi="Arial" w:cs="Arial"/>
          <w:color w:val="000000" w:themeColor="text1"/>
        </w:rPr>
        <w:t xml:space="preserve"> et al., 2013; </w:t>
      </w:r>
      <w:proofErr w:type="spellStart"/>
      <w:r w:rsidR="00917C8D">
        <w:rPr>
          <w:rFonts w:ascii="Arial" w:hAnsi="Arial" w:cs="Arial"/>
          <w:color w:val="222222"/>
          <w:shd w:val="clear" w:color="auto" w:fill="FFFFFF"/>
        </w:rPr>
        <w:t>Yoldaş</w:t>
      </w:r>
      <w:proofErr w:type="spellEnd"/>
      <w:r w:rsidR="00917C8D">
        <w:rPr>
          <w:rFonts w:ascii="Arial" w:hAnsi="Arial" w:cs="Arial"/>
          <w:color w:val="000000" w:themeColor="text1"/>
        </w:rPr>
        <w:t xml:space="preserve"> </w:t>
      </w:r>
      <w:r w:rsidR="00F42B62">
        <w:rPr>
          <w:rFonts w:ascii="Arial" w:hAnsi="Arial" w:cs="Arial"/>
          <w:color w:val="000000" w:themeColor="text1"/>
        </w:rPr>
        <w:t>et al., 2016</w:t>
      </w:r>
      <w:r w:rsidRPr="00CC3F94">
        <w:rPr>
          <w:rFonts w:ascii="Arial" w:hAnsi="Arial" w:cs="Arial"/>
          <w:color w:val="000000" w:themeColor="text1"/>
        </w:rPr>
        <w:t>). Ultrasonically assisted active lateral condensation has been employed to soften gutta-percha, improving its adaptation to canal walls (</w:t>
      </w:r>
      <w:r w:rsidR="005B0F1A">
        <w:rPr>
          <w:rFonts w:ascii="Arial" w:hAnsi="Arial" w:cs="Arial"/>
          <w:color w:val="000000" w:themeColor="text1"/>
        </w:rPr>
        <w:t xml:space="preserve">Alcalde et al., 2017; </w:t>
      </w:r>
      <w:proofErr w:type="spellStart"/>
      <w:r w:rsidR="005B0F1A">
        <w:rPr>
          <w:rFonts w:ascii="Arial" w:hAnsi="Arial" w:cs="Arial"/>
          <w:color w:val="000000" w:themeColor="text1"/>
        </w:rPr>
        <w:t>Bernabé</w:t>
      </w:r>
      <w:proofErr w:type="spellEnd"/>
      <w:r w:rsidR="005B0F1A">
        <w:rPr>
          <w:rFonts w:ascii="Arial" w:hAnsi="Arial" w:cs="Arial"/>
          <w:color w:val="000000" w:themeColor="text1"/>
        </w:rPr>
        <w:t xml:space="preserve"> et al., 2013</w:t>
      </w:r>
      <w:r w:rsidRPr="00CC3F94">
        <w:rPr>
          <w:rFonts w:ascii="Arial" w:hAnsi="Arial" w:cs="Arial"/>
          <w:color w:val="000000" w:themeColor="text1"/>
        </w:rPr>
        <w:t>). Some in vitro studies report that this technique provides better sealing ability and higher gutta-percha density than manual lateral compaction (</w:t>
      </w:r>
      <w:r w:rsidR="005B0F1A">
        <w:rPr>
          <w:rFonts w:ascii="Arial" w:hAnsi="Arial" w:cs="Arial"/>
          <w:color w:val="000000" w:themeColor="text1"/>
        </w:rPr>
        <w:t>Alcalde et al., 2017</w:t>
      </w:r>
      <w:r w:rsidRPr="00CC3F94">
        <w:rPr>
          <w:rFonts w:ascii="Arial" w:hAnsi="Arial" w:cs="Arial"/>
          <w:color w:val="000000" w:themeColor="text1"/>
        </w:rPr>
        <w:t>). However, the influence of ultrasound agitation on sealer distribution and its impact on the discoloration potential of these materials still require further investigation (</w:t>
      </w:r>
      <w:proofErr w:type="spellStart"/>
      <w:r w:rsidR="005B0F1A">
        <w:rPr>
          <w:rFonts w:ascii="Arial" w:hAnsi="Arial" w:cs="Arial"/>
          <w:color w:val="000000" w:themeColor="text1"/>
        </w:rPr>
        <w:t>Bernabé</w:t>
      </w:r>
      <w:proofErr w:type="spellEnd"/>
      <w:r w:rsidR="005B0F1A">
        <w:rPr>
          <w:rFonts w:ascii="Arial" w:hAnsi="Arial" w:cs="Arial"/>
          <w:color w:val="000000" w:themeColor="text1"/>
        </w:rPr>
        <w:t xml:space="preserve"> et al., 2013; Aguiar et al., 2019</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 xml:space="preserve">With the ongoing development of new endodontic sealers and the potential positive interactions associated with ultrasonic agitation, a more detailed assessment of the possible discoloration effects of </w:t>
      </w:r>
      <w:proofErr w:type="spellStart"/>
      <w:r w:rsidRPr="00CC3F94">
        <w:rPr>
          <w:rFonts w:ascii="Arial" w:hAnsi="Arial" w:cs="Arial"/>
          <w:color w:val="000000" w:themeColor="text1"/>
        </w:rPr>
        <w:t>Endofill</w:t>
      </w:r>
      <w:proofErr w:type="spellEnd"/>
      <w:r w:rsidRPr="00CC3F94">
        <w:rPr>
          <w:rFonts w:ascii="Arial" w:hAnsi="Arial" w:cs="Arial"/>
          <w:color w:val="000000" w:themeColor="text1"/>
        </w:rPr>
        <w:t xml:space="preserve">, Sealer 26, and MTA </w:t>
      </w:r>
      <w:proofErr w:type="spellStart"/>
      <w:r w:rsidRPr="00CC3F94">
        <w:rPr>
          <w:rFonts w:ascii="Arial" w:hAnsi="Arial" w:cs="Arial"/>
          <w:color w:val="000000" w:themeColor="text1"/>
        </w:rPr>
        <w:t>Fillapex</w:t>
      </w:r>
      <w:proofErr w:type="spellEnd"/>
      <w:r w:rsidRPr="00CC3F94">
        <w:rPr>
          <w:rFonts w:ascii="Arial" w:hAnsi="Arial" w:cs="Arial"/>
          <w:color w:val="000000" w:themeColor="text1"/>
        </w:rPr>
        <w:t xml:space="preserve"> is warranted. The null hypothesis will assume no significant differences among the tested endodontic sealers regarding dentin discoloration induction and that ultrasonic agitation will not influence the darkening effect.</w:t>
      </w:r>
    </w:p>
    <w:p w:rsidR="00790ADA" w:rsidRDefault="00790ADA" w:rsidP="00441B6F">
      <w:pPr>
        <w:pStyle w:val="Body"/>
        <w:spacing w:after="0"/>
        <w:rPr>
          <w:rFonts w:ascii="Arial" w:hAnsi="Arial" w:cs="Arial"/>
        </w:rPr>
      </w:pPr>
    </w:p>
    <w:p w:rsidR="00CC3F94" w:rsidRPr="00FB3A86" w:rsidRDefault="00CC3F94"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For the present study, 60 bovine anterior single-rooted teeth were collected. These were cleaned, and their roots were sectioned horizontally at the cementoenamel junction using a diamond disc (7011; KG Sorensen, </w:t>
      </w:r>
      <w:proofErr w:type="spellStart"/>
      <w:r w:rsidRPr="009418CD">
        <w:rPr>
          <w:rFonts w:ascii="Arial" w:hAnsi="Arial" w:cs="Arial"/>
          <w:color w:val="000000" w:themeColor="text1"/>
        </w:rPr>
        <w:t>Cotia</w:t>
      </w:r>
      <w:proofErr w:type="spellEnd"/>
      <w:r w:rsidRPr="009418CD">
        <w:rPr>
          <w:rFonts w:ascii="Arial" w:hAnsi="Arial" w:cs="Arial"/>
          <w:color w:val="000000" w:themeColor="text1"/>
        </w:rPr>
        <w:t xml:space="preserve">, SP, Brazil). After this step, 10 × 10 mm blocks were extracted from the buccal portion of the crowns. The thickness of each block was standardized at 3.5 ± 0.3 mm by removing the palatal surface. Cavities with a diameter of </w:t>
      </w:r>
      <w:r w:rsidRPr="009418CD">
        <w:rPr>
          <w:rFonts w:ascii="Arial" w:hAnsi="Arial" w:cs="Arial"/>
          <w:color w:val="000000" w:themeColor="text1"/>
        </w:rPr>
        <w:lastRenderedPageBreak/>
        <w:t>5.0 mm and approximately 1.5 mm in depth were prepared in the center of the lingual portion of each specimen using a #1057 diamond bur (KG Sorensen), leaving a residual dentin and enamel thickness of 2.0 mm, which was verified with a caliper. The specimens were then immersed in 2.5% sodium hypochlorite for 15 minutes, distilled water for 1 minute, 17% EDTA (</w:t>
      </w:r>
      <w:proofErr w:type="spellStart"/>
      <w:r w:rsidRPr="009418CD">
        <w:rPr>
          <w:rFonts w:ascii="Arial" w:hAnsi="Arial" w:cs="Arial"/>
          <w:color w:val="000000" w:themeColor="text1"/>
        </w:rPr>
        <w:t>Biodinâmica</w:t>
      </w:r>
      <w:proofErr w:type="spellEnd"/>
      <w:r w:rsidRPr="009418CD">
        <w:rPr>
          <w:rFonts w:ascii="Arial" w:hAnsi="Arial" w:cs="Arial"/>
          <w:color w:val="000000" w:themeColor="text1"/>
        </w:rPr>
        <w:t xml:space="preserve"> </w:t>
      </w:r>
      <w:proofErr w:type="spellStart"/>
      <w:r w:rsidRPr="009418CD">
        <w:rPr>
          <w:rFonts w:ascii="Arial" w:hAnsi="Arial" w:cs="Arial"/>
          <w:color w:val="000000" w:themeColor="text1"/>
        </w:rPr>
        <w:t>Química</w:t>
      </w:r>
      <w:proofErr w:type="spellEnd"/>
      <w:r w:rsidRPr="009418CD">
        <w:rPr>
          <w:rFonts w:ascii="Arial" w:hAnsi="Arial" w:cs="Arial"/>
          <w:color w:val="000000" w:themeColor="text1"/>
        </w:rPr>
        <w:t xml:space="preserve"> e </w:t>
      </w:r>
      <w:proofErr w:type="spellStart"/>
      <w:r w:rsidRPr="009418CD">
        <w:rPr>
          <w:rFonts w:ascii="Arial" w:hAnsi="Arial" w:cs="Arial"/>
          <w:color w:val="000000" w:themeColor="text1"/>
        </w:rPr>
        <w:t>Farmacêutica</w:t>
      </w:r>
      <w:proofErr w:type="spellEnd"/>
      <w:r w:rsidRPr="009418CD">
        <w:rPr>
          <w:rFonts w:ascii="Arial" w:hAnsi="Arial" w:cs="Arial"/>
          <w:color w:val="000000" w:themeColor="text1"/>
        </w:rPr>
        <w:t xml:space="preserve"> Ltda., </w:t>
      </w:r>
      <w:proofErr w:type="spellStart"/>
      <w:r w:rsidRPr="009418CD">
        <w:rPr>
          <w:rFonts w:ascii="Arial" w:hAnsi="Arial" w:cs="Arial"/>
          <w:color w:val="000000" w:themeColor="text1"/>
        </w:rPr>
        <w:t>Ibiporã</w:t>
      </w:r>
      <w:proofErr w:type="spellEnd"/>
      <w:r w:rsidRPr="009418CD">
        <w:rPr>
          <w:rFonts w:ascii="Arial" w:hAnsi="Arial" w:cs="Arial"/>
          <w:color w:val="000000" w:themeColor="text1"/>
        </w:rPr>
        <w:t>, PR, Brazil) for 3 minutes, and again in distilled water for another 1 minute to remove the smear layer. Finally, they were dried with filter paper.</w:t>
      </w:r>
    </w:p>
    <w:p w:rsidR="00E44FCF" w:rsidRPr="009418CD" w:rsidRDefault="00E44FC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The blocks were then randomly divided into experimental groups according to Table 1. </w:t>
      </w:r>
    </w:p>
    <w:p w:rsidR="00E44FCF" w:rsidRDefault="00E44FCF" w:rsidP="00E44FCF">
      <w:pPr>
        <w:jc w:val="both"/>
        <w:rPr>
          <w:rFonts w:ascii="Times New Roman" w:hAnsi="Times New Roman"/>
          <w:color w:val="000000" w:themeColor="text1"/>
          <w:sz w:val="24"/>
          <w:szCs w:val="24"/>
        </w:rPr>
      </w:pPr>
    </w:p>
    <w:p w:rsidR="00E44FCF" w:rsidRPr="00A613FF" w:rsidRDefault="00E44FCF" w:rsidP="00E44FCF">
      <w:pPr>
        <w:jc w:val="center"/>
        <w:rPr>
          <w:rFonts w:ascii="Arial" w:hAnsi="Arial" w:cs="Arial"/>
          <w:b/>
          <w:bCs/>
          <w:color w:val="000000" w:themeColor="text1"/>
          <w:sz w:val="16"/>
          <w:szCs w:val="16"/>
        </w:rPr>
      </w:pPr>
      <w:r w:rsidRPr="00A613FF">
        <w:rPr>
          <w:rFonts w:ascii="Arial" w:hAnsi="Arial" w:cs="Arial"/>
          <w:b/>
          <w:bCs/>
          <w:color w:val="000000" w:themeColor="text1"/>
          <w:sz w:val="16"/>
          <w:szCs w:val="16"/>
        </w:rPr>
        <w:t xml:space="preserve">Table 1. </w:t>
      </w:r>
      <w:r w:rsidRPr="00A613FF">
        <w:rPr>
          <w:rFonts w:ascii="Arial" w:hAnsi="Arial" w:cs="Arial"/>
          <w:b/>
          <w:bCs/>
          <w:sz w:val="16"/>
          <w:szCs w:val="16"/>
        </w:rPr>
        <w:t>Division of Experimental Groups</w:t>
      </w:r>
    </w:p>
    <w:tbl>
      <w:tblPr>
        <w:tblStyle w:val="TabelaSimples21"/>
        <w:tblW w:w="8405" w:type="dxa"/>
        <w:tblLook w:val="04A0" w:firstRow="1" w:lastRow="0" w:firstColumn="1" w:lastColumn="0" w:noHBand="0" w:noVBand="1"/>
      </w:tblPr>
      <w:tblGrid>
        <w:gridCol w:w="3344"/>
        <w:gridCol w:w="5061"/>
      </w:tblGrid>
      <w:tr w:rsidR="00E44FCF" w:rsidRPr="0041243D" w:rsidTr="00044F69">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FE0376">
              <w:rPr>
                <w:rFonts w:ascii="Times New Roman" w:hAnsi="Times New Roman" w:cs="Times New Roman"/>
                <w:sz w:val="24"/>
                <w:szCs w:val="24"/>
              </w:rPr>
              <w:t>SEALER</w:t>
            </w:r>
          </w:p>
        </w:tc>
        <w:tc>
          <w:tcPr>
            <w:tcW w:w="5061" w:type="dxa"/>
          </w:tcPr>
          <w:p w:rsidR="00E44FCF" w:rsidRPr="0041243D" w:rsidRDefault="00E44FCF" w:rsidP="00044F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0376">
              <w:rPr>
                <w:rFonts w:ascii="Times New Roman" w:hAnsi="Times New Roman" w:cs="Times New Roman"/>
                <w:sz w:val="24"/>
                <w:szCs w:val="24"/>
              </w:rPr>
              <w:t>TREATMENT</w:t>
            </w:r>
          </w:p>
        </w:tc>
      </w:tr>
      <w:tr w:rsidR="00E44FCF" w:rsidRPr="0041243D" w:rsidTr="00044F69">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Endofill</w:t>
            </w:r>
          </w:p>
        </w:tc>
        <w:tc>
          <w:tcPr>
            <w:tcW w:w="5061" w:type="dxa"/>
          </w:tcPr>
          <w:p w:rsidR="00E44FCF"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With ultrasonic agitation (EF/</w:t>
            </w:r>
            <w:r w:rsidR="00971B31" w:rsidRPr="00971B31">
              <w:rPr>
                <w:rFonts w:ascii="Times New Roman" w:hAnsi="Times New Roman" w:cs="Times New Roman"/>
                <w:sz w:val="24"/>
                <w:szCs w:val="24"/>
                <w:highlight w:val="yellow"/>
              </w:rPr>
              <w:t>UA</w:t>
            </w:r>
            <w:r w:rsidRPr="006D6B1B">
              <w:rPr>
                <w:rFonts w:ascii="Times New Roman" w:hAnsi="Times New Roman" w:cs="Times New Roman"/>
                <w:sz w:val="24"/>
                <w:szCs w:val="24"/>
              </w:rPr>
              <w:t>)</w:t>
            </w:r>
          </w:p>
          <w:p w:rsidR="00E44FCF" w:rsidRPr="0041243D"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(EF)</w:t>
            </w:r>
          </w:p>
        </w:tc>
      </w:tr>
      <w:tr w:rsidR="00E44FCF" w:rsidRPr="0041243D" w:rsidTr="00044F69">
        <w:trPr>
          <w:trHeight w:val="462"/>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Sealer 26</w:t>
            </w:r>
          </w:p>
        </w:tc>
        <w:tc>
          <w:tcPr>
            <w:tcW w:w="5061" w:type="dxa"/>
          </w:tcPr>
          <w:p w:rsidR="00E44FCF" w:rsidRPr="00021FF2" w:rsidRDefault="00E44FCF" w:rsidP="00044F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With ultrasonic agitation</w:t>
            </w:r>
            <w:r w:rsidRPr="00021FF2">
              <w:rPr>
                <w:rFonts w:ascii="Times New Roman" w:hAnsi="Times New Roman" w:cs="Times New Roman"/>
                <w:sz w:val="24"/>
                <w:szCs w:val="24"/>
              </w:rPr>
              <w:t xml:space="preserve"> (S26/</w:t>
            </w:r>
            <w:r w:rsidR="00971B31" w:rsidRPr="00971B31">
              <w:rPr>
                <w:rFonts w:ascii="Times New Roman" w:hAnsi="Times New Roman" w:cs="Times New Roman"/>
                <w:sz w:val="24"/>
                <w:szCs w:val="24"/>
                <w:highlight w:val="yellow"/>
              </w:rPr>
              <w:t>UA</w:t>
            </w:r>
            <w:r w:rsidRPr="00021FF2">
              <w:rPr>
                <w:rFonts w:ascii="Times New Roman" w:hAnsi="Times New Roman" w:cs="Times New Roman"/>
                <w:sz w:val="24"/>
                <w:szCs w:val="24"/>
              </w:rPr>
              <w:t>)</w:t>
            </w:r>
          </w:p>
          <w:p w:rsidR="00E44FCF" w:rsidRPr="0041243D" w:rsidRDefault="00E44FCF" w:rsidP="00044F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(S26)</w:t>
            </w:r>
          </w:p>
        </w:tc>
      </w:tr>
      <w:tr w:rsidR="00E44FCF" w:rsidRPr="0041243D" w:rsidTr="00044F6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MTA Fillapex</w:t>
            </w:r>
          </w:p>
        </w:tc>
        <w:tc>
          <w:tcPr>
            <w:tcW w:w="5061" w:type="dxa"/>
          </w:tcPr>
          <w:p w:rsidR="00E44FCF" w:rsidRPr="00021FF2"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 ultrasonic agitation </w:t>
            </w:r>
            <w:r w:rsidRPr="00021FF2">
              <w:rPr>
                <w:rFonts w:ascii="Times New Roman" w:hAnsi="Times New Roman" w:cs="Times New Roman"/>
                <w:sz w:val="24"/>
                <w:szCs w:val="24"/>
              </w:rPr>
              <w:t>(MTAF/</w:t>
            </w:r>
            <w:r w:rsidR="00971B31" w:rsidRPr="00971B31">
              <w:rPr>
                <w:rFonts w:ascii="Times New Roman" w:hAnsi="Times New Roman" w:cs="Times New Roman"/>
                <w:sz w:val="24"/>
                <w:szCs w:val="24"/>
                <w:highlight w:val="yellow"/>
              </w:rPr>
              <w:t>UA</w:t>
            </w:r>
            <w:r w:rsidRPr="00021FF2">
              <w:rPr>
                <w:rFonts w:ascii="Times New Roman" w:hAnsi="Times New Roman" w:cs="Times New Roman"/>
                <w:sz w:val="24"/>
                <w:szCs w:val="24"/>
              </w:rPr>
              <w:t>)</w:t>
            </w:r>
          </w:p>
          <w:p w:rsidR="00E44FCF" w:rsidRPr="0041243D"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(MTAF)</w:t>
            </w:r>
          </w:p>
        </w:tc>
      </w:tr>
    </w:tbl>
    <w:p w:rsidR="00E44FCF" w:rsidRPr="00A613FF" w:rsidRDefault="00E44FCF" w:rsidP="00E44FCF">
      <w:pPr>
        <w:jc w:val="center"/>
        <w:rPr>
          <w:rFonts w:ascii="Arial" w:hAnsi="Arial" w:cs="Arial"/>
          <w:b/>
          <w:bCs/>
          <w:color w:val="000000" w:themeColor="text1"/>
        </w:rPr>
      </w:pPr>
      <w:r w:rsidRPr="00A613FF">
        <w:rPr>
          <w:rFonts w:ascii="Arial" w:hAnsi="Arial" w:cs="Arial"/>
          <w:b/>
          <w:bCs/>
          <w:sz w:val="16"/>
          <w:szCs w:val="16"/>
        </w:rPr>
        <w:t>Source: author's own</w:t>
      </w:r>
    </w:p>
    <w:p w:rsidR="00E44FCF" w:rsidRDefault="00E44FCF" w:rsidP="00E44FCF">
      <w:pPr>
        <w:jc w:val="both"/>
        <w:rPr>
          <w:rFonts w:ascii="Times New Roman" w:hAnsi="Times New Roman"/>
          <w:color w:val="000000" w:themeColor="text1"/>
          <w:sz w:val="24"/>
          <w:szCs w:val="24"/>
        </w:rPr>
      </w:pPr>
    </w:p>
    <w:p w:rsidR="00E44FCF" w:rsidRPr="00B80040" w:rsidRDefault="00E44FCF" w:rsidP="00E44FCF">
      <w:pPr>
        <w:jc w:val="both"/>
        <w:rPr>
          <w:rFonts w:ascii="Times New Roman" w:hAnsi="Times New Roman"/>
          <w:color w:val="000000" w:themeColor="text1"/>
          <w:sz w:val="24"/>
          <w:szCs w:val="24"/>
        </w:rPr>
      </w:pPr>
    </w:p>
    <w:p w:rsidR="00D87824" w:rsidRPr="009418CD" w:rsidRDefault="00D87824" w:rsidP="00E44FCF">
      <w:pPr>
        <w:jc w:val="both"/>
        <w:rPr>
          <w:rFonts w:ascii="Arial" w:hAnsi="Arial" w:cs="Arial"/>
          <w:color w:val="000000" w:themeColor="text1"/>
        </w:rPr>
      </w:pPr>
      <w:r w:rsidRPr="009418CD">
        <w:rPr>
          <w:rFonts w:ascii="Arial" w:hAnsi="Arial" w:cs="Arial"/>
          <w:color w:val="000000" w:themeColor="text1"/>
        </w:rPr>
        <w:t>The cavities were completely filled with the sealers, mixed according to the manufacturers’ instructions. In the groups that received ultrasonic agitation, a piezoelectric ultrasonic device (</w:t>
      </w:r>
      <w:proofErr w:type="spellStart"/>
      <w:r w:rsidRPr="009418CD">
        <w:rPr>
          <w:rFonts w:ascii="Arial" w:hAnsi="Arial" w:cs="Arial"/>
          <w:color w:val="000000" w:themeColor="text1"/>
        </w:rPr>
        <w:t>Piezon</w:t>
      </w:r>
      <w:proofErr w:type="spellEnd"/>
      <w:r w:rsidRPr="009418CD">
        <w:rPr>
          <w:rFonts w:ascii="Arial" w:hAnsi="Arial" w:cs="Arial"/>
          <w:color w:val="000000" w:themeColor="text1"/>
        </w:rPr>
        <w:t xml:space="preserve"> Master 200; EMS, </w:t>
      </w:r>
      <w:proofErr w:type="spellStart"/>
      <w:r w:rsidRPr="009418CD">
        <w:rPr>
          <w:rFonts w:ascii="Arial" w:hAnsi="Arial" w:cs="Arial"/>
          <w:color w:val="000000" w:themeColor="text1"/>
        </w:rPr>
        <w:t>Nyon</w:t>
      </w:r>
      <w:proofErr w:type="spellEnd"/>
      <w:r w:rsidRPr="009418CD">
        <w:rPr>
          <w:rFonts w:ascii="Arial" w:hAnsi="Arial" w:cs="Arial"/>
          <w:color w:val="000000" w:themeColor="text1"/>
        </w:rPr>
        <w:t xml:space="preserve">, Geneva, Switzerland) was used, set to power level 3 (approximately 30%), with a smooth solid conical tip (E8; </w:t>
      </w:r>
      <w:proofErr w:type="spellStart"/>
      <w:r w:rsidRPr="009418CD">
        <w:rPr>
          <w:rFonts w:ascii="Arial" w:hAnsi="Arial" w:cs="Arial"/>
          <w:color w:val="000000" w:themeColor="text1"/>
        </w:rPr>
        <w:t>Helse</w:t>
      </w:r>
      <w:proofErr w:type="spellEnd"/>
      <w:r w:rsidRPr="009418CD">
        <w:rPr>
          <w:rFonts w:ascii="Arial" w:hAnsi="Arial" w:cs="Arial"/>
          <w:color w:val="000000" w:themeColor="text1"/>
        </w:rPr>
        <w:t xml:space="preserve"> Ultrasonic, Santa Rosa do </w:t>
      </w:r>
      <w:proofErr w:type="spellStart"/>
      <w:r w:rsidRPr="009418CD">
        <w:rPr>
          <w:rFonts w:ascii="Arial" w:hAnsi="Arial" w:cs="Arial"/>
          <w:color w:val="000000" w:themeColor="text1"/>
        </w:rPr>
        <w:t>Viterbo</w:t>
      </w:r>
      <w:proofErr w:type="spellEnd"/>
      <w:r w:rsidRPr="009418CD">
        <w:rPr>
          <w:rFonts w:ascii="Arial" w:hAnsi="Arial" w:cs="Arial"/>
          <w:color w:val="000000" w:themeColor="text1"/>
        </w:rPr>
        <w:t>, SP, Brazil). After gently condensing the sealer into the cavity, the tip was inserted to a depth of 1 mm. Then, two agitation cycles of 20 seconds each were performed: one in the mesiodistal direction and another in the buccolingual direction (</w:t>
      </w:r>
      <w:proofErr w:type="spellStart"/>
      <w:r w:rsidRPr="009418CD">
        <w:rPr>
          <w:rFonts w:ascii="Arial" w:hAnsi="Arial" w:cs="Arial"/>
          <w:color w:val="000000" w:themeColor="text1"/>
        </w:rPr>
        <w:t>Guimarães</w:t>
      </w:r>
      <w:proofErr w:type="spellEnd"/>
      <w:r w:rsidRPr="009418CD">
        <w:rPr>
          <w:rFonts w:ascii="Arial" w:hAnsi="Arial" w:cs="Arial"/>
          <w:color w:val="000000" w:themeColor="text1"/>
        </w:rPr>
        <w:t xml:space="preserve"> et al., 2014).</w:t>
      </w:r>
    </w:p>
    <w:p w:rsidR="00D87824" w:rsidRPr="009418CD" w:rsidRDefault="00D87824"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At the end, the cavities were sealed with </w:t>
      </w:r>
      <w:proofErr w:type="spellStart"/>
      <w:r w:rsidRPr="009418CD">
        <w:rPr>
          <w:rFonts w:ascii="Arial" w:hAnsi="Arial" w:cs="Arial"/>
          <w:color w:val="000000" w:themeColor="text1"/>
        </w:rPr>
        <w:t>Opallis</w:t>
      </w:r>
      <w:proofErr w:type="spellEnd"/>
      <w:r w:rsidRPr="009418CD">
        <w:rPr>
          <w:rFonts w:ascii="Arial" w:hAnsi="Arial" w:cs="Arial"/>
          <w:color w:val="000000" w:themeColor="text1"/>
        </w:rPr>
        <w:t xml:space="preserve"> Enamel A3 composite resin (FGM </w:t>
      </w:r>
      <w:proofErr w:type="spellStart"/>
      <w:r w:rsidRPr="009418CD">
        <w:rPr>
          <w:rFonts w:ascii="Arial" w:hAnsi="Arial" w:cs="Arial"/>
          <w:color w:val="000000" w:themeColor="text1"/>
        </w:rPr>
        <w:t>Produtos</w:t>
      </w:r>
      <w:proofErr w:type="spellEnd"/>
      <w:r w:rsidRPr="009418CD">
        <w:rPr>
          <w:rFonts w:ascii="Arial" w:hAnsi="Arial" w:cs="Arial"/>
          <w:color w:val="000000" w:themeColor="text1"/>
        </w:rPr>
        <w:t xml:space="preserve"> </w:t>
      </w:r>
      <w:proofErr w:type="spellStart"/>
      <w:r w:rsidRPr="009418CD">
        <w:rPr>
          <w:rFonts w:ascii="Arial" w:hAnsi="Arial" w:cs="Arial"/>
          <w:color w:val="000000" w:themeColor="text1"/>
        </w:rPr>
        <w:t>Odontológicos</w:t>
      </w:r>
      <w:proofErr w:type="spellEnd"/>
      <w:r w:rsidRPr="009418CD">
        <w:rPr>
          <w:rFonts w:ascii="Arial" w:hAnsi="Arial" w:cs="Arial"/>
          <w:color w:val="000000" w:themeColor="text1"/>
        </w:rPr>
        <w:t xml:space="preserve"> Ltda., Joinville, SC, Brazil) and light-cured with an LED light (</w:t>
      </w:r>
      <w:proofErr w:type="spellStart"/>
      <w:r w:rsidRPr="009418CD">
        <w:rPr>
          <w:rFonts w:ascii="Arial" w:hAnsi="Arial" w:cs="Arial"/>
          <w:color w:val="000000" w:themeColor="text1"/>
        </w:rPr>
        <w:t>Optilight</w:t>
      </w:r>
      <w:proofErr w:type="spellEnd"/>
      <w:r w:rsidRPr="009418CD">
        <w:rPr>
          <w:rFonts w:ascii="Arial" w:hAnsi="Arial" w:cs="Arial"/>
          <w:color w:val="000000" w:themeColor="text1"/>
        </w:rPr>
        <w:t xml:space="preserve"> LD Max; </w:t>
      </w:r>
      <w:proofErr w:type="spellStart"/>
      <w:r w:rsidRPr="009418CD">
        <w:rPr>
          <w:rFonts w:ascii="Arial" w:hAnsi="Arial" w:cs="Arial"/>
          <w:color w:val="000000" w:themeColor="text1"/>
        </w:rPr>
        <w:t>Gnatus</w:t>
      </w:r>
      <w:proofErr w:type="spellEnd"/>
      <w:r w:rsidRPr="009418CD">
        <w:rPr>
          <w:rFonts w:ascii="Arial" w:hAnsi="Arial" w:cs="Arial"/>
          <w:color w:val="000000" w:themeColor="text1"/>
        </w:rPr>
        <w:t xml:space="preserve">, </w:t>
      </w:r>
      <w:proofErr w:type="spellStart"/>
      <w:r w:rsidRPr="009418CD">
        <w:rPr>
          <w:rFonts w:ascii="Arial" w:hAnsi="Arial" w:cs="Arial"/>
          <w:color w:val="000000" w:themeColor="text1"/>
        </w:rPr>
        <w:t>Ribeirão</w:t>
      </w:r>
      <w:proofErr w:type="spellEnd"/>
      <w:r w:rsidRPr="009418CD">
        <w:rPr>
          <w:rFonts w:ascii="Arial" w:hAnsi="Arial" w:cs="Arial"/>
          <w:color w:val="000000" w:themeColor="text1"/>
        </w:rPr>
        <w:t xml:space="preserve"> Preto, SP, Brazil) for 60 seconds. Finally, the samples were immersed in individual containers containing 2 mL of distilled water, where they remained immersed until the end of the experiment, indirectly exposed to sunlight at room temperature.</w:t>
      </w:r>
    </w:p>
    <w:p w:rsidR="0007770F" w:rsidRPr="009418CD" w:rsidRDefault="0007770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Color determination was performed according to the protocol described by </w:t>
      </w:r>
      <w:proofErr w:type="spellStart"/>
      <w:r w:rsidRPr="009418CD">
        <w:rPr>
          <w:rFonts w:ascii="Arial" w:hAnsi="Arial" w:cs="Arial"/>
          <w:color w:val="000000" w:themeColor="text1"/>
        </w:rPr>
        <w:t>Lenherr</w:t>
      </w:r>
      <w:proofErr w:type="spellEnd"/>
      <w:r w:rsidRPr="009418CD">
        <w:rPr>
          <w:rFonts w:ascii="Arial" w:hAnsi="Arial" w:cs="Arial"/>
          <w:color w:val="000000" w:themeColor="text1"/>
        </w:rPr>
        <w:t xml:space="preserve"> et al. (20</w:t>
      </w:r>
      <w:r w:rsidR="00AB4181" w:rsidRPr="009418CD">
        <w:rPr>
          <w:rFonts w:ascii="Arial" w:hAnsi="Arial" w:cs="Arial"/>
          <w:color w:val="000000" w:themeColor="text1"/>
        </w:rPr>
        <w:t>12</w:t>
      </w:r>
      <w:r w:rsidRPr="009418CD">
        <w:rPr>
          <w:rFonts w:ascii="Arial" w:hAnsi="Arial" w:cs="Arial"/>
          <w:color w:val="000000" w:themeColor="text1"/>
        </w:rPr>
        <w:t xml:space="preserve">) in a dark room using a digital spectrophotometer (VITA </w:t>
      </w:r>
      <w:proofErr w:type="spellStart"/>
      <w:r w:rsidRPr="009418CD">
        <w:rPr>
          <w:rFonts w:ascii="Arial" w:hAnsi="Arial" w:cs="Arial"/>
          <w:color w:val="000000" w:themeColor="text1"/>
        </w:rPr>
        <w:t>Easyshade</w:t>
      </w:r>
      <w:proofErr w:type="spellEnd"/>
      <w:r w:rsidRPr="009418CD">
        <w:rPr>
          <w:rFonts w:ascii="Arial" w:hAnsi="Arial" w:cs="Arial"/>
          <w:color w:val="000000" w:themeColor="text1"/>
        </w:rPr>
        <w:t xml:space="preserve"> compact; VITA </w:t>
      </w:r>
      <w:proofErr w:type="spellStart"/>
      <w:r w:rsidRPr="009418CD">
        <w:rPr>
          <w:rFonts w:ascii="Arial" w:hAnsi="Arial" w:cs="Arial"/>
          <w:color w:val="000000" w:themeColor="text1"/>
        </w:rPr>
        <w:t>Zahnfabrik</w:t>
      </w:r>
      <w:proofErr w:type="spellEnd"/>
      <w:r w:rsidRPr="009418CD">
        <w:rPr>
          <w:rFonts w:ascii="Arial" w:hAnsi="Arial" w:cs="Arial"/>
          <w:color w:val="000000" w:themeColor="text1"/>
        </w:rPr>
        <w:t xml:space="preserve"> AG, Bad </w:t>
      </w:r>
      <w:proofErr w:type="spellStart"/>
      <w:r w:rsidRPr="009418CD">
        <w:rPr>
          <w:rFonts w:ascii="Arial" w:hAnsi="Arial" w:cs="Arial"/>
          <w:color w:val="000000" w:themeColor="text1"/>
        </w:rPr>
        <w:t>Sachington</w:t>
      </w:r>
      <w:proofErr w:type="spellEnd"/>
      <w:r w:rsidRPr="009418CD">
        <w:rPr>
          <w:rFonts w:ascii="Arial" w:hAnsi="Arial" w:cs="Arial"/>
          <w:color w:val="000000" w:themeColor="text1"/>
        </w:rPr>
        <w:t>, Germany). This allowed standardized measurements for each sample throughout the observation periods. The spectrophotometer was calibrated before measurements were taken for each group. Measurements were obtained immediately after material placement (T0 = reference color), after 1 week (T1), after 30 days (T2), after 60 days (T3), after 90 days (T4), and after 180 days (T5). Color parameters were recorded according to the International Commission on Illumination (CIE, 1978), considering L, a, and b values, where "L" represents the brightness of the color, "a" corresponds to the red-green axis measurement, and "b" corresponds to the yellow-blue axis measurement. Color change (ΔE) over time intervals was calculated using the following formula:</w:t>
      </w:r>
    </w:p>
    <w:p w:rsidR="0007770F" w:rsidRPr="009418CD" w:rsidRDefault="0007770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ΔE = [(L1-L0)2 + (a1-a0)2 + (b1-b0)2]1/2</w:t>
      </w:r>
    </w:p>
    <w:p w:rsidR="0007770F" w:rsidRPr="009418CD" w:rsidRDefault="0007770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The data from both evaluations were tabulated and tested using the Shapiro-Wilk test, which indicated a parametric distribution for the dentin discoloration data analysis. Therefore, the Kruskal-Wallis and Dunn tests, as well as ANOVA and Tukey tests, were used for the discoloration analyses, with statistical significance set at </w:t>
      </w:r>
      <w:r w:rsidRPr="009418CD">
        <w:rPr>
          <w:rFonts w:ascii="Arial" w:hAnsi="Arial" w:cs="Arial"/>
          <w:i/>
          <w:iCs/>
          <w:color w:val="000000" w:themeColor="text1"/>
        </w:rPr>
        <w:t>P</w:t>
      </w:r>
      <w:r w:rsidRPr="009418CD">
        <w:rPr>
          <w:rFonts w:ascii="Arial" w:hAnsi="Arial" w:cs="Arial"/>
          <w:color w:val="000000" w:themeColor="text1"/>
        </w:rPr>
        <w:t xml:space="preserve"> &gt; 0.05.</w:t>
      </w:r>
    </w:p>
    <w:p w:rsidR="00B95236" w:rsidRDefault="00B95236" w:rsidP="00441B6F">
      <w:pPr>
        <w:pStyle w:val="Body"/>
        <w:spacing w:after="0"/>
        <w:rPr>
          <w:rFonts w:ascii="Arial" w:hAnsi="Arial" w:cs="Arial"/>
        </w:rPr>
      </w:pPr>
    </w:p>
    <w:p w:rsidR="00A03B96" w:rsidRDefault="00A03B96" w:rsidP="00441B6F">
      <w:pPr>
        <w:pStyle w:val="Body"/>
        <w:spacing w:after="0"/>
        <w:rPr>
          <w:rFonts w:ascii="Arial" w:hAnsi="Arial" w:cs="Arial"/>
        </w:rPr>
      </w:pPr>
    </w:p>
    <w:p w:rsidR="00B63A5B" w:rsidRDefault="00B63A5B" w:rsidP="00441B6F">
      <w:pPr>
        <w:pStyle w:val="Body"/>
        <w:spacing w:after="0"/>
        <w:rPr>
          <w:rFonts w:ascii="Arial" w:hAnsi="Arial" w:cs="Arial"/>
        </w:rPr>
      </w:pPr>
    </w:p>
    <w:p w:rsidR="00A03B96" w:rsidRPr="002E0D56" w:rsidRDefault="00A03B96" w:rsidP="00441B6F">
      <w:pPr>
        <w:pStyle w:val="Body"/>
        <w:spacing w:after="0"/>
        <w:rPr>
          <w:rFonts w:ascii="Arial" w:hAnsi="Arial" w:cs="Arial"/>
        </w:rPr>
      </w:pPr>
      <w:r w:rsidRPr="002E0D56">
        <w:rPr>
          <w:rFonts w:ascii="Arial" w:hAnsi="Arial" w:cs="Arial"/>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C02E90" w:rsidRPr="009418CD" w:rsidRDefault="00C02E90" w:rsidP="00C02E90">
      <w:pPr>
        <w:jc w:val="both"/>
        <w:rPr>
          <w:rFonts w:ascii="Arial" w:hAnsi="Arial" w:cs="Arial"/>
          <w:color w:val="000000" w:themeColor="text1"/>
        </w:rPr>
      </w:pPr>
      <w:r w:rsidRPr="009418CD">
        <w:rPr>
          <w:rFonts w:ascii="Arial" w:hAnsi="Arial" w:cs="Arial"/>
          <w:color w:val="000000" w:themeColor="text1"/>
        </w:rPr>
        <w:t xml:space="preserve">The data regarding color change (ΔE) observed throughout the experimental periods are presented in Table 2. </w:t>
      </w:r>
    </w:p>
    <w:tbl>
      <w:tblPr>
        <w:tblStyle w:val="TabelaSimples21"/>
        <w:tblpPr w:leftFromText="141" w:rightFromText="141" w:vertAnchor="page" w:horzAnchor="margin" w:tblpY="9000"/>
        <w:tblW w:w="8565" w:type="dxa"/>
        <w:tblLayout w:type="fixed"/>
        <w:tblLook w:val="04A0" w:firstRow="1" w:lastRow="0" w:firstColumn="1" w:lastColumn="0" w:noHBand="0" w:noVBand="1"/>
      </w:tblPr>
      <w:tblGrid>
        <w:gridCol w:w="759"/>
        <w:gridCol w:w="828"/>
        <w:gridCol w:w="729"/>
        <w:gridCol w:w="571"/>
        <w:gridCol w:w="44"/>
        <w:gridCol w:w="720"/>
        <w:gridCol w:w="657"/>
        <w:gridCol w:w="24"/>
        <w:gridCol w:w="768"/>
        <w:gridCol w:w="615"/>
        <w:gridCol w:w="31"/>
        <w:gridCol w:w="737"/>
        <w:gridCol w:w="615"/>
        <w:gridCol w:w="33"/>
        <w:gridCol w:w="735"/>
        <w:gridCol w:w="640"/>
        <w:gridCol w:w="35"/>
        <w:gridCol w:w="24"/>
      </w:tblGrid>
      <w:tr w:rsidR="00F63F2A" w:rsidRPr="00284772" w:rsidTr="00A613FF">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8565" w:type="dxa"/>
            <w:gridSpan w:val="18"/>
            <w:tcBorders>
              <w:top w:val="nil"/>
              <w:bottom w:val="single" w:sz="4" w:space="0" w:color="auto"/>
            </w:tcBorders>
            <w:noWrap/>
          </w:tcPr>
          <w:p w:rsidR="00F63F2A" w:rsidRPr="00A613FF" w:rsidRDefault="00F63F2A" w:rsidP="00A613FF">
            <w:pPr>
              <w:ind w:right="-60"/>
              <w:contextualSpacing/>
              <w:jc w:val="center"/>
              <w:textAlignment w:val="baseline"/>
              <w:rPr>
                <w:rFonts w:ascii="Arial" w:hAnsi="Arial" w:cs="Arial"/>
                <w:sz w:val="16"/>
                <w:szCs w:val="14"/>
              </w:rPr>
            </w:pPr>
            <w:r w:rsidRPr="00A613FF">
              <w:rPr>
                <w:rFonts w:ascii="Arial" w:hAnsi="Arial" w:cs="Arial"/>
                <w:sz w:val="16"/>
                <w:szCs w:val="14"/>
              </w:rPr>
              <w:t>Table 2. Median, Minimum, and Maximum Values of Discoloration in the Tested Endodontic Sealers With and Without Ultrasonic Agitation</w:t>
            </w:r>
          </w:p>
          <w:p w:rsidR="00F63F2A" w:rsidRPr="00021FF2" w:rsidRDefault="00F63F2A" w:rsidP="00F63F2A">
            <w:pPr>
              <w:ind w:right="-60"/>
              <w:jc w:val="center"/>
              <w:rPr>
                <w:rFonts w:ascii="Times New Roman" w:hAnsi="Times New Roman" w:cs="Times New Roman"/>
                <w:b w:val="0"/>
                <w:bCs w:val="0"/>
                <w:sz w:val="24"/>
                <w:szCs w:val="18"/>
              </w:rPr>
            </w:pPr>
          </w:p>
        </w:tc>
      </w:tr>
      <w:tr w:rsidR="00A613FF" w:rsidRPr="0041243D" w:rsidTr="00A613FF">
        <w:trPr>
          <w:gridAfter w:val="1"/>
          <w:cnfStyle w:val="000000100000" w:firstRow="0" w:lastRow="0" w:firstColumn="0" w:lastColumn="0" w:oddVBand="0" w:evenVBand="0" w:oddHBand="1" w:evenHBand="0" w:firstRowFirstColumn="0" w:firstRowLastColumn="0" w:lastRowFirstColumn="0" w:lastRowLastColumn="0"/>
          <w:wAfter w:w="24" w:type="dxa"/>
          <w:trHeight w:val="231"/>
        </w:trPr>
        <w:tc>
          <w:tcPr>
            <w:cnfStyle w:val="001000000000" w:firstRow="0" w:lastRow="0" w:firstColumn="1" w:lastColumn="0" w:oddVBand="0" w:evenVBand="0" w:oddHBand="0" w:evenHBand="0" w:firstRowFirstColumn="0" w:firstRowLastColumn="0" w:lastRowFirstColumn="0" w:lastRowLastColumn="0"/>
            <w:tcW w:w="759" w:type="dxa"/>
            <w:vMerge w:val="restart"/>
            <w:tcBorders>
              <w:top w:val="single" w:sz="4" w:space="0" w:color="auto"/>
            </w:tcBorders>
            <w:noWrap/>
            <w:hideMark/>
          </w:tcPr>
          <w:p w:rsidR="00F63F2A" w:rsidRPr="00E036C7" w:rsidRDefault="00F63F2A" w:rsidP="00F63F2A">
            <w:pPr>
              <w:ind w:right="-60"/>
              <w:rPr>
                <w:rFonts w:ascii="Times New Roman" w:hAnsi="Times New Roman" w:cs="Times New Roman"/>
                <w:b w:val="0"/>
                <w:bCs w:val="0"/>
                <w:sz w:val="18"/>
                <w:szCs w:val="18"/>
              </w:rPr>
            </w:pPr>
            <w:r w:rsidRPr="00E036C7">
              <w:rPr>
                <w:rFonts w:ascii="Times New Roman" w:hAnsi="Times New Roman" w:cs="Times New Roman"/>
                <w:b w:val="0"/>
                <w:sz w:val="18"/>
                <w:szCs w:val="18"/>
              </w:rPr>
              <w:t>Material</w:t>
            </w:r>
          </w:p>
        </w:tc>
        <w:tc>
          <w:tcPr>
            <w:tcW w:w="828" w:type="dxa"/>
            <w:vMerge w:val="restart"/>
            <w:tcBorders>
              <w:top w:val="single" w:sz="4" w:space="0" w:color="auto"/>
            </w:tcBorders>
            <w:noWrap/>
            <w:hideMark/>
          </w:tcPr>
          <w:p w:rsidR="00F63F2A" w:rsidRPr="00E036C7" w:rsidRDefault="00F63F2A" w:rsidP="00F63F2A">
            <w:pPr>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6D6B1B">
              <w:rPr>
                <w:rFonts w:ascii="Times New Roman" w:hAnsi="Times New Roman" w:cs="Times New Roman"/>
                <w:bCs/>
                <w:sz w:val="18"/>
                <w:szCs w:val="18"/>
              </w:rPr>
              <w:t>Agitation</w:t>
            </w:r>
          </w:p>
        </w:tc>
        <w:tc>
          <w:tcPr>
            <w:tcW w:w="1300" w:type="dxa"/>
            <w:gridSpan w:val="2"/>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7 </w:t>
            </w:r>
            <w:r w:rsidRPr="006D6B1B">
              <w:rPr>
                <w:rFonts w:ascii="Times New Roman" w:hAnsi="Times New Roman" w:cs="Times New Roman"/>
                <w:b/>
                <w:bCs/>
                <w:sz w:val="18"/>
                <w:szCs w:val="18"/>
              </w:rPr>
              <w:t>Days</w:t>
            </w:r>
          </w:p>
        </w:tc>
        <w:tc>
          <w:tcPr>
            <w:tcW w:w="1421"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30 </w:t>
            </w:r>
            <w:r w:rsidRPr="006D6B1B">
              <w:rPr>
                <w:rFonts w:ascii="Times New Roman" w:hAnsi="Times New Roman" w:cs="Times New Roman"/>
                <w:b/>
                <w:bCs/>
                <w:sz w:val="18"/>
                <w:szCs w:val="18"/>
              </w:rPr>
              <w:t>Days</w:t>
            </w:r>
          </w:p>
        </w:tc>
        <w:tc>
          <w:tcPr>
            <w:tcW w:w="1438" w:type="dxa"/>
            <w:gridSpan w:val="4"/>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60</w:t>
            </w:r>
            <w:r>
              <w:rPr>
                <w:rFonts w:ascii="Times New Roman" w:hAnsi="Times New Roman" w:cs="Times New Roman"/>
                <w:b/>
                <w:bCs/>
                <w:sz w:val="18"/>
                <w:szCs w:val="18"/>
              </w:rPr>
              <w:t xml:space="preserve"> </w:t>
            </w:r>
            <w:r w:rsidRPr="006D6B1B">
              <w:rPr>
                <w:rFonts w:ascii="Times New Roman" w:hAnsi="Times New Roman" w:cs="Times New Roman"/>
                <w:b/>
                <w:bCs/>
                <w:sz w:val="18"/>
                <w:szCs w:val="18"/>
              </w:rPr>
              <w:t>Days</w:t>
            </w:r>
          </w:p>
        </w:tc>
        <w:tc>
          <w:tcPr>
            <w:tcW w:w="1385"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90 </w:t>
            </w:r>
            <w:r w:rsidRPr="006D6B1B">
              <w:rPr>
                <w:rFonts w:ascii="Times New Roman" w:hAnsi="Times New Roman" w:cs="Times New Roman"/>
                <w:b/>
                <w:bCs/>
                <w:sz w:val="18"/>
                <w:szCs w:val="18"/>
              </w:rPr>
              <w:t>Days</w:t>
            </w:r>
          </w:p>
        </w:tc>
        <w:tc>
          <w:tcPr>
            <w:tcW w:w="1410"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180 </w:t>
            </w:r>
            <w:r w:rsidRPr="006D6B1B">
              <w:rPr>
                <w:rFonts w:ascii="Times New Roman" w:hAnsi="Times New Roman" w:cs="Times New Roman"/>
                <w:b/>
                <w:bCs/>
                <w:sz w:val="18"/>
                <w:szCs w:val="18"/>
              </w:rPr>
              <w:t>Days</w:t>
            </w:r>
          </w:p>
        </w:tc>
      </w:tr>
      <w:tr w:rsidR="00F63F2A" w:rsidRPr="0041243D" w:rsidTr="00A613FF">
        <w:trPr>
          <w:gridAfter w:val="2"/>
          <w:wAfter w:w="59" w:type="dxa"/>
          <w:trHeight w:val="23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bCs w:val="0"/>
                <w:sz w:val="18"/>
                <w:szCs w:val="18"/>
              </w:rPr>
            </w:pPr>
          </w:p>
        </w:tc>
        <w:tc>
          <w:tcPr>
            <w:tcW w:w="828" w:type="dxa"/>
            <w:vMerge/>
            <w:hideMark/>
          </w:tcPr>
          <w:p w:rsidR="00F63F2A" w:rsidRPr="00DE104A" w:rsidRDefault="00F63F2A" w:rsidP="00F63F2A">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D6B1B">
              <w:rPr>
                <w:rFonts w:ascii="Times New Roman" w:hAnsi="Times New Roman" w:cs="Times New Roman"/>
                <w:b/>
                <w:bCs/>
                <w:sz w:val="18"/>
                <w:szCs w:val="18"/>
              </w:rPr>
              <w:t>Median</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Endofill</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BD5C74">
              <w:rPr>
                <w:rFonts w:ascii="Times New Roman" w:hAnsi="Times New Roman" w:cs="Times New Roman"/>
                <w:sz w:val="18"/>
                <w:szCs w:val="18"/>
              </w:rPr>
              <w:t>.</w:t>
            </w:r>
            <w:r w:rsidRPr="00DE104A">
              <w:rPr>
                <w:rFonts w:ascii="Times New Roman" w:hAnsi="Times New Roman" w:cs="Times New Roman"/>
                <w:sz w:val="18"/>
                <w:szCs w:val="18"/>
              </w:rPr>
              <w:t>15</w:t>
            </w:r>
            <w:r w:rsidRPr="00DE104A">
              <w:rPr>
                <w:rFonts w:ascii="Times New Roman" w:hAnsi="Times New Roman" w:cs="Times New Roman"/>
                <w:sz w:val="18"/>
                <w:szCs w:val="18"/>
                <w:vertAlign w:val="superscript"/>
              </w:rPr>
              <w:t>b,A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20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10</w:t>
            </w:r>
            <w:r w:rsidR="00BD5C74">
              <w:rPr>
                <w:rFonts w:ascii="Times New Roman" w:hAnsi="Times New Roman" w:cs="Times New Roman"/>
                <w:sz w:val="18"/>
                <w:szCs w:val="18"/>
              </w:rPr>
              <w:t>.</w:t>
            </w:r>
            <w:r w:rsidRPr="00DE104A">
              <w:rPr>
                <w:rFonts w:ascii="Times New Roman" w:hAnsi="Times New Roman" w:cs="Times New Roman"/>
                <w:sz w:val="18"/>
                <w:szCs w:val="18"/>
              </w:rPr>
              <w:t>70</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Pr>
                <w:rFonts w:ascii="Times New Roman" w:hAnsi="Times New Roman" w:cs="Times New Roman"/>
                <w:sz w:val="18"/>
                <w:szCs w:val="18"/>
              </w:rPr>
              <w:t>8</w:t>
            </w:r>
            <w:r w:rsidRPr="00DE104A">
              <w:rPr>
                <w:rFonts w:ascii="Times New Roman" w:hAnsi="Times New Roman" w:cs="Times New Roman"/>
                <w:sz w:val="18"/>
                <w:szCs w:val="18"/>
              </w:rPr>
              <w:t>8</w:t>
            </w:r>
            <w:r w:rsidRPr="00DE104A">
              <w:rPr>
                <w:rFonts w:ascii="Times New Roman" w:hAnsi="Times New Roman" w:cs="Times New Roman"/>
                <w:sz w:val="18"/>
                <w:szCs w:val="18"/>
                <w:vertAlign w:val="superscript"/>
              </w:rPr>
              <w:t>a,A</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r w:rsidR="00057CAF">
              <w:rPr>
                <w:rFonts w:ascii="Times New Roman" w:hAnsi="Times New Roman" w:cs="Times New Roman"/>
                <w:sz w:val="18"/>
                <w:szCs w:val="18"/>
              </w:rPr>
              <w:t>.</w:t>
            </w:r>
            <w:r>
              <w:rPr>
                <w:rFonts w:ascii="Times New Roman" w:hAnsi="Times New Roman" w:cs="Times New Roman"/>
                <w:sz w:val="18"/>
                <w:szCs w:val="18"/>
              </w:rPr>
              <w:t xml:space="preserve">61 </w:t>
            </w:r>
            <w:r w:rsidR="00057CAF">
              <w:rPr>
                <w:rFonts w:ascii="Times New Roman" w:hAnsi="Times New Roman" w:cs="Times New Roman"/>
                <w:sz w:val="18"/>
                <w:szCs w:val="18"/>
              </w:rPr>
              <w:t>–</w:t>
            </w:r>
            <w:r>
              <w:rPr>
                <w:rFonts w:ascii="Times New Roman" w:hAnsi="Times New Roman" w:cs="Times New Roman"/>
                <w:sz w:val="18"/>
                <w:szCs w:val="18"/>
              </w:rPr>
              <w:t xml:space="preserve"> 6</w:t>
            </w:r>
            <w:r w:rsidR="00057CAF">
              <w:rPr>
                <w:rFonts w:ascii="Times New Roman" w:hAnsi="Times New Roman" w:cs="Times New Roman"/>
                <w:sz w:val="18"/>
                <w:szCs w:val="18"/>
              </w:rPr>
              <w:t>.</w:t>
            </w:r>
            <w:r>
              <w:rPr>
                <w:rFonts w:ascii="Times New Roman" w:hAnsi="Times New Roman" w:cs="Times New Roman"/>
                <w:sz w:val="18"/>
                <w:szCs w:val="18"/>
              </w:rPr>
              <w:t>95</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40</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9</w:t>
            </w:r>
            <w:r w:rsidR="00057CAF">
              <w:rPr>
                <w:rFonts w:ascii="Times New Roman" w:hAnsi="Times New Roman" w:cs="Times New Roman"/>
                <w:sz w:val="18"/>
                <w:szCs w:val="18"/>
              </w:rPr>
              <w:t>.</w:t>
            </w:r>
            <w:r w:rsidRPr="00DE104A">
              <w:rPr>
                <w:rFonts w:ascii="Times New Roman" w:hAnsi="Times New Roman" w:cs="Times New Roman"/>
                <w:sz w:val="18"/>
                <w:szCs w:val="18"/>
              </w:rPr>
              <w:t>67</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30</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88 -11</w:t>
            </w:r>
            <w:r w:rsidR="00057CAF">
              <w:rPr>
                <w:rFonts w:ascii="Times New Roman" w:hAnsi="Times New Roman" w:cs="Times New Roman"/>
                <w:sz w:val="18"/>
                <w:szCs w:val="18"/>
              </w:rPr>
              <w:t>.</w:t>
            </w:r>
            <w:r w:rsidRPr="00DE104A">
              <w:rPr>
                <w:rFonts w:ascii="Times New Roman" w:hAnsi="Times New Roman" w:cs="Times New Roman"/>
                <w:sz w:val="18"/>
                <w:szCs w:val="18"/>
              </w:rPr>
              <w:t>08</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54</w:t>
            </w:r>
            <w:r w:rsidRPr="00DE104A">
              <w:rPr>
                <w:rFonts w:ascii="Times New Roman" w:hAnsi="Times New Roman" w:cs="Times New Roman"/>
                <w:sz w:val="18"/>
                <w:szCs w:val="18"/>
                <w:vertAlign w:val="superscript"/>
              </w:rPr>
              <w:t>a,A</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38 -12</w:t>
            </w:r>
            <w:r w:rsidR="00057CAF">
              <w:rPr>
                <w:rFonts w:ascii="Times New Roman" w:hAnsi="Times New Roman" w:cs="Times New Roman"/>
                <w:sz w:val="18"/>
                <w:szCs w:val="18"/>
              </w:rPr>
              <w:t>.</w:t>
            </w:r>
            <w:r w:rsidRPr="00DE104A">
              <w:rPr>
                <w:rFonts w:ascii="Times New Roman" w:hAnsi="Times New Roman" w:cs="Times New Roman"/>
                <w:sz w:val="18"/>
                <w:szCs w:val="18"/>
              </w:rPr>
              <w:t>36</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04</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36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14</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45 </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68</w:t>
            </w:r>
            <w:r w:rsidRPr="00DE104A">
              <w:rPr>
                <w:rFonts w:ascii="Times New Roman" w:hAnsi="Times New Roman" w:cs="Times New Roman"/>
                <w:sz w:val="18"/>
                <w:szCs w:val="18"/>
                <w:vertAlign w:val="superscript"/>
              </w:rPr>
              <w:t>a,A</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r w:rsidR="00057CAF">
              <w:rPr>
                <w:rFonts w:ascii="Times New Roman" w:hAnsi="Times New Roman" w:cs="Times New Roman"/>
                <w:sz w:val="18"/>
                <w:szCs w:val="18"/>
              </w:rPr>
              <w:t>.</w:t>
            </w:r>
            <w:r>
              <w:rPr>
                <w:rFonts w:ascii="Times New Roman" w:hAnsi="Times New Roman" w:cs="Times New Roman"/>
                <w:sz w:val="18"/>
                <w:szCs w:val="18"/>
              </w:rPr>
              <w:t>03</w:t>
            </w:r>
            <w:r w:rsidRPr="00DE104A">
              <w:rPr>
                <w:rFonts w:ascii="Times New Roman" w:hAnsi="Times New Roman" w:cs="Times New Roman"/>
                <w:sz w:val="18"/>
                <w:szCs w:val="18"/>
              </w:rPr>
              <w:t xml:space="preserve">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16</w:t>
            </w:r>
            <w:r w:rsidR="00057CAF">
              <w:rPr>
                <w:rFonts w:ascii="Times New Roman" w:hAnsi="Times New Roman" w:cs="Times New Roman"/>
                <w:sz w:val="18"/>
                <w:szCs w:val="18"/>
              </w:rPr>
              <w:t>.</w:t>
            </w:r>
            <w:r w:rsidRPr="00DE104A">
              <w:rPr>
                <w:rFonts w:ascii="Times New Roman" w:hAnsi="Times New Roman" w:cs="Times New Roman"/>
                <w:sz w:val="18"/>
                <w:szCs w:val="18"/>
              </w:rPr>
              <w:t>85</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39</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71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05</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96</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92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18</w:t>
            </w:r>
            <w:r w:rsidR="00057CAF">
              <w:rPr>
                <w:rFonts w:ascii="Times New Roman" w:hAnsi="Times New Roman" w:cs="Times New Roman"/>
                <w:sz w:val="18"/>
                <w:szCs w:val="18"/>
              </w:rPr>
              <w:t>.</w:t>
            </w:r>
            <w:r w:rsidRPr="00DE104A">
              <w:rPr>
                <w:rFonts w:ascii="Times New Roman" w:hAnsi="Times New Roman" w:cs="Times New Roman"/>
                <w:sz w:val="18"/>
                <w:szCs w:val="18"/>
              </w:rPr>
              <w:t>54</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6</w:t>
            </w:r>
            <w:r w:rsidR="00057CAF">
              <w:rPr>
                <w:rFonts w:ascii="Times New Roman" w:hAnsi="Times New Roman" w:cs="Times New Roman"/>
                <w:sz w:val="18"/>
                <w:szCs w:val="18"/>
              </w:rPr>
              <w:t>.</w:t>
            </w:r>
            <w:r w:rsidRPr="00DE104A">
              <w:rPr>
                <w:rFonts w:ascii="Times New Roman" w:hAnsi="Times New Roman" w:cs="Times New Roman"/>
                <w:sz w:val="18"/>
                <w:szCs w:val="18"/>
              </w:rPr>
              <w:t>53</w:t>
            </w:r>
            <w:r w:rsidRPr="00DE104A">
              <w:rPr>
                <w:rFonts w:ascii="Times New Roman" w:hAnsi="Times New Roman" w:cs="Times New Roman"/>
                <w:sz w:val="18"/>
                <w:szCs w:val="18"/>
                <w:vertAlign w:val="superscript"/>
              </w:rPr>
              <w:t>a,A</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05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16</w:t>
            </w:r>
            <w:r w:rsidR="00057CAF">
              <w:rPr>
                <w:rFonts w:ascii="Times New Roman" w:hAnsi="Times New Roman" w:cs="Times New Roman"/>
                <w:sz w:val="18"/>
                <w:szCs w:val="18"/>
              </w:rPr>
              <w:t>.</w:t>
            </w:r>
            <w:r w:rsidRPr="00DE104A">
              <w:rPr>
                <w:rFonts w:ascii="Times New Roman" w:hAnsi="Times New Roman" w:cs="Times New Roman"/>
                <w:sz w:val="18"/>
                <w:szCs w:val="18"/>
              </w:rPr>
              <w:t>34</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Sealer 26</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82</w:t>
            </w:r>
            <w:r w:rsidRPr="00DE104A">
              <w:rPr>
                <w:rFonts w:ascii="Times New Roman" w:hAnsi="Times New Roman" w:cs="Times New Roman"/>
                <w:sz w:val="18"/>
                <w:szCs w:val="18"/>
                <w:vertAlign w:val="superscript"/>
              </w:rPr>
              <w:t>a,A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14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8</w:t>
            </w:r>
            <w:r w:rsidR="00BD5C74">
              <w:rPr>
                <w:rFonts w:ascii="Times New Roman" w:hAnsi="Times New Roman" w:cs="Times New Roman"/>
                <w:sz w:val="18"/>
                <w:szCs w:val="18"/>
              </w:rPr>
              <w:t>.</w:t>
            </w:r>
            <w:r w:rsidRPr="00DE104A">
              <w:rPr>
                <w:rFonts w:ascii="Times New Roman" w:hAnsi="Times New Roman" w:cs="Times New Roman"/>
                <w:sz w:val="18"/>
                <w:szCs w:val="18"/>
              </w:rPr>
              <w:t>86</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74</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73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25</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88</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12</w:t>
            </w:r>
            <w:r w:rsidR="00057CAF">
              <w:rPr>
                <w:rFonts w:ascii="Times New Roman" w:hAnsi="Times New Roman" w:cs="Times New Roman"/>
                <w:sz w:val="18"/>
                <w:szCs w:val="18"/>
              </w:rPr>
              <w:t>.</w:t>
            </w:r>
            <w:r w:rsidRPr="00DE104A">
              <w:rPr>
                <w:rFonts w:ascii="Times New Roman" w:hAnsi="Times New Roman" w:cs="Times New Roman"/>
                <w:sz w:val="18"/>
                <w:szCs w:val="18"/>
              </w:rPr>
              <w:t>44</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47</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39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36</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49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05 -25</w:t>
            </w:r>
            <w:r w:rsidR="00057CAF">
              <w:rPr>
                <w:rFonts w:ascii="Times New Roman" w:hAnsi="Times New Roman" w:cs="Times New Roman"/>
                <w:sz w:val="18"/>
                <w:szCs w:val="18"/>
              </w:rPr>
              <w:t>.</w:t>
            </w:r>
            <w:r w:rsidRPr="00DE104A">
              <w:rPr>
                <w:rFonts w:ascii="Times New Roman" w:hAnsi="Times New Roman" w:cs="Times New Roman"/>
                <w:sz w:val="18"/>
                <w:szCs w:val="18"/>
              </w:rPr>
              <w:t>03</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BD5C74">
              <w:rPr>
                <w:rFonts w:ascii="Times New Roman" w:hAnsi="Times New Roman" w:cs="Times New Roman"/>
                <w:sz w:val="18"/>
                <w:szCs w:val="18"/>
              </w:rPr>
              <w:t>.</w:t>
            </w:r>
            <w:r w:rsidRPr="00DE104A">
              <w:rPr>
                <w:rFonts w:ascii="Times New Roman" w:hAnsi="Times New Roman" w:cs="Times New Roman"/>
                <w:sz w:val="18"/>
                <w:szCs w:val="18"/>
              </w:rPr>
              <w:t>58</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72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16</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49</w:t>
            </w:r>
            <w:r w:rsidRPr="00DE104A">
              <w:rPr>
                <w:rFonts w:ascii="Times New Roman" w:hAnsi="Times New Roman" w:cs="Times New Roman"/>
                <w:sz w:val="18"/>
                <w:szCs w:val="18"/>
                <w:vertAlign w:val="superscript"/>
              </w:rPr>
              <w:t>a,B</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10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5</w:t>
            </w:r>
            <w:r w:rsidR="00057CAF">
              <w:rPr>
                <w:rFonts w:ascii="Times New Roman" w:hAnsi="Times New Roman" w:cs="Times New Roman"/>
                <w:sz w:val="18"/>
                <w:szCs w:val="18"/>
              </w:rPr>
              <w:t>.</w:t>
            </w:r>
            <w:r w:rsidRPr="00DE104A">
              <w:rPr>
                <w:rFonts w:ascii="Times New Roman" w:hAnsi="Times New Roman" w:cs="Times New Roman"/>
                <w:sz w:val="18"/>
                <w:szCs w:val="18"/>
              </w:rPr>
              <w:t>27</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45</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43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6</w:t>
            </w:r>
            <w:r w:rsidR="00057CAF">
              <w:rPr>
                <w:rFonts w:ascii="Times New Roman" w:hAnsi="Times New Roman" w:cs="Times New Roman"/>
                <w:sz w:val="18"/>
                <w:szCs w:val="18"/>
              </w:rPr>
              <w:t>.</w:t>
            </w:r>
            <w:r w:rsidRPr="00DE104A">
              <w:rPr>
                <w:rFonts w:ascii="Times New Roman" w:hAnsi="Times New Roman" w:cs="Times New Roman"/>
                <w:sz w:val="18"/>
                <w:szCs w:val="18"/>
              </w:rPr>
              <w:t>24</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00</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91 -5</w:t>
            </w:r>
            <w:r w:rsidR="00057CAF">
              <w:rPr>
                <w:rFonts w:ascii="Times New Roman" w:hAnsi="Times New Roman" w:cs="Times New Roman"/>
                <w:sz w:val="18"/>
                <w:szCs w:val="18"/>
              </w:rPr>
              <w:t>.</w:t>
            </w:r>
            <w:r w:rsidRPr="00DE104A">
              <w:rPr>
                <w:rFonts w:ascii="Times New Roman" w:hAnsi="Times New Roman" w:cs="Times New Roman"/>
                <w:sz w:val="18"/>
                <w:szCs w:val="18"/>
              </w:rPr>
              <w:t>75</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69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057CAF">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05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74</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MTA Fillapex</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65</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95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36</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08</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58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5</w:t>
            </w:r>
            <w:r w:rsidR="00057CAF">
              <w:rPr>
                <w:rFonts w:ascii="Times New Roman" w:hAnsi="Times New Roman" w:cs="Times New Roman"/>
                <w:sz w:val="18"/>
                <w:szCs w:val="18"/>
              </w:rPr>
              <w:t>.</w:t>
            </w:r>
            <w:r w:rsidRPr="00DE104A">
              <w:rPr>
                <w:rFonts w:ascii="Times New Roman" w:hAnsi="Times New Roman" w:cs="Times New Roman"/>
                <w:sz w:val="18"/>
                <w:szCs w:val="18"/>
              </w:rPr>
              <w:t>86</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7</w:t>
            </w:r>
            <w:r w:rsidR="00057CAF">
              <w:rPr>
                <w:rFonts w:ascii="Times New Roman" w:hAnsi="Times New Roman" w:cs="Times New Roman"/>
                <w:sz w:val="18"/>
                <w:szCs w:val="18"/>
              </w:rPr>
              <w:t>.</w:t>
            </w:r>
            <w:r w:rsidRPr="00DE104A">
              <w:rPr>
                <w:rFonts w:ascii="Times New Roman" w:hAnsi="Times New Roman" w:cs="Times New Roman"/>
                <w:sz w:val="18"/>
                <w:szCs w:val="18"/>
              </w:rPr>
              <w:t>05</w:t>
            </w:r>
            <w:r w:rsidRPr="00DE104A">
              <w:rPr>
                <w:rFonts w:ascii="Times New Roman" w:hAnsi="Times New Roman" w:cs="Times New Roman"/>
                <w:sz w:val="18"/>
                <w:szCs w:val="18"/>
                <w:vertAlign w:val="superscript"/>
              </w:rPr>
              <w:t>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76 -11</w:t>
            </w:r>
            <w:r w:rsidR="00057CAF">
              <w:rPr>
                <w:rFonts w:ascii="Times New Roman" w:hAnsi="Times New Roman" w:cs="Times New Roman"/>
                <w:sz w:val="18"/>
                <w:szCs w:val="18"/>
              </w:rPr>
              <w:t>.</w:t>
            </w:r>
            <w:r w:rsidRPr="00DE104A">
              <w:rPr>
                <w:rFonts w:ascii="Times New Roman" w:hAnsi="Times New Roman" w:cs="Times New Roman"/>
                <w:sz w:val="18"/>
                <w:szCs w:val="18"/>
              </w:rPr>
              <w:t>68</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93</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91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14</w:t>
            </w:r>
            <w:r w:rsidR="00057CAF">
              <w:rPr>
                <w:rFonts w:ascii="Times New Roman" w:hAnsi="Times New Roman" w:cs="Times New Roman"/>
                <w:sz w:val="18"/>
                <w:szCs w:val="18"/>
              </w:rPr>
              <w:t>.</w:t>
            </w:r>
            <w:r w:rsidRPr="00DE104A">
              <w:rPr>
                <w:rFonts w:ascii="Times New Roman" w:hAnsi="Times New Roman" w:cs="Times New Roman"/>
                <w:sz w:val="18"/>
                <w:szCs w:val="18"/>
              </w:rPr>
              <w:t>99</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6</w:t>
            </w:r>
            <w:r w:rsidR="00057CAF">
              <w:rPr>
                <w:rFonts w:ascii="Times New Roman" w:hAnsi="Times New Roman" w:cs="Times New Roman"/>
                <w:sz w:val="18"/>
                <w:szCs w:val="18"/>
              </w:rPr>
              <w:t>.</w:t>
            </w:r>
            <w:r w:rsidRPr="00DE104A">
              <w:rPr>
                <w:rFonts w:ascii="Times New Roman" w:hAnsi="Times New Roman" w:cs="Times New Roman"/>
                <w:sz w:val="18"/>
                <w:szCs w:val="18"/>
              </w:rPr>
              <w:t>09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06 -19</w:t>
            </w:r>
            <w:r w:rsidR="00057CAF">
              <w:rPr>
                <w:rFonts w:ascii="Times New Roman" w:hAnsi="Times New Roman" w:cs="Times New Roman"/>
                <w:sz w:val="18"/>
                <w:szCs w:val="18"/>
              </w:rPr>
              <w:t>.</w:t>
            </w:r>
            <w:r w:rsidRPr="00DE104A">
              <w:rPr>
                <w:rFonts w:ascii="Times New Roman" w:hAnsi="Times New Roman" w:cs="Times New Roman"/>
                <w:sz w:val="18"/>
                <w:szCs w:val="18"/>
              </w:rPr>
              <w:t>66</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21</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31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97</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40</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06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4</w:t>
            </w:r>
            <w:r w:rsidR="00057CAF">
              <w:rPr>
                <w:rFonts w:ascii="Times New Roman" w:hAnsi="Times New Roman" w:cs="Times New Roman"/>
                <w:sz w:val="18"/>
                <w:szCs w:val="18"/>
              </w:rPr>
              <w:t>.</w:t>
            </w:r>
            <w:r w:rsidRPr="00DE104A">
              <w:rPr>
                <w:rFonts w:ascii="Times New Roman" w:hAnsi="Times New Roman" w:cs="Times New Roman"/>
                <w:sz w:val="18"/>
                <w:szCs w:val="18"/>
              </w:rPr>
              <w:t>40</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00</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80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29</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27</w:t>
            </w:r>
            <w:r w:rsidRPr="00DE104A">
              <w:rPr>
                <w:rFonts w:ascii="Times New Roman" w:hAnsi="Times New Roman" w:cs="Times New Roman"/>
                <w:sz w:val="18"/>
                <w:szCs w:val="18"/>
                <w:vertAlign w:val="superscript"/>
              </w:rPr>
              <w:t>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80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71</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04</w:t>
            </w:r>
            <w:r w:rsidRPr="00DE104A">
              <w:rPr>
                <w:rFonts w:ascii="Times New Roman" w:hAnsi="Times New Roman" w:cs="Times New Roman"/>
                <w:sz w:val="18"/>
                <w:szCs w:val="18"/>
                <w:vertAlign w:val="superscript"/>
              </w:rPr>
              <w:t>a,AB</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081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433</w:t>
            </w:r>
          </w:p>
        </w:tc>
      </w:tr>
      <w:tr w:rsidR="00F63F2A" w:rsidRPr="00284772" w:rsidTr="00A613F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565" w:type="dxa"/>
            <w:gridSpan w:val="18"/>
            <w:tcBorders>
              <w:bottom w:val="nil"/>
            </w:tcBorders>
            <w:noWrap/>
            <w:hideMark/>
          </w:tcPr>
          <w:p w:rsidR="00F63F2A" w:rsidRPr="00021FF2" w:rsidRDefault="00F63F2A" w:rsidP="00F63F2A">
            <w:pPr>
              <w:ind w:right="-60"/>
              <w:rPr>
                <w:rFonts w:ascii="Times New Roman" w:hAnsi="Times New Roman" w:cs="Times New Roman"/>
                <w:b w:val="0"/>
                <w:sz w:val="18"/>
                <w:szCs w:val="18"/>
              </w:rPr>
            </w:pPr>
            <w:r w:rsidRPr="00021FF2">
              <w:rPr>
                <w:rFonts w:ascii="Times New Roman" w:hAnsi="Times New Roman" w:cs="Times New Roman"/>
                <w:b w:val="0"/>
                <w:sz w:val="18"/>
                <w:szCs w:val="18"/>
                <w:vertAlign w:val="superscript"/>
              </w:rPr>
              <w:t>a,b</w:t>
            </w:r>
            <w:r w:rsidRPr="00021FF2">
              <w:rPr>
                <w:rFonts w:ascii="Times New Roman" w:hAnsi="Times New Roman" w:cs="Times New Roman"/>
                <w:b w:val="0"/>
                <w:sz w:val="18"/>
                <w:szCs w:val="18"/>
              </w:rPr>
              <w:t xml:space="preserve"> </w:t>
            </w:r>
            <w:r w:rsidRPr="006D6B1B">
              <w:rPr>
                <w:rFonts w:ascii="Times New Roman" w:hAnsi="Times New Roman" w:cs="Times New Roman"/>
                <w:b w:val="0"/>
                <w:sz w:val="18"/>
                <w:szCs w:val="18"/>
              </w:rPr>
              <w:t>Different lowercase letters indicate statistically significant differences within each time period, according to the Kruskal-Wallis and Dunn tests (</w:t>
            </w:r>
            <w:r w:rsidRPr="00BF5801">
              <w:rPr>
                <w:rFonts w:ascii="Times New Roman" w:hAnsi="Times New Roman" w:cs="Times New Roman"/>
                <w:b w:val="0"/>
                <w:i/>
                <w:iCs/>
                <w:sz w:val="18"/>
                <w:szCs w:val="18"/>
              </w:rPr>
              <w:t>P</w:t>
            </w:r>
            <w:r w:rsidRPr="006D6B1B">
              <w:rPr>
                <w:rFonts w:ascii="Times New Roman" w:hAnsi="Times New Roman" w:cs="Times New Roman"/>
                <w:b w:val="0"/>
                <w:sz w:val="18"/>
                <w:szCs w:val="18"/>
              </w:rPr>
              <w:t xml:space="preserve"> &lt; 0.05).</w:t>
            </w:r>
          </w:p>
        </w:tc>
      </w:tr>
      <w:tr w:rsidR="00F63F2A" w:rsidRPr="00284772" w:rsidTr="00A613FF">
        <w:trPr>
          <w:trHeight w:val="261"/>
        </w:trPr>
        <w:tc>
          <w:tcPr>
            <w:cnfStyle w:val="001000000000" w:firstRow="0" w:lastRow="0" w:firstColumn="1" w:lastColumn="0" w:oddVBand="0" w:evenVBand="0" w:oddHBand="0" w:evenHBand="0" w:firstRowFirstColumn="0" w:firstRowLastColumn="0" w:lastRowFirstColumn="0" w:lastRowLastColumn="0"/>
            <w:tcW w:w="8565" w:type="dxa"/>
            <w:gridSpan w:val="18"/>
            <w:tcBorders>
              <w:top w:val="nil"/>
              <w:bottom w:val="nil"/>
            </w:tcBorders>
            <w:noWrap/>
            <w:hideMark/>
          </w:tcPr>
          <w:p w:rsidR="00F63F2A" w:rsidRPr="00021FF2" w:rsidRDefault="00F63F2A" w:rsidP="00F63F2A">
            <w:pPr>
              <w:ind w:right="-60"/>
              <w:rPr>
                <w:rFonts w:ascii="Times New Roman" w:hAnsi="Times New Roman" w:cs="Times New Roman"/>
                <w:b w:val="0"/>
                <w:sz w:val="18"/>
                <w:szCs w:val="18"/>
              </w:rPr>
            </w:pPr>
            <w:r w:rsidRPr="00021FF2">
              <w:rPr>
                <w:rFonts w:ascii="Times New Roman" w:hAnsi="Times New Roman" w:cs="Times New Roman"/>
                <w:b w:val="0"/>
                <w:sz w:val="18"/>
                <w:szCs w:val="18"/>
                <w:vertAlign w:val="superscript"/>
              </w:rPr>
              <w:t>A,B</w:t>
            </w:r>
            <w:r w:rsidRPr="00021FF2">
              <w:rPr>
                <w:rFonts w:ascii="Times New Roman" w:hAnsi="Times New Roman" w:cs="Times New Roman"/>
                <w:b w:val="0"/>
                <w:sz w:val="18"/>
                <w:szCs w:val="18"/>
              </w:rPr>
              <w:t xml:space="preserve"> </w:t>
            </w:r>
            <w:r w:rsidRPr="006D6B1B">
              <w:rPr>
                <w:b w:val="0"/>
                <w:bCs w:val="0"/>
              </w:rPr>
              <w:t xml:space="preserve"> </w:t>
            </w:r>
            <w:r w:rsidRPr="006D6B1B">
              <w:rPr>
                <w:rFonts w:ascii="Times New Roman" w:hAnsi="Times New Roman" w:cs="Times New Roman"/>
                <w:b w:val="0"/>
                <w:sz w:val="18"/>
                <w:szCs w:val="18"/>
              </w:rPr>
              <w:t>Different uppercase letters represent significant differences within the same material over time according to the Kruskal-Wallis and Dunn tests (</w:t>
            </w:r>
            <w:r w:rsidRPr="00BF5801">
              <w:rPr>
                <w:rFonts w:ascii="Times New Roman" w:hAnsi="Times New Roman" w:cs="Times New Roman"/>
                <w:b w:val="0"/>
                <w:i/>
                <w:iCs/>
                <w:sz w:val="18"/>
                <w:szCs w:val="18"/>
              </w:rPr>
              <w:t>P</w:t>
            </w:r>
            <w:r w:rsidRPr="006D6B1B">
              <w:rPr>
                <w:rFonts w:ascii="Times New Roman" w:hAnsi="Times New Roman" w:cs="Times New Roman"/>
                <w:b w:val="0"/>
                <w:sz w:val="18"/>
                <w:szCs w:val="18"/>
              </w:rPr>
              <w:t xml:space="preserve"> &lt; 0.05).</w:t>
            </w:r>
          </w:p>
        </w:tc>
      </w:tr>
    </w:tbl>
    <w:p w:rsidR="00A613FF" w:rsidRDefault="00A613FF" w:rsidP="003C7197">
      <w:pPr>
        <w:jc w:val="center"/>
        <w:rPr>
          <w:rFonts w:ascii="Arial" w:hAnsi="Arial" w:cs="Arial"/>
          <w:b/>
          <w:bCs/>
          <w:sz w:val="16"/>
          <w:szCs w:val="16"/>
        </w:rPr>
      </w:pPr>
    </w:p>
    <w:p w:rsidR="00A613FF" w:rsidRDefault="00A613FF" w:rsidP="003C7197">
      <w:pPr>
        <w:jc w:val="center"/>
        <w:rPr>
          <w:rFonts w:ascii="Arial" w:hAnsi="Arial" w:cs="Arial"/>
          <w:b/>
          <w:bCs/>
          <w:sz w:val="16"/>
          <w:szCs w:val="16"/>
        </w:rPr>
      </w:pPr>
    </w:p>
    <w:p w:rsidR="003C7197" w:rsidRPr="00A613FF" w:rsidRDefault="003C7197" w:rsidP="003C7197">
      <w:pPr>
        <w:jc w:val="center"/>
        <w:rPr>
          <w:rFonts w:ascii="Times New Roman" w:hAnsi="Times New Roman"/>
          <w:color w:val="000000" w:themeColor="text1"/>
        </w:rPr>
      </w:pPr>
      <w:r w:rsidRPr="00A613FF">
        <w:rPr>
          <w:rFonts w:ascii="Arial" w:hAnsi="Arial" w:cs="Arial"/>
          <w:b/>
          <w:bCs/>
          <w:sz w:val="16"/>
          <w:szCs w:val="16"/>
        </w:rPr>
        <w:t>Source: author's own</w:t>
      </w:r>
    </w:p>
    <w:p w:rsidR="00B63A5B" w:rsidRDefault="00B63A5B" w:rsidP="00C02E90">
      <w:pPr>
        <w:jc w:val="both"/>
        <w:rPr>
          <w:rFonts w:ascii="Times New Roman" w:hAnsi="Times New Roman"/>
          <w:color w:val="000000" w:themeColor="text1"/>
          <w:sz w:val="24"/>
          <w:szCs w:val="24"/>
        </w:rPr>
      </w:pPr>
    </w:p>
    <w:p w:rsidR="009418CD" w:rsidRDefault="009418CD" w:rsidP="00C02E90">
      <w:pPr>
        <w:jc w:val="both"/>
        <w:rPr>
          <w:rFonts w:ascii="Times New Roman" w:hAnsi="Times New Roman"/>
          <w:color w:val="000000" w:themeColor="text1"/>
          <w:sz w:val="24"/>
          <w:szCs w:val="24"/>
        </w:rPr>
      </w:pPr>
    </w:p>
    <w:p w:rsidR="00C02E90" w:rsidRPr="009418CD" w:rsidRDefault="00C02E90" w:rsidP="00C02E90">
      <w:pPr>
        <w:jc w:val="both"/>
        <w:rPr>
          <w:rFonts w:ascii="Arial" w:hAnsi="Arial" w:cs="Arial"/>
          <w:color w:val="000000" w:themeColor="text1"/>
        </w:rPr>
      </w:pPr>
      <w:r w:rsidRPr="009418CD">
        <w:rPr>
          <w:rFonts w:ascii="Arial" w:hAnsi="Arial" w:cs="Arial"/>
          <w:color w:val="000000" w:themeColor="text1"/>
        </w:rPr>
        <w:t>From the analysis of the 7-day period (T1), all analyzed groups exhibited color variation, indicating dentin darkening. However, only the EF group presented discoloration values above the reference threshold of 3.7, a value that represents a clinically perceptible change (Fig. 1).</w:t>
      </w:r>
    </w:p>
    <w:p w:rsidR="00B63A5B" w:rsidRDefault="00B63A5B" w:rsidP="00C02E90">
      <w:pPr>
        <w:jc w:val="both"/>
        <w:rPr>
          <w:rFonts w:ascii="Times New Roman" w:hAnsi="Times New Roman"/>
          <w:color w:val="000000" w:themeColor="text1"/>
          <w:sz w:val="24"/>
          <w:szCs w:val="24"/>
        </w:rPr>
      </w:pPr>
    </w:p>
    <w:p w:rsidR="00A613FF" w:rsidRDefault="00A613FF" w:rsidP="00C02E90">
      <w:pPr>
        <w:jc w:val="both"/>
        <w:rPr>
          <w:rFonts w:ascii="Times New Roman" w:hAnsi="Times New Roman"/>
          <w:color w:val="000000" w:themeColor="text1"/>
          <w:sz w:val="24"/>
          <w:szCs w:val="24"/>
        </w:rPr>
      </w:pPr>
    </w:p>
    <w:p w:rsidR="00B63A5B" w:rsidRPr="00A613FF" w:rsidRDefault="00B63A5B" w:rsidP="00B63A5B">
      <w:pPr>
        <w:widowControl w:val="0"/>
        <w:autoSpaceDE w:val="0"/>
        <w:autoSpaceDN w:val="0"/>
        <w:adjustRightInd w:val="0"/>
        <w:spacing w:line="360" w:lineRule="auto"/>
        <w:ind w:right="-285"/>
        <w:jc w:val="center"/>
        <w:rPr>
          <w:rFonts w:ascii="Arial" w:hAnsi="Arial" w:cs="Arial"/>
          <w:b/>
          <w:sz w:val="16"/>
          <w:szCs w:val="16"/>
          <w:lang w:val="pt-BR" w:eastAsia="pt-BR"/>
        </w:rPr>
      </w:pPr>
      <w:r w:rsidRPr="00A613FF">
        <w:rPr>
          <w:rFonts w:ascii="Arial" w:hAnsi="Arial" w:cs="Arial"/>
          <w:b/>
          <w:sz w:val="16"/>
          <w:szCs w:val="16"/>
          <w:lang w:val="pt-BR" w:eastAsia="pt-BR"/>
        </w:rPr>
        <w:t>Figure 1.</w:t>
      </w:r>
      <w:r w:rsidRPr="00A613FF">
        <w:rPr>
          <w:rFonts w:ascii="Arial" w:hAnsi="Arial" w:cs="Arial"/>
          <w:b/>
          <w:sz w:val="16"/>
          <w:szCs w:val="16"/>
        </w:rPr>
        <w:t xml:space="preserve"> Graphical representation of the color variation presented by the endodontic sealers over time and with or without the use of </w:t>
      </w:r>
      <w:r w:rsidR="00971B31" w:rsidRPr="00971B31">
        <w:rPr>
          <w:rFonts w:ascii="Arial" w:hAnsi="Arial" w:cs="Arial"/>
          <w:b/>
          <w:sz w:val="16"/>
          <w:szCs w:val="16"/>
          <w:highlight w:val="yellow"/>
        </w:rPr>
        <w:t>UA</w:t>
      </w:r>
      <w:r w:rsidRPr="00A613FF">
        <w:rPr>
          <w:rFonts w:ascii="Arial" w:hAnsi="Arial" w:cs="Arial"/>
          <w:b/>
          <w:sz w:val="16"/>
          <w:szCs w:val="16"/>
        </w:rPr>
        <w:t>.</w:t>
      </w:r>
    </w:p>
    <w:p w:rsidR="00B63A5B" w:rsidRDefault="00B63A5B" w:rsidP="00B63A5B">
      <w:pPr>
        <w:jc w:val="center"/>
        <w:rPr>
          <w:rFonts w:ascii="Times New Roman" w:hAnsi="Times New Roman"/>
          <w:color w:val="000000" w:themeColor="text1"/>
          <w:sz w:val="24"/>
          <w:szCs w:val="24"/>
        </w:rPr>
      </w:pPr>
      <w:r>
        <w:rPr>
          <w:noProof/>
        </w:rPr>
        <w:lastRenderedPageBreak/>
        <w:drawing>
          <wp:inline distT="0" distB="0" distL="0" distR="0" wp14:anchorId="24635A6D" wp14:editId="1290CDE2">
            <wp:extent cx="4156364" cy="2493623"/>
            <wp:effectExtent l="0" t="0" r="0" b="0"/>
            <wp:docPr id="1361460172"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60172" name="Imagem 1" descr="Gráfico, Gráfico de linhas&#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0678" cy="2514210"/>
                    </a:xfrm>
                    <a:prstGeom prst="rect">
                      <a:avLst/>
                    </a:prstGeom>
                    <a:noFill/>
                    <a:ln>
                      <a:noFill/>
                    </a:ln>
                  </pic:spPr>
                </pic:pic>
              </a:graphicData>
            </a:graphic>
          </wp:inline>
        </w:drawing>
      </w:r>
    </w:p>
    <w:p w:rsidR="00B63A5B" w:rsidRPr="00A613FF" w:rsidRDefault="00B63A5B" w:rsidP="00B63A5B">
      <w:pPr>
        <w:jc w:val="center"/>
        <w:rPr>
          <w:rFonts w:ascii="Arial" w:hAnsi="Arial" w:cs="Arial"/>
          <w:b/>
          <w:bCs/>
          <w:sz w:val="16"/>
          <w:szCs w:val="16"/>
        </w:rPr>
      </w:pPr>
      <w:r w:rsidRPr="00A613FF">
        <w:rPr>
          <w:rFonts w:ascii="Arial" w:hAnsi="Arial" w:cs="Arial"/>
          <w:b/>
          <w:bCs/>
          <w:sz w:val="16"/>
          <w:szCs w:val="16"/>
        </w:rPr>
        <w:t>Source: author's own</w:t>
      </w:r>
    </w:p>
    <w:p w:rsidR="00F63F2A" w:rsidRDefault="00F63F2A" w:rsidP="00B63A5B">
      <w:pPr>
        <w:jc w:val="center"/>
        <w:rPr>
          <w:rFonts w:ascii="Times New Roman" w:hAnsi="Times New Roman"/>
          <w:color w:val="000000" w:themeColor="text1"/>
          <w:sz w:val="24"/>
          <w:szCs w:val="24"/>
        </w:rPr>
      </w:pPr>
    </w:p>
    <w:p w:rsidR="00B63A5B" w:rsidRDefault="00B63A5B" w:rsidP="00B63A5B">
      <w:pPr>
        <w:jc w:val="center"/>
        <w:rPr>
          <w:rFonts w:ascii="Times New Roman" w:hAnsi="Times New Roman"/>
          <w:color w:val="000000" w:themeColor="text1"/>
          <w:sz w:val="24"/>
          <w:szCs w:val="24"/>
        </w:rPr>
      </w:pPr>
    </w:p>
    <w:p w:rsidR="00C02E90" w:rsidRPr="00651333" w:rsidRDefault="00C02E90" w:rsidP="00C02E90">
      <w:pPr>
        <w:jc w:val="both"/>
        <w:rPr>
          <w:rFonts w:ascii="Arial" w:hAnsi="Arial" w:cs="Arial"/>
          <w:color w:val="000000" w:themeColor="text1"/>
        </w:rPr>
      </w:pPr>
      <w:r w:rsidRPr="00651333">
        <w:rPr>
          <w:rFonts w:ascii="Arial" w:hAnsi="Arial" w:cs="Arial"/>
          <w:color w:val="000000" w:themeColor="text1"/>
        </w:rPr>
        <w:t>At 30 days (T2), ΔE values remained stable or showed only slight variations in all experimental groups. At 60 days (T3), all root canal sealers, regardless of the use of ultrasonic agitation (UA), exceeded the 3.7 reference threshold, demonstrating a greater impact on dentin color alteration.</w:t>
      </w:r>
    </w:p>
    <w:p w:rsidR="003D1F14" w:rsidRPr="00651333" w:rsidRDefault="00C02E90" w:rsidP="00C02E90">
      <w:pPr>
        <w:jc w:val="both"/>
        <w:rPr>
          <w:rFonts w:ascii="Arial" w:hAnsi="Arial" w:cs="Arial"/>
          <w:color w:val="000000" w:themeColor="text1"/>
        </w:rPr>
      </w:pPr>
      <w:r w:rsidRPr="00651333">
        <w:rPr>
          <w:rFonts w:ascii="Arial" w:hAnsi="Arial" w:cs="Arial"/>
          <w:color w:val="000000" w:themeColor="text1"/>
        </w:rPr>
        <w:t>Considering the 180-day period (T5), it is noteworthy that the MTAF sealer without UA reached its highest discoloration value over the study periods (Fig. 2).</w:t>
      </w:r>
    </w:p>
    <w:p w:rsidR="003D1F14" w:rsidRDefault="003D1F14" w:rsidP="00C02E90">
      <w:pPr>
        <w:jc w:val="both"/>
        <w:rPr>
          <w:rFonts w:ascii="Times New Roman" w:hAnsi="Times New Roman"/>
          <w:color w:val="000000" w:themeColor="text1"/>
          <w:sz w:val="24"/>
          <w:szCs w:val="24"/>
        </w:rPr>
      </w:pPr>
    </w:p>
    <w:p w:rsidR="003D1F14" w:rsidRPr="00A613FF" w:rsidRDefault="003D1F14" w:rsidP="003D1F14">
      <w:pPr>
        <w:jc w:val="center"/>
        <w:rPr>
          <w:rFonts w:ascii="Arial" w:hAnsi="Arial" w:cs="Arial"/>
          <w:b/>
          <w:sz w:val="16"/>
          <w:szCs w:val="16"/>
          <w:lang w:val="pt-BR"/>
        </w:rPr>
      </w:pPr>
      <w:r w:rsidRPr="00A613FF">
        <w:rPr>
          <w:rFonts w:ascii="Arial" w:hAnsi="Arial" w:cs="Arial"/>
          <w:b/>
          <w:sz w:val="16"/>
          <w:szCs w:val="16"/>
          <w:lang w:val="pt-BR"/>
        </w:rPr>
        <w:t>Figure 2.</w:t>
      </w:r>
      <w:r w:rsidRPr="00A613FF">
        <w:rPr>
          <w:rFonts w:ascii="Arial" w:hAnsi="Arial" w:cs="Arial"/>
          <w:b/>
          <w:sz w:val="16"/>
          <w:szCs w:val="16"/>
        </w:rPr>
        <w:t xml:space="preserve"> Representation of bovine tooth samples filled with </w:t>
      </w:r>
      <w:proofErr w:type="spellStart"/>
      <w:r w:rsidRPr="00A613FF">
        <w:rPr>
          <w:rFonts w:ascii="Arial" w:hAnsi="Arial" w:cs="Arial"/>
          <w:b/>
          <w:sz w:val="16"/>
          <w:szCs w:val="16"/>
        </w:rPr>
        <w:t>Endofill</w:t>
      </w:r>
      <w:proofErr w:type="spellEnd"/>
      <w:r w:rsidRPr="00A613FF">
        <w:rPr>
          <w:rFonts w:ascii="Arial" w:hAnsi="Arial" w:cs="Arial"/>
          <w:b/>
          <w:sz w:val="16"/>
          <w:szCs w:val="16"/>
        </w:rPr>
        <w:t xml:space="preserve">, Sealer 26, and MTA </w:t>
      </w:r>
      <w:proofErr w:type="spellStart"/>
      <w:r w:rsidRPr="00A613FF">
        <w:rPr>
          <w:rFonts w:ascii="Arial" w:hAnsi="Arial" w:cs="Arial"/>
          <w:b/>
          <w:sz w:val="16"/>
          <w:szCs w:val="16"/>
        </w:rPr>
        <w:t>Fillapex</w:t>
      </w:r>
      <w:proofErr w:type="spellEnd"/>
      <w:r w:rsidRPr="00A613FF">
        <w:rPr>
          <w:rFonts w:ascii="Arial" w:hAnsi="Arial" w:cs="Arial"/>
          <w:b/>
          <w:sz w:val="16"/>
          <w:szCs w:val="16"/>
        </w:rPr>
        <w:t xml:space="preserve"> after ultrasonic agitation at 180 days.</w:t>
      </w:r>
    </w:p>
    <w:p w:rsidR="003D1F14" w:rsidRDefault="003D1F14" w:rsidP="00C02E90">
      <w:pPr>
        <w:jc w:val="both"/>
        <w:rPr>
          <w:rFonts w:ascii="Times New Roman" w:hAnsi="Times New Roman"/>
          <w:color w:val="000000" w:themeColor="text1"/>
          <w:sz w:val="24"/>
          <w:szCs w:val="24"/>
        </w:rPr>
      </w:pPr>
    </w:p>
    <w:p w:rsidR="00420081" w:rsidRDefault="003D1F14" w:rsidP="00420081">
      <w:pPr>
        <w:jc w:val="center"/>
        <w:rPr>
          <w:rFonts w:ascii="Times New Roman" w:hAnsi="Times New Roman"/>
          <w:color w:val="000000" w:themeColor="text1"/>
          <w:sz w:val="24"/>
          <w:szCs w:val="24"/>
        </w:rPr>
      </w:pPr>
      <w:r>
        <w:rPr>
          <w:noProof/>
        </w:rPr>
        <w:drawing>
          <wp:inline distT="0" distB="0" distL="0" distR="0" wp14:anchorId="405497C3" wp14:editId="084EFA1F">
            <wp:extent cx="4113541" cy="2563091"/>
            <wp:effectExtent l="0" t="0" r="0" b="0"/>
            <wp:docPr id="2078950311" name="Imagem 2" descr="Tela de celular com foto de comid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50311" name="Imagem 2" descr="Tela de celular com foto de comida&#10;&#10;O conteúdo gerado por IA pode estar incorret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519" t="4791" r="13271" b="10802"/>
                    <a:stretch/>
                  </pic:blipFill>
                  <pic:spPr bwMode="auto">
                    <a:xfrm>
                      <a:off x="0" y="0"/>
                      <a:ext cx="4115307" cy="2564191"/>
                    </a:xfrm>
                    <a:prstGeom prst="rect">
                      <a:avLst/>
                    </a:prstGeom>
                    <a:noFill/>
                    <a:ln>
                      <a:noFill/>
                    </a:ln>
                    <a:extLst>
                      <a:ext uri="{53640926-AAD7-44D8-BBD7-CCE9431645EC}">
                        <a14:shadowObscured xmlns:a14="http://schemas.microsoft.com/office/drawing/2010/main"/>
                      </a:ext>
                    </a:extLst>
                  </pic:spPr>
                </pic:pic>
              </a:graphicData>
            </a:graphic>
          </wp:inline>
        </w:drawing>
      </w:r>
    </w:p>
    <w:p w:rsidR="00651333" w:rsidRPr="00651333" w:rsidRDefault="00651333" w:rsidP="00420081">
      <w:pPr>
        <w:jc w:val="center"/>
        <w:rPr>
          <w:rFonts w:ascii="Times New Roman" w:hAnsi="Times New Roman"/>
          <w:color w:val="000000" w:themeColor="text1"/>
          <w:sz w:val="8"/>
          <w:szCs w:val="8"/>
        </w:rPr>
      </w:pPr>
    </w:p>
    <w:p w:rsidR="003D1F14" w:rsidRPr="00A613FF" w:rsidRDefault="003D1F14" w:rsidP="003D1F14">
      <w:pPr>
        <w:jc w:val="center"/>
        <w:rPr>
          <w:rFonts w:ascii="Times New Roman" w:hAnsi="Times New Roman"/>
          <w:color w:val="000000" w:themeColor="text1"/>
        </w:rPr>
      </w:pPr>
      <w:r w:rsidRPr="00A613FF">
        <w:rPr>
          <w:rFonts w:ascii="Arial" w:hAnsi="Arial" w:cs="Arial"/>
          <w:b/>
          <w:bCs/>
          <w:sz w:val="16"/>
          <w:szCs w:val="16"/>
        </w:rPr>
        <w:t>Source: author's own</w:t>
      </w:r>
    </w:p>
    <w:p w:rsidR="003D1F14" w:rsidRDefault="003D1F14" w:rsidP="00C02E90">
      <w:pPr>
        <w:jc w:val="both"/>
        <w:rPr>
          <w:rFonts w:ascii="Times New Roman" w:hAnsi="Times New Roman"/>
          <w:color w:val="000000" w:themeColor="text1"/>
          <w:sz w:val="24"/>
          <w:szCs w:val="24"/>
        </w:rPr>
      </w:pPr>
    </w:p>
    <w:p w:rsidR="00420081" w:rsidRDefault="00420081" w:rsidP="00C02E90">
      <w:pPr>
        <w:jc w:val="both"/>
        <w:rPr>
          <w:rFonts w:ascii="Times New Roman" w:hAnsi="Times New Roman"/>
          <w:color w:val="000000" w:themeColor="text1"/>
          <w:sz w:val="24"/>
          <w:szCs w:val="24"/>
        </w:rPr>
      </w:pPr>
    </w:p>
    <w:p w:rsidR="00C02E90" w:rsidRPr="00651333" w:rsidRDefault="00C02E90" w:rsidP="00C02E90">
      <w:pPr>
        <w:jc w:val="both"/>
        <w:rPr>
          <w:rFonts w:ascii="Arial" w:hAnsi="Arial" w:cs="Arial"/>
          <w:color w:val="000000" w:themeColor="text1"/>
        </w:rPr>
      </w:pPr>
      <w:r w:rsidRPr="00651333">
        <w:rPr>
          <w:rFonts w:ascii="Arial" w:hAnsi="Arial" w:cs="Arial"/>
          <w:color w:val="000000" w:themeColor="text1"/>
        </w:rPr>
        <w:t xml:space="preserve">The S26 sealer showed no significant differences when comparing groups with and without UA, unlike what was observed in the groups of the other tested sealers (Fig. 1). By the T5 </w:t>
      </w:r>
      <w:r w:rsidRPr="00651333">
        <w:rPr>
          <w:rFonts w:ascii="Arial" w:hAnsi="Arial" w:cs="Arial"/>
          <w:color w:val="000000" w:themeColor="text1"/>
        </w:rPr>
        <w:lastRenderedPageBreak/>
        <w:t>period, all experimental groups exhibited values confirming dentin discoloration levels (Fig. 1).</w:t>
      </w:r>
    </w:p>
    <w:p w:rsidR="00C02E90" w:rsidRPr="00F63F2A" w:rsidRDefault="00C02E90" w:rsidP="00441B6F">
      <w:pPr>
        <w:pStyle w:val="Body"/>
        <w:spacing w:after="0"/>
        <w:rPr>
          <w:rFonts w:ascii="Arial" w:hAnsi="Arial" w:cs="Arial"/>
          <w:sz w:val="16"/>
          <w:szCs w:val="16"/>
        </w:rPr>
      </w:pPr>
    </w:p>
    <w:p w:rsidR="00376BBE" w:rsidRPr="00F63F2A" w:rsidRDefault="00376BBE" w:rsidP="00441B6F">
      <w:pPr>
        <w:pStyle w:val="Body"/>
        <w:spacing w:after="0"/>
        <w:rPr>
          <w:rFonts w:ascii="Arial" w:hAnsi="Arial" w:cs="Arial"/>
          <w:sz w:val="16"/>
          <w:szCs w:val="16"/>
        </w:rPr>
      </w:pP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Considering the obtained results, the null hypothesis was partially rejected, as all experimental groups presented clinically significant discoloration values over the study period. However, ultrasonic agitation did not exert a considerable influence on the final findings.</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To approximate the employed methods to clinical conditions, all efforts were made to follow the protocol suggested in previous studies (</w:t>
      </w:r>
      <w:r>
        <w:rPr>
          <w:rFonts w:ascii="Arial" w:hAnsi="Arial" w:cs="Arial"/>
          <w:color w:val="000000" w:themeColor="text1"/>
        </w:rPr>
        <w:t xml:space="preserve">Marciano et al., 2014; </w:t>
      </w:r>
      <w:proofErr w:type="spellStart"/>
      <w:r>
        <w:rPr>
          <w:rFonts w:ascii="Arial" w:hAnsi="Arial" w:cs="Arial"/>
          <w:color w:val="000000" w:themeColor="text1"/>
        </w:rPr>
        <w:t>Dettwiler</w:t>
      </w:r>
      <w:proofErr w:type="spellEnd"/>
      <w:r>
        <w:rPr>
          <w:rFonts w:ascii="Arial" w:hAnsi="Arial" w:cs="Arial"/>
          <w:color w:val="000000" w:themeColor="text1"/>
        </w:rPr>
        <w:t xml:space="preserve"> et al., 2016</w:t>
      </w:r>
      <w:r w:rsidRPr="00F63F2A">
        <w:rPr>
          <w:rFonts w:ascii="Arial" w:hAnsi="Arial" w:cs="Arial"/>
          <w:color w:val="000000" w:themeColor="text1"/>
        </w:rPr>
        <w:t>), which obtained results with high scientific reliability. The choice of bovine teeth aimed to reduce morphological variability compared to human teeth, as their tubular density does not present significant differences for dental discoloration studies (</w:t>
      </w:r>
      <w:r>
        <w:rPr>
          <w:rFonts w:ascii="Arial" w:hAnsi="Arial" w:cs="Arial"/>
          <w:color w:val="000000" w:themeColor="text1"/>
        </w:rPr>
        <w:t>Marciano et al., 2014</w:t>
      </w:r>
      <w:r w:rsidRPr="00F63F2A">
        <w:rPr>
          <w:rFonts w:ascii="Arial" w:hAnsi="Arial" w:cs="Arial"/>
          <w:color w:val="000000" w:themeColor="text1"/>
        </w:rPr>
        <w:t>). Additionally, for discoloration assessment, enamel-dentin blocks were used to standardize dentin thickness in contact with the material, as well as the cavity size and the amount of material employed (</w:t>
      </w:r>
      <w:r>
        <w:rPr>
          <w:rFonts w:ascii="Arial" w:hAnsi="Arial" w:cs="Arial"/>
          <w:color w:val="000000" w:themeColor="text1"/>
        </w:rPr>
        <w:t>Marciano et al., 2014</w:t>
      </w:r>
      <w:r w:rsidRPr="00F63F2A">
        <w:rPr>
          <w:rFonts w:ascii="Arial" w:hAnsi="Arial" w:cs="Arial"/>
          <w:color w:val="000000" w:themeColor="text1"/>
        </w:rPr>
        <w:t>).</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Ultrasound is widely used in endodontics due to its ability to transmit micrometric acoustic energy. This mechanical vibration propagated by the tip can favor greater penetration of the material into dentinal tubules, in addition to improving the adaptation of the cement/dentin interface (</w:t>
      </w:r>
      <w:proofErr w:type="spellStart"/>
      <w:r w:rsidR="00616B38">
        <w:rPr>
          <w:rFonts w:ascii="Arial" w:hAnsi="Arial" w:cs="Arial"/>
          <w:color w:val="000000" w:themeColor="text1"/>
        </w:rPr>
        <w:t>Lenherr</w:t>
      </w:r>
      <w:proofErr w:type="spellEnd"/>
      <w:r w:rsidR="00616B38">
        <w:rPr>
          <w:rFonts w:ascii="Arial" w:hAnsi="Arial" w:cs="Arial"/>
          <w:color w:val="000000" w:themeColor="text1"/>
        </w:rPr>
        <w:t xml:space="preserve"> et al., 2012;</w:t>
      </w:r>
      <w:r w:rsidR="00616B38" w:rsidRPr="00616B38">
        <w:rPr>
          <w:rFonts w:ascii="Arial" w:hAnsi="Arial" w:cs="Arial"/>
          <w:color w:val="000000" w:themeColor="text1"/>
        </w:rPr>
        <w:t xml:space="preserve"> </w:t>
      </w:r>
      <w:r w:rsidR="00616B38">
        <w:rPr>
          <w:rFonts w:ascii="Arial" w:hAnsi="Arial" w:cs="Arial"/>
          <w:color w:val="000000" w:themeColor="text1"/>
        </w:rPr>
        <w:t>Marciano et al., 2014</w:t>
      </w:r>
      <w:r w:rsidRPr="00F63F2A">
        <w:rPr>
          <w:rFonts w:ascii="Arial" w:hAnsi="Arial" w:cs="Arial"/>
          <w:color w:val="000000" w:themeColor="text1"/>
        </w:rPr>
        <w:t>). Thus, in the discoloration analysis, its inclusion aimed to verify possible changes in dentin discoloration caused by endodontic sealers due to this agitation.</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Color determination in dentistry can be performed using visual techniques or devices such as spectrophotometers and colorimeters. Although visual assessment is widely used in clinical practice, it has limitations due to subjectivity and individual variation in color perception (</w:t>
      </w:r>
      <w:proofErr w:type="spellStart"/>
      <w:r w:rsidR="00616B38">
        <w:rPr>
          <w:rFonts w:ascii="Arial" w:hAnsi="Arial" w:cs="Arial"/>
          <w:color w:val="000000" w:themeColor="text1"/>
        </w:rPr>
        <w:t>Tabatabaian</w:t>
      </w:r>
      <w:proofErr w:type="spellEnd"/>
      <w:r w:rsidR="00616B38">
        <w:rPr>
          <w:rFonts w:ascii="Arial" w:hAnsi="Arial" w:cs="Arial"/>
          <w:color w:val="000000" w:themeColor="text1"/>
        </w:rPr>
        <w:t xml:space="preserve"> et al., 2021</w:t>
      </w:r>
      <w:r w:rsidRPr="00F63F2A">
        <w:rPr>
          <w:rFonts w:ascii="Arial" w:hAnsi="Arial" w:cs="Arial"/>
          <w:color w:val="000000" w:themeColor="text1"/>
        </w:rPr>
        <w:t xml:space="preserve">). For this reason, the Vita </w:t>
      </w:r>
      <w:proofErr w:type="spellStart"/>
      <w:r w:rsidRPr="00F63F2A">
        <w:rPr>
          <w:rFonts w:ascii="Arial" w:hAnsi="Arial" w:cs="Arial"/>
          <w:color w:val="000000" w:themeColor="text1"/>
        </w:rPr>
        <w:t>Easyshade</w:t>
      </w:r>
      <w:proofErr w:type="spellEnd"/>
      <w:r w:rsidRPr="00F63F2A">
        <w:rPr>
          <w:rFonts w:ascii="Arial" w:hAnsi="Arial" w:cs="Arial"/>
          <w:color w:val="000000" w:themeColor="text1"/>
        </w:rPr>
        <w:t xml:space="preserve"> device was chosen, as it is recognized for its high data stability and excellent repeatability (</w:t>
      </w:r>
      <w:r w:rsidR="00616B38">
        <w:rPr>
          <w:rFonts w:ascii="Arial" w:hAnsi="Arial" w:cs="Arial"/>
          <w:color w:val="000000" w:themeColor="text1"/>
        </w:rPr>
        <w:t>Alcalde et al., 2017; Al-</w:t>
      </w:r>
      <w:proofErr w:type="spellStart"/>
      <w:r w:rsidR="00616B38">
        <w:rPr>
          <w:rFonts w:ascii="Arial" w:hAnsi="Arial" w:cs="Arial"/>
          <w:color w:val="000000" w:themeColor="text1"/>
        </w:rPr>
        <w:t>Fouzan</w:t>
      </w:r>
      <w:proofErr w:type="spellEnd"/>
      <w:r w:rsidR="00616B38">
        <w:rPr>
          <w:rFonts w:ascii="Arial" w:hAnsi="Arial" w:cs="Arial"/>
          <w:color w:val="000000" w:themeColor="text1"/>
        </w:rPr>
        <w:t xml:space="preserve"> et al., 2012</w:t>
      </w:r>
      <w:r w:rsidRPr="00F63F2A">
        <w:rPr>
          <w:rFonts w:ascii="Arial" w:hAnsi="Arial" w:cs="Arial"/>
          <w:color w:val="000000" w:themeColor="text1"/>
        </w:rPr>
        <w:t>).</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 xml:space="preserve">The results of the present study indicated significant differences in the color change caused by endodontic sealers as early as 7 days, with </w:t>
      </w:r>
      <w:proofErr w:type="spellStart"/>
      <w:r w:rsidRPr="00F63F2A">
        <w:rPr>
          <w:rFonts w:ascii="Arial" w:hAnsi="Arial" w:cs="Arial"/>
          <w:color w:val="000000" w:themeColor="text1"/>
        </w:rPr>
        <w:t>Endofill</w:t>
      </w:r>
      <w:proofErr w:type="spellEnd"/>
      <w:r w:rsidRPr="00F63F2A">
        <w:rPr>
          <w:rFonts w:ascii="Arial" w:hAnsi="Arial" w:cs="Arial"/>
          <w:color w:val="000000" w:themeColor="text1"/>
        </w:rPr>
        <w:t xml:space="preserve"> showing the highest absolute values, significantly differing from Sealer 26 without agitation (</w:t>
      </w:r>
      <w:r w:rsidRPr="00416543">
        <w:rPr>
          <w:rFonts w:ascii="Arial" w:hAnsi="Arial" w:cs="Arial"/>
          <w:i/>
          <w:iCs/>
          <w:color w:val="000000" w:themeColor="text1"/>
        </w:rPr>
        <w:t>P</w:t>
      </w:r>
      <w:r w:rsidRPr="00F63F2A">
        <w:rPr>
          <w:rFonts w:ascii="Arial" w:hAnsi="Arial" w:cs="Arial"/>
          <w:color w:val="000000" w:themeColor="text1"/>
        </w:rPr>
        <w:t xml:space="preserve"> &lt; 0.05). The values presented by </w:t>
      </w:r>
      <w:proofErr w:type="spellStart"/>
      <w:r w:rsidRPr="00F63F2A">
        <w:rPr>
          <w:rFonts w:ascii="Arial" w:hAnsi="Arial" w:cs="Arial"/>
          <w:color w:val="000000" w:themeColor="text1"/>
        </w:rPr>
        <w:t>Endofill</w:t>
      </w:r>
      <w:proofErr w:type="spellEnd"/>
      <w:r w:rsidRPr="00F63F2A">
        <w:rPr>
          <w:rFonts w:ascii="Arial" w:hAnsi="Arial" w:cs="Arial"/>
          <w:color w:val="000000" w:themeColor="text1"/>
        </w:rPr>
        <w:t xml:space="preserve"> without agitation positioned it as the only material to exhibit clinically significant color variation as early as the 7-day evaluation.</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 xml:space="preserve">Overall, all groups demonstrated variation in the intensity of discoloration observed throughout the study, with the highest color variation values most frequently observed at 180 days. The only exception was MTA </w:t>
      </w:r>
      <w:proofErr w:type="spellStart"/>
      <w:r w:rsidRPr="00F63F2A">
        <w:rPr>
          <w:rFonts w:ascii="Arial" w:hAnsi="Arial" w:cs="Arial"/>
          <w:color w:val="000000" w:themeColor="text1"/>
        </w:rPr>
        <w:t>Fillapex</w:t>
      </w:r>
      <w:proofErr w:type="spellEnd"/>
      <w:r w:rsidRPr="00F63F2A">
        <w:rPr>
          <w:rFonts w:ascii="Arial" w:hAnsi="Arial" w:cs="Arial"/>
          <w:color w:val="000000" w:themeColor="text1"/>
        </w:rPr>
        <w:t xml:space="preserve">, which, regardless of ultrasonic agitation, exhibited the most significant discoloration at 60 days. By the end of the experimental period (180 days), all tested sealers had exceeded the clinically acceptable limit for color variation. When comparing values throughout the experiment, the </w:t>
      </w:r>
      <w:proofErr w:type="spellStart"/>
      <w:r w:rsidRPr="00F63F2A">
        <w:rPr>
          <w:rFonts w:ascii="Arial" w:hAnsi="Arial" w:cs="Arial"/>
          <w:color w:val="000000" w:themeColor="text1"/>
        </w:rPr>
        <w:t>Endofill</w:t>
      </w:r>
      <w:proofErr w:type="spellEnd"/>
      <w:r w:rsidRPr="00F63F2A">
        <w:rPr>
          <w:rFonts w:ascii="Arial" w:hAnsi="Arial" w:cs="Arial"/>
          <w:color w:val="000000" w:themeColor="text1"/>
        </w:rPr>
        <w:t xml:space="preserve"> sealer groups were the only ones that did not show significant differences between the 7- and 180-day evaluations (</w:t>
      </w:r>
      <w:r w:rsidRPr="00416543">
        <w:rPr>
          <w:rFonts w:ascii="Arial" w:hAnsi="Arial" w:cs="Arial"/>
          <w:i/>
          <w:iCs/>
          <w:color w:val="000000" w:themeColor="text1"/>
        </w:rPr>
        <w:t>P</w:t>
      </w:r>
      <w:r w:rsidRPr="00F63F2A">
        <w:rPr>
          <w:rFonts w:ascii="Arial" w:hAnsi="Arial" w:cs="Arial"/>
          <w:color w:val="000000" w:themeColor="text1"/>
        </w:rPr>
        <w:t xml:space="preserve"> &gt; 0.05), possibly due to their already high values at 7 days. All other sealers showed a statistically significant increase in discoloration over time (</w:t>
      </w:r>
      <w:r w:rsidRPr="00416543">
        <w:rPr>
          <w:rFonts w:ascii="Arial" w:hAnsi="Arial" w:cs="Arial"/>
          <w:i/>
          <w:iCs/>
          <w:color w:val="000000" w:themeColor="text1"/>
        </w:rPr>
        <w:t>P</w:t>
      </w:r>
      <w:r w:rsidRPr="00F63F2A">
        <w:rPr>
          <w:rFonts w:ascii="Arial" w:hAnsi="Arial" w:cs="Arial"/>
          <w:color w:val="000000" w:themeColor="text1"/>
        </w:rPr>
        <w:t xml:space="preserve"> &lt; 0.05). There are still no studies in the literature that serve as direct benchmarks for comparison with the values found in this study.</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Considering that the discoloration caused by endodontic sealers has been attributed to radiopacifying agents present in these materials, it is relevant to observe the behavior of the tested materials, particularly given their different radiopacifying components (</w:t>
      </w:r>
      <w:r w:rsidR="00416543">
        <w:rPr>
          <w:rFonts w:ascii="Arial" w:hAnsi="Arial" w:cs="Arial"/>
          <w:color w:val="000000" w:themeColor="text1"/>
        </w:rPr>
        <w:t>Richman 195</w:t>
      </w:r>
      <w:r w:rsidR="00D33F96">
        <w:rPr>
          <w:rFonts w:ascii="Arial" w:hAnsi="Arial" w:cs="Arial"/>
          <w:color w:val="000000" w:themeColor="text1"/>
        </w:rPr>
        <w:t>7</w:t>
      </w:r>
      <w:r w:rsidR="00416543">
        <w:rPr>
          <w:rFonts w:ascii="Arial" w:hAnsi="Arial" w:cs="Arial"/>
          <w:color w:val="000000" w:themeColor="text1"/>
        </w:rPr>
        <w:t>)</w:t>
      </w:r>
      <w:r w:rsidRPr="00F63F2A">
        <w:rPr>
          <w:rFonts w:ascii="Arial" w:hAnsi="Arial" w:cs="Arial"/>
          <w:color w:val="000000" w:themeColor="text1"/>
        </w:rPr>
        <w:t xml:space="preserve">. </w:t>
      </w:r>
      <w:proofErr w:type="spellStart"/>
      <w:r w:rsidRPr="00F63F2A">
        <w:rPr>
          <w:rFonts w:ascii="Arial" w:hAnsi="Arial" w:cs="Arial"/>
          <w:color w:val="000000" w:themeColor="text1"/>
        </w:rPr>
        <w:t>Endofill</w:t>
      </w:r>
      <w:proofErr w:type="spellEnd"/>
      <w:r w:rsidRPr="00F63F2A">
        <w:rPr>
          <w:rFonts w:ascii="Arial" w:hAnsi="Arial" w:cs="Arial"/>
          <w:color w:val="000000" w:themeColor="text1"/>
        </w:rPr>
        <w:t xml:space="preserve"> contains three substances capable of providing radiopacity: zinc oxide, barium sulfate, and bismuth </w:t>
      </w:r>
      <w:proofErr w:type="spellStart"/>
      <w:r w:rsidRPr="00F63F2A">
        <w:rPr>
          <w:rFonts w:ascii="Arial" w:hAnsi="Arial" w:cs="Arial"/>
          <w:color w:val="000000" w:themeColor="text1"/>
        </w:rPr>
        <w:t>subcarbonate</w:t>
      </w:r>
      <w:proofErr w:type="spellEnd"/>
      <w:r w:rsidRPr="00F63F2A">
        <w:rPr>
          <w:rFonts w:ascii="Arial" w:hAnsi="Arial" w:cs="Arial"/>
          <w:color w:val="000000" w:themeColor="text1"/>
        </w:rPr>
        <w:t xml:space="preserve">. Sealer 26 exclusively uses bismuth trioxide, while MTA </w:t>
      </w:r>
      <w:proofErr w:type="spellStart"/>
      <w:r w:rsidRPr="00F63F2A">
        <w:rPr>
          <w:rFonts w:ascii="Arial" w:hAnsi="Arial" w:cs="Arial"/>
          <w:color w:val="000000" w:themeColor="text1"/>
        </w:rPr>
        <w:t>Fillapex</w:t>
      </w:r>
      <w:proofErr w:type="spellEnd"/>
      <w:r w:rsidRPr="00F63F2A">
        <w:rPr>
          <w:rFonts w:ascii="Arial" w:hAnsi="Arial" w:cs="Arial"/>
          <w:color w:val="000000" w:themeColor="text1"/>
        </w:rPr>
        <w:t xml:space="preserve"> employs calcium tungstate.</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Bismuth has been identified as responsible for the discoloration of endodontic repair materials (</w:t>
      </w:r>
      <w:r w:rsidR="007E6A08">
        <w:rPr>
          <w:rFonts w:ascii="Arial" w:hAnsi="Arial" w:cs="Arial"/>
          <w:color w:val="000000" w:themeColor="text1"/>
        </w:rPr>
        <w:t>Al-</w:t>
      </w:r>
      <w:proofErr w:type="spellStart"/>
      <w:r w:rsidR="007E6A08">
        <w:rPr>
          <w:rFonts w:ascii="Arial" w:hAnsi="Arial" w:cs="Arial"/>
          <w:color w:val="000000" w:themeColor="text1"/>
        </w:rPr>
        <w:t>Fouzan</w:t>
      </w:r>
      <w:proofErr w:type="spellEnd"/>
      <w:r w:rsidR="007E6A08">
        <w:rPr>
          <w:rFonts w:ascii="Arial" w:hAnsi="Arial" w:cs="Arial"/>
          <w:color w:val="000000" w:themeColor="text1"/>
        </w:rPr>
        <w:t xml:space="preserve"> et al., 2012</w:t>
      </w:r>
      <w:r w:rsidRPr="00F63F2A">
        <w:rPr>
          <w:rFonts w:ascii="Arial" w:hAnsi="Arial" w:cs="Arial"/>
          <w:color w:val="000000" w:themeColor="text1"/>
        </w:rPr>
        <w:t>). Authors have discussed the instability of this chemical element and its possible interaction with moisture and collagen in dentin (</w:t>
      </w:r>
      <w:r w:rsidR="007E6A08">
        <w:rPr>
          <w:rFonts w:ascii="Arial" w:hAnsi="Arial" w:cs="Arial"/>
          <w:color w:val="000000" w:themeColor="text1"/>
        </w:rPr>
        <w:t>Luna-Cruz et al., 2024; Marciano et al., 2017</w:t>
      </w:r>
      <w:r w:rsidRPr="00F63F2A">
        <w:rPr>
          <w:rFonts w:ascii="Arial" w:hAnsi="Arial" w:cs="Arial"/>
          <w:color w:val="000000" w:themeColor="text1"/>
        </w:rPr>
        <w:t xml:space="preserve">). This information may explain the discoloration observed in both </w:t>
      </w:r>
      <w:proofErr w:type="spellStart"/>
      <w:r w:rsidRPr="00F63F2A">
        <w:rPr>
          <w:rFonts w:ascii="Arial" w:hAnsi="Arial" w:cs="Arial"/>
          <w:color w:val="000000" w:themeColor="text1"/>
        </w:rPr>
        <w:lastRenderedPageBreak/>
        <w:t>Endofill</w:t>
      </w:r>
      <w:proofErr w:type="spellEnd"/>
      <w:r w:rsidRPr="00F63F2A">
        <w:rPr>
          <w:rFonts w:ascii="Arial" w:hAnsi="Arial" w:cs="Arial"/>
          <w:color w:val="000000" w:themeColor="text1"/>
        </w:rPr>
        <w:t xml:space="preserve"> and Sealer 26. On the other hand, previous studies have also indicated the occurrence of dental discoloration in repair materials that use calcium tungstate as a </w:t>
      </w:r>
      <w:proofErr w:type="spellStart"/>
      <w:r w:rsidRPr="00F63F2A">
        <w:rPr>
          <w:rFonts w:ascii="Arial" w:hAnsi="Arial" w:cs="Arial"/>
          <w:color w:val="000000" w:themeColor="text1"/>
        </w:rPr>
        <w:t>radiopacifier</w:t>
      </w:r>
      <w:proofErr w:type="spellEnd"/>
      <w:r w:rsidRPr="00F63F2A">
        <w:rPr>
          <w:rFonts w:ascii="Arial" w:hAnsi="Arial" w:cs="Arial"/>
          <w:color w:val="000000" w:themeColor="text1"/>
        </w:rPr>
        <w:t xml:space="preserve"> (</w:t>
      </w:r>
      <w:r w:rsidR="00C652A5">
        <w:rPr>
          <w:rFonts w:ascii="Arial" w:hAnsi="Arial" w:cs="Arial"/>
          <w:color w:val="000000" w:themeColor="text1"/>
        </w:rPr>
        <w:t>Luna-Cruz et al., 2024; Marques et al., 2021</w:t>
      </w:r>
      <w:r w:rsidRPr="00F63F2A">
        <w:rPr>
          <w:rFonts w:ascii="Arial" w:hAnsi="Arial" w:cs="Arial"/>
          <w:color w:val="000000" w:themeColor="text1"/>
        </w:rPr>
        <w:t xml:space="preserve">). Additionally, the presence of other components in MTA </w:t>
      </w:r>
      <w:proofErr w:type="spellStart"/>
      <w:r w:rsidRPr="00F63F2A">
        <w:rPr>
          <w:rFonts w:ascii="Arial" w:hAnsi="Arial" w:cs="Arial"/>
          <w:color w:val="000000" w:themeColor="text1"/>
        </w:rPr>
        <w:t>Fillapex</w:t>
      </w:r>
      <w:proofErr w:type="spellEnd"/>
      <w:r w:rsidRPr="00F63F2A">
        <w:rPr>
          <w:rFonts w:ascii="Arial" w:hAnsi="Arial" w:cs="Arial"/>
          <w:color w:val="000000" w:themeColor="text1"/>
        </w:rPr>
        <w:t>, such as salicylate resin and mineral trioxide aggregate, may lead to reactions that alter the element or cause discoloration themselves</w:t>
      </w:r>
      <w:r w:rsidR="00674A42">
        <w:rPr>
          <w:rFonts w:ascii="Arial" w:hAnsi="Arial" w:cs="Arial"/>
          <w:color w:val="000000" w:themeColor="text1"/>
        </w:rPr>
        <w:t xml:space="preserve"> (Gonçalves et al., 2021).</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Thus, considering the existing literature indicating that ultrasonic agitation can enhance penetration into dentinal tubules and marginal adaptation (</w:t>
      </w:r>
      <w:r w:rsidR="00674A42">
        <w:rPr>
          <w:rFonts w:ascii="Arial" w:hAnsi="Arial" w:cs="Arial"/>
          <w:color w:val="000000" w:themeColor="text1"/>
        </w:rPr>
        <w:t>Carneiro et al., 2023</w:t>
      </w:r>
      <w:r w:rsidRPr="00F63F2A">
        <w:rPr>
          <w:rFonts w:ascii="Arial" w:hAnsi="Arial" w:cs="Arial"/>
          <w:color w:val="000000" w:themeColor="text1"/>
        </w:rPr>
        <w:t>) as well as antimicrobial capacity (</w:t>
      </w:r>
      <w:r w:rsidR="00674A42">
        <w:rPr>
          <w:rFonts w:ascii="Arial" w:hAnsi="Arial" w:cs="Arial"/>
          <w:color w:val="000000" w:themeColor="text1"/>
        </w:rPr>
        <w:t>Alcalde et al., 2017</w:t>
      </w:r>
      <w:r w:rsidRPr="00F63F2A">
        <w:rPr>
          <w:rFonts w:ascii="Arial" w:hAnsi="Arial" w:cs="Arial"/>
          <w:color w:val="000000" w:themeColor="text1"/>
        </w:rPr>
        <w:t>), the present study supports that, regarding dental discoloration, the use of ultrasonic agitation is safe.</w:t>
      </w:r>
    </w:p>
    <w:p w:rsidR="00376BBE" w:rsidRDefault="00376BBE" w:rsidP="00441B6F">
      <w:pPr>
        <w:pStyle w:val="Body"/>
        <w:spacing w:after="0"/>
        <w:rPr>
          <w:rFonts w:ascii="Arial" w:hAnsi="Arial" w:cs="Arial"/>
        </w:rPr>
      </w:pPr>
    </w:p>
    <w:p w:rsidR="00927834" w:rsidRDefault="00927834" w:rsidP="00441B6F">
      <w:pPr>
        <w:autoSpaceDE w:val="0"/>
        <w:autoSpaceDN w:val="0"/>
        <w:adjustRightInd w:val="0"/>
        <w:jc w:val="both"/>
        <w:rPr>
          <w:rFonts w:ascii="Arial" w:hAnsi="Arial" w:cs="Arial"/>
          <w:b/>
          <w:bCs/>
          <w:sz w:val="22"/>
          <w:szCs w:val="22"/>
        </w:rPr>
      </w:pPr>
    </w:p>
    <w:p w:rsidR="00927834" w:rsidRDefault="00927834" w:rsidP="00441B6F">
      <w:pPr>
        <w:autoSpaceDE w:val="0"/>
        <w:autoSpaceDN w:val="0"/>
        <w:adjustRightInd w:val="0"/>
        <w:jc w:val="both"/>
        <w:rPr>
          <w:rFonts w:ascii="Arial" w:hAnsi="Arial" w:cs="Arial"/>
          <w:b/>
          <w:bCs/>
          <w:szCs w:val="22"/>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644B8" w:rsidRDefault="00B644B8" w:rsidP="00B644B8">
      <w:pPr>
        <w:jc w:val="both"/>
        <w:rPr>
          <w:rFonts w:ascii="Arial" w:hAnsi="Arial" w:cs="Arial"/>
          <w:color w:val="000000" w:themeColor="text1"/>
        </w:rPr>
      </w:pPr>
      <w:r w:rsidRPr="00B644B8">
        <w:rPr>
          <w:rFonts w:ascii="Arial" w:hAnsi="Arial" w:cs="Arial"/>
          <w:color w:val="000000" w:themeColor="text1"/>
        </w:rPr>
        <w:t>Based on the obtained results and considering the limitations of this study, it is concluded that all tested endodontic sealers promoted clinically perceptible discoloration over time. Additionally, ultrasonic agitation did not significantly influence the degree of discoloration, indicating that its use does not compromise the aesthetics of endodontic treatment.</w:t>
      </w:r>
    </w:p>
    <w:p w:rsidR="00AA4D0A" w:rsidRDefault="00AA4D0A" w:rsidP="00B644B8">
      <w:pPr>
        <w:jc w:val="both"/>
        <w:rPr>
          <w:rFonts w:ascii="Arial" w:hAnsi="Arial" w:cs="Arial"/>
          <w:color w:val="000000" w:themeColor="text1"/>
        </w:rPr>
      </w:pPr>
    </w:p>
    <w:p w:rsidR="00AA4D0A" w:rsidRDefault="00AA4D0A" w:rsidP="00B644B8">
      <w:pPr>
        <w:jc w:val="both"/>
        <w:rPr>
          <w:rFonts w:ascii="Arial" w:hAnsi="Arial" w:cs="Arial"/>
          <w:color w:val="000000" w:themeColor="text1"/>
        </w:rPr>
      </w:pPr>
    </w:p>
    <w:p w:rsidR="00AA4D0A" w:rsidRPr="00AA4D0A" w:rsidRDefault="00AA4D0A" w:rsidP="00B644B8">
      <w:pPr>
        <w:jc w:val="both"/>
        <w:rPr>
          <w:rFonts w:ascii="Arial" w:hAnsi="Arial" w:cs="Arial"/>
          <w:b/>
          <w:bCs/>
          <w:sz w:val="22"/>
          <w:szCs w:val="22"/>
        </w:rPr>
      </w:pPr>
      <w:r w:rsidRPr="00AA4D0A">
        <w:rPr>
          <w:rFonts w:ascii="Arial" w:hAnsi="Arial" w:cs="Arial"/>
          <w:b/>
          <w:bCs/>
          <w:sz w:val="22"/>
          <w:szCs w:val="22"/>
        </w:rPr>
        <w:t xml:space="preserve">DISCLAIMER (ARTIFICIAL INTELLIGENCE) </w:t>
      </w:r>
    </w:p>
    <w:p w:rsidR="00AA4D0A" w:rsidRDefault="00AA4D0A" w:rsidP="00B644B8">
      <w:pPr>
        <w:jc w:val="both"/>
      </w:pPr>
    </w:p>
    <w:p w:rsidR="00AA4D0A" w:rsidRPr="00AA4D0A" w:rsidRDefault="00AA4D0A" w:rsidP="00B644B8">
      <w:pPr>
        <w:jc w:val="both"/>
        <w:rPr>
          <w:rFonts w:ascii="Arial" w:hAnsi="Arial" w:cs="Arial"/>
        </w:rPr>
      </w:pPr>
      <w:r w:rsidRPr="00AA4D0A">
        <w:rPr>
          <w:rFonts w:ascii="Arial" w:hAnsi="Arial" w:cs="Arial"/>
        </w:rPr>
        <w:t>Authors hereby declare that no generative AI technologies such as Large Language Models (</w:t>
      </w:r>
      <w:proofErr w:type="spellStart"/>
      <w:r w:rsidRPr="00AA4D0A">
        <w:rPr>
          <w:rFonts w:ascii="Arial" w:hAnsi="Arial" w:cs="Arial"/>
        </w:rPr>
        <w:t>ChatGPT</w:t>
      </w:r>
      <w:proofErr w:type="spellEnd"/>
      <w:r w:rsidRPr="00AA4D0A">
        <w:rPr>
          <w:rFonts w:ascii="Arial" w:hAnsi="Arial" w:cs="Arial"/>
        </w:rPr>
        <w:t xml:space="preserve">, COPILOT, etc.) and text-to-image generators have been used during the writing or editing of this manuscript. </w:t>
      </w:r>
    </w:p>
    <w:p w:rsidR="00AA4D0A" w:rsidRDefault="00AA4D0A" w:rsidP="00B644B8">
      <w:pPr>
        <w:jc w:val="both"/>
      </w:pPr>
    </w:p>
    <w:p w:rsidR="00AA4D0A" w:rsidRDefault="00AA4D0A" w:rsidP="00B644B8">
      <w:pPr>
        <w:jc w:val="both"/>
      </w:pPr>
    </w:p>
    <w:p w:rsidR="00AA4D0A" w:rsidRPr="00AA4D0A" w:rsidRDefault="00AA4D0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 w:val="0"/>
          <w:caps w:val="0"/>
          <w:sz w:val="20"/>
        </w:rPr>
      </w:pPr>
    </w:p>
    <w:p w:rsidR="001A29D8" w:rsidRDefault="001A29D8"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044F69" w:rsidRPr="00664AF7" w:rsidRDefault="000B5C55" w:rsidP="00664AF7">
      <w:pPr>
        <w:pStyle w:val="Body"/>
        <w:numPr>
          <w:ilvl w:val="0"/>
          <w:numId w:val="32"/>
        </w:numPr>
        <w:spacing w:after="0"/>
        <w:rPr>
          <w:rFonts w:ascii="Arial" w:hAnsi="Arial" w:cs="Arial"/>
        </w:rPr>
      </w:pPr>
      <w:r w:rsidRPr="00664AF7">
        <w:rPr>
          <w:rFonts w:ascii="Arial" w:hAnsi="Arial" w:cs="Arial"/>
          <w:color w:val="222222"/>
          <w:shd w:val="clear" w:color="auto" w:fill="FFFFFF"/>
        </w:rPr>
        <w:t xml:space="preserve">Aguiar, B. A., </w:t>
      </w:r>
      <w:proofErr w:type="spellStart"/>
      <w:r w:rsidRPr="00664AF7">
        <w:rPr>
          <w:rFonts w:ascii="Arial" w:hAnsi="Arial" w:cs="Arial"/>
          <w:color w:val="222222"/>
          <w:shd w:val="clear" w:color="auto" w:fill="FFFFFF"/>
        </w:rPr>
        <w:t>Frota</w:t>
      </w:r>
      <w:proofErr w:type="spellEnd"/>
      <w:r w:rsidRPr="00664AF7">
        <w:rPr>
          <w:rFonts w:ascii="Arial" w:hAnsi="Arial" w:cs="Arial"/>
          <w:color w:val="222222"/>
          <w:shd w:val="clear" w:color="auto" w:fill="FFFFFF"/>
        </w:rPr>
        <w:t xml:space="preserve">, L. M., </w:t>
      </w:r>
      <w:proofErr w:type="spellStart"/>
      <w:r w:rsidRPr="00664AF7">
        <w:rPr>
          <w:rFonts w:ascii="Arial" w:hAnsi="Arial" w:cs="Arial"/>
          <w:color w:val="222222"/>
          <w:shd w:val="clear" w:color="auto" w:fill="FFFFFF"/>
        </w:rPr>
        <w:t>Taguatinga</w:t>
      </w:r>
      <w:proofErr w:type="spellEnd"/>
      <w:r w:rsidRPr="00664AF7">
        <w:rPr>
          <w:rFonts w:ascii="Arial" w:hAnsi="Arial" w:cs="Arial"/>
          <w:color w:val="222222"/>
          <w:shd w:val="clear" w:color="auto" w:fill="FFFFFF"/>
        </w:rPr>
        <w:t xml:space="preserve">, D. T., </w:t>
      </w:r>
      <w:proofErr w:type="spellStart"/>
      <w:r w:rsidRPr="00664AF7">
        <w:rPr>
          <w:rFonts w:ascii="Arial" w:hAnsi="Arial" w:cs="Arial"/>
          <w:color w:val="222222"/>
          <w:shd w:val="clear" w:color="auto" w:fill="FFFFFF"/>
        </w:rPr>
        <w:t>Vivan</w:t>
      </w:r>
      <w:proofErr w:type="spellEnd"/>
      <w:r w:rsidRPr="00664AF7">
        <w:rPr>
          <w:rFonts w:ascii="Arial" w:hAnsi="Arial" w:cs="Arial"/>
          <w:color w:val="222222"/>
          <w:shd w:val="clear" w:color="auto" w:fill="FFFFFF"/>
        </w:rPr>
        <w:t>, R. R., Camilleri, J., Duarte, M. A., &amp; de Vasconcelos, B. C. (2019). Influence of ultrasonic agitation on bond strength, marginal adaptation, and tooth discoloration provided by three coronary barrier endodontic materials. </w:t>
      </w:r>
      <w:r w:rsidRPr="00664AF7">
        <w:rPr>
          <w:rFonts w:ascii="Arial" w:hAnsi="Arial" w:cs="Arial"/>
          <w:i/>
          <w:iCs/>
          <w:color w:val="222222"/>
          <w:shd w:val="clear" w:color="auto" w:fill="FFFFFF"/>
        </w:rPr>
        <w:t>Clinical oral investigations</w:t>
      </w:r>
      <w:r w:rsidRPr="00664AF7">
        <w:rPr>
          <w:rFonts w:ascii="Arial" w:hAnsi="Arial" w:cs="Arial"/>
          <w:color w:val="222222"/>
          <w:shd w:val="clear" w:color="auto" w:fill="FFFFFF"/>
        </w:rPr>
        <w:t>, </w:t>
      </w:r>
      <w:r w:rsidRPr="00664AF7">
        <w:rPr>
          <w:rFonts w:ascii="Arial" w:hAnsi="Arial" w:cs="Arial"/>
          <w:i/>
          <w:iCs/>
          <w:color w:val="222222"/>
          <w:shd w:val="clear" w:color="auto" w:fill="FFFFFF"/>
        </w:rPr>
        <w:t>23</w:t>
      </w:r>
      <w:r w:rsidRPr="00664AF7">
        <w:rPr>
          <w:rFonts w:ascii="Arial" w:hAnsi="Arial" w:cs="Arial"/>
          <w:color w:val="222222"/>
          <w:shd w:val="clear" w:color="auto" w:fill="FFFFFF"/>
        </w:rPr>
        <w:t>(11), 4113-4122.</w:t>
      </w:r>
    </w:p>
    <w:p w:rsidR="00CB78C3" w:rsidRPr="00664AF7" w:rsidRDefault="00CB78C3"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Al-</w:t>
      </w:r>
      <w:proofErr w:type="spellStart"/>
      <w:r w:rsidRPr="00664AF7">
        <w:rPr>
          <w:rFonts w:ascii="Arial" w:hAnsi="Arial" w:cs="Arial"/>
          <w:color w:val="222222"/>
          <w:sz w:val="20"/>
          <w:szCs w:val="20"/>
          <w:shd w:val="clear" w:color="auto" w:fill="FFFFFF"/>
        </w:rPr>
        <w:t>Fouzan</w:t>
      </w:r>
      <w:proofErr w:type="spellEnd"/>
      <w:r w:rsidRPr="00664AF7">
        <w:rPr>
          <w:rFonts w:ascii="Arial" w:hAnsi="Arial" w:cs="Arial"/>
          <w:color w:val="222222"/>
          <w:sz w:val="20"/>
          <w:szCs w:val="20"/>
          <w:shd w:val="clear" w:color="auto" w:fill="FFFFFF"/>
        </w:rPr>
        <w:t>, K., Al-</w:t>
      </w:r>
      <w:proofErr w:type="spellStart"/>
      <w:r w:rsidRPr="00664AF7">
        <w:rPr>
          <w:rFonts w:ascii="Arial" w:hAnsi="Arial" w:cs="Arial"/>
          <w:color w:val="222222"/>
          <w:sz w:val="20"/>
          <w:szCs w:val="20"/>
          <w:shd w:val="clear" w:color="auto" w:fill="FFFFFF"/>
        </w:rPr>
        <w:t>Garawi</w:t>
      </w:r>
      <w:proofErr w:type="spellEnd"/>
      <w:r w:rsidRPr="00664AF7">
        <w:rPr>
          <w:rFonts w:ascii="Arial" w:hAnsi="Arial" w:cs="Arial"/>
          <w:color w:val="222222"/>
          <w:sz w:val="20"/>
          <w:szCs w:val="20"/>
          <w:shd w:val="clear" w:color="auto" w:fill="FFFFFF"/>
        </w:rPr>
        <w:t>, Z., Al-</w:t>
      </w:r>
      <w:proofErr w:type="spellStart"/>
      <w:r w:rsidRPr="00664AF7">
        <w:rPr>
          <w:rFonts w:ascii="Arial" w:hAnsi="Arial" w:cs="Arial"/>
          <w:color w:val="222222"/>
          <w:sz w:val="20"/>
          <w:szCs w:val="20"/>
          <w:shd w:val="clear" w:color="auto" w:fill="FFFFFF"/>
        </w:rPr>
        <w:t>Hezaimi</w:t>
      </w:r>
      <w:proofErr w:type="spellEnd"/>
      <w:r w:rsidRPr="00664AF7">
        <w:rPr>
          <w:rFonts w:ascii="Arial" w:hAnsi="Arial" w:cs="Arial"/>
          <w:color w:val="222222"/>
          <w:sz w:val="20"/>
          <w:szCs w:val="20"/>
          <w:shd w:val="clear" w:color="auto" w:fill="FFFFFF"/>
        </w:rPr>
        <w:t xml:space="preserve">, K., </w:t>
      </w:r>
      <w:proofErr w:type="spellStart"/>
      <w:r w:rsidRPr="00664AF7">
        <w:rPr>
          <w:rFonts w:ascii="Arial" w:hAnsi="Arial" w:cs="Arial"/>
          <w:color w:val="222222"/>
          <w:sz w:val="20"/>
          <w:szCs w:val="20"/>
          <w:shd w:val="clear" w:color="auto" w:fill="FFFFFF"/>
        </w:rPr>
        <w:t>Javed</w:t>
      </w:r>
      <w:proofErr w:type="spellEnd"/>
      <w:r w:rsidRPr="00664AF7">
        <w:rPr>
          <w:rFonts w:ascii="Arial" w:hAnsi="Arial" w:cs="Arial"/>
          <w:color w:val="222222"/>
          <w:sz w:val="20"/>
          <w:szCs w:val="20"/>
          <w:shd w:val="clear" w:color="auto" w:fill="FFFFFF"/>
        </w:rPr>
        <w:t>, F., Al-</w:t>
      </w:r>
      <w:proofErr w:type="spellStart"/>
      <w:r w:rsidRPr="00664AF7">
        <w:rPr>
          <w:rFonts w:ascii="Arial" w:hAnsi="Arial" w:cs="Arial"/>
          <w:color w:val="222222"/>
          <w:sz w:val="20"/>
          <w:szCs w:val="20"/>
          <w:shd w:val="clear" w:color="auto" w:fill="FFFFFF"/>
        </w:rPr>
        <w:t>Shalan</w:t>
      </w:r>
      <w:proofErr w:type="spellEnd"/>
      <w:r w:rsidRPr="00664AF7">
        <w:rPr>
          <w:rFonts w:ascii="Arial" w:hAnsi="Arial" w:cs="Arial"/>
          <w:color w:val="222222"/>
          <w:sz w:val="20"/>
          <w:szCs w:val="20"/>
          <w:shd w:val="clear" w:color="auto" w:fill="FFFFFF"/>
        </w:rPr>
        <w:t xml:space="preserve">, T., &amp; </w:t>
      </w:r>
      <w:proofErr w:type="spellStart"/>
      <w:r w:rsidRPr="00664AF7">
        <w:rPr>
          <w:rFonts w:ascii="Arial" w:hAnsi="Arial" w:cs="Arial"/>
          <w:color w:val="222222"/>
          <w:sz w:val="20"/>
          <w:szCs w:val="20"/>
          <w:shd w:val="clear" w:color="auto" w:fill="FFFFFF"/>
        </w:rPr>
        <w:t>Rotstein</w:t>
      </w:r>
      <w:proofErr w:type="spellEnd"/>
      <w:r w:rsidRPr="00664AF7">
        <w:rPr>
          <w:rFonts w:ascii="Arial" w:hAnsi="Arial" w:cs="Arial"/>
          <w:color w:val="222222"/>
          <w:sz w:val="20"/>
          <w:szCs w:val="20"/>
          <w:shd w:val="clear" w:color="auto" w:fill="FFFFFF"/>
        </w:rPr>
        <w:t>, I. (2012). Effect of acid etching on marginal adaptation of mineral trioxide aggregate to apical dentin: microcomputed tomography and scanning electron microscopy analysis. </w:t>
      </w:r>
      <w:r w:rsidRPr="00664AF7">
        <w:rPr>
          <w:rFonts w:ascii="Arial" w:hAnsi="Arial" w:cs="Arial"/>
          <w:i/>
          <w:iCs/>
          <w:color w:val="222222"/>
          <w:sz w:val="20"/>
          <w:szCs w:val="20"/>
          <w:shd w:val="clear" w:color="auto" w:fill="FFFFFF"/>
        </w:rPr>
        <w:t>International Journal of Oral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w:t>
      </w:r>
      <w:r w:rsidRPr="00664AF7">
        <w:rPr>
          <w:rFonts w:ascii="Arial" w:hAnsi="Arial" w:cs="Arial"/>
          <w:color w:val="222222"/>
          <w:sz w:val="20"/>
          <w:szCs w:val="20"/>
          <w:shd w:val="clear" w:color="auto" w:fill="FFFFFF"/>
        </w:rPr>
        <w:t>(4), 202-207.</w:t>
      </w:r>
    </w:p>
    <w:p w:rsidR="000B5C55" w:rsidRPr="00664AF7" w:rsidRDefault="000B5C55"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Alcalde, M. P., Bramante, C. M., </w:t>
      </w:r>
      <w:proofErr w:type="spellStart"/>
      <w:r w:rsidRPr="00664AF7">
        <w:rPr>
          <w:rFonts w:ascii="Arial" w:hAnsi="Arial" w:cs="Arial"/>
          <w:color w:val="222222"/>
          <w:sz w:val="20"/>
          <w:szCs w:val="20"/>
          <w:shd w:val="clear" w:color="auto" w:fill="FFFFFF"/>
        </w:rPr>
        <w:t>Vivan</w:t>
      </w:r>
      <w:proofErr w:type="spellEnd"/>
      <w:r w:rsidRPr="00664AF7">
        <w:rPr>
          <w:rFonts w:ascii="Arial" w:hAnsi="Arial" w:cs="Arial"/>
          <w:color w:val="222222"/>
          <w:sz w:val="20"/>
          <w:szCs w:val="20"/>
          <w:shd w:val="clear" w:color="auto" w:fill="FFFFFF"/>
        </w:rPr>
        <w:t xml:space="preserve">, R. R., </w:t>
      </w:r>
      <w:proofErr w:type="spellStart"/>
      <w:r w:rsidRPr="00664AF7">
        <w:rPr>
          <w:rFonts w:ascii="Arial" w:hAnsi="Arial" w:cs="Arial"/>
          <w:color w:val="222222"/>
          <w:sz w:val="20"/>
          <w:szCs w:val="20"/>
          <w:shd w:val="clear" w:color="auto" w:fill="FFFFFF"/>
        </w:rPr>
        <w:t>Amorso</w:t>
      </w:r>
      <w:proofErr w:type="spellEnd"/>
      <w:r w:rsidRPr="00664AF7">
        <w:rPr>
          <w:rFonts w:ascii="Arial" w:hAnsi="Arial" w:cs="Arial"/>
          <w:color w:val="222222"/>
          <w:sz w:val="20"/>
          <w:szCs w:val="20"/>
          <w:shd w:val="clear" w:color="auto" w:fill="FFFFFF"/>
        </w:rPr>
        <w:t xml:space="preserve">-Silva, P. A., Andrade, F. B. D., &amp; Duarte, M. A. H. (2017). </w:t>
      </w:r>
      <w:proofErr w:type="spellStart"/>
      <w:r w:rsidRPr="00664AF7">
        <w:rPr>
          <w:rFonts w:ascii="Arial" w:hAnsi="Arial" w:cs="Arial"/>
          <w:color w:val="222222"/>
          <w:sz w:val="20"/>
          <w:szCs w:val="20"/>
          <w:shd w:val="clear" w:color="auto" w:fill="FFFFFF"/>
        </w:rPr>
        <w:t>Intradentinal</w:t>
      </w:r>
      <w:proofErr w:type="spellEnd"/>
      <w:r w:rsidRPr="00664AF7">
        <w:rPr>
          <w:rFonts w:ascii="Arial" w:hAnsi="Arial" w:cs="Arial"/>
          <w:color w:val="222222"/>
          <w:sz w:val="20"/>
          <w:szCs w:val="20"/>
          <w:shd w:val="clear" w:color="auto" w:fill="FFFFFF"/>
        </w:rPr>
        <w:t xml:space="preserve"> antimicrobial action and filling quality promoted by ultrasonic agitation of epoxy resin-based sealer in endodontic obturation. </w:t>
      </w:r>
      <w:r w:rsidRPr="00664AF7">
        <w:rPr>
          <w:rFonts w:ascii="Arial" w:hAnsi="Arial" w:cs="Arial"/>
          <w:i/>
          <w:iCs/>
          <w:color w:val="222222"/>
          <w:sz w:val="20"/>
          <w:szCs w:val="20"/>
          <w:shd w:val="clear" w:color="auto" w:fill="FFFFFF"/>
        </w:rPr>
        <w:t>Journal of applied oral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25</w:t>
      </w:r>
      <w:r w:rsidRPr="00664AF7">
        <w:rPr>
          <w:rFonts w:ascii="Arial" w:hAnsi="Arial" w:cs="Arial"/>
          <w:color w:val="222222"/>
          <w:sz w:val="20"/>
          <w:szCs w:val="20"/>
          <w:shd w:val="clear" w:color="auto" w:fill="FFFFFF"/>
        </w:rPr>
        <w:t>(6), 641-649</w:t>
      </w:r>
      <w:r w:rsidRPr="00664AF7">
        <w:rPr>
          <w:rFonts w:ascii="Arial" w:hAnsi="Arial" w:cs="Arial"/>
          <w:color w:val="000000" w:themeColor="text1"/>
          <w:sz w:val="20"/>
          <w:szCs w:val="20"/>
        </w:rPr>
        <w:t>.</w:t>
      </w:r>
    </w:p>
    <w:p w:rsidR="000B5C55" w:rsidRPr="00664AF7" w:rsidRDefault="000B5C55"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Assmann</w:t>
      </w:r>
      <w:proofErr w:type="spellEnd"/>
      <w:r w:rsidRPr="00664AF7">
        <w:rPr>
          <w:rFonts w:ascii="Arial" w:hAnsi="Arial" w:cs="Arial"/>
          <w:color w:val="222222"/>
          <w:sz w:val="20"/>
          <w:szCs w:val="20"/>
          <w:shd w:val="clear" w:color="auto" w:fill="FFFFFF"/>
        </w:rPr>
        <w:t xml:space="preserve">, E., </w:t>
      </w:r>
      <w:proofErr w:type="spellStart"/>
      <w:r w:rsidRPr="00664AF7">
        <w:rPr>
          <w:rFonts w:ascii="Arial" w:hAnsi="Arial" w:cs="Arial"/>
          <w:color w:val="222222"/>
          <w:sz w:val="20"/>
          <w:szCs w:val="20"/>
          <w:shd w:val="clear" w:color="auto" w:fill="FFFFFF"/>
        </w:rPr>
        <w:t>Scarparo</w:t>
      </w:r>
      <w:proofErr w:type="spellEnd"/>
      <w:r w:rsidRPr="00664AF7">
        <w:rPr>
          <w:rFonts w:ascii="Arial" w:hAnsi="Arial" w:cs="Arial"/>
          <w:color w:val="222222"/>
          <w:sz w:val="20"/>
          <w:szCs w:val="20"/>
          <w:shd w:val="clear" w:color="auto" w:fill="FFFFFF"/>
        </w:rPr>
        <w:t xml:space="preserve">, R. K., </w:t>
      </w:r>
      <w:proofErr w:type="spellStart"/>
      <w:r w:rsidRPr="00664AF7">
        <w:rPr>
          <w:rFonts w:ascii="Arial" w:hAnsi="Arial" w:cs="Arial"/>
          <w:color w:val="222222"/>
          <w:sz w:val="20"/>
          <w:szCs w:val="20"/>
          <w:shd w:val="clear" w:color="auto" w:fill="FFFFFF"/>
        </w:rPr>
        <w:t>Böttcher</w:t>
      </w:r>
      <w:proofErr w:type="spellEnd"/>
      <w:r w:rsidRPr="00664AF7">
        <w:rPr>
          <w:rFonts w:ascii="Arial" w:hAnsi="Arial" w:cs="Arial"/>
          <w:color w:val="222222"/>
          <w:sz w:val="20"/>
          <w:szCs w:val="20"/>
          <w:shd w:val="clear" w:color="auto" w:fill="FFFFFF"/>
        </w:rPr>
        <w:t xml:space="preserve">, D. E., &amp; </w:t>
      </w:r>
      <w:proofErr w:type="spellStart"/>
      <w:r w:rsidRPr="00664AF7">
        <w:rPr>
          <w:rFonts w:ascii="Arial" w:hAnsi="Arial" w:cs="Arial"/>
          <w:color w:val="222222"/>
          <w:sz w:val="20"/>
          <w:szCs w:val="20"/>
          <w:shd w:val="clear" w:color="auto" w:fill="FFFFFF"/>
        </w:rPr>
        <w:t>Grecca</w:t>
      </w:r>
      <w:proofErr w:type="spellEnd"/>
      <w:r w:rsidRPr="00664AF7">
        <w:rPr>
          <w:rFonts w:ascii="Arial" w:hAnsi="Arial" w:cs="Arial"/>
          <w:color w:val="222222"/>
          <w:sz w:val="20"/>
          <w:szCs w:val="20"/>
          <w:shd w:val="clear" w:color="auto" w:fill="FFFFFF"/>
        </w:rPr>
        <w:t>, F. S. (2012). Dentin bond strength of two mineral trioxide aggregate–based and one epoxy resin–based sealers.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38</w:t>
      </w:r>
      <w:r w:rsidRPr="00664AF7">
        <w:rPr>
          <w:rFonts w:ascii="Arial" w:hAnsi="Arial" w:cs="Arial"/>
          <w:color w:val="222222"/>
          <w:sz w:val="20"/>
          <w:szCs w:val="20"/>
          <w:shd w:val="clear" w:color="auto" w:fill="FFFFFF"/>
        </w:rPr>
        <w:t>(2), 219-221.</w:t>
      </w:r>
    </w:p>
    <w:p w:rsidR="000B5C55" w:rsidRPr="00664AF7" w:rsidRDefault="000B5C55"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lastRenderedPageBreak/>
        <w:t>Avancini</w:t>
      </w:r>
      <w:proofErr w:type="spellEnd"/>
      <w:r w:rsidRPr="00664AF7">
        <w:rPr>
          <w:rFonts w:ascii="Arial" w:hAnsi="Arial" w:cs="Arial"/>
          <w:color w:val="222222"/>
          <w:sz w:val="20"/>
          <w:szCs w:val="20"/>
          <w:shd w:val="clear" w:color="auto" w:fill="FFFFFF"/>
        </w:rPr>
        <w:t xml:space="preserve">, B. S., Maria, L. C., </w:t>
      </w:r>
      <w:proofErr w:type="spellStart"/>
      <w:r w:rsidRPr="00664AF7">
        <w:rPr>
          <w:rFonts w:ascii="Arial" w:hAnsi="Arial" w:cs="Arial"/>
          <w:color w:val="222222"/>
          <w:sz w:val="20"/>
          <w:szCs w:val="20"/>
          <w:shd w:val="clear" w:color="auto" w:fill="FFFFFF"/>
        </w:rPr>
        <w:t>Botacin</w:t>
      </w:r>
      <w:proofErr w:type="spellEnd"/>
      <w:r w:rsidRPr="00664AF7">
        <w:rPr>
          <w:rFonts w:ascii="Arial" w:hAnsi="Arial" w:cs="Arial"/>
          <w:color w:val="222222"/>
          <w:sz w:val="20"/>
          <w:szCs w:val="20"/>
          <w:shd w:val="clear" w:color="auto" w:fill="FFFFFF"/>
        </w:rPr>
        <w:t xml:space="preserve">, W. G., Santos, P. B. D., &amp; </w:t>
      </w:r>
      <w:proofErr w:type="spellStart"/>
      <w:r w:rsidRPr="00664AF7">
        <w:rPr>
          <w:rFonts w:ascii="Arial" w:hAnsi="Arial" w:cs="Arial"/>
          <w:color w:val="222222"/>
          <w:sz w:val="20"/>
          <w:szCs w:val="20"/>
          <w:shd w:val="clear" w:color="auto" w:fill="FFFFFF"/>
        </w:rPr>
        <w:t>Miotto</w:t>
      </w:r>
      <w:proofErr w:type="spellEnd"/>
      <w:r w:rsidRPr="00664AF7">
        <w:rPr>
          <w:rFonts w:ascii="Arial" w:hAnsi="Arial" w:cs="Arial"/>
          <w:color w:val="222222"/>
          <w:sz w:val="20"/>
          <w:szCs w:val="20"/>
          <w:shd w:val="clear" w:color="auto" w:fill="FFFFFF"/>
        </w:rPr>
        <w:t>, M. H. M. D. B. (2025). Demand for Endodontic Treatment and its Impact on Quality of Life. </w:t>
      </w:r>
      <w:proofErr w:type="spellStart"/>
      <w:r w:rsidRPr="00664AF7">
        <w:rPr>
          <w:rFonts w:ascii="Arial" w:hAnsi="Arial" w:cs="Arial"/>
          <w:i/>
          <w:iCs/>
          <w:color w:val="222222"/>
          <w:sz w:val="20"/>
          <w:szCs w:val="20"/>
          <w:shd w:val="clear" w:color="auto" w:fill="FFFFFF"/>
        </w:rPr>
        <w:t>Pesquisa</w:t>
      </w:r>
      <w:proofErr w:type="spellEnd"/>
      <w:r w:rsidRPr="00664AF7">
        <w:rPr>
          <w:rFonts w:ascii="Arial" w:hAnsi="Arial" w:cs="Arial"/>
          <w:i/>
          <w:iCs/>
          <w:color w:val="222222"/>
          <w:sz w:val="20"/>
          <w:szCs w:val="20"/>
          <w:shd w:val="clear" w:color="auto" w:fill="FFFFFF"/>
        </w:rPr>
        <w:t xml:space="preserve"> </w:t>
      </w:r>
      <w:proofErr w:type="spellStart"/>
      <w:r w:rsidRPr="00664AF7">
        <w:rPr>
          <w:rFonts w:ascii="Arial" w:hAnsi="Arial" w:cs="Arial"/>
          <w:i/>
          <w:iCs/>
          <w:color w:val="222222"/>
          <w:sz w:val="20"/>
          <w:szCs w:val="20"/>
          <w:shd w:val="clear" w:color="auto" w:fill="FFFFFF"/>
        </w:rPr>
        <w:t>Brasileira</w:t>
      </w:r>
      <w:proofErr w:type="spellEnd"/>
      <w:r w:rsidRPr="00664AF7">
        <w:rPr>
          <w:rFonts w:ascii="Arial" w:hAnsi="Arial" w:cs="Arial"/>
          <w:i/>
          <w:iCs/>
          <w:color w:val="222222"/>
          <w:sz w:val="20"/>
          <w:szCs w:val="20"/>
          <w:shd w:val="clear" w:color="auto" w:fill="FFFFFF"/>
        </w:rPr>
        <w:t xml:space="preserve"> </w:t>
      </w:r>
      <w:proofErr w:type="spellStart"/>
      <w:r w:rsidRPr="00664AF7">
        <w:rPr>
          <w:rFonts w:ascii="Arial" w:hAnsi="Arial" w:cs="Arial"/>
          <w:i/>
          <w:iCs/>
          <w:color w:val="222222"/>
          <w:sz w:val="20"/>
          <w:szCs w:val="20"/>
          <w:shd w:val="clear" w:color="auto" w:fill="FFFFFF"/>
        </w:rPr>
        <w:t>em</w:t>
      </w:r>
      <w:proofErr w:type="spellEnd"/>
      <w:r w:rsidRPr="00664AF7">
        <w:rPr>
          <w:rFonts w:ascii="Arial" w:hAnsi="Arial" w:cs="Arial"/>
          <w:i/>
          <w:iCs/>
          <w:color w:val="222222"/>
          <w:sz w:val="20"/>
          <w:szCs w:val="20"/>
          <w:shd w:val="clear" w:color="auto" w:fill="FFFFFF"/>
        </w:rPr>
        <w:t xml:space="preserve"> </w:t>
      </w:r>
      <w:proofErr w:type="spellStart"/>
      <w:r w:rsidRPr="00664AF7">
        <w:rPr>
          <w:rFonts w:ascii="Arial" w:hAnsi="Arial" w:cs="Arial"/>
          <w:i/>
          <w:iCs/>
          <w:color w:val="222222"/>
          <w:sz w:val="20"/>
          <w:szCs w:val="20"/>
          <w:shd w:val="clear" w:color="auto" w:fill="FFFFFF"/>
        </w:rPr>
        <w:t>Odontopediatria</w:t>
      </w:r>
      <w:proofErr w:type="spellEnd"/>
      <w:r w:rsidRPr="00664AF7">
        <w:rPr>
          <w:rFonts w:ascii="Arial" w:hAnsi="Arial" w:cs="Arial"/>
          <w:i/>
          <w:iCs/>
          <w:color w:val="222222"/>
          <w:sz w:val="20"/>
          <w:szCs w:val="20"/>
          <w:shd w:val="clear" w:color="auto" w:fill="FFFFFF"/>
        </w:rPr>
        <w:t xml:space="preserve"> e </w:t>
      </w:r>
      <w:proofErr w:type="spellStart"/>
      <w:r w:rsidRPr="00664AF7">
        <w:rPr>
          <w:rFonts w:ascii="Arial" w:hAnsi="Arial" w:cs="Arial"/>
          <w:i/>
          <w:iCs/>
          <w:color w:val="222222"/>
          <w:sz w:val="20"/>
          <w:szCs w:val="20"/>
          <w:shd w:val="clear" w:color="auto" w:fill="FFFFFF"/>
        </w:rPr>
        <w:t>Clínica</w:t>
      </w:r>
      <w:proofErr w:type="spellEnd"/>
      <w:r w:rsidRPr="00664AF7">
        <w:rPr>
          <w:rFonts w:ascii="Arial" w:hAnsi="Arial" w:cs="Arial"/>
          <w:i/>
          <w:iCs/>
          <w:color w:val="222222"/>
          <w:sz w:val="20"/>
          <w:szCs w:val="20"/>
          <w:shd w:val="clear" w:color="auto" w:fill="FFFFFF"/>
        </w:rPr>
        <w:t xml:space="preserve"> </w:t>
      </w:r>
      <w:proofErr w:type="spellStart"/>
      <w:r w:rsidRPr="00664AF7">
        <w:rPr>
          <w:rFonts w:ascii="Arial" w:hAnsi="Arial" w:cs="Arial"/>
          <w:i/>
          <w:iCs/>
          <w:color w:val="222222"/>
          <w:sz w:val="20"/>
          <w:szCs w:val="20"/>
          <w:shd w:val="clear" w:color="auto" w:fill="FFFFFF"/>
        </w:rPr>
        <w:t>Integrada</w:t>
      </w:r>
      <w:proofErr w:type="spellEnd"/>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25</w:t>
      </w:r>
      <w:r w:rsidRPr="00664AF7">
        <w:rPr>
          <w:rFonts w:ascii="Arial" w:hAnsi="Arial" w:cs="Arial"/>
          <w:color w:val="222222"/>
          <w:sz w:val="20"/>
          <w:szCs w:val="20"/>
          <w:shd w:val="clear" w:color="auto" w:fill="FFFFFF"/>
        </w:rPr>
        <w:t>, e240020</w:t>
      </w:r>
      <w:r w:rsidRPr="00664AF7">
        <w:rPr>
          <w:rFonts w:ascii="Arial" w:hAnsi="Arial" w:cs="Arial"/>
          <w:color w:val="000000" w:themeColor="text1"/>
          <w:sz w:val="20"/>
          <w:szCs w:val="20"/>
        </w:rPr>
        <w:t>.</w:t>
      </w:r>
    </w:p>
    <w:p w:rsidR="000B5C55" w:rsidRPr="00664AF7" w:rsidRDefault="000B5C55"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Bernabé</w:t>
      </w:r>
      <w:proofErr w:type="spellEnd"/>
      <w:r w:rsidRPr="00664AF7">
        <w:rPr>
          <w:rFonts w:ascii="Arial" w:hAnsi="Arial" w:cs="Arial"/>
          <w:color w:val="222222"/>
          <w:sz w:val="20"/>
          <w:szCs w:val="20"/>
          <w:shd w:val="clear" w:color="auto" w:fill="FFFFFF"/>
        </w:rPr>
        <w:t xml:space="preserve">, P. F. E., Gomes-Filho, J. E., </w:t>
      </w:r>
      <w:proofErr w:type="spellStart"/>
      <w:r w:rsidRPr="00664AF7">
        <w:rPr>
          <w:rFonts w:ascii="Arial" w:hAnsi="Arial" w:cs="Arial"/>
          <w:color w:val="222222"/>
          <w:sz w:val="20"/>
          <w:szCs w:val="20"/>
          <w:shd w:val="clear" w:color="auto" w:fill="FFFFFF"/>
        </w:rPr>
        <w:t>Bernabé</w:t>
      </w:r>
      <w:proofErr w:type="spellEnd"/>
      <w:r w:rsidRPr="00664AF7">
        <w:rPr>
          <w:rFonts w:ascii="Arial" w:hAnsi="Arial" w:cs="Arial"/>
          <w:color w:val="222222"/>
          <w:sz w:val="20"/>
          <w:szCs w:val="20"/>
          <w:shd w:val="clear" w:color="auto" w:fill="FFFFFF"/>
        </w:rPr>
        <w:t xml:space="preserve">, D. G., Nery, M. J., </w:t>
      </w:r>
      <w:proofErr w:type="spellStart"/>
      <w:r w:rsidRPr="00664AF7">
        <w:rPr>
          <w:rFonts w:ascii="Arial" w:hAnsi="Arial" w:cs="Arial"/>
          <w:color w:val="222222"/>
          <w:sz w:val="20"/>
          <w:szCs w:val="20"/>
          <w:shd w:val="clear" w:color="auto" w:fill="FFFFFF"/>
        </w:rPr>
        <w:t>Otoboni</w:t>
      </w:r>
      <w:proofErr w:type="spellEnd"/>
      <w:r w:rsidRPr="00664AF7">
        <w:rPr>
          <w:rFonts w:ascii="Arial" w:hAnsi="Arial" w:cs="Arial"/>
          <w:color w:val="222222"/>
          <w:sz w:val="20"/>
          <w:szCs w:val="20"/>
          <w:shd w:val="clear" w:color="auto" w:fill="FFFFFF"/>
        </w:rPr>
        <w:t xml:space="preserve">-Filho, J. A., </w:t>
      </w:r>
      <w:proofErr w:type="spellStart"/>
      <w:r w:rsidRPr="00664AF7">
        <w:rPr>
          <w:rFonts w:ascii="Arial" w:hAnsi="Arial" w:cs="Arial"/>
          <w:color w:val="222222"/>
          <w:sz w:val="20"/>
          <w:szCs w:val="20"/>
          <w:shd w:val="clear" w:color="auto" w:fill="FFFFFF"/>
        </w:rPr>
        <w:t>Dezan</w:t>
      </w:r>
      <w:proofErr w:type="spellEnd"/>
      <w:r w:rsidRPr="00664AF7">
        <w:rPr>
          <w:rFonts w:ascii="Arial" w:hAnsi="Arial" w:cs="Arial"/>
          <w:color w:val="222222"/>
          <w:sz w:val="20"/>
          <w:szCs w:val="20"/>
          <w:shd w:val="clear" w:color="auto" w:fill="FFFFFF"/>
        </w:rPr>
        <w:t>-Jr, E., &amp; Cintra, L. T. A. (2013). Sealing ability of MTA used as a root end filling material: effect of the sonic and ultrasonic condensation.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24</w:t>
      </w:r>
      <w:r w:rsidRPr="00664AF7">
        <w:rPr>
          <w:rFonts w:ascii="Arial" w:hAnsi="Arial" w:cs="Arial"/>
          <w:color w:val="222222"/>
          <w:sz w:val="20"/>
          <w:szCs w:val="20"/>
          <w:shd w:val="clear" w:color="auto" w:fill="FFFFFF"/>
        </w:rPr>
        <w:t>, 107-110</w:t>
      </w:r>
      <w:r w:rsidRPr="00664AF7">
        <w:rPr>
          <w:rFonts w:ascii="Arial" w:hAnsi="Arial" w:cs="Arial"/>
          <w:color w:val="000000" w:themeColor="text1"/>
          <w:sz w:val="20"/>
          <w:szCs w:val="20"/>
        </w:rPr>
        <w:t>.</w:t>
      </w:r>
    </w:p>
    <w:p w:rsidR="00CB78C3" w:rsidRPr="00664AF7" w:rsidRDefault="00CB78C3"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Camilleri, J. (2015). Staining potential of Neo MTA Plus, MTA Plus, and </w:t>
      </w:r>
      <w:proofErr w:type="spellStart"/>
      <w:r w:rsidRPr="00664AF7">
        <w:rPr>
          <w:rFonts w:ascii="Arial" w:hAnsi="Arial" w:cs="Arial"/>
          <w:color w:val="222222"/>
          <w:sz w:val="20"/>
          <w:szCs w:val="20"/>
          <w:shd w:val="clear" w:color="auto" w:fill="FFFFFF"/>
        </w:rPr>
        <w:t>Biodentine</w:t>
      </w:r>
      <w:proofErr w:type="spellEnd"/>
      <w:r w:rsidRPr="00664AF7">
        <w:rPr>
          <w:rFonts w:ascii="Arial" w:hAnsi="Arial" w:cs="Arial"/>
          <w:color w:val="222222"/>
          <w:sz w:val="20"/>
          <w:szCs w:val="20"/>
          <w:shd w:val="clear" w:color="auto" w:fill="FFFFFF"/>
        </w:rPr>
        <w:t xml:space="preserve"> used for pulpotomy procedures.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41</w:t>
      </w:r>
      <w:r w:rsidRPr="00664AF7">
        <w:rPr>
          <w:rFonts w:ascii="Arial" w:hAnsi="Arial" w:cs="Arial"/>
          <w:color w:val="222222"/>
          <w:sz w:val="20"/>
          <w:szCs w:val="20"/>
          <w:shd w:val="clear" w:color="auto" w:fill="FFFFFF"/>
        </w:rPr>
        <w:t>(7), 1139-1145.</w:t>
      </w:r>
    </w:p>
    <w:p w:rsidR="00CB78C3" w:rsidRPr="00664AF7" w:rsidRDefault="00CB78C3"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Camilleri, J., Sorrentino, F., &amp; </w:t>
      </w:r>
      <w:proofErr w:type="spellStart"/>
      <w:r w:rsidRPr="00664AF7">
        <w:rPr>
          <w:rFonts w:ascii="Arial" w:hAnsi="Arial" w:cs="Arial"/>
          <w:color w:val="222222"/>
          <w:sz w:val="20"/>
          <w:szCs w:val="20"/>
          <w:shd w:val="clear" w:color="auto" w:fill="FFFFFF"/>
        </w:rPr>
        <w:t>Damidot</w:t>
      </w:r>
      <w:proofErr w:type="spellEnd"/>
      <w:r w:rsidRPr="00664AF7">
        <w:rPr>
          <w:rFonts w:ascii="Arial" w:hAnsi="Arial" w:cs="Arial"/>
          <w:color w:val="222222"/>
          <w:sz w:val="20"/>
          <w:szCs w:val="20"/>
          <w:shd w:val="clear" w:color="auto" w:fill="FFFFFF"/>
        </w:rPr>
        <w:t xml:space="preserve">, D. (2013). Investigation of the hydration and bioactivity of radiopacified tricalcium silicate cement, </w:t>
      </w:r>
      <w:proofErr w:type="spellStart"/>
      <w:r w:rsidRPr="00664AF7">
        <w:rPr>
          <w:rFonts w:ascii="Arial" w:hAnsi="Arial" w:cs="Arial"/>
          <w:color w:val="222222"/>
          <w:sz w:val="20"/>
          <w:szCs w:val="20"/>
          <w:shd w:val="clear" w:color="auto" w:fill="FFFFFF"/>
        </w:rPr>
        <w:t>Biodentine</w:t>
      </w:r>
      <w:proofErr w:type="spellEnd"/>
      <w:r w:rsidRPr="00664AF7">
        <w:rPr>
          <w:rFonts w:ascii="Arial" w:hAnsi="Arial" w:cs="Arial"/>
          <w:color w:val="222222"/>
          <w:sz w:val="20"/>
          <w:szCs w:val="20"/>
          <w:shd w:val="clear" w:color="auto" w:fill="FFFFFF"/>
        </w:rPr>
        <w:t xml:space="preserve"> and MTA Angelus. </w:t>
      </w:r>
      <w:r w:rsidRPr="00664AF7">
        <w:rPr>
          <w:rFonts w:ascii="Arial" w:hAnsi="Arial" w:cs="Arial"/>
          <w:i/>
          <w:iCs/>
          <w:color w:val="222222"/>
          <w:sz w:val="20"/>
          <w:szCs w:val="20"/>
          <w:shd w:val="clear" w:color="auto" w:fill="FFFFFF"/>
        </w:rPr>
        <w:t>Dental materials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29</w:t>
      </w:r>
      <w:r w:rsidRPr="00664AF7">
        <w:rPr>
          <w:rFonts w:ascii="Arial" w:hAnsi="Arial" w:cs="Arial"/>
          <w:color w:val="222222"/>
          <w:sz w:val="20"/>
          <w:szCs w:val="20"/>
          <w:shd w:val="clear" w:color="auto" w:fill="FFFFFF"/>
        </w:rPr>
        <w:t>(5), 580-593.</w:t>
      </w:r>
    </w:p>
    <w:p w:rsidR="00CB78C3" w:rsidRPr="00664AF7" w:rsidRDefault="00CB78C3"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Carneiro, V. F., Alcalde, M. P., do Vale, M. S., </w:t>
      </w:r>
      <w:proofErr w:type="spellStart"/>
      <w:r w:rsidRPr="00664AF7">
        <w:rPr>
          <w:rFonts w:ascii="Arial" w:hAnsi="Arial" w:cs="Arial"/>
          <w:color w:val="222222"/>
          <w:sz w:val="20"/>
          <w:szCs w:val="20"/>
          <w:shd w:val="clear" w:color="auto" w:fill="FFFFFF"/>
        </w:rPr>
        <w:t>Vivan</w:t>
      </w:r>
      <w:proofErr w:type="spellEnd"/>
      <w:r w:rsidRPr="00664AF7">
        <w:rPr>
          <w:rFonts w:ascii="Arial" w:hAnsi="Arial" w:cs="Arial"/>
          <w:color w:val="222222"/>
          <w:sz w:val="20"/>
          <w:szCs w:val="20"/>
          <w:shd w:val="clear" w:color="auto" w:fill="FFFFFF"/>
        </w:rPr>
        <w:t>, R. R., Duarte, M. A. H., &amp; Vasconcelos, B. C. D. (2023). Effect of ultrasonic agitation on marginal adaptation, intratubular penetration and bonding strength of calcium</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silicate</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based endodontic sealers: A laboratory study. </w:t>
      </w:r>
      <w:r w:rsidRPr="00664AF7">
        <w:rPr>
          <w:rFonts w:ascii="Arial" w:hAnsi="Arial" w:cs="Arial"/>
          <w:i/>
          <w:iCs/>
          <w:color w:val="222222"/>
          <w:sz w:val="20"/>
          <w:szCs w:val="20"/>
          <w:shd w:val="clear" w:color="auto" w:fill="FFFFFF"/>
        </w:rPr>
        <w:t>Australian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49</w:t>
      </w:r>
      <w:r w:rsidRPr="00664AF7">
        <w:rPr>
          <w:rFonts w:ascii="Arial" w:hAnsi="Arial" w:cs="Arial"/>
          <w:color w:val="222222"/>
          <w:sz w:val="20"/>
          <w:szCs w:val="20"/>
          <w:shd w:val="clear" w:color="auto" w:fill="FFFFFF"/>
        </w:rPr>
        <w:t>(3), 690-699</w:t>
      </w:r>
      <w:r w:rsidRPr="00664AF7">
        <w:rPr>
          <w:rFonts w:ascii="Arial" w:hAnsi="Arial" w:cs="Arial"/>
          <w:color w:val="000000" w:themeColor="text1"/>
          <w:sz w:val="20"/>
          <w:szCs w:val="20"/>
        </w:rPr>
        <w:t>.</w:t>
      </w:r>
    </w:p>
    <w:p w:rsidR="00EE0184" w:rsidRPr="00664AF7" w:rsidRDefault="00EE0184"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Chen, H., Zhao, X., </w:t>
      </w:r>
      <w:proofErr w:type="spellStart"/>
      <w:r w:rsidRPr="00664AF7">
        <w:rPr>
          <w:rFonts w:ascii="Arial" w:hAnsi="Arial" w:cs="Arial"/>
          <w:color w:val="222222"/>
          <w:sz w:val="20"/>
          <w:szCs w:val="20"/>
          <w:shd w:val="clear" w:color="auto" w:fill="FFFFFF"/>
        </w:rPr>
        <w:t>Qiu</w:t>
      </w:r>
      <w:proofErr w:type="spellEnd"/>
      <w:r w:rsidRPr="00664AF7">
        <w:rPr>
          <w:rFonts w:ascii="Arial" w:hAnsi="Arial" w:cs="Arial"/>
          <w:color w:val="222222"/>
          <w:sz w:val="20"/>
          <w:szCs w:val="20"/>
          <w:shd w:val="clear" w:color="auto" w:fill="FFFFFF"/>
        </w:rPr>
        <w:t>, Y., Xu, D., Cui, L., &amp; Wu, B. (2017). The tubular penetration depth and adaption of four sealers: a scanning electron microscopic study. </w:t>
      </w:r>
      <w:r w:rsidRPr="00664AF7">
        <w:rPr>
          <w:rFonts w:ascii="Arial" w:hAnsi="Arial" w:cs="Arial"/>
          <w:i/>
          <w:iCs/>
          <w:color w:val="222222"/>
          <w:sz w:val="20"/>
          <w:szCs w:val="20"/>
          <w:shd w:val="clear" w:color="auto" w:fill="FFFFFF"/>
        </w:rPr>
        <w:t>BioMed research international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2017</w:t>
      </w:r>
      <w:r w:rsidRPr="00664AF7">
        <w:rPr>
          <w:rFonts w:ascii="Arial" w:hAnsi="Arial" w:cs="Arial"/>
          <w:color w:val="222222"/>
          <w:sz w:val="20"/>
          <w:szCs w:val="20"/>
          <w:shd w:val="clear" w:color="auto" w:fill="FFFFFF"/>
        </w:rPr>
        <w:t>(1), 2946524.</w:t>
      </w:r>
    </w:p>
    <w:p w:rsidR="00EE0184" w:rsidRPr="00664AF7" w:rsidRDefault="00EE0184"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Cintra, L. T. A., Benetti, F., de Azevedo Queiroz, Í. O., de Araújo Lopes, J. M., de Oliveira, S. H. P., Araújo, G. S., &amp; Gomes-Filho, J. E. (2017). Cytotoxicity, biocompatibility, and biomineralization of the new high-plasticity MTA material.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43</w:t>
      </w:r>
      <w:r w:rsidRPr="00664AF7">
        <w:rPr>
          <w:rFonts w:ascii="Arial" w:hAnsi="Arial" w:cs="Arial"/>
          <w:color w:val="222222"/>
          <w:sz w:val="20"/>
          <w:szCs w:val="20"/>
          <w:shd w:val="clear" w:color="auto" w:fill="FFFFFF"/>
        </w:rPr>
        <w:t>(5), 774-778.</w:t>
      </w:r>
    </w:p>
    <w:p w:rsidR="00EE0184" w:rsidRPr="00664AF7" w:rsidRDefault="00EE0184"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Dettwiler</w:t>
      </w:r>
      <w:proofErr w:type="spellEnd"/>
      <w:r w:rsidRPr="00664AF7">
        <w:rPr>
          <w:rFonts w:ascii="Arial" w:hAnsi="Arial" w:cs="Arial"/>
          <w:color w:val="222222"/>
          <w:sz w:val="20"/>
          <w:szCs w:val="20"/>
          <w:shd w:val="clear" w:color="auto" w:fill="FFFFFF"/>
        </w:rPr>
        <w:t xml:space="preserve">, C. A., Walter, M., </w:t>
      </w:r>
      <w:proofErr w:type="spellStart"/>
      <w:r w:rsidRPr="00664AF7">
        <w:rPr>
          <w:rFonts w:ascii="Arial" w:hAnsi="Arial" w:cs="Arial"/>
          <w:color w:val="222222"/>
          <w:sz w:val="20"/>
          <w:szCs w:val="20"/>
          <w:shd w:val="clear" w:color="auto" w:fill="FFFFFF"/>
        </w:rPr>
        <w:t>Zaugg</w:t>
      </w:r>
      <w:proofErr w:type="spellEnd"/>
      <w:r w:rsidRPr="00664AF7">
        <w:rPr>
          <w:rFonts w:ascii="Arial" w:hAnsi="Arial" w:cs="Arial"/>
          <w:color w:val="222222"/>
          <w:sz w:val="20"/>
          <w:szCs w:val="20"/>
          <w:shd w:val="clear" w:color="auto" w:fill="FFFFFF"/>
        </w:rPr>
        <w:t xml:space="preserve">, L. K., </w:t>
      </w:r>
      <w:proofErr w:type="spellStart"/>
      <w:r w:rsidRPr="00664AF7">
        <w:rPr>
          <w:rFonts w:ascii="Arial" w:hAnsi="Arial" w:cs="Arial"/>
          <w:color w:val="222222"/>
          <w:sz w:val="20"/>
          <w:szCs w:val="20"/>
          <w:shd w:val="clear" w:color="auto" w:fill="FFFFFF"/>
        </w:rPr>
        <w:t>Lenherr</w:t>
      </w:r>
      <w:proofErr w:type="spellEnd"/>
      <w:r w:rsidRPr="00664AF7">
        <w:rPr>
          <w:rFonts w:ascii="Arial" w:hAnsi="Arial" w:cs="Arial"/>
          <w:color w:val="222222"/>
          <w:sz w:val="20"/>
          <w:szCs w:val="20"/>
          <w:shd w:val="clear" w:color="auto" w:fill="FFFFFF"/>
        </w:rPr>
        <w:t xml:space="preserve">, P., </w:t>
      </w:r>
      <w:proofErr w:type="spellStart"/>
      <w:r w:rsidRPr="00664AF7">
        <w:rPr>
          <w:rFonts w:ascii="Arial" w:hAnsi="Arial" w:cs="Arial"/>
          <w:color w:val="222222"/>
          <w:sz w:val="20"/>
          <w:szCs w:val="20"/>
          <w:shd w:val="clear" w:color="auto" w:fill="FFFFFF"/>
        </w:rPr>
        <w:t>Weiger</w:t>
      </w:r>
      <w:proofErr w:type="spellEnd"/>
      <w:r w:rsidRPr="00664AF7">
        <w:rPr>
          <w:rFonts w:ascii="Arial" w:hAnsi="Arial" w:cs="Arial"/>
          <w:color w:val="222222"/>
          <w:sz w:val="20"/>
          <w:szCs w:val="20"/>
          <w:shd w:val="clear" w:color="auto" w:fill="FFFFFF"/>
        </w:rPr>
        <w:t xml:space="preserve">, R., &amp; </w:t>
      </w:r>
      <w:proofErr w:type="spellStart"/>
      <w:r w:rsidRPr="00664AF7">
        <w:rPr>
          <w:rFonts w:ascii="Arial" w:hAnsi="Arial" w:cs="Arial"/>
          <w:color w:val="222222"/>
          <w:sz w:val="20"/>
          <w:szCs w:val="20"/>
          <w:shd w:val="clear" w:color="auto" w:fill="FFFFFF"/>
        </w:rPr>
        <w:t>Krastl</w:t>
      </w:r>
      <w:proofErr w:type="spellEnd"/>
      <w:r w:rsidRPr="00664AF7">
        <w:rPr>
          <w:rFonts w:ascii="Arial" w:hAnsi="Arial" w:cs="Arial"/>
          <w:color w:val="222222"/>
          <w:sz w:val="20"/>
          <w:szCs w:val="20"/>
          <w:shd w:val="clear" w:color="auto" w:fill="FFFFFF"/>
        </w:rPr>
        <w:t>, G. (2016). In vitro assessment of the tooth staining potential of endodontic materials in a bovine tooth model. </w:t>
      </w:r>
      <w:r w:rsidRPr="00664AF7">
        <w:rPr>
          <w:rFonts w:ascii="Arial" w:hAnsi="Arial" w:cs="Arial"/>
          <w:i/>
          <w:iCs/>
          <w:color w:val="222222"/>
          <w:sz w:val="20"/>
          <w:szCs w:val="20"/>
          <w:shd w:val="clear" w:color="auto" w:fill="FFFFFF"/>
        </w:rPr>
        <w:t>Dental Traumatology</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32</w:t>
      </w:r>
      <w:r w:rsidRPr="00664AF7">
        <w:rPr>
          <w:rFonts w:ascii="Arial" w:hAnsi="Arial" w:cs="Arial"/>
          <w:color w:val="222222"/>
          <w:sz w:val="20"/>
          <w:szCs w:val="20"/>
          <w:shd w:val="clear" w:color="auto" w:fill="FFFFFF"/>
        </w:rPr>
        <w:t>(6), 480-487.</w:t>
      </w:r>
    </w:p>
    <w:p w:rsidR="00C45241" w:rsidRPr="00664AF7" w:rsidRDefault="00C45241"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Eramo</w:t>
      </w:r>
      <w:proofErr w:type="spellEnd"/>
      <w:r w:rsidRPr="00664AF7">
        <w:rPr>
          <w:rFonts w:ascii="Arial" w:hAnsi="Arial" w:cs="Arial"/>
          <w:color w:val="222222"/>
          <w:sz w:val="20"/>
          <w:szCs w:val="20"/>
          <w:shd w:val="clear" w:color="auto" w:fill="FFFFFF"/>
        </w:rPr>
        <w:t>, S., Natali, A., Pinna, R., &amp; Milia, E. (2018). Dental pulp regeneration via cell homing.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51</w:t>
      </w:r>
      <w:r w:rsidRPr="00664AF7">
        <w:rPr>
          <w:rFonts w:ascii="Arial" w:hAnsi="Arial" w:cs="Arial"/>
          <w:color w:val="222222"/>
          <w:sz w:val="20"/>
          <w:szCs w:val="20"/>
          <w:shd w:val="clear" w:color="auto" w:fill="FFFFFF"/>
        </w:rPr>
        <w:t>(4), 405-419</w:t>
      </w:r>
      <w:r w:rsidRPr="00664AF7">
        <w:rPr>
          <w:rFonts w:ascii="Arial" w:hAnsi="Arial" w:cs="Arial"/>
          <w:color w:val="000000" w:themeColor="text1"/>
          <w:sz w:val="20"/>
          <w:szCs w:val="20"/>
        </w:rPr>
        <w:t>.</w:t>
      </w:r>
    </w:p>
    <w:p w:rsidR="00C45241" w:rsidRPr="00664AF7" w:rsidRDefault="00C45241"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Gonçalves, N. B., Luna-Cruz, S. M., Pinheiro Jr, E. C., Gomes, N. V., &amp; De Vasconcelos, B. C. (2021). Evaluation of dentin discoloration caused by endodontic root canal sealers due to ultrasonic </w:t>
      </w:r>
      <w:proofErr w:type="spellStart"/>
      <w:r w:rsidRPr="00664AF7">
        <w:rPr>
          <w:rFonts w:ascii="Arial" w:hAnsi="Arial" w:cs="Arial"/>
          <w:color w:val="222222"/>
          <w:sz w:val="20"/>
          <w:szCs w:val="20"/>
          <w:shd w:val="clear" w:color="auto" w:fill="FFFFFF"/>
        </w:rPr>
        <w:t>agitat</w:t>
      </w:r>
      <w:proofErr w:type="spellEnd"/>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 xml:space="preserve">Dental Press </w:t>
      </w:r>
      <w:proofErr w:type="spellStart"/>
      <w:r w:rsidRPr="00664AF7">
        <w:rPr>
          <w:rFonts w:ascii="Arial" w:hAnsi="Arial" w:cs="Arial"/>
          <w:i/>
          <w:iCs/>
          <w:color w:val="222222"/>
          <w:sz w:val="20"/>
          <w:szCs w:val="20"/>
          <w:shd w:val="clear" w:color="auto" w:fill="FFFFFF"/>
        </w:rPr>
        <w:t>Endodont</w:t>
      </w:r>
      <w:proofErr w:type="spellEnd"/>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11</w:t>
      </w:r>
      <w:r w:rsidRPr="00664AF7">
        <w:rPr>
          <w:rFonts w:ascii="Arial" w:hAnsi="Arial" w:cs="Arial"/>
          <w:color w:val="222222"/>
          <w:sz w:val="20"/>
          <w:szCs w:val="20"/>
          <w:shd w:val="clear" w:color="auto" w:fill="FFFFFF"/>
        </w:rPr>
        <w:t>, 46-51.</w:t>
      </w:r>
    </w:p>
    <w:p w:rsidR="00C45241" w:rsidRPr="00664AF7" w:rsidRDefault="00C45241"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Guimarães</w:t>
      </w:r>
      <w:proofErr w:type="spellEnd"/>
      <w:r w:rsidRPr="00664AF7">
        <w:rPr>
          <w:rFonts w:ascii="Arial" w:hAnsi="Arial" w:cs="Arial"/>
          <w:color w:val="222222"/>
          <w:sz w:val="20"/>
          <w:szCs w:val="20"/>
          <w:shd w:val="clear" w:color="auto" w:fill="FFFFFF"/>
        </w:rPr>
        <w:t>, B. M., Amoroso-Silva, P. A., Alcalde, M. P., Marciano, M. A., de Andrade, F. B., &amp; Duarte, M. A. H. (2014). Influence of ultrasonic activation of 4 root canal sealers on the filling quality.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40</w:t>
      </w:r>
      <w:r w:rsidRPr="00664AF7">
        <w:rPr>
          <w:rFonts w:ascii="Arial" w:hAnsi="Arial" w:cs="Arial"/>
          <w:color w:val="222222"/>
          <w:sz w:val="20"/>
          <w:szCs w:val="20"/>
          <w:shd w:val="clear" w:color="auto" w:fill="FFFFFF"/>
        </w:rPr>
        <w:t>(7), 964-968.</w:t>
      </w:r>
    </w:p>
    <w:p w:rsidR="004C5AD0" w:rsidRPr="00664AF7" w:rsidRDefault="004C5AD0"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Kalantar</w:t>
      </w:r>
      <w:proofErr w:type="spellEnd"/>
      <w:r w:rsidRPr="00664AF7">
        <w:rPr>
          <w:rFonts w:ascii="Arial" w:hAnsi="Arial" w:cs="Arial"/>
          <w:color w:val="222222"/>
          <w:sz w:val="20"/>
          <w:szCs w:val="20"/>
          <w:shd w:val="clear" w:color="auto" w:fill="FFFFFF"/>
        </w:rPr>
        <w:t xml:space="preserve"> </w:t>
      </w:r>
      <w:proofErr w:type="spellStart"/>
      <w:r w:rsidRPr="00664AF7">
        <w:rPr>
          <w:rFonts w:ascii="Arial" w:hAnsi="Arial" w:cs="Arial"/>
          <w:color w:val="222222"/>
          <w:sz w:val="20"/>
          <w:szCs w:val="20"/>
          <w:shd w:val="clear" w:color="auto" w:fill="FFFFFF"/>
        </w:rPr>
        <w:t>Motamedi</w:t>
      </w:r>
      <w:proofErr w:type="spellEnd"/>
      <w:r w:rsidRPr="00664AF7">
        <w:rPr>
          <w:rFonts w:ascii="Arial" w:hAnsi="Arial" w:cs="Arial"/>
          <w:color w:val="222222"/>
          <w:sz w:val="20"/>
          <w:szCs w:val="20"/>
          <w:shd w:val="clear" w:color="auto" w:fill="FFFFFF"/>
        </w:rPr>
        <w:t xml:space="preserve">, M. R., </w:t>
      </w:r>
      <w:proofErr w:type="spellStart"/>
      <w:r w:rsidRPr="00664AF7">
        <w:rPr>
          <w:rFonts w:ascii="Arial" w:hAnsi="Arial" w:cs="Arial"/>
          <w:color w:val="222222"/>
          <w:sz w:val="20"/>
          <w:szCs w:val="20"/>
          <w:shd w:val="clear" w:color="auto" w:fill="FFFFFF"/>
        </w:rPr>
        <w:t>Mortaheb</w:t>
      </w:r>
      <w:proofErr w:type="spellEnd"/>
      <w:r w:rsidRPr="00664AF7">
        <w:rPr>
          <w:rFonts w:ascii="Arial" w:hAnsi="Arial" w:cs="Arial"/>
          <w:color w:val="222222"/>
          <w:sz w:val="20"/>
          <w:szCs w:val="20"/>
          <w:shd w:val="clear" w:color="auto" w:fill="FFFFFF"/>
        </w:rPr>
        <w:t xml:space="preserve">, A., </w:t>
      </w:r>
      <w:proofErr w:type="spellStart"/>
      <w:r w:rsidRPr="00664AF7">
        <w:rPr>
          <w:rFonts w:ascii="Arial" w:hAnsi="Arial" w:cs="Arial"/>
          <w:color w:val="222222"/>
          <w:sz w:val="20"/>
          <w:szCs w:val="20"/>
          <w:shd w:val="clear" w:color="auto" w:fill="FFFFFF"/>
        </w:rPr>
        <w:t>Zare</w:t>
      </w:r>
      <w:proofErr w:type="spellEnd"/>
      <w:r w:rsidRPr="00664AF7">
        <w:rPr>
          <w:rFonts w:ascii="Arial" w:hAnsi="Arial" w:cs="Arial"/>
          <w:color w:val="222222"/>
          <w:sz w:val="20"/>
          <w:szCs w:val="20"/>
          <w:shd w:val="clear" w:color="auto" w:fill="FFFFFF"/>
        </w:rPr>
        <w:t xml:space="preserve"> </w:t>
      </w:r>
      <w:proofErr w:type="spellStart"/>
      <w:r w:rsidRPr="00664AF7">
        <w:rPr>
          <w:rFonts w:ascii="Arial" w:hAnsi="Arial" w:cs="Arial"/>
          <w:color w:val="222222"/>
          <w:sz w:val="20"/>
          <w:szCs w:val="20"/>
          <w:shd w:val="clear" w:color="auto" w:fill="FFFFFF"/>
        </w:rPr>
        <w:t>Jahromi</w:t>
      </w:r>
      <w:proofErr w:type="spellEnd"/>
      <w:r w:rsidRPr="00664AF7">
        <w:rPr>
          <w:rFonts w:ascii="Arial" w:hAnsi="Arial" w:cs="Arial"/>
          <w:color w:val="222222"/>
          <w:sz w:val="20"/>
          <w:szCs w:val="20"/>
          <w:shd w:val="clear" w:color="auto" w:fill="FFFFFF"/>
        </w:rPr>
        <w:t>, M., &amp; Gilbert, B. E. (2021). Micro</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CT evaluation of four root canal obturation techniques. </w:t>
      </w:r>
      <w:r w:rsidRPr="00664AF7">
        <w:rPr>
          <w:rFonts w:ascii="Arial" w:hAnsi="Arial" w:cs="Arial"/>
          <w:i/>
          <w:iCs/>
          <w:color w:val="222222"/>
          <w:sz w:val="20"/>
          <w:szCs w:val="20"/>
          <w:shd w:val="clear" w:color="auto" w:fill="FFFFFF"/>
        </w:rPr>
        <w:t>Scanning</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2021</w:t>
      </w:r>
      <w:r w:rsidRPr="00664AF7">
        <w:rPr>
          <w:rFonts w:ascii="Arial" w:hAnsi="Arial" w:cs="Arial"/>
          <w:color w:val="222222"/>
          <w:sz w:val="20"/>
          <w:szCs w:val="20"/>
          <w:shd w:val="clear" w:color="auto" w:fill="FFFFFF"/>
        </w:rPr>
        <w:t>(1), 6632822.</w:t>
      </w:r>
    </w:p>
    <w:p w:rsidR="004C5AD0" w:rsidRPr="00664AF7" w:rsidRDefault="004C5AD0"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Komabayashi</w:t>
      </w:r>
      <w:proofErr w:type="spellEnd"/>
      <w:r w:rsidRPr="00664AF7">
        <w:rPr>
          <w:rFonts w:ascii="Arial" w:hAnsi="Arial" w:cs="Arial"/>
          <w:color w:val="222222"/>
          <w:sz w:val="20"/>
          <w:szCs w:val="20"/>
          <w:shd w:val="clear" w:color="auto" w:fill="FFFFFF"/>
        </w:rPr>
        <w:t xml:space="preserve">, T., Colmenar, D., </w:t>
      </w:r>
      <w:proofErr w:type="spellStart"/>
      <w:r w:rsidRPr="00664AF7">
        <w:rPr>
          <w:rFonts w:ascii="Arial" w:hAnsi="Arial" w:cs="Arial"/>
          <w:color w:val="222222"/>
          <w:sz w:val="20"/>
          <w:szCs w:val="20"/>
          <w:shd w:val="clear" w:color="auto" w:fill="FFFFFF"/>
        </w:rPr>
        <w:t>Cvach</w:t>
      </w:r>
      <w:proofErr w:type="spellEnd"/>
      <w:r w:rsidRPr="00664AF7">
        <w:rPr>
          <w:rFonts w:ascii="Arial" w:hAnsi="Arial" w:cs="Arial"/>
          <w:color w:val="222222"/>
          <w:sz w:val="20"/>
          <w:szCs w:val="20"/>
          <w:shd w:val="clear" w:color="auto" w:fill="FFFFFF"/>
        </w:rPr>
        <w:t>, N., Bhat, A., Primus, C., &amp; Imai, Y. (2020). Comprehensive review of current endodontic sealers. </w:t>
      </w:r>
      <w:r w:rsidRPr="00664AF7">
        <w:rPr>
          <w:rFonts w:ascii="Arial" w:hAnsi="Arial" w:cs="Arial"/>
          <w:i/>
          <w:iCs/>
          <w:color w:val="222222"/>
          <w:sz w:val="20"/>
          <w:szCs w:val="20"/>
          <w:shd w:val="clear" w:color="auto" w:fill="FFFFFF"/>
        </w:rPr>
        <w:t>Dental materials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39</w:t>
      </w:r>
      <w:r w:rsidRPr="00664AF7">
        <w:rPr>
          <w:rFonts w:ascii="Arial" w:hAnsi="Arial" w:cs="Arial"/>
          <w:color w:val="222222"/>
          <w:sz w:val="20"/>
          <w:szCs w:val="20"/>
          <w:shd w:val="clear" w:color="auto" w:fill="FFFFFF"/>
        </w:rPr>
        <w:t>(5), 703-720</w:t>
      </w:r>
      <w:r w:rsidRPr="00664AF7">
        <w:rPr>
          <w:rFonts w:ascii="Arial" w:hAnsi="Arial" w:cs="Arial"/>
          <w:color w:val="000000" w:themeColor="text1"/>
          <w:sz w:val="20"/>
          <w:szCs w:val="20"/>
        </w:rPr>
        <w:t>.</w:t>
      </w:r>
    </w:p>
    <w:p w:rsidR="004C5AD0" w:rsidRPr="00664AF7" w:rsidRDefault="004C5AD0"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Lenherr</w:t>
      </w:r>
      <w:proofErr w:type="spellEnd"/>
      <w:r w:rsidRPr="00664AF7">
        <w:rPr>
          <w:rFonts w:ascii="Arial" w:hAnsi="Arial" w:cs="Arial"/>
          <w:color w:val="222222"/>
          <w:sz w:val="20"/>
          <w:szCs w:val="20"/>
          <w:shd w:val="clear" w:color="auto" w:fill="FFFFFF"/>
        </w:rPr>
        <w:t xml:space="preserve">, P., </w:t>
      </w:r>
      <w:proofErr w:type="spellStart"/>
      <w:r w:rsidRPr="00664AF7">
        <w:rPr>
          <w:rFonts w:ascii="Arial" w:hAnsi="Arial" w:cs="Arial"/>
          <w:color w:val="222222"/>
          <w:sz w:val="20"/>
          <w:szCs w:val="20"/>
          <w:shd w:val="clear" w:color="auto" w:fill="FFFFFF"/>
        </w:rPr>
        <w:t>Allgayer</w:t>
      </w:r>
      <w:proofErr w:type="spellEnd"/>
      <w:r w:rsidRPr="00664AF7">
        <w:rPr>
          <w:rFonts w:ascii="Arial" w:hAnsi="Arial" w:cs="Arial"/>
          <w:color w:val="222222"/>
          <w:sz w:val="20"/>
          <w:szCs w:val="20"/>
          <w:shd w:val="clear" w:color="auto" w:fill="FFFFFF"/>
        </w:rPr>
        <w:t xml:space="preserve">, N., </w:t>
      </w:r>
      <w:proofErr w:type="spellStart"/>
      <w:r w:rsidRPr="00664AF7">
        <w:rPr>
          <w:rFonts w:ascii="Arial" w:hAnsi="Arial" w:cs="Arial"/>
          <w:color w:val="222222"/>
          <w:sz w:val="20"/>
          <w:szCs w:val="20"/>
          <w:shd w:val="clear" w:color="auto" w:fill="FFFFFF"/>
        </w:rPr>
        <w:t>Weiger</w:t>
      </w:r>
      <w:proofErr w:type="spellEnd"/>
      <w:r w:rsidRPr="00664AF7">
        <w:rPr>
          <w:rFonts w:ascii="Arial" w:hAnsi="Arial" w:cs="Arial"/>
          <w:color w:val="222222"/>
          <w:sz w:val="20"/>
          <w:szCs w:val="20"/>
          <w:shd w:val="clear" w:color="auto" w:fill="FFFFFF"/>
        </w:rPr>
        <w:t xml:space="preserve">, R., </w:t>
      </w:r>
      <w:proofErr w:type="spellStart"/>
      <w:r w:rsidRPr="00664AF7">
        <w:rPr>
          <w:rFonts w:ascii="Arial" w:hAnsi="Arial" w:cs="Arial"/>
          <w:color w:val="222222"/>
          <w:sz w:val="20"/>
          <w:szCs w:val="20"/>
          <w:shd w:val="clear" w:color="auto" w:fill="FFFFFF"/>
        </w:rPr>
        <w:t>Filippi</w:t>
      </w:r>
      <w:proofErr w:type="spellEnd"/>
      <w:r w:rsidRPr="00664AF7">
        <w:rPr>
          <w:rFonts w:ascii="Arial" w:hAnsi="Arial" w:cs="Arial"/>
          <w:color w:val="222222"/>
          <w:sz w:val="20"/>
          <w:szCs w:val="20"/>
          <w:shd w:val="clear" w:color="auto" w:fill="FFFFFF"/>
        </w:rPr>
        <w:t xml:space="preserve">, A., </w:t>
      </w:r>
      <w:proofErr w:type="spellStart"/>
      <w:r w:rsidRPr="00664AF7">
        <w:rPr>
          <w:rFonts w:ascii="Arial" w:hAnsi="Arial" w:cs="Arial"/>
          <w:color w:val="222222"/>
          <w:sz w:val="20"/>
          <w:szCs w:val="20"/>
          <w:shd w:val="clear" w:color="auto" w:fill="FFFFFF"/>
        </w:rPr>
        <w:t>Attin</w:t>
      </w:r>
      <w:proofErr w:type="spellEnd"/>
      <w:r w:rsidRPr="00664AF7">
        <w:rPr>
          <w:rFonts w:ascii="Arial" w:hAnsi="Arial" w:cs="Arial"/>
          <w:color w:val="222222"/>
          <w:sz w:val="20"/>
          <w:szCs w:val="20"/>
          <w:shd w:val="clear" w:color="auto" w:fill="FFFFFF"/>
        </w:rPr>
        <w:t xml:space="preserve">, T., &amp; </w:t>
      </w:r>
      <w:proofErr w:type="spellStart"/>
      <w:r w:rsidRPr="00664AF7">
        <w:rPr>
          <w:rFonts w:ascii="Arial" w:hAnsi="Arial" w:cs="Arial"/>
          <w:color w:val="222222"/>
          <w:sz w:val="20"/>
          <w:szCs w:val="20"/>
          <w:shd w:val="clear" w:color="auto" w:fill="FFFFFF"/>
        </w:rPr>
        <w:t>Krastl</w:t>
      </w:r>
      <w:proofErr w:type="spellEnd"/>
      <w:r w:rsidRPr="00664AF7">
        <w:rPr>
          <w:rFonts w:ascii="Arial" w:hAnsi="Arial" w:cs="Arial"/>
          <w:color w:val="222222"/>
          <w:sz w:val="20"/>
          <w:szCs w:val="20"/>
          <w:shd w:val="clear" w:color="auto" w:fill="FFFFFF"/>
        </w:rPr>
        <w:t>, G. (2012). Tooth discoloration induced by endodontic materials: a laboratory study.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45</w:t>
      </w:r>
      <w:r w:rsidRPr="00664AF7">
        <w:rPr>
          <w:rFonts w:ascii="Arial" w:hAnsi="Arial" w:cs="Arial"/>
          <w:color w:val="222222"/>
          <w:sz w:val="20"/>
          <w:szCs w:val="20"/>
          <w:shd w:val="clear" w:color="auto" w:fill="FFFFFF"/>
        </w:rPr>
        <w:t>(10), 942-949.</w:t>
      </w:r>
    </w:p>
    <w:p w:rsidR="004C5AD0" w:rsidRPr="00664AF7" w:rsidRDefault="004C5AD0"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Luna-Cruz, S. M., Aguiar, B. A., </w:t>
      </w:r>
      <w:proofErr w:type="spellStart"/>
      <w:r w:rsidRPr="00664AF7">
        <w:rPr>
          <w:rFonts w:ascii="Arial" w:hAnsi="Arial" w:cs="Arial"/>
          <w:color w:val="222222"/>
          <w:sz w:val="20"/>
          <w:szCs w:val="20"/>
          <w:shd w:val="clear" w:color="auto" w:fill="FFFFFF"/>
        </w:rPr>
        <w:t>Limoeiro</w:t>
      </w:r>
      <w:proofErr w:type="spellEnd"/>
      <w:r w:rsidRPr="00664AF7">
        <w:rPr>
          <w:rFonts w:ascii="Arial" w:hAnsi="Arial" w:cs="Arial"/>
          <w:color w:val="222222"/>
          <w:sz w:val="20"/>
          <w:szCs w:val="20"/>
          <w:shd w:val="clear" w:color="auto" w:fill="FFFFFF"/>
        </w:rPr>
        <w:t xml:space="preserve">, A. G., Duarte, M. A. H., de VASCONCELOS, B. C., &amp; </w:t>
      </w:r>
      <w:proofErr w:type="spellStart"/>
      <w:r w:rsidRPr="00664AF7">
        <w:rPr>
          <w:rFonts w:ascii="Arial" w:hAnsi="Arial" w:cs="Arial"/>
          <w:color w:val="222222"/>
          <w:sz w:val="20"/>
          <w:szCs w:val="20"/>
          <w:shd w:val="clear" w:color="auto" w:fill="FFFFFF"/>
        </w:rPr>
        <w:t>Mendonça</w:t>
      </w:r>
      <w:proofErr w:type="spellEnd"/>
      <w:r w:rsidRPr="00664AF7">
        <w:rPr>
          <w:rFonts w:ascii="Arial" w:hAnsi="Arial" w:cs="Arial"/>
          <w:color w:val="222222"/>
          <w:sz w:val="20"/>
          <w:szCs w:val="20"/>
          <w:shd w:val="clear" w:color="auto" w:fill="FFFFFF"/>
        </w:rPr>
        <w:t xml:space="preserve">, J. S. (2024). Ex vivo tooth discoloration </w:t>
      </w:r>
      <w:r w:rsidRPr="00664AF7">
        <w:rPr>
          <w:rFonts w:ascii="Arial" w:hAnsi="Arial" w:cs="Arial"/>
          <w:color w:val="222222"/>
          <w:sz w:val="20"/>
          <w:szCs w:val="20"/>
          <w:shd w:val="clear" w:color="auto" w:fill="FFFFFF"/>
        </w:rPr>
        <w:lastRenderedPageBreak/>
        <w:t>induced by calcium silicate-based materials: analysis of an experimental cement. </w:t>
      </w:r>
      <w:r w:rsidRPr="00664AF7">
        <w:rPr>
          <w:rFonts w:ascii="Arial" w:hAnsi="Arial" w:cs="Arial"/>
          <w:i/>
          <w:iCs/>
          <w:color w:val="222222"/>
          <w:sz w:val="20"/>
          <w:szCs w:val="20"/>
          <w:shd w:val="clear" w:color="auto" w:fill="FFFFFF"/>
        </w:rPr>
        <w:t>Brazilian Dental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27</w:t>
      </w:r>
      <w:r w:rsidRPr="00664AF7">
        <w:rPr>
          <w:rFonts w:ascii="Arial" w:hAnsi="Arial" w:cs="Arial"/>
          <w:color w:val="222222"/>
          <w:sz w:val="20"/>
          <w:szCs w:val="20"/>
          <w:shd w:val="clear" w:color="auto" w:fill="FFFFFF"/>
        </w:rPr>
        <w:t>(2).</w:t>
      </w:r>
    </w:p>
    <w:p w:rsidR="008D47CF" w:rsidRPr="00664AF7" w:rsidRDefault="008D47CF"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Marciano, M. A., Camilleri, J., Costa, R. M., Matsumoto, M. A., Guimaraes, B. M., &amp; Duarte, M. A. H. (2017). Zinc oxide inhibits dental discoloration caused by white mineral trioxide aggregate angelus.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43</w:t>
      </w:r>
      <w:r w:rsidRPr="00664AF7">
        <w:rPr>
          <w:rFonts w:ascii="Arial" w:hAnsi="Arial" w:cs="Arial"/>
          <w:color w:val="222222"/>
          <w:sz w:val="20"/>
          <w:szCs w:val="20"/>
          <w:shd w:val="clear" w:color="auto" w:fill="FFFFFF"/>
        </w:rPr>
        <w:t>(6), 1001-1007.</w:t>
      </w:r>
    </w:p>
    <w:p w:rsidR="008D47CF" w:rsidRPr="00664AF7" w:rsidRDefault="008D47CF"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Marciano, M. A., Duarte, M. A. H., &amp; Camilleri, J. (2015). Dental discoloration caused by bismuth oxide in MTA in the presence of sodium hypochlorite. </w:t>
      </w:r>
      <w:r w:rsidRPr="00664AF7">
        <w:rPr>
          <w:rFonts w:ascii="Arial" w:hAnsi="Arial" w:cs="Arial"/>
          <w:i/>
          <w:iCs/>
          <w:color w:val="222222"/>
          <w:sz w:val="20"/>
          <w:szCs w:val="20"/>
          <w:shd w:val="clear" w:color="auto" w:fill="FFFFFF"/>
        </w:rPr>
        <w:t>Clinical oral investigations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19</w:t>
      </w:r>
      <w:r w:rsidRPr="00664AF7">
        <w:rPr>
          <w:rFonts w:ascii="Arial" w:hAnsi="Arial" w:cs="Arial"/>
          <w:color w:val="222222"/>
          <w:sz w:val="20"/>
          <w:szCs w:val="20"/>
          <w:shd w:val="clear" w:color="auto" w:fill="FFFFFF"/>
        </w:rPr>
        <w:t>(9), 2201-2209.</w:t>
      </w:r>
    </w:p>
    <w:p w:rsidR="008D47CF" w:rsidRPr="00664AF7" w:rsidRDefault="008D47CF"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Marciano, M. A., Costa, R. M., Camilleri, J., </w:t>
      </w:r>
      <w:proofErr w:type="spellStart"/>
      <w:r w:rsidRPr="00664AF7">
        <w:rPr>
          <w:rFonts w:ascii="Arial" w:hAnsi="Arial" w:cs="Arial"/>
          <w:color w:val="222222"/>
          <w:sz w:val="20"/>
          <w:szCs w:val="20"/>
          <w:shd w:val="clear" w:color="auto" w:fill="FFFFFF"/>
        </w:rPr>
        <w:t>Mondelli</w:t>
      </w:r>
      <w:proofErr w:type="spellEnd"/>
      <w:r w:rsidRPr="00664AF7">
        <w:rPr>
          <w:rFonts w:ascii="Arial" w:hAnsi="Arial" w:cs="Arial"/>
          <w:color w:val="222222"/>
          <w:sz w:val="20"/>
          <w:szCs w:val="20"/>
          <w:shd w:val="clear" w:color="auto" w:fill="FFFFFF"/>
        </w:rPr>
        <w:t xml:space="preserve">, R. F. L., </w:t>
      </w:r>
      <w:proofErr w:type="spellStart"/>
      <w:r w:rsidRPr="00664AF7">
        <w:rPr>
          <w:rFonts w:ascii="Arial" w:hAnsi="Arial" w:cs="Arial"/>
          <w:color w:val="222222"/>
          <w:sz w:val="20"/>
          <w:szCs w:val="20"/>
          <w:shd w:val="clear" w:color="auto" w:fill="FFFFFF"/>
        </w:rPr>
        <w:t>Guimarães</w:t>
      </w:r>
      <w:proofErr w:type="spellEnd"/>
      <w:r w:rsidRPr="00664AF7">
        <w:rPr>
          <w:rFonts w:ascii="Arial" w:hAnsi="Arial" w:cs="Arial"/>
          <w:color w:val="222222"/>
          <w:sz w:val="20"/>
          <w:szCs w:val="20"/>
          <w:shd w:val="clear" w:color="auto" w:fill="FFFFFF"/>
        </w:rPr>
        <w:t>, B. M., &amp; Duarte, M. A. H. (2014). Assessment of color stability of white mineral trioxide aggregate angelus and bismuth oxide in contact with tooth structure.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40</w:t>
      </w:r>
      <w:r w:rsidRPr="00664AF7">
        <w:rPr>
          <w:rFonts w:ascii="Arial" w:hAnsi="Arial" w:cs="Arial"/>
          <w:color w:val="222222"/>
          <w:sz w:val="20"/>
          <w:szCs w:val="20"/>
          <w:shd w:val="clear" w:color="auto" w:fill="FFFFFF"/>
        </w:rPr>
        <w:t>(8), 1235-1240.</w:t>
      </w:r>
    </w:p>
    <w:p w:rsidR="004C5AD0" w:rsidRPr="00664AF7" w:rsidRDefault="00D07B37"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Marques, R. B., Baroudi, K., Santos, A. F. C. D., Pontes, D., &amp; Amaral, M. (2021). Tooth discoloration using calcium silicate-based cements for simulated revascularization in vitro.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32</w:t>
      </w:r>
      <w:r w:rsidRPr="00664AF7">
        <w:rPr>
          <w:rFonts w:ascii="Arial" w:hAnsi="Arial" w:cs="Arial"/>
          <w:color w:val="222222"/>
          <w:sz w:val="20"/>
          <w:szCs w:val="20"/>
          <w:shd w:val="clear" w:color="auto" w:fill="FFFFFF"/>
        </w:rPr>
        <w:t>(1), 53-58.</w:t>
      </w:r>
    </w:p>
    <w:p w:rsidR="00D07B37" w:rsidRPr="00664AF7" w:rsidRDefault="00D07B37"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Richman, MJ. (1957). The use of </w:t>
      </w:r>
      <w:proofErr w:type="spellStart"/>
      <w:r w:rsidRPr="00664AF7">
        <w:rPr>
          <w:rFonts w:ascii="Arial" w:hAnsi="Arial" w:cs="Arial"/>
          <w:color w:val="222222"/>
          <w:sz w:val="20"/>
          <w:szCs w:val="20"/>
          <w:shd w:val="clear" w:color="auto" w:fill="FFFFFF"/>
        </w:rPr>
        <w:t>ultrasonics</w:t>
      </w:r>
      <w:proofErr w:type="spellEnd"/>
      <w:r w:rsidRPr="00664AF7">
        <w:rPr>
          <w:rFonts w:ascii="Arial" w:hAnsi="Arial" w:cs="Arial"/>
          <w:color w:val="222222"/>
          <w:sz w:val="20"/>
          <w:szCs w:val="20"/>
          <w:shd w:val="clear" w:color="auto" w:fill="FFFFFF"/>
        </w:rPr>
        <w:t xml:space="preserve"> in root canal therapy and root resection. </w:t>
      </w:r>
      <w:r w:rsidRPr="00664AF7">
        <w:rPr>
          <w:rFonts w:ascii="Arial" w:hAnsi="Arial" w:cs="Arial"/>
          <w:i/>
          <w:iCs/>
          <w:color w:val="222222"/>
          <w:sz w:val="20"/>
          <w:szCs w:val="20"/>
          <w:shd w:val="clear" w:color="auto" w:fill="FFFFFF"/>
        </w:rPr>
        <w:t>J Dent Med</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12</w:t>
      </w:r>
      <w:r w:rsidRPr="00664AF7">
        <w:rPr>
          <w:rFonts w:ascii="Arial" w:hAnsi="Arial" w:cs="Arial"/>
          <w:color w:val="222222"/>
          <w:sz w:val="20"/>
          <w:szCs w:val="20"/>
          <w:shd w:val="clear" w:color="auto" w:fill="FFFFFF"/>
        </w:rPr>
        <w:t>, 12-18.</w:t>
      </w:r>
    </w:p>
    <w:p w:rsidR="00D07B37" w:rsidRPr="00664AF7" w:rsidRDefault="00D07B37"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Savaris</w:t>
      </w:r>
      <w:proofErr w:type="spellEnd"/>
      <w:r w:rsidRPr="00664AF7">
        <w:rPr>
          <w:rFonts w:ascii="Arial" w:hAnsi="Arial" w:cs="Arial"/>
          <w:color w:val="222222"/>
          <w:sz w:val="20"/>
          <w:szCs w:val="20"/>
          <w:shd w:val="clear" w:color="auto" w:fill="FFFFFF"/>
        </w:rPr>
        <w:t xml:space="preserve">, J. M., </w:t>
      </w:r>
      <w:proofErr w:type="spellStart"/>
      <w:r w:rsidRPr="00664AF7">
        <w:rPr>
          <w:rFonts w:ascii="Arial" w:hAnsi="Arial" w:cs="Arial"/>
          <w:color w:val="222222"/>
          <w:sz w:val="20"/>
          <w:szCs w:val="20"/>
          <w:shd w:val="clear" w:color="auto" w:fill="FFFFFF"/>
        </w:rPr>
        <w:t>Czornobay</w:t>
      </w:r>
      <w:proofErr w:type="spellEnd"/>
      <w:r w:rsidRPr="00664AF7">
        <w:rPr>
          <w:rFonts w:ascii="Arial" w:hAnsi="Arial" w:cs="Arial"/>
          <w:color w:val="222222"/>
          <w:sz w:val="20"/>
          <w:szCs w:val="20"/>
          <w:shd w:val="clear" w:color="auto" w:fill="FFFFFF"/>
        </w:rPr>
        <w:t xml:space="preserve">, L. F. M., </w:t>
      </w:r>
      <w:proofErr w:type="spellStart"/>
      <w:r w:rsidRPr="00664AF7">
        <w:rPr>
          <w:rFonts w:ascii="Arial" w:hAnsi="Arial" w:cs="Arial"/>
          <w:color w:val="222222"/>
          <w:sz w:val="20"/>
          <w:szCs w:val="20"/>
          <w:shd w:val="clear" w:color="auto" w:fill="FFFFFF"/>
        </w:rPr>
        <w:t>Dotto</w:t>
      </w:r>
      <w:proofErr w:type="spellEnd"/>
      <w:r w:rsidRPr="00664AF7">
        <w:rPr>
          <w:rFonts w:ascii="Arial" w:hAnsi="Arial" w:cs="Arial"/>
          <w:color w:val="222222"/>
          <w:sz w:val="20"/>
          <w:szCs w:val="20"/>
          <w:shd w:val="clear" w:color="auto" w:fill="FFFFFF"/>
        </w:rPr>
        <w:t>, M. E. P., Santos, P. S., Garcia, L. D. F. R., Vitali, F. C., &amp; Teixeira, C. D. S. (2024). Tooth discoloration induced by endodontic sealers of different chemical bases: A systematic review.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35</w:t>
      </w:r>
      <w:r w:rsidRPr="00664AF7">
        <w:rPr>
          <w:rFonts w:ascii="Arial" w:hAnsi="Arial" w:cs="Arial"/>
          <w:color w:val="222222"/>
          <w:sz w:val="20"/>
          <w:szCs w:val="20"/>
          <w:shd w:val="clear" w:color="auto" w:fill="FFFFFF"/>
        </w:rPr>
        <w:t>, e24-6021.</w:t>
      </w:r>
    </w:p>
    <w:p w:rsidR="00D07B37" w:rsidRPr="00664AF7" w:rsidRDefault="00D07B37"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Tabatabaian</w:t>
      </w:r>
      <w:proofErr w:type="spellEnd"/>
      <w:r w:rsidRPr="00664AF7">
        <w:rPr>
          <w:rFonts w:ascii="Arial" w:hAnsi="Arial" w:cs="Arial"/>
          <w:color w:val="222222"/>
          <w:sz w:val="20"/>
          <w:szCs w:val="20"/>
          <w:shd w:val="clear" w:color="auto" w:fill="FFFFFF"/>
        </w:rPr>
        <w:t xml:space="preserve">, F., </w:t>
      </w:r>
      <w:proofErr w:type="spellStart"/>
      <w:r w:rsidRPr="00664AF7">
        <w:rPr>
          <w:rFonts w:ascii="Arial" w:hAnsi="Arial" w:cs="Arial"/>
          <w:color w:val="222222"/>
          <w:sz w:val="20"/>
          <w:szCs w:val="20"/>
          <w:shd w:val="clear" w:color="auto" w:fill="FFFFFF"/>
        </w:rPr>
        <w:t>Beyabanaki</w:t>
      </w:r>
      <w:proofErr w:type="spellEnd"/>
      <w:r w:rsidRPr="00664AF7">
        <w:rPr>
          <w:rFonts w:ascii="Arial" w:hAnsi="Arial" w:cs="Arial"/>
          <w:color w:val="222222"/>
          <w:sz w:val="20"/>
          <w:szCs w:val="20"/>
          <w:shd w:val="clear" w:color="auto" w:fill="FFFFFF"/>
        </w:rPr>
        <w:t xml:space="preserve">, E., </w:t>
      </w:r>
      <w:proofErr w:type="spellStart"/>
      <w:r w:rsidRPr="00664AF7">
        <w:rPr>
          <w:rFonts w:ascii="Arial" w:hAnsi="Arial" w:cs="Arial"/>
          <w:color w:val="222222"/>
          <w:sz w:val="20"/>
          <w:szCs w:val="20"/>
          <w:shd w:val="clear" w:color="auto" w:fill="FFFFFF"/>
        </w:rPr>
        <w:t>Alirezaei</w:t>
      </w:r>
      <w:proofErr w:type="spellEnd"/>
      <w:r w:rsidRPr="00664AF7">
        <w:rPr>
          <w:rFonts w:ascii="Arial" w:hAnsi="Arial" w:cs="Arial"/>
          <w:color w:val="222222"/>
          <w:sz w:val="20"/>
          <w:szCs w:val="20"/>
          <w:shd w:val="clear" w:color="auto" w:fill="FFFFFF"/>
        </w:rPr>
        <w:t xml:space="preserve">, P., &amp; </w:t>
      </w:r>
      <w:proofErr w:type="spellStart"/>
      <w:r w:rsidRPr="00664AF7">
        <w:rPr>
          <w:rFonts w:ascii="Arial" w:hAnsi="Arial" w:cs="Arial"/>
          <w:color w:val="222222"/>
          <w:sz w:val="20"/>
          <w:szCs w:val="20"/>
          <w:shd w:val="clear" w:color="auto" w:fill="FFFFFF"/>
        </w:rPr>
        <w:t>Epakchi</w:t>
      </w:r>
      <w:proofErr w:type="spellEnd"/>
      <w:r w:rsidRPr="00664AF7">
        <w:rPr>
          <w:rFonts w:ascii="Arial" w:hAnsi="Arial" w:cs="Arial"/>
          <w:color w:val="222222"/>
          <w:sz w:val="20"/>
          <w:szCs w:val="20"/>
          <w:shd w:val="clear" w:color="auto" w:fill="FFFFFF"/>
        </w:rPr>
        <w:t>, S. (2021). Visual and digital tooth shade selection methods, related effective factors and conditions, and their accuracy and precision: A literature review. </w:t>
      </w:r>
      <w:r w:rsidRPr="00664AF7">
        <w:rPr>
          <w:rFonts w:ascii="Arial" w:hAnsi="Arial" w:cs="Arial"/>
          <w:i/>
          <w:iCs/>
          <w:color w:val="222222"/>
          <w:sz w:val="20"/>
          <w:szCs w:val="20"/>
          <w:shd w:val="clear" w:color="auto" w:fill="FFFFFF"/>
        </w:rPr>
        <w:t>Journal of Esthetic and Restorative Dentistry</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33</w:t>
      </w:r>
      <w:r w:rsidRPr="00664AF7">
        <w:rPr>
          <w:rFonts w:ascii="Arial" w:hAnsi="Arial" w:cs="Arial"/>
          <w:color w:val="222222"/>
          <w:sz w:val="20"/>
          <w:szCs w:val="20"/>
          <w:shd w:val="clear" w:color="auto" w:fill="FFFFFF"/>
        </w:rPr>
        <w:t>(8), 1084-1104.</w:t>
      </w:r>
    </w:p>
    <w:p w:rsidR="00D07B37" w:rsidRPr="00664AF7" w:rsidRDefault="00D07B37" w:rsidP="00664AF7">
      <w:pPr>
        <w:pStyle w:val="ListParagraph"/>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Tomás</w:t>
      </w:r>
      <w:r w:rsidRPr="00664AF7">
        <w:rPr>
          <w:rFonts w:ascii="Cambria Math" w:hAnsi="Cambria Math" w:cs="Cambria Math"/>
          <w:color w:val="222222"/>
          <w:sz w:val="20"/>
          <w:szCs w:val="20"/>
          <w:shd w:val="clear" w:color="auto" w:fill="FFFFFF"/>
        </w:rPr>
        <w:t>‐</w:t>
      </w:r>
      <w:proofErr w:type="spellStart"/>
      <w:r w:rsidRPr="00664AF7">
        <w:rPr>
          <w:rFonts w:ascii="Arial" w:hAnsi="Arial" w:cs="Arial"/>
          <w:color w:val="222222"/>
          <w:sz w:val="20"/>
          <w:szCs w:val="20"/>
          <w:shd w:val="clear" w:color="auto" w:fill="FFFFFF"/>
        </w:rPr>
        <w:t>Catalá</w:t>
      </w:r>
      <w:proofErr w:type="spellEnd"/>
      <w:r w:rsidRPr="00664AF7">
        <w:rPr>
          <w:rFonts w:ascii="Arial" w:hAnsi="Arial" w:cs="Arial"/>
          <w:color w:val="222222"/>
          <w:sz w:val="20"/>
          <w:szCs w:val="20"/>
          <w:shd w:val="clear" w:color="auto" w:fill="FFFFFF"/>
        </w:rPr>
        <w:t xml:space="preserve">, C. J., </w:t>
      </w:r>
      <w:proofErr w:type="spellStart"/>
      <w:r w:rsidRPr="00664AF7">
        <w:rPr>
          <w:rFonts w:ascii="Arial" w:hAnsi="Arial" w:cs="Arial"/>
          <w:color w:val="222222"/>
          <w:sz w:val="20"/>
          <w:szCs w:val="20"/>
          <w:shd w:val="clear" w:color="auto" w:fill="FFFFFF"/>
        </w:rPr>
        <w:t>Collado</w:t>
      </w:r>
      <w:proofErr w:type="spellEnd"/>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González, M., García</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 xml:space="preserve">Bernal, D., </w:t>
      </w:r>
      <w:proofErr w:type="spellStart"/>
      <w:r w:rsidRPr="00664AF7">
        <w:rPr>
          <w:rFonts w:ascii="Arial" w:hAnsi="Arial" w:cs="Arial"/>
          <w:color w:val="222222"/>
          <w:sz w:val="20"/>
          <w:szCs w:val="20"/>
          <w:shd w:val="clear" w:color="auto" w:fill="FFFFFF"/>
        </w:rPr>
        <w:t>Oñate</w:t>
      </w:r>
      <w:proofErr w:type="spellEnd"/>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 xml:space="preserve">Sánchez, R. E., </w:t>
      </w:r>
      <w:proofErr w:type="spellStart"/>
      <w:r w:rsidRPr="00664AF7">
        <w:rPr>
          <w:rFonts w:ascii="Arial" w:hAnsi="Arial" w:cs="Arial"/>
          <w:color w:val="222222"/>
          <w:sz w:val="20"/>
          <w:szCs w:val="20"/>
          <w:shd w:val="clear" w:color="auto" w:fill="FFFFFF"/>
        </w:rPr>
        <w:t>Forner</w:t>
      </w:r>
      <w:proofErr w:type="spellEnd"/>
      <w:r w:rsidRPr="00664AF7">
        <w:rPr>
          <w:rFonts w:ascii="Arial" w:hAnsi="Arial" w:cs="Arial"/>
          <w:color w:val="222222"/>
          <w:sz w:val="20"/>
          <w:szCs w:val="20"/>
          <w:shd w:val="clear" w:color="auto" w:fill="FFFFFF"/>
        </w:rPr>
        <w:t xml:space="preserve">, L., </w:t>
      </w:r>
      <w:proofErr w:type="spellStart"/>
      <w:r w:rsidRPr="00664AF7">
        <w:rPr>
          <w:rFonts w:ascii="Arial" w:hAnsi="Arial" w:cs="Arial"/>
          <w:color w:val="222222"/>
          <w:sz w:val="20"/>
          <w:szCs w:val="20"/>
          <w:shd w:val="clear" w:color="auto" w:fill="FFFFFF"/>
        </w:rPr>
        <w:t>Llena</w:t>
      </w:r>
      <w:proofErr w:type="spellEnd"/>
      <w:r w:rsidRPr="00664AF7">
        <w:rPr>
          <w:rFonts w:ascii="Arial" w:hAnsi="Arial" w:cs="Arial"/>
          <w:color w:val="222222"/>
          <w:sz w:val="20"/>
          <w:szCs w:val="20"/>
          <w:shd w:val="clear" w:color="auto" w:fill="FFFFFF"/>
        </w:rPr>
        <w:t>, C., ... &amp; Rodríguez</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Lozano, F. J. (2017). Comparative analysis of the biological effects of the endodontic bioactive cements MTA</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 xml:space="preserve">Angelus, MTA Repair HP and </w:t>
      </w:r>
      <w:proofErr w:type="spellStart"/>
      <w:r w:rsidRPr="00664AF7">
        <w:rPr>
          <w:rFonts w:ascii="Arial" w:hAnsi="Arial" w:cs="Arial"/>
          <w:color w:val="222222"/>
          <w:sz w:val="20"/>
          <w:szCs w:val="20"/>
          <w:shd w:val="clear" w:color="auto" w:fill="FFFFFF"/>
        </w:rPr>
        <w:t>NeoMTA</w:t>
      </w:r>
      <w:proofErr w:type="spellEnd"/>
      <w:r w:rsidRPr="00664AF7">
        <w:rPr>
          <w:rFonts w:ascii="Arial" w:hAnsi="Arial" w:cs="Arial"/>
          <w:color w:val="222222"/>
          <w:sz w:val="20"/>
          <w:szCs w:val="20"/>
          <w:shd w:val="clear" w:color="auto" w:fill="FFFFFF"/>
        </w:rPr>
        <w:t xml:space="preserve"> Plus on human dental pulp stem cells.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50</w:t>
      </w:r>
      <w:r w:rsidRPr="00664AF7">
        <w:rPr>
          <w:rFonts w:ascii="Arial" w:hAnsi="Arial" w:cs="Arial"/>
          <w:color w:val="222222"/>
          <w:sz w:val="20"/>
          <w:szCs w:val="20"/>
          <w:shd w:val="clear" w:color="auto" w:fill="FFFFFF"/>
        </w:rPr>
        <w:t>, e63-e72.</w:t>
      </w:r>
    </w:p>
    <w:p w:rsidR="00D07B37" w:rsidRPr="00664AF7" w:rsidRDefault="00D07B37" w:rsidP="00664AF7">
      <w:pPr>
        <w:pStyle w:val="ListParagraph"/>
        <w:numPr>
          <w:ilvl w:val="0"/>
          <w:numId w:val="32"/>
        </w:numPr>
        <w:jc w:val="both"/>
        <w:rPr>
          <w:rFonts w:ascii="Arial" w:hAnsi="Arial" w:cs="Arial"/>
          <w:color w:val="000000" w:themeColor="text1"/>
          <w:sz w:val="20"/>
          <w:szCs w:val="20"/>
        </w:rPr>
      </w:pPr>
      <w:proofErr w:type="spellStart"/>
      <w:r w:rsidRPr="00664AF7">
        <w:rPr>
          <w:rFonts w:ascii="Arial" w:hAnsi="Arial" w:cs="Arial"/>
          <w:color w:val="222222"/>
          <w:sz w:val="20"/>
          <w:szCs w:val="20"/>
          <w:shd w:val="clear" w:color="auto" w:fill="FFFFFF"/>
        </w:rPr>
        <w:t>Torabinejad</w:t>
      </w:r>
      <w:proofErr w:type="spellEnd"/>
      <w:r w:rsidRPr="00664AF7">
        <w:rPr>
          <w:rFonts w:ascii="Arial" w:hAnsi="Arial" w:cs="Arial"/>
          <w:color w:val="222222"/>
          <w:sz w:val="20"/>
          <w:szCs w:val="20"/>
          <w:shd w:val="clear" w:color="auto" w:fill="FFFFFF"/>
        </w:rPr>
        <w:t xml:space="preserve">, M., </w:t>
      </w:r>
      <w:proofErr w:type="spellStart"/>
      <w:r w:rsidRPr="00664AF7">
        <w:rPr>
          <w:rFonts w:ascii="Arial" w:hAnsi="Arial" w:cs="Arial"/>
          <w:color w:val="222222"/>
          <w:sz w:val="20"/>
          <w:szCs w:val="20"/>
          <w:shd w:val="clear" w:color="auto" w:fill="FFFFFF"/>
        </w:rPr>
        <w:t>Parirokh</w:t>
      </w:r>
      <w:proofErr w:type="spellEnd"/>
      <w:r w:rsidRPr="00664AF7">
        <w:rPr>
          <w:rFonts w:ascii="Arial" w:hAnsi="Arial" w:cs="Arial"/>
          <w:color w:val="222222"/>
          <w:sz w:val="20"/>
          <w:szCs w:val="20"/>
          <w:shd w:val="clear" w:color="auto" w:fill="FFFFFF"/>
        </w:rPr>
        <w:t xml:space="preserve">, M., &amp; </w:t>
      </w:r>
      <w:proofErr w:type="spellStart"/>
      <w:r w:rsidRPr="00664AF7">
        <w:rPr>
          <w:rFonts w:ascii="Arial" w:hAnsi="Arial" w:cs="Arial"/>
          <w:color w:val="222222"/>
          <w:sz w:val="20"/>
          <w:szCs w:val="20"/>
          <w:shd w:val="clear" w:color="auto" w:fill="FFFFFF"/>
        </w:rPr>
        <w:t>Dummer</w:t>
      </w:r>
      <w:proofErr w:type="spellEnd"/>
      <w:r w:rsidRPr="00664AF7">
        <w:rPr>
          <w:rFonts w:ascii="Arial" w:hAnsi="Arial" w:cs="Arial"/>
          <w:color w:val="222222"/>
          <w:sz w:val="20"/>
          <w:szCs w:val="20"/>
          <w:shd w:val="clear" w:color="auto" w:fill="FFFFFF"/>
        </w:rPr>
        <w:t>, P. M. (2018). Mineral trioxide aggregate and other bioactive endodontic cements: an updated overview–part II: other clinical applications and complications.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51</w:t>
      </w:r>
      <w:r w:rsidRPr="00664AF7">
        <w:rPr>
          <w:rFonts w:ascii="Arial" w:hAnsi="Arial" w:cs="Arial"/>
          <w:color w:val="222222"/>
          <w:sz w:val="20"/>
          <w:szCs w:val="20"/>
          <w:shd w:val="clear" w:color="auto" w:fill="FFFFFF"/>
        </w:rPr>
        <w:t>(3), 284-317.</w:t>
      </w:r>
    </w:p>
    <w:p w:rsidR="004D4277" w:rsidRPr="00664AF7" w:rsidRDefault="00D07B37" w:rsidP="00664AF7">
      <w:pPr>
        <w:pStyle w:val="ListParagraph"/>
        <w:numPr>
          <w:ilvl w:val="0"/>
          <w:numId w:val="32"/>
        </w:numPr>
        <w:spacing w:after="0"/>
        <w:jc w:val="both"/>
        <w:rPr>
          <w:rFonts w:ascii="Arial" w:hAnsi="Arial" w:cs="Arial"/>
          <w:b/>
          <w:sz w:val="20"/>
          <w:szCs w:val="20"/>
        </w:rPr>
        <w:sectPr w:rsidR="004D4277" w:rsidRPr="00664AF7" w:rsidSect="000B1E33">
          <w:headerReference w:type="even" r:id="rId16"/>
          <w:headerReference w:type="default" r:id="rId17"/>
          <w:footerReference w:type="default" r:id="rId18"/>
          <w:headerReference w:type="first" r:id="rId19"/>
          <w:type w:val="continuous"/>
          <w:pgSz w:w="12240" w:h="15840"/>
          <w:pgMar w:top="1440" w:right="2016" w:bottom="2016" w:left="2016" w:header="720" w:footer="1123" w:gutter="0"/>
          <w:lnNumType w:countBy="1" w:restart="continuous"/>
          <w:cols w:space="720"/>
          <w:docGrid w:linePitch="272"/>
        </w:sectPr>
      </w:pPr>
      <w:proofErr w:type="spellStart"/>
      <w:r w:rsidRPr="00664AF7">
        <w:rPr>
          <w:rFonts w:ascii="Arial" w:hAnsi="Arial" w:cs="Arial"/>
          <w:color w:val="222222"/>
          <w:sz w:val="20"/>
          <w:szCs w:val="20"/>
          <w:shd w:val="clear" w:color="auto" w:fill="FFFFFF"/>
        </w:rPr>
        <w:t>Yoldaş</w:t>
      </w:r>
      <w:proofErr w:type="spellEnd"/>
      <w:r w:rsidRPr="00664AF7">
        <w:rPr>
          <w:rFonts w:ascii="Arial" w:hAnsi="Arial" w:cs="Arial"/>
          <w:color w:val="222222"/>
          <w:sz w:val="20"/>
          <w:szCs w:val="20"/>
          <w:shd w:val="clear" w:color="auto" w:fill="FFFFFF"/>
        </w:rPr>
        <w:t xml:space="preserve">, S. E., Bani, M., </w:t>
      </w:r>
      <w:proofErr w:type="spellStart"/>
      <w:r w:rsidRPr="00664AF7">
        <w:rPr>
          <w:rFonts w:ascii="Arial" w:hAnsi="Arial" w:cs="Arial"/>
          <w:color w:val="222222"/>
          <w:sz w:val="20"/>
          <w:szCs w:val="20"/>
          <w:shd w:val="clear" w:color="auto" w:fill="FFFFFF"/>
        </w:rPr>
        <w:t>Atabek</w:t>
      </w:r>
      <w:proofErr w:type="spellEnd"/>
      <w:r w:rsidRPr="00664AF7">
        <w:rPr>
          <w:rFonts w:ascii="Arial" w:hAnsi="Arial" w:cs="Arial"/>
          <w:color w:val="222222"/>
          <w:sz w:val="20"/>
          <w:szCs w:val="20"/>
          <w:shd w:val="clear" w:color="auto" w:fill="FFFFFF"/>
        </w:rPr>
        <w:t xml:space="preserve">, D., &amp; </w:t>
      </w:r>
      <w:proofErr w:type="spellStart"/>
      <w:r w:rsidRPr="00664AF7">
        <w:rPr>
          <w:rFonts w:ascii="Arial" w:hAnsi="Arial" w:cs="Arial"/>
          <w:color w:val="222222"/>
          <w:sz w:val="20"/>
          <w:szCs w:val="20"/>
          <w:shd w:val="clear" w:color="auto" w:fill="FFFFFF"/>
        </w:rPr>
        <w:t>Bodur</w:t>
      </w:r>
      <w:proofErr w:type="spellEnd"/>
      <w:r w:rsidRPr="00664AF7">
        <w:rPr>
          <w:rFonts w:ascii="Arial" w:hAnsi="Arial" w:cs="Arial"/>
          <w:color w:val="222222"/>
          <w:sz w:val="20"/>
          <w:szCs w:val="20"/>
          <w:shd w:val="clear" w:color="auto" w:fill="FFFFFF"/>
        </w:rPr>
        <w:t xml:space="preserve">, H. (2016). Comparison of the potential discoloration effect of </w:t>
      </w:r>
      <w:proofErr w:type="spellStart"/>
      <w:r w:rsidRPr="00664AF7">
        <w:rPr>
          <w:rFonts w:ascii="Arial" w:hAnsi="Arial" w:cs="Arial"/>
          <w:color w:val="222222"/>
          <w:sz w:val="20"/>
          <w:szCs w:val="20"/>
          <w:shd w:val="clear" w:color="auto" w:fill="FFFFFF"/>
        </w:rPr>
        <w:t>bioaggregate</w:t>
      </w:r>
      <w:proofErr w:type="spellEnd"/>
      <w:r w:rsidRPr="00664AF7">
        <w:rPr>
          <w:rFonts w:ascii="Arial" w:hAnsi="Arial" w:cs="Arial"/>
          <w:color w:val="222222"/>
          <w:sz w:val="20"/>
          <w:szCs w:val="20"/>
          <w:shd w:val="clear" w:color="auto" w:fill="FFFFFF"/>
        </w:rPr>
        <w:t xml:space="preserve">, </w:t>
      </w:r>
      <w:proofErr w:type="spellStart"/>
      <w:r w:rsidRPr="00664AF7">
        <w:rPr>
          <w:rFonts w:ascii="Arial" w:hAnsi="Arial" w:cs="Arial"/>
          <w:color w:val="222222"/>
          <w:sz w:val="20"/>
          <w:szCs w:val="20"/>
          <w:shd w:val="clear" w:color="auto" w:fill="FFFFFF"/>
        </w:rPr>
        <w:t>biodentine</w:t>
      </w:r>
      <w:proofErr w:type="spellEnd"/>
      <w:r w:rsidRPr="00664AF7">
        <w:rPr>
          <w:rFonts w:ascii="Arial" w:hAnsi="Arial" w:cs="Arial"/>
          <w:color w:val="222222"/>
          <w:sz w:val="20"/>
          <w:szCs w:val="20"/>
          <w:shd w:val="clear" w:color="auto" w:fill="FFFFFF"/>
        </w:rPr>
        <w:t>, and white mineral trioxide aggregate on bovine teeth: in vitro research.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42</w:t>
      </w:r>
      <w:r w:rsidRPr="00664AF7">
        <w:rPr>
          <w:rFonts w:ascii="Arial" w:hAnsi="Arial" w:cs="Arial"/>
          <w:color w:val="222222"/>
          <w:sz w:val="20"/>
          <w:szCs w:val="20"/>
          <w:shd w:val="clear" w:color="auto" w:fill="FFFFFF"/>
        </w:rPr>
        <w:t>(12), 1815-1818.</w:t>
      </w: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BBF" w:rsidRDefault="00A33BBF" w:rsidP="00C37E61">
      <w:r>
        <w:separator/>
      </w:r>
    </w:p>
  </w:endnote>
  <w:endnote w:type="continuationSeparator" w:id="0">
    <w:p w:rsidR="00A33BBF" w:rsidRDefault="00A33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69" w:rsidRDefault="00044F69">
    <w:pPr>
      <w:pStyle w:val="Footer"/>
      <w:rPr>
        <w:rFonts w:ascii="Arial" w:hAnsi="Arial" w:cs="Arial"/>
        <w:sz w:val="16"/>
      </w:rPr>
    </w:pPr>
  </w:p>
  <w:p w:rsidR="00044F69" w:rsidRDefault="00044F6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44F69" w:rsidRDefault="00044F69">
    <w:pPr>
      <w:pStyle w:val="Footer"/>
      <w:rPr>
        <w:rFonts w:ascii="Arial" w:hAnsi="Arial" w:cs="Arial"/>
        <w:sz w:val="16"/>
      </w:rPr>
    </w:pPr>
  </w:p>
  <w:p w:rsidR="00044F69" w:rsidRPr="009E048A" w:rsidRDefault="00044F6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69" w:rsidRPr="00C37E61" w:rsidRDefault="00044F6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BBF" w:rsidRDefault="00A33BBF" w:rsidP="00C37E61">
      <w:r>
        <w:separator/>
      </w:r>
    </w:p>
  </w:footnote>
  <w:footnote w:type="continuationSeparator" w:id="0">
    <w:p w:rsidR="00A33BBF" w:rsidRDefault="00A33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69" w:rsidRPr="00296529" w:rsidRDefault="002C763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44F69" w:rsidRPr="00296529" w:rsidRDefault="00044F6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44F69" w:rsidRPr="00296529" w:rsidRDefault="00044F69" w:rsidP="00296529">
    <w:pPr>
      <w:jc w:val="center"/>
      <w:rPr>
        <w:rFonts w:ascii="Times New Roman" w:eastAsia="Calibri" w:hAnsi="Times New Roman"/>
        <w:i/>
        <w:sz w:val="18"/>
        <w:szCs w:val="22"/>
      </w:rPr>
    </w:pPr>
    <w:r>
      <w:rPr>
        <w:rFonts w:ascii="Times New Roman" w:eastAsia="Calibri" w:hAnsi="Times New Roman"/>
        <w:i/>
        <w:sz w:val="18"/>
        <w:szCs w:val="22"/>
      </w:rPr>
      <w:t>.</w:t>
    </w:r>
  </w:p>
  <w:p w:rsidR="00044F69" w:rsidRPr="00296529" w:rsidRDefault="00044F6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44F69" w:rsidRDefault="00044F6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44F69" w:rsidRDefault="00044F6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44F69" w:rsidRDefault="00044F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3E" w:rsidRDefault="002C76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AD60BA"/>
    <w:multiLevelType w:val="hybridMultilevel"/>
    <w:tmpl w:val="E0443714"/>
    <w:lvl w:ilvl="0" w:tplc="47562314">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63650"/>
    <w:multiLevelType w:val="hybridMultilevel"/>
    <w:tmpl w:val="D8F4A1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D37A7C"/>
    <w:multiLevelType w:val="hybridMultilevel"/>
    <w:tmpl w:val="E9062C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18"/>
  </w:num>
  <w:num w:numId="32">
    <w:abstractNumId w:val="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F69"/>
    <w:rsid w:val="0004579C"/>
    <w:rsid w:val="00045B7E"/>
    <w:rsid w:val="00057CAF"/>
    <w:rsid w:val="0007770F"/>
    <w:rsid w:val="000A47FA"/>
    <w:rsid w:val="000A65D3"/>
    <w:rsid w:val="000B1E33"/>
    <w:rsid w:val="000B204E"/>
    <w:rsid w:val="000B5C55"/>
    <w:rsid w:val="000D689F"/>
    <w:rsid w:val="000E7B7B"/>
    <w:rsid w:val="000E7D62"/>
    <w:rsid w:val="000F0DEF"/>
    <w:rsid w:val="00103357"/>
    <w:rsid w:val="001203A1"/>
    <w:rsid w:val="00123C9F"/>
    <w:rsid w:val="00126190"/>
    <w:rsid w:val="00130F17"/>
    <w:rsid w:val="001320BF"/>
    <w:rsid w:val="00136FD9"/>
    <w:rsid w:val="00163BC4"/>
    <w:rsid w:val="00191062"/>
    <w:rsid w:val="00192B72"/>
    <w:rsid w:val="001A29D8"/>
    <w:rsid w:val="001A5CAA"/>
    <w:rsid w:val="001B0427"/>
    <w:rsid w:val="001D3A51"/>
    <w:rsid w:val="001D3CC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763E"/>
    <w:rsid w:val="002E0D56"/>
    <w:rsid w:val="00315186"/>
    <w:rsid w:val="00317D4F"/>
    <w:rsid w:val="0032320A"/>
    <w:rsid w:val="0033343E"/>
    <w:rsid w:val="003512C2"/>
    <w:rsid w:val="00371FB6"/>
    <w:rsid w:val="003763C1"/>
    <w:rsid w:val="00376BBE"/>
    <w:rsid w:val="0039224F"/>
    <w:rsid w:val="003A43A4"/>
    <w:rsid w:val="003A7E18"/>
    <w:rsid w:val="003C4C86"/>
    <w:rsid w:val="003C6258"/>
    <w:rsid w:val="003C7197"/>
    <w:rsid w:val="003D1F14"/>
    <w:rsid w:val="003E2904"/>
    <w:rsid w:val="00401927"/>
    <w:rsid w:val="0041027F"/>
    <w:rsid w:val="00412475"/>
    <w:rsid w:val="00416543"/>
    <w:rsid w:val="00420081"/>
    <w:rsid w:val="00423789"/>
    <w:rsid w:val="00440F43"/>
    <w:rsid w:val="00441B6F"/>
    <w:rsid w:val="00446221"/>
    <w:rsid w:val="00450E62"/>
    <w:rsid w:val="004539DB"/>
    <w:rsid w:val="00471A80"/>
    <w:rsid w:val="004B7456"/>
    <w:rsid w:val="004C1894"/>
    <w:rsid w:val="004C5AD0"/>
    <w:rsid w:val="004D305E"/>
    <w:rsid w:val="004D4277"/>
    <w:rsid w:val="00502516"/>
    <w:rsid w:val="00505F06"/>
    <w:rsid w:val="00506828"/>
    <w:rsid w:val="00520987"/>
    <w:rsid w:val="0053056E"/>
    <w:rsid w:val="00554FDA"/>
    <w:rsid w:val="005B0F1A"/>
    <w:rsid w:val="005C784C"/>
    <w:rsid w:val="005D17F6"/>
    <w:rsid w:val="005E5539"/>
    <w:rsid w:val="005E564B"/>
    <w:rsid w:val="005F4268"/>
    <w:rsid w:val="00602BF5"/>
    <w:rsid w:val="0061617C"/>
    <w:rsid w:val="00616B38"/>
    <w:rsid w:val="00617FDD"/>
    <w:rsid w:val="00633614"/>
    <w:rsid w:val="00633F68"/>
    <w:rsid w:val="00636EB2"/>
    <w:rsid w:val="006375B8"/>
    <w:rsid w:val="00651333"/>
    <w:rsid w:val="00664AF7"/>
    <w:rsid w:val="0066510A"/>
    <w:rsid w:val="00673F9F"/>
    <w:rsid w:val="00674A42"/>
    <w:rsid w:val="00686953"/>
    <w:rsid w:val="00687DEA"/>
    <w:rsid w:val="00687E67"/>
    <w:rsid w:val="006967F7"/>
    <w:rsid w:val="006A250C"/>
    <w:rsid w:val="006B21D3"/>
    <w:rsid w:val="006B57D0"/>
    <w:rsid w:val="006D30FF"/>
    <w:rsid w:val="006D41AE"/>
    <w:rsid w:val="006D6940"/>
    <w:rsid w:val="006F11EC"/>
    <w:rsid w:val="0070082C"/>
    <w:rsid w:val="007015CE"/>
    <w:rsid w:val="0072251C"/>
    <w:rsid w:val="007369E6"/>
    <w:rsid w:val="00746E59"/>
    <w:rsid w:val="00754C9A"/>
    <w:rsid w:val="0075599A"/>
    <w:rsid w:val="00761D52"/>
    <w:rsid w:val="0077749E"/>
    <w:rsid w:val="00790ADA"/>
    <w:rsid w:val="007D2288"/>
    <w:rsid w:val="007D5380"/>
    <w:rsid w:val="007E088F"/>
    <w:rsid w:val="007E6A08"/>
    <w:rsid w:val="007F7B32"/>
    <w:rsid w:val="00804BC2"/>
    <w:rsid w:val="008069B9"/>
    <w:rsid w:val="0081431A"/>
    <w:rsid w:val="0083216F"/>
    <w:rsid w:val="00860000"/>
    <w:rsid w:val="00863BD3"/>
    <w:rsid w:val="008641ED"/>
    <w:rsid w:val="00866D66"/>
    <w:rsid w:val="008671C6"/>
    <w:rsid w:val="00875803"/>
    <w:rsid w:val="008878FA"/>
    <w:rsid w:val="008B459E"/>
    <w:rsid w:val="008D47CF"/>
    <w:rsid w:val="008E13AE"/>
    <w:rsid w:val="008E1506"/>
    <w:rsid w:val="008E710C"/>
    <w:rsid w:val="008F69D6"/>
    <w:rsid w:val="00902823"/>
    <w:rsid w:val="00915CA6"/>
    <w:rsid w:val="00917C8D"/>
    <w:rsid w:val="0092466D"/>
    <w:rsid w:val="00927834"/>
    <w:rsid w:val="009418CD"/>
    <w:rsid w:val="009500A6"/>
    <w:rsid w:val="00957C18"/>
    <w:rsid w:val="009659BA"/>
    <w:rsid w:val="00971B31"/>
    <w:rsid w:val="0097355D"/>
    <w:rsid w:val="00983040"/>
    <w:rsid w:val="009B3FB9"/>
    <w:rsid w:val="009C2465"/>
    <w:rsid w:val="009D35A0"/>
    <w:rsid w:val="009D7EB7"/>
    <w:rsid w:val="009E048A"/>
    <w:rsid w:val="009E08E9"/>
    <w:rsid w:val="009E3DB9"/>
    <w:rsid w:val="009E6E35"/>
    <w:rsid w:val="009F0EDA"/>
    <w:rsid w:val="00A03B96"/>
    <w:rsid w:val="00A05B19"/>
    <w:rsid w:val="00A1134E"/>
    <w:rsid w:val="00A12F41"/>
    <w:rsid w:val="00A24E7E"/>
    <w:rsid w:val="00A258C3"/>
    <w:rsid w:val="00A27BFC"/>
    <w:rsid w:val="00A33BBF"/>
    <w:rsid w:val="00A347C0"/>
    <w:rsid w:val="00A51431"/>
    <w:rsid w:val="00A539AD"/>
    <w:rsid w:val="00A567B4"/>
    <w:rsid w:val="00A613FF"/>
    <w:rsid w:val="00A94063"/>
    <w:rsid w:val="00AA4D0A"/>
    <w:rsid w:val="00AA6219"/>
    <w:rsid w:val="00AA74E0"/>
    <w:rsid w:val="00AB4181"/>
    <w:rsid w:val="00AB703F"/>
    <w:rsid w:val="00AC6BB8"/>
    <w:rsid w:val="00AE008F"/>
    <w:rsid w:val="00B01FCD"/>
    <w:rsid w:val="00B1776C"/>
    <w:rsid w:val="00B17C13"/>
    <w:rsid w:val="00B52583"/>
    <w:rsid w:val="00B52896"/>
    <w:rsid w:val="00B63A5B"/>
    <w:rsid w:val="00B644B8"/>
    <w:rsid w:val="00B879A3"/>
    <w:rsid w:val="00B908EE"/>
    <w:rsid w:val="00B95236"/>
    <w:rsid w:val="00B96BD9"/>
    <w:rsid w:val="00BA1B01"/>
    <w:rsid w:val="00BA2641"/>
    <w:rsid w:val="00BB37AA"/>
    <w:rsid w:val="00BB6C79"/>
    <w:rsid w:val="00BC53A0"/>
    <w:rsid w:val="00BD5C74"/>
    <w:rsid w:val="00BE62AD"/>
    <w:rsid w:val="00BF121F"/>
    <w:rsid w:val="00BF1F80"/>
    <w:rsid w:val="00BF5801"/>
    <w:rsid w:val="00C02E90"/>
    <w:rsid w:val="00C166EF"/>
    <w:rsid w:val="00C17EB0"/>
    <w:rsid w:val="00C27F5F"/>
    <w:rsid w:val="00C30A0F"/>
    <w:rsid w:val="00C37E61"/>
    <w:rsid w:val="00C45241"/>
    <w:rsid w:val="00C652A5"/>
    <w:rsid w:val="00C70F1B"/>
    <w:rsid w:val="00C71A47"/>
    <w:rsid w:val="00C7464C"/>
    <w:rsid w:val="00C85588"/>
    <w:rsid w:val="00C85FB9"/>
    <w:rsid w:val="00C95014"/>
    <w:rsid w:val="00CB78C3"/>
    <w:rsid w:val="00CC3F94"/>
    <w:rsid w:val="00CD6755"/>
    <w:rsid w:val="00CD6856"/>
    <w:rsid w:val="00CE0089"/>
    <w:rsid w:val="00CE793C"/>
    <w:rsid w:val="00CF193C"/>
    <w:rsid w:val="00D07B37"/>
    <w:rsid w:val="00D173F1"/>
    <w:rsid w:val="00D33F96"/>
    <w:rsid w:val="00D74CB0"/>
    <w:rsid w:val="00D82379"/>
    <w:rsid w:val="00D8295D"/>
    <w:rsid w:val="00D82D1C"/>
    <w:rsid w:val="00D87824"/>
    <w:rsid w:val="00D96E2E"/>
    <w:rsid w:val="00DC2A65"/>
    <w:rsid w:val="00DE15F0"/>
    <w:rsid w:val="00DE5663"/>
    <w:rsid w:val="00DE78AA"/>
    <w:rsid w:val="00E053D0"/>
    <w:rsid w:val="00E15994"/>
    <w:rsid w:val="00E274E8"/>
    <w:rsid w:val="00E3114E"/>
    <w:rsid w:val="00E31A70"/>
    <w:rsid w:val="00E35B02"/>
    <w:rsid w:val="00E36BCF"/>
    <w:rsid w:val="00E44FCF"/>
    <w:rsid w:val="00E66496"/>
    <w:rsid w:val="00E66B35"/>
    <w:rsid w:val="00E66E10"/>
    <w:rsid w:val="00E769F6"/>
    <w:rsid w:val="00E8407C"/>
    <w:rsid w:val="00E84F3C"/>
    <w:rsid w:val="00EA012C"/>
    <w:rsid w:val="00EC6A55"/>
    <w:rsid w:val="00ED0288"/>
    <w:rsid w:val="00ED31FD"/>
    <w:rsid w:val="00EE0184"/>
    <w:rsid w:val="00EE52CB"/>
    <w:rsid w:val="00EF581D"/>
    <w:rsid w:val="00EF7FD8"/>
    <w:rsid w:val="00F06F59"/>
    <w:rsid w:val="00F17988"/>
    <w:rsid w:val="00F42B62"/>
    <w:rsid w:val="00F469F0"/>
    <w:rsid w:val="00F53273"/>
    <w:rsid w:val="00F63F2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C3F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C3F94"/>
    <w:rPr>
      <w:rFonts w:asciiTheme="majorHAnsi" w:eastAsiaTheme="majorEastAsia" w:hAnsiTheme="majorHAnsi" w:cstheme="majorBidi"/>
      <w:color w:val="365F91" w:themeColor="accent1" w:themeShade="BF"/>
      <w:sz w:val="26"/>
      <w:szCs w:val="26"/>
    </w:rPr>
  </w:style>
  <w:style w:type="table" w:customStyle="1" w:styleId="TabelaSimples21">
    <w:name w:val="Tabela Simples 21"/>
    <w:basedOn w:val="TableNormal"/>
    <w:uiPriority w:val="42"/>
    <w:rsid w:val="00E44FCF"/>
    <w:rPr>
      <w:rFonts w:asciiTheme="minorHAnsi" w:eastAsiaTheme="minorHAnsi" w:hAnsiTheme="minorHAnsi" w:cstheme="minorBid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B5C5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C123-248A-4AA5-83E5-68D63CE1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9</Pages>
  <Words>3861</Words>
  <Characters>22008</Characters>
  <Application>Microsoft Office Word</Application>
  <DocSecurity>0</DocSecurity>
  <Lines>183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77</cp:revision>
  <cp:lastPrinted>1999-07-06T11:00:00Z</cp:lastPrinted>
  <dcterms:created xsi:type="dcterms:W3CDTF">2014-10-25T14:34:00Z</dcterms:created>
  <dcterms:modified xsi:type="dcterms:W3CDTF">2025-10-30T08:01:00Z</dcterms:modified>
</cp:coreProperties>
</file>