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uthor"/>
        <w:rPr>
          <w:rFonts w:ascii="Arial" w:hAnsi="Arial" w:cs="Arial"/>
          <w:bCs/>
          <w:i/>
          <w:iCs/>
          <w:kern w:val="28"/>
          <w:sz w:val="32"/>
          <w:szCs w:val="18"/>
          <w:u w:val="single"/>
        </w:rPr>
      </w:pPr>
      <w:bookmarkStart w:id="0" w:name="_Hlk210397356"/>
      <w:bookmarkStart w:id="1" w:name="_Hlk211893875"/>
      <w:bookmarkEnd w:id="0"/>
      <w:r>
        <w:rPr>
          <w:rFonts w:ascii="Arial" w:hAnsi="Arial" w:cs="Arial"/>
          <w:bCs/>
          <w:i/>
          <w:iCs/>
          <w:kern w:val="28"/>
          <w:sz w:val="32"/>
          <w:szCs w:val="18"/>
          <w:u w:val="single"/>
        </w:rPr>
        <w:t>Original Research Article</w:t>
      </w:r>
    </w:p>
    <w:p>
      <w:pPr>
        <w:pStyle w:val="Author"/>
        <w:rPr>
          <w:rFonts w:ascii="Arial" w:hAnsi="Arial" w:cs="Arial"/>
          <w:bCs/>
          <w:i/>
          <w:iCs/>
          <w:kern w:val="28"/>
          <w:sz w:val="32"/>
          <w:szCs w:val="18"/>
          <w:u w:val="single"/>
        </w:rPr>
      </w:pPr>
    </w:p>
    <w:p>
      <w:pPr>
        <w:pStyle w:val="Author"/>
        <w:spacing w:line="240" w:lineRule="auto"/>
        <w:rPr>
          <w:rFonts w:ascii="Arial" w:hAnsi="Arial" w:cs="Arial"/>
          <w:kern w:val="28"/>
          <w:sz w:val="36"/>
        </w:rPr>
      </w:pPr>
      <w:r>
        <w:rPr>
          <w:rFonts w:ascii="Arial" w:hAnsi="Arial" w:cs="Arial"/>
          <w:kern w:val="28"/>
          <w:sz w:val="36"/>
        </w:rPr>
        <w:t xml:space="preserve">Valorization of Spent Mushroom Substrate from </w:t>
      </w:r>
      <w:r>
        <w:rPr>
          <w:rFonts w:ascii="Arial" w:hAnsi="Arial" w:cs="Arial"/>
          <w:i/>
          <w:iCs/>
          <w:kern w:val="28"/>
          <w:sz w:val="36"/>
        </w:rPr>
        <w:t>Pleurotus</w:t>
      </w:r>
      <w:r>
        <w:rPr>
          <w:rFonts w:ascii="Arial" w:hAnsi="Arial" w:cs="Arial"/>
          <w:kern w:val="28"/>
          <w:sz w:val="36"/>
        </w:rPr>
        <w:t xml:space="preserve"> </w:t>
      </w:r>
      <w:proofErr w:type="gramStart"/>
      <w:r>
        <w:rPr>
          <w:rFonts w:ascii="Arial" w:hAnsi="Arial" w:cs="Arial"/>
          <w:kern w:val="28"/>
          <w:sz w:val="36"/>
        </w:rPr>
        <w:t>spp. :</w:t>
      </w:r>
      <w:proofErr w:type="gramEnd"/>
      <w:r>
        <w:rPr>
          <w:rFonts w:ascii="Arial" w:hAnsi="Arial" w:cs="Arial"/>
          <w:kern w:val="28"/>
          <w:sz w:val="36"/>
        </w:rPr>
        <w:t xml:space="preserve"> Nutrient Profiling and Biocontrol Potential Again</w:t>
      </w:r>
      <w:bookmarkStart w:id="2" w:name="_GoBack"/>
      <w:bookmarkEnd w:id="2"/>
      <w:r>
        <w:rPr>
          <w:rFonts w:ascii="Arial" w:hAnsi="Arial" w:cs="Arial"/>
          <w:kern w:val="28"/>
          <w:sz w:val="36"/>
        </w:rPr>
        <w:t>st Plant Pathogens</w:t>
      </w:r>
    </w:p>
    <w:bookmarkEnd w:id="1"/>
    <w:p>
      <w:pPr>
        <w:pStyle w:val="Author"/>
        <w:spacing w:line="240" w:lineRule="auto"/>
        <w:rPr>
          <w:rFonts w:ascii="Arial" w:hAnsi="Arial" w:cs="Arial"/>
          <w:sz w:val="36"/>
        </w:rPr>
      </w:pPr>
    </w:p>
    <w:p>
      <w:pPr>
        <w:rPr>
          <w:rFonts w:ascii="Arial" w:hAnsi="Arial" w:cs="Arial"/>
        </w:rPr>
      </w:pPr>
    </w:p>
    <w:p>
      <w:pPr>
        <w:pStyle w:val="Affiliation"/>
        <w:spacing w:after="0" w:line="240" w:lineRule="auto"/>
        <w:jc w:val="both"/>
        <w:rPr>
          <w:rFonts w:ascii="Arial" w:hAnsi="Arial" w:cs="Arial"/>
        </w:rPr>
      </w:pPr>
    </w:p>
    <w:p>
      <w:pPr>
        <w:pStyle w:val="Copyright"/>
        <w:spacing w:after="0" w:line="240" w:lineRule="auto"/>
        <w:jc w:val="both"/>
        <w:rPr>
          <w:rFonts w:ascii="Arial" w:hAnsi="Arial" w:cs="Arial"/>
        </w:rPr>
        <w:sectPr>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3335" r="17145" b="15240"/>
                <wp:docPr id="19152440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9DE9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pPr>
        <w:pStyle w:val="AbstHead"/>
        <w:spacing w:after="0"/>
        <w:jc w:val="both"/>
        <w:rPr>
          <w:rFonts w:ascii="Arial" w:hAnsi="Arial" w:cs="Arial"/>
        </w:rPr>
      </w:pPr>
      <w:r>
        <w:rPr>
          <w:rFonts w:ascii="Arial" w:hAnsi="Arial" w:cs="Arial"/>
        </w:rPr>
        <w:t>ABSTRACT</w:t>
      </w:r>
    </w:p>
    <w:p>
      <w:pPr>
        <w:pStyle w:val="AbstHead"/>
        <w:spacing w:after="0"/>
        <w:jc w:val="both"/>
        <w:rPr>
          <w:rFonts w:ascii="Arial" w:hAnsi="Arial" w:cs="Arial"/>
        </w:rPr>
      </w:pPr>
    </w:p>
    <w:p>
      <w:pPr>
        <w:pStyle w:val="AbstHead"/>
        <w:spacing w:after="0" w:line="360" w:lineRule="auto"/>
        <w:jc w:val="both"/>
        <w:rPr>
          <w:rFonts w:ascii="Arial" w:hAnsi="Arial" w:cs="Arial"/>
          <w:b w:val="0"/>
          <w:bCs/>
          <w:sz w:val="20"/>
        </w:rPr>
      </w:pPr>
      <w:r>
        <w:rPr>
          <w:rFonts w:ascii="Arial" w:hAnsi="Arial" w:cs="Arial"/>
          <w:b w:val="0"/>
          <w:bCs/>
          <w:caps w:val="0"/>
          <w:sz w:val="20"/>
        </w:rPr>
        <w:t xml:space="preserve">Spent mushroom substrate (SMS), the primary by-product of mushroom cultivation, is often considered as an agricultural waste despite of its potential value. The study presents a comprehensive analysis of the nutrient composition of various SMS samples to assess their suitability as sustainable soil amendments, along with their effectiveness in controlling plant pathogens under </w:t>
      </w:r>
      <w:r>
        <w:rPr>
          <w:rFonts w:ascii="Arial" w:hAnsi="Arial" w:cs="Arial"/>
          <w:b w:val="0"/>
          <w:bCs/>
          <w:i/>
          <w:iCs/>
          <w:caps w:val="0"/>
          <w:sz w:val="20"/>
        </w:rPr>
        <w:t>in vitro</w:t>
      </w:r>
      <w:r>
        <w:rPr>
          <w:rFonts w:ascii="Arial" w:hAnsi="Arial" w:cs="Arial"/>
          <w:b w:val="0"/>
          <w:bCs/>
          <w:caps w:val="0"/>
          <w:sz w:val="20"/>
        </w:rPr>
        <w:t xml:space="preserve"> conditions. A combination of analytical techniques was employed, including Kjeldahl digestion for nitrogen determination, di-acid digestion for macro- and micronutrient analysis, and hot water extraction for boron estimation. The nutrients analyzed included nitrogen (N), phosphorus (P), potassium (K), calcium (Ca), magnesium (Mg), sulfur (S), iron (Fe), zinc (Zn), copper (Cu), and boron (B).</w:t>
      </w:r>
      <w:r>
        <w:rPr>
          <w:rFonts w:ascii="Arial" w:hAnsi="Arial" w:cs="Arial"/>
          <w:sz w:val="20"/>
        </w:rPr>
        <w:t xml:space="preserve"> </w:t>
      </w:r>
      <w:r>
        <w:rPr>
          <w:rFonts w:ascii="Arial" w:hAnsi="Arial" w:cs="Arial"/>
          <w:b w:val="0"/>
          <w:bCs/>
          <w:caps w:val="0"/>
          <w:sz w:val="20"/>
        </w:rPr>
        <w:t xml:space="preserve">Three species of oyster mushroom </w:t>
      </w:r>
      <w:r>
        <w:rPr>
          <w:rFonts w:ascii="Arial" w:hAnsi="Arial" w:cs="Arial"/>
          <w:b w:val="0"/>
          <w:bCs/>
          <w:i/>
          <w:iCs/>
          <w:caps w:val="0"/>
          <w:sz w:val="20"/>
        </w:rPr>
        <w:t>viz</w:t>
      </w:r>
      <w:r>
        <w:rPr>
          <w:rFonts w:ascii="Arial" w:hAnsi="Arial" w:cs="Arial"/>
          <w:b w:val="0"/>
          <w:bCs/>
          <w:caps w:val="0"/>
          <w:sz w:val="20"/>
        </w:rPr>
        <w:t xml:space="preserve">. </w:t>
      </w:r>
      <w:proofErr w:type="spellStart"/>
      <w:r>
        <w:rPr>
          <w:rFonts w:ascii="Arial" w:hAnsi="Arial" w:cs="Arial"/>
          <w:b w:val="0"/>
          <w:bCs/>
          <w:i/>
          <w:iCs/>
          <w:caps w:val="0"/>
          <w:sz w:val="20"/>
        </w:rPr>
        <w:t>Pleurotus</w:t>
      </w:r>
      <w:proofErr w:type="spellEnd"/>
      <w:r>
        <w:rPr>
          <w:rFonts w:ascii="Arial" w:hAnsi="Arial" w:cs="Arial"/>
          <w:b w:val="0"/>
          <w:bCs/>
          <w:i/>
          <w:iCs/>
          <w:caps w:val="0"/>
          <w:sz w:val="20"/>
        </w:rPr>
        <w:t xml:space="preserve"> </w:t>
      </w:r>
      <w:proofErr w:type="spellStart"/>
      <w:r>
        <w:rPr>
          <w:rFonts w:ascii="Arial" w:hAnsi="Arial" w:cs="Arial"/>
          <w:b w:val="0"/>
          <w:bCs/>
          <w:i/>
          <w:iCs/>
          <w:caps w:val="0"/>
          <w:sz w:val="20"/>
        </w:rPr>
        <w:t>florida</w:t>
      </w:r>
      <w:proofErr w:type="spellEnd"/>
      <w:r>
        <w:rPr>
          <w:rFonts w:ascii="Arial" w:hAnsi="Arial" w:cs="Arial"/>
          <w:b w:val="0"/>
          <w:bCs/>
          <w:caps w:val="0"/>
          <w:sz w:val="20"/>
        </w:rPr>
        <w:t xml:space="preserve">, </w:t>
      </w:r>
      <w:r>
        <w:rPr>
          <w:rFonts w:ascii="Arial" w:hAnsi="Arial" w:cs="Arial"/>
          <w:b w:val="0"/>
          <w:bCs/>
          <w:i/>
          <w:iCs/>
          <w:caps w:val="0"/>
          <w:sz w:val="20"/>
        </w:rPr>
        <w:t>P. ostreatus</w:t>
      </w:r>
      <w:r>
        <w:rPr>
          <w:rFonts w:ascii="Arial" w:hAnsi="Arial" w:cs="Arial"/>
          <w:b w:val="0"/>
          <w:bCs/>
          <w:caps w:val="0"/>
          <w:sz w:val="20"/>
        </w:rPr>
        <w:t xml:space="preserve"> and </w:t>
      </w:r>
      <w:r>
        <w:rPr>
          <w:rFonts w:ascii="Arial" w:hAnsi="Arial" w:cs="Arial"/>
          <w:b w:val="0"/>
          <w:bCs/>
          <w:i/>
          <w:iCs/>
          <w:caps w:val="0"/>
          <w:sz w:val="20"/>
        </w:rPr>
        <w:t xml:space="preserve">P. </w:t>
      </w:r>
      <w:proofErr w:type="spellStart"/>
      <w:r>
        <w:rPr>
          <w:rFonts w:ascii="Arial" w:hAnsi="Arial" w:cs="Arial"/>
          <w:b w:val="0"/>
          <w:bCs/>
          <w:i/>
          <w:iCs/>
          <w:caps w:val="0"/>
          <w:sz w:val="20"/>
        </w:rPr>
        <w:t>sajor-caju</w:t>
      </w:r>
      <w:proofErr w:type="spellEnd"/>
      <w:r>
        <w:rPr>
          <w:rFonts w:ascii="Arial" w:hAnsi="Arial" w:cs="Arial"/>
          <w:b w:val="0"/>
          <w:bCs/>
          <w:i/>
          <w:iCs/>
          <w:caps w:val="0"/>
          <w:sz w:val="20"/>
        </w:rPr>
        <w:t xml:space="preserve"> </w:t>
      </w:r>
      <w:r>
        <w:rPr>
          <w:rFonts w:ascii="Arial" w:hAnsi="Arial" w:cs="Arial"/>
          <w:b w:val="0"/>
          <w:bCs/>
          <w:caps w:val="0"/>
          <w:sz w:val="20"/>
        </w:rPr>
        <w:t xml:space="preserve">were used in the present study. The results revealed that all SMS samples were rich in essential plant nutrients, with significant variability observed across different treatments. specifically, the SMS from </w:t>
      </w:r>
      <w:r>
        <w:rPr>
          <w:rFonts w:ascii="Arial" w:hAnsi="Arial" w:cs="Arial"/>
          <w:b w:val="0"/>
          <w:bCs/>
          <w:i/>
          <w:iCs/>
          <w:caps w:val="0"/>
          <w:sz w:val="20"/>
        </w:rPr>
        <w:t>P. ostreatus</w:t>
      </w:r>
      <w:r>
        <w:rPr>
          <w:rFonts w:ascii="Arial" w:hAnsi="Arial" w:cs="Arial"/>
          <w:b w:val="0"/>
          <w:bCs/>
          <w:caps w:val="0"/>
          <w:sz w:val="20"/>
        </w:rPr>
        <w:t xml:space="preserve"> (T2) demonstrated significantly higher levels of nitrogen, potassium, calcium and </w:t>
      </w:r>
      <w:proofErr w:type="spellStart"/>
      <w:r>
        <w:rPr>
          <w:rFonts w:ascii="Arial" w:hAnsi="Arial" w:cs="Arial"/>
          <w:b w:val="0"/>
          <w:bCs/>
          <w:caps w:val="0"/>
          <w:sz w:val="20"/>
        </w:rPr>
        <w:t>sulphur</w:t>
      </w:r>
      <w:proofErr w:type="spellEnd"/>
      <w:r>
        <w:rPr>
          <w:rFonts w:ascii="Arial" w:hAnsi="Arial" w:cs="Arial"/>
          <w:b w:val="0"/>
          <w:bCs/>
          <w:caps w:val="0"/>
          <w:sz w:val="20"/>
        </w:rPr>
        <w:t xml:space="preserve">, while the SMS from </w:t>
      </w:r>
      <w:r>
        <w:rPr>
          <w:rFonts w:ascii="Arial" w:hAnsi="Arial" w:cs="Arial"/>
          <w:b w:val="0"/>
          <w:bCs/>
          <w:i/>
          <w:iCs/>
          <w:caps w:val="0"/>
          <w:sz w:val="20"/>
        </w:rPr>
        <w:t xml:space="preserve">P. </w:t>
      </w:r>
      <w:proofErr w:type="spellStart"/>
      <w:r>
        <w:rPr>
          <w:rFonts w:ascii="Arial" w:hAnsi="Arial" w:cs="Arial"/>
          <w:b w:val="0"/>
          <w:bCs/>
          <w:i/>
          <w:iCs/>
          <w:caps w:val="0"/>
          <w:sz w:val="20"/>
        </w:rPr>
        <w:t>florida</w:t>
      </w:r>
      <w:proofErr w:type="spellEnd"/>
      <w:r>
        <w:rPr>
          <w:rFonts w:ascii="Arial" w:hAnsi="Arial" w:cs="Arial"/>
          <w:b w:val="0"/>
          <w:bCs/>
          <w:caps w:val="0"/>
          <w:sz w:val="20"/>
        </w:rPr>
        <w:t xml:space="preserve"> (T1) had the highest levels of phosphorus and magnesium. in contrast,</w:t>
      </w:r>
      <w:r>
        <w:rPr>
          <w:b w:val="0"/>
          <w:bCs/>
          <w:caps w:val="0"/>
          <w:sz w:val="20"/>
        </w:rPr>
        <w:t xml:space="preserve"> </w:t>
      </w:r>
      <w:r>
        <w:rPr>
          <w:rFonts w:ascii="Arial" w:hAnsi="Arial" w:cs="Arial"/>
          <w:b w:val="0"/>
          <w:bCs/>
          <w:caps w:val="0"/>
          <w:sz w:val="20"/>
        </w:rPr>
        <w:t xml:space="preserve">micronutrient levels varied less significantly, though P. ostreatus (T2) still showed the highest levels of boron, iron, and copper. </w:t>
      </w:r>
      <w:r>
        <w:rPr>
          <w:rFonts w:ascii="Arial" w:hAnsi="Arial" w:cs="Arial"/>
          <w:b w:val="0"/>
          <w:bCs/>
          <w:caps w:val="0"/>
          <w:sz w:val="20"/>
          <w:lang w:val="en-IN"/>
        </w:rPr>
        <w:t xml:space="preserve">Additionally, an antagonistic bacterium isolated from SMS of </w:t>
      </w:r>
      <w:r>
        <w:rPr>
          <w:rFonts w:ascii="Arial" w:hAnsi="Arial" w:cs="Arial"/>
          <w:b w:val="0"/>
          <w:bCs/>
          <w:i/>
          <w:iCs/>
          <w:caps w:val="0"/>
          <w:sz w:val="20"/>
          <w:lang w:val="en-IN"/>
        </w:rPr>
        <w:t>P. ostreatus</w:t>
      </w:r>
      <w:r>
        <w:rPr>
          <w:rFonts w:ascii="Arial" w:hAnsi="Arial" w:cs="Arial"/>
          <w:b w:val="0"/>
          <w:bCs/>
          <w:caps w:val="0"/>
          <w:sz w:val="20"/>
          <w:lang w:val="en-IN"/>
        </w:rPr>
        <w:t xml:space="preserve"> was identified and confirmed as </w:t>
      </w:r>
      <w:proofErr w:type="spellStart"/>
      <w:r>
        <w:rPr>
          <w:rFonts w:ascii="Arial" w:hAnsi="Arial" w:cs="Arial"/>
          <w:b w:val="0"/>
          <w:bCs/>
          <w:i/>
          <w:iCs/>
          <w:caps w:val="0"/>
          <w:sz w:val="20"/>
          <w:lang w:val="en-IN"/>
        </w:rPr>
        <w:t>Burkholderia</w:t>
      </w:r>
      <w:proofErr w:type="spellEnd"/>
      <w:r>
        <w:rPr>
          <w:rFonts w:ascii="Arial" w:hAnsi="Arial" w:cs="Arial"/>
          <w:b w:val="0"/>
          <w:bCs/>
          <w:i/>
          <w:iCs/>
          <w:caps w:val="0"/>
          <w:sz w:val="20"/>
          <w:lang w:val="en-IN"/>
        </w:rPr>
        <w:t xml:space="preserve"> gladioli </w:t>
      </w:r>
      <w:r>
        <w:rPr>
          <w:rFonts w:ascii="Arial" w:hAnsi="Arial" w:cs="Arial"/>
          <w:b w:val="0"/>
          <w:bCs/>
          <w:caps w:val="0"/>
          <w:sz w:val="20"/>
          <w:lang w:val="en-IN"/>
        </w:rPr>
        <w:t xml:space="preserve">through 16s rRNA sequencing. </w:t>
      </w:r>
      <w:r>
        <w:rPr>
          <w:rFonts w:ascii="Arial" w:hAnsi="Arial" w:cs="Arial"/>
          <w:b w:val="0"/>
          <w:bCs/>
          <w:i/>
          <w:iCs/>
          <w:caps w:val="0"/>
          <w:sz w:val="20"/>
          <w:lang w:val="en-IN"/>
        </w:rPr>
        <w:t>In vitro</w:t>
      </w:r>
      <w:r>
        <w:rPr>
          <w:rFonts w:ascii="Arial" w:hAnsi="Arial" w:cs="Arial"/>
          <w:b w:val="0"/>
          <w:bCs/>
          <w:caps w:val="0"/>
          <w:sz w:val="20"/>
          <w:lang w:val="en-IN"/>
        </w:rPr>
        <w:t xml:space="preserve"> dual culture assays demonstrated that this bacterium produced inhibition against the plant pathogens </w:t>
      </w:r>
      <w:proofErr w:type="spellStart"/>
      <w:r>
        <w:rPr>
          <w:rFonts w:ascii="Arial" w:hAnsi="Arial" w:cs="Arial"/>
          <w:b w:val="0"/>
          <w:bCs/>
          <w:i/>
          <w:iCs/>
          <w:caps w:val="0"/>
          <w:sz w:val="20"/>
          <w:lang w:val="en-IN"/>
        </w:rPr>
        <w:t>Rhizoctonia</w:t>
      </w:r>
      <w:proofErr w:type="spellEnd"/>
      <w:r>
        <w:rPr>
          <w:rFonts w:ascii="Arial" w:hAnsi="Arial" w:cs="Arial"/>
          <w:b w:val="0"/>
          <w:bCs/>
          <w:i/>
          <w:iCs/>
          <w:caps w:val="0"/>
          <w:sz w:val="20"/>
          <w:lang w:val="en-IN"/>
        </w:rPr>
        <w:t xml:space="preserve"> </w:t>
      </w:r>
      <w:proofErr w:type="spellStart"/>
      <w:r>
        <w:rPr>
          <w:rFonts w:ascii="Arial" w:hAnsi="Arial" w:cs="Arial"/>
          <w:b w:val="0"/>
          <w:bCs/>
          <w:i/>
          <w:iCs/>
          <w:caps w:val="0"/>
          <w:sz w:val="20"/>
          <w:lang w:val="en-IN"/>
        </w:rPr>
        <w:t>solani</w:t>
      </w:r>
      <w:proofErr w:type="spellEnd"/>
      <w:r>
        <w:rPr>
          <w:rFonts w:ascii="Arial" w:hAnsi="Arial" w:cs="Arial"/>
          <w:b w:val="0"/>
          <w:bCs/>
          <w:caps w:val="0"/>
          <w:sz w:val="20"/>
          <w:lang w:val="en-IN"/>
        </w:rPr>
        <w:t xml:space="preserve"> (62.2%) and </w:t>
      </w:r>
      <w:r>
        <w:rPr>
          <w:rFonts w:ascii="Arial" w:hAnsi="Arial" w:cs="Arial"/>
          <w:b w:val="0"/>
          <w:bCs/>
          <w:i/>
          <w:iCs/>
          <w:caps w:val="0"/>
          <w:sz w:val="20"/>
          <w:lang w:val="en-IN"/>
        </w:rPr>
        <w:t xml:space="preserve">Colletotrichum </w:t>
      </w:r>
      <w:proofErr w:type="spellStart"/>
      <w:r>
        <w:rPr>
          <w:rFonts w:ascii="Arial" w:hAnsi="Arial" w:cs="Arial"/>
          <w:b w:val="0"/>
          <w:bCs/>
          <w:i/>
          <w:iCs/>
          <w:caps w:val="0"/>
          <w:sz w:val="20"/>
          <w:lang w:val="en-IN"/>
        </w:rPr>
        <w:t>gloeosporioides</w:t>
      </w:r>
      <w:proofErr w:type="spellEnd"/>
      <w:r>
        <w:rPr>
          <w:rFonts w:ascii="Arial" w:hAnsi="Arial" w:cs="Arial"/>
          <w:b w:val="0"/>
          <w:bCs/>
          <w:caps w:val="0"/>
          <w:sz w:val="20"/>
          <w:lang w:val="en-IN"/>
        </w:rPr>
        <w:t xml:space="preserve"> (76.6%), highlighting its potential for biological control.</w:t>
      </w:r>
      <w:r>
        <w:rPr>
          <w:rFonts w:ascii="Arial" w:hAnsi="Arial" w:cs="Arial"/>
          <w:b w:val="0"/>
          <w:bCs/>
          <w:caps w:val="0"/>
          <w:sz w:val="20"/>
        </w:rPr>
        <w:t xml:space="preserve"> The study confirmed that SMS to be promising alternative to traditional fertilizers, offering a sustainable solution for waste valorization. </w:t>
      </w:r>
    </w:p>
    <w:p>
      <w:pPr>
        <w:spacing w:line="360" w:lineRule="auto"/>
        <w:jc w:val="both"/>
        <w:rPr>
          <w:rFonts w:ascii="Arial" w:hAnsi="Arial" w:cs="Arial"/>
          <w:bCs/>
        </w:rPr>
      </w:pPr>
    </w:p>
    <w:p>
      <w:pPr>
        <w:tabs>
          <w:tab w:val="left" w:pos="2280"/>
        </w:tabs>
        <w:spacing w:line="360" w:lineRule="auto"/>
        <w:jc w:val="both"/>
        <w:rPr>
          <w:rFonts w:ascii="Arial" w:hAnsi="Arial" w:cs="Arial"/>
          <w:sz w:val="22"/>
          <w:szCs w:val="22"/>
        </w:rPr>
      </w:pPr>
      <w:r>
        <w:rPr>
          <w:rFonts w:ascii="Arial" w:hAnsi="Arial" w:cs="Arial"/>
          <w:sz w:val="22"/>
          <w:szCs w:val="22"/>
        </w:rPr>
        <w:t xml:space="preserve">Keywords: Mushrooms, SMS, </w:t>
      </w:r>
      <w:r>
        <w:rPr>
          <w:rFonts w:ascii="Arial" w:hAnsi="Arial" w:cs="Arial"/>
          <w:i/>
          <w:iCs/>
          <w:sz w:val="22"/>
          <w:szCs w:val="22"/>
        </w:rPr>
        <w:t>Pleurotus</w:t>
      </w:r>
      <w:r>
        <w:rPr>
          <w:rFonts w:ascii="Arial" w:hAnsi="Arial" w:cs="Arial"/>
          <w:sz w:val="22"/>
          <w:szCs w:val="22"/>
        </w:rPr>
        <w:t>, nutrients, antagonistic bacteria</w:t>
      </w:r>
    </w:p>
    <w:p>
      <w:pPr>
        <w:pStyle w:val="AbstHead"/>
        <w:spacing w:after="0"/>
        <w:jc w:val="both"/>
        <w:rPr>
          <w:rFonts w:ascii="Arial" w:hAnsi="Arial" w:cs="Arial"/>
        </w:rPr>
      </w:pPr>
    </w:p>
    <w:p>
      <w:pPr>
        <w:pStyle w:val="Body"/>
        <w:spacing w:after="0"/>
        <w:rPr>
          <w:rFonts w:ascii="Arial" w:hAnsi="Arial" w:cs="Arial"/>
          <w:i/>
        </w:rPr>
      </w:pPr>
    </w:p>
    <w:p>
      <w:pPr>
        <w:pStyle w:val="AbstHead"/>
        <w:spacing w:after="0" w:line="276" w:lineRule="auto"/>
        <w:jc w:val="both"/>
        <w:rPr>
          <w:rFonts w:ascii="Arial" w:hAnsi="Arial" w:cs="Arial"/>
          <w:szCs w:val="22"/>
        </w:rPr>
      </w:pPr>
      <w:r>
        <w:rPr>
          <w:rFonts w:ascii="Arial" w:hAnsi="Arial" w:cs="Arial"/>
          <w:szCs w:val="22"/>
        </w:rPr>
        <w:lastRenderedPageBreak/>
        <w:t xml:space="preserve">1. INTRODUCTION </w:t>
      </w:r>
    </w:p>
    <w:p>
      <w:pPr>
        <w:pStyle w:val="AbstHead"/>
        <w:spacing w:after="0" w:line="276" w:lineRule="auto"/>
        <w:jc w:val="both"/>
        <w:rPr>
          <w:rFonts w:ascii="Arial" w:hAnsi="Arial" w:cs="Arial"/>
          <w:szCs w:val="22"/>
        </w:rPr>
      </w:pPr>
    </w:p>
    <w:p>
      <w:pPr>
        <w:pBdr>
          <w:top w:val="nil"/>
          <w:left w:val="nil"/>
          <w:bottom w:val="nil"/>
          <w:right w:val="nil"/>
          <w:between w:val="nil"/>
        </w:pBdr>
        <w:spacing w:line="360" w:lineRule="auto"/>
        <w:jc w:val="both"/>
        <w:rPr>
          <w:rFonts w:ascii="Arial" w:hAnsi="Arial" w:cs="Arial"/>
        </w:rPr>
      </w:pPr>
      <w:r>
        <w:rPr>
          <w:rFonts w:ascii="Arial" w:hAnsi="Arial" w:cs="Arial"/>
        </w:rPr>
        <w:t xml:space="preserve">The global mushroom industry has undergone a period of significant expansion, driven by increasing consumer demand for mushrooms as a nutritious, protein-rich food source. Recently, Food and Agriculture Organization (FAO) listed mushrooms as a vital protein source, particularly for developing nations, which in turn resulted in a spike in production of mushroom, approximately 44 million </w:t>
      </w:r>
      <w:proofErr w:type="spellStart"/>
      <w:r>
        <w:rPr>
          <w:rFonts w:ascii="Arial" w:hAnsi="Arial" w:cs="Arial"/>
        </w:rPr>
        <w:t>tonnes</w:t>
      </w:r>
      <w:proofErr w:type="spellEnd"/>
      <w:r>
        <w:rPr>
          <w:rFonts w:ascii="Arial" w:hAnsi="Arial" w:cs="Arial"/>
        </w:rPr>
        <w:t xml:space="preserve"> by 2022 (FAOSTAT, 2023). Despite this economic and nutritional success, the rapid growth of the mushroom industry has created a bigger and escalating environmental challenge, </w:t>
      </w:r>
      <w:r>
        <w:rPr>
          <w:rFonts w:ascii="Arial" w:hAnsi="Arial" w:cs="Arial"/>
          <w:i/>
          <w:iCs/>
        </w:rPr>
        <w:t>i.e</w:t>
      </w:r>
      <w:r>
        <w:rPr>
          <w:rFonts w:ascii="Arial" w:hAnsi="Arial" w:cs="Arial"/>
        </w:rPr>
        <w:t>., the management of spent mushroom substrate (SMS) (</w:t>
      </w:r>
      <w:proofErr w:type="spellStart"/>
      <w:r>
        <w:rPr>
          <w:rFonts w:ascii="Arial" w:hAnsi="Arial" w:cs="Arial"/>
        </w:rPr>
        <w:t>Bijla</w:t>
      </w:r>
      <w:proofErr w:type="spellEnd"/>
      <w:r>
        <w:rPr>
          <w:rFonts w:ascii="Arial" w:hAnsi="Arial" w:cs="Arial"/>
        </w:rPr>
        <w:t xml:space="preserve"> and Sharma, 2023). </w:t>
      </w:r>
      <w:r>
        <w:t xml:space="preserve">Spent mushroom substrate (SMS) refers to the leftover biomass after the completion of mushroom cultivation cycles. For every kilogram of fresh mushrooms produced, around five kilograms of SMS are usually generated (Ma </w:t>
      </w:r>
      <w:r>
        <w:rPr>
          <w:i/>
          <w:iCs/>
        </w:rPr>
        <w:t>et al</w:t>
      </w:r>
      <w:r>
        <w:t xml:space="preserve">., 2014; Economou </w:t>
      </w:r>
      <w:r>
        <w:rPr>
          <w:i/>
          <w:iCs/>
        </w:rPr>
        <w:t>et al</w:t>
      </w:r>
      <w:r>
        <w:t>., 2017). A</w:t>
      </w:r>
      <w:r>
        <w:rPr>
          <w:rFonts w:ascii="Arial" w:hAnsi="Arial" w:cs="Arial"/>
        </w:rPr>
        <w:t xml:space="preserve">s a significant agricultural waste stream, traditional disposal of SMS through landfilling contributes to greenhouse gas emissions and environmental harm. Leaching from such </w:t>
      </w:r>
      <w:proofErr w:type="spellStart"/>
      <w:r>
        <w:rPr>
          <w:rFonts w:ascii="Arial" w:hAnsi="Arial" w:cs="Arial"/>
        </w:rPr>
        <w:t>agro</w:t>
      </w:r>
      <w:proofErr w:type="spellEnd"/>
      <w:r>
        <w:rPr>
          <w:rFonts w:ascii="Arial" w:hAnsi="Arial" w:cs="Arial"/>
        </w:rPr>
        <w:t>-wastes can lead to groundwater contamination, oxygen depletion in aquatic ecosystems, and release of harmful gases.</w:t>
      </w:r>
    </w:p>
    <w:p>
      <w:pPr>
        <w:pBdr>
          <w:top w:val="nil"/>
          <w:left w:val="nil"/>
          <w:bottom w:val="nil"/>
          <w:right w:val="nil"/>
          <w:between w:val="nil"/>
        </w:pBdr>
        <w:spacing w:line="360" w:lineRule="auto"/>
        <w:ind w:firstLine="720"/>
        <w:jc w:val="both"/>
        <w:rPr>
          <w:rFonts w:ascii="Arial" w:hAnsi="Arial" w:cs="Arial"/>
        </w:rPr>
      </w:pPr>
      <w:r>
        <w:rPr>
          <w:rFonts w:ascii="Arial" w:hAnsi="Arial" w:cs="Arial"/>
        </w:rPr>
        <w:t xml:space="preserve">However, within the framework of a circular economy, this waste is not considered as a liability but as a valuable resource with significant potential for </w:t>
      </w:r>
      <w:proofErr w:type="spellStart"/>
      <w:r>
        <w:rPr>
          <w:rFonts w:ascii="Arial" w:hAnsi="Arial" w:cs="Arial"/>
        </w:rPr>
        <w:t>valorisation</w:t>
      </w:r>
      <w:proofErr w:type="spellEnd"/>
      <w:r>
        <w:rPr>
          <w:rFonts w:ascii="Arial" w:hAnsi="Arial" w:cs="Arial"/>
        </w:rPr>
        <w:t>. Recent research has positioned SMS as a promising feedstock for biochar production, and a sustainable solution for waste disposal, offering numerous agricultural and environmental benefits. By transforming this waste into a usable product, the mushroom industry can align with sustainable practices, reduce its environmental footprint, and contribute to a more resilient food system. SMS</w:t>
      </w:r>
      <w:r>
        <w:rPr>
          <w:rFonts w:ascii="Arial" w:hAnsi="Arial" w:cs="Arial"/>
          <w:spacing w:val="55"/>
        </w:rPr>
        <w:t xml:space="preserve"> </w:t>
      </w:r>
      <w:r>
        <w:rPr>
          <w:rFonts w:ascii="Arial" w:hAnsi="Arial" w:cs="Arial"/>
        </w:rPr>
        <w:t>possess numerous benefits which includes</w:t>
      </w:r>
      <w:r>
        <w:rPr>
          <w:rFonts w:ascii="Arial" w:hAnsi="Arial" w:cs="Arial"/>
          <w:spacing w:val="55"/>
        </w:rPr>
        <w:t xml:space="preserve"> </w:t>
      </w:r>
      <w:r>
        <w:rPr>
          <w:rFonts w:ascii="Arial" w:hAnsi="Arial" w:cs="Arial"/>
        </w:rPr>
        <w:t>as a source of renewable energy, substrate</w:t>
      </w:r>
      <w:r>
        <w:rPr>
          <w:rFonts w:ascii="Arial" w:hAnsi="Arial" w:cs="Arial"/>
          <w:spacing w:val="1"/>
        </w:rPr>
        <w:t xml:space="preserve"> </w:t>
      </w:r>
      <w:r>
        <w:rPr>
          <w:rFonts w:ascii="Arial" w:hAnsi="Arial" w:cs="Arial"/>
        </w:rPr>
        <w:t>for next cycle of milky mushroom production, animal feed, bio-fertilizer, bioremediation and</w:t>
      </w:r>
      <w:r>
        <w:rPr>
          <w:rFonts w:ascii="Arial" w:hAnsi="Arial" w:cs="Arial"/>
          <w:spacing w:val="1"/>
        </w:rPr>
        <w:t xml:space="preserve"> </w:t>
      </w:r>
      <w:r>
        <w:rPr>
          <w:rFonts w:ascii="Arial" w:hAnsi="Arial" w:cs="Arial"/>
        </w:rPr>
        <w:t>plant</w:t>
      </w:r>
      <w:r>
        <w:rPr>
          <w:rFonts w:ascii="Arial" w:hAnsi="Arial" w:cs="Arial"/>
          <w:spacing w:val="2"/>
        </w:rPr>
        <w:t xml:space="preserve"> </w:t>
      </w:r>
      <w:r>
        <w:rPr>
          <w:rFonts w:ascii="Arial" w:hAnsi="Arial" w:cs="Arial"/>
        </w:rPr>
        <w:t>disease</w:t>
      </w:r>
      <w:r>
        <w:rPr>
          <w:rFonts w:ascii="Arial" w:hAnsi="Arial" w:cs="Arial"/>
          <w:spacing w:val="1"/>
        </w:rPr>
        <w:t xml:space="preserve"> </w:t>
      </w:r>
      <w:r>
        <w:rPr>
          <w:rFonts w:ascii="Arial" w:hAnsi="Arial" w:cs="Arial"/>
        </w:rPr>
        <w:t>management</w:t>
      </w:r>
      <w:r>
        <w:rPr>
          <w:rFonts w:ascii="Arial" w:hAnsi="Arial" w:cs="Arial"/>
          <w:spacing w:val="2"/>
        </w:rPr>
        <w:t xml:space="preserve"> </w:t>
      </w:r>
      <w:r>
        <w:rPr>
          <w:rFonts w:ascii="Arial" w:hAnsi="Arial" w:cs="Arial"/>
        </w:rPr>
        <w:t>(Martin</w:t>
      </w:r>
      <w:r>
        <w:rPr>
          <w:rFonts w:ascii="Arial" w:hAnsi="Arial" w:cs="Arial"/>
          <w:spacing w:val="7"/>
        </w:rPr>
        <w:t xml:space="preserve"> </w:t>
      </w:r>
      <w:r>
        <w:rPr>
          <w:rFonts w:ascii="Arial" w:hAnsi="Arial" w:cs="Arial"/>
          <w:i/>
          <w:iCs/>
        </w:rPr>
        <w:t>et al</w:t>
      </w:r>
      <w:r>
        <w:rPr>
          <w:rFonts w:ascii="Arial" w:hAnsi="Arial" w:cs="Arial"/>
          <w:i/>
        </w:rPr>
        <w:t>.,</w:t>
      </w:r>
      <w:r>
        <w:rPr>
          <w:rFonts w:ascii="Arial" w:hAnsi="Arial" w:cs="Arial"/>
          <w:i/>
          <w:spacing w:val="2"/>
        </w:rPr>
        <w:t xml:space="preserve"> </w:t>
      </w:r>
      <w:r>
        <w:rPr>
          <w:rFonts w:ascii="Arial" w:hAnsi="Arial" w:cs="Arial"/>
        </w:rPr>
        <w:t>2023). Additionally, SMS also has the potential to supplement the nutritional demand of the crop and protection from pest and diseases.</w:t>
      </w:r>
      <w:r>
        <w:rPr>
          <w:rFonts w:ascii="Arial" w:eastAsia="Google Sans Text" w:hAnsi="Arial" w:cs="Arial"/>
          <w:color w:val="1B1C1D"/>
        </w:rPr>
        <w:t xml:space="preserve"> SMS mainly aids in plant growth and development by directly providing essential nutrients. It functions as a slow-release fertilizer, which, gradually releases the macronutrients like nitrogen, phosphorus, and potassium, as well as vital micronutrients, making them available to plants over an extended period. This slow-release mechanism is advantageous as it minimizes nutrient loss through leaching and ensures a persistent supply of nutrients throughout the growth period. (</w:t>
      </w:r>
      <w:proofErr w:type="spellStart"/>
      <w:r>
        <w:rPr>
          <w:rFonts w:ascii="Arial" w:eastAsia="Google Sans Text" w:hAnsi="Arial" w:cs="Arial"/>
          <w:color w:val="1B1C1D"/>
        </w:rPr>
        <w:t>Ravlikovsky</w:t>
      </w:r>
      <w:proofErr w:type="spellEnd"/>
      <w:r>
        <w:rPr>
          <w:rFonts w:ascii="Arial" w:eastAsia="Google Sans Text" w:hAnsi="Arial" w:cs="Arial"/>
          <w:color w:val="1B1C1D"/>
        </w:rPr>
        <w:t xml:space="preserve"> </w:t>
      </w:r>
      <w:r>
        <w:rPr>
          <w:rFonts w:ascii="Arial" w:eastAsia="Google Sans Text" w:hAnsi="Arial" w:cs="Arial"/>
          <w:i/>
          <w:iCs/>
          <w:color w:val="1B1C1D"/>
        </w:rPr>
        <w:t>et al.,</w:t>
      </w:r>
      <w:r>
        <w:rPr>
          <w:rFonts w:ascii="Arial" w:eastAsia="Google Sans Text" w:hAnsi="Arial" w:cs="Arial"/>
          <w:color w:val="1B1C1D"/>
        </w:rPr>
        <w:t xml:space="preserve"> 2024)</w:t>
      </w:r>
      <w:r>
        <w:rPr>
          <w:rFonts w:ascii="Arial" w:eastAsia="Google Sans Text" w:hAnsi="Arial" w:cs="Arial"/>
          <w:color w:val="575B5F"/>
          <w:vertAlign w:val="superscript"/>
        </w:rPr>
        <w:t xml:space="preserve"> </w:t>
      </w:r>
    </w:p>
    <w:p>
      <w:pPr>
        <w:pBdr>
          <w:top w:val="nil"/>
          <w:left w:val="nil"/>
          <w:bottom w:val="nil"/>
          <w:right w:val="nil"/>
          <w:between w:val="nil"/>
        </w:pBdr>
        <w:spacing w:line="360" w:lineRule="auto"/>
        <w:ind w:firstLine="720"/>
        <w:jc w:val="both"/>
        <w:rPr>
          <w:rFonts w:ascii="Arial" w:hAnsi="Arial" w:cs="Arial"/>
          <w:iCs/>
        </w:rPr>
      </w:pPr>
      <w:r>
        <w:rPr>
          <w:rFonts w:ascii="Arial" w:hAnsi="Arial" w:cs="Arial"/>
        </w:rPr>
        <w:t xml:space="preserve">The physical, chemical and biological properties of SMS have shown beyond doubt about their ability to suppress plant disease causing pathogens (Ahlawat </w:t>
      </w:r>
      <w:r>
        <w:rPr>
          <w:rFonts w:ascii="Arial" w:hAnsi="Arial" w:cs="Arial"/>
          <w:i/>
          <w:iCs/>
        </w:rPr>
        <w:t>et al</w:t>
      </w:r>
      <w:r>
        <w:rPr>
          <w:rFonts w:ascii="Arial" w:hAnsi="Arial" w:cs="Arial"/>
          <w:i/>
        </w:rPr>
        <w:t xml:space="preserve">., </w:t>
      </w:r>
      <w:r>
        <w:rPr>
          <w:rFonts w:ascii="Arial" w:hAnsi="Arial" w:cs="Arial"/>
        </w:rPr>
        <w:t xml:space="preserve">2022). SMS </w:t>
      </w:r>
      <w:proofErr w:type="spellStart"/>
      <w:r>
        <w:rPr>
          <w:rFonts w:ascii="Arial" w:hAnsi="Arial" w:cs="Arial"/>
        </w:rPr>
        <w:t>harbours</w:t>
      </w:r>
      <w:proofErr w:type="spellEnd"/>
      <w:r>
        <w:rPr>
          <w:rFonts w:ascii="Arial" w:hAnsi="Arial" w:cs="Arial"/>
        </w:rPr>
        <w:t xml:space="preserve"> a variety of microorganisms which has the antagonistic properties against many plant pathogens, revealing their antifungal, antibacterial and antiviral properties (Bushra </w:t>
      </w:r>
      <w:r>
        <w:rPr>
          <w:rFonts w:ascii="Arial" w:hAnsi="Arial" w:cs="Arial"/>
          <w:i/>
          <w:iCs/>
        </w:rPr>
        <w:t>et al</w:t>
      </w:r>
      <w:r>
        <w:rPr>
          <w:rFonts w:ascii="Arial" w:hAnsi="Arial" w:cs="Arial"/>
        </w:rPr>
        <w:t xml:space="preserve">. 2018). </w:t>
      </w:r>
      <w:r>
        <w:rPr>
          <w:rFonts w:ascii="Arial" w:hAnsi="Arial" w:cs="Arial"/>
        </w:rPr>
        <w:lastRenderedPageBreak/>
        <w:t>Similarly, a wide array of bioactive compounds has been identified in SMS, originating from residual fungal metabolites, breakdown products of lignocellulosic substrates, and secondary metabolites produced during the mushroom growth cycle.</w:t>
      </w:r>
      <w:r>
        <w:rPr>
          <w:rFonts w:ascii="Arial" w:eastAsia="Google Sans Text" w:hAnsi="Arial" w:cs="Arial"/>
        </w:rPr>
        <w:t xml:space="preserve"> </w:t>
      </w:r>
      <w:r>
        <w:rPr>
          <w:rFonts w:ascii="Arial" w:eastAsia="Google Sans Text" w:hAnsi="Arial" w:cs="Arial"/>
          <w:color w:val="1B1C1D"/>
        </w:rPr>
        <w:t xml:space="preserve">(Martin </w:t>
      </w:r>
      <w:r>
        <w:rPr>
          <w:rFonts w:ascii="Arial" w:eastAsia="Google Sans Text" w:hAnsi="Arial" w:cs="Arial"/>
          <w:i/>
          <w:iCs/>
          <w:color w:val="1B1C1D"/>
        </w:rPr>
        <w:t>et al.</w:t>
      </w:r>
      <w:r>
        <w:rPr>
          <w:rFonts w:ascii="Arial" w:eastAsia="Google Sans Text" w:hAnsi="Arial" w:cs="Arial"/>
          <w:color w:val="1B1C1D"/>
        </w:rPr>
        <w:t>, 2023).</w:t>
      </w:r>
      <w:r>
        <w:rPr>
          <w:rFonts w:ascii="Arial" w:eastAsia="Google Sans Text" w:hAnsi="Arial" w:cs="Arial"/>
          <w:color w:val="1B1C1D"/>
          <w:sz w:val="24"/>
          <w:szCs w:val="24"/>
        </w:rPr>
        <w:t xml:space="preserve"> </w:t>
      </w:r>
      <w:r>
        <w:rPr>
          <w:rFonts w:ascii="Arial" w:eastAsia="Google Sans Text" w:hAnsi="Arial" w:cs="Arial"/>
          <w:color w:val="1B1C1D"/>
        </w:rPr>
        <w:t>Numerous microorganisms having antagonistic potential against plant pathogens</w:t>
      </w:r>
      <w:r>
        <w:rPr>
          <w:rFonts w:ascii="Arial" w:hAnsi="Arial" w:cs="Arial"/>
        </w:rPr>
        <w:t xml:space="preserve"> have been isolated from SMS of oyster mushrooms such as </w:t>
      </w:r>
      <w:r>
        <w:rPr>
          <w:rFonts w:ascii="Arial" w:hAnsi="Arial" w:cs="Arial"/>
          <w:i/>
          <w:iCs/>
        </w:rPr>
        <w:t>Trichoderma hamatum</w:t>
      </w:r>
      <w:r>
        <w:rPr>
          <w:rFonts w:ascii="Arial" w:hAnsi="Arial" w:cs="Arial"/>
        </w:rPr>
        <w:t xml:space="preserve"> and </w:t>
      </w:r>
      <w:r>
        <w:rPr>
          <w:rFonts w:ascii="Arial" w:hAnsi="Arial" w:cs="Arial"/>
          <w:i/>
          <w:iCs/>
        </w:rPr>
        <w:t>Bacillus subtilis</w:t>
      </w:r>
      <w:r>
        <w:rPr>
          <w:rFonts w:ascii="Arial" w:hAnsi="Arial" w:cs="Arial"/>
        </w:rPr>
        <w:t xml:space="preserve">, exhibiting antagonism against </w:t>
      </w:r>
      <w:r>
        <w:rPr>
          <w:rFonts w:ascii="Arial" w:hAnsi="Arial" w:cs="Arial"/>
          <w:i/>
          <w:iCs/>
        </w:rPr>
        <w:t xml:space="preserve">Phytophthora </w:t>
      </w:r>
      <w:proofErr w:type="spellStart"/>
      <w:r>
        <w:rPr>
          <w:rFonts w:ascii="Arial" w:hAnsi="Arial" w:cs="Arial"/>
          <w:i/>
          <w:iCs/>
        </w:rPr>
        <w:t>capsici</w:t>
      </w:r>
      <w:proofErr w:type="spellEnd"/>
      <w:r>
        <w:rPr>
          <w:rFonts w:ascii="Arial" w:hAnsi="Arial" w:cs="Arial"/>
        </w:rPr>
        <w:t xml:space="preserve"> (</w:t>
      </w:r>
      <w:proofErr w:type="spellStart"/>
      <w:r>
        <w:rPr>
          <w:rFonts w:ascii="Arial" w:hAnsi="Arial" w:cs="Arial"/>
        </w:rPr>
        <w:t>Roshna</w:t>
      </w:r>
      <w:proofErr w:type="spellEnd"/>
      <w:r>
        <w:rPr>
          <w:rFonts w:ascii="Arial" w:hAnsi="Arial" w:cs="Arial"/>
        </w:rPr>
        <w:t xml:space="preserve">, 2013) </w:t>
      </w:r>
    </w:p>
    <w:p>
      <w:pPr>
        <w:pBdr>
          <w:top w:val="nil"/>
          <w:left w:val="nil"/>
          <w:bottom w:val="nil"/>
          <w:right w:val="nil"/>
          <w:between w:val="nil"/>
        </w:pBdr>
        <w:spacing w:line="360" w:lineRule="auto"/>
        <w:ind w:firstLine="720"/>
        <w:jc w:val="both"/>
        <w:rPr>
          <w:rFonts w:ascii="Arial" w:eastAsia="Google Sans Text" w:hAnsi="Arial" w:cs="Arial"/>
          <w:color w:val="575B5F"/>
          <w:vertAlign w:val="superscript"/>
        </w:rPr>
      </w:pPr>
      <w:r>
        <w:rPr>
          <w:rFonts w:ascii="Arial" w:hAnsi="Arial" w:cs="Arial"/>
        </w:rPr>
        <w:t xml:space="preserve">The bacterial population dominated over the fungal population in the enumeration of SMS from </w:t>
      </w:r>
      <w:r>
        <w:rPr>
          <w:rFonts w:ascii="Arial" w:hAnsi="Arial" w:cs="Arial"/>
          <w:i/>
          <w:iCs/>
        </w:rPr>
        <w:t>P. ostreatus</w:t>
      </w:r>
      <w:r>
        <w:rPr>
          <w:rFonts w:ascii="Arial" w:hAnsi="Arial" w:cs="Arial"/>
        </w:rPr>
        <w:t xml:space="preserve">. These microbial population were found to be antagonistic to plant pathogens, which support the notion that bioagents from SMS can potentially act as growth enhancers and in disease management (Bushra </w:t>
      </w:r>
      <w:r>
        <w:rPr>
          <w:rFonts w:ascii="Arial" w:hAnsi="Arial" w:cs="Arial"/>
          <w:i/>
          <w:iCs/>
        </w:rPr>
        <w:t>et al</w:t>
      </w:r>
      <w:r>
        <w:rPr>
          <w:rFonts w:ascii="Arial" w:hAnsi="Arial" w:cs="Arial"/>
        </w:rPr>
        <w:t>., 2018).</w:t>
      </w:r>
      <w:r>
        <w:rPr>
          <w:rFonts w:ascii="Arial" w:eastAsia="Google Sans Text" w:hAnsi="Arial" w:cs="Arial"/>
          <w:color w:val="575B5F"/>
          <w:vertAlign w:val="superscript"/>
        </w:rPr>
        <w:t xml:space="preserve"> </w:t>
      </w:r>
      <w:r>
        <w:rPr>
          <w:rFonts w:ascii="Arial" w:hAnsi="Arial" w:cs="Arial"/>
        </w:rPr>
        <w:t xml:space="preserve">The primary objective of this study was to conduct a detailed chemical analysis of the macro and micronutrient status of SMS from </w:t>
      </w:r>
      <w:r>
        <w:rPr>
          <w:rFonts w:ascii="Arial" w:hAnsi="Arial" w:cs="Arial"/>
          <w:i/>
          <w:iCs/>
        </w:rPr>
        <w:t>Pleurotus</w:t>
      </w:r>
      <w:r>
        <w:rPr>
          <w:rFonts w:ascii="Arial" w:hAnsi="Arial" w:cs="Arial"/>
        </w:rPr>
        <w:t xml:space="preserve"> spp. Also, the secondary objective is to interpret these findings in the context of their agricultural implications and to propose a framework for the tailored valorization of SMS based on its specific nutrient profile. This approach aims to provide a data-driven basis for its most effective and sustainable use.</w:t>
      </w:r>
    </w:p>
    <w:p>
      <w:pPr>
        <w:pStyle w:val="Body"/>
        <w:spacing w:after="0" w:line="276" w:lineRule="auto"/>
        <w:rPr>
          <w:rFonts w:ascii="Arial" w:hAnsi="Arial" w:cs="Arial"/>
          <w:sz w:val="22"/>
          <w:szCs w:val="22"/>
        </w:rPr>
      </w:pPr>
    </w:p>
    <w:p>
      <w:pPr>
        <w:pStyle w:val="AbstHead"/>
        <w:spacing w:after="0" w:line="276" w:lineRule="auto"/>
        <w:jc w:val="both"/>
        <w:rPr>
          <w:rFonts w:ascii="Arial" w:hAnsi="Arial" w:cs="Arial"/>
          <w:szCs w:val="22"/>
        </w:rPr>
      </w:pPr>
      <w:r>
        <w:rPr>
          <w:rFonts w:ascii="Arial" w:hAnsi="Arial" w:cs="Arial"/>
          <w:szCs w:val="22"/>
        </w:rPr>
        <w:t xml:space="preserve">2. material and methods </w:t>
      </w:r>
    </w:p>
    <w:p>
      <w:pPr>
        <w:spacing w:line="360" w:lineRule="auto"/>
        <w:jc w:val="both"/>
        <w:rPr>
          <w:rFonts w:ascii="Arial" w:hAnsi="Arial" w:cs="Arial"/>
          <w:b/>
          <w:bCs/>
        </w:rPr>
      </w:pPr>
    </w:p>
    <w:p>
      <w:pPr>
        <w:spacing w:line="360" w:lineRule="auto"/>
        <w:jc w:val="both"/>
        <w:rPr>
          <w:rFonts w:ascii="Arial" w:hAnsi="Arial" w:cs="Arial"/>
          <w:b/>
          <w:bCs/>
        </w:rPr>
      </w:pPr>
      <w:r>
        <w:rPr>
          <w:rFonts w:ascii="Arial" w:hAnsi="Arial" w:cs="Arial"/>
          <w:b/>
          <w:bCs/>
        </w:rPr>
        <w:t>2.1 Bed preparation and harvest of SMS</w:t>
      </w:r>
    </w:p>
    <w:p>
      <w:pPr>
        <w:spacing w:line="360" w:lineRule="auto"/>
        <w:jc w:val="both"/>
        <w:rPr>
          <w:rFonts w:ascii="Arial" w:hAnsi="Arial" w:cs="Arial"/>
        </w:rPr>
      </w:pPr>
      <w:r>
        <w:rPr>
          <w:rFonts w:ascii="Arial" w:hAnsi="Arial" w:cs="Arial"/>
        </w:rPr>
        <w:tab/>
        <w:t xml:space="preserve">Beds of   oyster mushrooms </w:t>
      </w:r>
      <w:r>
        <w:rPr>
          <w:rFonts w:ascii="Arial" w:hAnsi="Arial" w:cs="Arial"/>
          <w:i/>
          <w:iCs/>
        </w:rPr>
        <w:t>viz</w:t>
      </w:r>
      <w:r>
        <w:rPr>
          <w:rFonts w:ascii="Arial" w:hAnsi="Arial" w:cs="Arial"/>
        </w:rPr>
        <w:t xml:space="preserve">. </w:t>
      </w:r>
      <w:proofErr w:type="spellStart"/>
      <w:r>
        <w:rPr>
          <w:rFonts w:ascii="Arial" w:hAnsi="Arial" w:cs="Arial"/>
          <w:i/>
          <w:iCs/>
        </w:rPr>
        <w:t>Pleurotus</w:t>
      </w:r>
      <w:proofErr w:type="spellEnd"/>
      <w:r>
        <w:rPr>
          <w:rFonts w:ascii="Arial" w:hAnsi="Arial" w:cs="Arial"/>
          <w:i/>
          <w:iCs/>
        </w:rPr>
        <w:t xml:space="preserve"> </w:t>
      </w:r>
      <w:proofErr w:type="spellStart"/>
      <w:r>
        <w:rPr>
          <w:rFonts w:ascii="Arial" w:hAnsi="Arial" w:cs="Arial"/>
          <w:i/>
          <w:iCs/>
        </w:rPr>
        <w:t>florida</w:t>
      </w:r>
      <w:proofErr w:type="spellEnd"/>
      <w:r>
        <w:rPr>
          <w:rFonts w:ascii="Arial" w:hAnsi="Arial" w:cs="Arial"/>
        </w:rPr>
        <w:t xml:space="preserve">, </w:t>
      </w:r>
      <w:r>
        <w:rPr>
          <w:rFonts w:ascii="Arial" w:hAnsi="Arial" w:cs="Arial"/>
          <w:i/>
          <w:iCs/>
        </w:rPr>
        <w:t>P. ostreatus</w:t>
      </w:r>
      <w:r>
        <w:rPr>
          <w:rFonts w:ascii="Arial" w:hAnsi="Arial" w:cs="Arial"/>
        </w:rPr>
        <w:t xml:space="preserve"> and </w:t>
      </w:r>
      <w:r>
        <w:rPr>
          <w:rFonts w:ascii="Arial" w:hAnsi="Arial" w:cs="Arial"/>
          <w:i/>
          <w:iCs/>
        </w:rPr>
        <w:t xml:space="preserve">P. </w:t>
      </w:r>
      <w:proofErr w:type="spellStart"/>
      <w:r>
        <w:rPr>
          <w:rFonts w:ascii="Arial" w:hAnsi="Arial" w:cs="Arial"/>
          <w:i/>
          <w:iCs/>
        </w:rPr>
        <w:t>sajor-caju</w:t>
      </w:r>
      <w:proofErr w:type="spellEnd"/>
      <w:r>
        <w:rPr>
          <w:rFonts w:ascii="Arial" w:hAnsi="Arial" w:cs="Arial"/>
        </w:rPr>
        <w:t xml:space="preserve"> were prepared during November-December as per the procedure given by</w:t>
      </w:r>
      <w:r>
        <w:rPr>
          <w:rFonts w:ascii="Arial" w:hAnsi="Arial" w:cs="Arial"/>
          <w:sz w:val="24"/>
          <w:szCs w:val="24"/>
        </w:rPr>
        <w:t xml:space="preserve"> </w:t>
      </w:r>
      <w:r>
        <w:rPr>
          <w:rFonts w:ascii="Arial" w:hAnsi="Arial" w:cs="Arial"/>
        </w:rPr>
        <w:t xml:space="preserve">Bhaskaran </w:t>
      </w:r>
      <w:r>
        <w:rPr>
          <w:rFonts w:ascii="Arial" w:hAnsi="Arial" w:cs="Arial"/>
          <w:i/>
          <w:iCs/>
        </w:rPr>
        <w:t>et al</w:t>
      </w:r>
      <w:r>
        <w:rPr>
          <w:rFonts w:ascii="Arial" w:hAnsi="Arial" w:cs="Arial"/>
        </w:rPr>
        <w:t xml:space="preserve">. (1987). The beds were kept under dark conditions for two weeks for spawn run and later transferred to cropping rooms. The mushrooms beds were maintained in cropping room about 45 days and until three consecutive harvests were taken from the beds. After three harvests of mushroom the SMS generated was taken, dried and powdered for further nutrient analysis. Nutrient analysis of 4 different samples was done and designated as T1 (SMS of </w:t>
      </w:r>
      <w:r>
        <w:rPr>
          <w:rFonts w:ascii="Arial" w:hAnsi="Arial" w:cs="Arial"/>
          <w:i/>
          <w:iCs/>
        </w:rPr>
        <w:t xml:space="preserve">P. </w:t>
      </w:r>
      <w:proofErr w:type="spellStart"/>
      <w:r>
        <w:rPr>
          <w:rFonts w:ascii="Arial" w:hAnsi="Arial" w:cs="Arial"/>
          <w:i/>
          <w:iCs/>
        </w:rPr>
        <w:t>florida</w:t>
      </w:r>
      <w:proofErr w:type="spellEnd"/>
      <w:r>
        <w:rPr>
          <w:rFonts w:ascii="Arial" w:hAnsi="Arial" w:cs="Arial"/>
        </w:rPr>
        <w:t xml:space="preserve">), T2 (SMS of </w:t>
      </w:r>
      <w:r>
        <w:rPr>
          <w:rFonts w:ascii="Arial" w:hAnsi="Arial" w:cs="Arial"/>
          <w:i/>
          <w:iCs/>
        </w:rPr>
        <w:t>P. ostreatus</w:t>
      </w:r>
      <w:r>
        <w:rPr>
          <w:rFonts w:ascii="Arial" w:hAnsi="Arial" w:cs="Arial"/>
        </w:rPr>
        <w:t xml:space="preserve">), T3 (SMS of </w:t>
      </w:r>
      <w:r>
        <w:rPr>
          <w:rFonts w:ascii="Arial" w:hAnsi="Arial" w:cs="Arial"/>
          <w:i/>
          <w:iCs/>
        </w:rPr>
        <w:t xml:space="preserve">P. </w:t>
      </w:r>
      <w:proofErr w:type="spellStart"/>
      <w:r>
        <w:rPr>
          <w:rFonts w:ascii="Arial" w:hAnsi="Arial" w:cs="Arial"/>
          <w:i/>
          <w:iCs/>
        </w:rPr>
        <w:t>sajor-caju</w:t>
      </w:r>
      <w:proofErr w:type="spellEnd"/>
      <w:r>
        <w:rPr>
          <w:rFonts w:ascii="Arial" w:hAnsi="Arial" w:cs="Arial"/>
        </w:rPr>
        <w:t xml:space="preserve">) and T4 representing paddy straw (control).   </w:t>
      </w:r>
    </w:p>
    <w:p>
      <w:pPr>
        <w:spacing w:line="360" w:lineRule="auto"/>
        <w:jc w:val="both"/>
        <w:rPr>
          <w:rFonts w:ascii="Arial" w:hAnsi="Arial" w:cs="Arial"/>
          <w:color w:val="000000"/>
        </w:rPr>
      </w:pPr>
      <w:r>
        <w:rPr>
          <w:rFonts w:ascii="Arial" w:hAnsi="Arial" w:cs="Arial"/>
        </w:rPr>
        <w:t xml:space="preserve">The SMS was extracted in sterile water. </w:t>
      </w:r>
      <w:r>
        <w:rPr>
          <w:rFonts w:ascii="Arial" w:hAnsi="Arial" w:cs="Arial"/>
          <w:color w:val="000000"/>
        </w:rPr>
        <w:t xml:space="preserve">Hundred grams of the powdered SMS was mixed with 300 ml of sterile distilled water and shaken for two hours at 150 rpm in a shaker cum incubator. The mixture was then filtered using </w:t>
      </w:r>
      <w:proofErr w:type="spellStart"/>
      <w:r>
        <w:rPr>
          <w:rFonts w:ascii="Arial" w:hAnsi="Arial" w:cs="Arial"/>
          <w:color w:val="000000"/>
        </w:rPr>
        <w:t>Whatmann</w:t>
      </w:r>
      <w:proofErr w:type="spellEnd"/>
      <w:r>
        <w:rPr>
          <w:rFonts w:ascii="Arial" w:hAnsi="Arial" w:cs="Arial"/>
          <w:color w:val="000000"/>
        </w:rPr>
        <w:t xml:space="preserve"> No. 2 filter paper. The filtrate was centrifuged at 10000 rpm for 10 to 15 minutes and the supernatant obtained was used as the water extract of SMS. (Kwak </w:t>
      </w:r>
      <w:r>
        <w:rPr>
          <w:rFonts w:ascii="Arial" w:hAnsi="Arial" w:cs="Arial"/>
          <w:i/>
          <w:iCs/>
          <w:color w:val="000000"/>
        </w:rPr>
        <w:t>et al</w:t>
      </w:r>
      <w:r>
        <w:rPr>
          <w:rFonts w:ascii="Arial" w:hAnsi="Arial" w:cs="Arial"/>
          <w:color w:val="000000"/>
        </w:rPr>
        <w:t xml:space="preserve">., 2015) </w:t>
      </w:r>
    </w:p>
    <w:p>
      <w:pPr>
        <w:spacing w:line="360" w:lineRule="auto"/>
        <w:jc w:val="both"/>
        <w:rPr>
          <w:rFonts w:ascii="Arial" w:hAnsi="Arial" w:cs="Arial"/>
          <w:b/>
          <w:bCs/>
        </w:rPr>
      </w:pPr>
      <w:r>
        <w:rPr>
          <w:rFonts w:ascii="Arial" w:hAnsi="Arial" w:cs="Arial"/>
          <w:b/>
          <w:bCs/>
        </w:rPr>
        <w:t>2.2 Estimation of the nutrient status of SMS</w:t>
      </w:r>
    </w:p>
    <w:p>
      <w:pPr>
        <w:spacing w:line="360" w:lineRule="auto"/>
        <w:jc w:val="both"/>
        <w:rPr>
          <w:rFonts w:ascii="Arial" w:hAnsi="Arial" w:cs="Arial"/>
          <w:b/>
          <w:bCs/>
        </w:rPr>
      </w:pPr>
      <w:r>
        <w:rPr>
          <w:rFonts w:ascii="Arial" w:hAnsi="Arial" w:cs="Arial"/>
          <w:b/>
          <w:bCs/>
        </w:rPr>
        <w:t>2.2.1. Macronutrient Analysis</w:t>
      </w:r>
    </w:p>
    <w:p>
      <w:pPr>
        <w:spacing w:line="360" w:lineRule="auto"/>
        <w:jc w:val="both"/>
        <w:rPr>
          <w:rFonts w:ascii="Arial" w:hAnsi="Arial" w:cs="Arial"/>
        </w:rPr>
      </w:pPr>
      <w:r>
        <w:rPr>
          <w:rFonts w:ascii="Arial" w:hAnsi="Arial" w:cs="Arial"/>
        </w:rPr>
        <w:tab/>
        <w:t xml:space="preserve">Nitrogen in the SMS as well as the raw paddy straw was estimated by the Micro Kjeldahl digestion and distillation method given by Jackson (1973). Nitrogen was converted to </w:t>
      </w:r>
      <w:r>
        <w:rPr>
          <w:rFonts w:ascii="Arial" w:hAnsi="Arial" w:cs="Arial"/>
        </w:rPr>
        <w:lastRenderedPageBreak/>
        <w:t xml:space="preserve">ammonium sulphate by digestion with </w:t>
      </w:r>
      <w:proofErr w:type="spellStart"/>
      <w:r>
        <w:rPr>
          <w:rFonts w:ascii="Arial" w:hAnsi="Arial" w:cs="Arial"/>
        </w:rPr>
        <w:t>sulphuric</w:t>
      </w:r>
      <w:proofErr w:type="spellEnd"/>
      <w:r>
        <w:rPr>
          <w:rFonts w:ascii="Arial" w:hAnsi="Arial" w:cs="Arial"/>
        </w:rPr>
        <w:t xml:space="preserve"> acid. Air dried, finely powdered SMS sample (0.5 g) was taken into a 100 mL conical flask, 10 mL conc. H</w:t>
      </w:r>
      <w:r>
        <w:rPr>
          <w:rFonts w:ascii="Arial" w:hAnsi="Arial" w:cs="Arial"/>
          <w:vertAlign w:val="subscript"/>
        </w:rPr>
        <w:t>2</w:t>
      </w:r>
      <w:r>
        <w:rPr>
          <w:rFonts w:ascii="Arial" w:hAnsi="Arial" w:cs="Arial"/>
        </w:rPr>
        <w:t>SO</w:t>
      </w:r>
      <w:r>
        <w:rPr>
          <w:rFonts w:ascii="Arial" w:hAnsi="Arial" w:cs="Arial"/>
          <w:vertAlign w:val="subscript"/>
        </w:rPr>
        <w:t xml:space="preserve">4 </w:t>
      </w:r>
      <w:r>
        <w:rPr>
          <w:rFonts w:ascii="Arial" w:hAnsi="Arial" w:cs="Arial"/>
        </w:rPr>
        <w:t>and 1 g catalyst mixture (100:10:1 ratio of Na</w:t>
      </w:r>
      <w:r>
        <w:rPr>
          <w:rFonts w:ascii="Arial" w:hAnsi="Arial" w:cs="Arial"/>
          <w:vertAlign w:val="subscript"/>
        </w:rPr>
        <w:t>2</w:t>
      </w:r>
      <w:r>
        <w:rPr>
          <w:rFonts w:ascii="Arial" w:hAnsi="Arial" w:cs="Arial"/>
        </w:rPr>
        <w:t>SO</w:t>
      </w:r>
      <w:r>
        <w:rPr>
          <w:rFonts w:ascii="Arial" w:hAnsi="Arial" w:cs="Arial"/>
          <w:vertAlign w:val="subscript"/>
        </w:rPr>
        <w:t>4</w:t>
      </w:r>
      <w:r>
        <w:rPr>
          <w:rFonts w:ascii="Arial" w:hAnsi="Arial" w:cs="Arial"/>
        </w:rPr>
        <w:t>, CuSO</w:t>
      </w:r>
      <w:r>
        <w:rPr>
          <w:rFonts w:ascii="Arial" w:hAnsi="Arial" w:cs="Arial"/>
          <w:vertAlign w:val="subscript"/>
        </w:rPr>
        <w:t>4</w:t>
      </w:r>
      <w:r>
        <w:rPr>
          <w:rFonts w:ascii="Arial" w:hAnsi="Arial" w:cs="Arial"/>
        </w:rPr>
        <w:t xml:space="preserve"> and Selenium powder) were added. The sample digestion was carried out in a digestion chamber with constant heating until the sample was charred and the content in the flask turned clear. After cooling, the volume of the digest was made </w:t>
      </w:r>
      <w:proofErr w:type="spellStart"/>
      <w:r>
        <w:rPr>
          <w:rFonts w:ascii="Arial" w:hAnsi="Arial" w:cs="Arial"/>
        </w:rPr>
        <w:t>upto</w:t>
      </w:r>
      <w:proofErr w:type="spellEnd"/>
      <w:r>
        <w:rPr>
          <w:rFonts w:ascii="Arial" w:hAnsi="Arial" w:cs="Arial"/>
        </w:rPr>
        <w:t xml:space="preserve"> to 100 mL in a volumetric flask. 10 mL of the made-up digest was pipetted out to a micro </w:t>
      </w:r>
      <w:proofErr w:type="spellStart"/>
      <w:r>
        <w:rPr>
          <w:rFonts w:ascii="Arial" w:hAnsi="Arial" w:cs="Arial"/>
        </w:rPr>
        <w:t>Kjeldhal</w:t>
      </w:r>
      <w:proofErr w:type="spellEnd"/>
      <w:r>
        <w:rPr>
          <w:rFonts w:ascii="Arial" w:hAnsi="Arial" w:cs="Arial"/>
        </w:rPr>
        <w:t xml:space="preserve"> assembly and 10 mL 40 per cent NaOH solution was added and distilled until the production of ammonia ceased. The released ammonia was trapped in 4 per cent solution of boric acid containing mixed indicator. With a standard acid, the mixture was back titrated, till the vine red </w:t>
      </w:r>
      <w:proofErr w:type="spellStart"/>
      <w:r>
        <w:rPr>
          <w:rFonts w:ascii="Arial" w:hAnsi="Arial" w:cs="Arial"/>
        </w:rPr>
        <w:t>colour</w:t>
      </w:r>
      <w:proofErr w:type="spellEnd"/>
      <w:r>
        <w:rPr>
          <w:rFonts w:ascii="Arial" w:hAnsi="Arial" w:cs="Arial"/>
        </w:rPr>
        <w:t xml:space="preserve"> retained.</w:t>
      </w:r>
    </w:p>
    <w:p>
      <w:pPr>
        <w:spacing w:line="360" w:lineRule="auto"/>
        <w:ind w:firstLine="720"/>
        <w:jc w:val="both"/>
        <w:rPr>
          <w:rFonts w:ascii="Arial" w:hAnsi="Arial" w:cs="Arial"/>
        </w:rPr>
      </w:pPr>
      <w:r>
        <w:rPr>
          <w:rFonts w:ascii="Arial" w:hAnsi="Arial" w:cs="Arial"/>
        </w:rPr>
        <w:t>Di-acid digestion was carried out for the estimation of P, K, Ca, Mg, S. One gram of the ground SMS was taken in a 100mL conical flask and 10mL of acid mixture (9: 4 mixture of HNO</w:t>
      </w:r>
      <w:r>
        <w:rPr>
          <w:rFonts w:ascii="Arial" w:hAnsi="Arial" w:cs="Arial"/>
          <w:vertAlign w:val="subscript"/>
        </w:rPr>
        <w:t>3</w:t>
      </w:r>
      <w:r>
        <w:rPr>
          <w:rFonts w:ascii="Arial" w:hAnsi="Arial" w:cs="Arial"/>
        </w:rPr>
        <w:t xml:space="preserve"> and HClO</w:t>
      </w:r>
      <w:r>
        <w:rPr>
          <w:rFonts w:ascii="Arial" w:hAnsi="Arial" w:cs="Arial"/>
          <w:vertAlign w:val="subscript"/>
        </w:rPr>
        <w:t>4</w:t>
      </w:r>
      <w:r>
        <w:rPr>
          <w:rFonts w:ascii="Arial" w:hAnsi="Arial" w:cs="Arial"/>
        </w:rPr>
        <w:t>) was added and swirled well. The flask was placed on the hot plate at low heat in the digestion chamber and heated at high temperature until the production of red fumes ceased</w:t>
      </w:r>
      <w:r>
        <w:rPr>
          <w:rFonts w:ascii="Arial" w:hAnsi="Arial" w:cs="Arial"/>
        </w:rPr>
        <w:tab/>
        <w:t xml:space="preserve">. The contents were further evaporated until the volume was reduced to about 3– 5mL. The completion of digestion was confirmed by the formation of the </w:t>
      </w:r>
      <w:proofErr w:type="spellStart"/>
      <w:r>
        <w:rPr>
          <w:rFonts w:ascii="Arial" w:hAnsi="Arial" w:cs="Arial"/>
        </w:rPr>
        <w:t>colourless</w:t>
      </w:r>
      <w:proofErr w:type="spellEnd"/>
      <w:r>
        <w:rPr>
          <w:rFonts w:ascii="Arial" w:hAnsi="Arial" w:cs="Arial"/>
        </w:rPr>
        <w:t xml:space="preserve"> liquid. After cooling contents, 20mL distilled water was added made up to 100mL in a volumetric flask The solution was then filtered and aliquots were taken for estimation of P, K, Ca, Mg, and S.</w:t>
      </w:r>
    </w:p>
    <w:p>
      <w:pPr>
        <w:spacing w:line="360" w:lineRule="auto"/>
        <w:jc w:val="both"/>
        <w:rPr>
          <w:rFonts w:ascii="Arial" w:hAnsi="Arial" w:cs="Arial"/>
        </w:rPr>
      </w:pPr>
      <w:r>
        <w:rPr>
          <w:rFonts w:ascii="Arial" w:hAnsi="Arial" w:cs="Arial"/>
        </w:rPr>
        <w:t xml:space="preserve">Phosphorus levels were estimated calorimetrically following the method described by Jackson (1973). For the analysis, a 5 mL aliquot of the digested material was pipetted into a 50 mL volumetric flask, and 10 mL of the </w:t>
      </w:r>
      <w:proofErr w:type="spellStart"/>
      <w:r>
        <w:rPr>
          <w:rFonts w:ascii="Arial" w:hAnsi="Arial" w:cs="Arial"/>
        </w:rPr>
        <w:t>vanado</w:t>
      </w:r>
      <w:proofErr w:type="spellEnd"/>
      <w:r>
        <w:rPr>
          <w:rFonts w:ascii="Arial" w:hAnsi="Arial" w:cs="Arial"/>
        </w:rPr>
        <w:t xml:space="preserve"> molybdate (Barton's) reagent was added. After thorough mixing, the mixture was kept for 10 minutes for full color development. The intensity of yellow </w:t>
      </w:r>
      <w:proofErr w:type="spellStart"/>
      <w:r>
        <w:rPr>
          <w:rFonts w:ascii="Arial" w:hAnsi="Arial" w:cs="Arial"/>
        </w:rPr>
        <w:t>colour</w:t>
      </w:r>
      <w:proofErr w:type="spellEnd"/>
      <w:r>
        <w:rPr>
          <w:rFonts w:ascii="Arial" w:hAnsi="Arial" w:cs="Arial"/>
        </w:rPr>
        <w:t xml:space="preserve"> as absorbance was measured using a spectrophotometer at 470 nm. A standard curve was prepared from known concentrations prepared from a stock solution (0.2195 g KH</w:t>
      </w:r>
      <w:r>
        <w:rPr>
          <w:rFonts w:ascii="Arial" w:hAnsi="Arial" w:cs="Arial"/>
          <w:vertAlign w:val="subscript"/>
        </w:rPr>
        <w:t>2</w:t>
      </w:r>
      <w:r>
        <w:rPr>
          <w:rFonts w:ascii="Arial" w:hAnsi="Arial" w:cs="Arial"/>
        </w:rPr>
        <w:t>​PO</w:t>
      </w:r>
      <w:r>
        <w:rPr>
          <w:rFonts w:ascii="Arial" w:hAnsi="Arial" w:cs="Arial"/>
          <w:vertAlign w:val="subscript"/>
        </w:rPr>
        <w:t>4​</w:t>
      </w:r>
      <w:r>
        <w:rPr>
          <w:rFonts w:ascii="Arial" w:hAnsi="Arial" w:cs="Arial"/>
        </w:rPr>
        <w:t xml:space="preserve"> dissolved in 1 </w:t>
      </w:r>
      <w:proofErr w:type="spellStart"/>
      <w:r>
        <w:rPr>
          <w:rFonts w:ascii="Arial" w:hAnsi="Arial" w:cs="Arial"/>
        </w:rPr>
        <w:t>litre</w:t>
      </w:r>
      <w:proofErr w:type="spellEnd"/>
      <w:r>
        <w:rPr>
          <w:rFonts w:ascii="Arial" w:hAnsi="Arial" w:cs="Arial"/>
        </w:rPr>
        <w:t xml:space="preserve"> water) and prepared standards from 1.0 to 4.0 ppm. The phosphorus concentration in the sample was subsequently estimated by comparing the colorimeter reading with this standard curve. </w:t>
      </w:r>
    </w:p>
    <w:p>
      <w:pPr>
        <w:spacing w:line="360" w:lineRule="auto"/>
        <w:jc w:val="both"/>
        <w:rPr>
          <w:rFonts w:ascii="Arial" w:hAnsi="Arial" w:cs="Arial"/>
        </w:rPr>
      </w:pPr>
      <w:r>
        <w:rPr>
          <w:rFonts w:ascii="Arial" w:hAnsi="Arial" w:cs="Arial"/>
        </w:rPr>
        <w:tab/>
        <w:t xml:space="preserve">Potassium (K) levels were determined using the flame photometry method, also according to the procedure given by Jackson (1973). Ten </w:t>
      </w:r>
      <w:proofErr w:type="spellStart"/>
      <w:r>
        <w:rPr>
          <w:rFonts w:ascii="Arial" w:hAnsi="Arial" w:cs="Arial"/>
        </w:rPr>
        <w:t>millilitre</w:t>
      </w:r>
      <w:proofErr w:type="spellEnd"/>
      <w:r>
        <w:rPr>
          <w:rFonts w:ascii="Arial" w:hAnsi="Arial" w:cs="Arial"/>
        </w:rPr>
        <w:t xml:space="preserve"> aliquots of the digested SMS was diluted to 100 mL and standards were prepared from a 1000 ppm stock solution (1.907 g of </w:t>
      </w:r>
      <w:proofErr w:type="spellStart"/>
      <w:r>
        <w:rPr>
          <w:rFonts w:ascii="Arial" w:hAnsi="Arial" w:cs="Arial"/>
        </w:rPr>
        <w:t>KCl</w:t>
      </w:r>
      <w:proofErr w:type="spellEnd"/>
      <w:r>
        <w:rPr>
          <w:rFonts w:ascii="Arial" w:hAnsi="Arial" w:cs="Arial"/>
        </w:rPr>
        <w:t xml:space="preserve"> in distilled water and made the volume up to 1 </w:t>
      </w:r>
      <w:proofErr w:type="spellStart"/>
      <w:r>
        <w:rPr>
          <w:rFonts w:ascii="Arial" w:hAnsi="Arial" w:cs="Arial"/>
        </w:rPr>
        <w:t>litre</w:t>
      </w:r>
      <w:proofErr w:type="spellEnd"/>
      <w:r>
        <w:rPr>
          <w:rFonts w:ascii="Arial" w:hAnsi="Arial" w:cs="Arial"/>
        </w:rPr>
        <w:t xml:space="preserve">). From this, an intermediate stock was created, and working standards of 5 ppm and 10 ppm were prepared. The flame photometer was calibrated using these working standards, after which the diluted SMS samples were aspirated, and the respective readings were noted to determine the K concentration. </w:t>
      </w:r>
    </w:p>
    <w:p>
      <w:pPr>
        <w:spacing w:line="360" w:lineRule="auto"/>
        <w:jc w:val="both"/>
        <w:rPr>
          <w:rFonts w:ascii="Arial" w:hAnsi="Arial" w:cs="Arial"/>
        </w:rPr>
      </w:pPr>
      <w:r>
        <w:rPr>
          <w:rFonts w:ascii="Arial" w:hAnsi="Arial" w:cs="Arial"/>
        </w:rPr>
        <w:lastRenderedPageBreak/>
        <w:tab/>
        <w:t xml:space="preserve">Calcium (Ca) in the Spent Mushroom Substrate (SMS) samples was determined by the EDTA titration method (Hesse, 1971). Five </w:t>
      </w:r>
      <w:proofErr w:type="spellStart"/>
      <w:r>
        <w:rPr>
          <w:rFonts w:ascii="Arial" w:hAnsi="Arial" w:cs="Arial"/>
        </w:rPr>
        <w:t>millilitre</w:t>
      </w:r>
      <w:proofErr w:type="spellEnd"/>
      <w:r>
        <w:rPr>
          <w:rFonts w:ascii="Arial" w:hAnsi="Arial" w:cs="Arial"/>
        </w:rPr>
        <w:t xml:space="preserve"> aliquot of the SMS extract was pipetted into a conical flask, to which 5 mL of distilled water, 10 drops of hydroxyl amine hydrochloride, </w:t>
      </w:r>
      <w:proofErr w:type="spellStart"/>
      <w:r>
        <w:rPr>
          <w:rFonts w:ascii="Arial" w:hAnsi="Arial" w:cs="Arial"/>
        </w:rPr>
        <w:t>triethanol</w:t>
      </w:r>
      <w:proofErr w:type="spellEnd"/>
      <w:r>
        <w:rPr>
          <w:rFonts w:ascii="Arial" w:hAnsi="Arial" w:cs="Arial"/>
        </w:rPr>
        <w:t xml:space="preserve"> amine, 2.5 mL of NaOH, and 1 mL of </w:t>
      </w:r>
      <w:proofErr w:type="spellStart"/>
      <w:r>
        <w:rPr>
          <w:rFonts w:ascii="Arial" w:hAnsi="Arial" w:cs="Arial"/>
        </w:rPr>
        <w:t>Calcon</w:t>
      </w:r>
      <w:proofErr w:type="spellEnd"/>
      <w:r>
        <w:rPr>
          <w:rFonts w:ascii="Arial" w:hAnsi="Arial" w:cs="Arial"/>
        </w:rPr>
        <w:t xml:space="preserve"> solution were sequentially added. This mixture was then titrated with a standard EDTA solution to a distinct blue end-point to quantify the calcium concentration. Ca and Mg levels together was determined by adding a 5 mL aliquot of the SMS digest and titrated with EDTA after adding 5 mL distilled water, 15 mL buffer solution, 10 drops of hydroxyl amine hydrochloride, </w:t>
      </w:r>
      <w:proofErr w:type="spellStart"/>
      <w:r>
        <w:rPr>
          <w:rFonts w:ascii="Arial" w:hAnsi="Arial" w:cs="Arial"/>
        </w:rPr>
        <w:t>triethanol</w:t>
      </w:r>
      <w:proofErr w:type="spellEnd"/>
      <w:r>
        <w:rPr>
          <w:rFonts w:ascii="Arial" w:hAnsi="Arial" w:cs="Arial"/>
        </w:rPr>
        <w:t xml:space="preserve"> amine and potassium </w:t>
      </w:r>
      <w:proofErr w:type="spellStart"/>
      <w:r>
        <w:rPr>
          <w:rFonts w:ascii="Arial" w:hAnsi="Arial" w:cs="Arial"/>
        </w:rPr>
        <w:t>hexacyano</w:t>
      </w:r>
      <w:proofErr w:type="spellEnd"/>
      <w:r>
        <w:rPr>
          <w:rFonts w:ascii="Arial" w:hAnsi="Arial" w:cs="Arial"/>
        </w:rPr>
        <w:t xml:space="preserve"> ferrate (II), and 10 drops of Eriochrome Black T solution (resulting in a vine red color). Titration with EDTA was continued until the appearance of a blue color, which marked the end-point for the combined (</w:t>
      </w:r>
      <w:proofErr w:type="spellStart"/>
      <w:r>
        <w:rPr>
          <w:rFonts w:ascii="Arial" w:hAnsi="Arial" w:cs="Arial"/>
        </w:rPr>
        <w:t>Ca+Mg</w:t>
      </w:r>
      <w:proofErr w:type="spellEnd"/>
      <w:r>
        <w:rPr>
          <w:rFonts w:ascii="Arial" w:hAnsi="Arial" w:cs="Arial"/>
        </w:rPr>
        <w:t>) concentration. The concentration of Magnesium alone was then calculated by subtracting the Ca concentration from the total (</w:t>
      </w:r>
      <w:proofErr w:type="spellStart"/>
      <w:r>
        <w:rPr>
          <w:rFonts w:ascii="Arial" w:hAnsi="Arial" w:cs="Arial"/>
        </w:rPr>
        <w:t>Ca+Mg</w:t>
      </w:r>
      <w:proofErr w:type="spellEnd"/>
      <w:r>
        <w:rPr>
          <w:rFonts w:ascii="Arial" w:hAnsi="Arial" w:cs="Arial"/>
        </w:rPr>
        <w:t>) concentration.</w:t>
      </w:r>
    </w:p>
    <w:p>
      <w:pPr>
        <w:spacing w:line="360" w:lineRule="auto"/>
        <w:jc w:val="both"/>
        <w:rPr>
          <w:rFonts w:ascii="Arial" w:hAnsi="Arial" w:cs="Arial"/>
        </w:rPr>
      </w:pPr>
      <w:r>
        <w:rPr>
          <w:rFonts w:ascii="Arial" w:hAnsi="Arial" w:cs="Arial"/>
        </w:rPr>
        <w:tab/>
        <w:t xml:space="preserve">The estimation of Sulfur (S) levels in the spent mushroom substrate was carried out by the </w:t>
      </w:r>
      <w:proofErr w:type="spellStart"/>
      <w:r>
        <w:rPr>
          <w:rFonts w:ascii="Arial" w:hAnsi="Arial" w:cs="Arial"/>
        </w:rPr>
        <w:t>turbidometric</w:t>
      </w:r>
      <w:proofErr w:type="spellEnd"/>
      <w:r>
        <w:rPr>
          <w:rFonts w:ascii="Arial" w:hAnsi="Arial" w:cs="Arial"/>
        </w:rPr>
        <w:t xml:space="preserve"> method (</w:t>
      </w:r>
      <w:proofErr w:type="spellStart"/>
      <w:r>
        <w:rPr>
          <w:rFonts w:ascii="Arial" w:hAnsi="Arial" w:cs="Arial"/>
        </w:rPr>
        <w:t>Chesnin</w:t>
      </w:r>
      <w:proofErr w:type="spellEnd"/>
      <w:r>
        <w:rPr>
          <w:rFonts w:ascii="Arial" w:hAnsi="Arial" w:cs="Arial"/>
        </w:rPr>
        <w:t xml:space="preserve"> and Yien, 1951). Ten </w:t>
      </w:r>
      <w:proofErr w:type="spellStart"/>
      <w:r>
        <w:rPr>
          <w:rFonts w:ascii="Arial" w:hAnsi="Arial" w:cs="Arial"/>
        </w:rPr>
        <w:t>millilitre</w:t>
      </w:r>
      <w:proofErr w:type="spellEnd"/>
      <w:r>
        <w:rPr>
          <w:rFonts w:ascii="Arial" w:hAnsi="Arial" w:cs="Arial"/>
        </w:rPr>
        <w:t xml:space="preserve"> of the sample aliquot was transferred into a 100 mL volumetric flask, added of 1 g of sieved BaCl2​ and Shaked for a minute. One </w:t>
      </w:r>
      <w:proofErr w:type="spellStart"/>
      <w:r>
        <w:rPr>
          <w:rFonts w:ascii="Arial" w:hAnsi="Arial" w:cs="Arial"/>
        </w:rPr>
        <w:t>millilitre</w:t>
      </w:r>
      <w:proofErr w:type="spellEnd"/>
      <w:r>
        <w:rPr>
          <w:rFonts w:ascii="Arial" w:hAnsi="Arial" w:cs="Arial"/>
        </w:rPr>
        <w:t xml:space="preserve"> of gum acacia acetic acid solution was added, the volume made up to 100 mL, and followed by shaking for one minute. A blank was also prepared identically. The turbidity of the solution was measured at 440 nm, 25 to 30 minutes after precipitation. The S content in the sample was then determined by reading against a standard curve prepared from similar absorbance readings.</w:t>
      </w:r>
    </w:p>
    <w:p>
      <w:pPr>
        <w:spacing w:line="360" w:lineRule="auto"/>
        <w:jc w:val="both"/>
        <w:rPr>
          <w:rFonts w:ascii="Arial" w:hAnsi="Arial" w:cs="Arial"/>
        </w:rPr>
      </w:pPr>
    </w:p>
    <w:p>
      <w:pPr>
        <w:spacing w:line="360" w:lineRule="auto"/>
        <w:jc w:val="both"/>
        <w:rPr>
          <w:rFonts w:ascii="Arial" w:hAnsi="Arial" w:cs="Arial"/>
          <w:b/>
          <w:bCs/>
        </w:rPr>
      </w:pPr>
      <w:r>
        <w:rPr>
          <w:rFonts w:ascii="Arial" w:hAnsi="Arial" w:cs="Arial"/>
          <w:b/>
          <w:bCs/>
        </w:rPr>
        <w:t>2.2.2. Micronutrient analysis</w:t>
      </w:r>
    </w:p>
    <w:p>
      <w:pPr>
        <w:spacing w:line="360" w:lineRule="auto"/>
        <w:jc w:val="both"/>
        <w:rPr>
          <w:rFonts w:ascii="Arial" w:hAnsi="Arial" w:cs="Arial"/>
          <w:b/>
          <w:bCs/>
        </w:rPr>
      </w:pPr>
      <w:r>
        <w:rPr>
          <w:rFonts w:ascii="Arial" w:hAnsi="Arial" w:cs="Arial"/>
        </w:rPr>
        <w:t>The estimation of micronutrients (Fe, Zn, and Cu) was conducted using Atomic Absorption Spectrophotometry (AAS), which is based on the principle of flame absorption. A standard curve was prepared for each element by measuring the absorbance of working standards (derived from1000 ppm stock solution prepared by dissolving 1.0 g of pure metal in HCl in the ratio of 1:1). The SMS samples were digested by diacid digestion method. The prepared digest containing the unknown concentration of the element, was atomized in the AAS flame. The degree of absorption by the free metal was observed. The concentration of the element in the unknown SMS sample was determined by comparing its measured absorbance signal against the established standard curve. (Jackson, 1973).</w:t>
      </w:r>
    </w:p>
    <w:p>
      <w:pPr>
        <w:spacing w:line="360" w:lineRule="auto"/>
        <w:jc w:val="both"/>
        <w:rPr>
          <w:rFonts w:ascii="Arial" w:hAnsi="Arial" w:cs="Arial"/>
        </w:rPr>
      </w:pPr>
      <w:r>
        <w:rPr>
          <w:rFonts w:ascii="Arial" w:hAnsi="Arial" w:cs="Arial"/>
        </w:rPr>
        <w:t xml:space="preserve">Available boron was estimated by using the hot water extraction method given by Roig </w:t>
      </w:r>
      <w:r>
        <w:rPr>
          <w:rFonts w:ascii="Arial" w:hAnsi="Arial" w:cs="Arial"/>
          <w:i/>
          <w:iCs/>
        </w:rPr>
        <w:t>et al</w:t>
      </w:r>
      <w:r>
        <w:rPr>
          <w:rFonts w:ascii="Arial" w:hAnsi="Arial" w:cs="Arial"/>
        </w:rPr>
        <w:t xml:space="preserve">. (1988).  Twenty grams of the SMS sample was taken in a boron free container and 40 mL of distilled water was added along with 0.5 g activated charcoal. The mixture was then boiled for 5 minutes and then filtered. After cooling, 2 ml of the buffer solution and 2 mL of azomethine- </w:t>
      </w:r>
      <w:r>
        <w:rPr>
          <w:rFonts w:ascii="Arial" w:hAnsi="Arial" w:cs="Arial"/>
        </w:rPr>
        <w:lastRenderedPageBreak/>
        <w:t>H reagent was added. The boron content was estimated as absorbance at 420 nm using a spectrophotometer.</w:t>
      </w:r>
    </w:p>
    <w:p>
      <w:pPr>
        <w:spacing w:line="360" w:lineRule="auto"/>
        <w:jc w:val="both"/>
        <w:rPr>
          <w:rFonts w:ascii="Arial" w:hAnsi="Arial" w:cs="Arial"/>
        </w:rPr>
      </w:pPr>
    </w:p>
    <w:p>
      <w:pPr>
        <w:spacing w:line="360" w:lineRule="auto"/>
        <w:jc w:val="both"/>
        <w:rPr>
          <w:rFonts w:ascii="Arial" w:hAnsi="Arial" w:cs="Arial"/>
          <w:b/>
          <w:bCs/>
        </w:rPr>
      </w:pPr>
      <w:r>
        <w:rPr>
          <w:rFonts w:ascii="Arial" w:hAnsi="Arial" w:cs="Arial"/>
          <w:b/>
          <w:bCs/>
        </w:rPr>
        <w:t xml:space="preserve">2.3 Antagonism of SMS against plant pathogens under </w:t>
      </w:r>
      <w:r>
        <w:rPr>
          <w:rFonts w:ascii="Arial" w:hAnsi="Arial" w:cs="Arial"/>
          <w:b/>
          <w:bCs/>
          <w:i/>
          <w:iCs/>
        </w:rPr>
        <w:t>in vitro conditions</w:t>
      </w:r>
    </w:p>
    <w:p>
      <w:pPr>
        <w:spacing w:line="360" w:lineRule="auto"/>
        <w:jc w:val="both"/>
        <w:rPr>
          <w:rFonts w:ascii="Arial" w:hAnsi="Arial" w:cs="Arial"/>
          <w:b/>
          <w:bCs/>
        </w:rPr>
      </w:pPr>
    </w:p>
    <w:p>
      <w:pPr>
        <w:spacing w:line="360" w:lineRule="auto"/>
        <w:jc w:val="both"/>
        <w:rPr>
          <w:rFonts w:ascii="Arial" w:hAnsi="Arial" w:cs="Arial"/>
          <w:b/>
          <w:bCs/>
        </w:rPr>
      </w:pPr>
      <w:r>
        <w:rPr>
          <w:rFonts w:ascii="Arial" w:hAnsi="Arial" w:cs="Arial"/>
          <w:b/>
          <w:bCs/>
        </w:rPr>
        <w:t>2.3.1 Isolation, cultural, morphological and molecular characterization of antagonistic bacteria from SMS</w:t>
      </w:r>
    </w:p>
    <w:p>
      <w:pPr>
        <w:spacing w:line="360" w:lineRule="auto"/>
        <w:jc w:val="both"/>
        <w:rPr>
          <w:rFonts w:ascii="Arial" w:hAnsi="Arial" w:cs="Arial"/>
          <w:lang w:val="en-IN"/>
        </w:rPr>
      </w:pPr>
      <w:r>
        <w:rPr>
          <w:rFonts w:ascii="Arial" w:hAnsi="Arial" w:cs="Arial"/>
          <w:lang w:val="en-IN"/>
        </w:rPr>
        <w:t>A series of ten-fold dilutions of the SMS extracts were prepared in sterile water. Aliquots of these dilutions were then spread-plated onto various general and selective agar media, including nutrient agar (NA) and potato dextrose agar (PDA), and incubated at 28°C for 24 to 48 hours. After incubation, individual colonies exhibiting distinct morphological characteristics were sub cultured to obtain pure isolates. The morphological and cultural characteristics were studied.</w:t>
      </w:r>
    </w:p>
    <w:p>
      <w:pPr>
        <w:spacing w:line="360" w:lineRule="auto"/>
        <w:jc w:val="both"/>
        <w:rPr>
          <w:rFonts w:ascii="Arial" w:hAnsi="Arial" w:cs="Arial"/>
          <w:lang w:val="en-IN"/>
        </w:rPr>
      </w:pPr>
    </w:p>
    <w:p>
      <w:pPr>
        <w:spacing w:line="360" w:lineRule="auto"/>
        <w:jc w:val="both"/>
        <w:rPr>
          <w:rFonts w:ascii="Arial" w:hAnsi="Arial" w:cs="Arial"/>
          <w:b/>
          <w:bCs/>
          <w:lang w:val="en-IN"/>
        </w:rPr>
      </w:pPr>
      <w:r>
        <w:rPr>
          <w:rFonts w:ascii="Arial" w:hAnsi="Arial" w:cs="Arial"/>
          <w:b/>
          <w:bCs/>
          <w:lang w:val="en-IN"/>
        </w:rPr>
        <w:t>Molecular characterization</w:t>
      </w:r>
    </w:p>
    <w:p>
      <w:pPr>
        <w:spacing w:after="160" w:line="360" w:lineRule="auto"/>
        <w:jc w:val="both"/>
        <w:rPr>
          <w:rFonts w:ascii="Arial" w:hAnsi="Arial" w:cs="Arial"/>
        </w:rPr>
      </w:pPr>
      <w:r>
        <w:rPr>
          <w:rFonts w:ascii="Arial" w:hAnsi="Arial" w:cs="Arial"/>
        </w:rPr>
        <w:t xml:space="preserve">Genomic DNA was isolated from the bacterial cultures using the </w:t>
      </w:r>
      <w:proofErr w:type="spellStart"/>
      <w:r>
        <w:rPr>
          <w:rFonts w:ascii="Arial" w:hAnsi="Arial" w:cs="Arial"/>
        </w:rPr>
        <w:t>NucleoSpin</w:t>
      </w:r>
      <w:proofErr w:type="spellEnd"/>
      <w:r>
        <w:rPr>
          <w:rFonts w:ascii="Arial" w:hAnsi="Arial" w:cs="Arial"/>
        </w:rPr>
        <w:t xml:space="preserve"> Tissue Kit (</w:t>
      </w:r>
      <w:proofErr w:type="spellStart"/>
      <w:r>
        <w:rPr>
          <w:rFonts w:ascii="Arial" w:hAnsi="Arial" w:cs="Arial"/>
        </w:rPr>
        <w:t>Macherey</w:t>
      </w:r>
      <w:proofErr w:type="spellEnd"/>
      <w:r>
        <w:rPr>
          <w:rFonts w:ascii="Arial" w:hAnsi="Arial" w:cs="Arial"/>
        </w:rPr>
        <w:t xml:space="preserve">-Nagel) according to the manufacturer's protocol. A portion of the culture was lysed using T1 buffer and Proteinase K at 56 °C. Following lysis, RNase A (100 mg/mL) was added to degrade RNA. B3 buffer was then applied, and the mixture was incubated at 70 °C. After the addition of 100per cent ethanol, the sample was applied to a </w:t>
      </w:r>
      <w:proofErr w:type="spellStart"/>
      <w:r>
        <w:rPr>
          <w:rFonts w:ascii="Arial" w:hAnsi="Arial" w:cs="Arial"/>
        </w:rPr>
        <w:t>NucleoSpin</w:t>
      </w:r>
      <w:proofErr w:type="spellEnd"/>
      <w:r>
        <w:rPr>
          <w:rFonts w:ascii="Arial" w:hAnsi="Arial" w:cs="Arial"/>
        </w:rPr>
        <w:t xml:space="preserve"> Tissue column, centrifuged, and washed sequentially with BW and B5 buffers. The purified DNA was then eluted using BE buffer into a clean 1.5 mL microcentrifuge tube. The quality and quantity of the isolated DNA were assessed using 0.8per cent agarose gel electrophoresis in 0.5X TBE buffer containing 0.5 µL ethidium bromide. Electrophoresis was conducted at 75 V, and gels were visualized and documented using a UV transilluminator (Genei) and a Gel Documentation System (Bio-Rad).</w:t>
      </w:r>
    </w:p>
    <w:p>
      <w:pPr>
        <w:spacing w:after="160" w:line="360" w:lineRule="auto"/>
        <w:jc w:val="both"/>
        <w:rPr>
          <w:rFonts w:ascii="Arial" w:hAnsi="Arial" w:cs="Arial"/>
        </w:rPr>
      </w:pPr>
      <w:r>
        <w:rPr>
          <w:rFonts w:ascii="Arial" w:hAnsi="Arial" w:cs="Arial"/>
        </w:rPr>
        <w:t>PCR Amplification of the 16S rRNA Gene: The 16S rRNA gene was amplified using Polymerase Chain Reaction (PCR) with 16S-RS-F (5′ CAGGCCTAACACATGCAAGTC 3′) and 16S-RS-R (5′ GGGCGGWGTGTACAAGGC 3′) primers.</w:t>
      </w:r>
    </w:p>
    <w:p>
      <w:pPr>
        <w:spacing w:after="160" w:line="360" w:lineRule="auto"/>
        <w:jc w:val="both"/>
        <w:rPr>
          <w:rFonts w:ascii="Arial" w:hAnsi="Arial" w:cs="Arial"/>
        </w:rPr>
      </w:pPr>
      <w:r>
        <w:rPr>
          <w:rFonts w:ascii="Arial" w:hAnsi="Arial" w:cs="Arial"/>
        </w:rPr>
        <w:t xml:space="preserve">Each PCR reaction mixture consisted of 5 µL of 2X </w:t>
      </w:r>
      <w:proofErr w:type="spellStart"/>
      <w:r>
        <w:rPr>
          <w:rFonts w:ascii="Arial" w:hAnsi="Arial" w:cs="Arial"/>
        </w:rPr>
        <w:t>Phire</w:t>
      </w:r>
      <w:proofErr w:type="spellEnd"/>
      <w:r>
        <w:rPr>
          <w:rFonts w:ascii="Arial" w:hAnsi="Arial" w:cs="Arial"/>
        </w:rPr>
        <w:t xml:space="preserve"> Master Mix, 4 µL of deionized water (D/W), 0.25 µL each of the forward and reverse primers, and 1 µL of the isolated DNA template. The amplification was performed in a </w:t>
      </w:r>
      <w:proofErr w:type="spellStart"/>
      <w:r>
        <w:rPr>
          <w:rFonts w:ascii="Arial" w:hAnsi="Arial" w:cs="Arial"/>
        </w:rPr>
        <w:t>GeneAmp</w:t>
      </w:r>
      <w:proofErr w:type="spellEnd"/>
      <w:r>
        <w:rPr>
          <w:rFonts w:ascii="Arial" w:hAnsi="Arial" w:cs="Arial"/>
        </w:rPr>
        <w:t xml:space="preserve"> PCR System 9700 (Applied Biosystems) using the following thermal profile: Initial denaturation at 98°C for 1 min, 40 cycles of: denaturation at 98°C for 5 sec, annealing at 60</w:t>
      </w:r>
      <w:r>
        <w:rPr>
          <w:rFonts w:ascii="Cambria Math" w:hAnsi="Cambria Math" w:cs="Cambria Math"/>
        </w:rPr>
        <w:t>∘</w:t>
      </w:r>
      <w:r>
        <w:rPr>
          <w:rFonts w:ascii="Arial" w:hAnsi="Arial" w:cs="Arial"/>
        </w:rPr>
        <w:t>C for 10 sec, and extension at 72</w:t>
      </w:r>
      <w:r>
        <w:rPr>
          <w:rFonts w:ascii="Cambria Math" w:hAnsi="Cambria Math" w:cs="Cambria Math"/>
        </w:rPr>
        <w:t>∘</w:t>
      </w:r>
      <w:r>
        <w:rPr>
          <w:rFonts w:ascii="Arial" w:hAnsi="Arial" w:cs="Arial"/>
        </w:rPr>
        <w:t xml:space="preserve">C for 15 sec, final extension at 72°C for 2 min and hold at 4°C. The PCR products were </w:t>
      </w:r>
      <w:r>
        <w:rPr>
          <w:rFonts w:ascii="Arial" w:hAnsi="Arial" w:cs="Arial"/>
        </w:rPr>
        <w:lastRenderedPageBreak/>
        <w:t xml:space="preserve">subsequently confirmed by running 4 µL of the product on a 1.2per cent agarose gel in 0.5X TBE buffer containing 0.5 µL ethidium bromide. A 2-log DNA ladder (NEB) was used as the molecular standard. The purified PCR products were sequenced using Sanger sequencing method. NCBI BLAST analysis was performed. </w:t>
      </w:r>
    </w:p>
    <w:p>
      <w:pPr>
        <w:spacing w:after="160" w:line="360" w:lineRule="auto"/>
        <w:jc w:val="both"/>
        <w:rPr>
          <w:rFonts w:ascii="Arial" w:hAnsi="Arial" w:cs="Arial"/>
          <w:b/>
          <w:bCs/>
        </w:rPr>
      </w:pPr>
      <w:r>
        <w:rPr>
          <w:rFonts w:ascii="Arial" w:hAnsi="Arial" w:cs="Arial"/>
          <w:b/>
          <w:bCs/>
        </w:rPr>
        <w:t xml:space="preserve">2.3.2 </w:t>
      </w:r>
      <w:r>
        <w:rPr>
          <w:rFonts w:ascii="Arial" w:hAnsi="Arial" w:cs="Arial"/>
          <w:b/>
          <w:bCs/>
          <w:i/>
          <w:iCs/>
        </w:rPr>
        <w:t>In vitro</w:t>
      </w:r>
      <w:r>
        <w:rPr>
          <w:rFonts w:ascii="Arial" w:hAnsi="Arial" w:cs="Arial"/>
          <w:b/>
          <w:bCs/>
        </w:rPr>
        <w:t xml:space="preserve"> antagonism of </w:t>
      </w:r>
      <w:r>
        <w:rPr>
          <w:rFonts w:ascii="Arial" w:hAnsi="Arial" w:cs="Arial"/>
          <w:b/>
          <w:bCs/>
          <w:i/>
          <w:iCs/>
        </w:rPr>
        <w:t>B. gladioli</w:t>
      </w:r>
      <w:r>
        <w:rPr>
          <w:rFonts w:ascii="Arial" w:hAnsi="Arial" w:cs="Arial"/>
          <w:b/>
          <w:bCs/>
        </w:rPr>
        <w:t xml:space="preserve"> against plant pathogens</w:t>
      </w:r>
    </w:p>
    <w:p>
      <w:pPr>
        <w:spacing w:line="360" w:lineRule="auto"/>
        <w:jc w:val="both"/>
        <w:rPr>
          <w:rFonts w:ascii="Arial" w:hAnsi="Arial" w:cs="Arial"/>
          <w:lang w:val="en-IN"/>
        </w:rPr>
      </w:pPr>
      <w:r>
        <w:rPr>
          <w:rFonts w:ascii="Arial" w:hAnsi="Arial" w:cs="Arial"/>
          <w:lang w:val="en-IN"/>
        </w:rPr>
        <w:tab/>
        <w:t xml:space="preserve">Pure cultures of pathogens </w:t>
      </w:r>
      <w:proofErr w:type="spellStart"/>
      <w:r>
        <w:rPr>
          <w:rFonts w:ascii="Arial" w:hAnsi="Arial" w:cs="Arial"/>
          <w:i/>
          <w:iCs/>
          <w:lang w:val="en-IN"/>
        </w:rPr>
        <w:t>Rhizoctonia</w:t>
      </w:r>
      <w:proofErr w:type="spellEnd"/>
      <w:r>
        <w:rPr>
          <w:rFonts w:ascii="Arial" w:hAnsi="Arial" w:cs="Arial"/>
          <w:i/>
          <w:iCs/>
          <w:lang w:val="en-IN"/>
        </w:rPr>
        <w:t xml:space="preserve"> </w:t>
      </w:r>
      <w:proofErr w:type="spellStart"/>
      <w:r>
        <w:rPr>
          <w:rFonts w:ascii="Arial" w:hAnsi="Arial" w:cs="Arial"/>
          <w:i/>
          <w:iCs/>
          <w:lang w:val="en-IN"/>
        </w:rPr>
        <w:t>solani</w:t>
      </w:r>
      <w:proofErr w:type="spellEnd"/>
      <w:r>
        <w:rPr>
          <w:rFonts w:ascii="Arial" w:hAnsi="Arial" w:cs="Arial"/>
          <w:lang w:val="en-IN"/>
        </w:rPr>
        <w:t xml:space="preserve">, and </w:t>
      </w:r>
      <w:r>
        <w:rPr>
          <w:rFonts w:ascii="Arial" w:hAnsi="Arial" w:cs="Arial"/>
          <w:i/>
          <w:iCs/>
          <w:lang w:val="en-IN"/>
        </w:rPr>
        <w:t>Colletotrichum</w:t>
      </w:r>
      <w:r>
        <w:rPr>
          <w:rFonts w:ascii="Arial" w:hAnsi="Arial" w:cs="Arial"/>
          <w:lang w:val="en-IN"/>
        </w:rPr>
        <w:t xml:space="preserve"> </w:t>
      </w:r>
      <w:proofErr w:type="spellStart"/>
      <w:r>
        <w:rPr>
          <w:rFonts w:ascii="Arial" w:hAnsi="Arial" w:cs="Arial"/>
          <w:lang w:val="en-IN"/>
        </w:rPr>
        <w:t>gloeosporioides</w:t>
      </w:r>
      <w:proofErr w:type="spellEnd"/>
      <w:r>
        <w:rPr>
          <w:rFonts w:ascii="Arial" w:hAnsi="Arial" w:cs="Arial"/>
          <w:lang w:val="en-IN"/>
        </w:rPr>
        <w:t xml:space="preserve"> were obtained from Department of Plant Pathology, College of Agriculture, </w:t>
      </w:r>
      <w:proofErr w:type="spellStart"/>
      <w:r>
        <w:rPr>
          <w:rFonts w:ascii="Arial" w:hAnsi="Arial" w:cs="Arial"/>
          <w:lang w:val="en-IN"/>
        </w:rPr>
        <w:t>Vellayani</w:t>
      </w:r>
      <w:proofErr w:type="spellEnd"/>
      <w:r>
        <w:rPr>
          <w:rFonts w:ascii="Arial" w:hAnsi="Arial" w:cs="Arial"/>
          <w:lang w:val="en-IN"/>
        </w:rPr>
        <w:t xml:space="preserve">. Dual culture assay was performed in order to test the antagonistic ability of the bacteria isolated from SMS.  PDA plates were prepared and inoculated with a single fungal mycelial bit (5mm) at the centre of the plate. The bacteria were streaked parallelly on both the sides of the petri plates. A control with pathogen only was also maintained. The zone of inhibition (cm) was observed from the dual culture assay. </w:t>
      </w:r>
    </w:p>
    <w:p>
      <w:pPr>
        <w:spacing w:line="360" w:lineRule="auto"/>
        <w:jc w:val="both"/>
        <w:rPr>
          <w:rFonts w:ascii="Arial" w:hAnsi="Arial" w:cs="Arial"/>
        </w:rPr>
      </w:pPr>
    </w:p>
    <w:p>
      <w:pPr>
        <w:spacing w:line="360" w:lineRule="auto"/>
        <w:jc w:val="both"/>
        <w:rPr>
          <w:rFonts w:ascii="Arial" w:hAnsi="Arial" w:cs="Arial"/>
          <w:b/>
          <w:bCs/>
          <w:sz w:val="22"/>
          <w:szCs w:val="22"/>
        </w:rPr>
      </w:pPr>
      <w:r>
        <w:rPr>
          <w:rFonts w:ascii="Arial" w:hAnsi="Arial" w:cs="Arial"/>
          <w:b/>
          <w:bCs/>
          <w:sz w:val="22"/>
          <w:szCs w:val="22"/>
        </w:rPr>
        <w:t>3. RESULTS AND DISCUSSION</w:t>
      </w:r>
    </w:p>
    <w:p>
      <w:pPr>
        <w:spacing w:line="360" w:lineRule="auto"/>
        <w:jc w:val="both"/>
        <w:rPr>
          <w:rFonts w:ascii="Arial" w:hAnsi="Arial" w:cs="Arial"/>
          <w:b/>
          <w:bCs/>
        </w:rPr>
      </w:pPr>
      <w:r>
        <w:rPr>
          <w:rFonts w:ascii="Arial" w:hAnsi="Arial" w:cs="Arial"/>
          <w:b/>
          <w:bCs/>
        </w:rPr>
        <w:t>3.1. Bed preparation and harvest of SMS</w:t>
      </w:r>
    </w:p>
    <w:p>
      <w:pPr>
        <w:spacing w:line="360" w:lineRule="auto"/>
        <w:jc w:val="both"/>
        <w:rPr>
          <w:rFonts w:ascii="Arial" w:hAnsi="Arial" w:cs="Arial"/>
        </w:rPr>
      </w:pPr>
      <w:r>
        <w:rPr>
          <w:rFonts w:ascii="Arial" w:hAnsi="Arial" w:cs="Arial"/>
        </w:rPr>
        <w:t xml:space="preserve">The mushroom beds of </w:t>
      </w:r>
      <w:r>
        <w:rPr>
          <w:rFonts w:ascii="Arial" w:hAnsi="Arial" w:cs="Arial"/>
          <w:i/>
          <w:iCs/>
        </w:rPr>
        <w:t xml:space="preserve">P. </w:t>
      </w:r>
      <w:proofErr w:type="spellStart"/>
      <w:r>
        <w:rPr>
          <w:rFonts w:ascii="Arial" w:hAnsi="Arial" w:cs="Arial"/>
          <w:i/>
          <w:iCs/>
        </w:rPr>
        <w:t>florida</w:t>
      </w:r>
      <w:proofErr w:type="spellEnd"/>
      <w:r>
        <w:rPr>
          <w:rFonts w:ascii="Arial" w:hAnsi="Arial" w:cs="Arial"/>
          <w:i/>
          <w:iCs/>
        </w:rPr>
        <w:t>, P. ostreatus</w:t>
      </w:r>
      <w:r>
        <w:rPr>
          <w:rFonts w:ascii="Arial" w:hAnsi="Arial" w:cs="Arial"/>
        </w:rPr>
        <w:t xml:space="preserve"> and </w:t>
      </w:r>
      <w:r>
        <w:rPr>
          <w:rFonts w:ascii="Arial" w:hAnsi="Arial" w:cs="Arial"/>
          <w:i/>
          <w:iCs/>
        </w:rPr>
        <w:t xml:space="preserve">P. </w:t>
      </w:r>
      <w:proofErr w:type="spellStart"/>
      <w:r>
        <w:rPr>
          <w:rFonts w:ascii="Arial" w:hAnsi="Arial" w:cs="Arial"/>
          <w:i/>
          <w:iCs/>
        </w:rPr>
        <w:t>sajor-caju</w:t>
      </w:r>
      <w:proofErr w:type="spellEnd"/>
      <w:r>
        <w:rPr>
          <w:rFonts w:ascii="Arial" w:hAnsi="Arial" w:cs="Arial"/>
        </w:rPr>
        <w:t xml:space="preserve"> were maintained for 45 days, after 14 days of spawn run and 21 days of cropping period. A week after the pinhead initiation, first harvest was taken, and subsequently, second and third harvest were taken at 7 and 14 days after first harvest, respectively. The SMS was obtained after shade drying and grinding it in a mixer under sterile conditions. All the powdered SMS samples had dark brownish </w:t>
      </w:r>
      <w:proofErr w:type="spellStart"/>
      <w:r>
        <w:rPr>
          <w:rFonts w:ascii="Arial" w:hAnsi="Arial" w:cs="Arial"/>
        </w:rPr>
        <w:t>colour</w:t>
      </w:r>
      <w:proofErr w:type="spellEnd"/>
      <w:r>
        <w:rPr>
          <w:rFonts w:ascii="Arial" w:hAnsi="Arial" w:cs="Arial"/>
        </w:rPr>
        <w:t>.</w:t>
      </w:r>
    </w:p>
    <w:p>
      <w:pPr>
        <w:spacing w:line="360" w:lineRule="auto"/>
        <w:jc w:val="both"/>
        <w:rPr>
          <w:rFonts w:ascii="Arial" w:hAnsi="Arial" w:cs="Arial"/>
          <w:b/>
          <w:bCs/>
        </w:rPr>
      </w:pPr>
    </w:p>
    <w:p>
      <w:pPr>
        <w:spacing w:line="360" w:lineRule="auto"/>
        <w:jc w:val="both"/>
        <w:rPr>
          <w:rFonts w:ascii="Arial" w:hAnsi="Arial" w:cs="Arial"/>
          <w:b/>
          <w:bCs/>
        </w:rPr>
      </w:pPr>
      <w:r>
        <w:rPr>
          <w:rFonts w:ascii="Arial" w:hAnsi="Arial" w:cs="Arial"/>
          <w:b/>
          <w:bCs/>
        </w:rPr>
        <w:t>3.2. Estimation of the nutrient status of SMS</w:t>
      </w:r>
    </w:p>
    <w:p>
      <w:pPr>
        <w:spacing w:line="360" w:lineRule="auto"/>
        <w:jc w:val="both"/>
        <w:rPr>
          <w:rFonts w:ascii="Arial" w:hAnsi="Arial" w:cs="Arial"/>
        </w:rPr>
      </w:pPr>
      <w:r>
        <w:rPr>
          <w:rFonts w:ascii="Arial" w:hAnsi="Arial" w:cs="Arial"/>
        </w:rPr>
        <w:t xml:space="preserve">The chemical analysis of the three spent mushroom substrate samples (T1-SMS of </w:t>
      </w:r>
      <w:r>
        <w:rPr>
          <w:rFonts w:ascii="Arial" w:hAnsi="Arial" w:cs="Arial"/>
          <w:i/>
          <w:iCs/>
        </w:rPr>
        <w:t xml:space="preserve">P. </w:t>
      </w:r>
      <w:proofErr w:type="spellStart"/>
      <w:r>
        <w:rPr>
          <w:rFonts w:ascii="Arial" w:hAnsi="Arial" w:cs="Arial"/>
          <w:i/>
          <w:iCs/>
        </w:rPr>
        <w:t>florida</w:t>
      </w:r>
      <w:proofErr w:type="spellEnd"/>
      <w:r>
        <w:rPr>
          <w:rFonts w:ascii="Arial" w:hAnsi="Arial" w:cs="Arial"/>
        </w:rPr>
        <w:t xml:space="preserve">, T2- SMS of </w:t>
      </w:r>
      <w:r>
        <w:rPr>
          <w:rFonts w:ascii="Arial" w:hAnsi="Arial" w:cs="Arial"/>
          <w:i/>
          <w:iCs/>
        </w:rPr>
        <w:t>P. ostreatus</w:t>
      </w:r>
      <w:r>
        <w:rPr>
          <w:rFonts w:ascii="Arial" w:hAnsi="Arial" w:cs="Arial"/>
        </w:rPr>
        <w:t xml:space="preserve">, T3-SMS of </w:t>
      </w:r>
      <w:r>
        <w:rPr>
          <w:rFonts w:ascii="Arial" w:hAnsi="Arial" w:cs="Arial"/>
          <w:i/>
          <w:iCs/>
        </w:rPr>
        <w:t xml:space="preserve">P. </w:t>
      </w:r>
      <w:proofErr w:type="spellStart"/>
      <w:r>
        <w:rPr>
          <w:rFonts w:ascii="Arial" w:hAnsi="Arial" w:cs="Arial"/>
          <w:i/>
          <w:iCs/>
        </w:rPr>
        <w:t>sajor-caju</w:t>
      </w:r>
      <w:proofErr w:type="spellEnd"/>
      <w:r>
        <w:rPr>
          <w:rFonts w:ascii="Arial" w:hAnsi="Arial" w:cs="Arial"/>
        </w:rPr>
        <w:t xml:space="preserve">) with the control (T4) revealed significant variability in their nutrient profiles. </w:t>
      </w:r>
    </w:p>
    <w:p>
      <w:pPr>
        <w:spacing w:line="360" w:lineRule="auto"/>
        <w:jc w:val="both"/>
        <w:rPr>
          <w:rFonts w:ascii="Arial" w:hAnsi="Arial" w:cs="Arial"/>
        </w:rPr>
      </w:pPr>
    </w:p>
    <w:p>
      <w:pPr>
        <w:spacing w:line="360" w:lineRule="auto"/>
        <w:jc w:val="both"/>
        <w:rPr>
          <w:rFonts w:ascii="Arial" w:hAnsi="Arial" w:cs="Arial"/>
        </w:rPr>
      </w:pPr>
      <w:r>
        <w:rPr>
          <w:rFonts w:ascii="Arial" w:hAnsi="Arial" w:cs="Arial"/>
          <w:b/>
          <w:bCs/>
        </w:rPr>
        <w:t>3.2.1 Macronutrient analysis</w:t>
      </w:r>
    </w:p>
    <w:p>
      <w:pPr>
        <w:spacing w:line="360" w:lineRule="auto"/>
        <w:jc w:val="both"/>
        <w:rPr>
          <w:rFonts w:ascii="Arial" w:hAnsi="Arial" w:cs="Arial"/>
        </w:rPr>
      </w:pPr>
      <w:r>
        <w:rPr>
          <w:rFonts w:ascii="Arial" w:hAnsi="Arial" w:cs="Arial"/>
        </w:rPr>
        <w:t>The results for all analyzed macronutrients are shown in Table 1.</w:t>
      </w:r>
    </w:p>
    <w:p>
      <w:pPr>
        <w:spacing w:line="360" w:lineRule="auto"/>
        <w:jc w:val="both"/>
        <w:rPr>
          <w:rFonts w:ascii="Arial" w:hAnsi="Arial" w:cs="Arial"/>
        </w:rPr>
      </w:pPr>
    </w:p>
    <w:p>
      <w:pPr>
        <w:spacing w:line="360" w:lineRule="auto"/>
        <w:jc w:val="both"/>
        <w:rPr>
          <w:rFonts w:ascii="Arial" w:hAnsi="Arial" w:cs="Arial"/>
          <w:b/>
          <w:bCs/>
        </w:rPr>
      </w:pPr>
      <w:r>
        <w:rPr>
          <w:rFonts w:ascii="Arial" w:hAnsi="Arial" w:cs="Arial"/>
          <w:b/>
          <w:bCs/>
        </w:rPr>
        <w:t>Table 1: Macronutrient status of SMS from different treatments</w:t>
      </w:r>
    </w:p>
    <w:tbl>
      <w:tblPr>
        <w:tblStyle w:val="TableGrid"/>
        <w:tblW w:w="9356" w:type="dxa"/>
        <w:tblInd w:w="-289" w:type="dxa"/>
        <w:tblLayout w:type="fixed"/>
        <w:tblLook w:val="04A0" w:firstRow="1" w:lastRow="0" w:firstColumn="1" w:lastColumn="0" w:noHBand="0" w:noVBand="1"/>
      </w:tblPr>
      <w:tblGrid>
        <w:gridCol w:w="1135"/>
        <w:gridCol w:w="1417"/>
        <w:gridCol w:w="1276"/>
        <w:gridCol w:w="1418"/>
        <w:gridCol w:w="1417"/>
        <w:gridCol w:w="1418"/>
        <w:gridCol w:w="1275"/>
      </w:tblGrid>
      <w:tr>
        <w:tc>
          <w:tcPr>
            <w:tcW w:w="1135" w:type="dxa"/>
          </w:tcPr>
          <w:p>
            <w:pPr>
              <w:spacing w:line="360" w:lineRule="auto"/>
              <w:jc w:val="center"/>
              <w:rPr>
                <w:rFonts w:ascii="Arial" w:hAnsi="Arial" w:cs="Arial"/>
                <w:sz w:val="20"/>
                <w:szCs w:val="20"/>
              </w:rPr>
            </w:pPr>
            <w:r>
              <w:rPr>
                <w:rFonts w:ascii="Arial" w:hAnsi="Arial" w:cs="Arial"/>
                <w:sz w:val="20"/>
                <w:szCs w:val="20"/>
              </w:rPr>
              <w:t>Treatment</w:t>
            </w:r>
          </w:p>
        </w:tc>
        <w:tc>
          <w:tcPr>
            <w:tcW w:w="1417" w:type="dxa"/>
          </w:tcPr>
          <w:p>
            <w:pPr>
              <w:spacing w:line="360" w:lineRule="auto"/>
              <w:jc w:val="center"/>
              <w:rPr>
                <w:rFonts w:ascii="Arial" w:hAnsi="Arial" w:cs="Arial"/>
                <w:sz w:val="20"/>
                <w:szCs w:val="20"/>
              </w:rPr>
            </w:pPr>
            <w:r>
              <w:rPr>
                <w:rFonts w:ascii="Arial" w:hAnsi="Arial" w:cs="Arial"/>
                <w:sz w:val="20"/>
                <w:szCs w:val="20"/>
              </w:rPr>
              <w:t>N (per cent)</w:t>
            </w:r>
          </w:p>
        </w:tc>
        <w:tc>
          <w:tcPr>
            <w:tcW w:w="1276" w:type="dxa"/>
          </w:tcPr>
          <w:p>
            <w:pPr>
              <w:spacing w:line="360" w:lineRule="auto"/>
              <w:jc w:val="center"/>
              <w:rPr>
                <w:rFonts w:ascii="Arial" w:hAnsi="Arial" w:cs="Arial"/>
                <w:sz w:val="20"/>
                <w:szCs w:val="20"/>
              </w:rPr>
            </w:pPr>
            <w:r>
              <w:rPr>
                <w:rFonts w:ascii="Arial" w:hAnsi="Arial" w:cs="Arial"/>
                <w:sz w:val="20"/>
                <w:szCs w:val="20"/>
              </w:rPr>
              <w:t>P (per cent)</w:t>
            </w:r>
          </w:p>
        </w:tc>
        <w:tc>
          <w:tcPr>
            <w:tcW w:w="1418" w:type="dxa"/>
          </w:tcPr>
          <w:p>
            <w:pPr>
              <w:spacing w:line="360" w:lineRule="auto"/>
              <w:jc w:val="center"/>
              <w:rPr>
                <w:rFonts w:ascii="Arial" w:hAnsi="Arial" w:cs="Arial"/>
                <w:sz w:val="20"/>
                <w:szCs w:val="20"/>
              </w:rPr>
            </w:pPr>
            <w:r>
              <w:rPr>
                <w:rFonts w:ascii="Arial" w:hAnsi="Arial" w:cs="Arial"/>
                <w:sz w:val="20"/>
                <w:szCs w:val="20"/>
              </w:rPr>
              <w:t>K (ppm)</w:t>
            </w:r>
          </w:p>
        </w:tc>
        <w:tc>
          <w:tcPr>
            <w:tcW w:w="1417" w:type="dxa"/>
          </w:tcPr>
          <w:p>
            <w:pPr>
              <w:spacing w:line="360" w:lineRule="auto"/>
              <w:jc w:val="center"/>
              <w:rPr>
                <w:rFonts w:ascii="Arial" w:hAnsi="Arial" w:cs="Arial"/>
                <w:sz w:val="20"/>
                <w:szCs w:val="20"/>
              </w:rPr>
            </w:pPr>
            <w:r>
              <w:rPr>
                <w:rFonts w:ascii="Arial" w:hAnsi="Arial" w:cs="Arial"/>
                <w:sz w:val="20"/>
                <w:szCs w:val="20"/>
              </w:rPr>
              <w:t>Ca (per cent)</w:t>
            </w:r>
          </w:p>
        </w:tc>
        <w:tc>
          <w:tcPr>
            <w:tcW w:w="1418" w:type="dxa"/>
          </w:tcPr>
          <w:p>
            <w:pPr>
              <w:spacing w:line="360" w:lineRule="auto"/>
              <w:jc w:val="center"/>
              <w:rPr>
                <w:rFonts w:ascii="Arial" w:hAnsi="Arial" w:cs="Arial"/>
                <w:sz w:val="20"/>
                <w:szCs w:val="20"/>
              </w:rPr>
            </w:pPr>
            <w:r>
              <w:rPr>
                <w:rFonts w:ascii="Arial" w:hAnsi="Arial" w:cs="Arial"/>
                <w:sz w:val="20"/>
                <w:szCs w:val="20"/>
              </w:rPr>
              <w:t>Mg (per cent)</w:t>
            </w:r>
          </w:p>
        </w:tc>
        <w:tc>
          <w:tcPr>
            <w:tcW w:w="1275" w:type="dxa"/>
          </w:tcPr>
          <w:p>
            <w:pPr>
              <w:spacing w:line="360" w:lineRule="auto"/>
              <w:jc w:val="center"/>
              <w:rPr>
                <w:rFonts w:ascii="Arial" w:hAnsi="Arial" w:cs="Arial"/>
                <w:sz w:val="20"/>
                <w:szCs w:val="20"/>
              </w:rPr>
            </w:pPr>
            <w:r>
              <w:rPr>
                <w:rFonts w:ascii="Arial" w:hAnsi="Arial" w:cs="Arial"/>
                <w:sz w:val="20"/>
                <w:szCs w:val="20"/>
              </w:rPr>
              <w:t>S (per cent)</w:t>
            </w:r>
          </w:p>
        </w:tc>
      </w:tr>
      <w:tr>
        <w:trPr>
          <w:trHeight w:val="742"/>
        </w:trPr>
        <w:tc>
          <w:tcPr>
            <w:tcW w:w="1135" w:type="dxa"/>
          </w:tcPr>
          <w:p>
            <w:pPr>
              <w:spacing w:line="360" w:lineRule="auto"/>
              <w:jc w:val="center"/>
              <w:rPr>
                <w:rFonts w:ascii="Arial" w:hAnsi="Arial" w:cs="Arial"/>
                <w:sz w:val="20"/>
                <w:szCs w:val="20"/>
              </w:rPr>
            </w:pPr>
            <w:r>
              <w:rPr>
                <w:rFonts w:ascii="Arial" w:hAnsi="Arial" w:cs="Arial"/>
                <w:sz w:val="20"/>
                <w:szCs w:val="20"/>
              </w:rPr>
              <w:t>T1</w:t>
            </w:r>
          </w:p>
        </w:tc>
        <w:tc>
          <w:tcPr>
            <w:tcW w:w="1417" w:type="dxa"/>
          </w:tcPr>
          <w:p>
            <w:pPr>
              <w:spacing w:line="360" w:lineRule="auto"/>
              <w:jc w:val="center"/>
              <w:rPr>
                <w:rFonts w:ascii="Arial" w:hAnsi="Arial" w:cs="Arial"/>
                <w:sz w:val="20"/>
                <w:szCs w:val="20"/>
              </w:rPr>
            </w:pPr>
            <w:r>
              <w:rPr>
                <w:rFonts w:ascii="Arial" w:hAnsi="Arial" w:cs="Arial"/>
                <w:color w:val="333333"/>
                <w:sz w:val="20"/>
                <w:szCs w:val="20"/>
              </w:rPr>
              <w:t>1.45 </w:t>
            </w:r>
            <w:r>
              <w:rPr>
                <w:rStyle w:val="mo"/>
                <w:rFonts w:ascii="Arial" w:hAnsi="Arial" w:cs="Arial"/>
                <w:color w:val="333333"/>
                <w:sz w:val="20"/>
                <w:szCs w:val="20"/>
                <w:bdr w:val="none" w:sz="0" w:space="0" w:color="auto" w:frame="1"/>
              </w:rPr>
              <w:t>±</w:t>
            </w:r>
            <w:r>
              <w:rPr>
                <w:rFonts w:ascii="Arial" w:hAnsi="Arial" w:cs="Arial"/>
                <w:color w:val="333333"/>
                <w:sz w:val="20"/>
                <w:szCs w:val="20"/>
              </w:rPr>
              <w:t> 0.17</w:t>
            </w:r>
            <w:r>
              <w:rPr>
                <w:rFonts w:ascii="Arial" w:hAnsi="Arial" w:cs="Arial"/>
                <w:color w:val="333333"/>
                <w:sz w:val="20"/>
                <w:szCs w:val="20"/>
                <w:vertAlign w:val="superscript"/>
              </w:rPr>
              <w:t>b</w:t>
            </w:r>
          </w:p>
        </w:tc>
        <w:tc>
          <w:tcPr>
            <w:tcW w:w="1276" w:type="dxa"/>
          </w:tcPr>
          <w:p>
            <w:pPr>
              <w:spacing w:line="360" w:lineRule="auto"/>
              <w:jc w:val="center"/>
              <w:rPr>
                <w:rFonts w:ascii="Arial" w:hAnsi="Arial" w:cs="Arial"/>
                <w:sz w:val="20"/>
                <w:szCs w:val="20"/>
              </w:rPr>
            </w:pPr>
            <w:r>
              <w:rPr>
                <w:rFonts w:ascii="Arial" w:hAnsi="Arial" w:cs="Arial"/>
                <w:color w:val="333333"/>
                <w:sz w:val="20"/>
                <w:szCs w:val="20"/>
              </w:rPr>
              <w:t>0.16 </w:t>
            </w:r>
            <w:r>
              <w:rPr>
                <w:rStyle w:val="mo"/>
                <w:rFonts w:ascii="Arial" w:hAnsi="Arial" w:cs="Arial"/>
                <w:color w:val="333333"/>
                <w:sz w:val="20"/>
                <w:szCs w:val="20"/>
                <w:bdr w:val="none" w:sz="0" w:space="0" w:color="auto" w:frame="1"/>
              </w:rPr>
              <w:t>±</w:t>
            </w:r>
            <w:r>
              <w:rPr>
                <w:rFonts w:ascii="Arial" w:hAnsi="Arial" w:cs="Arial"/>
                <w:color w:val="333333"/>
                <w:sz w:val="20"/>
                <w:szCs w:val="20"/>
              </w:rPr>
              <w:t> 0.02</w:t>
            </w:r>
            <w:r>
              <w:rPr>
                <w:rFonts w:ascii="Arial" w:hAnsi="Arial" w:cs="Arial"/>
                <w:color w:val="333333"/>
                <w:sz w:val="20"/>
                <w:szCs w:val="20"/>
                <w:vertAlign w:val="superscript"/>
              </w:rPr>
              <w:t>a</w:t>
            </w:r>
          </w:p>
        </w:tc>
        <w:tc>
          <w:tcPr>
            <w:tcW w:w="1418" w:type="dxa"/>
          </w:tcPr>
          <w:p>
            <w:pPr>
              <w:spacing w:line="360" w:lineRule="auto"/>
              <w:jc w:val="center"/>
              <w:rPr>
                <w:rFonts w:ascii="Arial" w:hAnsi="Arial" w:cs="Arial"/>
                <w:sz w:val="20"/>
                <w:szCs w:val="20"/>
              </w:rPr>
            </w:pPr>
            <w:r>
              <w:rPr>
                <w:rFonts w:ascii="Arial" w:hAnsi="Arial" w:cs="Arial"/>
                <w:color w:val="333333"/>
                <w:sz w:val="20"/>
                <w:szCs w:val="20"/>
              </w:rPr>
              <w:t>1.15 </w:t>
            </w:r>
            <w:r>
              <w:rPr>
                <w:rStyle w:val="mo"/>
                <w:rFonts w:ascii="Arial" w:hAnsi="Arial" w:cs="Arial"/>
                <w:color w:val="333333"/>
                <w:sz w:val="20"/>
                <w:szCs w:val="20"/>
                <w:bdr w:val="none" w:sz="0" w:space="0" w:color="auto" w:frame="1"/>
              </w:rPr>
              <w:t>±</w:t>
            </w:r>
            <w:r>
              <w:rPr>
                <w:rFonts w:ascii="Arial" w:hAnsi="Arial" w:cs="Arial"/>
                <w:color w:val="333333"/>
                <w:sz w:val="20"/>
                <w:szCs w:val="20"/>
              </w:rPr>
              <w:t> 0.04</w:t>
            </w:r>
            <w:r>
              <w:rPr>
                <w:rFonts w:ascii="Arial" w:hAnsi="Arial" w:cs="Arial"/>
                <w:color w:val="333333"/>
                <w:sz w:val="20"/>
                <w:szCs w:val="20"/>
                <w:vertAlign w:val="superscript"/>
              </w:rPr>
              <w:t>bc</w:t>
            </w:r>
          </w:p>
        </w:tc>
        <w:tc>
          <w:tcPr>
            <w:tcW w:w="1417" w:type="dxa"/>
          </w:tcPr>
          <w:p>
            <w:pPr>
              <w:spacing w:line="360" w:lineRule="auto"/>
              <w:jc w:val="center"/>
              <w:rPr>
                <w:rFonts w:ascii="Arial" w:hAnsi="Arial" w:cs="Arial"/>
                <w:sz w:val="20"/>
                <w:szCs w:val="20"/>
              </w:rPr>
            </w:pPr>
            <w:r>
              <w:rPr>
                <w:rFonts w:ascii="Arial" w:hAnsi="Arial" w:cs="Arial"/>
                <w:color w:val="333333"/>
                <w:sz w:val="20"/>
                <w:szCs w:val="20"/>
              </w:rPr>
              <w:t>1.14 </w:t>
            </w:r>
            <w:r>
              <w:rPr>
                <w:rStyle w:val="mo"/>
                <w:rFonts w:ascii="Arial" w:hAnsi="Arial" w:cs="Arial"/>
                <w:color w:val="333333"/>
                <w:sz w:val="20"/>
                <w:szCs w:val="20"/>
                <w:bdr w:val="none" w:sz="0" w:space="0" w:color="auto" w:frame="1"/>
              </w:rPr>
              <w:t>±</w:t>
            </w:r>
            <w:r>
              <w:rPr>
                <w:rFonts w:ascii="Arial" w:hAnsi="Arial" w:cs="Arial"/>
                <w:color w:val="333333"/>
                <w:sz w:val="20"/>
                <w:szCs w:val="20"/>
              </w:rPr>
              <w:t> 0.05</w:t>
            </w:r>
            <w:r>
              <w:rPr>
                <w:rFonts w:ascii="Arial" w:hAnsi="Arial" w:cs="Arial"/>
                <w:color w:val="333333"/>
                <w:sz w:val="20"/>
                <w:szCs w:val="20"/>
                <w:vertAlign w:val="superscript"/>
              </w:rPr>
              <w:t>c</w:t>
            </w:r>
          </w:p>
        </w:tc>
        <w:tc>
          <w:tcPr>
            <w:tcW w:w="1418" w:type="dxa"/>
          </w:tcPr>
          <w:p>
            <w:pPr>
              <w:spacing w:line="360" w:lineRule="auto"/>
              <w:jc w:val="center"/>
              <w:rPr>
                <w:rFonts w:ascii="Arial" w:hAnsi="Arial" w:cs="Arial"/>
                <w:sz w:val="20"/>
                <w:szCs w:val="20"/>
              </w:rPr>
            </w:pPr>
            <w:r>
              <w:rPr>
                <w:rFonts w:ascii="Arial" w:hAnsi="Arial" w:cs="Arial"/>
                <w:color w:val="333333"/>
                <w:sz w:val="20"/>
                <w:szCs w:val="20"/>
              </w:rPr>
              <w:t>1.26 </w:t>
            </w:r>
            <w:r>
              <w:rPr>
                <w:rStyle w:val="mo"/>
                <w:rFonts w:ascii="Arial" w:hAnsi="Arial" w:cs="Arial"/>
                <w:color w:val="333333"/>
                <w:sz w:val="20"/>
                <w:szCs w:val="20"/>
                <w:bdr w:val="none" w:sz="0" w:space="0" w:color="auto" w:frame="1"/>
              </w:rPr>
              <w:t>±</w:t>
            </w:r>
            <w:r>
              <w:rPr>
                <w:rFonts w:ascii="Arial" w:hAnsi="Arial" w:cs="Arial"/>
                <w:color w:val="333333"/>
                <w:sz w:val="20"/>
                <w:szCs w:val="20"/>
              </w:rPr>
              <w:t> 0.04</w:t>
            </w:r>
            <w:r>
              <w:rPr>
                <w:rFonts w:ascii="Arial" w:hAnsi="Arial" w:cs="Arial"/>
                <w:color w:val="333333"/>
                <w:sz w:val="20"/>
                <w:szCs w:val="20"/>
                <w:vertAlign w:val="superscript"/>
              </w:rPr>
              <w:t>a</w:t>
            </w:r>
          </w:p>
        </w:tc>
        <w:tc>
          <w:tcPr>
            <w:tcW w:w="1275" w:type="dxa"/>
          </w:tcPr>
          <w:p>
            <w:pPr>
              <w:spacing w:line="360" w:lineRule="auto"/>
              <w:jc w:val="center"/>
              <w:rPr>
                <w:rFonts w:ascii="Arial" w:hAnsi="Arial" w:cs="Arial"/>
                <w:sz w:val="20"/>
                <w:szCs w:val="20"/>
              </w:rPr>
            </w:pPr>
            <w:r>
              <w:rPr>
                <w:rFonts w:ascii="Arial" w:hAnsi="Arial" w:cs="Arial"/>
                <w:color w:val="333333"/>
                <w:sz w:val="20"/>
                <w:szCs w:val="20"/>
              </w:rPr>
              <w:t>0.42 </w:t>
            </w:r>
            <w:r>
              <w:rPr>
                <w:rStyle w:val="mo"/>
                <w:rFonts w:ascii="Arial" w:hAnsi="Arial" w:cs="Arial"/>
                <w:color w:val="333333"/>
                <w:sz w:val="20"/>
                <w:szCs w:val="20"/>
                <w:bdr w:val="none" w:sz="0" w:space="0" w:color="auto" w:frame="1"/>
              </w:rPr>
              <w:t>±</w:t>
            </w:r>
            <w:r>
              <w:rPr>
                <w:rFonts w:ascii="Arial" w:hAnsi="Arial" w:cs="Arial"/>
                <w:color w:val="333333"/>
                <w:sz w:val="20"/>
                <w:szCs w:val="20"/>
              </w:rPr>
              <w:t> 0.07</w:t>
            </w:r>
            <w:r>
              <w:rPr>
                <w:rFonts w:ascii="Arial" w:hAnsi="Arial" w:cs="Arial"/>
                <w:color w:val="333333"/>
                <w:sz w:val="20"/>
                <w:szCs w:val="20"/>
                <w:vertAlign w:val="superscript"/>
              </w:rPr>
              <w:t>b</w:t>
            </w:r>
          </w:p>
        </w:tc>
      </w:tr>
      <w:tr>
        <w:trPr>
          <w:trHeight w:val="758"/>
        </w:trPr>
        <w:tc>
          <w:tcPr>
            <w:tcW w:w="1135" w:type="dxa"/>
          </w:tcPr>
          <w:p>
            <w:pPr>
              <w:spacing w:line="360" w:lineRule="auto"/>
              <w:jc w:val="center"/>
              <w:rPr>
                <w:rFonts w:ascii="Arial" w:hAnsi="Arial" w:cs="Arial"/>
                <w:sz w:val="20"/>
                <w:szCs w:val="20"/>
              </w:rPr>
            </w:pPr>
            <w:r>
              <w:rPr>
                <w:rFonts w:ascii="Arial" w:hAnsi="Arial" w:cs="Arial"/>
                <w:sz w:val="20"/>
                <w:szCs w:val="20"/>
              </w:rPr>
              <w:lastRenderedPageBreak/>
              <w:t>T2</w:t>
            </w:r>
          </w:p>
        </w:tc>
        <w:tc>
          <w:tcPr>
            <w:tcW w:w="1417" w:type="dxa"/>
          </w:tcPr>
          <w:p>
            <w:pPr>
              <w:spacing w:line="360" w:lineRule="auto"/>
              <w:jc w:val="center"/>
              <w:rPr>
                <w:rFonts w:ascii="Arial" w:hAnsi="Arial" w:cs="Arial"/>
                <w:sz w:val="20"/>
                <w:szCs w:val="20"/>
              </w:rPr>
            </w:pPr>
            <w:r>
              <w:rPr>
                <w:rFonts w:ascii="Arial" w:hAnsi="Arial" w:cs="Arial"/>
                <w:color w:val="333333"/>
                <w:sz w:val="20"/>
                <w:szCs w:val="20"/>
              </w:rPr>
              <w:t>1.77 </w:t>
            </w:r>
            <w:r>
              <w:rPr>
                <w:rStyle w:val="mo"/>
                <w:rFonts w:ascii="Arial" w:hAnsi="Arial" w:cs="Arial"/>
                <w:color w:val="333333"/>
                <w:sz w:val="20"/>
                <w:szCs w:val="20"/>
                <w:bdr w:val="none" w:sz="0" w:space="0" w:color="auto" w:frame="1"/>
              </w:rPr>
              <w:t>±</w:t>
            </w:r>
            <w:r>
              <w:rPr>
                <w:rFonts w:ascii="Arial" w:hAnsi="Arial" w:cs="Arial"/>
                <w:color w:val="333333"/>
                <w:sz w:val="20"/>
                <w:szCs w:val="20"/>
              </w:rPr>
              <w:t> 0.08</w:t>
            </w:r>
            <w:r>
              <w:rPr>
                <w:rFonts w:ascii="Arial" w:hAnsi="Arial" w:cs="Arial"/>
                <w:color w:val="333333"/>
                <w:sz w:val="20"/>
                <w:szCs w:val="20"/>
                <w:vertAlign w:val="superscript"/>
              </w:rPr>
              <w:t>a</w:t>
            </w:r>
          </w:p>
        </w:tc>
        <w:tc>
          <w:tcPr>
            <w:tcW w:w="1276" w:type="dxa"/>
          </w:tcPr>
          <w:p>
            <w:pPr>
              <w:spacing w:line="360" w:lineRule="auto"/>
              <w:jc w:val="center"/>
              <w:rPr>
                <w:rFonts w:ascii="Arial" w:hAnsi="Arial" w:cs="Arial"/>
                <w:sz w:val="20"/>
                <w:szCs w:val="20"/>
              </w:rPr>
            </w:pPr>
            <w:r>
              <w:rPr>
                <w:rFonts w:ascii="Arial" w:hAnsi="Arial" w:cs="Arial"/>
                <w:color w:val="333333"/>
                <w:sz w:val="20"/>
                <w:szCs w:val="20"/>
              </w:rPr>
              <w:t>0.02 </w:t>
            </w:r>
            <w:r>
              <w:rPr>
                <w:rStyle w:val="mo"/>
                <w:rFonts w:ascii="Arial" w:hAnsi="Arial" w:cs="Arial"/>
                <w:color w:val="333333"/>
                <w:sz w:val="20"/>
                <w:szCs w:val="20"/>
                <w:bdr w:val="none" w:sz="0" w:space="0" w:color="auto" w:frame="1"/>
              </w:rPr>
              <w:t>±</w:t>
            </w:r>
            <w:r>
              <w:rPr>
                <w:rFonts w:ascii="Arial" w:hAnsi="Arial" w:cs="Arial"/>
                <w:color w:val="333333"/>
                <w:sz w:val="20"/>
                <w:szCs w:val="20"/>
              </w:rPr>
              <w:t> 0.00</w:t>
            </w:r>
            <w:r>
              <w:rPr>
                <w:rFonts w:ascii="Arial" w:hAnsi="Arial" w:cs="Arial"/>
                <w:color w:val="333333"/>
                <w:sz w:val="20"/>
                <w:szCs w:val="20"/>
                <w:vertAlign w:val="superscript"/>
              </w:rPr>
              <w:t>c</w:t>
            </w:r>
          </w:p>
        </w:tc>
        <w:tc>
          <w:tcPr>
            <w:tcW w:w="1418" w:type="dxa"/>
          </w:tcPr>
          <w:p>
            <w:pPr>
              <w:spacing w:line="360" w:lineRule="auto"/>
              <w:jc w:val="center"/>
              <w:rPr>
                <w:rFonts w:ascii="Arial" w:hAnsi="Arial" w:cs="Arial"/>
                <w:sz w:val="20"/>
                <w:szCs w:val="20"/>
              </w:rPr>
            </w:pPr>
            <w:r>
              <w:rPr>
                <w:rFonts w:ascii="Arial" w:hAnsi="Arial" w:cs="Arial"/>
                <w:color w:val="333333"/>
                <w:sz w:val="20"/>
                <w:szCs w:val="20"/>
              </w:rPr>
              <w:t>1.40 </w:t>
            </w:r>
            <w:r>
              <w:rPr>
                <w:rStyle w:val="mo"/>
                <w:rFonts w:ascii="Arial" w:hAnsi="Arial" w:cs="Arial"/>
                <w:color w:val="333333"/>
                <w:sz w:val="20"/>
                <w:szCs w:val="20"/>
                <w:bdr w:val="none" w:sz="0" w:space="0" w:color="auto" w:frame="1"/>
              </w:rPr>
              <w:t>±</w:t>
            </w:r>
            <w:r>
              <w:rPr>
                <w:rFonts w:ascii="Arial" w:hAnsi="Arial" w:cs="Arial"/>
                <w:color w:val="333333"/>
                <w:sz w:val="20"/>
                <w:szCs w:val="20"/>
              </w:rPr>
              <w:t> 0.10</w:t>
            </w:r>
            <w:r>
              <w:rPr>
                <w:rFonts w:ascii="Arial" w:hAnsi="Arial" w:cs="Arial"/>
                <w:color w:val="333333"/>
                <w:sz w:val="20"/>
                <w:szCs w:val="20"/>
                <w:vertAlign w:val="superscript"/>
              </w:rPr>
              <w:t>a</w:t>
            </w:r>
          </w:p>
        </w:tc>
        <w:tc>
          <w:tcPr>
            <w:tcW w:w="1417" w:type="dxa"/>
          </w:tcPr>
          <w:p>
            <w:pPr>
              <w:spacing w:line="360" w:lineRule="auto"/>
              <w:jc w:val="center"/>
              <w:rPr>
                <w:rFonts w:ascii="Arial" w:hAnsi="Arial" w:cs="Arial"/>
                <w:sz w:val="20"/>
                <w:szCs w:val="20"/>
              </w:rPr>
            </w:pPr>
            <w:r>
              <w:rPr>
                <w:rFonts w:ascii="Arial" w:hAnsi="Arial" w:cs="Arial"/>
                <w:color w:val="333333"/>
                <w:sz w:val="20"/>
                <w:szCs w:val="20"/>
              </w:rPr>
              <w:t>2.10 </w:t>
            </w:r>
            <w:r>
              <w:rPr>
                <w:rStyle w:val="mo"/>
                <w:rFonts w:ascii="Arial" w:hAnsi="Arial" w:cs="Arial"/>
                <w:color w:val="333333"/>
                <w:sz w:val="20"/>
                <w:szCs w:val="20"/>
                <w:bdr w:val="none" w:sz="0" w:space="0" w:color="auto" w:frame="1"/>
              </w:rPr>
              <w:t>±</w:t>
            </w:r>
            <w:r>
              <w:rPr>
                <w:rFonts w:ascii="Arial" w:hAnsi="Arial" w:cs="Arial"/>
                <w:color w:val="333333"/>
                <w:sz w:val="20"/>
                <w:szCs w:val="20"/>
              </w:rPr>
              <w:t> 0.11</w:t>
            </w:r>
            <w:r>
              <w:rPr>
                <w:rFonts w:ascii="Arial" w:hAnsi="Arial" w:cs="Arial"/>
                <w:color w:val="333333"/>
                <w:sz w:val="20"/>
                <w:szCs w:val="20"/>
                <w:vertAlign w:val="superscript"/>
              </w:rPr>
              <w:t>a</w:t>
            </w:r>
          </w:p>
        </w:tc>
        <w:tc>
          <w:tcPr>
            <w:tcW w:w="1418" w:type="dxa"/>
          </w:tcPr>
          <w:p>
            <w:pPr>
              <w:spacing w:line="360" w:lineRule="auto"/>
              <w:jc w:val="center"/>
              <w:rPr>
                <w:rFonts w:ascii="Arial" w:hAnsi="Arial" w:cs="Arial"/>
                <w:sz w:val="20"/>
                <w:szCs w:val="20"/>
              </w:rPr>
            </w:pPr>
            <w:r>
              <w:rPr>
                <w:rFonts w:ascii="Arial" w:hAnsi="Arial" w:cs="Arial"/>
                <w:color w:val="333333"/>
                <w:sz w:val="20"/>
                <w:szCs w:val="20"/>
              </w:rPr>
              <w:t>1.02 </w:t>
            </w:r>
            <w:r>
              <w:rPr>
                <w:rStyle w:val="mo"/>
                <w:rFonts w:ascii="Arial" w:hAnsi="Arial" w:cs="Arial"/>
                <w:color w:val="333333"/>
                <w:sz w:val="20"/>
                <w:szCs w:val="20"/>
                <w:bdr w:val="none" w:sz="0" w:space="0" w:color="auto" w:frame="1"/>
              </w:rPr>
              <w:t>±</w:t>
            </w:r>
            <w:r>
              <w:rPr>
                <w:rFonts w:ascii="Arial" w:hAnsi="Arial" w:cs="Arial"/>
                <w:color w:val="333333"/>
                <w:sz w:val="20"/>
                <w:szCs w:val="20"/>
              </w:rPr>
              <w:t> 0.03</w:t>
            </w:r>
            <w:r>
              <w:rPr>
                <w:rFonts w:ascii="Arial" w:hAnsi="Arial" w:cs="Arial"/>
                <w:color w:val="333333"/>
                <w:sz w:val="20"/>
                <w:szCs w:val="20"/>
                <w:vertAlign w:val="superscript"/>
              </w:rPr>
              <w:t>c</w:t>
            </w:r>
          </w:p>
        </w:tc>
        <w:tc>
          <w:tcPr>
            <w:tcW w:w="1275" w:type="dxa"/>
          </w:tcPr>
          <w:p>
            <w:pPr>
              <w:spacing w:line="360" w:lineRule="auto"/>
              <w:jc w:val="center"/>
              <w:rPr>
                <w:rFonts w:ascii="Arial" w:hAnsi="Arial" w:cs="Arial"/>
                <w:sz w:val="20"/>
                <w:szCs w:val="20"/>
              </w:rPr>
            </w:pPr>
            <w:r>
              <w:rPr>
                <w:rFonts w:ascii="Arial" w:hAnsi="Arial" w:cs="Arial"/>
                <w:color w:val="333333"/>
                <w:sz w:val="20"/>
                <w:szCs w:val="20"/>
              </w:rPr>
              <w:t>0.59 </w:t>
            </w:r>
            <w:r>
              <w:rPr>
                <w:rStyle w:val="mo"/>
                <w:rFonts w:ascii="Arial" w:hAnsi="Arial" w:cs="Arial"/>
                <w:color w:val="333333"/>
                <w:sz w:val="20"/>
                <w:szCs w:val="20"/>
                <w:bdr w:val="none" w:sz="0" w:space="0" w:color="auto" w:frame="1"/>
              </w:rPr>
              <w:t>±</w:t>
            </w:r>
            <w:r>
              <w:rPr>
                <w:rFonts w:ascii="Arial" w:hAnsi="Arial" w:cs="Arial"/>
                <w:color w:val="333333"/>
                <w:sz w:val="20"/>
                <w:szCs w:val="20"/>
              </w:rPr>
              <w:t> 0.03</w:t>
            </w:r>
            <w:r>
              <w:rPr>
                <w:rFonts w:ascii="Arial" w:hAnsi="Arial" w:cs="Arial"/>
                <w:color w:val="333333"/>
                <w:sz w:val="20"/>
                <w:szCs w:val="20"/>
                <w:vertAlign w:val="superscript"/>
              </w:rPr>
              <w:t>a</w:t>
            </w:r>
          </w:p>
        </w:tc>
      </w:tr>
      <w:tr>
        <w:trPr>
          <w:trHeight w:val="712"/>
        </w:trPr>
        <w:tc>
          <w:tcPr>
            <w:tcW w:w="1135" w:type="dxa"/>
          </w:tcPr>
          <w:p>
            <w:pPr>
              <w:spacing w:line="360" w:lineRule="auto"/>
              <w:jc w:val="center"/>
              <w:rPr>
                <w:rFonts w:ascii="Arial" w:hAnsi="Arial" w:cs="Arial"/>
                <w:sz w:val="20"/>
                <w:szCs w:val="20"/>
              </w:rPr>
            </w:pPr>
            <w:r>
              <w:rPr>
                <w:rFonts w:ascii="Arial" w:hAnsi="Arial" w:cs="Arial"/>
                <w:sz w:val="20"/>
                <w:szCs w:val="20"/>
              </w:rPr>
              <w:t>T3</w:t>
            </w:r>
          </w:p>
        </w:tc>
        <w:tc>
          <w:tcPr>
            <w:tcW w:w="1417" w:type="dxa"/>
          </w:tcPr>
          <w:p>
            <w:pPr>
              <w:spacing w:line="360" w:lineRule="auto"/>
              <w:jc w:val="center"/>
              <w:rPr>
                <w:rFonts w:ascii="Arial" w:hAnsi="Arial" w:cs="Arial"/>
                <w:sz w:val="20"/>
                <w:szCs w:val="20"/>
              </w:rPr>
            </w:pPr>
            <w:r>
              <w:rPr>
                <w:rFonts w:ascii="Arial" w:hAnsi="Arial" w:cs="Arial"/>
                <w:color w:val="333333"/>
                <w:sz w:val="20"/>
                <w:szCs w:val="20"/>
              </w:rPr>
              <w:t>1.50 </w:t>
            </w:r>
            <w:r>
              <w:rPr>
                <w:rStyle w:val="mo"/>
                <w:rFonts w:ascii="Arial" w:hAnsi="Arial" w:cs="Arial"/>
                <w:color w:val="333333"/>
                <w:sz w:val="20"/>
                <w:szCs w:val="20"/>
                <w:bdr w:val="none" w:sz="0" w:space="0" w:color="auto" w:frame="1"/>
              </w:rPr>
              <w:t>±</w:t>
            </w:r>
            <w:r>
              <w:rPr>
                <w:rFonts w:ascii="Arial" w:hAnsi="Arial" w:cs="Arial"/>
                <w:color w:val="333333"/>
                <w:sz w:val="20"/>
                <w:szCs w:val="20"/>
              </w:rPr>
              <w:t> 0.10</w:t>
            </w:r>
            <w:r>
              <w:rPr>
                <w:rFonts w:ascii="Arial" w:hAnsi="Arial" w:cs="Arial"/>
                <w:color w:val="333333"/>
                <w:sz w:val="20"/>
                <w:szCs w:val="20"/>
                <w:vertAlign w:val="superscript"/>
              </w:rPr>
              <w:t>b</w:t>
            </w:r>
          </w:p>
        </w:tc>
        <w:tc>
          <w:tcPr>
            <w:tcW w:w="1276" w:type="dxa"/>
          </w:tcPr>
          <w:p>
            <w:pPr>
              <w:spacing w:line="360" w:lineRule="auto"/>
              <w:jc w:val="center"/>
              <w:rPr>
                <w:rFonts w:ascii="Arial" w:hAnsi="Arial" w:cs="Arial"/>
                <w:sz w:val="20"/>
                <w:szCs w:val="20"/>
              </w:rPr>
            </w:pPr>
            <w:r>
              <w:rPr>
                <w:rFonts w:ascii="Arial" w:hAnsi="Arial" w:cs="Arial"/>
                <w:color w:val="333333"/>
                <w:sz w:val="20"/>
                <w:szCs w:val="20"/>
              </w:rPr>
              <w:t>0.14 </w:t>
            </w:r>
            <w:r>
              <w:rPr>
                <w:rStyle w:val="mo"/>
                <w:rFonts w:ascii="Arial" w:hAnsi="Arial" w:cs="Arial"/>
                <w:color w:val="333333"/>
                <w:sz w:val="20"/>
                <w:szCs w:val="20"/>
                <w:bdr w:val="none" w:sz="0" w:space="0" w:color="auto" w:frame="1"/>
              </w:rPr>
              <w:t>±</w:t>
            </w:r>
            <w:r>
              <w:rPr>
                <w:rFonts w:ascii="Arial" w:hAnsi="Arial" w:cs="Arial"/>
                <w:color w:val="333333"/>
                <w:sz w:val="20"/>
                <w:szCs w:val="20"/>
              </w:rPr>
              <w:t> 0.02</w:t>
            </w:r>
            <w:r>
              <w:rPr>
                <w:rFonts w:ascii="Arial" w:hAnsi="Arial" w:cs="Arial"/>
                <w:color w:val="333333"/>
                <w:sz w:val="20"/>
                <w:szCs w:val="20"/>
                <w:vertAlign w:val="superscript"/>
              </w:rPr>
              <w:t>ab</w:t>
            </w:r>
          </w:p>
        </w:tc>
        <w:tc>
          <w:tcPr>
            <w:tcW w:w="1418" w:type="dxa"/>
          </w:tcPr>
          <w:p>
            <w:pPr>
              <w:spacing w:line="360" w:lineRule="auto"/>
              <w:jc w:val="center"/>
              <w:rPr>
                <w:rFonts w:ascii="Arial" w:hAnsi="Arial" w:cs="Arial"/>
                <w:sz w:val="20"/>
                <w:szCs w:val="20"/>
              </w:rPr>
            </w:pPr>
            <w:r>
              <w:rPr>
                <w:rFonts w:ascii="Arial" w:hAnsi="Arial" w:cs="Arial"/>
                <w:color w:val="333333"/>
                <w:sz w:val="20"/>
                <w:szCs w:val="20"/>
              </w:rPr>
              <w:t>1.25 </w:t>
            </w:r>
            <w:r>
              <w:rPr>
                <w:rStyle w:val="mo"/>
                <w:rFonts w:ascii="Arial" w:hAnsi="Arial" w:cs="Arial"/>
                <w:color w:val="333333"/>
                <w:sz w:val="20"/>
                <w:szCs w:val="20"/>
                <w:bdr w:val="none" w:sz="0" w:space="0" w:color="auto" w:frame="1"/>
              </w:rPr>
              <w:t>±</w:t>
            </w:r>
            <w:r>
              <w:rPr>
                <w:rFonts w:ascii="Arial" w:hAnsi="Arial" w:cs="Arial"/>
                <w:color w:val="333333"/>
                <w:sz w:val="20"/>
                <w:szCs w:val="20"/>
              </w:rPr>
              <w:t> 0.05</w:t>
            </w:r>
            <w:r>
              <w:rPr>
                <w:rFonts w:ascii="Arial" w:hAnsi="Arial" w:cs="Arial"/>
                <w:color w:val="333333"/>
                <w:sz w:val="20"/>
                <w:szCs w:val="20"/>
                <w:vertAlign w:val="superscript"/>
              </w:rPr>
              <w:t>b</w:t>
            </w:r>
          </w:p>
        </w:tc>
        <w:tc>
          <w:tcPr>
            <w:tcW w:w="1417" w:type="dxa"/>
          </w:tcPr>
          <w:p>
            <w:pPr>
              <w:spacing w:line="360" w:lineRule="auto"/>
              <w:jc w:val="center"/>
              <w:rPr>
                <w:rFonts w:ascii="Arial" w:hAnsi="Arial" w:cs="Arial"/>
                <w:sz w:val="20"/>
                <w:szCs w:val="20"/>
              </w:rPr>
            </w:pPr>
            <w:r>
              <w:rPr>
                <w:rFonts w:ascii="Arial" w:hAnsi="Arial" w:cs="Arial"/>
                <w:color w:val="333333"/>
                <w:sz w:val="20"/>
                <w:szCs w:val="20"/>
              </w:rPr>
              <w:t>1.52 </w:t>
            </w:r>
            <w:r>
              <w:rPr>
                <w:rStyle w:val="mo"/>
                <w:rFonts w:ascii="Arial" w:hAnsi="Arial" w:cs="Arial"/>
                <w:color w:val="333333"/>
                <w:sz w:val="20"/>
                <w:szCs w:val="20"/>
                <w:bdr w:val="none" w:sz="0" w:space="0" w:color="auto" w:frame="1"/>
              </w:rPr>
              <w:t>±</w:t>
            </w:r>
            <w:r>
              <w:rPr>
                <w:rFonts w:ascii="Arial" w:hAnsi="Arial" w:cs="Arial"/>
                <w:color w:val="333333"/>
                <w:sz w:val="20"/>
                <w:szCs w:val="20"/>
              </w:rPr>
              <w:t> 0.05</w:t>
            </w:r>
            <w:r>
              <w:rPr>
                <w:rFonts w:ascii="Arial" w:hAnsi="Arial" w:cs="Arial"/>
                <w:color w:val="333333"/>
                <w:sz w:val="20"/>
                <w:szCs w:val="20"/>
                <w:vertAlign w:val="superscript"/>
              </w:rPr>
              <w:t>b</w:t>
            </w:r>
          </w:p>
        </w:tc>
        <w:tc>
          <w:tcPr>
            <w:tcW w:w="1418" w:type="dxa"/>
          </w:tcPr>
          <w:p>
            <w:pPr>
              <w:spacing w:line="360" w:lineRule="auto"/>
              <w:jc w:val="center"/>
              <w:rPr>
                <w:rFonts w:ascii="Arial" w:hAnsi="Arial" w:cs="Arial"/>
                <w:sz w:val="20"/>
                <w:szCs w:val="20"/>
              </w:rPr>
            </w:pPr>
            <w:r>
              <w:rPr>
                <w:rFonts w:ascii="Arial" w:hAnsi="Arial" w:cs="Arial"/>
                <w:color w:val="333333"/>
                <w:sz w:val="20"/>
                <w:szCs w:val="20"/>
              </w:rPr>
              <w:t>1.14 </w:t>
            </w:r>
            <w:r>
              <w:rPr>
                <w:rStyle w:val="mo"/>
                <w:rFonts w:ascii="Arial" w:hAnsi="Arial" w:cs="Arial"/>
                <w:color w:val="333333"/>
                <w:sz w:val="20"/>
                <w:szCs w:val="20"/>
                <w:bdr w:val="none" w:sz="0" w:space="0" w:color="auto" w:frame="1"/>
              </w:rPr>
              <w:t>±</w:t>
            </w:r>
            <w:r>
              <w:rPr>
                <w:rFonts w:ascii="Arial" w:hAnsi="Arial" w:cs="Arial"/>
                <w:color w:val="333333"/>
                <w:sz w:val="20"/>
                <w:szCs w:val="20"/>
              </w:rPr>
              <w:t> 0.06</w:t>
            </w:r>
            <w:r>
              <w:rPr>
                <w:rFonts w:ascii="Arial" w:hAnsi="Arial" w:cs="Arial"/>
                <w:color w:val="333333"/>
                <w:sz w:val="20"/>
                <w:szCs w:val="20"/>
                <w:vertAlign w:val="superscript"/>
              </w:rPr>
              <w:t>b</w:t>
            </w:r>
          </w:p>
        </w:tc>
        <w:tc>
          <w:tcPr>
            <w:tcW w:w="1275" w:type="dxa"/>
          </w:tcPr>
          <w:p>
            <w:pPr>
              <w:spacing w:line="360" w:lineRule="auto"/>
              <w:jc w:val="center"/>
              <w:rPr>
                <w:rFonts w:ascii="Arial" w:hAnsi="Arial" w:cs="Arial"/>
                <w:sz w:val="20"/>
                <w:szCs w:val="20"/>
              </w:rPr>
            </w:pPr>
            <w:r>
              <w:rPr>
                <w:rFonts w:ascii="Arial" w:hAnsi="Arial" w:cs="Arial"/>
                <w:color w:val="333333"/>
                <w:sz w:val="20"/>
                <w:szCs w:val="20"/>
              </w:rPr>
              <w:t>0.51 </w:t>
            </w:r>
            <w:r>
              <w:rPr>
                <w:rStyle w:val="mo"/>
                <w:rFonts w:ascii="Arial" w:hAnsi="Arial" w:cs="Arial"/>
                <w:color w:val="333333"/>
                <w:sz w:val="20"/>
                <w:szCs w:val="20"/>
                <w:bdr w:val="none" w:sz="0" w:space="0" w:color="auto" w:frame="1"/>
              </w:rPr>
              <w:t>±</w:t>
            </w:r>
            <w:r>
              <w:rPr>
                <w:rFonts w:ascii="Arial" w:hAnsi="Arial" w:cs="Arial"/>
                <w:color w:val="333333"/>
                <w:sz w:val="20"/>
                <w:szCs w:val="20"/>
              </w:rPr>
              <w:t> 0.02</w:t>
            </w:r>
            <w:r>
              <w:rPr>
                <w:rFonts w:ascii="Arial" w:hAnsi="Arial" w:cs="Arial"/>
                <w:color w:val="333333"/>
                <w:sz w:val="20"/>
                <w:szCs w:val="20"/>
                <w:vertAlign w:val="superscript"/>
              </w:rPr>
              <w:t>ab</w:t>
            </w:r>
          </w:p>
        </w:tc>
      </w:tr>
      <w:tr>
        <w:trPr>
          <w:trHeight w:val="552"/>
        </w:trPr>
        <w:tc>
          <w:tcPr>
            <w:tcW w:w="1135" w:type="dxa"/>
          </w:tcPr>
          <w:p>
            <w:pPr>
              <w:spacing w:line="360" w:lineRule="auto"/>
              <w:jc w:val="center"/>
              <w:rPr>
                <w:rFonts w:ascii="Arial" w:hAnsi="Arial" w:cs="Arial"/>
                <w:sz w:val="20"/>
                <w:szCs w:val="20"/>
              </w:rPr>
            </w:pPr>
            <w:r>
              <w:rPr>
                <w:rFonts w:ascii="Arial" w:hAnsi="Arial" w:cs="Arial"/>
                <w:sz w:val="20"/>
                <w:szCs w:val="20"/>
              </w:rPr>
              <w:t>T4</w:t>
            </w:r>
          </w:p>
        </w:tc>
        <w:tc>
          <w:tcPr>
            <w:tcW w:w="1417" w:type="dxa"/>
          </w:tcPr>
          <w:p>
            <w:pPr>
              <w:spacing w:line="360" w:lineRule="auto"/>
              <w:jc w:val="center"/>
              <w:rPr>
                <w:rFonts w:ascii="Arial" w:hAnsi="Arial" w:cs="Arial"/>
                <w:sz w:val="20"/>
                <w:szCs w:val="20"/>
              </w:rPr>
            </w:pPr>
            <w:r>
              <w:rPr>
                <w:rFonts w:ascii="Arial" w:hAnsi="Arial" w:cs="Arial"/>
                <w:color w:val="333333"/>
                <w:sz w:val="20"/>
                <w:szCs w:val="20"/>
              </w:rPr>
              <w:t>1.35 </w:t>
            </w:r>
            <w:r>
              <w:rPr>
                <w:rStyle w:val="mo"/>
                <w:rFonts w:ascii="Arial" w:hAnsi="Arial" w:cs="Arial"/>
                <w:color w:val="333333"/>
                <w:sz w:val="20"/>
                <w:szCs w:val="20"/>
                <w:bdr w:val="none" w:sz="0" w:space="0" w:color="auto" w:frame="1"/>
              </w:rPr>
              <w:t>±</w:t>
            </w:r>
            <w:r>
              <w:rPr>
                <w:rFonts w:ascii="Arial" w:hAnsi="Arial" w:cs="Arial"/>
                <w:color w:val="333333"/>
                <w:sz w:val="20"/>
                <w:szCs w:val="20"/>
              </w:rPr>
              <w:t> 0.03</w:t>
            </w:r>
            <w:r>
              <w:rPr>
                <w:rFonts w:ascii="Arial" w:hAnsi="Arial" w:cs="Arial"/>
                <w:color w:val="333333"/>
                <w:sz w:val="20"/>
                <w:szCs w:val="20"/>
                <w:vertAlign w:val="superscript"/>
              </w:rPr>
              <w:t>b</w:t>
            </w:r>
          </w:p>
        </w:tc>
        <w:tc>
          <w:tcPr>
            <w:tcW w:w="1276" w:type="dxa"/>
          </w:tcPr>
          <w:p>
            <w:pPr>
              <w:spacing w:line="360" w:lineRule="auto"/>
              <w:jc w:val="center"/>
              <w:rPr>
                <w:rFonts w:ascii="Arial" w:hAnsi="Arial" w:cs="Arial"/>
                <w:sz w:val="20"/>
                <w:szCs w:val="20"/>
              </w:rPr>
            </w:pPr>
            <w:r>
              <w:rPr>
                <w:rFonts w:ascii="Arial" w:hAnsi="Arial" w:cs="Arial"/>
                <w:color w:val="333333"/>
                <w:sz w:val="20"/>
                <w:szCs w:val="20"/>
              </w:rPr>
              <w:t>0.13 </w:t>
            </w:r>
            <w:r>
              <w:rPr>
                <w:rStyle w:val="mo"/>
                <w:rFonts w:ascii="Arial" w:hAnsi="Arial" w:cs="Arial"/>
                <w:color w:val="333333"/>
                <w:sz w:val="20"/>
                <w:szCs w:val="20"/>
                <w:bdr w:val="none" w:sz="0" w:space="0" w:color="auto" w:frame="1"/>
              </w:rPr>
              <w:t>±</w:t>
            </w:r>
            <w:r>
              <w:rPr>
                <w:rFonts w:ascii="Arial" w:hAnsi="Arial" w:cs="Arial"/>
                <w:color w:val="333333"/>
                <w:sz w:val="20"/>
                <w:szCs w:val="20"/>
              </w:rPr>
              <w:t> 0.01</w:t>
            </w:r>
            <w:r>
              <w:rPr>
                <w:rFonts w:ascii="Arial" w:hAnsi="Arial" w:cs="Arial"/>
                <w:color w:val="333333"/>
                <w:sz w:val="20"/>
                <w:szCs w:val="20"/>
                <w:vertAlign w:val="superscript"/>
              </w:rPr>
              <w:t>b</w:t>
            </w:r>
          </w:p>
        </w:tc>
        <w:tc>
          <w:tcPr>
            <w:tcW w:w="1418" w:type="dxa"/>
          </w:tcPr>
          <w:p>
            <w:pPr>
              <w:spacing w:line="360" w:lineRule="auto"/>
              <w:jc w:val="center"/>
              <w:rPr>
                <w:rFonts w:ascii="Arial" w:hAnsi="Arial" w:cs="Arial"/>
                <w:sz w:val="20"/>
                <w:szCs w:val="20"/>
              </w:rPr>
            </w:pPr>
            <w:r>
              <w:rPr>
                <w:rFonts w:ascii="Arial" w:hAnsi="Arial" w:cs="Arial"/>
                <w:color w:val="333333"/>
                <w:sz w:val="20"/>
                <w:szCs w:val="20"/>
              </w:rPr>
              <w:t>1.05 </w:t>
            </w:r>
            <w:r>
              <w:rPr>
                <w:rStyle w:val="mo"/>
                <w:rFonts w:ascii="Arial" w:hAnsi="Arial" w:cs="Arial"/>
                <w:color w:val="333333"/>
                <w:sz w:val="20"/>
                <w:szCs w:val="20"/>
                <w:bdr w:val="none" w:sz="0" w:space="0" w:color="auto" w:frame="1"/>
              </w:rPr>
              <w:t>±</w:t>
            </w:r>
            <w:r>
              <w:rPr>
                <w:rFonts w:ascii="Arial" w:hAnsi="Arial" w:cs="Arial"/>
                <w:color w:val="333333"/>
                <w:sz w:val="20"/>
                <w:szCs w:val="20"/>
              </w:rPr>
              <w:t> 0.05</w:t>
            </w:r>
            <w:r>
              <w:rPr>
                <w:rFonts w:ascii="Arial" w:hAnsi="Arial" w:cs="Arial"/>
                <w:color w:val="333333"/>
                <w:sz w:val="20"/>
                <w:szCs w:val="20"/>
                <w:vertAlign w:val="superscript"/>
              </w:rPr>
              <w:t>c</w:t>
            </w:r>
          </w:p>
        </w:tc>
        <w:tc>
          <w:tcPr>
            <w:tcW w:w="1417" w:type="dxa"/>
          </w:tcPr>
          <w:p>
            <w:pPr>
              <w:spacing w:line="360" w:lineRule="auto"/>
              <w:jc w:val="center"/>
              <w:rPr>
                <w:rFonts w:ascii="Arial" w:hAnsi="Arial" w:cs="Arial"/>
                <w:sz w:val="20"/>
                <w:szCs w:val="20"/>
              </w:rPr>
            </w:pPr>
            <w:r>
              <w:rPr>
                <w:rFonts w:ascii="Arial" w:hAnsi="Arial" w:cs="Arial"/>
                <w:color w:val="333333"/>
                <w:sz w:val="20"/>
                <w:szCs w:val="20"/>
              </w:rPr>
              <w:t>1.20 </w:t>
            </w:r>
            <w:r>
              <w:rPr>
                <w:rStyle w:val="mo"/>
                <w:rFonts w:ascii="Arial" w:hAnsi="Arial" w:cs="Arial"/>
                <w:color w:val="333333"/>
                <w:sz w:val="20"/>
                <w:szCs w:val="20"/>
                <w:bdr w:val="none" w:sz="0" w:space="0" w:color="auto" w:frame="1"/>
              </w:rPr>
              <w:t>±</w:t>
            </w:r>
            <w:r>
              <w:rPr>
                <w:rFonts w:ascii="Arial" w:hAnsi="Arial" w:cs="Arial"/>
                <w:color w:val="333333"/>
                <w:sz w:val="20"/>
                <w:szCs w:val="20"/>
              </w:rPr>
              <w:t> 0.09</w:t>
            </w:r>
            <w:r>
              <w:rPr>
                <w:rFonts w:ascii="Arial" w:hAnsi="Arial" w:cs="Arial"/>
                <w:color w:val="333333"/>
                <w:sz w:val="20"/>
                <w:szCs w:val="20"/>
                <w:vertAlign w:val="superscript"/>
              </w:rPr>
              <w:t>c</w:t>
            </w:r>
          </w:p>
        </w:tc>
        <w:tc>
          <w:tcPr>
            <w:tcW w:w="1418" w:type="dxa"/>
          </w:tcPr>
          <w:p>
            <w:pPr>
              <w:spacing w:line="360" w:lineRule="auto"/>
              <w:jc w:val="center"/>
              <w:rPr>
                <w:rFonts w:ascii="Arial" w:hAnsi="Arial" w:cs="Arial"/>
                <w:sz w:val="20"/>
                <w:szCs w:val="20"/>
              </w:rPr>
            </w:pPr>
            <w:r>
              <w:rPr>
                <w:rFonts w:ascii="Arial" w:hAnsi="Arial" w:cs="Arial"/>
                <w:color w:val="333333"/>
                <w:sz w:val="20"/>
                <w:szCs w:val="20"/>
              </w:rPr>
              <w:t>0.66 </w:t>
            </w:r>
            <w:r>
              <w:rPr>
                <w:rStyle w:val="mo"/>
                <w:rFonts w:ascii="Arial" w:hAnsi="Arial" w:cs="Arial"/>
                <w:color w:val="333333"/>
                <w:sz w:val="20"/>
                <w:szCs w:val="20"/>
                <w:bdr w:val="none" w:sz="0" w:space="0" w:color="auto" w:frame="1"/>
              </w:rPr>
              <w:t>±</w:t>
            </w:r>
            <w:r>
              <w:rPr>
                <w:rFonts w:ascii="Arial" w:hAnsi="Arial" w:cs="Arial"/>
                <w:color w:val="333333"/>
                <w:sz w:val="20"/>
                <w:szCs w:val="20"/>
              </w:rPr>
              <w:t> 0.07</w:t>
            </w:r>
            <w:r>
              <w:rPr>
                <w:rFonts w:ascii="Arial" w:hAnsi="Arial" w:cs="Arial"/>
                <w:color w:val="333333"/>
                <w:sz w:val="20"/>
                <w:szCs w:val="20"/>
                <w:vertAlign w:val="superscript"/>
              </w:rPr>
              <w:t>d</w:t>
            </w:r>
          </w:p>
        </w:tc>
        <w:tc>
          <w:tcPr>
            <w:tcW w:w="1275" w:type="dxa"/>
          </w:tcPr>
          <w:p>
            <w:pPr>
              <w:spacing w:line="360" w:lineRule="auto"/>
              <w:jc w:val="center"/>
              <w:rPr>
                <w:rFonts w:ascii="Arial" w:hAnsi="Arial" w:cs="Arial"/>
                <w:sz w:val="20"/>
                <w:szCs w:val="20"/>
              </w:rPr>
            </w:pPr>
            <w:r>
              <w:rPr>
                <w:rFonts w:ascii="Arial" w:hAnsi="Arial" w:cs="Arial"/>
                <w:color w:val="333333"/>
                <w:sz w:val="20"/>
                <w:szCs w:val="20"/>
              </w:rPr>
              <w:t>0.61 </w:t>
            </w:r>
            <w:r>
              <w:rPr>
                <w:rStyle w:val="mo"/>
                <w:rFonts w:ascii="Arial" w:hAnsi="Arial" w:cs="Arial"/>
                <w:color w:val="333333"/>
                <w:sz w:val="20"/>
                <w:szCs w:val="20"/>
                <w:bdr w:val="none" w:sz="0" w:space="0" w:color="auto" w:frame="1"/>
              </w:rPr>
              <w:t>±</w:t>
            </w:r>
            <w:r>
              <w:rPr>
                <w:rFonts w:ascii="Arial" w:hAnsi="Arial" w:cs="Arial"/>
                <w:color w:val="333333"/>
                <w:sz w:val="20"/>
                <w:szCs w:val="20"/>
              </w:rPr>
              <w:t> 0.03</w:t>
            </w:r>
            <w:r>
              <w:rPr>
                <w:rFonts w:ascii="Arial" w:hAnsi="Arial" w:cs="Arial"/>
                <w:color w:val="333333"/>
                <w:sz w:val="20"/>
                <w:szCs w:val="20"/>
                <w:vertAlign w:val="superscript"/>
              </w:rPr>
              <w:t>a</w:t>
            </w:r>
          </w:p>
        </w:tc>
      </w:tr>
      <w:tr>
        <w:trPr>
          <w:trHeight w:val="552"/>
        </w:trPr>
        <w:tc>
          <w:tcPr>
            <w:tcW w:w="1135" w:type="dxa"/>
          </w:tcPr>
          <w:p>
            <w:pPr>
              <w:spacing w:line="360" w:lineRule="auto"/>
              <w:jc w:val="center"/>
              <w:rPr>
                <w:rFonts w:ascii="Arial" w:hAnsi="Arial" w:cs="Arial"/>
                <w:sz w:val="20"/>
                <w:szCs w:val="20"/>
              </w:rPr>
            </w:pPr>
            <w:r>
              <w:rPr>
                <w:rFonts w:ascii="Arial" w:hAnsi="Arial" w:cs="Arial"/>
                <w:sz w:val="20"/>
                <w:szCs w:val="20"/>
              </w:rPr>
              <w:t>CD (0.05)</w:t>
            </w:r>
          </w:p>
        </w:tc>
        <w:tc>
          <w:tcPr>
            <w:tcW w:w="1417" w:type="dxa"/>
          </w:tcPr>
          <w:p>
            <w:pPr>
              <w:spacing w:line="360" w:lineRule="auto"/>
              <w:jc w:val="center"/>
              <w:rPr>
                <w:rFonts w:ascii="Arial" w:hAnsi="Arial" w:cs="Arial"/>
                <w:color w:val="333333"/>
                <w:sz w:val="20"/>
                <w:szCs w:val="20"/>
              </w:rPr>
            </w:pPr>
            <w:r>
              <w:rPr>
                <w:rFonts w:ascii="Arial" w:hAnsi="Arial" w:cs="Arial"/>
                <w:sz w:val="20"/>
                <w:szCs w:val="20"/>
              </w:rPr>
              <w:t>0.204</w:t>
            </w:r>
          </w:p>
        </w:tc>
        <w:tc>
          <w:tcPr>
            <w:tcW w:w="1276" w:type="dxa"/>
          </w:tcPr>
          <w:p>
            <w:pPr>
              <w:spacing w:line="360" w:lineRule="auto"/>
              <w:jc w:val="center"/>
              <w:rPr>
                <w:rFonts w:ascii="Arial" w:hAnsi="Arial" w:cs="Arial"/>
                <w:color w:val="333333"/>
                <w:sz w:val="20"/>
                <w:szCs w:val="20"/>
              </w:rPr>
            </w:pPr>
            <w:r>
              <w:rPr>
                <w:rFonts w:ascii="Arial" w:hAnsi="Arial" w:cs="Arial"/>
                <w:sz w:val="20"/>
                <w:szCs w:val="20"/>
              </w:rPr>
              <w:t>0.024</w:t>
            </w:r>
          </w:p>
        </w:tc>
        <w:tc>
          <w:tcPr>
            <w:tcW w:w="1418" w:type="dxa"/>
          </w:tcPr>
          <w:p>
            <w:pPr>
              <w:spacing w:line="360" w:lineRule="auto"/>
              <w:jc w:val="center"/>
              <w:rPr>
                <w:rFonts w:ascii="Arial" w:hAnsi="Arial" w:cs="Arial"/>
                <w:color w:val="333333"/>
                <w:sz w:val="20"/>
                <w:szCs w:val="20"/>
              </w:rPr>
            </w:pPr>
            <w:r>
              <w:rPr>
                <w:rFonts w:ascii="Arial" w:hAnsi="Arial" w:cs="Arial"/>
                <w:sz w:val="20"/>
                <w:szCs w:val="20"/>
              </w:rPr>
              <w:t>0.120</w:t>
            </w:r>
          </w:p>
        </w:tc>
        <w:tc>
          <w:tcPr>
            <w:tcW w:w="1417" w:type="dxa"/>
          </w:tcPr>
          <w:p>
            <w:pPr>
              <w:spacing w:line="360" w:lineRule="auto"/>
              <w:jc w:val="center"/>
              <w:rPr>
                <w:rFonts w:ascii="Arial" w:hAnsi="Arial" w:cs="Arial"/>
                <w:color w:val="333333"/>
                <w:sz w:val="20"/>
                <w:szCs w:val="20"/>
              </w:rPr>
            </w:pPr>
            <w:r>
              <w:rPr>
                <w:rFonts w:ascii="Arial" w:hAnsi="Arial" w:cs="Arial"/>
                <w:sz w:val="20"/>
                <w:szCs w:val="20"/>
              </w:rPr>
              <w:t>0.148</w:t>
            </w:r>
          </w:p>
        </w:tc>
        <w:tc>
          <w:tcPr>
            <w:tcW w:w="1418" w:type="dxa"/>
          </w:tcPr>
          <w:p>
            <w:pPr>
              <w:spacing w:line="360" w:lineRule="auto"/>
              <w:jc w:val="center"/>
              <w:rPr>
                <w:rFonts w:ascii="Arial" w:hAnsi="Arial" w:cs="Arial"/>
                <w:color w:val="333333"/>
                <w:sz w:val="20"/>
                <w:szCs w:val="20"/>
              </w:rPr>
            </w:pPr>
            <w:r>
              <w:rPr>
                <w:rFonts w:ascii="Arial" w:hAnsi="Arial" w:cs="Arial"/>
                <w:sz w:val="20"/>
                <w:szCs w:val="20"/>
              </w:rPr>
              <w:t>0.098</w:t>
            </w:r>
          </w:p>
        </w:tc>
        <w:tc>
          <w:tcPr>
            <w:tcW w:w="1275" w:type="dxa"/>
          </w:tcPr>
          <w:p>
            <w:pPr>
              <w:spacing w:line="360" w:lineRule="auto"/>
              <w:jc w:val="center"/>
              <w:rPr>
                <w:rFonts w:ascii="Arial" w:hAnsi="Arial" w:cs="Arial"/>
                <w:color w:val="333333"/>
                <w:sz w:val="20"/>
                <w:szCs w:val="20"/>
              </w:rPr>
            </w:pPr>
            <w:r>
              <w:rPr>
                <w:rFonts w:ascii="Arial" w:hAnsi="Arial" w:cs="Arial"/>
                <w:sz w:val="20"/>
                <w:szCs w:val="20"/>
              </w:rPr>
              <w:t>0.105</w:t>
            </w:r>
          </w:p>
        </w:tc>
      </w:tr>
      <w:tr>
        <w:trPr>
          <w:trHeight w:val="552"/>
        </w:trPr>
        <w:tc>
          <w:tcPr>
            <w:tcW w:w="1135" w:type="dxa"/>
          </w:tcPr>
          <w:p>
            <w:pPr>
              <w:spacing w:line="360" w:lineRule="auto"/>
              <w:jc w:val="center"/>
              <w:rPr>
                <w:rFonts w:ascii="Arial" w:hAnsi="Arial" w:cs="Arial"/>
                <w:sz w:val="20"/>
                <w:szCs w:val="20"/>
              </w:rPr>
            </w:pPr>
            <w:r>
              <w:rPr>
                <w:rFonts w:ascii="Arial" w:hAnsi="Arial" w:cs="Arial"/>
                <w:sz w:val="20"/>
                <w:szCs w:val="20"/>
              </w:rPr>
              <w:t>SE (m)</w:t>
            </w:r>
          </w:p>
        </w:tc>
        <w:tc>
          <w:tcPr>
            <w:tcW w:w="1417" w:type="dxa"/>
          </w:tcPr>
          <w:p>
            <w:pPr>
              <w:spacing w:line="360" w:lineRule="auto"/>
              <w:jc w:val="center"/>
              <w:rPr>
                <w:rFonts w:ascii="Arial" w:hAnsi="Arial" w:cs="Arial"/>
                <w:sz w:val="20"/>
                <w:szCs w:val="20"/>
              </w:rPr>
            </w:pPr>
            <w:r>
              <w:rPr>
                <w:rFonts w:ascii="Arial" w:hAnsi="Arial" w:cs="Arial"/>
                <w:sz w:val="20"/>
                <w:szCs w:val="20"/>
              </w:rPr>
              <w:t>0.063</w:t>
            </w:r>
          </w:p>
        </w:tc>
        <w:tc>
          <w:tcPr>
            <w:tcW w:w="1276" w:type="dxa"/>
          </w:tcPr>
          <w:p>
            <w:pPr>
              <w:spacing w:line="360" w:lineRule="auto"/>
              <w:jc w:val="center"/>
              <w:rPr>
                <w:rFonts w:ascii="Arial" w:hAnsi="Arial" w:cs="Arial"/>
                <w:sz w:val="20"/>
                <w:szCs w:val="20"/>
              </w:rPr>
            </w:pPr>
            <w:r>
              <w:rPr>
                <w:rFonts w:ascii="Arial" w:hAnsi="Arial" w:cs="Arial"/>
                <w:sz w:val="20"/>
                <w:szCs w:val="20"/>
              </w:rPr>
              <w:t>0.007</w:t>
            </w:r>
          </w:p>
        </w:tc>
        <w:tc>
          <w:tcPr>
            <w:tcW w:w="1418" w:type="dxa"/>
          </w:tcPr>
          <w:p>
            <w:pPr>
              <w:spacing w:line="360" w:lineRule="auto"/>
              <w:jc w:val="center"/>
              <w:rPr>
                <w:rFonts w:ascii="Arial" w:hAnsi="Arial" w:cs="Arial"/>
                <w:sz w:val="20"/>
                <w:szCs w:val="20"/>
              </w:rPr>
            </w:pPr>
            <w:r>
              <w:rPr>
                <w:rFonts w:ascii="Arial" w:hAnsi="Arial" w:cs="Arial"/>
                <w:sz w:val="20"/>
                <w:szCs w:val="20"/>
              </w:rPr>
              <w:t>0.045</w:t>
            </w:r>
          </w:p>
        </w:tc>
        <w:tc>
          <w:tcPr>
            <w:tcW w:w="1417" w:type="dxa"/>
          </w:tcPr>
          <w:p>
            <w:pPr>
              <w:spacing w:line="360" w:lineRule="auto"/>
              <w:jc w:val="center"/>
              <w:rPr>
                <w:rFonts w:ascii="Arial" w:hAnsi="Arial" w:cs="Arial"/>
                <w:sz w:val="20"/>
                <w:szCs w:val="20"/>
              </w:rPr>
            </w:pPr>
            <w:r>
              <w:rPr>
                <w:rFonts w:ascii="Arial" w:hAnsi="Arial" w:cs="Arial"/>
                <w:sz w:val="20"/>
                <w:szCs w:val="20"/>
              </w:rPr>
              <w:t>0.045</w:t>
            </w:r>
          </w:p>
        </w:tc>
        <w:tc>
          <w:tcPr>
            <w:tcW w:w="1418" w:type="dxa"/>
          </w:tcPr>
          <w:p>
            <w:pPr>
              <w:spacing w:line="360" w:lineRule="auto"/>
              <w:jc w:val="center"/>
              <w:rPr>
                <w:rFonts w:ascii="Arial" w:hAnsi="Arial" w:cs="Arial"/>
                <w:sz w:val="20"/>
                <w:szCs w:val="20"/>
              </w:rPr>
            </w:pPr>
            <w:r>
              <w:rPr>
                <w:rFonts w:ascii="Arial" w:hAnsi="Arial" w:cs="Arial"/>
                <w:sz w:val="20"/>
                <w:szCs w:val="20"/>
              </w:rPr>
              <w:t>0.032</w:t>
            </w:r>
          </w:p>
        </w:tc>
        <w:tc>
          <w:tcPr>
            <w:tcW w:w="1275" w:type="dxa"/>
          </w:tcPr>
          <w:p>
            <w:pPr>
              <w:spacing w:line="360" w:lineRule="auto"/>
              <w:jc w:val="center"/>
              <w:rPr>
                <w:rFonts w:ascii="Arial" w:hAnsi="Arial" w:cs="Arial"/>
                <w:sz w:val="20"/>
                <w:szCs w:val="20"/>
              </w:rPr>
            </w:pPr>
            <w:r>
              <w:rPr>
                <w:rFonts w:ascii="Arial" w:hAnsi="Arial" w:cs="Arial"/>
                <w:sz w:val="20"/>
                <w:szCs w:val="20"/>
              </w:rPr>
              <w:t>0.032</w:t>
            </w:r>
          </w:p>
        </w:tc>
      </w:tr>
    </w:tbl>
    <w:p>
      <w:pPr>
        <w:spacing w:line="360" w:lineRule="auto"/>
        <w:jc w:val="both"/>
        <w:rPr>
          <w:rFonts w:ascii="Arial" w:hAnsi="Arial" w:cs="Arial"/>
          <w:lang w:val="en-IN"/>
        </w:rPr>
      </w:pPr>
      <w:r>
        <w:rPr>
          <w:rFonts w:ascii="Arial" w:hAnsi="Arial" w:cs="Arial"/>
        </w:rPr>
        <w:t xml:space="preserve">Values are mean of 4 replications ± standard deviation; SE - Standard Error; C.D - Critical difference </w:t>
      </w:r>
      <w:r>
        <w:rPr>
          <w:rFonts w:ascii="Arial" w:hAnsi="Arial" w:cs="Arial"/>
          <w:lang w:val="en-IN"/>
        </w:rPr>
        <w:t xml:space="preserve">at 0.05 level of significance </w:t>
      </w:r>
    </w:p>
    <w:p>
      <w:pPr>
        <w:spacing w:line="360" w:lineRule="auto"/>
        <w:jc w:val="both"/>
        <w:rPr>
          <w:rFonts w:ascii="Arial" w:hAnsi="Arial" w:cs="Arial"/>
          <w:lang w:val="en-IN"/>
        </w:rPr>
      </w:pPr>
    </w:p>
    <w:p>
      <w:pPr>
        <w:pStyle w:val="Body"/>
        <w:spacing w:after="0"/>
        <w:rPr>
          <w:rFonts w:ascii="Arial" w:hAnsi="Arial" w:cs="Arial"/>
        </w:rPr>
      </w:pPr>
    </w:p>
    <w:p>
      <w:pPr>
        <w:pStyle w:val="Body"/>
        <w:spacing w:after="0"/>
        <w:rPr>
          <w:rFonts w:ascii="Arial" w:hAnsi="Arial" w:cs="Arial"/>
        </w:rPr>
      </w:pPr>
      <w:r>
        <w:rPr>
          <w:rFonts w:ascii="Arial" w:hAnsi="Arial" w:cs="Arial"/>
        </w:rPr>
        <w:t xml:space="preserve">FIG. 1 Macronutrient status of SMS after cultivation of </w:t>
      </w:r>
      <w:r>
        <w:rPr>
          <w:rFonts w:ascii="Arial" w:hAnsi="Arial" w:cs="Arial"/>
          <w:i/>
          <w:iCs/>
        </w:rPr>
        <w:t>Pleurotus</w:t>
      </w:r>
      <w:r>
        <w:rPr>
          <w:rFonts w:ascii="Arial" w:hAnsi="Arial" w:cs="Arial"/>
        </w:rPr>
        <w:t xml:space="preserve"> spp.</w:t>
      </w:r>
    </w:p>
    <w:p>
      <w:pPr>
        <w:pStyle w:val="Body"/>
        <w:tabs>
          <w:tab w:val="left" w:pos="2694"/>
        </w:tabs>
        <w:spacing w:after="0"/>
        <w:rPr>
          <w:rFonts w:ascii="Arial" w:hAnsi="Arial" w:cs="Arial"/>
        </w:rPr>
      </w:pPr>
    </w:p>
    <w:p>
      <w:pPr>
        <w:pStyle w:val="Body"/>
        <w:tabs>
          <w:tab w:val="left" w:pos="2694"/>
        </w:tabs>
        <w:spacing w:after="0"/>
        <w:rPr>
          <w:rFonts w:ascii="Arial" w:hAnsi="Arial" w:cs="Arial"/>
        </w:rPr>
      </w:pPr>
      <w:r>
        <w:rPr>
          <w:rFonts w:ascii="Arial" w:hAnsi="Arial" w:cs="Arial"/>
          <w:noProof/>
        </w:rPr>
        <w:drawing>
          <wp:inline distT="0" distB="0" distL="0" distR="0">
            <wp:extent cx="2583180" cy="3634740"/>
            <wp:effectExtent l="0" t="0" r="7620" b="3810"/>
            <wp:docPr id="1834722712" name="Chart 1">
              <a:extLst xmlns:a="http://schemas.openxmlformats.org/drawingml/2006/main">
                <a:ext uri="{FF2B5EF4-FFF2-40B4-BE49-F238E27FC236}">
                  <a16:creationId xmlns:a16="http://schemas.microsoft.com/office/drawing/2014/main" id="{CF98C7C1-BE5D-B9E3-4102-F592932FF3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Arial" w:hAnsi="Arial" w:cs="Arial"/>
          <w:noProof/>
        </w:rPr>
        <w:drawing>
          <wp:inline distT="0" distB="0" distL="0" distR="0">
            <wp:extent cx="2560320" cy="3634740"/>
            <wp:effectExtent l="0" t="0" r="11430" b="3810"/>
            <wp:docPr id="1294565540" name="Chart 2">
              <a:extLst xmlns:a="http://schemas.openxmlformats.org/drawingml/2006/main">
                <a:ext uri="{FF2B5EF4-FFF2-40B4-BE49-F238E27FC236}">
                  <a16:creationId xmlns:a16="http://schemas.microsoft.com/office/drawing/2014/main" id="{DA359D0F-66B2-E199-9CA4-663AD09640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Body"/>
        <w:spacing w:after="0"/>
        <w:rPr>
          <w:rFonts w:ascii="Arial" w:hAnsi="Arial" w:cs="Arial"/>
        </w:rPr>
      </w:pPr>
    </w:p>
    <w:p>
      <w:pPr>
        <w:spacing w:line="360" w:lineRule="auto"/>
        <w:jc w:val="both"/>
        <w:rPr>
          <w:rFonts w:ascii="Arial" w:hAnsi="Arial" w:cs="Arial"/>
        </w:rPr>
      </w:pPr>
      <w:r>
        <w:rPr>
          <w:rFonts w:ascii="Arial" w:hAnsi="Arial" w:cs="Arial"/>
        </w:rPr>
        <w:tab/>
        <w:t xml:space="preserve">The analysis of macronutrients demonstrated an array of concentrations across the samples. The macronutrients were found to be higher in the SMS samples compared to the control. Nitrogen content was 1.35 per cent in control. The high percentage of nitrogen (1.77 %) was observed in T2 (SMS of </w:t>
      </w:r>
      <w:r>
        <w:rPr>
          <w:rFonts w:ascii="Arial" w:hAnsi="Arial" w:cs="Arial"/>
          <w:i/>
          <w:iCs/>
        </w:rPr>
        <w:t>P. ostreatus</w:t>
      </w:r>
      <w:r>
        <w:rPr>
          <w:rFonts w:ascii="Arial" w:hAnsi="Arial" w:cs="Arial"/>
        </w:rPr>
        <w:t xml:space="preserve">) and was significantly different from all other </w:t>
      </w:r>
      <w:r>
        <w:rPr>
          <w:rFonts w:ascii="Arial" w:hAnsi="Arial" w:cs="Arial"/>
        </w:rPr>
        <w:lastRenderedPageBreak/>
        <w:t xml:space="preserve">treatments. Treatments T1, T3, and T4 were not significantly different. Phosphorus (P) was found to be the highest in T1 (SMS of </w:t>
      </w:r>
      <w:r>
        <w:rPr>
          <w:rFonts w:ascii="Arial" w:hAnsi="Arial" w:cs="Arial"/>
          <w:i/>
          <w:iCs/>
        </w:rPr>
        <w:t xml:space="preserve">P. </w:t>
      </w:r>
      <w:proofErr w:type="spellStart"/>
      <w:r>
        <w:rPr>
          <w:rFonts w:ascii="Arial" w:hAnsi="Arial" w:cs="Arial"/>
          <w:i/>
          <w:iCs/>
        </w:rPr>
        <w:t>florida</w:t>
      </w:r>
      <w:proofErr w:type="spellEnd"/>
      <w:r>
        <w:rPr>
          <w:rFonts w:ascii="Arial" w:hAnsi="Arial" w:cs="Arial"/>
        </w:rPr>
        <w:t>) (0.16 %), which was significantly different from T2 and T4. T2 had the lowest P content (0.02 %). T3 (0.14 %). Treatment T2 had the highest K content (1.40 ppm) followed by T3, T1 and T4.</w:t>
      </w:r>
    </w:p>
    <w:p>
      <w:pPr>
        <w:spacing w:line="360" w:lineRule="auto"/>
        <w:jc w:val="both"/>
        <w:rPr>
          <w:rFonts w:ascii="Arial" w:hAnsi="Arial" w:cs="Arial"/>
        </w:rPr>
      </w:pPr>
      <w:r>
        <w:rPr>
          <w:rFonts w:ascii="Arial" w:hAnsi="Arial" w:cs="Arial"/>
        </w:rPr>
        <w:tab/>
        <w:t>Treatment T2 had the highest Ca content (2.10 ± 0.11 %), which was significantly different from all the other treatments. The next highest was T3 (1.52 %), followed by T4 (1.20 %) and T1 (1.14 %). In case of Magnesium (Mg), T1 had the highest Mg content (1.26 %) and is significantly different from T2, T3, and T4. The lowest Mg content is found in T4 (0.66 %), which is significantly different from all other treatments. Treatments T4 (0.61 %) and T2 (0.59 %) had the highest S content followed by T1.</w:t>
      </w:r>
    </w:p>
    <w:p>
      <w:pPr>
        <w:spacing w:line="360" w:lineRule="auto"/>
        <w:jc w:val="both"/>
        <w:rPr>
          <w:rFonts w:ascii="Arial" w:hAnsi="Arial" w:cs="Arial"/>
          <w:lang w:val="en-IN"/>
        </w:rPr>
      </w:pPr>
      <w:r>
        <w:rPr>
          <w:rFonts w:ascii="Arial" w:hAnsi="Arial" w:cs="Arial"/>
        </w:rPr>
        <w:t>The relatively high N in T2 suggested that substrate composition and mushroom species influence nutrient retention after harvesting similar to the studies carried out by Li and Wang (2023). Total nitrogen (TN) was significantly higher in the spent substrate than in the original substrate, reflecting the contribution of residual fungal biomass which is nitrogen-rich.</w:t>
      </w:r>
      <w:r>
        <w:rPr>
          <w:rFonts w:ascii="Times New Roman" w:hAnsi="Times New Roman"/>
          <w:sz w:val="24"/>
          <w:szCs w:val="24"/>
        </w:rPr>
        <w:t xml:space="preserve"> </w:t>
      </w:r>
      <w:r>
        <w:rPr>
          <w:rFonts w:ascii="Arial" w:hAnsi="Arial" w:cs="Arial"/>
        </w:rPr>
        <w:t xml:space="preserve">Phosphorus content declined in SMS compared with the substrate, indicating that mushrooms actively assimilate phosphorus into their fruiting bodies. (Li and Wang, 2023). The Ca content often remains abundant in SMS due to the presence of lime during substrate preparation. (Roy </w:t>
      </w:r>
      <w:r>
        <w:rPr>
          <w:rFonts w:ascii="Arial" w:hAnsi="Arial" w:cs="Arial"/>
          <w:i/>
          <w:iCs/>
        </w:rPr>
        <w:t>et al</w:t>
      </w:r>
      <w:r>
        <w:rPr>
          <w:rFonts w:ascii="Arial" w:hAnsi="Arial" w:cs="Arial"/>
        </w:rPr>
        <w:t>., 2023). Sulphur (S) content ranged from 0.42–0.61%, consistent with earlier studies reporting SMS as a moderate S source (Ahlawat and Sagar, 2007).</w:t>
      </w:r>
      <w:r>
        <w:rPr>
          <w:rFonts w:ascii="Arial" w:hAnsi="Arial" w:cs="Arial"/>
          <w:b/>
          <w:lang w:val="en-IN" w:eastAsia="en-IN" w:bidi="ml-IN"/>
        </w:rPr>
        <w:t xml:space="preserve"> </w:t>
      </w:r>
      <w:r>
        <w:rPr>
          <w:rFonts w:ascii="Arial" w:hAnsi="Arial" w:cs="Arial"/>
          <w:lang w:val="en-IN"/>
        </w:rPr>
        <w:t xml:space="preserve">During mushroom growth, the mycelium actively absorbs </w:t>
      </w:r>
      <w:r>
        <w:rPr>
          <w:rFonts w:ascii="Arial" w:hAnsi="Arial" w:cs="Arial"/>
          <w:bCs/>
          <w:lang w:val="en-IN"/>
        </w:rPr>
        <w:t>sulphur-containing compounds</w:t>
      </w:r>
      <w:r>
        <w:rPr>
          <w:rFonts w:ascii="Arial" w:hAnsi="Arial" w:cs="Arial"/>
          <w:lang w:val="en-IN"/>
        </w:rPr>
        <w:t xml:space="preserve"> from the substrate for synthesizing essential </w:t>
      </w:r>
      <w:r>
        <w:rPr>
          <w:rFonts w:ascii="Arial" w:hAnsi="Arial" w:cs="Arial"/>
          <w:bCs/>
          <w:lang w:val="en-IN"/>
        </w:rPr>
        <w:t>amino acids</w:t>
      </w:r>
      <w:r>
        <w:rPr>
          <w:rFonts w:ascii="Arial" w:hAnsi="Arial" w:cs="Arial"/>
          <w:lang w:val="en-IN"/>
        </w:rPr>
        <w:t xml:space="preserve"> (like cysteine and methionine), </w:t>
      </w:r>
      <w:r>
        <w:rPr>
          <w:rFonts w:ascii="Arial" w:hAnsi="Arial" w:cs="Arial"/>
          <w:bCs/>
          <w:lang w:val="en-IN"/>
        </w:rPr>
        <w:t>vitamins</w:t>
      </w:r>
      <w:r>
        <w:rPr>
          <w:rFonts w:ascii="Arial" w:hAnsi="Arial" w:cs="Arial"/>
          <w:lang w:val="en-IN"/>
        </w:rPr>
        <w:t xml:space="preserve">, and </w:t>
      </w:r>
      <w:r>
        <w:rPr>
          <w:rFonts w:ascii="Arial" w:hAnsi="Arial" w:cs="Arial"/>
          <w:bCs/>
          <w:lang w:val="en-IN"/>
        </w:rPr>
        <w:t>enzymes</w:t>
      </w:r>
      <w:r>
        <w:rPr>
          <w:rFonts w:ascii="Arial" w:hAnsi="Arial" w:cs="Arial"/>
          <w:lang w:val="en-IN"/>
        </w:rPr>
        <w:t xml:space="preserve">. These compounds are critical for protein synthesis and metabolism in fungal cells. As a result, a portion of the sulphur originally present in the substrate is taken up by the mushroom biomass, reducing its concentration in the leftover substrate. </w:t>
      </w:r>
    </w:p>
    <w:p>
      <w:pPr>
        <w:spacing w:line="360" w:lineRule="auto"/>
        <w:jc w:val="both"/>
        <w:rPr>
          <w:rFonts w:ascii="Arial" w:hAnsi="Arial" w:cs="Arial"/>
        </w:rPr>
      </w:pPr>
    </w:p>
    <w:p>
      <w:pPr>
        <w:spacing w:line="360" w:lineRule="auto"/>
        <w:jc w:val="both"/>
        <w:rPr>
          <w:rFonts w:ascii="Arial" w:hAnsi="Arial" w:cs="Arial"/>
          <w:b/>
          <w:bCs/>
        </w:rPr>
      </w:pPr>
      <w:r>
        <w:rPr>
          <w:rFonts w:ascii="Arial" w:hAnsi="Arial" w:cs="Arial"/>
          <w:b/>
          <w:bCs/>
        </w:rPr>
        <w:t>3.2.2 Micronutrient analysis</w:t>
      </w:r>
    </w:p>
    <w:p>
      <w:pPr>
        <w:pStyle w:val="Body"/>
        <w:spacing w:after="0"/>
        <w:rPr>
          <w:rFonts w:ascii="Arial" w:hAnsi="Arial" w:cs="Arial"/>
        </w:rPr>
      </w:pPr>
    </w:p>
    <w:p>
      <w:pPr>
        <w:spacing w:line="360" w:lineRule="auto"/>
        <w:jc w:val="both"/>
        <w:rPr>
          <w:rFonts w:ascii="Arial" w:hAnsi="Arial" w:cs="Arial"/>
          <w:b/>
          <w:bCs/>
        </w:rPr>
      </w:pPr>
      <w:r>
        <w:rPr>
          <w:rFonts w:ascii="Arial" w:hAnsi="Arial" w:cs="Arial"/>
          <w:b/>
          <w:bCs/>
        </w:rPr>
        <w:t>Table 2: Micronutrient status of SMS from different treatments</w:t>
      </w:r>
    </w:p>
    <w:p>
      <w:pPr>
        <w:spacing w:line="360" w:lineRule="auto"/>
        <w:jc w:val="both"/>
        <w:rPr>
          <w:rFonts w:ascii="Arial" w:hAnsi="Arial" w:cs="Arial"/>
          <w:lang w:val="en-IN"/>
        </w:rPr>
      </w:pPr>
      <w:r>
        <w:rPr>
          <w:rFonts w:ascii="Arial" w:hAnsi="Arial" w:cs="Arial"/>
        </w:rPr>
        <w:t xml:space="preserve">Values are mean of 4 replications ± standard deviation; SE - Standard Error; C.D - Critical difference </w:t>
      </w:r>
      <w:r>
        <w:rPr>
          <w:rFonts w:ascii="Arial" w:hAnsi="Arial" w:cs="Arial"/>
          <w:lang w:val="en-IN"/>
        </w:rPr>
        <w:t xml:space="preserve">at 0.05 level of significance </w:t>
      </w:r>
    </w:p>
    <w:p>
      <w:pPr>
        <w:spacing w:line="360" w:lineRule="auto"/>
        <w:jc w:val="both"/>
        <w:rPr>
          <w:rFonts w:ascii="Arial" w:hAnsi="Arial" w:cs="Arial"/>
          <w:lang w:val="en-IN"/>
        </w:rPr>
      </w:pPr>
    </w:p>
    <w:tbl>
      <w:tblPr>
        <w:tblStyle w:val="TableGrid"/>
        <w:tblW w:w="7933" w:type="dxa"/>
        <w:tblLayout w:type="fixed"/>
        <w:tblLook w:val="04A0" w:firstRow="1" w:lastRow="0" w:firstColumn="1" w:lastColumn="0" w:noHBand="0" w:noVBand="1"/>
      </w:tblPr>
      <w:tblGrid>
        <w:gridCol w:w="988"/>
        <w:gridCol w:w="1701"/>
        <w:gridCol w:w="1701"/>
        <w:gridCol w:w="1701"/>
        <w:gridCol w:w="1842"/>
      </w:tblGrid>
      <w:tr>
        <w:tc>
          <w:tcPr>
            <w:tcW w:w="988" w:type="dxa"/>
          </w:tcPr>
          <w:p>
            <w:pPr>
              <w:spacing w:line="360" w:lineRule="auto"/>
              <w:jc w:val="center"/>
              <w:rPr>
                <w:rFonts w:ascii="Arial" w:hAnsi="Arial" w:cs="Arial"/>
                <w:sz w:val="20"/>
                <w:szCs w:val="20"/>
              </w:rPr>
            </w:pPr>
            <w:r>
              <w:rPr>
                <w:rFonts w:ascii="Arial" w:hAnsi="Arial" w:cs="Arial"/>
                <w:sz w:val="20"/>
                <w:szCs w:val="20"/>
              </w:rPr>
              <w:t>Sample</w:t>
            </w:r>
          </w:p>
        </w:tc>
        <w:tc>
          <w:tcPr>
            <w:tcW w:w="1701" w:type="dxa"/>
            <w:vAlign w:val="bottom"/>
          </w:tcPr>
          <w:p>
            <w:pPr>
              <w:spacing w:line="360" w:lineRule="auto"/>
              <w:jc w:val="center"/>
              <w:rPr>
                <w:rFonts w:ascii="Arial" w:hAnsi="Arial" w:cs="Arial"/>
                <w:sz w:val="20"/>
                <w:szCs w:val="20"/>
              </w:rPr>
            </w:pPr>
            <w:r>
              <w:rPr>
                <w:rFonts w:ascii="Arial" w:hAnsi="Arial" w:cs="Arial"/>
                <w:b/>
                <w:bCs/>
                <w:color w:val="333333"/>
                <w:sz w:val="21"/>
                <w:szCs w:val="21"/>
              </w:rPr>
              <w:t>B (ppm)</w:t>
            </w:r>
          </w:p>
        </w:tc>
        <w:tc>
          <w:tcPr>
            <w:tcW w:w="1701" w:type="dxa"/>
            <w:vAlign w:val="bottom"/>
          </w:tcPr>
          <w:p>
            <w:pPr>
              <w:spacing w:line="360" w:lineRule="auto"/>
              <w:jc w:val="center"/>
              <w:rPr>
                <w:rFonts w:ascii="Arial" w:hAnsi="Arial" w:cs="Arial"/>
                <w:sz w:val="20"/>
                <w:szCs w:val="20"/>
              </w:rPr>
            </w:pPr>
            <w:r>
              <w:rPr>
                <w:rFonts w:ascii="Arial" w:hAnsi="Arial" w:cs="Arial"/>
                <w:b/>
                <w:bCs/>
                <w:color w:val="333333"/>
                <w:sz w:val="21"/>
                <w:szCs w:val="21"/>
              </w:rPr>
              <w:t>Fe (ppm)</w:t>
            </w:r>
          </w:p>
        </w:tc>
        <w:tc>
          <w:tcPr>
            <w:tcW w:w="1701" w:type="dxa"/>
            <w:vAlign w:val="bottom"/>
          </w:tcPr>
          <w:p>
            <w:pPr>
              <w:spacing w:line="360" w:lineRule="auto"/>
              <w:jc w:val="center"/>
              <w:rPr>
                <w:rFonts w:ascii="Arial" w:hAnsi="Arial" w:cs="Arial"/>
                <w:sz w:val="20"/>
                <w:szCs w:val="20"/>
              </w:rPr>
            </w:pPr>
            <w:r>
              <w:rPr>
                <w:rFonts w:ascii="Arial" w:hAnsi="Arial" w:cs="Arial"/>
                <w:b/>
                <w:bCs/>
                <w:color w:val="333333"/>
                <w:sz w:val="21"/>
                <w:szCs w:val="21"/>
              </w:rPr>
              <w:t>Zn (ppm)</w:t>
            </w:r>
          </w:p>
        </w:tc>
        <w:tc>
          <w:tcPr>
            <w:tcW w:w="1842" w:type="dxa"/>
            <w:vAlign w:val="bottom"/>
          </w:tcPr>
          <w:p>
            <w:pPr>
              <w:spacing w:line="360" w:lineRule="auto"/>
              <w:jc w:val="center"/>
              <w:rPr>
                <w:rFonts w:ascii="Arial" w:hAnsi="Arial" w:cs="Arial"/>
                <w:sz w:val="20"/>
                <w:szCs w:val="20"/>
              </w:rPr>
            </w:pPr>
            <w:r>
              <w:rPr>
                <w:rFonts w:ascii="Arial" w:hAnsi="Arial" w:cs="Arial"/>
                <w:b/>
                <w:bCs/>
                <w:color w:val="333333"/>
                <w:sz w:val="21"/>
                <w:szCs w:val="21"/>
              </w:rPr>
              <w:t>Cu (ppm)</w:t>
            </w:r>
          </w:p>
        </w:tc>
      </w:tr>
      <w:tr>
        <w:trPr>
          <w:trHeight w:val="742"/>
        </w:trPr>
        <w:tc>
          <w:tcPr>
            <w:tcW w:w="988" w:type="dxa"/>
          </w:tcPr>
          <w:p>
            <w:pPr>
              <w:spacing w:line="360" w:lineRule="auto"/>
              <w:jc w:val="center"/>
              <w:rPr>
                <w:rFonts w:ascii="Arial" w:hAnsi="Arial" w:cs="Arial"/>
                <w:sz w:val="20"/>
                <w:szCs w:val="20"/>
              </w:rPr>
            </w:pPr>
            <w:r>
              <w:rPr>
                <w:rFonts w:ascii="Arial" w:hAnsi="Arial" w:cs="Arial"/>
                <w:sz w:val="20"/>
                <w:szCs w:val="20"/>
              </w:rPr>
              <w:t>T1</w:t>
            </w:r>
          </w:p>
        </w:tc>
        <w:tc>
          <w:tcPr>
            <w:tcW w:w="1701" w:type="dxa"/>
          </w:tcPr>
          <w:p>
            <w:pPr>
              <w:spacing w:line="360" w:lineRule="auto"/>
              <w:jc w:val="center"/>
              <w:rPr>
                <w:rFonts w:ascii="Arial" w:hAnsi="Arial" w:cs="Arial"/>
                <w:sz w:val="20"/>
                <w:szCs w:val="20"/>
              </w:rPr>
            </w:pPr>
            <w:r>
              <w:rPr>
                <w:rFonts w:ascii="Arial" w:hAnsi="Arial" w:cs="Arial"/>
                <w:sz w:val="20"/>
                <w:szCs w:val="20"/>
              </w:rPr>
              <w:t>59.00 ± 1.00</w:t>
            </w:r>
            <w:r>
              <w:rPr>
                <w:rFonts w:ascii="Arial" w:hAnsi="Arial" w:cs="Arial"/>
                <w:sz w:val="20"/>
                <w:szCs w:val="20"/>
                <w:vertAlign w:val="superscript"/>
              </w:rPr>
              <w:t>d</w:t>
            </w:r>
          </w:p>
        </w:tc>
        <w:tc>
          <w:tcPr>
            <w:tcW w:w="1701" w:type="dxa"/>
          </w:tcPr>
          <w:p>
            <w:pPr>
              <w:spacing w:line="360" w:lineRule="auto"/>
              <w:jc w:val="center"/>
              <w:rPr>
                <w:rFonts w:ascii="Arial" w:hAnsi="Arial" w:cs="Arial"/>
                <w:sz w:val="20"/>
                <w:szCs w:val="20"/>
              </w:rPr>
            </w:pPr>
            <w:r>
              <w:rPr>
                <w:rFonts w:ascii="Arial" w:hAnsi="Arial" w:cs="Arial"/>
                <w:sz w:val="20"/>
                <w:szCs w:val="20"/>
              </w:rPr>
              <w:t>106.50 ± 1.80</w:t>
            </w:r>
          </w:p>
        </w:tc>
        <w:tc>
          <w:tcPr>
            <w:tcW w:w="1701" w:type="dxa"/>
          </w:tcPr>
          <w:p>
            <w:pPr>
              <w:spacing w:line="360" w:lineRule="auto"/>
              <w:jc w:val="center"/>
              <w:rPr>
                <w:rFonts w:ascii="Arial" w:hAnsi="Arial" w:cs="Arial"/>
                <w:sz w:val="20"/>
                <w:szCs w:val="20"/>
              </w:rPr>
            </w:pPr>
            <w:r>
              <w:rPr>
                <w:rFonts w:ascii="Arial" w:hAnsi="Arial" w:cs="Arial"/>
                <w:sz w:val="20"/>
                <w:szCs w:val="20"/>
              </w:rPr>
              <w:t>15.00 ± 1.00</w:t>
            </w:r>
          </w:p>
        </w:tc>
        <w:tc>
          <w:tcPr>
            <w:tcW w:w="1842" w:type="dxa"/>
          </w:tcPr>
          <w:p>
            <w:pPr>
              <w:spacing w:line="360" w:lineRule="auto"/>
              <w:jc w:val="center"/>
              <w:rPr>
                <w:rFonts w:ascii="Arial" w:hAnsi="Arial" w:cs="Arial"/>
                <w:sz w:val="20"/>
                <w:szCs w:val="20"/>
              </w:rPr>
            </w:pPr>
            <w:r>
              <w:rPr>
                <w:rFonts w:ascii="Arial" w:hAnsi="Arial" w:cs="Arial"/>
                <w:sz w:val="20"/>
                <w:szCs w:val="20"/>
              </w:rPr>
              <w:t>10.49 ± 1.71</w:t>
            </w:r>
          </w:p>
        </w:tc>
      </w:tr>
      <w:tr>
        <w:trPr>
          <w:trHeight w:val="758"/>
        </w:trPr>
        <w:tc>
          <w:tcPr>
            <w:tcW w:w="988" w:type="dxa"/>
          </w:tcPr>
          <w:p>
            <w:pPr>
              <w:spacing w:line="360" w:lineRule="auto"/>
              <w:jc w:val="center"/>
              <w:rPr>
                <w:rFonts w:ascii="Arial" w:hAnsi="Arial" w:cs="Arial"/>
                <w:sz w:val="20"/>
                <w:szCs w:val="20"/>
              </w:rPr>
            </w:pPr>
            <w:r>
              <w:rPr>
                <w:rFonts w:ascii="Arial" w:hAnsi="Arial" w:cs="Arial"/>
                <w:sz w:val="20"/>
                <w:szCs w:val="20"/>
              </w:rPr>
              <w:lastRenderedPageBreak/>
              <w:t>T2</w:t>
            </w:r>
          </w:p>
        </w:tc>
        <w:tc>
          <w:tcPr>
            <w:tcW w:w="1701" w:type="dxa"/>
          </w:tcPr>
          <w:p>
            <w:pPr>
              <w:spacing w:line="360" w:lineRule="auto"/>
              <w:jc w:val="center"/>
              <w:rPr>
                <w:rFonts w:ascii="Arial" w:hAnsi="Arial" w:cs="Arial"/>
                <w:sz w:val="20"/>
                <w:szCs w:val="20"/>
              </w:rPr>
            </w:pPr>
            <w:r>
              <w:rPr>
                <w:rFonts w:ascii="Arial" w:hAnsi="Arial" w:cs="Arial"/>
                <w:sz w:val="20"/>
                <w:szCs w:val="20"/>
              </w:rPr>
              <w:t xml:space="preserve">82.00 ± 3.00 </w:t>
            </w:r>
            <w:r>
              <w:rPr>
                <w:rFonts w:ascii="Arial" w:hAnsi="Arial" w:cs="Arial"/>
                <w:sz w:val="20"/>
                <w:szCs w:val="20"/>
                <w:vertAlign w:val="superscript"/>
              </w:rPr>
              <w:t>a</w:t>
            </w:r>
          </w:p>
        </w:tc>
        <w:tc>
          <w:tcPr>
            <w:tcW w:w="1701" w:type="dxa"/>
          </w:tcPr>
          <w:p>
            <w:pPr>
              <w:spacing w:line="360" w:lineRule="auto"/>
              <w:jc w:val="center"/>
              <w:rPr>
                <w:rFonts w:ascii="Arial" w:hAnsi="Arial" w:cs="Arial"/>
                <w:sz w:val="20"/>
                <w:szCs w:val="20"/>
              </w:rPr>
            </w:pPr>
            <w:r>
              <w:rPr>
                <w:rFonts w:ascii="Arial" w:hAnsi="Arial" w:cs="Arial"/>
                <w:sz w:val="20"/>
                <w:szCs w:val="20"/>
              </w:rPr>
              <w:t>117.00 ± 8.76</w:t>
            </w:r>
          </w:p>
        </w:tc>
        <w:tc>
          <w:tcPr>
            <w:tcW w:w="1701" w:type="dxa"/>
          </w:tcPr>
          <w:p>
            <w:pPr>
              <w:spacing w:line="360" w:lineRule="auto"/>
              <w:jc w:val="center"/>
              <w:rPr>
                <w:rFonts w:ascii="Arial" w:hAnsi="Arial" w:cs="Arial"/>
                <w:sz w:val="20"/>
                <w:szCs w:val="20"/>
              </w:rPr>
            </w:pPr>
            <w:r>
              <w:rPr>
                <w:rFonts w:ascii="Arial" w:hAnsi="Arial" w:cs="Arial"/>
                <w:sz w:val="20"/>
                <w:szCs w:val="20"/>
              </w:rPr>
              <w:t>18.00 ± 5.00</w:t>
            </w:r>
          </w:p>
        </w:tc>
        <w:tc>
          <w:tcPr>
            <w:tcW w:w="1842" w:type="dxa"/>
          </w:tcPr>
          <w:p>
            <w:pPr>
              <w:spacing w:line="360" w:lineRule="auto"/>
              <w:jc w:val="center"/>
              <w:rPr>
                <w:rFonts w:ascii="Arial" w:hAnsi="Arial" w:cs="Arial"/>
                <w:sz w:val="20"/>
                <w:szCs w:val="20"/>
              </w:rPr>
            </w:pPr>
            <w:r>
              <w:rPr>
                <w:rFonts w:ascii="Arial" w:hAnsi="Arial" w:cs="Arial"/>
                <w:sz w:val="20"/>
                <w:szCs w:val="20"/>
              </w:rPr>
              <w:t>14.50 ± 3.28</w:t>
            </w:r>
          </w:p>
        </w:tc>
      </w:tr>
      <w:tr>
        <w:trPr>
          <w:trHeight w:val="712"/>
        </w:trPr>
        <w:tc>
          <w:tcPr>
            <w:tcW w:w="988" w:type="dxa"/>
          </w:tcPr>
          <w:p>
            <w:pPr>
              <w:spacing w:line="360" w:lineRule="auto"/>
              <w:jc w:val="center"/>
              <w:rPr>
                <w:rFonts w:ascii="Arial" w:hAnsi="Arial" w:cs="Arial"/>
                <w:sz w:val="20"/>
                <w:szCs w:val="20"/>
              </w:rPr>
            </w:pPr>
            <w:r>
              <w:rPr>
                <w:rFonts w:ascii="Arial" w:hAnsi="Arial" w:cs="Arial"/>
                <w:sz w:val="20"/>
                <w:szCs w:val="20"/>
              </w:rPr>
              <w:t>T3</w:t>
            </w:r>
          </w:p>
        </w:tc>
        <w:tc>
          <w:tcPr>
            <w:tcW w:w="1701" w:type="dxa"/>
          </w:tcPr>
          <w:p>
            <w:pPr>
              <w:spacing w:line="360" w:lineRule="auto"/>
              <w:jc w:val="center"/>
              <w:rPr>
                <w:rFonts w:ascii="Arial" w:hAnsi="Arial" w:cs="Arial"/>
                <w:sz w:val="20"/>
                <w:szCs w:val="20"/>
              </w:rPr>
            </w:pPr>
            <w:r>
              <w:rPr>
                <w:rFonts w:ascii="Arial" w:hAnsi="Arial" w:cs="Arial"/>
                <w:sz w:val="20"/>
                <w:szCs w:val="20"/>
              </w:rPr>
              <w:t>75.00 ± 1.00</w:t>
            </w:r>
            <w:r>
              <w:rPr>
                <w:rFonts w:ascii="Arial" w:hAnsi="Arial" w:cs="Arial"/>
                <w:sz w:val="20"/>
                <w:szCs w:val="20"/>
                <w:vertAlign w:val="superscript"/>
              </w:rPr>
              <w:t>b</w:t>
            </w:r>
          </w:p>
        </w:tc>
        <w:tc>
          <w:tcPr>
            <w:tcW w:w="1701" w:type="dxa"/>
          </w:tcPr>
          <w:p>
            <w:pPr>
              <w:spacing w:line="360" w:lineRule="auto"/>
              <w:jc w:val="center"/>
              <w:rPr>
                <w:rFonts w:ascii="Arial" w:hAnsi="Arial" w:cs="Arial"/>
                <w:sz w:val="20"/>
                <w:szCs w:val="20"/>
              </w:rPr>
            </w:pPr>
            <w:r>
              <w:rPr>
                <w:rFonts w:ascii="Arial" w:hAnsi="Arial" w:cs="Arial"/>
                <w:sz w:val="20"/>
                <w:szCs w:val="20"/>
              </w:rPr>
              <w:t>115.00 ± 5.57</w:t>
            </w:r>
          </w:p>
        </w:tc>
        <w:tc>
          <w:tcPr>
            <w:tcW w:w="1701" w:type="dxa"/>
          </w:tcPr>
          <w:p>
            <w:pPr>
              <w:spacing w:line="360" w:lineRule="auto"/>
              <w:jc w:val="center"/>
              <w:rPr>
                <w:rFonts w:ascii="Arial" w:hAnsi="Arial" w:cs="Arial"/>
                <w:sz w:val="20"/>
                <w:szCs w:val="20"/>
              </w:rPr>
            </w:pPr>
            <w:r>
              <w:rPr>
                <w:rFonts w:ascii="Arial" w:hAnsi="Arial" w:cs="Arial"/>
                <w:sz w:val="20"/>
                <w:szCs w:val="20"/>
              </w:rPr>
              <w:t>15.00 ± 3.00</w:t>
            </w:r>
          </w:p>
        </w:tc>
        <w:tc>
          <w:tcPr>
            <w:tcW w:w="1842" w:type="dxa"/>
          </w:tcPr>
          <w:p>
            <w:pPr>
              <w:spacing w:line="360" w:lineRule="auto"/>
              <w:jc w:val="center"/>
              <w:rPr>
                <w:rFonts w:ascii="Arial" w:hAnsi="Arial" w:cs="Arial"/>
                <w:sz w:val="20"/>
                <w:szCs w:val="20"/>
              </w:rPr>
            </w:pPr>
            <w:r>
              <w:rPr>
                <w:rFonts w:ascii="Arial" w:hAnsi="Arial" w:cs="Arial"/>
                <w:sz w:val="20"/>
                <w:szCs w:val="20"/>
              </w:rPr>
              <w:t>11.00 ± 2.00</w:t>
            </w:r>
          </w:p>
        </w:tc>
      </w:tr>
      <w:tr>
        <w:trPr>
          <w:trHeight w:val="552"/>
        </w:trPr>
        <w:tc>
          <w:tcPr>
            <w:tcW w:w="988" w:type="dxa"/>
          </w:tcPr>
          <w:p>
            <w:pPr>
              <w:spacing w:line="360" w:lineRule="auto"/>
              <w:jc w:val="center"/>
              <w:rPr>
                <w:rFonts w:ascii="Arial" w:hAnsi="Arial" w:cs="Arial"/>
                <w:sz w:val="20"/>
                <w:szCs w:val="20"/>
              </w:rPr>
            </w:pPr>
            <w:r>
              <w:rPr>
                <w:rFonts w:ascii="Arial" w:hAnsi="Arial" w:cs="Arial"/>
                <w:sz w:val="20"/>
                <w:szCs w:val="20"/>
              </w:rPr>
              <w:t>T4</w:t>
            </w:r>
          </w:p>
        </w:tc>
        <w:tc>
          <w:tcPr>
            <w:tcW w:w="1701" w:type="dxa"/>
          </w:tcPr>
          <w:p>
            <w:pPr>
              <w:spacing w:line="360" w:lineRule="auto"/>
              <w:jc w:val="center"/>
              <w:rPr>
                <w:rFonts w:ascii="Arial" w:hAnsi="Arial" w:cs="Arial"/>
                <w:sz w:val="20"/>
                <w:szCs w:val="20"/>
              </w:rPr>
            </w:pPr>
            <w:r>
              <w:rPr>
                <w:rFonts w:ascii="Arial" w:hAnsi="Arial" w:cs="Arial"/>
                <w:sz w:val="20"/>
                <w:szCs w:val="20"/>
              </w:rPr>
              <w:t>70.00 ± 1.00</w:t>
            </w:r>
            <w:r>
              <w:rPr>
                <w:rFonts w:ascii="Arial" w:hAnsi="Arial" w:cs="Arial"/>
                <w:sz w:val="20"/>
                <w:szCs w:val="20"/>
                <w:vertAlign w:val="superscript"/>
              </w:rPr>
              <w:t>c</w:t>
            </w:r>
          </w:p>
        </w:tc>
        <w:tc>
          <w:tcPr>
            <w:tcW w:w="1701" w:type="dxa"/>
          </w:tcPr>
          <w:p>
            <w:pPr>
              <w:spacing w:line="360" w:lineRule="auto"/>
              <w:jc w:val="center"/>
              <w:rPr>
                <w:rFonts w:ascii="Arial" w:hAnsi="Arial" w:cs="Arial"/>
                <w:sz w:val="20"/>
                <w:szCs w:val="20"/>
              </w:rPr>
            </w:pPr>
            <w:r>
              <w:rPr>
                <w:rFonts w:ascii="Arial" w:hAnsi="Arial" w:cs="Arial"/>
                <w:sz w:val="20"/>
                <w:szCs w:val="20"/>
              </w:rPr>
              <w:t>112.50 ± 6.54</w:t>
            </w:r>
          </w:p>
        </w:tc>
        <w:tc>
          <w:tcPr>
            <w:tcW w:w="1701" w:type="dxa"/>
          </w:tcPr>
          <w:p>
            <w:pPr>
              <w:spacing w:line="360" w:lineRule="auto"/>
              <w:jc w:val="center"/>
              <w:rPr>
                <w:rFonts w:ascii="Arial" w:hAnsi="Arial" w:cs="Arial"/>
                <w:sz w:val="20"/>
                <w:szCs w:val="20"/>
              </w:rPr>
            </w:pPr>
            <w:r>
              <w:rPr>
                <w:rFonts w:ascii="Arial" w:hAnsi="Arial" w:cs="Arial"/>
                <w:sz w:val="20"/>
                <w:szCs w:val="20"/>
              </w:rPr>
              <w:t>21.00 ± 6.00</w:t>
            </w:r>
          </w:p>
        </w:tc>
        <w:tc>
          <w:tcPr>
            <w:tcW w:w="1842" w:type="dxa"/>
          </w:tcPr>
          <w:p>
            <w:pPr>
              <w:spacing w:line="360" w:lineRule="auto"/>
              <w:jc w:val="center"/>
              <w:rPr>
                <w:rFonts w:ascii="Arial" w:hAnsi="Arial" w:cs="Arial"/>
                <w:sz w:val="20"/>
                <w:szCs w:val="20"/>
              </w:rPr>
            </w:pPr>
            <w:r>
              <w:rPr>
                <w:rFonts w:ascii="Arial" w:hAnsi="Arial" w:cs="Arial"/>
                <w:sz w:val="20"/>
                <w:szCs w:val="20"/>
              </w:rPr>
              <w:t>9.50 ± 1.00</w:t>
            </w:r>
          </w:p>
        </w:tc>
      </w:tr>
      <w:tr>
        <w:trPr>
          <w:trHeight w:val="552"/>
        </w:trPr>
        <w:tc>
          <w:tcPr>
            <w:tcW w:w="988" w:type="dxa"/>
          </w:tcPr>
          <w:p>
            <w:pPr>
              <w:spacing w:line="360" w:lineRule="auto"/>
              <w:jc w:val="center"/>
              <w:rPr>
                <w:rFonts w:ascii="Arial" w:hAnsi="Arial" w:cs="Arial"/>
                <w:sz w:val="20"/>
                <w:szCs w:val="20"/>
              </w:rPr>
            </w:pPr>
            <w:r>
              <w:rPr>
                <w:rFonts w:ascii="Arial" w:hAnsi="Arial" w:cs="Arial"/>
                <w:sz w:val="20"/>
                <w:szCs w:val="20"/>
              </w:rPr>
              <w:t>CD (0.05)</w:t>
            </w:r>
          </w:p>
        </w:tc>
        <w:tc>
          <w:tcPr>
            <w:tcW w:w="1701" w:type="dxa"/>
          </w:tcPr>
          <w:p>
            <w:pPr>
              <w:spacing w:line="360" w:lineRule="auto"/>
              <w:jc w:val="center"/>
              <w:rPr>
                <w:rFonts w:ascii="Arial" w:hAnsi="Arial" w:cs="Arial"/>
                <w:color w:val="333333"/>
                <w:sz w:val="20"/>
                <w:szCs w:val="20"/>
              </w:rPr>
            </w:pPr>
            <w:r>
              <w:rPr>
                <w:rFonts w:ascii="Arial" w:hAnsi="Arial" w:cs="Arial"/>
                <w:sz w:val="20"/>
                <w:szCs w:val="20"/>
              </w:rPr>
              <w:t>3.261</w:t>
            </w:r>
          </w:p>
        </w:tc>
        <w:tc>
          <w:tcPr>
            <w:tcW w:w="1701" w:type="dxa"/>
          </w:tcPr>
          <w:p>
            <w:pPr>
              <w:spacing w:line="360" w:lineRule="auto"/>
              <w:jc w:val="center"/>
              <w:rPr>
                <w:rFonts w:ascii="Arial" w:hAnsi="Arial" w:cs="Arial"/>
                <w:color w:val="333333"/>
                <w:sz w:val="20"/>
                <w:szCs w:val="20"/>
              </w:rPr>
            </w:pPr>
            <w:r>
              <w:rPr>
                <w:rFonts w:ascii="Arial" w:hAnsi="Arial" w:cs="Arial"/>
                <w:color w:val="333333"/>
                <w:sz w:val="20"/>
                <w:szCs w:val="20"/>
              </w:rPr>
              <w:t>NS</w:t>
            </w:r>
          </w:p>
        </w:tc>
        <w:tc>
          <w:tcPr>
            <w:tcW w:w="1701" w:type="dxa"/>
          </w:tcPr>
          <w:p>
            <w:pPr>
              <w:spacing w:line="360" w:lineRule="auto"/>
              <w:jc w:val="center"/>
              <w:rPr>
                <w:rFonts w:ascii="Arial" w:hAnsi="Arial" w:cs="Arial"/>
                <w:color w:val="333333"/>
                <w:sz w:val="20"/>
                <w:szCs w:val="20"/>
              </w:rPr>
            </w:pPr>
            <w:r>
              <w:rPr>
                <w:rFonts w:ascii="Arial" w:hAnsi="Arial" w:cs="Arial"/>
                <w:color w:val="333333"/>
                <w:sz w:val="20"/>
                <w:szCs w:val="20"/>
              </w:rPr>
              <w:t>NS</w:t>
            </w:r>
          </w:p>
        </w:tc>
        <w:tc>
          <w:tcPr>
            <w:tcW w:w="1842" w:type="dxa"/>
          </w:tcPr>
          <w:p>
            <w:pPr>
              <w:spacing w:line="360" w:lineRule="auto"/>
              <w:jc w:val="center"/>
              <w:rPr>
                <w:rFonts w:ascii="Arial" w:hAnsi="Arial" w:cs="Arial"/>
                <w:color w:val="333333"/>
                <w:sz w:val="20"/>
                <w:szCs w:val="20"/>
              </w:rPr>
            </w:pPr>
            <w:r>
              <w:rPr>
                <w:rFonts w:ascii="Arial" w:hAnsi="Arial" w:cs="Arial"/>
                <w:color w:val="333333"/>
                <w:sz w:val="20"/>
                <w:szCs w:val="20"/>
              </w:rPr>
              <w:t>NS</w:t>
            </w:r>
          </w:p>
        </w:tc>
      </w:tr>
      <w:tr>
        <w:trPr>
          <w:trHeight w:val="552"/>
        </w:trPr>
        <w:tc>
          <w:tcPr>
            <w:tcW w:w="988" w:type="dxa"/>
          </w:tcPr>
          <w:p>
            <w:pPr>
              <w:spacing w:line="360" w:lineRule="auto"/>
              <w:jc w:val="center"/>
              <w:rPr>
                <w:rFonts w:ascii="Arial" w:hAnsi="Arial" w:cs="Arial"/>
                <w:sz w:val="20"/>
                <w:szCs w:val="20"/>
              </w:rPr>
            </w:pPr>
            <w:r>
              <w:rPr>
                <w:rFonts w:ascii="Arial" w:hAnsi="Arial" w:cs="Arial"/>
                <w:sz w:val="20"/>
                <w:szCs w:val="20"/>
              </w:rPr>
              <w:t>SE (m)</w:t>
            </w:r>
          </w:p>
        </w:tc>
        <w:tc>
          <w:tcPr>
            <w:tcW w:w="1701" w:type="dxa"/>
          </w:tcPr>
          <w:p>
            <w:pPr>
              <w:spacing w:line="360" w:lineRule="auto"/>
              <w:jc w:val="center"/>
              <w:rPr>
                <w:rFonts w:ascii="Arial" w:hAnsi="Arial" w:cs="Arial"/>
                <w:sz w:val="20"/>
                <w:szCs w:val="20"/>
              </w:rPr>
            </w:pPr>
            <w:r>
              <w:rPr>
                <w:rFonts w:ascii="Arial" w:hAnsi="Arial" w:cs="Arial"/>
                <w:sz w:val="20"/>
                <w:szCs w:val="20"/>
              </w:rPr>
              <w:t>1.00</w:t>
            </w:r>
          </w:p>
        </w:tc>
        <w:tc>
          <w:tcPr>
            <w:tcW w:w="1701" w:type="dxa"/>
          </w:tcPr>
          <w:p>
            <w:pPr>
              <w:spacing w:line="360" w:lineRule="auto"/>
              <w:jc w:val="center"/>
              <w:rPr>
                <w:rFonts w:ascii="Arial" w:hAnsi="Arial" w:cs="Arial"/>
                <w:sz w:val="20"/>
                <w:szCs w:val="20"/>
              </w:rPr>
            </w:pPr>
            <w:r>
              <w:rPr>
                <w:rFonts w:ascii="Arial" w:hAnsi="Arial" w:cs="Arial"/>
                <w:sz w:val="20"/>
                <w:szCs w:val="20"/>
              </w:rPr>
              <w:t>3.579</w:t>
            </w:r>
          </w:p>
        </w:tc>
        <w:tc>
          <w:tcPr>
            <w:tcW w:w="1701" w:type="dxa"/>
          </w:tcPr>
          <w:p>
            <w:pPr>
              <w:spacing w:line="360" w:lineRule="auto"/>
              <w:jc w:val="center"/>
              <w:rPr>
                <w:rFonts w:ascii="Arial" w:hAnsi="Arial" w:cs="Arial"/>
                <w:sz w:val="20"/>
                <w:szCs w:val="20"/>
              </w:rPr>
            </w:pPr>
            <w:r>
              <w:rPr>
                <w:rFonts w:ascii="Arial" w:hAnsi="Arial" w:cs="Arial"/>
                <w:sz w:val="20"/>
                <w:szCs w:val="20"/>
              </w:rPr>
              <w:t>2.432</w:t>
            </w:r>
          </w:p>
        </w:tc>
        <w:tc>
          <w:tcPr>
            <w:tcW w:w="1842" w:type="dxa"/>
          </w:tcPr>
          <w:p>
            <w:pPr>
              <w:spacing w:line="360" w:lineRule="auto"/>
              <w:jc w:val="center"/>
              <w:rPr>
                <w:rFonts w:ascii="Arial" w:hAnsi="Arial" w:cs="Arial"/>
                <w:sz w:val="20"/>
                <w:szCs w:val="20"/>
              </w:rPr>
            </w:pPr>
            <w:r>
              <w:rPr>
                <w:rFonts w:ascii="Arial" w:hAnsi="Arial" w:cs="Arial"/>
                <w:sz w:val="20"/>
                <w:szCs w:val="20"/>
              </w:rPr>
              <w:t>1.247</w:t>
            </w:r>
          </w:p>
        </w:tc>
      </w:tr>
    </w:tbl>
    <w:p>
      <w:pPr>
        <w:pStyle w:val="ConcHead"/>
        <w:spacing w:after="0"/>
        <w:jc w:val="both"/>
        <w:rPr>
          <w:rFonts w:ascii="Arial" w:hAnsi="Arial" w:cs="Arial"/>
        </w:rPr>
      </w:pPr>
      <w:r>
        <w:rPr>
          <w:rFonts w:ascii="Arial" w:hAnsi="Arial" w:cs="Arial"/>
          <w:noProof/>
          <w:sz w:val="20"/>
        </w:rPr>
        <w:drawing>
          <wp:inline distT="0" distB="0" distL="0" distR="0">
            <wp:extent cx="5160819" cy="2424545"/>
            <wp:effectExtent l="0" t="0" r="1905" b="13970"/>
            <wp:docPr id="953569335" name="Chart 1">
              <a:extLst xmlns:a="http://schemas.openxmlformats.org/drawingml/2006/main">
                <a:ext uri="{FF2B5EF4-FFF2-40B4-BE49-F238E27FC236}">
                  <a16:creationId xmlns:a16="http://schemas.microsoft.com/office/drawing/2014/main" id="{5FE9A264-4601-E2DB-79A0-8A8D1E71A6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ConcHead"/>
        <w:spacing w:after="0"/>
        <w:jc w:val="both"/>
        <w:rPr>
          <w:rFonts w:ascii="Arial" w:hAnsi="Arial" w:cs="Arial"/>
          <w:b w:val="0"/>
          <w:bCs/>
        </w:rPr>
      </w:pPr>
    </w:p>
    <w:p>
      <w:pPr>
        <w:spacing w:line="360" w:lineRule="auto"/>
        <w:jc w:val="both"/>
        <w:rPr>
          <w:rFonts w:ascii="Arial" w:hAnsi="Arial" w:cs="Arial"/>
        </w:rPr>
      </w:pPr>
      <w:r>
        <w:rPr>
          <w:rFonts w:ascii="Arial" w:hAnsi="Arial" w:cs="Arial"/>
        </w:rPr>
        <w:t xml:space="preserve">FIG. 2 Micronutrient status of SMS obtained after cultivation of </w:t>
      </w:r>
      <w:r>
        <w:rPr>
          <w:rFonts w:ascii="Arial" w:hAnsi="Arial" w:cs="Arial"/>
          <w:i/>
          <w:iCs/>
        </w:rPr>
        <w:t>Pleurotus</w:t>
      </w:r>
      <w:r>
        <w:rPr>
          <w:rFonts w:ascii="Arial" w:hAnsi="Arial" w:cs="Arial"/>
        </w:rPr>
        <w:t xml:space="preserve"> spp. </w:t>
      </w:r>
    </w:p>
    <w:p>
      <w:pPr>
        <w:spacing w:line="360" w:lineRule="auto"/>
        <w:jc w:val="both"/>
        <w:rPr>
          <w:rFonts w:ascii="Arial" w:hAnsi="Arial" w:cs="Arial"/>
        </w:rPr>
      </w:pPr>
    </w:p>
    <w:p>
      <w:pPr>
        <w:spacing w:line="360" w:lineRule="auto"/>
        <w:jc w:val="both"/>
        <w:rPr>
          <w:rFonts w:ascii="Arial" w:hAnsi="Arial" w:cs="Arial"/>
        </w:rPr>
      </w:pPr>
      <w:r>
        <w:rPr>
          <w:rFonts w:ascii="Arial" w:hAnsi="Arial" w:cs="Arial"/>
        </w:rPr>
        <w:tab/>
        <w:t xml:space="preserve">The micronutrient analysis revealed notable trends as shown in Table 2. The sample T2 consistently displayed the highest concentrations of all measured micronutrients, with 82.00 ppm of boron, 117.00 ppm of iron, 18.00 ppm of zinc, and 14.5 ppm of copper. The T4-Control sample, while having the highest zinc concentration at 21 ppm, was found to have the lowest levels of manganese and copper among the samples. Boron content also showed considerable variation, with T2 having the highest concentration at 82 ppm and T1 having the lowest at 59 ppm. </w:t>
      </w:r>
    </w:p>
    <w:p>
      <w:pPr>
        <w:spacing w:line="360" w:lineRule="auto"/>
        <w:jc w:val="both"/>
        <w:rPr>
          <w:rFonts w:ascii="Arial" w:hAnsi="Arial" w:cs="Arial"/>
        </w:rPr>
      </w:pPr>
      <w:r>
        <w:rPr>
          <w:rFonts w:ascii="Arial" w:hAnsi="Arial" w:cs="Arial"/>
        </w:rPr>
        <w:tab/>
        <w:t>The boron content was found to be highest in T2, which was significantly different from all the other treatments, followed by T3. The control treatment had more boron content than the treatment T1. For the micronutrients</w:t>
      </w:r>
      <w:r>
        <w:rPr>
          <w:rFonts w:ascii="Arial" w:hAnsi="Arial" w:cs="Arial"/>
          <w:b/>
          <w:bCs/>
        </w:rPr>
        <w:t xml:space="preserve"> </w:t>
      </w:r>
      <w:r>
        <w:rPr>
          <w:rFonts w:ascii="Arial" w:hAnsi="Arial" w:cs="Arial"/>
        </w:rPr>
        <w:t xml:space="preserve">Iron (Fe), Zinc (Zn), and Copper (Cu), the statistical analysis indicates that any observed differences in the mean values between treatments (T1, T2, T3, and T4) were not statistically significant. These values agree with </w:t>
      </w:r>
      <w:r>
        <w:rPr>
          <w:rFonts w:ascii="Arial" w:hAnsi="Arial" w:cs="Arial"/>
        </w:rPr>
        <w:lastRenderedPageBreak/>
        <w:t xml:space="preserve">studies by Medina </w:t>
      </w:r>
      <w:r>
        <w:rPr>
          <w:rFonts w:ascii="Arial" w:hAnsi="Arial" w:cs="Arial"/>
          <w:i/>
          <w:iCs/>
        </w:rPr>
        <w:t>et al.</w:t>
      </w:r>
      <w:r>
        <w:rPr>
          <w:rFonts w:ascii="Arial" w:hAnsi="Arial" w:cs="Arial"/>
        </w:rPr>
        <w:t xml:space="preserve"> (2012), who highlighted the suitability of SMS as a supplier of trace elements The microelement composition of SMS also shifted compared to the original substrate, with trends depending on the mushroom species cultivated (Li and Wang, 2023). The micronutrients manganese (Mn) and copper (Cu) were markedly enriched in SMS of </w:t>
      </w:r>
      <w:r>
        <w:rPr>
          <w:rFonts w:ascii="Arial" w:hAnsi="Arial" w:cs="Arial"/>
          <w:i/>
          <w:iCs/>
        </w:rPr>
        <w:t xml:space="preserve">P. </w:t>
      </w:r>
      <w:proofErr w:type="spellStart"/>
      <w:r>
        <w:rPr>
          <w:rFonts w:ascii="Arial" w:hAnsi="Arial" w:cs="Arial"/>
          <w:i/>
          <w:iCs/>
        </w:rPr>
        <w:t>eryngii</w:t>
      </w:r>
      <w:proofErr w:type="spellEnd"/>
      <w:r>
        <w:rPr>
          <w:rFonts w:ascii="Arial" w:hAnsi="Arial" w:cs="Arial"/>
        </w:rPr>
        <w:t xml:space="preserve"> and SMS of </w:t>
      </w:r>
      <w:r>
        <w:rPr>
          <w:rFonts w:ascii="Arial" w:hAnsi="Arial" w:cs="Arial"/>
          <w:i/>
          <w:iCs/>
        </w:rPr>
        <w:t xml:space="preserve">P. </w:t>
      </w:r>
      <w:proofErr w:type="spellStart"/>
      <w:r>
        <w:rPr>
          <w:rFonts w:ascii="Arial" w:hAnsi="Arial" w:cs="Arial"/>
          <w:i/>
          <w:iCs/>
        </w:rPr>
        <w:t>citrinopileatus</w:t>
      </w:r>
      <w:proofErr w:type="spellEnd"/>
      <w:r>
        <w:rPr>
          <w:rFonts w:ascii="Arial" w:hAnsi="Arial" w:cs="Arial"/>
        </w:rPr>
        <w:t xml:space="preserve">, while zinc (Zn) declined in all SMS compared with the substrate. Iron (Fe) content was higher in SMS of </w:t>
      </w:r>
      <w:r>
        <w:rPr>
          <w:rFonts w:ascii="Arial" w:hAnsi="Arial" w:cs="Arial"/>
          <w:i/>
          <w:iCs/>
        </w:rPr>
        <w:t xml:space="preserve">P. </w:t>
      </w:r>
      <w:proofErr w:type="spellStart"/>
      <w:r>
        <w:rPr>
          <w:rFonts w:ascii="Arial" w:hAnsi="Arial" w:cs="Arial"/>
          <w:i/>
          <w:iCs/>
        </w:rPr>
        <w:t>citrinopileatus</w:t>
      </w:r>
      <w:proofErr w:type="spellEnd"/>
      <w:r>
        <w:rPr>
          <w:rFonts w:ascii="Arial" w:hAnsi="Arial" w:cs="Arial"/>
        </w:rPr>
        <w:t xml:space="preserve"> and the raw substrate, but lower in SMS of </w:t>
      </w:r>
      <w:r>
        <w:rPr>
          <w:rFonts w:ascii="Arial" w:hAnsi="Arial" w:cs="Arial"/>
          <w:i/>
          <w:iCs/>
        </w:rPr>
        <w:t>P. ostreatus</w:t>
      </w:r>
      <w:r>
        <w:rPr>
          <w:rFonts w:ascii="Arial" w:hAnsi="Arial" w:cs="Arial"/>
        </w:rPr>
        <w:t xml:space="preserve"> and SMS of </w:t>
      </w:r>
      <w:r>
        <w:rPr>
          <w:rFonts w:ascii="Arial" w:hAnsi="Arial" w:cs="Arial"/>
          <w:i/>
          <w:iCs/>
        </w:rPr>
        <w:t xml:space="preserve">P. </w:t>
      </w:r>
      <w:proofErr w:type="spellStart"/>
      <w:r>
        <w:rPr>
          <w:rFonts w:ascii="Arial" w:hAnsi="Arial" w:cs="Arial"/>
          <w:i/>
          <w:iCs/>
        </w:rPr>
        <w:t>eryngii</w:t>
      </w:r>
      <w:proofErr w:type="spellEnd"/>
      <w:r>
        <w:rPr>
          <w:rFonts w:ascii="Arial" w:hAnsi="Arial" w:cs="Arial"/>
          <w:i/>
          <w:iCs/>
        </w:rPr>
        <w:t>.</w:t>
      </w:r>
      <w:r>
        <w:rPr>
          <w:rFonts w:ascii="Arial" w:hAnsi="Arial" w:cs="Arial"/>
        </w:rPr>
        <w:tab/>
      </w:r>
    </w:p>
    <w:p>
      <w:pPr>
        <w:spacing w:line="360" w:lineRule="auto"/>
        <w:ind w:firstLine="720"/>
        <w:jc w:val="both"/>
        <w:rPr>
          <w:rFonts w:ascii="Arial" w:hAnsi="Arial" w:cs="Arial"/>
        </w:rPr>
      </w:pPr>
      <w:r>
        <w:rPr>
          <w:rFonts w:ascii="Arial" w:hAnsi="Arial" w:cs="Arial"/>
        </w:rPr>
        <w:t xml:space="preserve">The macronutrient and micronutrient analysis of SMS from </w:t>
      </w:r>
      <w:r>
        <w:rPr>
          <w:rFonts w:ascii="Arial" w:hAnsi="Arial" w:cs="Arial"/>
          <w:i/>
          <w:iCs/>
        </w:rPr>
        <w:t>Pleurotus</w:t>
      </w:r>
      <w:r>
        <w:rPr>
          <w:rFonts w:ascii="Arial" w:hAnsi="Arial" w:cs="Arial"/>
        </w:rPr>
        <w:t xml:space="preserve"> spp. shows that the residual biomass from the mushroom cultivation still acts as a reservoir of all the essential nutrients. When the SMS is applied either as compost or as extract can enhance the growth and development of the plants as it slowly releases the nutrients upon weathering. Even though there was no significant difference in some of the micronutrients, all the macronutrients exhibited significant difference from the raw paddy straw. </w:t>
      </w:r>
    </w:p>
    <w:p>
      <w:pPr>
        <w:spacing w:line="360" w:lineRule="auto"/>
        <w:jc w:val="both"/>
        <w:rPr>
          <w:rFonts w:ascii="Arial" w:hAnsi="Arial" w:cs="Arial"/>
        </w:rPr>
      </w:pPr>
    </w:p>
    <w:p>
      <w:pPr>
        <w:spacing w:line="360" w:lineRule="auto"/>
        <w:jc w:val="both"/>
        <w:rPr>
          <w:rFonts w:ascii="Arial" w:hAnsi="Arial" w:cs="Arial"/>
          <w:b/>
          <w:bCs/>
        </w:rPr>
      </w:pPr>
      <w:r>
        <w:rPr>
          <w:rFonts w:ascii="Arial" w:hAnsi="Arial" w:cs="Arial"/>
          <w:b/>
          <w:bCs/>
        </w:rPr>
        <w:t>3.3.1 Isolation, cultural, morphological and molecular characterization of antagonistic bacteria from SMS</w:t>
      </w:r>
    </w:p>
    <w:p>
      <w:pPr>
        <w:spacing w:line="360" w:lineRule="auto"/>
        <w:jc w:val="both"/>
        <w:rPr>
          <w:rFonts w:ascii="Arial" w:hAnsi="Arial" w:cs="Arial"/>
        </w:rPr>
      </w:pPr>
      <w:r>
        <w:rPr>
          <w:rFonts w:ascii="Arial" w:hAnsi="Arial" w:cs="Arial"/>
        </w:rPr>
        <w:tab/>
        <w:t xml:space="preserve">About six different bacteria were isolated from the spent mushroom substrate of </w:t>
      </w:r>
      <w:r>
        <w:rPr>
          <w:rFonts w:ascii="Arial" w:hAnsi="Arial" w:cs="Arial"/>
          <w:i/>
          <w:iCs/>
        </w:rPr>
        <w:t>Pleurotus</w:t>
      </w:r>
      <w:r>
        <w:rPr>
          <w:rFonts w:ascii="Arial" w:hAnsi="Arial" w:cs="Arial"/>
        </w:rPr>
        <w:t xml:space="preserve"> spp. All the bacterial isolates were tested against </w:t>
      </w:r>
      <w:proofErr w:type="spellStart"/>
      <w:r>
        <w:rPr>
          <w:rFonts w:ascii="Arial" w:hAnsi="Arial" w:cs="Arial"/>
          <w:i/>
          <w:iCs/>
        </w:rPr>
        <w:t>Rhizoctonia</w:t>
      </w:r>
      <w:proofErr w:type="spellEnd"/>
      <w:r>
        <w:rPr>
          <w:rFonts w:ascii="Arial" w:hAnsi="Arial" w:cs="Arial"/>
          <w:i/>
          <w:iCs/>
        </w:rPr>
        <w:t xml:space="preserve"> </w:t>
      </w:r>
      <w:proofErr w:type="spellStart"/>
      <w:r>
        <w:rPr>
          <w:rFonts w:ascii="Arial" w:hAnsi="Arial" w:cs="Arial"/>
          <w:i/>
          <w:iCs/>
        </w:rPr>
        <w:t>solani</w:t>
      </w:r>
      <w:proofErr w:type="spellEnd"/>
      <w:r>
        <w:rPr>
          <w:rFonts w:ascii="Arial" w:hAnsi="Arial" w:cs="Arial"/>
        </w:rPr>
        <w:t xml:space="preserve">, and </w:t>
      </w:r>
      <w:r>
        <w:rPr>
          <w:rFonts w:ascii="Arial" w:hAnsi="Arial" w:cs="Arial"/>
          <w:i/>
          <w:iCs/>
        </w:rPr>
        <w:t>Colletotrichum</w:t>
      </w:r>
      <w:r>
        <w:rPr>
          <w:rFonts w:ascii="Arial" w:hAnsi="Arial" w:cs="Arial"/>
        </w:rPr>
        <w:t xml:space="preserve"> sp. of which one bacterium </w:t>
      </w:r>
      <w:r>
        <w:rPr>
          <w:rFonts w:ascii="Arial" w:hAnsi="Arial" w:cs="Arial"/>
          <w:lang w:val="en-IN"/>
        </w:rPr>
        <w:t xml:space="preserve">from SMS of </w:t>
      </w:r>
      <w:r>
        <w:rPr>
          <w:rFonts w:ascii="Arial" w:hAnsi="Arial" w:cs="Arial"/>
          <w:i/>
          <w:iCs/>
          <w:lang w:val="en-IN"/>
        </w:rPr>
        <w:t>Po</w:t>
      </w:r>
      <w:r>
        <w:rPr>
          <w:rFonts w:ascii="Arial" w:hAnsi="Arial" w:cs="Arial"/>
        </w:rPr>
        <w:t xml:space="preserve"> exhibited antagonistic activity.</w:t>
      </w:r>
    </w:p>
    <w:p>
      <w:pPr>
        <w:spacing w:line="360" w:lineRule="auto"/>
        <w:jc w:val="both"/>
        <w:rPr>
          <w:rFonts w:ascii="Arial" w:hAnsi="Arial" w:cs="Arial"/>
          <w:noProof/>
          <w:lang w:val="en-IN"/>
        </w:rPr>
      </w:pPr>
      <w:r>
        <w:rPr>
          <w:rFonts w:ascii="Arial" w:hAnsi="Arial" w:cs="Arial"/>
          <w:lang w:val="en-IN"/>
        </w:rPr>
        <w:t xml:space="preserve">Among the 6 different bacteria isolated, </w:t>
      </w:r>
      <w:proofErr w:type="spellStart"/>
      <w:r>
        <w:rPr>
          <w:rFonts w:ascii="Arial" w:hAnsi="Arial" w:cs="Arial"/>
          <w:i/>
          <w:iCs/>
          <w:lang w:val="en-IN"/>
        </w:rPr>
        <w:t>Burkholderia</w:t>
      </w:r>
      <w:proofErr w:type="spellEnd"/>
      <w:r>
        <w:rPr>
          <w:rFonts w:ascii="Arial" w:hAnsi="Arial" w:cs="Arial"/>
          <w:i/>
          <w:iCs/>
          <w:lang w:val="en-IN"/>
        </w:rPr>
        <w:t xml:space="preserve"> gladioli</w:t>
      </w:r>
      <w:r>
        <w:rPr>
          <w:rFonts w:ascii="Arial" w:hAnsi="Arial" w:cs="Arial"/>
          <w:lang w:val="en-IN"/>
        </w:rPr>
        <w:t xml:space="preserve"> exhibited antagonistic activity against the plant pathogens, </w:t>
      </w:r>
      <w:r>
        <w:rPr>
          <w:rFonts w:ascii="Arial" w:hAnsi="Arial" w:cs="Arial"/>
          <w:i/>
          <w:iCs/>
          <w:lang w:val="en-IN"/>
        </w:rPr>
        <w:t xml:space="preserve">R. </w:t>
      </w:r>
      <w:proofErr w:type="spellStart"/>
      <w:r>
        <w:rPr>
          <w:rFonts w:ascii="Arial" w:hAnsi="Arial" w:cs="Arial"/>
          <w:i/>
          <w:iCs/>
          <w:lang w:val="en-IN"/>
        </w:rPr>
        <w:t>solani</w:t>
      </w:r>
      <w:proofErr w:type="spellEnd"/>
      <w:r>
        <w:rPr>
          <w:rFonts w:ascii="Arial" w:hAnsi="Arial" w:cs="Arial"/>
          <w:lang w:val="en-IN"/>
        </w:rPr>
        <w:t xml:space="preserve"> and </w:t>
      </w:r>
      <w:r>
        <w:rPr>
          <w:rFonts w:ascii="Arial" w:hAnsi="Arial" w:cs="Arial"/>
          <w:i/>
          <w:iCs/>
          <w:lang w:val="en-IN"/>
        </w:rPr>
        <w:t xml:space="preserve">C. </w:t>
      </w:r>
      <w:proofErr w:type="spellStart"/>
      <w:r>
        <w:rPr>
          <w:rFonts w:ascii="Arial" w:hAnsi="Arial" w:cs="Arial"/>
          <w:i/>
          <w:iCs/>
          <w:lang w:val="en-IN"/>
        </w:rPr>
        <w:t>gloeosporioides</w:t>
      </w:r>
      <w:proofErr w:type="spellEnd"/>
    </w:p>
    <w:p>
      <w:pPr>
        <w:spacing w:line="360" w:lineRule="auto"/>
        <w:jc w:val="both"/>
        <w:rPr>
          <w:rFonts w:ascii="Arial" w:hAnsi="Arial" w:cs="Arial"/>
          <w:lang w:val="en-IN"/>
        </w:rPr>
      </w:pPr>
      <w:r>
        <w:rPr>
          <w:rFonts w:ascii="Arial" w:hAnsi="Arial" w:cs="Arial"/>
          <w:lang w:val="en-IN"/>
        </w:rPr>
        <w:tab/>
        <w:t xml:space="preserve">The bacterium </w:t>
      </w:r>
      <w:r>
        <w:rPr>
          <w:rFonts w:ascii="Arial" w:hAnsi="Arial" w:cs="Arial"/>
          <w:i/>
          <w:iCs/>
          <w:lang w:val="en-IN"/>
        </w:rPr>
        <w:t>B. gladioli</w:t>
      </w:r>
      <w:r>
        <w:rPr>
          <w:rFonts w:ascii="Arial" w:hAnsi="Arial" w:cs="Arial"/>
          <w:lang w:val="en-IN"/>
        </w:rPr>
        <w:t xml:space="preserve"> produced pale yellow colonies on the NA media after 24 h of incubation. The colonies were found to be smooth, circular and convex with entire margins. The colony colour of B. gladioli was observed to be in accordance to the study conducted by Keith </w:t>
      </w:r>
      <w:r>
        <w:rPr>
          <w:rFonts w:ascii="Arial" w:hAnsi="Arial" w:cs="Arial"/>
          <w:i/>
          <w:iCs/>
          <w:lang w:val="en-IN"/>
        </w:rPr>
        <w:t>et al</w:t>
      </w:r>
      <w:r>
        <w:rPr>
          <w:rFonts w:ascii="Arial" w:hAnsi="Arial" w:cs="Arial"/>
          <w:lang w:val="en-IN"/>
        </w:rPr>
        <w:t xml:space="preserve">. (2005) in which the colour was off- white to pale yellow in colour. The bacterium was Gram negative with flagellated non fluorescent colonies. The bacterium was sequenced through 16s rRNA sequencing and was submitted in NCBI GenBank. The NCBI results and phylogenetic tree (Maximum </w:t>
      </w:r>
      <w:proofErr w:type="spellStart"/>
      <w:r>
        <w:rPr>
          <w:rFonts w:ascii="Arial" w:hAnsi="Arial" w:cs="Arial"/>
          <w:lang w:val="en-IN"/>
        </w:rPr>
        <w:t>Parsimonius</w:t>
      </w:r>
      <w:proofErr w:type="spellEnd"/>
      <w:r>
        <w:rPr>
          <w:rFonts w:ascii="Arial" w:hAnsi="Arial" w:cs="Arial"/>
          <w:lang w:val="en-IN"/>
        </w:rPr>
        <w:t xml:space="preserve"> tree) confirmed the bacterium as </w:t>
      </w:r>
      <w:proofErr w:type="spellStart"/>
      <w:r>
        <w:rPr>
          <w:rFonts w:ascii="Arial" w:hAnsi="Arial" w:cs="Arial"/>
          <w:i/>
          <w:iCs/>
          <w:lang w:val="en-IN"/>
        </w:rPr>
        <w:t>Burkholderia</w:t>
      </w:r>
      <w:proofErr w:type="spellEnd"/>
      <w:r>
        <w:rPr>
          <w:rFonts w:ascii="Arial" w:hAnsi="Arial" w:cs="Arial"/>
          <w:i/>
          <w:iCs/>
          <w:lang w:val="en-IN"/>
        </w:rPr>
        <w:t xml:space="preserve"> gladioli </w:t>
      </w:r>
      <w:r>
        <w:rPr>
          <w:rFonts w:ascii="Arial" w:hAnsi="Arial" w:cs="Arial"/>
          <w:lang w:val="en-IN"/>
        </w:rPr>
        <w:t>(Accession no.</w:t>
      </w:r>
      <w:r>
        <w:rPr>
          <w:rFonts w:ascii="Arial" w:hAnsi="Arial" w:cs="Arial"/>
        </w:rPr>
        <w:t xml:space="preserve"> </w:t>
      </w:r>
      <w:r>
        <w:rPr>
          <w:rFonts w:ascii="Arial" w:hAnsi="Arial" w:cs="Arial"/>
          <w:b/>
          <w:bCs/>
        </w:rPr>
        <w:t xml:space="preserve">PX426320). </w:t>
      </w:r>
    </w:p>
    <w:p>
      <w:pPr>
        <w:spacing w:line="360" w:lineRule="auto"/>
        <w:jc w:val="both"/>
        <w:rPr>
          <w:rFonts w:ascii="Arial" w:hAnsi="Arial" w:cs="Arial"/>
        </w:rPr>
      </w:pPr>
    </w:p>
    <w:p>
      <w:pPr>
        <w:spacing w:line="360" w:lineRule="auto"/>
        <w:jc w:val="both"/>
        <w:rPr>
          <w:rFonts w:ascii="Arial" w:hAnsi="Arial" w:cs="Arial"/>
          <w:b/>
          <w:bCs/>
        </w:rPr>
      </w:pPr>
      <w:r>
        <w:rPr>
          <w:rFonts w:ascii="Arial" w:hAnsi="Arial" w:cs="Arial"/>
          <w:b/>
          <w:bCs/>
        </w:rPr>
        <w:t xml:space="preserve">3.3.2 </w:t>
      </w:r>
      <w:r>
        <w:rPr>
          <w:rFonts w:ascii="Arial" w:hAnsi="Arial" w:cs="Arial"/>
          <w:b/>
          <w:bCs/>
          <w:i/>
          <w:iCs/>
        </w:rPr>
        <w:t>In vitro</w:t>
      </w:r>
      <w:r>
        <w:rPr>
          <w:rFonts w:ascii="Arial" w:hAnsi="Arial" w:cs="Arial"/>
          <w:b/>
          <w:bCs/>
        </w:rPr>
        <w:t xml:space="preserve"> antagonism of </w:t>
      </w:r>
      <w:r>
        <w:rPr>
          <w:rFonts w:ascii="Arial" w:hAnsi="Arial" w:cs="Arial"/>
          <w:b/>
          <w:bCs/>
          <w:i/>
          <w:iCs/>
        </w:rPr>
        <w:t>B. gladioli</w:t>
      </w:r>
      <w:r>
        <w:rPr>
          <w:rFonts w:ascii="Arial" w:hAnsi="Arial" w:cs="Arial"/>
          <w:b/>
          <w:bCs/>
        </w:rPr>
        <w:t xml:space="preserve"> against plant pathogens</w:t>
      </w:r>
    </w:p>
    <w:p>
      <w:pPr>
        <w:spacing w:line="360" w:lineRule="auto"/>
        <w:jc w:val="both"/>
        <w:rPr>
          <w:rFonts w:ascii="Arial" w:hAnsi="Arial" w:cs="Arial"/>
          <w:b/>
          <w:bCs/>
        </w:rPr>
      </w:pPr>
    </w:p>
    <w:p>
      <w:pPr>
        <w:spacing w:line="360" w:lineRule="auto"/>
        <w:jc w:val="both"/>
        <w:rPr>
          <w:rFonts w:ascii="Arial" w:hAnsi="Arial" w:cs="Arial"/>
          <w:i/>
          <w:iCs/>
        </w:rPr>
      </w:pPr>
      <w:r>
        <w:rPr>
          <w:rFonts w:ascii="Arial" w:hAnsi="Arial" w:cs="Arial"/>
        </w:rPr>
        <w:lastRenderedPageBreak/>
        <w:t xml:space="preserve">          </w:t>
      </w:r>
      <w:r>
        <w:rPr>
          <w:rFonts w:ascii="Arial" w:hAnsi="Arial" w:cs="Arial"/>
          <w:i/>
          <w:iCs/>
          <w:noProof/>
        </w:rPr>
        <w:t xml:space="preserve"> </w:t>
      </w:r>
      <w:r>
        <w:rPr>
          <w:rFonts w:ascii="Arial" w:hAnsi="Arial" w:cs="Arial"/>
          <w:i/>
          <w:iCs/>
          <w:noProof/>
        </w:rPr>
        <w:drawing>
          <wp:inline distT="0" distB="0" distL="0" distR="0">
            <wp:extent cx="2016370" cy="2061905"/>
            <wp:effectExtent l="0" t="0" r="3175" b="0"/>
            <wp:docPr id="18154889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88999" name="Picture 1815488999"/>
                    <pic:cNvPicPr/>
                  </pic:nvPicPr>
                  <pic:blipFill rotWithShape="1">
                    <a:blip r:embed="rId13" cstate="print">
                      <a:extLst>
                        <a:ext uri="{28A0092B-C50C-407E-A947-70E740481C1C}">
                          <a14:useLocalDpi xmlns:a14="http://schemas.microsoft.com/office/drawing/2010/main" val="0"/>
                        </a:ext>
                      </a:extLst>
                    </a:blip>
                    <a:srcRect l="15409" t="19653" r="15194" b="27124"/>
                    <a:stretch>
                      <a:fillRect/>
                    </a:stretch>
                  </pic:blipFill>
                  <pic:spPr bwMode="auto">
                    <a:xfrm>
                      <a:off x="0" y="0"/>
                      <a:ext cx="2027197" cy="207297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i/>
          <w:iCs/>
          <w:noProof/>
        </w:rPr>
        <w:drawing>
          <wp:inline distT="0" distB="0" distL="0" distR="0">
            <wp:extent cx="2032000" cy="2062480"/>
            <wp:effectExtent l="0" t="0" r="6350" b="0"/>
            <wp:docPr id="1227578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78797" name="Picture 122757879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2000" cy="2062480"/>
                    </a:xfrm>
                    <a:prstGeom prst="rect">
                      <a:avLst/>
                    </a:prstGeom>
                  </pic:spPr>
                </pic:pic>
              </a:graphicData>
            </a:graphic>
          </wp:inline>
        </w:drawing>
      </w:r>
    </w:p>
    <w:p>
      <w:pPr>
        <w:spacing w:line="360" w:lineRule="auto"/>
        <w:jc w:val="both"/>
        <w:rPr>
          <w:rFonts w:ascii="Arial" w:hAnsi="Arial" w:cs="Arial"/>
        </w:rPr>
      </w:pPr>
      <w:r>
        <w:rPr>
          <w:rFonts w:ascii="Arial" w:hAnsi="Arial" w:cs="Arial"/>
        </w:rPr>
        <w:t xml:space="preserve">                                       (a)                                                 </w:t>
      </w:r>
      <w:proofErr w:type="gramStart"/>
      <w:r>
        <w:rPr>
          <w:rFonts w:ascii="Arial" w:hAnsi="Arial" w:cs="Arial"/>
        </w:rPr>
        <w:t xml:space="preserve">   (</w:t>
      </w:r>
      <w:proofErr w:type="gramEnd"/>
      <w:r>
        <w:rPr>
          <w:rFonts w:ascii="Arial" w:hAnsi="Arial" w:cs="Arial"/>
        </w:rPr>
        <w:t xml:space="preserve">b) </w:t>
      </w:r>
    </w:p>
    <w:p>
      <w:pPr>
        <w:spacing w:line="360" w:lineRule="auto"/>
        <w:jc w:val="both"/>
        <w:rPr>
          <w:rFonts w:ascii="Arial" w:hAnsi="Arial" w:cs="Arial"/>
        </w:rPr>
      </w:pPr>
      <w:r>
        <w:rPr>
          <w:rFonts w:ascii="Arial" w:hAnsi="Arial" w:cs="Arial"/>
        </w:rPr>
        <w:t xml:space="preserve"> Plate 1: </w:t>
      </w:r>
      <w:r>
        <w:rPr>
          <w:rFonts w:ascii="Arial" w:hAnsi="Arial" w:cs="Arial"/>
          <w:i/>
          <w:iCs/>
        </w:rPr>
        <w:t>In vitro</w:t>
      </w:r>
      <w:r>
        <w:rPr>
          <w:rFonts w:ascii="Arial" w:hAnsi="Arial" w:cs="Arial"/>
        </w:rPr>
        <w:t xml:space="preserve"> antagonism of </w:t>
      </w:r>
      <w:r>
        <w:rPr>
          <w:rFonts w:ascii="Arial" w:hAnsi="Arial" w:cs="Arial"/>
          <w:i/>
          <w:iCs/>
        </w:rPr>
        <w:t>B. gladioli</w:t>
      </w:r>
      <w:r>
        <w:rPr>
          <w:rFonts w:ascii="Arial" w:hAnsi="Arial" w:cs="Arial"/>
        </w:rPr>
        <w:t xml:space="preserve"> on </w:t>
      </w:r>
      <w:r>
        <w:rPr>
          <w:rFonts w:ascii="Arial" w:hAnsi="Arial" w:cs="Arial"/>
          <w:i/>
          <w:iCs/>
        </w:rPr>
        <w:t xml:space="preserve">R. </w:t>
      </w:r>
      <w:proofErr w:type="spellStart"/>
      <w:r>
        <w:rPr>
          <w:rFonts w:ascii="Arial" w:hAnsi="Arial" w:cs="Arial"/>
          <w:i/>
          <w:iCs/>
        </w:rPr>
        <w:t>solani</w:t>
      </w:r>
      <w:proofErr w:type="spellEnd"/>
      <w:r>
        <w:rPr>
          <w:rFonts w:ascii="Arial" w:hAnsi="Arial" w:cs="Arial"/>
        </w:rPr>
        <w:t xml:space="preserve"> (a) Treatment (b) Control plate (7</w:t>
      </w:r>
      <w:r>
        <w:rPr>
          <w:rFonts w:ascii="Arial" w:hAnsi="Arial" w:cs="Arial"/>
          <w:vertAlign w:val="superscript"/>
        </w:rPr>
        <w:t>th</w:t>
      </w:r>
      <w:r>
        <w:rPr>
          <w:rFonts w:ascii="Arial" w:hAnsi="Arial" w:cs="Arial"/>
        </w:rPr>
        <w:t xml:space="preserve"> day after inoculation)</w:t>
      </w:r>
    </w:p>
    <w:p>
      <w:pPr>
        <w:spacing w:line="360" w:lineRule="auto"/>
        <w:jc w:val="both"/>
        <w:rPr>
          <w:rFonts w:ascii="Arial" w:hAnsi="Arial" w:cs="Arial"/>
          <w:i/>
          <w:iCs/>
        </w:rPr>
      </w:pPr>
    </w:p>
    <w:p>
      <w:pPr>
        <w:spacing w:line="360" w:lineRule="auto"/>
        <w:jc w:val="both"/>
        <w:rPr>
          <w:rFonts w:ascii="Arial" w:hAnsi="Arial" w:cs="Arial"/>
          <w:i/>
          <w:iCs/>
          <w:noProof/>
        </w:rPr>
      </w:pPr>
      <w:r>
        <w:rPr>
          <w:rFonts w:ascii="Arial" w:hAnsi="Arial" w:cs="Arial"/>
          <w:b/>
          <w:bCs/>
        </w:rPr>
        <w:t xml:space="preserve">Table 3: Inhibition of </w:t>
      </w:r>
      <w:r>
        <w:rPr>
          <w:rFonts w:ascii="Arial" w:hAnsi="Arial" w:cs="Arial"/>
          <w:b/>
          <w:bCs/>
          <w:i/>
          <w:iCs/>
        </w:rPr>
        <w:t xml:space="preserve">R. </w:t>
      </w:r>
      <w:proofErr w:type="spellStart"/>
      <w:r>
        <w:rPr>
          <w:rFonts w:ascii="Arial" w:hAnsi="Arial" w:cs="Arial"/>
          <w:b/>
          <w:bCs/>
          <w:i/>
          <w:iCs/>
        </w:rPr>
        <w:t>solani</w:t>
      </w:r>
      <w:proofErr w:type="spellEnd"/>
      <w:r>
        <w:rPr>
          <w:rFonts w:ascii="Arial" w:hAnsi="Arial" w:cs="Arial"/>
          <w:b/>
          <w:bCs/>
        </w:rPr>
        <w:t xml:space="preserve"> by </w:t>
      </w:r>
      <w:proofErr w:type="spellStart"/>
      <w:r>
        <w:rPr>
          <w:rFonts w:ascii="Arial" w:hAnsi="Arial" w:cs="Arial"/>
          <w:b/>
          <w:bCs/>
          <w:i/>
          <w:iCs/>
        </w:rPr>
        <w:t>Burkholderia</w:t>
      </w:r>
      <w:proofErr w:type="spellEnd"/>
      <w:r>
        <w:rPr>
          <w:rFonts w:ascii="Arial" w:hAnsi="Arial" w:cs="Arial"/>
          <w:b/>
          <w:bCs/>
          <w:i/>
          <w:iCs/>
        </w:rPr>
        <w:t xml:space="preserve"> gladioli</w:t>
      </w:r>
    </w:p>
    <w:p>
      <w:pPr>
        <w:spacing w:line="360" w:lineRule="auto"/>
        <w:jc w:val="both"/>
        <w:rPr>
          <w:rFonts w:ascii="Arial" w:hAnsi="Arial" w:cs="Arial"/>
          <w:i/>
          <w:iCs/>
        </w:rPr>
      </w:pPr>
    </w:p>
    <w:tbl>
      <w:tblPr>
        <w:tblStyle w:val="TableGrid"/>
        <w:tblW w:w="8642" w:type="dxa"/>
        <w:tblLook w:val="04A0" w:firstRow="1" w:lastRow="0" w:firstColumn="1" w:lastColumn="0" w:noHBand="0" w:noVBand="1"/>
      </w:tblPr>
      <w:tblGrid>
        <w:gridCol w:w="3114"/>
        <w:gridCol w:w="3118"/>
        <w:gridCol w:w="2410"/>
      </w:tblGrid>
      <w:tr>
        <w:tc>
          <w:tcPr>
            <w:tcW w:w="3114" w:type="dxa"/>
          </w:tcPr>
          <w:p>
            <w:pPr>
              <w:spacing w:line="360" w:lineRule="auto"/>
              <w:jc w:val="both"/>
              <w:rPr>
                <w:rFonts w:ascii="Arial" w:hAnsi="Arial" w:cs="Arial"/>
              </w:rPr>
            </w:pPr>
            <w:r>
              <w:rPr>
                <w:rFonts w:ascii="Arial" w:hAnsi="Arial" w:cs="Arial"/>
              </w:rPr>
              <w:t xml:space="preserve">Treatment </w:t>
            </w:r>
          </w:p>
        </w:tc>
        <w:tc>
          <w:tcPr>
            <w:tcW w:w="3118" w:type="dxa"/>
          </w:tcPr>
          <w:p>
            <w:pPr>
              <w:spacing w:line="360" w:lineRule="auto"/>
              <w:jc w:val="both"/>
              <w:rPr>
                <w:rFonts w:ascii="Arial" w:hAnsi="Arial" w:cs="Arial"/>
              </w:rPr>
            </w:pPr>
            <w:r>
              <w:rPr>
                <w:rFonts w:ascii="Arial" w:hAnsi="Arial" w:cs="Arial"/>
              </w:rPr>
              <w:t xml:space="preserve">Inhibition zone (cm) </w:t>
            </w:r>
          </w:p>
        </w:tc>
        <w:tc>
          <w:tcPr>
            <w:tcW w:w="2410" w:type="dxa"/>
          </w:tcPr>
          <w:p>
            <w:pPr>
              <w:spacing w:line="360" w:lineRule="auto"/>
              <w:jc w:val="both"/>
              <w:rPr>
                <w:rFonts w:ascii="Arial" w:hAnsi="Arial" w:cs="Arial"/>
              </w:rPr>
            </w:pPr>
            <w:r>
              <w:rPr>
                <w:rFonts w:ascii="Arial" w:hAnsi="Arial" w:cs="Arial"/>
              </w:rPr>
              <w:t>Per cent inhibition</w:t>
            </w:r>
          </w:p>
          <w:p>
            <w:pPr>
              <w:spacing w:line="360" w:lineRule="auto"/>
              <w:jc w:val="both"/>
              <w:rPr>
                <w:rFonts w:ascii="Arial" w:hAnsi="Arial" w:cs="Arial"/>
              </w:rPr>
            </w:pPr>
            <w:r>
              <w:rPr>
                <w:rFonts w:ascii="Arial" w:hAnsi="Arial" w:cs="Arial"/>
              </w:rPr>
              <w:t>(7 DAI)</w:t>
            </w:r>
          </w:p>
        </w:tc>
      </w:tr>
      <w:tr>
        <w:tc>
          <w:tcPr>
            <w:tcW w:w="3114" w:type="dxa"/>
          </w:tcPr>
          <w:p>
            <w:pPr>
              <w:spacing w:line="360" w:lineRule="auto"/>
              <w:jc w:val="both"/>
              <w:rPr>
                <w:rFonts w:ascii="Arial" w:hAnsi="Arial" w:cs="Arial"/>
              </w:rPr>
            </w:pPr>
            <w:r>
              <w:rPr>
                <w:rFonts w:ascii="Arial" w:hAnsi="Arial" w:cs="Arial"/>
              </w:rPr>
              <w:t>T1 (</w:t>
            </w:r>
            <w:r>
              <w:rPr>
                <w:rFonts w:ascii="Arial" w:hAnsi="Arial" w:cs="Arial"/>
                <w:i/>
                <w:iCs/>
              </w:rPr>
              <w:t xml:space="preserve">R. </w:t>
            </w:r>
            <w:proofErr w:type="spellStart"/>
            <w:r>
              <w:rPr>
                <w:rFonts w:ascii="Arial" w:hAnsi="Arial" w:cs="Arial"/>
                <w:i/>
                <w:iCs/>
              </w:rPr>
              <w:t>solani</w:t>
            </w:r>
            <w:proofErr w:type="spellEnd"/>
            <w:r>
              <w:rPr>
                <w:rFonts w:ascii="Arial" w:hAnsi="Arial" w:cs="Arial"/>
              </w:rPr>
              <w:t xml:space="preserve"> ×</w:t>
            </w:r>
            <w:proofErr w:type="spellStart"/>
            <w:r>
              <w:rPr>
                <w:rFonts w:ascii="Arial" w:hAnsi="Arial" w:cs="Arial"/>
                <w:i/>
                <w:iCs/>
              </w:rPr>
              <w:t>Burkholderia</w:t>
            </w:r>
            <w:proofErr w:type="spellEnd"/>
            <w:r>
              <w:rPr>
                <w:rFonts w:ascii="Arial" w:hAnsi="Arial" w:cs="Arial"/>
                <w:i/>
                <w:iCs/>
              </w:rPr>
              <w:t xml:space="preserve"> gladioli</w:t>
            </w:r>
            <w:r>
              <w:rPr>
                <w:rFonts w:ascii="Arial" w:hAnsi="Arial" w:cs="Arial"/>
              </w:rPr>
              <w:t>)</w:t>
            </w:r>
          </w:p>
        </w:tc>
        <w:tc>
          <w:tcPr>
            <w:tcW w:w="3118" w:type="dxa"/>
          </w:tcPr>
          <w:p>
            <w:pPr>
              <w:spacing w:line="360" w:lineRule="auto"/>
              <w:jc w:val="center"/>
              <w:rPr>
                <w:rFonts w:ascii="Arial" w:hAnsi="Arial" w:cs="Arial"/>
              </w:rPr>
            </w:pPr>
            <w:r>
              <w:rPr>
                <w:rFonts w:ascii="Arial" w:hAnsi="Arial" w:cs="Arial"/>
                <w:lang w:val="en-IN"/>
              </w:rPr>
              <w:t>0.64 ± 0.18</w:t>
            </w:r>
            <w:r>
              <w:rPr>
                <w:rFonts w:ascii="Arial" w:hAnsi="Arial" w:cs="Arial"/>
                <w:vertAlign w:val="superscript"/>
                <w:lang w:val="en-IN"/>
              </w:rPr>
              <w:t>a</w:t>
            </w:r>
            <w:r>
              <w:rPr>
                <w:rFonts w:ascii="Arial" w:hAnsi="Arial" w:cs="Arial"/>
                <w:lang w:val="en-IN"/>
              </w:rPr>
              <w:br/>
              <w:t>(1.07)</w:t>
            </w:r>
          </w:p>
        </w:tc>
        <w:tc>
          <w:tcPr>
            <w:tcW w:w="2410" w:type="dxa"/>
            <w:vMerge w:val="restart"/>
          </w:tcPr>
          <w:p>
            <w:pPr>
              <w:spacing w:line="360" w:lineRule="auto"/>
              <w:jc w:val="center"/>
              <w:rPr>
                <w:rFonts w:ascii="Arial" w:hAnsi="Arial" w:cs="Arial"/>
              </w:rPr>
            </w:pPr>
          </w:p>
          <w:p>
            <w:pPr>
              <w:spacing w:line="360" w:lineRule="auto"/>
              <w:jc w:val="center"/>
              <w:rPr>
                <w:rFonts w:ascii="Arial" w:hAnsi="Arial" w:cs="Arial"/>
              </w:rPr>
            </w:pPr>
          </w:p>
          <w:p>
            <w:pPr>
              <w:spacing w:line="360" w:lineRule="auto"/>
              <w:jc w:val="center"/>
              <w:rPr>
                <w:rFonts w:ascii="Arial" w:hAnsi="Arial" w:cs="Arial"/>
                <w:lang w:val="en-IN"/>
              </w:rPr>
            </w:pPr>
            <w:r>
              <w:rPr>
                <w:rFonts w:ascii="Arial" w:hAnsi="Arial" w:cs="Arial"/>
              </w:rPr>
              <w:t>62.22</w:t>
            </w:r>
          </w:p>
        </w:tc>
      </w:tr>
      <w:tr>
        <w:tc>
          <w:tcPr>
            <w:tcW w:w="3114" w:type="dxa"/>
          </w:tcPr>
          <w:p>
            <w:pPr>
              <w:spacing w:line="360" w:lineRule="auto"/>
              <w:jc w:val="both"/>
              <w:rPr>
                <w:rFonts w:ascii="Arial" w:hAnsi="Arial" w:cs="Arial"/>
              </w:rPr>
            </w:pPr>
            <w:r>
              <w:rPr>
                <w:rFonts w:ascii="Arial" w:hAnsi="Arial" w:cs="Arial"/>
              </w:rPr>
              <w:t>T2 (Control)</w:t>
            </w:r>
          </w:p>
        </w:tc>
        <w:tc>
          <w:tcPr>
            <w:tcW w:w="3118" w:type="dxa"/>
          </w:tcPr>
          <w:p>
            <w:pPr>
              <w:spacing w:line="360" w:lineRule="auto"/>
              <w:jc w:val="center"/>
              <w:rPr>
                <w:rFonts w:ascii="Arial" w:hAnsi="Arial" w:cs="Arial"/>
              </w:rPr>
            </w:pPr>
            <w:r>
              <w:rPr>
                <w:rFonts w:ascii="Arial" w:hAnsi="Arial" w:cs="Arial"/>
                <w:lang w:val="en-IN"/>
              </w:rPr>
              <w:t>0.00 ± 0.00</w:t>
            </w:r>
            <w:r>
              <w:rPr>
                <w:rFonts w:ascii="Arial" w:hAnsi="Arial" w:cs="Arial"/>
                <w:vertAlign w:val="superscript"/>
                <w:lang w:val="en-IN"/>
              </w:rPr>
              <w:t>b</w:t>
            </w:r>
            <w:r>
              <w:rPr>
                <w:rFonts w:ascii="Arial" w:hAnsi="Arial" w:cs="Arial"/>
                <w:lang w:val="en-IN"/>
              </w:rPr>
              <w:br/>
              <w:t>(0.71)</w:t>
            </w:r>
          </w:p>
        </w:tc>
        <w:tc>
          <w:tcPr>
            <w:tcW w:w="2410" w:type="dxa"/>
            <w:vMerge/>
          </w:tcPr>
          <w:p>
            <w:pPr>
              <w:spacing w:line="360" w:lineRule="auto"/>
              <w:jc w:val="both"/>
              <w:rPr>
                <w:rFonts w:ascii="Arial" w:hAnsi="Arial" w:cs="Arial"/>
                <w:lang w:val="en-IN"/>
              </w:rPr>
            </w:pPr>
          </w:p>
        </w:tc>
      </w:tr>
      <w:tr>
        <w:tc>
          <w:tcPr>
            <w:tcW w:w="3114" w:type="dxa"/>
          </w:tcPr>
          <w:p>
            <w:pPr>
              <w:spacing w:line="360" w:lineRule="auto"/>
              <w:jc w:val="both"/>
              <w:rPr>
                <w:rFonts w:ascii="Arial" w:hAnsi="Arial" w:cs="Arial"/>
              </w:rPr>
            </w:pPr>
            <w:r>
              <w:rPr>
                <w:rFonts w:ascii="Arial" w:hAnsi="Arial" w:cs="Arial"/>
                <w:lang w:val="en-IN"/>
              </w:rPr>
              <w:t>CD (0.05)</w:t>
            </w:r>
          </w:p>
        </w:tc>
        <w:tc>
          <w:tcPr>
            <w:tcW w:w="3118" w:type="dxa"/>
          </w:tcPr>
          <w:p>
            <w:pPr>
              <w:spacing w:line="360" w:lineRule="auto"/>
              <w:jc w:val="center"/>
              <w:rPr>
                <w:rFonts w:ascii="Arial" w:hAnsi="Arial" w:cs="Arial"/>
              </w:rPr>
            </w:pPr>
            <w:r>
              <w:rPr>
                <w:rFonts w:ascii="Arial" w:hAnsi="Arial" w:cs="Arial"/>
                <w:lang w:val="en-IN"/>
              </w:rPr>
              <w:t>0.07</w:t>
            </w:r>
          </w:p>
        </w:tc>
        <w:tc>
          <w:tcPr>
            <w:tcW w:w="2410" w:type="dxa"/>
            <w:vMerge/>
          </w:tcPr>
          <w:p>
            <w:pPr>
              <w:spacing w:line="360" w:lineRule="auto"/>
              <w:jc w:val="both"/>
              <w:rPr>
                <w:rFonts w:ascii="Arial" w:hAnsi="Arial" w:cs="Arial"/>
                <w:lang w:val="en-IN"/>
              </w:rPr>
            </w:pPr>
          </w:p>
        </w:tc>
      </w:tr>
      <w:tr>
        <w:tc>
          <w:tcPr>
            <w:tcW w:w="3114" w:type="dxa"/>
          </w:tcPr>
          <w:p>
            <w:pPr>
              <w:spacing w:line="360" w:lineRule="auto"/>
              <w:jc w:val="both"/>
              <w:rPr>
                <w:rFonts w:ascii="Arial" w:hAnsi="Arial" w:cs="Arial"/>
              </w:rPr>
            </w:pPr>
            <w:r>
              <w:rPr>
                <w:rFonts w:ascii="Arial" w:hAnsi="Arial" w:cs="Arial"/>
                <w:lang w:val="en-IN"/>
              </w:rPr>
              <w:t>SE(m)</w:t>
            </w:r>
          </w:p>
        </w:tc>
        <w:tc>
          <w:tcPr>
            <w:tcW w:w="3118" w:type="dxa"/>
          </w:tcPr>
          <w:p>
            <w:pPr>
              <w:spacing w:line="360" w:lineRule="auto"/>
              <w:jc w:val="center"/>
              <w:rPr>
                <w:rFonts w:ascii="Arial" w:hAnsi="Arial" w:cs="Arial"/>
              </w:rPr>
            </w:pPr>
            <w:r>
              <w:rPr>
                <w:rFonts w:ascii="Arial" w:hAnsi="Arial" w:cs="Arial"/>
                <w:lang w:val="en-IN"/>
              </w:rPr>
              <w:t>0.02</w:t>
            </w:r>
          </w:p>
        </w:tc>
        <w:tc>
          <w:tcPr>
            <w:tcW w:w="2410" w:type="dxa"/>
            <w:vMerge/>
          </w:tcPr>
          <w:p>
            <w:pPr>
              <w:spacing w:line="360" w:lineRule="auto"/>
              <w:jc w:val="both"/>
              <w:rPr>
                <w:rFonts w:ascii="Arial" w:hAnsi="Arial" w:cs="Arial"/>
                <w:lang w:val="en-IN"/>
              </w:rPr>
            </w:pPr>
          </w:p>
        </w:tc>
      </w:tr>
      <w:tr>
        <w:tc>
          <w:tcPr>
            <w:tcW w:w="3114" w:type="dxa"/>
          </w:tcPr>
          <w:p>
            <w:pPr>
              <w:spacing w:line="360" w:lineRule="auto"/>
              <w:jc w:val="both"/>
              <w:rPr>
                <w:rFonts w:ascii="Arial" w:hAnsi="Arial" w:cs="Arial"/>
              </w:rPr>
            </w:pPr>
            <w:r>
              <w:rPr>
                <w:rFonts w:ascii="Arial" w:hAnsi="Arial" w:cs="Arial"/>
                <w:lang w:val="en-IN"/>
              </w:rPr>
              <w:t>CV (%)</w:t>
            </w:r>
          </w:p>
        </w:tc>
        <w:tc>
          <w:tcPr>
            <w:tcW w:w="3118" w:type="dxa"/>
          </w:tcPr>
          <w:p>
            <w:pPr>
              <w:spacing w:line="360" w:lineRule="auto"/>
              <w:jc w:val="center"/>
              <w:rPr>
                <w:rFonts w:ascii="Arial" w:hAnsi="Arial" w:cs="Arial"/>
              </w:rPr>
            </w:pPr>
            <w:r>
              <w:rPr>
                <w:rFonts w:ascii="Arial" w:hAnsi="Arial" w:cs="Arial"/>
                <w:lang w:val="en-IN"/>
              </w:rPr>
              <w:t>6.52</w:t>
            </w:r>
          </w:p>
        </w:tc>
        <w:tc>
          <w:tcPr>
            <w:tcW w:w="2410" w:type="dxa"/>
            <w:vMerge/>
          </w:tcPr>
          <w:p>
            <w:pPr>
              <w:spacing w:line="360" w:lineRule="auto"/>
              <w:jc w:val="both"/>
              <w:rPr>
                <w:rFonts w:ascii="Arial" w:hAnsi="Arial" w:cs="Arial"/>
                <w:lang w:val="en-IN"/>
              </w:rPr>
            </w:pPr>
          </w:p>
        </w:tc>
      </w:tr>
    </w:tbl>
    <w:p>
      <w:pPr>
        <w:spacing w:line="360" w:lineRule="auto"/>
        <w:jc w:val="both"/>
        <w:rPr>
          <w:rFonts w:ascii="Arial" w:hAnsi="Arial" w:cs="Arial"/>
        </w:rPr>
      </w:pPr>
    </w:p>
    <w:p>
      <w:pPr>
        <w:spacing w:line="360" w:lineRule="auto"/>
        <w:jc w:val="both"/>
        <w:rPr>
          <w:rFonts w:ascii="Arial" w:hAnsi="Arial" w:cs="Arial"/>
        </w:rPr>
      </w:pPr>
      <w:r>
        <w:rPr>
          <w:rFonts w:ascii="Arial" w:hAnsi="Arial" w:cs="Arial"/>
        </w:rPr>
        <w:lastRenderedPageBreak/>
        <w:t xml:space="preserve">          </w:t>
      </w:r>
      <w:r>
        <w:rPr>
          <w:rFonts w:ascii="Arial" w:hAnsi="Arial" w:cs="Arial"/>
          <w:noProof/>
        </w:rPr>
        <w:drawing>
          <wp:inline distT="0" distB="0" distL="0" distR="0">
            <wp:extent cx="2016125" cy="2095712"/>
            <wp:effectExtent l="0" t="0" r="3175" b="0"/>
            <wp:docPr id="5" name="Picture 4">
              <a:extLst xmlns:a="http://schemas.openxmlformats.org/drawingml/2006/main">
                <a:ext uri="{FF2B5EF4-FFF2-40B4-BE49-F238E27FC236}">
                  <a16:creationId xmlns:a16="http://schemas.microsoft.com/office/drawing/2014/main" id="{121A78A6-9553-2D53-12F8-997783559F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21A78A6-9553-2D53-12F8-997783559F21}"/>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21718" t="30453" r="20225" b="26781"/>
                    <a:stretch>
                      <a:fillRect/>
                    </a:stretch>
                  </pic:blipFill>
                  <pic:spPr bwMode="auto">
                    <a:xfrm>
                      <a:off x="0" y="0"/>
                      <a:ext cx="2016329" cy="2095924"/>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lang w:val="en-IN"/>
        </w:rPr>
        <w:drawing>
          <wp:inline distT="0" distB="0" distL="0" distR="0">
            <wp:extent cx="2116022" cy="2096019"/>
            <wp:effectExtent l="0" t="0" r="0" b="0"/>
            <wp:docPr id="20864778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77811" name="Picture 2086477811"/>
                    <pic:cNvPicPr/>
                  </pic:nvPicPr>
                  <pic:blipFill rotWithShape="1">
                    <a:blip r:embed="rId16" cstate="print">
                      <a:extLst>
                        <a:ext uri="{28A0092B-C50C-407E-A947-70E740481C1C}">
                          <a14:useLocalDpi xmlns:a14="http://schemas.microsoft.com/office/drawing/2010/main" val="0"/>
                        </a:ext>
                      </a:extLst>
                    </a:blip>
                    <a:srcRect l="14622" t="13707" r="15676" b="34886"/>
                    <a:stretch>
                      <a:fillRect/>
                    </a:stretch>
                  </pic:blipFill>
                  <pic:spPr bwMode="auto">
                    <a:xfrm>
                      <a:off x="0" y="0"/>
                      <a:ext cx="2141222" cy="2120980"/>
                    </a:xfrm>
                    <a:prstGeom prst="rect">
                      <a:avLst/>
                    </a:prstGeom>
                    <a:ln>
                      <a:noFill/>
                    </a:ln>
                    <a:extLst>
                      <a:ext uri="{53640926-AAD7-44D8-BBD7-CCE9431645EC}">
                        <a14:shadowObscured xmlns:a14="http://schemas.microsoft.com/office/drawing/2010/main"/>
                      </a:ext>
                    </a:extLst>
                  </pic:spPr>
                </pic:pic>
              </a:graphicData>
            </a:graphic>
          </wp:inline>
        </w:drawing>
      </w:r>
    </w:p>
    <w:p>
      <w:pPr>
        <w:spacing w:line="360" w:lineRule="auto"/>
        <w:jc w:val="both"/>
        <w:rPr>
          <w:rFonts w:ascii="Arial" w:hAnsi="Arial" w:cs="Arial"/>
        </w:rPr>
      </w:pPr>
      <w:r>
        <w:rPr>
          <w:rFonts w:ascii="Arial" w:hAnsi="Arial" w:cs="Arial"/>
        </w:rPr>
        <w:t xml:space="preserve">                            (a)                                                 </w:t>
      </w:r>
      <w:proofErr w:type="gramStart"/>
      <w:r>
        <w:rPr>
          <w:rFonts w:ascii="Arial" w:hAnsi="Arial" w:cs="Arial"/>
        </w:rPr>
        <w:t xml:space="preserve">   (</w:t>
      </w:r>
      <w:proofErr w:type="gramEnd"/>
      <w:r>
        <w:rPr>
          <w:rFonts w:ascii="Arial" w:hAnsi="Arial" w:cs="Arial"/>
        </w:rPr>
        <w:t xml:space="preserve">b) </w:t>
      </w:r>
    </w:p>
    <w:p>
      <w:pPr>
        <w:spacing w:line="360" w:lineRule="auto"/>
        <w:jc w:val="both"/>
        <w:rPr>
          <w:rFonts w:ascii="Arial" w:hAnsi="Arial" w:cs="Arial"/>
        </w:rPr>
      </w:pPr>
      <w:r>
        <w:rPr>
          <w:rFonts w:ascii="Arial" w:hAnsi="Arial" w:cs="Arial"/>
        </w:rPr>
        <w:t xml:space="preserve">Plate 2: </w:t>
      </w:r>
      <w:r>
        <w:rPr>
          <w:rFonts w:ascii="Arial" w:hAnsi="Arial" w:cs="Arial"/>
          <w:i/>
          <w:iCs/>
        </w:rPr>
        <w:t>In vitro</w:t>
      </w:r>
      <w:r>
        <w:rPr>
          <w:rFonts w:ascii="Arial" w:hAnsi="Arial" w:cs="Arial"/>
        </w:rPr>
        <w:t xml:space="preserve"> antagonism of </w:t>
      </w:r>
      <w:r>
        <w:rPr>
          <w:rFonts w:ascii="Arial" w:hAnsi="Arial" w:cs="Arial"/>
          <w:i/>
          <w:iCs/>
        </w:rPr>
        <w:t>B. gladioli</w:t>
      </w:r>
      <w:r>
        <w:rPr>
          <w:rFonts w:ascii="Arial" w:hAnsi="Arial" w:cs="Arial"/>
        </w:rPr>
        <w:t xml:space="preserve"> on </w:t>
      </w:r>
      <w:r>
        <w:rPr>
          <w:rFonts w:ascii="Arial" w:hAnsi="Arial" w:cs="Arial"/>
          <w:i/>
          <w:iCs/>
        </w:rPr>
        <w:t xml:space="preserve">C. </w:t>
      </w:r>
      <w:proofErr w:type="spellStart"/>
      <w:r>
        <w:rPr>
          <w:rFonts w:ascii="Arial" w:hAnsi="Arial" w:cs="Arial"/>
          <w:i/>
          <w:iCs/>
        </w:rPr>
        <w:t>gloeosporioides</w:t>
      </w:r>
      <w:proofErr w:type="spellEnd"/>
      <w:r>
        <w:rPr>
          <w:rFonts w:ascii="Arial" w:hAnsi="Arial" w:cs="Arial"/>
          <w:i/>
          <w:iCs/>
        </w:rPr>
        <w:t xml:space="preserve"> </w:t>
      </w:r>
      <w:r>
        <w:rPr>
          <w:rFonts w:ascii="Arial" w:hAnsi="Arial" w:cs="Arial"/>
        </w:rPr>
        <w:t xml:space="preserve">(a) Treatment (b) control plate </w:t>
      </w:r>
    </w:p>
    <w:p>
      <w:pPr>
        <w:spacing w:line="360" w:lineRule="auto"/>
        <w:jc w:val="both"/>
        <w:rPr>
          <w:rFonts w:ascii="Arial" w:hAnsi="Arial" w:cs="Arial"/>
          <w:i/>
          <w:iCs/>
        </w:rPr>
      </w:pPr>
    </w:p>
    <w:p>
      <w:pPr>
        <w:spacing w:line="360" w:lineRule="auto"/>
        <w:jc w:val="both"/>
        <w:rPr>
          <w:rFonts w:ascii="Arial" w:hAnsi="Arial" w:cs="Arial"/>
          <w:i/>
          <w:iCs/>
          <w:noProof/>
        </w:rPr>
      </w:pPr>
      <w:r>
        <w:rPr>
          <w:rFonts w:ascii="Arial" w:hAnsi="Arial" w:cs="Arial"/>
          <w:b/>
          <w:bCs/>
        </w:rPr>
        <w:t xml:space="preserve">Table 4: Inhibition of </w:t>
      </w:r>
      <w:r>
        <w:rPr>
          <w:rFonts w:ascii="Arial" w:hAnsi="Arial" w:cs="Arial"/>
          <w:b/>
          <w:bCs/>
          <w:i/>
          <w:iCs/>
        </w:rPr>
        <w:t xml:space="preserve">C. </w:t>
      </w:r>
      <w:proofErr w:type="spellStart"/>
      <w:r>
        <w:rPr>
          <w:rFonts w:ascii="Arial" w:hAnsi="Arial" w:cs="Arial"/>
          <w:b/>
          <w:bCs/>
          <w:i/>
          <w:iCs/>
        </w:rPr>
        <w:t>gloeosporioides</w:t>
      </w:r>
      <w:proofErr w:type="spellEnd"/>
      <w:r>
        <w:rPr>
          <w:rFonts w:ascii="Arial" w:hAnsi="Arial" w:cs="Arial"/>
        </w:rPr>
        <w:t xml:space="preserve"> </w:t>
      </w:r>
      <w:r>
        <w:rPr>
          <w:rFonts w:ascii="Arial" w:hAnsi="Arial" w:cs="Arial"/>
          <w:b/>
          <w:bCs/>
        </w:rPr>
        <w:t xml:space="preserve">by </w:t>
      </w:r>
      <w:proofErr w:type="spellStart"/>
      <w:r>
        <w:rPr>
          <w:rFonts w:ascii="Arial" w:hAnsi="Arial" w:cs="Arial"/>
          <w:b/>
          <w:bCs/>
          <w:i/>
          <w:iCs/>
        </w:rPr>
        <w:t>Burkholderia</w:t>
      </w:r>
      <w:proofErr w:type="spellEnd"/>
      <w:r>
        <w:rPr>
          <w:rFonts w:ascii="Arial" w:hAnsi="Arial" w:cs="Arial"/>
          <w:b/>
          <w:bCs/>
          <w:i/>
          <w:iCs/>
        </w:rPr>
        <w:t xml:space="preserve"> gladioli</w:t>
      </w:r>
    </w:p>
    <w:tbl>
      <w:tblPr>
        <w:tblStyle w:val="TableGrid"/>
        <w:tblW w:w="8642" w:type="dxa"/>
        <w:tblLook w:val="04A0" w:firstRow="1" w:lastRow="0" w:firstColumn="1" w:lastColumn="0" w:noHBand="0" w:noVBand="1"/>
      </w:tblPr>
      <w:tblGrid>
        <w:gridCol w:w="3397"/>
        <w:gridCol w:w="2552"/>
        <w:gridCol w:w="2693"/>
      </w:tblGrid>
      <w:tr>
        <w:tc>
          <w:tcPr>
            <w:tcW w:w="3397" w:type="dxa"/>
          </w:tcPr>
          <w:p>
            <w:pPr>
              <w:spacing w:line="360" w:lineRule="auto"/>
              <w:jc w:val="both"/>
              <w:rPr>
                <w:rFonts w:ascii="Arial" w:hAnsi="Arial" w:cs="Arial"/>
              </w:rPr>
            </w:pPr>
            <w:r>
              <w:rPr>
                <w:rFonts w:ascii="Arial" w:hAnsi="Arial" w:cs="Arial"/>
              </w:rPr>
              <w:t xml:space="preserve">Treatment </w:t>
            </w:r>
          </w:p>
        </w:tc>
        <w:tc>
          <w:tcPr>
            <w:tcW w:w="2552" w:type="dxa"/>
          </w:tcPr>
          <w:p>
            <w:pPr>
              <w:spacing w:line="360" w:lineRule="auto"/>
              <w:jc w:val="both"/>
              <w:rPr>
                <w:rFonts w:ascii="Arial" w:hAnsi="Arial" w:cs="Arial"/>
              </w:rPr>
            </w:pPr>
            <w:r>
              <w:rPr>
                <w:rFonts w:ascii="Arial" w:hAnsi="Arial" w:cs="Arial"/>
              </w:rPr>
              <w:t xml:space="preserve">Inhibition zone </w:t>
            </w:r>
          </w:p>
        </w:tc>
        <w:tc>
          <w:tcPr>
            <w:tcW w:w="2693" w:type="dxa"/>
          </w:tcPr>
          <w:p>
            <w:pPr>
              <w:spacing w:line="360" w:lineRule="auto"/>
              <w:jc w:val="both"/>
              <w:rPr>
                <w:rFonts w:ascii="Arial" w:hAnsi="Arial" w:cs="Arial"/>
              </w:rPr>
            </w:pPr>
            <w:r>
              <w:rPr>
                <w:rFonts w:ascii="Arial" w:hAnsi="Arial" w:cs="Arial"/>
              </w:rPr>
              <w:t>Per cent inhibition</w:t>
            </w:r>
          </w:p>
          <w:p>
            <w:pPr>
              <w:spacing w:line="360" w:lineRule="auto"/>
              <w:jc w:val="both"/>
              <w:rPr>
                <w:rFonts w:ascii="Arial" w:hAnsi="Arial" w:cs="Arial"/>
              </w:rPr>
            </w:pPr>
            <w:r>
              <w:rPr>
                <w:rFonts w:ascii="Arial" w:hAnsi="Arial" w:cs="Arial"/>
              </w:rPr>
              <w:t>(7 DAI)</w:t>
            </w:r>
          </w:p>
        </w:tc>
      </w:tr>
      <w:tr>
        <w:tc>
          <w:tcPr>
            <w:tcW w:w="3397" w:type="dxa"/>
          </w:tcPr>
          <w:p>
            <w:pPr>
              <w:spacing w:line="360" w:lineRule="auto"/>
              <w:jc w:val="both"/>
              <w:rPr>
                <w:rFonts w:ascii="Arial" w:hAnsi="Arial" w:cs="Arial"/>
              </w:rPr>
            </w:pPr>
            <w:r>
              <w:rPr>
                <w:rFonts w:ascii="Arial" w:hAnsi="Arial" w:cs="Arial"/>
              </w:rPr>
              <w:t>T1 (</w:t>
            </w:r>
            <w:r>
              <w:rPr>
                <w:rFonts w:ascii="Arial" w:hAnsi="Arial" w:cs="Arial"/>
                <w:i/>
                <w:iCs/>
              </w:rPr>
              <w:t xml:space="preserve">C. </w:t>
            </w:r>
            <w:proofErr w:type="spellStart"/>
            <w:r>
              <w:rPr>
                <w:rFonts w:ascii="Arial" w:hAnsi="Arial" w:cs="Arial"/>
                <w:i/>
                <w:iCs/>
              </w:rPr>
              <w:t>gloeosporioides</w:t>
            </w:r>
            <w:proofErr w:type="spellEnd"/>
            <w:r>
              <w:rPr>
                <w:rFonts w:ascii="Arial" w:hAnsi="Arial" w:cs="Arial"/>
              </w:rPr>
              <w:t xml:space="preserve"> ×</w:t>
            </w:r>
            <w:proofErr w:type="spellStart"/>
            <w:r>
              <w:rPr>
                <w:rFonts w:ascii="Arial" w:hAnsi="Arial" w:cs="Arial"/>
                <w:i/>
                <w:iCs/>
              </w:rPr>
              <w:t>Burkholderia</w:t>
            </w:r>
            <w:proofErr w:type="spellEnd"/>
            <w:r>
              <w:rPr>
                <w:rFonts w:ascii="Arial" w:hAnsi="Arial" w:cs="Arial"/>
                <w:i/>
                <w:iCs/>
              </w:rPr>
              <w:t xml:space="preserve"> gladioli</w:t>
            </w:r>
            <w:r>
              <w:rPr>
                <w:rFonts w:ascii="Arial" w:hAnsi="Arial" w:cs="Arial"/>
              </w:rPr>
              <w:t>)</w:t>
            </w:r>
          </w:p>
        </w:tc>
        <w:tc>
          <w:tcPr>
            <w:tcW w:w="2552" w:type="dxa"/>
          </w:tcPr>
          <w:p>
            <w:pPr>
              <w:spacing w:line="360" w:lineRule="auto"/>
              <w:jc w:val="center"/>
              <w:rPr>
                <w:rFonts w:ascii="Arial" w:hAnsi="Arial" w:cs="Arial"/>
              </w:rPr>
            </w:pPr>
            <w:r>
              <w:rPr>
                <w:rFonts w:ascii="Arial" w:hAnsi="Arial" w:cs="Arial"/>
                <w:lang w:val="en-IN"/>
              </w:rPr>
              <w:t>1.05 ± 0.20</w:t>
            </w:r>
            <w:r>
              <w:rPr>
                <w:rFonts w:ascii="Arial" w:hAnsi="Arial" w:cs="Arial"/>
                <w:vertAlign w:val="superscript"/>
                <w:lang w:val="en-IN"/>
              </w:rPr>
              <w:t>a</w:t>
            </w:r>
            <w:r>
              <w:rPr>
                <w:rFonts w:ascii="Arial" w:hAnsi="Arial" w:cs="Arial"/>
                <w:lang w:val="en-IN"/>
              </w:rPr>
              <w:br/>
              <w:t>(1.24)</w:t>
            </w:r>
          </w:p>
        </w:tc>
        <w:tc>
          <w:tcPr>
            <w:tcW w:w="2693" w:type="dxa"/>
            <w:vMerge w:val="restart"/>
          </w:tcPr>
          <w:p>
            <w:pPr>
              <w:spacing w:line="360" w:lineRule="auto"/>
              <w:jc w:val="both"/>
              <w:rPr>
                <w:rFonts w:ascii="Arial" w:hAnsi="Arial" w:cs="Arial"/>
                <w:lang w:val="en-IN"/>
              </w:rPr>
            </w:pPr>
          </w:p>
          <w:p>
            <w:pPr>
              <w:spacing w:line="360" w:lineRule="auto"/>
              <w:jc w:val="both"/>
              <w:rPr>
                <w:rFonts w:ascii="Arial" w:hAnsi="Arial" w:cs="Arial"/>
                <w:lang w:val="en-IN"/>
              </w:rPr>
            </w:pPr>
          </w:p>
          <w:p>
            <w:pPr>
              <w:spacing w:line="360" w:lineRule="auto"/>
              <w:jc w:val="center"/>
              <w:rPr>
                <w:rFonts w:ascii="Arial" w:hAnsi="Arial" w:cs="Arial"/>
                <w:lang w:val="en-IN"/>
              </w:rPr>
            </w:pPr>
            <w:r>
              <w:rPr>
                <w:rFonts w:ascii="Arial" w:hAnsi="Arial" w:cs="Arial"/>
                <w:lang w:val="en-IN"/>
              </w:rPr>
              <w:t>76.66</w:t>
            </w:r>
          </w:p>
        </w:tc>
      </w:tr>
      <w:tr>
        <w:tc>
          <w:tcPr>
            <w:tcW w:w="3397" w:type="dxa"/>
          </w:tcPr>
          <w:p>
            <w:pPr>
              <w:spacing w:line="360" w:lineRule="auto"/>
              <w:jc w:val="both"/>
              <w:rPr>
                <w:rFonts w:ascii="Arial" w:hAnsi="Arial" w:cs="Arial"/>
              </w:rPr>
            </w:pPr>
            <w:r>
              <w:rPr>
                <w:rFonts w:ascii="Arial" w:hAnsi="Arial" w:cs="Arial"/>
              </w:rPr>
              <w:t>T2 (Control)</w:t>
            </w:r>
          </w:p>
        </w:tc>
        <w:tc>
          <w:tcPr>
            <w:tcW w:w="2552" w:type="dxa"/>
          </w:tcPr>
          <w:p>
            <w:pPr>
              <w:spacing w:line="360" w:lineRule="auto"/>
              <w:jc w:val="center"/>
              <w:rPr>
                <w:rFonts w:ascii="Arial" w:hAnsi="Arial" w:cs="Arial"/>
              </w:rPr>
            </w:pPr>
            <w:r>
              <w:rPr>
                <w:rFonts w:ascii="Arial" w:hAnsi="Arial" w:cs="Arial"/>
                <w:lang w:val="en-IN"/>
              </w:rPr>
              <w:t>0.00 ± 0.00</w:t>
            </w:r>
            <w:r>
              <w:rPr>
                <w:rFonts w:ascii="Arial" w:hAnsi="Arial" w:cs="Arial"/>
                <w:vertAlign w:val="superscript"/>
                <w:lang w:val="en-IN"/>
              </w:rPr>
              <w:t>b</w:t>
            </w:r>
            <w:r>
              <w:rPr>
                <w:rFonts w:ascii="Arial" w:hAnsi="Arial" w:cs="Arial"/>
                <w:lang w:val="en-IN"/>
              </w:rPr>
              <w:br/>
              <w:t>(0.71)</w:t>
            </w:r>
          </w:p>
        </w:tc>
        <w:tc>
          <w:tcPr>
            <w:tcW w:w="2693" w:type="dxa"/>
            <w:vMerge/>
          </w:tcPr>
          <w:p>
            <w:pPr>
              <w:spacing w:line="360" w:lineRule="auto"/>
              <w:jc w:val="both"/>
              <w:rPr>
                <w:rFonts w:ascii="Arial" w:hAnsi="Arial" w:cs="Arial"/>
                <w:lang w:val="en-IN"/>
              </w:rPr>
            </w:pPr>
          </w:p>
        </w:tc>
      </w:tr>
      <w:tr>
        <w:tc>
          <w:tcPr>
            <w:tcW w:w="3397" w:type="dxa"/>
          </w:tcPr>
          <w:p>
            <w:pPr>
              <w:spacing w:line="360" w:lineRule="auto"/>
              <w:jc w:val="both"/>
              <w:rPr>
                <w:rFonts w:ascii="Arial" w:hAnsi="Arial" w:cs="Arial"/>
              </w:rPr>
            </w:pPr>
            <w:r>
              <w:rPr>
                <w:rFonts w:ascii="Arial" w:hAnsi="Arial" w:cs="Arial"/>
                <w:lang w:val="en-IN"/>
              </w:rPr>
              <w:t>CD (0.05)</w:t>
            </w:r>
          </w:p>
        </w:tc>
        <w:tc>
          <w:tcPr>
            <w:tcW w:w="2552" w:type="dxa"/>
          </w:tcPr>
          <w:p>
            <w:pPr>
              <w:spacing w:line="360" w:lineRule="auto"/>
              <w:jc w:val="center"/>
              <w:rPr>
                <w:rFonts w:ascii="Arial" w:hAnsi="Arial" w:cs="Arial"/>
              </w:rPr>
            </w:pPr>
            <w:r>
              <w:rPr>
                <w:rFonts w:ascii="Arial" w:hAnsi="Arial" w:cs="Arial"/>
                <w:lang w:val="en-IN"/>
              </w:rPr>
              <w:t>0.06</w:t>
            </w:r>
          </w:p>
        </w:tc>
        <w:tc>
          <w:tcPr>
            <w:tcW w:w="2693" w:type="dxa"/>
            <w:vMerge/>
          </w:tcPr>
          <w:p>
            <w:pPr>
              <w:spacing w:line="360" w:lineRule="auto"/>
              <w:jc w:val="both"/>
              <w:rPr>
                <w:rFonts w:ascii="Arial" w:hAnsi="Arial" w:cs="Arial"/>
                <w:lang w:val="en-IN"/>
              </w:rPr>
            </w:pPr>
          </w:p>
        </w:tc>
      </w:tr>
      <w:tr>
        <w:tc>
          <w:tcPr>
            <w:tcW w:w="3397" w:type="dxa"/>
          </w:tcPr>
          <w:p>
            <w:pPr>
              <w:spacing w:line="360" w:lineRule="auto"/>
              <w:jc w:val="both"/>
              <w:rPr>
                <w:rFonts w:ascii="Arial" w:hAnsi="Arial" w:cs="Arial"/>
              </w:rPr>
            </w:pPr>
            <w:r>
              <w:rPr>
                <w:rFonts w:ascii="Arial" w:hAnsi="Arial" w:cs="Arial"/>
                <w:lang w:val="en-IN"/>
              </w:rPr>
              <w:t>SE(m)</w:t>
            </w:r>
          </w:p>
        </w:tc>
        <w:tc>
          <w:tcPr>
            <w:tcW w:w="2552" w:type="dxa"/>
          </w:tcPr>
          <w:p>
            <w:pPr>
              <w:spacing w:line="360" w:lineRule="auto"/>
              <w:jc w:val="center"/>
              <w:rPr>
                <w:rFonts w:ascii="Arial" w:hAnsi="Arial" w:cs="Arial"/>
              </w:rPr>
            </w:pPr>
            <w:r>
              <w:rPr>
                <w:rFonts w:ascii="Arial" w:hAnsi="Arial" w:cs="Arial"/>
                <w:lang w:val="en-IN"/>
              </w:rPr>
              <w:t>0.02</w:t>
            </w:r>
          </w:p>
        </w:tc>
        <w:tc>
          <w:tcPr>
            <w:tcW w:w="2693" w:type="dxa"/>
            <w:vMerge/>
          </w:tcPr>
          <w:p>
            <w:pPr>
              <w:spacing w:line="360" w:lineRule="auto"/>
              <w:jc w:val="both"/>
              <w:rPr>
                <w:rFonts w:ascii="Arial" w:hAnsi="Arial" w:cs="Arial"/>
                <w:lang w:val="en-IN"/>
              </w:rPr>
            </w:pPr>
          </w:p>
        </w:tc>
      </w:tr>
      <w:tr>
        <w:tc>
          <w:tcPr>
            <w:tcW w:w="3397" w:type="dxa"/>
          </w:tcPr>
          <w:p>
            <w:pPr>
              <w:spacing w:line="360" w:lineRule="auto"/>
              <w:jc w:val="both"/>
              <w:rPr>
                <w:rFonts w:ascii="Arial" w:hAnsi="Arial" w:cs="Arial"/>
              </w:rPr>
            </w:pPr>
            <w:r>
              <w:rPr>
                <w:rFonts w:ascii="Arial" w:hAnsi="Arial" w:cs="Arial"/>
                <w:lang w:val="en-IN"/>
              </w:rPr>
              <w:t>CV (per cent)</w:t>
            </w:r>
          </w:p>
        </w:tc>
        <w:tc>
          <w:tcPr>
            <w:tcW w:w="2552" w:type="dxa"/>
          </w:tcPr>
          <w:p>
            <w:pPr>
              <w:spacing w:line="360" w:lineRule="auto"/>
              <w:jc w:val="center"/>
              <w:rPr>
                <w:rFonts w:ascii="Arial" w:hAnsi="Arial" w:cs="Arial"/>
              </w:rPr>
            </w:pPr>
            <w:r>
              <w:rPr>
                <w:rFonts w:ascii="Arial" w:hAnsi="Arial" w:cs="Arial"/>
                <w:lang w:val="en-IN"/>
              </w:rPr>
              <w:t>5.59</w:t>
            </w:r>
          </w:p>
        </w:tc>
        <w:tc>
          <w:tcPr>
            <w:tcW w:w="2693" w:type="dxa"/>
            <w:vMerge/>
          </w:tcPr>
          <w:p>
            <w:pPr>
              <w:spacing w:line="360" w:lineRule="auto"/>
              <w:jc w:val="both"/>
              <w:rPr>
                <w:rFonts w:ascii="Arial" w:hAnsi="Arial" w:cs="Arial"/>
                <w:lang w:val="en-IN"/>
              </w:rPr>
            </w:pPr>
          </w:p>
        </w:tc>
      </w:tr>
    </w:tbl>
    <w:p>
      <w:pPr>
        <w:spacing w:line="360" w:lineRule="auto"/>
        <w:jc w:val="both"/>
        <w:rPr>
          <w:rFonts w:ascii="Arial" w:hAnsi="Arial" w:cs="Arial"/>
        </w:rPr>
      </w:pPr>
    </w:p>
    <w:p>
      <w:pPr>
        <w:spacing w:line="360" w:lineRule="auto"/>
        <w:jc w:val="both"/>
        <w:rPr>
          <w:rFonts w:ascii="Arial" w:hAnsi="Arial" w:cs="Arial"/>
          <w:b/>
          <w:bCs/>
        </w:rPr>
      </w:pPr>
      <w:r>
        <w:rPr>
          <w:rFonts w:ascii="Arial" w:hAnsi="Arial" w:cs="Arial"/>
        </w:rPr>
        <w:t xml:space="preserve">Dual culture assay exhibited a significant inhibition of </w:t>
      </w:r>
      <w:r>
        <w:rPr>
          <w:rFonts w:ascii="Arial" w:hAnsi="Arial" w:cs="Arial"/>
          <w:i/>
          <w:iCs/>
        </w:rPr>
        <w:t xml:space="preserve">R. </w:t>
      </w:r>
      <w:proofErr w:type="spellStart"/>
      <w:r>
        <w:rPr>
          <w:rFonts w:ascii="Arial" w:hAnsi="Arial" w:cs="Arial"/>
          <w:i/>
          <w:iCs/>
        </w:rPr>
        <w:t>solani</w:t>
      </w:r>
      <w:proofErr w:type="spellEnd"/>
      <w:r>
        <w:rPr>
          <w:rFonts w:ascii="Arial" w:hAnsi="Arial" w:cs="Arial"/>
          <w:i/>
          <w:iCs/>
        </w:rPr>
        <w:t xml:space="preserve"> and C. </w:t>
      </w:r>
      <w:proofErr w:type="spellStart"/>
      <w:r>
        <w:rPr>
          <w:rFonts w:ascii="Arial" w:hAnsi="Arial" w:cs="Arial"/>
          <w:i/>
          <w:iCs/>
        </w:rPr>
        <w:t>gloeosporioides</w:t>
      </w:r>
      <w:proofErr w:type="spellEnd"/>
      <w:r>
        <w:rPr>
          <w:rFonts w:ascii="Arial" w:hAnsi="Arial" w:cs="Arial"/>
          <w:i/>
          <w:iCs/>
        </w:rPr>
        <w:t xml:space="preserve"> </w:t>
      </w:r>
      <w:r>
        <w:rPr>
          <w:rFonts w:ascii="Arial" w:hAnsi="Arial" w:cs="Arial"/>
        </w:rPr>
        <w:t xml:space="preserve">compared to the control. </w:t>
      </w:r>
      <w:r>
        <w:rPr>
          <w:rFonts w:ascii="Arial" w:hAnsi="Arial" w:cs="Arial"/>
          <w:i/>
          <w:iCs/>
        </w:rPr>
        <w:t xml:space="preserve">R. </w:t>
      </w:r>
      <w:proofErr w:type="spellStart"/>
      <w:r>
        <w:rPr>
          <w:rFonts w:ascii="Arial" w:hAnsi="Arial" w:cs="Arial"/>
          <w:i/>
          <w:iCs/>
        </w:rPr>
        <w:t>solani</w:t>
      </w:r>
      <w:proofErr w:type="spellEnd"/>
      <w:r>
        <w:rPr>
          <w:rFonts w:ascii="Arial" w:hAnsi="Arial" w:cs="Arial"/>
        </w:rPr>
        <w:t xml:space="preserve"> was inhibited </w:t>
      </w:r>
      <w:proofErr w:type="spellStart"/>
      <w:r>
        <w:rPr>
          <w:rFonts w:ascii="Arial" w:hAnsi="Arial" w:cs="Arial"/>
        </w:rPr>
        <w:t>upto</w:t>
      </w:r>
      <w:proofErr w:type="spellEnd"/>
      <w:r>
        <w:rPr>
          <w:rFonts w:ascii="Arial" w:hAnsi="Arial" w:cs="Arial"/>
        </w:rPr>
        <w:t xml:space="preserve"> </w:t>
      </w:r>
      <w:r>
        <w:rPr>
          <w:rFonts w:ascii="Arial" w:hAnsi="Arial" w:cs="Arial"/>
          <w:lang w:val="en-IN"/>
        </w:rPr>
        <w:t>62.2 %</w:t>
      </w:r>
      <w:r>
        <w:rPr>
          <w:rFonts w:ascii="Arial" w:hAnsi="Arial" w:cs="Arial"/>
          <w:vertAlign w:val="superscript"/>
          <w:lang w:val="en-IN"/>
        </w:rPr>
        <w:t xml:space="preserve"> </w:t>
      </w:r>
      <w:r>
        <w:rPr>
          <w:rFonts w:ascii="Arial" w:hAnsi="Arial" w:cs="Arial"/>
        </w:rPr>
        <w:t xml:space="preserve">as against the control. Whereas, in case of </w:t>
      </w:r>
      <w:r>
        <w:rPr>
          <w:rFonts w:ascii="Arial" w:hAnsi="Arial" w:cs="Arial"/>
          <w:i/>
          <w:iCs/>
        </w:rPr>
        <w:t xml:space="preserve">C. </w:t>
      </w:r>
      <w:proofErr w:type="spellStart"/>
      <w:r>
        <w:rPr>
          <w:rFonts w:ascii="Arial" w:hAnsi="Arial" w:cs="Arial"/>
          <w:i/>
          <w:iCs/>
        </w:rPr>
        <w:t>gloeosporioides</w:t>
      </w:r>
      <w:proofErr w:type="spellEnd"/>
      <w:r>
        <w:rPr>
          <w:rFonts w:ascii="Arial" w:hAnsi="Arial" w:cs="Arial"/>
          <w:i/>
          <w:iCs/>
        </w:rPr>
        <w:t xml:space="preserve"> </w:t>
      </w:r>
      <w:r>
        <w:rPr>
          <w:rFonts w:ascii="Arial" w:hAnsi="Arial" w:cs="Arial"/>
        </w:rPr>
        <w:t xml:space="preserve">an inhibition zone of </w:t>
      </w:r>
      <w:r>
        <w:rPr>
          <w:rFonts w:ascii="Arial" w:hAnsi="Arial" w:cs="Arial"/>
          <w:lang w:val="en-IN"/>
        </w:rPr>
        <w:t>1.05 cm</w:t>
      </w:r>
      <w:r>
        <w:rPr>
          <w:rFonts w:ascii="Arial" w:hAnsi="Arial" w:cs="Arial"/>
          <w:vertAlign w:val="superscript"/>
          <w:lang w:val="en-IN"/>
        </w:rPr>
        <w:t xml:space="preserve"> </w:t>
      </w:r>
      <w:r>
        <w:rPr>
          <w:rFonts w:ascii="Arial" w:hAnsi="Arial" w:cs="Arial"/>
        </w:rPr>
        <w:t xml:space="preserve">was observed. The inhibition obtained may be attributed to the production of volatile organic compounds (VOCs) by </w:t>
      </w:r>
      <w:proofErr w:type="spellStart"/>
      <w:r>
        <w:rPr>
          <w:rFonts w:ascii="Arial" w:hAnsi="Arial" w:cs="Arial"/>
          <w:i/>
          <w:iCs/>
        </w:rPr>
        <w:t>Burkholderia</w:t>
      </w:r>
      <w:proofErr w:type="spellEnd"/>
      <w:r>
        <w:rPr>
          <w:rFonts w:ascii="Arial" w:hAnsi="Arial" w:cs="Arial"/>
          <w:i/>
          <w:iCs/>
        </w:rPr>
        <w:t xml:space="preserve"> gladioli</w:t>
      </w:r>
      <w:r>
        <w:rPr>
          <w:rFonts w:ascii="Arial" w:hAnsi="Arial" w:cs="Arial"/>
        </w:rPr>
        <w:t xml:space="preserve"> </w:t>
      </w:r>
      <w:proofErr w:type="spellStart"/>
      <w:r>
        <w:rPr>
          <w:rFonts w:ascii="Arial" w:hAnsi="Arial" w:cs="Arial"/>
        </w:rPr>
        <w:t>pv</w:t>
      </w:r>
      <w:proofErr w:type="spellEnd"/>
      <w:r>
        <w:rPr>
          <w:rFonts w:ascii="Arial" w:hAnsi="Arial" w:cs="Arial"/>
        </w:rPr>
        <w:t xml:space="preserve"> </w:t>
      </w:r>
      <w:proofErr w:type="spellStart"/>
      <w:r>
        <w:rPr>
          <w:rFonts w:ascii="Arial" w:hAnsi="Arial" w:cs="Arial"/>
          <w:i/>
          <w:iCs/>
        </w:rPr>
        <w:t>agaricicola</w:t>
      </w:r>
      <w:proofErr w:type="spellEnd"/>
      <w:r>
        <w:rPr>
          <w:rFonts w:ascii="Arial" w:hAnsi="Arial" w:cs="Arial"/>
        </w:rPr>
        <w:t xml:space="preserve">, that suppressed </w:t>
      </w:r>
      <w:r>
        <w:rPr>
          <w:rFonts w:ascii="Arial" w:hAnsi="Arial" w:cs="Arial"/>
          <w:i/>
          <w:iCs/>
        </w:rPr>
        <w:t xml:space="preserve">Fusarium </w:t>
      </w:r>
      <w:proofErr w:type="spellStart"/>
      <w:r>
        <w:rPr>
          <w:rFonts w:ascii="Arial" w:hAnsi="Arial" w:cs="Arial"/>
          <w:i/>
          <w:iCs/>
        </w:rPr>
        <w:t>oxysporum</w:t>
      </w:r>
      <w:proofErr w:type="spellEnd"/>
      <w:r>
        <w:rPr>
          <w:rFonts w:ascii="Arial" w:hAnsi="Arial" w:cs="Arial"/>
        </w:rPr>
        <w:t xml:space="preserve"> and </w:t>
      </w:r>
      <w:proofErr w:type="spellStart"/>
      <w:r>
        <w:rPr>
          <w:rFonts w:ascii="Arial" w:hAnsi="Arial" w:cs="Arial"/>
          <w:i/>
          <w:iCs/>
        </w:rPr>
        <w:t>Rhizoctonia</w:t>
      </w:r>
      <w:proofErr w:type="spellEnd"/>
      <w:r>
        <w:rPr>
          <w:rFonts w:ascii="Arial" w:hAnsi="Arial" w:cs="Arial"/>
          <w:i/>
          <w:iCs/>
        </w:rPr>
        <w:t xml:space="preserve"> </w:t>
      </w:r>
      <w:proofErr w:type="spellStart"/>
      <w:r>
        <w:rPr>
          <w:rFonts w:ascii="Arial" w:hAnsi="Arial" w:cs="Arial"/>
          <w:i/>
          <w:iCs/>
        </w:rPr>
        <w:t>solani</w:t>
      </w:r>
      <w:proofErr w:type="spellEnd"/>
      <w:r>
        <w:rPr>
          <w:rFonts w:ascii="Arial" w:hAnsi="Arial" w:cs="Arial"/>
          <w:i/>
          <w:iCs/>
        </w:rPr>
        <w:t xml:space="preserve">. </w:t>
      </w:r>
      <w:r>
        <w:rPr>
          <w:rFonts w:ascii="Arial" w:hAnsi="Arial" w:cs="Arial"/>
        </w:rPr>
        <w:t>(</w:t>
      </w:r>
      <w:proofErr w:type="spellStart"/>
      <w:r>
        <w:rPr>
          <w:rFonts w:ascii="Arial" w:hAnsi="Arial" w:cs="Arial"/>
        </w:rPr>
        <w:t>Elshafie</w:t>
      </w:r>
      <w:proofErr w:type="spellEnd"/>
      <w:r>
        <w:rPr>
          <w:rFonts w:ascii="Arial" w:hAnsi="Arial" w:cs="Arial"/>
        </w:rPr>
        <w:t xml:space="preserve"> </w:t>
      </w:r>
      <w:r>
        <w:rPr>
          <w:rFonts w:ascii="Arial" w:hAnsi="Arial" w:cs="Arial"/>
          <w:i/>
          <w:iCs/>
        </w:rPr>
        <w:t>et al</w:t>
      </w:r>
      <w:r>
        <w:rPr>
          <w:rFonts w:ascii="Arial" w:hAnsi="Arial" w:cs="Arial"/>
        </w:rPr>
        <w:t xml:space="preserve">., 2012). </w:t>
      </w:r>
      <w:r>
        <w:rPr>
          <w:rFonts w:ascii="Arial" w:hAnsi="Arial" w:cs="Arial"/>
          <w:i/>
          <w:iCs/>
        </w:rPr>
        <w:t>B. gladioli</w:t>
      </w:r>
      <w:r>
        <w:rPr>
          <w:rFonts w:ascii="Arial" w:hAnsi="Arial" w:cs="Arial"/>
        </w:rPr>
        <w:t xml:space="preserve"> strains produced diffusible metabolites and extracellular hydrolytic enzymes, which correlated with their antifungal activity. Wang </w:t>
      </w:r>
      <w:r>
        <w:rPr>
          <w:rFonts w:ascii="Arial" w:hAnsi="Arial" w:cs="Arial"/>
          <w:i/>
          <w:iCs/>
        </w:rPr>
        <w:t>et al</w:t>
      </w:r>
      <w:r>
        <w:rPr>
          <w:rFonts w:ascii="Arial" w:hAnsi="Arial" w:cs="Arial"/>
        </w:rPr>
        <w:t xml:space="preserve">. (2023) isolated a bacterium KRS027 from the soil rhizosphere of a healthy cotton plant in an infected field, which was later identified as </w:t>
      </w:r>
      <w:r>
        <w:rPr>
          <w:rFonts w:ascii="Arial" w:hAnsi="Arial" w:cs="Arial"/>
          <w:i/>
          <w:iCs/>
        </w:rPr>
        <w:t>B. gladioli</w:t>
      </w:r>
      <w:r>
        <w:rPr>
          <w:rFonts w:ascii="Arial" w:hAnsi="Arial" w:cs="Arial"/>
        </w:rPr>
        <w:t xml:space="preserve">. This bacterium exhibited antifungal activity against </w:t>
      </w:r>
      <w:r>
        <w:rPr>
          <w:rFonts w:ascii="Arial" w:hAnsi="Arial" w:cs="Arial"/>
          <w:i/>
          <w:iCs/>
        </w:rPr>
        <w:t xml:space="preserve">Botrytis cinerea </w:t>
      </w:r>
      <w:r>
        <w:rPr>
          <w:rFonts w:ascii="Arial" w:hAnsi="Arial" w:cs="Arial"/>
        </w:rPr>
        <w:t>causing gray mold disease tobacco and table grapes.</w:t>
      </w:r>
    </w:p>
    <w:p>
      <w:pPr>
        <w:pStyle w:val="ConcHead"/>
        <w:spacing w:after="0"/>
        <w:jc w:val="both"/>
        <w:rPr>
          <w:rFonts w:ascii="Arial" w:hAnsi="Arial" w:cs="Arial"/>
        </w:rPr>
      </w:pPr>
    </w:p>
    <w:p>
      <w:pPr>
        <w:pStyle w:val="ConcHead"/>
        <w:spacing w:after="0"/>
        <w:jc w:val="both"/>
        <w:rPr>
          <w:rFonts w:ascii="Arial" w:hAnsi="Arial" w:cs="Arial"/>
        </w:rPr>
      </w:pPr>
      <w:r>
        <w:rPr>
          <w:rFonts w:ascii="Arial" w:hAnsi="Arial" w:cs="Arial"/>
        </w:rPr>
        <w:t>4. Conclusion</w:t>
      </w:r>
    </w:p>
    <w:p>
      <w:pPr>
        <w:pStyle w:val="ConcHead"/>
        <w:spacing w:after="0"/>
        <w:jc w:val="both"/>
        <w:rPr>
          <w:rFonts w:ascii="Arial" w:hAnsi="Arial" w:cs="Arial"/>
        </w:rPr>
      </w:pPr>
    </w:p>
    <w:p>
      <w:pPr>
        <w:pStyle w:val="AcknHead"/>
        <w:spacing w:after="0" w:line="360" w:lineRule="auto"/>
        <w:jc w:val="both"/>
        <w:rPr>
          <w:rFonts w:ascii="Arial" w:eastAsia="Aptos" w:hAnsi="Arial" w:cs="Arial"/>
          <w:b w:val="0"/>
          <w:caps w:val="0"/>
          <w:kern w:val="2"/>
          <w:sz w:val="20"/>
          <w:lang w:val="en-IN"/>
          <w14:ligatures w14:val="standardContextual"/>
        </w:rPr>
      </w:pPr>
      <w:r>
        <w:rPr>
          <w:rFonts w:ascii="Arial" w:eastAsia="Aptos" w:hAnsi="Arial" w:cs="Arial"/>
          <w:b w:val="0"/>
          <w:caps w:val="0"/>
          <w:kern w:val="2"/>
          <w:sz w:val="20"/>
          <w:lang w:val="en-IN"/>
          <w14:ligatures w14:val="standardContextual"/>
        </w:rPr>
        <w:tab/>
        <w:t>Spent mushroom substrate or SMS is the residual biomass left after the mushroom cultivation. SMS is a valuable byproduct of the mushroom industry, rich in both macronutrients and micronutrients that are essential for plant growth and soil health. The nutrient analysis confirmed that SMS retains a considerable amount of essential nutrients even after the growth of mushrooms in the substrate. These findings establish SMS as a potentially rich nutrient reservoir. Consistent amounts of macronutrients were observed in the SMS from various oyster mushroom species compared to the control (paddy straw).  It was found that considerable amounts of micronutrients are also present in the SMS.</w:t>
      </w:r>
    </w:p>
    <w:p>
      <w:pPr>
        <w:pStyle w:val="AcknHead"/>
        <w:spacing w:after="0" w:line="360" w:lineRule="auto"/>
        <w:jc w:val="both"/>
        <w:rPr>
          <w:rFonts w:ascii="Arial" w:eastAsia="Aptos" w:hAnsi="Arial" w:cs="Arial"/>
          <w:b w:val="0"/>
          <w:caps w:val="0"/>
          <w:kern w:val="2"/>
          <w:sz w:val="20"/>
          <w:lang w:val="en-IN"/>
          <w14:ligatures w14:val="standardContextual"/>
        </w:rPr>
      </w:pPr>
      <w:r>
        <w:rPr>
          <w:rFonts w:ascii="Arial" w:eastAsia="Aptos" w:hAnsi="Arial" w:cs="Arial"/>
          <w:b w:val="0"/>
          <w:caps w:val="0"/>
          <w:kern w:val="2"/>
          <w:sz w:val="20"/>
          <w:lang w:val="en-IN"/>
          <w14:ligatures w14:val="standardContextual"/>
        </w:rPr>
        <w:tab/>
        <w:t xml:space="preserve">The essential nutrients are released in a slow manner and aids in the growth and development of the plants. These findings indicate that SMS serve as a good soil amendment enhancing soil fertility and promoting plant growth, thereby reducing the dependence on synthetic fertilizers. Moreover, its recycling contributes to waste management and supports a circular economy. Further, field-based evaluations are needed for the standardization of application rates and to find out its long- term impacts on soil health and crop productivity. </w:t>
      </w:r>
    </w:p>
    <w:p>
      <w:pPr>
        <w:pStyle w:val="AcknHead"/>
        <w:spacing w:after="0" w:line="360" w:lineRule="auto"/>
        <w:jc w:val="both"/>
        <w:rPr>
          <w:rFonts w:ascii="Arial" w:eastAsia="Aptos" w:hAnsi="Arial" w:cs="Arial"/>
          <w:b w:val="0"/>
          <w:caps w:val="0"/>
          <w:kern w:val="2"/>
          <w:sz w:val="20"/>
          <w:lang w:val="en-IN"/>
          <w14:ligatures w14:val="standardContextual"/>
        </w:rPr>
      </w:pPr>
      <w:r>
        <w:rPr>
          <w:rFonts w:ascii="Arial" w:eastAsia="Aptos" w:hAnsi="Arial" w:cs="Arial"/>
          <w:b w:val="0"/>
          <w:caps w:val="0"/>
          <w:kern w:val="2"/>
          <w:sz w:val="20"/>
          <w:lang w:val="en-IN"/>
          <w14:ligatures w14:val="standardContextual"/>
        </w:rPr>
        <w:t xml:space="preserve">SMS harbours a wide range of microflora and many of them are having immense antagonistic potential against plant pathogens. The bacteria, </w:t>
      </w:r>
      <w:r>
        <w:rPr>
          <w:rFonts w:ascii="Arial" w:eastAsia="Aptos" w:hAnsi="Arial" w:cs="Arial"/>
          <w:b w:val="0"/>
          <w:i/>
          <w:iCs/>
          <w:caps w:val="0"/>
          <w:kern w:val="2"/>
          <w:sz w:val="20"/>
          <w:lang w:val="en-IN"/>
          <w14:ligatures w14:val="standardContextual"/>
        </w:rPr>
        <w:t>B. gladioli</w:t>
      </w:r>
      <w:r>
        <w:rPr>
          <w:rFonts w:ascii="Arial" w:eastAsia="Aptos" w:hAnsi="Arial" w:cs="Arial"/>
          <w:b w:val="0"/>
          <w:caps w:val="0"/>
          <w:kern w:val="2"/>
          <w:sz w:val="20"/>
          <w:lang w:val="en-IN"/>
          <w14:ligatures w14:val="standardContextual"/>
        </w:rPr>
        <w:t xml:space="preserve"> isolated from SMS of oyster mushroom was found to be inhibiting two plant pathogens, </w:t>
      </w:r>
      <w:r>
        <w:rPr>
          <w:rFonts w:ascii="Arial" w:eastAsia="Aptos" w:hAnsi="Arial" w:cs="Arial"/>
          <w:b w:val="0"/>
          <w:i/>
          <w:iCs/>
          <w:caps w:val="0"/>
          <w:kern w:val="2"/>
          <w:sz w:val="20"/>
          <w:lang w:val="en-IN"/>
          <w14:ligatures w14:val="standardContextual"/>
        </w:rPr>
        <w:t xml:space="preserve">R. </w:t>
      </w:r>
      <w:proofErr w:type="spellStart"/>
      <w:r>
        <w:rPr>
          <w:rFonts w:ascii="Arial" w:eastAsia="Aptos" w:hAnsi="Arial" w:cs="Arial"/>
          <w:b w:val="0"/>
          <w:i/>
          <w:iCs/>
          <w:caps w:val="0"/>
          <w:kern w:val="2"/>
          <w:sz w:val="20"/>
          <w:lang w:val="en-IN"/>
          <w14:ligatures w14:val="standardContextual"/>
        </w:rPr>
        <w:t>solani</w:t>
      </w:r>
      <w:proofErr w:type="spellEnd"/>
      <w:r>
        <w:rPr>
          <w:rFonts w:ascii="Arial" w:eastAsia="Aptos" w:hAnsi="Arial" w:cs="Arial"/>
          <w:b w:val="0"/>
          <w:caps w:val="0"/>
          <w:kern w:val="2"/>
          <w:sz w:val="20"/>
          <w:lang w:val="en-IN"/>
          <w14:ligatures w14:val="standardContextual"/>
        </w:rPr>
        <w:t xml:space="preserve"> and </w:t>
      </w:r>
      <w:r>
        <w:rPr>
          <w:rFonts w:ascii="Arial" w:eastAsia="Aptos" w:hAnsi="Arial" w:cs="Arial"/>
          <w:b w:val="0"/>
          <w:i/>
          <w:iCs/>
          <w:caps w:val="0"/>
          <w:kern w:val="2"/>
          <w:sz w:val="20"/>
          <w:lang w:val="en-IN"/>
          <w14:ligatures w14:val="standardContextual"/>
        </w:rPr>
        <w:t xml:space="preserve">C. </w:t>
      </w:r>
      <w:proofErr w:type="spellStart"/>
      <w:r>
        <w:rPr>
          <w:rFonts w:ascii="Arial" w:eastAsia="Aptos" w:hAnsi="Arial" w:cs="Arial"/>
          <w:b w:val="0"/>
          <w:i/>
          <w:iCs/>
          <w:caps w:val="0"/>
          <w:kern w:val="2"/>
          <w:sz w:val="20"/>
          <w:lang w:val="en-IN"/>
          <w14:ligatures w14:val="standardContextual"/>
        </w:rPr>
        <w:t>gloeosporioides</w:t>
      </w:r>
      <w:proofErr w:type="spellEnd"/>
      <w:r>
        <w:rPr>
          <w:rFonts w:ascii="Arial" w:eastAsia="Aptos" w:hAnsi="Arial" w:cs="Arial"/>
          <w:b w:val="0"/>
          <w:caps w:val="0"/>
          <w:kern w:val="2"/>
          <w:sz w:val="20"/>
          <w:lang w:val="en-IN"/>
          <w14:ligatures w14:val="standardContextual"/>
        </w:rPr>
        <w:t xml:space="preserve">. This proves the biocontrol activity of SMS against plant pathogens. </w:t>
      </w:r>
    </w:p>
    <w:p>
      <w:pPr>
        <w:spacing w:line="360" w:lineRule="auto"/>
        <w:jc w:val="both"/>
        <w:rPr>
          <w:rFonts w:ascii="Arial" w:hAnsi="Arial" w:cs="Arial"/>
        </w:rPr>
      </w:pPr>
      <w:r>
        <w:rPr>
          <w:rFonts w:ascii="Arial" w:hAnsi="Arial" w:cs="Arial"/>
        </w:rPr>
        <w:t xml:space="preserve">These findings establish SMS as a potentially rich nutrient reservoir as well as a natural substance for biological control of plant diseases. </w:t>
      </w:r>
    </w:p>
    <w:p>
      <w:pPr>
        <w:pStyle w:val="AcknHead"/>
        <w:spacing w:after="0" w:line="360" w:lineRule="auto"/>
        <w:jc w:val="both"/>
        <w:rPr>
          <w:rFonts w:ascii="Arial" w:hAnsi="Arial" w:cs="Arial"/>
        </w:rPr>
      </w:pPr>
    </w:p>
    <w:p>
      <w:pPr>
        <w:pStyle w:val="ReferHead"/>
        <w:spacing w:after="0"/>
        <w:jc w:val="both"/>
        <w:rPr>
          <w:rFonts w:ascii="Arial" w:hAnsi="Arial" w:cs="Arial"/>
          <w:b w:val="0"/>
          <w:caps w:val="0"/>
          <w:sz w:val="20"/>
        </w:rPr>
      </w:pPr>
    </w:p>
    <w:p>
      <w:pPr>
        <w:pStyle w:val="ReferHead"/>
        <w:spacing w:after="0"/>
        <w:jc w:val="both"/>
        <w:rPr>
          <w:rFonts w:ascii="Arial" w:hAnsi="Arial" w:cs="Arial"/>
          <w:b w:val="0"/>
          <w:caps w:val="0"/>
          <w:sz w:val="20"/>
        </w:rPr>
      </w:pPr>
    </w:p>
    <w:p>
      <w:pPr>
        <w:pStyle w:val="ReferHead"/>
        <w:spacing w:after="0"/>
        <w:jc w:val="both"/>
        <w:rPr>
          <w:rFonts w:ascii="Arial" w:hAnsi="Arial" w:cs="Arial"/>
        </w:rPr>
      </w:pPr>
      <w:r>
        <w:rPr>
          <w:rFonts w:ascii="Arial" w:hAnsi="Arial" w:cs="Arial"/>
        </w:rPr>
        <w:t xml:space="preserve"> </w:t>
      </w:r>
    </w:p>
    <w:p>
      <w:pPr>
        <w:pStyle w:val="ReferHead"/>
        <w:spacing w:after="0"/>
        <w:jc w:val="both"/>
        <w:rPr>
          <w:rFonts w:ascii="Arial" w:hAnsi="Arial" w:cs="Arial"/>
        </w:rPr>
      </w:pPr>
      <w:r>
        <w:rPr>
          <w:rFonts w:ascii="Arial" w:hAnsi="Arial" w:cs="Arial"/>
        </w:rPr>
        <w:t>References</w:t>
      </w:r>
    </w:p>
    <w:p>
      <w:pPr>
        <w:pStyle w:val="Body"/>
        <w:spacing w:after="0"/>
        <w:rPr>
          <w:rFonts w:ascii="Arial" w:hAnsi="Arial" w:cs="Arial"/>
        </w:rPr>
      </w:pPr>
    </w:p>
    <w:p>
      <w:pPr>
        <w:pStyle w:val="Body"/>
        <w:spacing w:after="0"/>
        <w:rPr>
          <w:rFonts w:ascii="Arial" w:hAnsi="Arial" w:cs="Arial"/>
        </w:rPr>
      </w:pPr>
      <w:r>
        <w:rPr>
          <w:rFonts w:ascii="Arial" w:hAnsi="Arial" w:cs="Arial"/>
        </w:rPr>
        <w:t>Ahlawat, O. P., Kumar, S., and Kumar, P. (2022). Spent mushroom substrate (SMS)- a potential</w:t>
      </w:r>
      <w:r>
        <w:rPr>
          <w:rFonts w:ascii="Arial" w:hAnsi="Arial" w:cs="Arial"/>
          <w:spacing w:val="1"/>
        </w:rPr>
        <w:t xml:space="preserve"> </w:t>
      </w:r>
      <w:r>
        <w:rPr>
          <w:rFonts w:ascii="Arial" w:hAnsi="Arial" w:cs="Arial"/>
        </w:rPr>
        <w:t>source of bio-agents for plant diseases management. In: Thakur, M.P., Singh, R. P.,</w:t>
      </w:r>
      <w:r>
        <w:rPr>
          <w:rFonts w:ascii="Arial" w:hAnsi="Arial" w:cs="Arial"/>
          <w:spacing w:val="1"/>
        </w:rPr>
        <w:t xml:space="preserve"> </w:t>
      </w:r>
      <w:r>
        <w:rPr>
          <w:rFonts w:ascii="Arial" w:hAnsi="Arial" w:cs="Arial"/>
        </w:rPr>
        <w:t>Singh,</w:t>
      </w:r>
      <w:r>
        <w:rPr>
          <w:rFonts w:ascii="Arial" w:hAnsi="Arial" w:cs="Arial"/>
          <w:spacing w:val="1"/>
        </w:rPr>
        <w:t xml:space="preserve"> </w:t>
      </w:r>
      <w:r>
        <w:rPr>
          <w:rFonts w:ascii="Arial" w:hAnsi="Arial" w:cs="Arial"/>
        </w:rPr>
        <w:t>H.</w:t>
      </w:r>
      <w:r>
        <w:rPr>
          <w:rFonts w:ascii="Arial" w:hAnsi="Arial" w:cs="Arial"/>
          <w:spacing w:val="1"/>
        </w:rPr>
        <w:t xml:space="preserve"> </w:t>
      </w:r>
      <w:r>
        <w:rPr>
          <w:rFonts w:ascii="Arial" w:hAnsi="Arial" w:cs="Arial"/>
        </w:rPr>
        <w:t>P.,</w:t>
      </w:r>
      <w:r>
        <w:rPr>
          <w:rFonts w:ascii="Arial" w:hAnsi="Arial" w:cs="Arial"/>
          <w:spacing w:val="1"/>
        </w:rPr>
        <w:t xml:space="preserve"> </w:t>
      </w:r>
      <w:r>
        <w:rPr>
          <w:rFonts w:ascii="Arial" w:hAnsi="Arial" w:cs="Arial"/>
        </w:rPr>
        <w:t>Mishra,</w:t>
      </w:r>
      <w:r>
        <w:rPr>
          <w:rFonts w:ascii="Arial" w:hAnsi="Arial" w:cs="Arial"/>
          <w:spacing w:val="1"/>
        </w:rPr>
        <w:t xml:space="preserve"> </w:t>
      </w:r>
      <w:r>
        <w:rPr>
          <w:rFonts w:ascii="Arial" w:hAnsi="Arial" w:cs="Arial"/>
        </w:rPr>
        <w:t>K.</w:t>
      </w:r>
      <w:r>
        <w:rPr>
          <w:rFonts w:ascii="Arial" w:hAnsi="Arial" w:cs="Arial"/>
          <w:spacing w:val="1"/>
        </w:rPr>
        <w:t xml:space="preserve"> </w:t>
      </w:r>
      <w:r>
        <w:rPr>
          <w:rFonts w:ascii="Arial" w:hAnsi="Arial" w:cs="Arial"/>
        </w:rPr>
        <w:t>K.</w:t>
      </w:r>
      <w:r>
        <w:rPr>
          <w:rFonts w:ascii="Arial" w:hAnsi="Arial" w:cs="Arial"/>
          <w:spacing w:val="1"/>
        </w:rPr>
        <w:t xml:space="preserve"> </w:t>
      </w:r>
      <w:r>
        <w:rPr>
          <w:rFonts w:ascii="Arial" w:hAnsi="Arial" w:cs="Arial"/>
        </w:rPr>
        <w:t>Compendium</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mushroom</w:t>
      </w:r>
      <w:r>
        <w:rPr>
          <w:rFonts w:ascii="Arial" w:hAnsi="Arial" w:cs="Arial"/>
          <w:spacing w:val="1"/>
        </w:rPr>
        <w:t xml:space="preserve"> </w:t>
      </w:r>
      <w:r>
        <w:rPr>
          <w:rFonts w:ascii="Arial" w:hAnsi="Arial" w:cs="Arial"/>
        </w:rPr>
        <w:t>diseases.</w:t>
      </w:r>
      <w:r>
        <w:rPr>
          <w:rFonts w:ascii="Arial" w:hAnsi="Arial" w:cs="Arial"/>
          <w:spacing w:val="1"/>
        </w:rPr>
        <w:t xml:space="preserve"> </w:t>
      </w:r>
      <w:r>
        <w:rPr>
          <w:rFonts w:ascii="Arial" w:hAnsi="Arial" w:cs="Arial"/>
          <w:i/>
          <w:iCs/>
        </w:rPr>
        <w:t>Indian</w:t>
      </w:r>
      <w:r>
        <w:rPr>
          <w:rFonts w:ascii="Arial" w:hAnsi="Arial" w:cs="Arial"/>
          <w:i/>
          <w:iCs/>
          <w:spacing w:val="1"/>
        </w:rPr>
        <w:t xml:space="preserve"> </w:t>
      </w:r>
      <w:proofErr w:type="spellStart"/>
      <w:r>
        <w:rPr>
          <w:rFonts w:ascii="Arial" w:hAnsi="Arial" w:cs="Arial"/>
          <w:i/>
          <w:iCs/>
        </w:rPr>
        <w:t>Phytopathological</w:t>
      </w:r>
      <w:proofErr w:type="spellEnd"/>
      <w:r>
        <w:rPr>
          <w:rFonts w:ascii="Arial" w:hAnsi="Arial" w:cs="Arial"/>
          <w:i/>
          <w:iCs/>
          <w:spacing w:val="2"/>
        </w:rPr>
        <w:t xml:space="preserve"> </w:t>
      </w:r>
      <w:r>
        <w:rPr>
          <w:rFonts w:ascii="Arial" w:hAnsi="Arial" w:cs="Arial"/>
          <w:i/>
          <w:iCs/>
        </w:rPr>
        <w:t>Society</w:t>
      </w:r>
      <w:r>
        <w:rPr>
          <w:rFonts w:ascii="Arial" w:hAnsi="Arial" w:cs="Arial"/>
        </w:rPr>
        <w:t>.</w:t>
      </w:r>
      <w:r>
        <w:rPr>
          <w:rFonts w:ascii="Arial" w:hAnsi="Arial" w:cs="Arial"/>
          <w:spacing w:val="2"/>
        </w:rPr>
        <w:t xml:space="preserve"> </w:t>
      </w:r>
      <w:r>
        <w:rPr>
          <w:rFonts w:ascii="Arial" w:hAnsi="Arial" w:cs="Arial"/>
        </w:rPr>
        <w:t>New Delhi, pp</w:t>
      </w:r>
      <w:r>
        <w:rPr>
          <w:rFonts w:ascii="Arial" w:hAnsi="Arial" w:cs="Arial"/>
          <w:spacing w:val="5"/>
        </w:rPr>
        <w:t xml:space="preserve"> </w:t>
      </w:r>
      <w:r>
        <w:rPr>
          <w:rFonts w:ascii="Arial" w:hAnsi="Arial" w:cs="Arial"/>
        </w:rPr>
        <w:t>108-124.</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Ahlawat OP &amp; Sagar MP. (2007). Management of Spent Mushroom Substrate [Technical Bulletin]. </w:t>
      </w:r>
      <w:proofErr w:type="spellStart"/>
      <w:r>
        <w:rPr>
          <w:rFonts w:ascii="Arial" w:hAnsi="Arial" w:cs="Arial"/>
        </w:rPr>
        <w:t>Chambaghat</w:t>
      </w:r>
      <w:proofErr w:type="spellEnd"/>
      <w:r>
        <w:rPr>
          <w:rFonts w:ascii="Arial" w:hAnsi="Arial" w:cs="Arial"/>
        </w:rPr>
        <w:t xml:space="preserve">, </w:t>
      </w:r>
      <w:proofErr w:type="spellStart"/>
      <w:r>
        <w:rPr>
          <w:rFonts w:ascii="Arial" w:hAnsi="Arial" w:cs="Arial"/>
        </w:rPr>
        <w:t>Solan</w:t>
      </w:r>
      <w:proofErr w:type="spellEnd"/>
      <w:r>
        <w:rPr>
          <w:rFonts w:ascii="Arial" w:hAnsi="Arial" w:cs="Arial"/>
        </w:rPr>
        <w:t>: National Research Centre for Mushroom (ICAR).</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Bhaskaran, T. L., </w:t>
      </w:r>
      <w:proofErr w:type="spellStart"/>
      <w:r>
        <w:rPr>
          <w:rFonts w:ascii="Arial" w:hAnsi="Arial" w:cs="Arial"/>
        </w:rPr>
        <w:t>Sivaprakasham</w:t>
      </w:r>
      <w:proofErr w:type="spellEnd"/>
      <w:r>
        <w:rPr>
          <w:rFonts w:ascii="Arial" w:hAnsi="Arial" w:cs="Arial"/>
        </w:rPr>
        <w:t xml:space="preserve">, K., &amp; Kandaswamy, T. K. (1978). Compact bag method-a new method of increasing the yield of </w:t>
      </w:r>
      <w:proofErr w:type="spellStart"/>
      <w:r>
        <w:rPr>
          <w:rFonts w:ascii="Arial" w:hAnsi="Arial" w:cs="Arial"/>
          <w:i/>
          <w:iCs/>
        </w:rPr>
        <w:t>Pleurotus</w:t>
      </w:r>
      <w:proofErr w:type="spellEnd"/>
      <w:r>
        <w:rPr>
          <w:rFonts w:ascii="Arial" w:hAnsi="Arial" w:cs="Arial"/>
          <w:i/>
          <w:iCs/>
        </w:rPr>
        <w:t xml:space="preserve"> </w:t>
      </w:r>
      <w:proofErr w:type="spellStart"/>
      <w:r>
        <w:rPr>
          <w:rFonts w:ascii="Arial" w:hAnsi="Arial" w:cs="Arial"/>
          <w:i/>
          <w:iCs/>
        </w:rPr>
        <w:t>sajor-caju</w:t>
      </w:r>
      <w:proofErr w:type="spellEnd"/>
      <w:r>
        <w:rPr>
          <w:rFonts w:ascii="Arial" w:hAnsi="Arial" w:cs="Arial"/>
        </w:rPr>
        <w:t xml:space="preserve">. </w:t>
      </w:r>
      <w:r>
        <w:rPr>
          <w:rFonts w:ascii="Arial" w:hAnsi="Arial" w:cs="Arial"/>
          <w:i/>
          <w:iCs/>
          <w:lang w:val="en-IN"/>
        </w:rPr>
        <w:t>Indian J. Mushrooms</w:t>
      </w:r>
      <w:r>
        <w:rPr>
          <w:rFonts w:ascii="Arial" w:hAnsi="Arial" w:cs="Arial"/>
          <w:lang w:val="en-IN"/>
        </w:rPr>
        <w:t xml:space="preserve"> 4, 10-12.</w:t>
      </w:r>
    </w:p>
    <w:p>
      <w:pPr>
        <w:pStyle w:val="Body"/>
        <w:spacing w:after="0"/>
        <w:rPr>
          <w:rFonts w:ascii="Arial" w:hAnsi="Arial" w:cs="Arial"/>
        </w:rPr>
      </w:pPr>
    </w:p>
    <w:p>
      <w:pPr>
        <w:pStyle w:val="Body"/>
        <w:spacing w:after="0"/>
        <w:rPr>
          <w:rFonts w:ascii="Arial" w:hAnsi="Arial" w:cs="Arial"/>
        </w:rPr>
      </w:pPr>
      <w:proofErr w:type="spellStart"/>
      <w:r>
        <w:rPr>
          <w:rFonts w:ascii="Arial" w:hAnsi="Arial" w:cs="Arial"/>
        </w:rPr>
        <w:t>Bijla</w:t>
      </w:r>
      <w:proofErr w:type="spellEnd"/>
      <w:r>
        <w:rPr>
          <w:rFonts w:ascii="Arial" w:hAnsi="Arial" w:cs="Arial"/>
        </w:rPr>
        <w:t>,</w:t>
      </w:r>
      <w:r>
        <w:rPr>
          <w:rFonts w:ascii="Arial" w:hAnsi="Arial" w:cs="Arial"/>
          <w:spacing w:val="1"/>
        </w:rPr>
        <w:t xml:space="preserve"> </w:t>
      </w:r>
      <w:r>
        <w:rPr>
          <w:rFonts w:ascii="Arial" w:hAnsi="Arial" w:cs="Arial"/>
        </w:rPr>
        <w:t>S.,</w:t>
      </w:r>
      <w:r>
        <w:rPr>
          <w:rFonts w:ascii="Arial" w:hAnsi="Arial" w:cs="Arial"/>
          <w:spacing w:val="1"/>
        </w:rPr>
        <w:t xml:space="preserve"> </w:t>
      </w:r>
      <w:r>
        <w:rPr>
          <w:rFonts w:ascii="Arial" w:hAnsi="Arial" w:cs="Arial"/>
        </w:rPr>
        <w:t>&amp; Sharma,</w:t>
      </w:r>
      <w:r>
        <w:rPr>
          <w:rFonts w:ascii="Arial" w:hAnsi="Arial" w:cs="Arial"/>
          <w:spacing w:val="1"/>
        </w:rPr>
        <w:t xml:space="preserve"> </w:t>
      </w:r>
      <w:r>
        <w:rPr>
          <w:rFonts w:ascii="Arial" w:hAnsi="Arial" w:cs="Arial"/>
        </w:rPr>
        <w:t>V.</w:t>
      </w:r>
      <w:r>
        <w:rPr>
          <w:rFonts w:ascii="Arial" w:hAnsi="Arial" w:cs="Arial"/>
          <w:spacing w:val="1"/>
        </w:rPr>
        <w:t xml:space="preserve"> </w:t>
      </w:r>
      <w:r>
        <w:rPr>
          <w:rFonts w:ascii="Arial" w:hAnsi="Arial" w:cs="Arial"/>
        </w:rPr>
        <w:t>P.</w:t>
      </w:r>
      <w:r>
        <w:rPr>
          <w:rFonts w:ascii="Arial" w:hAnsi="Arial" w:cs="Arial"/>
          <w:spacing w:val="1"/>
        </w:rPr>
        <w:t xml:space="preserve"> (</w:t>
      </w:r>
      <w:r>
        <w:rPr>
          <w:rFonts w:ascii="Arial" w:hAnsi="Arial" w:cs="Arial"/>
        </w:rPr>
        <w:t>2023).</w:t>
      </w:r>
      <w:r>
        <w:rPr>
          <w:rFonts w:ascii="Arial" w:hAnsi="Arial" w:cs="Arial"/>
          <w:spacing w:val="1"/>
        </w:rPr>
        <w:t xml:space="preserve"> </w:t>
      </w:r>
      <w:r>
        <w:rPr>
          <w:rFonts w:ascii="Arial" w:eastAsiaTheme="minorHAnsi" w:hAnsi="Arial" w:cs="Arial"/>
          <w:spacing w:val="1"/>
        </w:rPr>
        <w:t>Status of mushroom production: Global and national scenario</w:t>
      </w:r>
      <w:r>
        <w:rPr>
          <w:rFonts w:ascii="Arial" w:hAnsi="Arial" w:cs="Arial"/>
          <w:spacing w:val="1"/>
        </w:rPr>
        <w:t>.</w:t>
      </w:r>
      <w:r>
        <w:rPr>
          <w:rFonts w:ascii="Arial" w:hAnsi="Arial" w:cs="Arial"/>
          <w:b/>
          <w:bCs/>
          <w:spacing w:val="1"/>
        </w:rPr>
        <w:t xml:space="preserve"> </w:t>
      </w:r>
      <w:r>
        <w:rPr>
          <w:rFonts w:ascii="Arial" w:hAnsi="Arial" w:cs="Arial"/>
          <w:i/>
        </w:rPr>
        <w:t>Mushroom</w:t>
      </w:r>
      <w:r>
        <w:rPr>
          <w:rFonts w:ascii="Arial" w:hAnsi="Arial" w:cs="Arial"/>
          <w:i/>
          <w:spacing w:val="1"/>
        </w:rPr>
        <w:t xml:space="preserve"> </w:t>
      </w:r>
      <w:r>
        <w:rPr>
          <w:rFonts w:ascii="Arial" w:hAnsi="Arial" w:cs="Arial"/>
          <w:i/>
        </w:rPr>
        <w:t>Res.</w:t>
      </w:r>
      <w:r>
        <w:rPr>
          <w:rFonts w:ascii="Arial" w:hAnsi="Arial" w:cs="Arial"/>
          <w:i/>
          <w:spacing w:val="1"/>
        </w:rPr>
        <w:t xml:space="preserve"> </w:t>
      </w:r>
      <w:r>
        <w:rPr>
          <w:rFonts w:ascii="Arial" w:hAnsi="Arial" w:cs="Arial"/>
        </w:rPr>
        <w:t>32</w:t>
      </w:r>
      <w:r>
        <w:rPr>
          <w:rFonts w:ascii="Arial" w:hAnsi="Arial" w:cs="Arial"/>
          <w:spacing w:val="1"/>
        </w:rPr>
        <w:t xml:space="preserve"> </w:t>
      </w:r>
      <w:r>
        <w:rPr>
          <w:rFonts w:ascii="Arial" w:hAnsi="Arial" w:cs="Arial"/>
        </w:rPr>
        <w:t>(2),</w:t>
      </w:r>
      <w:r>
        <w:rPr>
          <w:rFonts w:ascii="Arial" w:hAnsi="Arial" w:cs="Arial"/>
          <w:spacing w:val="1"/>
        </w:rPr>
        <w:t xml:space="preserve"> </w:t>
      </w:r>
      <w:r>
        <w:rPr>
          <w:rFonts w:ascii="Arial" w:hAnsi="Arial" w:cs="Arial"/>
        </w:rPr>
        <w:t>91-98.</w:t>
      </w:r>
    </w:p>
    <w:p>
      <w:pPr>
        <w:pStyle w:val="Body"/>
        <w:spacing w:after="0"/>
        <w:rPr>
          <w:rFonts w:ascii="Arial" w:hAnsi="Arial" w:cs="Arial"/>
        </w:rPr>
      </w:pPr>
    </w:p>
    <w:p>
      <w:pPr>
        <w:pStyle w:val="Body"/>
        <w:spacing w:after="0"/>
        <w:rPr>
          <w:rFonts w:ascii="Arial" w:hAnsi="Arial" w:cs="Arial"/>
        </w:rPr>
      </w:pPr>
      <w:r>
        <w:rPr>
          <w:rFonts w:ascii="Arial" w:hAnsi="Arial" w:cs="Arial"/>
        </w:rPr>
        <w:t>Bushra, S. A., Jamela, D. S., Kareema, T. A., and Al-</w:t>
      </w:r>
      <w:proofErr w:type="spellStart"/>
      <w:r>
        <w:rPr>
          <w:rFonts w:ascii="Arial" w:hAnsi="Arial" w:cs="Arial"/>
        </w:rPr>
        <w:t>Sadaawyb</w:t>
      </w:r>
      <w:proofErr w:type="spellEnd"/>
      <w:r>
        <w:rPr>
          <w:rFonts w:ascii="Arial" w:hAnsi="Arial" w:cs="Arial"/>
        </w:rPr>
        <w:t>, A. K. 2018. Effects Of Spent</w:t>
      </w:r>
      <w:r>
        <w:rPr>
          <w:rFonts w:ascii="Arial" w:hAnsi="Arial" w:cs="Arial"/>
          <w:spacing w:val="1"/>
        </w:rPr>
        <w:t xml:space="preserve"> </w:t>
      </w:r>
      <w:r>
        <w:rPr>
          <w:rFonts w:ascii="Arial" w:hAnsi="Arial" w:cs="Arial"/>
        </w:rPr>
        <w:t>Mushroom Substrate (SMS) On Cucumber Damping -Off and Root Rot caused by</w:t>
      </w:r>
      <w:r>
        <w:rPr>
          <w:rFonts w:ascii="Arial" w:hAnsi="Arial" w:cs="Arial"/>
          <w:spacing w:val="1"/>
        </w:rPr>
        <w:t xml:space="preserve"> </w:t>
      </w:r>
      <w:r>
        <w:rPr>
          <w:rFonts w:ascii="Arial" w:hAnsi="Arial" w:cs="Arial"/>
          <w:i/>
        </w:rPr>
        <w:t xml:space="preserve">Pythium </w:t>
      </w:r>
      <w:proofErr w:type="spellStart"/>
      <w:r>
        <w:rPr>
          <w:rFonts w:ascii="Arial" w:hAnsi="Arial" w:cs="Arial"/>
          <w:i/>
        </w:rPr>
        <w:t>aphanidermatum</w:t>
      </w:r>
      <w:proofErr w:type="spellEnd"/>
      <w:r>
        <w:rPr>
          <w:rFonts w:ascii="Arial" w:hAnsi="Arial" w:cs="Arial"/>
          <w:i/>
        </w:rPr>
        <w:t xml:space="preserve"> </w:t>
      </w:r>
      <w:r>
        <w:rPr>
          <w:rFonts w:ascii="Arial" w:hAnsi="Arial" w:cs="Arial"/>
        </w:rPr>
        <w:t xml:space="preserve">in greenhouse. </w:t>
      </w:r>
      <w:r>
        <w:rPr>
          <w:rFonts w:ascii="Arial" w:hAnsi="Arial" w:cs="Arial"/>
          <w:i/>
        </w:rPr>
        <w:t>Asian J. Microbiol. Biotech. Env. Sci</w:t>
      </w:r>
      <w:r>
        <w:rPr>
          <w:rFonts w:ascii="Arial" w:hAnsi="Arial" w:cs="Arial"/>
        </w:rPr>
        <w:t>. 20(2):</w:t>
      </w:r>
      <w:r>
        <w:rPr>
          <w:rFonts w:ascii="Arial" w:hAnsi="Arial" w:cs="Arial"/>
          <w:spacing w:val="1"/>
        </w:rPr>
        <w:t xml:space="preserve"> </w:t>
      </w:r>
      <w:r>
        <w:rPr>
          <w:rFonts w:ascii="Arial" w:hAnsi="Arial" w:cs="Arial"/>
        </w:rPr>
        <w:t xml:space="preserve">1-5. </w:t>
      </w:r>
    </w:p>
    <w:p>
      <w:pPr>
        <w:pStyle w:val="Body"/>
        <w:spacing w:after="0"/>
        <w:rPr>
          <w:rFonts w:ascii="Arial" w:hAnsi="Arial" w:cs="Arial"/>
          <w:lang w:val="en-IN"/>
        </w:rPr>
      </w:pPr>
    </w:p>
    <w:p>
      <w:pPr>
        <w:pStyle w:val="Body"/>
        <w:spacing w:after="0"/>
        <w:rPr>
          <w:rFonts w:ascii="Arial" w:hAnsi="Arial" w:cs="Arial"/>
          <w:lang w:val="en-IN"/>
        </w:rPr>
      </w:pPr>
      <w:proofErr w:type="spellStart"/>
      <w:r>
        <w:rPr>
          <w:rFonts w:ascii="Arial" w:hAnsi="Arial" w:cs="Arial"/>
        </w:rPr>
        <w:t>Chesnin</w:t>
      </w:r>
      <w:proofErr w:type="spellEnd"/>
      <w:r>
        <w:rPr>
          <w:rFonts w:ascii="Arial" w:hAnsi="Arial" w:cs="Arial"/>
        </w:rPr>
        <w:t>, L. &amp; Yien, C.H. (1951) Turbidimetric Determination of Available Sulphur. Proceedings of Soil Science Society of America, 15, 149-151.</w:t>
      </w:r>
      <w:r>
        <w:rPr>
          <w:rFonts w:ascii="Arial" w:hAnsi="Arial" w:cs="Arial"/>
          <w:lang w:val="en-IN"/>
        </w:rPr>
        <w:t xml:space="preserve"> </w:t>
      </w:r>
    </w:p>
    <w:p>
      <w:pPr>
        <w:pStyle w:val="Body"/>
        <w:spacing w:after="0"/>
        <w:rPr>
          <w:rFonts w:ascii="Arial" w:hAnsi="Arial" w:cs="Arial"/>
          <w:lang w:val="en-IN"/>
        </w:rPr>
      </w:pPr>
    </w:p>
    <w:p>
      <w:pPr>
        <w:pStyle w:val="Body"/>
        <w:spacing w:after="0"/>
        <w:rPr>
          <w:rFonts w:ascii="Arial" w:hAnsi="Arial" w:cs="Arial"/>
        </w:rPr>
      </w:pPr>
      <w:r>
        <w:rPr>
          <w:rFonts w:ascii="Arial" w:hAnsi="Arial" w:cs="Arial"/>
          <w:lang w:val="en-IN"/>
        </w:rPr>
        <w:t xml:space="preserve">Economou, C. N., Diamantopoulou, P. A., &amp; Philippoussis, A. N. (2017). </w:t>
      </w:r>
      <w:r>
        <w:rPr>
          <w:rFonts w:ascii="Arial" w:hAnsi="Arial" w:cs="Arial"/>
        </w:rPr>
        <w:t>Valorization of spent</w:t>
      </w:r>
      <w:r>
        <w:rPr>
          <w:rFonts w:ascii="Arial" w:hAnsi="Arial" w:cs="Arial"/>
          <w:spacing w:val="1"/>
        </w:rPr>
        <w:t xml:space="preserve"> </w:t>
      </w:r>
      <w:r>
        <w:rPr>
          <w:rFonts w:ascii="Arial" w:hAnsi="Arial" w:cs="Arial"/>
        </w:rPr>
        <w:t>oyster</w:t>
      </w:r>
      <w:r>
        <w:rPr>
          <w:rFonts w:ascii="Arial" w:hAnsi="Arial" w:cs="Arial"/>
          <w:spacing w:val="1"/>
        </w:rPr>
        <w:t xml:space="preserve"> </w:t>
      </w:r>
      <w:r>
        <w:rPr>
          <w:rFonts w:ascii="Arial" w:hAnsi="Arial" w:cs="Arial"/>
        </w:rPr>
        <w:t>mushroom</w:t>
      </w:r>
      <w:r>
        <w:rPr>
          <w:rFonts w:ascii="Arial" w:hAnsi="Arial" w:cs="Arial"/>
          <w:spacing w:val="1"/>
        </w:rPr>
        <w:t xml:space="preserve"> </w:t>
      </w:r>
      <w:r>
        <w:rPr>
          <w:rFonts w:ascii="Arial" w:hAnsi="Arial" w:cs="Arial"/>
        </w:rPr>
        <w:t>substrate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laccase</w:t>
      </w:r>
      <w:r>
        <w:rPr>
          <w:rFonts w:ascii="Arial" w:hAnsi="Arial" w:cs="Arial"/>
          <w:spacing w:val="1"/>
        </w:rPr>
        <w:t xml:space="preserve"> </w:t>
      </w:r>
      <w:r>
        <w:rPr>
          <w:rFonts w:ascii="Arial" w:hAnsi="Arial" w:cs="Arial"/>
        </w:rPr>
        <w:t>recovery</w:t>
      </w:r>
      <w:r>
        <w:rPr>
          <w:rFonts w:ascii="Arial" w:hAnsi="Arial" w:cs="Arial"/>
          <w:spacing w:val="1"/>
        </w:rPr>
        <w:t xml:space="preserve"> </w:t>
      </w:r>
      <w:r>
        <w:rPr>
          <w:rFonts w:ascii="Arial" w:hAnsi="Arial" w:cs="Arial"/>
        </w:rPr>
        <w:t>through</w:t>
      </w:r>
      <w:r>
        <w:rPr>
          <w:rFonts w:ascii="Arial" w:hAnsi="Arial" w:cs="Arial"/>
          <w:spacing w:val="1"/>
        </w:rPr>
        <w:t xml:space="preserve"> </w:t>
      </w:r>
      <w:r>
        <w:rPr>
          <w:rFonts w:ascii="Arial" w:hAnsi="Arial" w:cs="Arial"/>
        </w:rPr>
        <w:t>successive</w:t>
      </w:r>
      <w:r>
        <w:rPr>
          <w:rFonts w:ascii="Arial" w:hAnsi="Arial" w:cs="Arial"/>
          <w:spacing w:val="1"/>
        </w:rPr>
        <w:t xml:space="preserve"> </w:t>
      </w:r>
      <w:r>
        <w:rPr>
          <w:rFonts w:ascii="Arial" w:hAnsi="Arial" w:cs="Arial"/>
        </w:rPr>
        <w:t>solid-state</w:t>
      </w:r>
      <w:r>
        <w:rPr>
          <w:rFonts w:ascii="Arial" w:hAnsi="Arial" w:cs="Arial"/>
          <w:spacing w:val="1"/>
        </w:rPr>
        <w:t xml:space="preserve"> </w:t>
      </w:r>
      <w:r>
        <w:rPr>
          <w:rFonts w:ascii="Arial" w:hAnsi="Arial" w:cs="Arial"/>
        </w:rPr>
        <w:t>cultivation</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i/>
        </w:rPr>
        <w:t>Pleurotus</w:t>
      </w:r>
      <w:r>
        <w:rPr>
          <w:rFonts w:ascii="Arial" w:hAnsi="Arial" w:cs="Arial"/>
        </w:rPr>
        <w:t>,</w:t>
      </w:r>
      <w:r>
        <w:rPr>
          <w:rFonts w:ascii="Arial" w:hAnsi="Arial" w:cs="Arial"/>
          <w:spacing w:val="1"/>
        </w:rPr>
        <w:t xml:space="preserve"> </w:t>
      </w:r>
      <w:r>
        <w:rPr>
          <w:rFonts w:ascii="Arial" w:hAnsi="Arial" w:cs="Arial"/>
          <w:i/>
        </w:rPr>
        <w:t>Ganoderma</w:t>
      </w:r>
      <w:r>
        <w:rPr>
          <w:rFonts w:ascii="Arial" w:hAnsi="Arial" w:cs="Arial"/>
          <w:i/>
          <w:spacing w:val="1"/>
        </w:rPr>
        <w:t xml:space="preserve"> </w:t>
      </w:r>
      <w:r>
        <w:rPr>
          <w:rFonts w:ascii="Arial" w:hAnsi="Arial" w:cs="Arial"/>
        </w:rPr>
        <w:t>and</w:t>
      </w:r>
      <w:r>
        <w:rPr>
          <w:rFonts w:ascii="Arial" w:hAnsi="Arial" w:cs="Arial"/>
          <w:spacing w:val="1"/>
        </w:rPr>
        <w:t xml:space="preserve"> </w:t>
      </w:r>
      <w:r>
        <w:rPr>
          <w:rFonts w:ascii="Arial" w:hAnsi="Arial" w:cs="Arial"/>
          <w:i/>
        </w:rPr>
        <w:t>Lentinula</w:t>
      </w:r>
      <w:r>
        <w:rPr>
          <w:rFonts w:ascii="Arial" w:hAnsi="Arial" w:cs="Arial"/>
          <w:i/>
          <w:spacing w:val="1"/>
        </w:rPr>
        <w:t xml:space="preserve"> </w:t>
      </w:r>
      <w:r>
        <w:rPr>
          <w:rFonts w:ascii="Arial" w:hAnsi="Arial" w:cs="Arial"/>
        </w:rPr>
        <w:t>strains.</w:t>
      </w:r>
      <w:r>
        <w:rPr>
          <w:rFonts w:ascii="Arial" w:hAnsi="Arial" w:cs="Arial"/>
          <w:spacing w:val="56"/>
        </w:rPr>
        <w:t xml:space="preserve"> </w:t>
      </w:r>
      <w:r>
        <w:rPr>
          <w:rFonts w:ascii="Arial" w:hAnsi="Arial" w:cs="Arial"/>
          <w:i/>
        </w:rPr>
        <w:t>Appl.</w:t>
      </w:r>
      <w:r>
        <w:rPr>
          <w:rFonts w:ascii="Arial" w:hAnsi="Arial" w:cs="Arial"/>
          <w:i/>
          <w:spacing w:val="56"/>
        </w:rPr>
        <w:t xml:space="preserve"> </w:t>
      </w:r>
      <w:r>
        <w:rPr>
          <w:rFonts w:ascii="Arial" w:hAnsi="Arial" w:cs="Arial"/>
          <w:i/>
        </w:rPr>
        <w:t>Microbiol.</w:t>
      </w:r>
      <w:r>
        <w:rPr>
          <w:rFonts w:ascii="Arial" w:hAnsi="Arial" w:cs="Arial"/>
          <w:i/>
          <w:spacing w:val="1"/>
        </w:rPr>
        <w:t xml:space="preserve"> </w:t>
      </w:r>
      <w:proofErr w:type="spellStart"/>
      <w:r>
        <w:rPr>
          <w:rFonts w:ascii="Arial" w:hAnsi="Arial" w:cs="Arial"/>
          <w:i/>
        </w:rPr>
        <w:t>Biotechnol</w:t>
      </w:r>
      <w:proofErr w:type="spellEnd"/>
      <w:r>
        <w:rPr>
          <w:rFonts w:ascii="Arial" w:hAnsi="Arial" w:cs="Arial"/>
        </w:rPr>
        <w:t>.</w:t>
      </w:r>
      <w:r>
        <w:rPr>
          <w:rFonts w:ascii="Arial" w:hAnsi="Arial" w:cs="Arial"/>
          <w:spacing w:val="1"/>
        </w:rPr>
        <w:t xml:space="preserve"> </w:t>
      </w:r>
      <w:r>
        <w:rPr>
          <w:rFonts w:ascii="Arial" w:hAnsi="Arial" w:cs="Arial"/>
        </w:rPr>
        <w:t>101(12), 5213–5222.</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Elshafie, H. S., </w:t>
      </w:r>
      <w:proofErr w:type="spellStart"/>
      <w:r>
        <w:rPr>
          <w:rFonts w:ascii="Arial" w:hAnsi="Arial" w:cs="Arial"/>
        </w:rPr>
        <w:t>Camele</w:t>
      </w:r>
      <w:proofErr w:type="spellEnd"/>
      <w:r>
        <w:rPr>
          <w:rFonts w:ascii="Arial" w:hAnsi="Arial" w:cs="Arial"/>
        </w:rPr>
        <w:t xml:space="preserve">, I., Racioppi, R., </w:t>
      </w:r>
      <w:proofErr w:type="spellStart"/>
      <w:r>
        <w:rPr>
          <w:rFonts w:ascii="Arial" w:hAnsi="Arial" w:cs="Arial"/>
        </w:rPr>
        <w:t>Scrano</w:t>
      </w:r>
      <w:proofErr w:type="spellEnd"/>
      <w:r>
        <w:rPr>
          <w:rFonts w:ascii="Arial" w:hAnsi="Arial" w:cs="Arial"/>
        </w:rPr>
        <w:t xml:space="preserve">, L., Iacobellis, N. S., &amp; Bufo, S. A. (2012). </w:t>
      </w:r>
      <w:r>
        <w:rPr>
          <w:rFonts w:ascii="Arial" w:hAnsi="Arial" w:cs="Arial"/>
          <w:i/>
          <w:iCs/>
        </w:rPr>
        <w:t>In vitro</w:t>
      </w:r>
      <w:r>
        <w:rPr>
          <w:rFonts w:ascii="Arial" w:hAnsi="Arial" w:cs="Arial"/>
        </w:rPr>
        <w:t xml:space="preserve"> antifungal activity of </w:t>
      </w:r>
      <w:proofErr w:type="spellStart"/>
      <w:r>
        <w:rPr>
          <w:rFonts w:ascii="Arial" w:hAnsi="Arial" w:cs="Arial"/>
          <w:i/>
          <w:iCs/>
        </w:rPr>
        <w:t>Burkholderia</w:t>
      </w:r>
      <w:proofErr w:type="spellEnd"/>
      <w:r>
        <w:rPr>
          <w:rFonts w:ascii="Arial" w:hAnsi="Arial" w:cs="Arial"/>
          <w:i/>
          <w:iCs/>
        </w:rPr>
        <w:t xml:space="preserve"> gladioli</w:t>
      </w:r>
      <w:r>
        <w:rPr>
          <w:rFonts w:ascii="Arial" w:hAnsi="Arial" w:cs="Arial"/>
        </w:rPr>
        <w:t xml:space="preserve"> </w:t>
      </w:r>
      <w:proofErr w:type="spellStart"/>
      <w:r>
        <w:rPr>
          <w:rFonts w:ascii="Arial" w:hAnsi="Arial" w:cs="Arial"/>
        </w:rPr>
        <w:t>pv</w:t>
      </w:r>
      <w:proofErr w:type="spellEnd"/>
      <w:r>
        <w:rPr>
          <w:rFonts w:ascii="Arial" w:hAnsi="Arial" w:cs="Arial"/>
        </w:rPr>
        <w:t xml:space="preserve">. </w:t>
      </w:r>
      <w:proofErr w:type="spellStart"/>
      <w:r>
        <w:rPr>
          <w:rFonts w:ascii="Arial" w:hAnsi="Arial" w:cs="Arial"/>
          <w:i/>
          <w:iCs/>
        </w:rPr>
        <w:t>agaricicola</w:t>
      </w:r>
      <w:proofErr w:type="spellEnd"/>
      <w:r>
        <w:rPr>
          <w:rFonts w:ascii="Arial" w:hAnsi="Arial" w:cs="Arial"/>
        </w:rPr>
        <w:t xml:space="preserve"> against some phytopathogenic fungi. </w:t>
      </w:r>
      <w:r>
        <w:rPr>
          <w:rFonts w:ascii="Arial" w:hAnsi="Arial" w:cs="Arial"/>
          <w:i/>
          <w:iCs/>
        </w:rPr>
        <w:t>Int. J. Mol. Sci</w:t>
      </w:r>
      <w:r>
        <w:rPr>
          <w:rFonts w:ascii="Arial" w:hAnsi="Arial" w:cs="Arial"/>
        </w:rPr>
        <w:t>. 3(12), 16291-302.</w:t>
      </w:r>
    </w:p>
    <w:p>
      <w:pPr>
        <w:pStyle w:val="Body"/>
        <w:spacing w:after="0"/>
        <w:rPr>
          <w:rFonts w:ascii="Arial" w:hAnsi="Arial" w:cs="Arial"/>
        </w:rPr>
      </w:pPr>
    </w:p>
    <w:p>
      <w:pPr>
        <w:pStyle w:val="Body"/>
        <w:spacing w:after="0"/>
        <w:rPr>
          <w:rFonts w:ascii="Arial" w:hAnsi="Arial" w:cs="Arial"/>
        </w:rPr>
      </w:pPr>
      <w:r>
        <w:rPr>
          <w:rFonts w:ascii="Arial" w:hAnsi="Arial" w:cs="Arial"/>
        </w:rPr>
        <w:t>Food</w:t>
      </w:r>
      <w:r>
        <w:rPr>
          <w:rFonts w:ascii="Arial" w:hAnsi="Arial" w:cs="Arial"/>
          <w:spacing w:val="1"/>
        </w:rPr>
        <w:t xml:space="preserve"> </w:t>
      </w:r>
      <w:r>
        <w:rPr>
          <w:rFonts w:ascii="Arial" w:hAnsi="Arial" w:cs="Arial"/>
        </w:rPr>
        <w:t>and Agriculture</w:t>
      </w:r>
      <w:r>
        <w:rPr>
          <w:rFonts w:ascii="Arial" w:hAnsi="Arial" w:cs="Arial"/>
          <w:spacing w:val="1"/>
        </w:rPr>
        <w:t xml:space="preserve"> </w:t>
      </w:r>
      <w:r>
        <w:rPr>
          <w:rFonts w:ascii="Arial" w:hAnsi="Arial" w:cs="Arial"/>
        </w:rPr>
        <w:t>Organization.</w:t>
      </w:r>
      <w:r>
        <w:rPr>
          <w:rFonts w:ascii="Arial" w:hAnsi="Arial" w:cs="Arial"/>
          <w:spacing w:val="1"/>
        </w:rPr>
        <w:t xml:space="preserve"> (</w:t>
      </w:r>
      <w:r>
        <w:rPr>
          <w:rFonts w:ascii="Arial" w:hAnsi="Arial" w:cs="Arial"/>
        </w:rPr>
        <w:t>2023).</w:t>
      </w:r>
      <w:r>
        <w:rPr>
          <w:rFonts w:ascii="Arial" w:hAnsi="Arial" w:cs="Arial"/>
          <w:spacing w:val="1"/>
        </w:rPr>
        <w:t xml:space="preserve"> </w:t>
      </w:r>
      <w:r>
        <w:rPr>
          <w:rFonts w:ascii="Arial" w:hAnsi="Arial" w:cs="Arial"/>
        </w:rPr>
        <w:t>FAOSTAT</w:t>
      </w:r>
      <w:r>
        <w:rPr>
          <w:rFonts w:ascii="Arial" w:hAnsi="Arial" w:cs="Arial"/>
          <w:spacing w:val="1"/>
        </w:rPr>
        <w:t xml:space="preserve"> </w:t>
      </w:r>
      <w:r>
        <w:rPr>
          <w:rFonts w:ascii="Arial" w:hAnsi="Arial" w:cs="Arial"/>
        </w:rPr>
        <w:t>Statistics</w:t>
      </w:r>
      <w:r>
        <w:rPr>
          <w:rFonts w:ascii="Arial" w:hAnsi="Arial" w:cs="Arial"/>
          <w:spacing w:val="1"/>
        </w:rPr>
        <w:t xml:space="preserve"> </w:t>
      </w:r>
      <w:r>
        <w:rPr>
          <w:rFonts w:ascii="Arial" w:hAnsi="Arial" w:cs="Arial"/>
        </w:rPr>
        <w:t>database</w:t>
      </w:r>
      <w:r>
        <w:rPr>
          <w:rFonts w:ascii="Arial" w:hAnsi="Arial" w:cs="Arial"/>
          <w:spacing w:val="1"/>
        </w:rPr>
        <w:t xml:space="preserve"> </w:t>
      </w:r>
      <w:r>
        <w:rPr>
          <w:rFonts w:ascii="Arial" w:hAnsi="Arial" w:cs="Arial"/>
        </w:rPr>
        <w:t>2023.</w:t>
      </w:r>
      <w:r>
        <w:rPr>
          <w:rFonts w:ascii="Arial" w:hAnsi="Arial" w:cs="Arial"/>
          <w:spacing w:val="1"/>
        </w:rPr>
        <w:t xml:space="preserve"> </w:t>
      </w:r>
      <w:r>
        <w:rPr>
          <w:rFonts w:ascii="Arial" w:hAnsi="Arial" w:cs="Arial"/>
        </w:rPr>
        <w:t>Food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Agriculture</w:t>
      </w:r>
      <w:r>
        <w:rPr>
          <w:rFonts w:ascii="Arial" w:hAnsi="Arial" w:cs="Arial"/>
          <w:spacing w:val="-1"/>
        </w:rPr>
        <w:t xml:space="preserve"> </w:t>
      </w:r>
      <w:r>
        <w:rPr>
          <w:rFonts w:ascii="Arial" w:hAnsi="Arial" w:cs="Arial"/>
        </w:rPr>
        <w:t>Organization</w:t>
      </w:r>
      <w:r>
        <w:rPr>
          <w:rFonts w:ascii="Arial" w:hAnsi="Arial" w:cs="Arial"/>
          <w:spacing w:val="4"/>
        </w:rPr>
        <w:t xml:space="preserve"> </w:t>
      </w:r>
      <w:r>
        <w:rPr>
          <w:rFonts w:ascii="Arial" w:hAnsi="Arial" w:cs="Arial"/>
        </w:rPr>
        <w:t>of the</w:t>
      </w:r>
      <w:r>
        <w:rPr>
          <w:rFonts w:ascii="Arial" w:hAnsi="Arial" w:cs="Arial"/>
          <w:spacing w:val="-1"/>
        </w:rPr>
        <w:t xml:space="preserve"> </w:t>
      </w:r>
      <w:r>
        <w:rPr>
          <w:rFonts w:ascii="Arial" w:hAnsi="Arial" w:cs="Arial"/>
        </w:rPr>
        <w:t>United</w:t>
      </w:r>
      <w:r>
        <w:rPr>
          <w:rFonts w:ascii="Arial" w:hAnsi="Arial" w:cs="Arial"/>
          <w:spacing w:val="5"/>
        </w:rPr>
        <w:t xml:space="preserve"> </w:t>
      </w:r>
      <w:r>
        <w:rPr>
          <w:rFonts w:ascii="Arial" w:hAnsi="Arial" w:cs="Arial"/>
        </w:rPr>
        <w:t>Nations.</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Hesse, P. R. (1971). </w:t>
      </w:r>
      <w:r>
        <w:rPr>
          <w:rFonts w:ascii="Arial" w:hAnsi="Arial" w:cs="Arial"/>
          <w:i/>
          <w:iCs/>
        </w:rPr>
        <w:t>Textbook of Soil Chemical Analysis</w:t>
      </w:r>
      <w:r>
        <w:rPr>
          <w:rFonts w:ascii="Arial" w:hAnsi="Arial" w:cs="Arial"/>
        </w:rPr>
        <w:t>. John Murray, London. 520 pp.</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Jackson, M. L. (1973). Soil chemical analysis. Prentice hall of India Pvt. Ltd., </w:t>
      </w:r>
      <w:proofErr w:type="spellStart"/>
      <w:r>
        <w:rPr>
          <w:rFonts w:ascii="Arial" w:hAnsi="Arial" w:cs="Arial"/>
        </w:rPr>
        <w:t>NewDelhi</w:t>
      </w:r>
      <w:proofErr w:type="spellEnd"/>
      <w:r>
        <w:rPr>
          <w:rFonts w:ascii="Arial" w:hAnsi="Arial" w:cs="Arial"/>
        </w:rPr>
        <w:t>.</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Keith, L. M., </w:t>
      </w:r>
      <w:proofErr w:type="spellStart"/>
      <w:r>
        <w:rPr>
          <w:rFonts w:ascii="Arial" w:hAnsi="Arial" w:cs="Arial"/>
        </w:rPr>
        <w:t>Sewake</w:t>
      </w:r>
      <w:proofErr w:type="spellEnd"/>
      <w:r>
        <w:rPr>
          <w:rFonts w:ascii="Arial" w:hAnsi="Arial" w:cs="Arial"/>
        </w:rPr>
        <w:t xml:space="preserve">, K. T., &amp; Zee, F. T. (2005). Isolation and Characterization of </w:t>
      </w:r>
      <w:proofErr w:type="spellStart"/>
      <w:r>
        <w:rPr>
          <w:rFonts w:ascii="Arial" w:hAnsi="Arial" w:cs="Arial"/>
          <w:i/>
          <w:iCs/>
        </w:rPr>
        <w:t>Burkholderia</w:t>
      </w:r>
      <w:proofErr w:type="spellEnd"/>
      <w:r>
        <w:rPr>
          <w:rFonts w:ascii="Arial" w:hAnsi="Arial" w:cs="Arial"/>
          <w:i/>
          <w:iCs/>
        </w:rPr>
        <w:t xml:space="preserve"> gladioli</w:t>
      </w:r>
      <w:r>
        <w:rPr>
          <w:rFonts w:ascii="Arial" w:hAnsi="Arial" w:cs="Arial"/>
        </w:rPr>
        <w:t xml:space="preserve"> from Orchids in Hawaii. Plant Disease, 89(12).</w:t>
      </w:r>
    </w:p>
    <w:p>
      <w:pPr>
        <w:pStyle w:val="Body"/>
        <w:spacing w:after="0"/>
        <w:rPr>
          <w:rFonts w:ascii="Arial" w:hAnsi="Arial" w:cs="Arial"/>
        </w:rPr>
      </w:pPr>
    </w:p>
    <w:p>
      <w:pPr>
        <w:pStyle w:val="Body"/>
        <w:spacing w:after="0"/>
        <w:rPr>
          <w:rFonts w:ascii="Arial" w:hAnsi="Arial" w:cs="Arial"/>
        </w:rPr>
      </w:pPr>
      <w:r>
        <w:rPr>
          <w:rFonts w:ascii="Arial" w:hAnsi="Arial" w:cs="Arial"/>
        </w:rPr>
        <w:t>Kwak,</w:t>
      </w:r>
      <w:r>
        <w:rPr>
          <w:rFonts w:ascii="Arial" w:hAnsi="Arial" w:cs="Arial"/>
          <w:spacing w:val="-18"/>
        </w:rPr>
        <w:t xml:space="preserve"> </w:t>
      </w:r>
      <w:r>
        <w:rPr>
          <w:rFonts w:ascii="Arial" w:hAnsi="Arial" w:cs="Arial"/>
        </w:rPr>
        <w:t>A.</w:t>
      </w:r>
      <w:r>
        <w:rPr>
          <w:rFonts w:ascii="Arial" w:hAnsi="Arial" w:cs="Arial"/>
          <w:spacing w:val="-2"/>
        </w:rPr>
        <w:t xml:space="preserve"> </w:t>
      </w:r>
      <w:r>
        <w:rPr>
          <w:rFonts w:ascii="Arial" w:hAnsi="Arial" w:cs="Arial"/>
        </w:rPr>
        <w:t>M.,</w:t>
      </w:r>
      <w:r>
        <w:rPr>
          <w:rFonts w:ascii="Arial" w:hAnsi="Arial" w:cs="Arial"/>
          <w:spacing w:val="-2"/>
        </w:rPr>
        <w:t xml:space="preserve"> </w:t>
      </w:r>
      <w:r>
        <w:rPr>
          <w:rFonts w:ascii="Arial" w:hAnsi="Arial" w:cs="Arial"/>
        </w:rPr>
        <w:t>Min,</w:t>
      </w:r>
      <w:r>
        <w:rPr>
          <w:rFonts w:ascii="Arial" w:hAnsi="Arial" w:cs="Arial"/>
          <w:spacing w:val="-5"/>
        </w:rPr>
        <w:t xml:space="preserve"> </w:t>
      </w:r>
      <w:r>
        <w:rPr>
          <w:rFonts w:ascii="Arial" w:hAnsi="Arial" w:cs="Arial"/>
        </w:rPr>
        <w:t>K.</w:t>
      </w:r>
      <w:r>
        <w:rPr>
          <w:rFonts w:ascii="Arial" w:hAnsi="Arial" w:cs="Arial"/>
          <w:spacing w:val="-2"/>
        </w:rPr>
        <w:t xml:space="preserve"> </w:t>
      </w:r>
      <w:r>
        <w:rPr>
          <w:rFonts w:ascii="Arial" w:hAnsi="Arial" w:cs="Arial"/>
        </w:rPr>
        <w:t>J.,</w:t>
      </w:r>
      <w:r>
        <w:rPr>
          <w:rFonts w:ascii="Arial" w:hAnsi="Arial" w:cs="Arial"/>
          <w:spacing w:val="-2"/>
        </w:rPr>
        <w:t xml:space="preserve"> </w:t>
      </w:r>
      <w:r>
        <w:rPr>
          <w:rFonts w:ascii="Arial" w:hAnsi="Arial" w:cs="Arial"/>
        </w:rPr>
        <w:t>Lee,</w:t>
      </w:r>
      <w:r>
        <w:rPr>
          <w:rFonts w:ascii="Arial" w:hAnsi="Arial" w:cs="Arial"/>
          <w:spacing w:val="-2"/>
        </w:rPr>
        <w:t xml:space="preserve"> </w:t>
      </w:r>
      <w:r>
        <w:rPr>
          <w:rFonts w:ascii="Arial" w:hAnsi="Arial" w:cs="Arial"/>
        </w:rPr>
        <w:t>S.</w:t>
      </w:r>
      <w:r>
        <w:rPr>
          <w:rFonts w:ascii="Arial" w:hAnsi="Arial" w:cs="Arial"/>
          <w:spacing w:val="-7"/>
        </w:rPr>
        <w:t xml:space="preserve"> </w:t>
      </w:r>
      <w:r>
        <w:rPr>
          <w:rFonts w:ascii="Arial" w:hAnsi="Arial" w:cs="Arial"/>
        </w:rPr>
        <w:t>Y.,</w:t>
      </w:r>
      <w:r>
        <w:rPr>
          <w:rFonts w:ascii="Arial" w:hAnsi="Arial" w:cs="Arial"/>
          <w:spacing w:val="-2"/>
        </w:rPr>
        <w:t xml:space="preserve"> </w:t>
      </w:r>
      <w:r>
        <w:rPr>
          <w:rFonts w:ascii="Arial" w:hAnsi="Arial" w:cs="Arial"/>
        </w:rPr>
        <w:t>&amp;</w:t>
      </w:r>
      <w:r>
        <w:rPr>
          <w:rFonts w:ascii="Arial" w:hAnsi="Arial" w:cs="Arial"/>
          <w:spacing w:val="-2"/>
        </w:rPr>
        <w:t xml:space="preserve"> </w:t>
      </w:r>
      <w:r>
        <w:rPr>
          <w:rFonts w:ascii="Arial" w:hAnsi="Arial" w:cs="Arial"/>
        </w:rPr>
        <w:t>Kang,</w:t>
      </w:r>
      <w:r>
        <w:rPr>
          <w:rFonts w:ascii="Arial" w:hAnsi="Arial" w:cs="Arial"/>
          <w:spacing w:val="-5"/>
        </w:rPr>
        <w:t xml:space="preserve"> </w:t>
      </w:r>
      <w:r>
        <w:rPr>
          <w:rFonts w:ascii="Arial" w:hAnsi="Arial" w:cs="Arial"/>
        </w:rPr>
        <w:t>H.</w:t>
      </w:r>
      <w:r>
        <w:rPr>
          <w:rFonts w:ascii="Arial" w:hAnsi="Arial" w:cs="Arial"/>
          <w:spacing w:val="-4"/>
        </w:rPr>
        <w:t xml:space="preserve"> </w:t>
      </w:r>
      <w:r>
        <w:rPr>
          <w:rFonts w:ascii="Arial" w:hAnsi="Arial" w:cs="Arial"/>
        </w:rPr>
        <w:t>W.</w:t>
      </w:r>
      <w:r>
        <w:rPr>
          <w:rFonts w:ascii="Arial" w:hAnsi="Arial" w:cs="Arial"/>
          <w:spacing w:val="-8"/>
        </w:rPr>
        <w:t xml:space="preserve"> (</w:t>
      </w:r>
      <w:r>
        <w:rPr>
          <w:rFonts w:ascii="Arial" w:hAnsi="Arial" w:cs="Arial"/>
        </w:rPr>
        <w:t>2015).</w:t>
      </w:r>
      <w:r>
        <w:rPr>
          <w:rFonts w:ascii="Arial" w:hAnsi="Arial" w:cs="Arial"/>
          <w:spacing w:val="-4"/>
        </w:rPr>
        <w:t xml:space="preserve"> </w:t>
      </w:r>
      <w:r>
        <w:rPr>
          <w:rFonts w:ascii="Arial" w:hAnsi="Arial" w:cs="Arial"/>
        </w:rPr>
        <w:t>Water</w:t>
      </w:r>
      <w:r>
        <w:rPr>
          <w:rFonts w:ascii="Arial" w:hAnsi="Arial" w:cs="Arial"/>
          <w:spacing w:val="-4"/>
        </w:rPr>
        <w:t xml:space="preserve"> </w:t>
      </w:r>
      <w:r>
        <w:rPr>
          <w:rFonts w:ascii="Arial" w:hAnsi="Arial" w:cs="Arial"/>
        </w:rPr>
        <w:t>extract</w:t>
      </w:r>
      <w:r>
        <w:rPr>
          <w:rFonts w:ascii="Arial" w:hAnsi="Arial" w:cs="Arial"/>
          <w:spacing w:val="-7"/>
        </w:rPr>
        <w:t xml:space="preserve"> </w:t>
      </w:r>
      <w:r>
        <w:rPr>
          <w:rFonts w:ascii="Arial" w:hAnsi="Arial" w:cs="Arial"/>
        </w:rPr>
        <w:t>from</w:t>
      </w:r>
      <w:r>
        <w:rPr>
          <w:rFonts w:ascii="Arial" w:hAnsi="Arial" w:cs="Arial"/>
          <w:spacing w:val="-4"/>
        </w:rPr>
        <w:t xml:space="preserve"> </w:t>
      </w:r>
      <w:r>
        <w:rPr>
          <w:rFonts w:ascii="Arial" w:hAnsi="Arial" w:cs="Arial"/>
        </w:rPr>
        <w:t>spent</w:t>
      </w:r>
      <w:r>
        <w:rPr>
          <w:rFonts w:ascii="Arial" w:hAnsi="Arial" w:cs="Arial"/>
          <w:spacing w:val="-6"/>
        </w:rPr>
        <w:t xml:space="preserve"> </w:t>
      </w:r>
      <w:r>
        <w:rPr>
          <w:rFonts w:ascii="Arial" w:hAnsi="Arial" w:cs="Arial"/>
        </w:rPr>
        <w:t>mushroom</w:t>
      </w:r>
      <w:r>
        <w:rPr>
          <w:rFonts w:ascii="Arial" w:hAnsi="Arial" w:cs="Arial"/>
          <w:spacing w:val="-53"/>
        </w:rPr>
        <w:t xml:space="preserve"> </w:t>
      </w:r>
      <w:r>
        <w:rPr>
          <w:rFonts w:ascii="Arial" w:hAnsi="Arial" w:cs="Arial"/>
        </w:rPr>
        <w:t xml:space="preserve">substrate of </w:t>
      </w:r>
      <w:proofErr w:type="spellStart"/>
      <w:r>
        <w:rPr>
          <w:rFonts w:ascii="Arial" w:hAnsi="Arial" w:cs="Arial"/>
          <w:i/>
        </w:rPr>
        <w:t>Hericium</w:t>
      </w:r>
      <w:proofErr w:type="spellEnd"/>
      <w:r>
        <w:rPr>
          <w:rFonts w:ascii="Arial" w:hAnsi="Arial" w:cs="Arial"/>
          <w:i/>
        </w:rPr>
        <w:t xml:space="preserve"> </w:t>
      </w:r>
      <w:proofErr w:type="spellStart"/>
      <w:r>
        <w:rPr>
          <w:rFonts w:ascii="Arial" w:hAnsi="Arial" w:cs="Arial"/>
          <w:i/>
        </w:rPr>
        <w:t>erinaceus</w:t>
      </w:r>
      <w:proofErr w:type="spellEnd"/>
      <w:r>
        <w:rPr>
          <w:rFonts w:ascii="Arial" w:hAnsi="Arial" w:cs="Arial"/>
          <w:i/>
        </w:rPr>
        <w:t xml:space="preserve"> </w:t>
      </w:r>
      <w:r>
        <w:rPr>
          <w:rFonts w:ascii="Arial" w:hAnsi="Arial" w:cs="Arial"/>
        </w:rPr>
        <w:t xml:space="preserve">suppresses bacterial wilt disease of tomato. </w:t>
      </w:r>
      <w:proofErr w:type="spellStart"/>
      <w:r>
        <w:rPr>
          <w:rFonts w:ascii="Arial" w:hAnsi="Arial" w:cs="Arial"/>
          <w:i/>
        </w:rPr>
        <w:t>Mycobiol</w:t>
      </w:r>
      <w:proofErr w:type="spellEnd"/>
      <w:r>
        <w:rPr>
          <w:rFonts w:ascii="Arial" w:hAnsi="Arial" w:cs="Arial"/>
        </w:rPr>
        <w:t>.</w:t>
      </w:r>
      <w:r>
        <w:rPr>
          <w:rFonts w:ascii="Arial" w:hAnsi="Arial" w:cs="Arial"/>
          <w:spacing w:val="1"/>
        </w:rPr>
        <w:t xml:space="preserve"> </w:t>
      </w:r>
      <w:r>
        <w:rPr>
          <w:rFonts w:ascii="Arial" w:hAnsi="Arial" w:cs="Arial"/>
        </w:rPr>
        <w:t>43(3), 311–318.</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Li, X. &amp; Wang, M. (2023) Chemical Characteristics Analysis and Quality Assessment of Reed-Based Spent Mushroom Substrate. </w:t>
      </w:r>
      <w:r>
        <w:rPr>
          <w:rFonts w:ascii="Arial" w:hAnsi="Arial" w:cs="Arial"/>
          <w:i/>
          <w:iCs/>
        </w:rPr>
        <w:t>Agronomy</w:t>
      </w:r>
      <w:r>
        <w:rPr>
          <w:rFonts w:ascii="Arial" w:hAnsi="Arial" w:cs="Arial"/>
        </w:rPr>
        <w:t>, 13, 898.</w:t>
      </w:r>
    </w:p>
    <w:p>
      <w:pPr>
        <w:pStyle w:val="Body"/>
        <w:spacing w:after="0"/>
        <w:rPr>
          <w:rFonts w:ascii="Arial" w:hAnsi="Arial" w:cs="Arial"/>
        </w:rPr>
      </w:pPr>
    </w:p>
    <w:p>
      <w:pPr>
        <w:pStyle w:val="Body"/>
        <w:spacing w:after="0"/>
        <w:rPr>
          <w:rFonts w:ascii="Arial" w:hAnsi="Arial" w:cs="Arial"/>
        </w:rPr>
      </w:pPr>
      <w:r>
        <w:t>Ma,</w:t>
      </w:r>
      <w:r>
        <w:rPr>
          <w:spacing w:val="-13"/>
        </w:rPr>
        <w:t xml:space="preserve"> </w:t>
      </w:r>
      <w:r>
        <w:t>Y.,</w:t>
      </w:r>
      <w:r>
        <w:rPr>
          <w:spacing w:val="-4"/>
        </w:rPr>
        <w:t xml:space="preserve"> </w:t>
      </w:r>
      <w:r>
        <w:t>Wang,</w:t>
      </w:r>
      <w:r>
        <w:rPr>
          <w:spacing w:val="-7"/>
        </w:rPr>
        <w:t xml:space="preserve"> </w:t>
      </w:r>
      <w:r>
        <w:t>Q.,</w:t>
      </w:r>
      <w:r>
        <w:rPr>
          <w:spacing w:val="-2"/>
        </w:rPr>
        <w:t xml:space="preserve"> </w:t>
      </w:r>
      <w:r>
        <w:t>Sun,</w:t>
      </w:r>
      <w:r>
        <w:rPr>
          <w:spacing w:val="-3"/>
        </w:rPr>
        <w:t xml:space="preserve"> </w:t>
      </w:r>
      <w:r>
        <w:t>X.,</w:t>
      </w:r>
      <w:r>
        <w:rPr>
          <w:spacing w:val="-10"/>
        </w:rPr>
        <w:t xml:space="preserve"> </w:t>
      </w:r>
      <w:r>
        <w:t>Wang,</w:t>
      </w:r>
      <w:r>
        <w:rPr>
          <w:spacing w:val="-2"/>
        </w:rPr>
        <w:t xml:space="preserve"> </w:t>
      </w:r>
      <w:r>
        <w:t>X.,</w:t>
      </w:r>
      <w:r>
        <w:rPr>
          <w:spacing w:val="-5"/>
        </w:rPr>
        <w:t xml:space="preserve"> </w:t>
      </w:r>
      <w:r>
        <w:t>Su,</w:t>
      </w:r>
      <w:r>
        <w:rPr>
          <w:spacing w:val="-10"/>
        </w:rPr>
        <w:t xml:space="preserve"> </w:t>
      </w:r>
      <w:r>
        <w:t>W.,</w:t>
      </w:r>
      <w:r>
        <w:rPr>
          <w:spacing w:val="-2"/>
        </w:rPr>
        <w:t xml:space="preserve"> </w:t>
      </w:r>
      <w:r>
        <w:t>&amp;</w:t>
      </w:r>
      <w:r>
        <w:rPr>
          <w:spacing w:val="-3"/>
        </w:rPr>
        <w:t xml:space="preserve"> </w:t>
      </w:r>
      <w:r>
        <w:t>Song,</w:t>
      </w:r>
      <w:r>
        <w:rPr>
          <w:spacing w:val="-2"/>
        </w:rPr>
        <w:t xml:space="preserve"> </w:t>
      </w:r>
      <w:r>
        <w:t>N.</w:t>
      </w:r>
      <w:r>
        <w:rPr>
          <w:spacing w:val="-5"/>
        </w:rPr>
        <w:t xml:space="preserve"> </w:t>
      </w:r>
      <w:r>
        <w:t>(2014)</w:t>
      </w:r>
      <w:r>
        <w:rPr>
          <w:spacing w:val="-15"/>
        </w:rPr>
        <w:t xml:space="preserve"> </w:t>
      </w:r>
      <w:r>
        <w:t>A</w:t>
      </w:r>
      <w:r>
        <w:rPr>
          <w:spacing w:val="-20"/>
        </w:rPr>
        <w:t xml:space="preserve"> </w:t>
      </w:r>
      <w:r>
        <w:t>study</w:t>
      </w:r>
      <w:r>
        <w:rPr>
          <w:spacing w:val="-4"/>
        </w:rPr>
        <w:t xml:space="preserve"> </w:t>
      </w:r>
      <w:r>
        <w:t>on</w:t>
      </w:r>
      <w:r>
        <w:rPr>
          <w:spacing w:val="-7"/>
        </w:rPr>
        <w:t xml:space="preserve"> </w:t>
      </w:r>
      <w:r>
        <w:t>recycling</w:t>
      </w:r>
      <w:r>
        <w:rPr>
          <w:spacing w:val="-7"/>
        </w:rPr>
        <w:t xml:space="preserve"> </w:t>
      </w:r>
      <w:r>
        <w:t>of</w:t>
      </w:r>
      <w:r>
        <w:rPr>
          <w:spacing w:val="-5"/>
        </w:rPr>
        <w:t xml:space="preserve"> </w:t>
      </w:r>
      <w:r>
        <w:t>spent</w:t>
      </w:r>
      <w:r>
        <w:rPr>
          <w:spacing w:val="-52"/>
        </w:rPr>
        <w:t xml:space="preserve"> </w:t>
      </w:r>
      <w:r>
        <w:t>mushroom</w:t>
      </w:r>
      <w:r>
        <w:rPr>
          <w:spacing w:val="7"/>
        </w:rPr>
        <w:t xml:space="preserve"> </w:t>
      </w:r>
      <w:r>
        <w:t>substrate</w:t>
      </w:r>
      <w:r>
        <w:rPr>
          <w:spacing w:val="7"/>
        </w:rPr>
        <w:t xml:space="preserve"> </w:t>
      </w:r>
      <w:r>
        <w:t>to</w:t>
      </w:r>
      <w:r>
        <w:rPr>
          <w:spacing w:val="10"/>
        </w:rPr>
        <w:t xml:space="preserve"> </w:t>
      </w:r>
      <w:r>
        <w:t>prepare</w:t>
      </w:r>
      <w:r>
        <w:rPr>
          <w:spacing w:val="11"/>
        </w:rPr>
        <w:t xml:space="preserve"> </w:t>
      </w:r>
      <w:r>
        <w:t>chars</w:t>
      </w:r>
      <w:r>
        <w:rPr>
          <w:spacing w:val="7"/>
        </w:rPr>
        <w:t xml:space="preserve"> </w:t>
      </w:r>
      <w:r>
        <w:t>and</w:t>
      </w:r>
      <w:r>
        <w:rPr>
          <w:spacing w:val="8"/>
        </w:rPr>
        <w:t xml:space="preserve"> </w:t>
      </w:r>
      <w:r>
        <w:t>activated</w:t>
      </w:r>
      <w:r>
        <w:rPr>
          <w:spacing w:val="11"/>
        </w:rPr>
        <w:t xml:space="preserve"> </w:t>
      </w:r>
      <w:r>
        <w:t>carbon.</w:t>
      </w:r>
      <w:r>
        <w:rPr>
          <w:spacing w:val="15"/>
        </w:rPr>
        <w:t xml:space="preserve"> </w:t>
      </w:r>
      <w:proofErr w:type="spellStart"/>
      <w:r>
        <w:rPr>
          <w:i/>
        </w:rPr>
        <w:t>Bioresour</w:t>
      </w:r>
      <w:proofErr w:type="spellEnd"/>
      <w:r>
        <w:t>.</w:t>
      </w:r>
      <w:r>
        <w:rPr>
          <w:spacing w:val="11"/>
        </w:rPr>
        <w:t xml:space="preserve"> </w:t>
      </w:r>
      <w:r>
        <w:t>9(3):3939–3954.</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Martin, M. C., Georgios, Z., Xiong, S., Georgios, K., &amp; </w:t>
      </w:r>
      <w:proofErr w:type="spellStart"/>
      <w:r>
        <w:rPr>
          <w:rFonts w:ascii="Arial" w:hAnsi="Arial" w:cs="Arial"/>
        </w:rPr>
        <w:t>Strætkvern</w:t>
      </w:r>
      <w:proofErr w:type="spellEnd"/>
      <w:r>
        <w:rPr>
          <w:rFonts w:ascii="Arial" w:hAnsi="Arial" w:cs="Arial"/>
        </w:rPr>
        <w:t>, K. (2023). Spent substrate</w:t>
      </w:r>
      <w:r>
        <w:rPr>
          <w:rFonts w:ascii="Arial" w:hAnsi="Arial" w:cs="Arial"/>
          <w:spacing w:val="1"/>
        </w:rPr>
        <w:t xml:space="preserve"> </w:t>
      </w:r>
      <w:r>
        <w:rPr>
          <w:rFonts w:ascii="Arial" w:hAnsi="Arial" w:cs="Arial"/>
        </w:rPr>
        <w:t>from</w:t>
      </w:r>
      <w:r>
        <w:rPr>
          <w:rFonts w:ascii="Arial" w:hAnsi="Arial" w:cs="Arial"/>
          <w:spacing w:val="1"/>
        </w:rPr>
        <w:t xml:space="preserve"> </w:t>
      </w:r>
      <w:r>
        <w:rPr>
          <w:rFonts w:ascii="Arial" w:hAnsi="Arial" w:cs="Arial"/>
        </w:rPr>
        <w:t>mushroom</w:t>
      </w:r>
      <w:r>
        <w:rPr>
          <w:rFonts w:ascii="Arial" w:hAnsi="Arial" w:cs="Arial"/>
          <w:spacing w:val="1"/>
        </w:rPr>
        <w:t xml:space="preserve"> </w:t>
      </w:r>
      <w:r>
        <w:rPr>
          <w:rFonts w:ascii="Arial" w:hAnsi="Arial" w:cs="Arial"/>
        </w:rPr>
        <w:t>cultivation:</w:t>
      </w:r>
      <w:r>
        <w:rPr>
          <w:rFonts w:ascii="Arial" w:hAnsi="Arial" w:cs="Arial"/>
          <w:spacing w:val="1"/>
        </w:rPr>
        <w:t xml:space="preserve"> </w:t>
      </w:r>
      <w:r>
        <w:rPr>
          <w:rFonts w:ascii="Arial" w:hAnsi="Arial" w:cs="Arial"/>
        </w:rPr>
        <w:t>exploitation</w:t>
      </w:r>
      <w:r>
        <w:rPr>
          <w:rFonts w:ascii="Arial" w:hAnsi="Arial" w:cs="Arial"/>
          <w:spacing w:val="1"/>
        </w:rPr>
        <w:t xml:space="preserve"> </w:t>
      </w:r>
      <w:r>
        <w:rPr>
          <w:rFonts w:ascii="Arial" w:hAnsi="Arial" w:cs="Arial"/>
        </w:rPr>
        <w:t>potential</w:t>
      </w:r>
      <w:r>
        <w:rPr>
          <w:rFonts w:ascii="Arial" w:hAnsi="Arial" w:cs="Arial"/>
          <w:spacing w:val="1"/>
        </w:rPr>
        <w:t xml:space="preserve"> </w:t>
      </w:r>
      <w:r>
        <w:rPr>
          <w:rFonts w:ascii="Arial" w:hAnsi="Arial" w:cs="Arial"/>
        </w:rPr>
        <w:t>toward</w:t>
      </w:r>
      <w:r>
        <w:rPr>
          <w:rFonts w:ascii="Arial" w:hAnsi="Arial" w:cs="Arial"/>
          <w:spacing w:val="1"/>
        </w:rPr>
        <w:t xml:space="preserve"> </w:t>
      </w:r>
      <w:r>
        <w:rPr>
          <w:rFonts w:ascii="Arial" w:hAnsi="Arial" w:cs="Arial"/>
        </w:rPr>
        <w:t>various</w:t>
      </w:r>
      <w:r>
        <w:rPr>
          <w:rFonts w:ascii="Arial" w:hAnsi="Arial" w:cs="Arial"/>
          <w:spacing w:val="1"/>
        </w:rPr>
        <w:t xml:space="preserve"> </w:t>
      </w:r>
      <w:r>
        <w:rPr>
          <w:rFonts w:ascii="Arial" w:hAnsi="Arial" w:cs="Arial"/>
        </w:rPr>
        <w:t>applications</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value-added</w:t>
      </w:r>
      <w:r>
        <w:rPr>
          <w:rFonts w:ascii="Arial" w:hAnsi="Arial" w:cs="Arial"/>
          <w:spacing w:val="2"/>
        </w:rPr>
        <w:t xml:space="preserve"> </w:t>
      </w:r>
      <w:r>
        <w:rPr>
          <w:rFonts w:ascii="Arial" w:hAnsi="Arial" w:cs="Arial"/>
        </w:rPr>
        <w:t>products,</w:t>
      </w:r>
      <w:r>
        <w:rPr>
          <w:rFonts w:ascii="Arial" w:hAnsi="Arial" w:cs="Arial"/>
          <w:spacing w:val="4"/>
        </w:rPr>
        <w:t xml:space="preserve"> </w:t>
      </w:r>
      <w:proofErr w:type="spellStart"/>
      <w:r>
        <w:rPr>
          <w:rFonts w:ascii="Arial" w:hAnsi="Arial" w:cs="Arial"/>
          <w:i/>
        </w:rPr>
        <w:t>Bioeng</w:t>
      </w:r>
      <w:proofErr w:type="spellEnd"/>
      <w:r>
        <w:rPr>
          <w:rFonts w:ascii="Arial" w:hAnsi="Arial" w:cs="Arial"/>
        </w:rPr>
        <w:t>.</w:t>
      </w:r>
      <w:r>
        <w:rPr>
          <w:rFonts w:ascii="Arial" w:hAnsi="Arial" w:cs="Arial"/>
          <w:spacing w:val="2"/>
        </w:rPr>
        <w:t xml:space="preserve"> </w:t>
      </w:r>
      <w:r>
        <w:rPr>
          <w:rFonts w:ascii="Arial" w:hAnsi="Arial" w:cs="Arial"/>
        </w:rPr>
        <w:t>14(1),</w:t>
      </w:r>
      <w:r>
        <w:rPr>
          <w:rFonts w:ascii="Arial" w:hAnsi="Arial" w:cs="Arial"/>
          <w:spacing w:val="3"/>
        </w:rPr>
        <w:t xml:space="preserve"> </w:t>
      </w:r>
      <w:r>
        <w:rPr>
          <w:rFonts w:ascii="Arial" w:hAnsi="Arial" w:cs="Arial"/>
        </w:rPr>
        <w:t>2252138.</w:t>
      </w:r>
    </w:p>
    <w:p>
      <w:pPr>
        <w:pStyle w:val="Body"/>
        <w:spacing w:after="0"/>
        <w:rPr>
          <w:rFonts w:ascii="Arial" w:hAnsi="Arial" w:cs="Arial"/>
        </w:rPr>
      </w:pPr>
    </w:p>
    <w:p>
      <w:pPr>
        <w:pStyle w:val="Body"/>
        <w:spacing w:after="0"/>
        <w:rPr>
          <w:rFonts w:ascii="Arial" w:hAnsi="Arial" w:cs="Arial"/>
          <w:lang w:val="en-IN"/>
        </w:rPr>
      </w:pPr>
      <w:r>
        <w:rPr>
          <w:rFonts w:ascii="Arial" w:hAnsi="Arial" w:cs="Arial"/>
          <w:lang w:val="en-IN"/>
        </w:rPr>
        <w:t>Medina, E., Paredes, C., Bustamante, M. A., Moral, R., &amp; Moreno-</w:t>
      </w:r>
      <w:proofErr w:type="spellStart"/>
      <w:r>
        <w:rPr>
          <w:rFonts w:ascii="Arial" w:hAnsi="Arial" w:cs="Arial"/>
          <w:lang w:val="en-IN"/>
        </w:rPr>
        <w:t>Caselles</w:t>
      </w:r>
      <w:proofErr w:type="spellEnd"/>
      <w:r>
        <w:rPr>
          <w:rFonts w:ascii="Arial" w:hAnsi="Arial" w:cs="Arial"/>
          <w:lang w:val="en-IN"/>
        </w:rPr>
        <w:t xml:space="preserve">, J. (2012). Relationships between soil </w:t>
      </w:r>
      <w:proofErr w:type="spellStart"/>
      <w:r>
        <w:rPr>
          <w:rFonts w:ascii="Arial" w:hAnsi="Arial" w:cs="Arial"/>
          <w:lang w:val="en-IN"/>
        </w:rPr>
        <w:t>physico</w:t>
      </w:r>
      <w:proofErr w:type="spellEnd"/>
      <w:r>
        <w:rPr>
          <w:rFonts w:ascii="Arial" w:hAnsi="Arial" w:cs="Arial"/>
          <w:lang w:val="en-IN"/>
        </w:rPr>
        <w:t xml:space="preserve">-chemical, chemical and biological properties in a soil amended with spent mushroom substrate, </w:t>
      </w:r>
      <w:proofErr w:type="spellStart"/>
      <w:r>
        <w:rPr>
          <w:rFonts w:ascii="Arial" w:hAnsi="Arial" w:cs="Arial"/>
          <w:i/>
          <w:iCs/>
          <w:lang w:val="en-IN"/>
        </w:rPr>
        <w:t>Geoderma</w:t>
      </w:r>
      <w:proofErr w:type="spellEnd"/>
      <w:r>
        <w:rPr>
          <w:rFonts w:ascii="Arial" w:hAnsi="Arial" w:cs="Arial"/>
          <w:lang w:val="en-IN"/>
        </w:rPr>
        <w:t>, 173, 152-161.</w:t>
      </w:r>
    </w:p>
    <w:p>
      <w:pPr>
        <w:pStyle w:val="Body"/>
        <w:spacing w:after="0"/>
        <w:rPr>
          <w:rFonts w:ascii="Arial" w:hAnsi="Arial" w:cs="Arial"/>
        </w:rPr>
      </w:pPr>
    </w:p>
    <w:p>
      <w:pPr>
        <w:pStyle w:val="Body"/>
        <w:spacing w:after="0"/>
        <w:rPr>
          <w:rFonts w:ascii="Arial" w:hAnsi="Arial" w:cs="Arial"/>
          <w:lang w:val="en-IN"/>
        </w:rPr>
      </w:pPr>
      <w:r>
        <w:rPr>
          <w:rFonts w:ascii="Arial" w:hAnsi="Arial" w:cs="Arial"/>
          <w:lang w:val="en-IN"/>
        </w:rPr>
        <w:t xml:space="preserve">Ravlikovsky, A., Pinheiro, M. N. C., Dinca, L., Crisan, V., </w:t>
      </w:r>
      <w:r>
        <w:rPr>
          <w:rFonts w:ascii="Arial" w:hAnsi="Arial" w:cs="Arial"/>
        </w:rPr>
        <w:t xml:space="preserve">&amp; </w:t>
      </w:r>
      <w:proofErr w:type="spellStart"/>
      <w:r>
        <w:rPr>
          <w:rFonts w:ascii="Arial" w:hAnsi="Arial" w:cs="Arial"/>
          <w:lang w:val="en-IN"/>
        </w:rPr>
        <w:t>Symochko</w:t>
      </w:r>
      <w:proofErr w:type="spellEnd"/>
      <w:r>
        <w:rPr>
          <w:rFonts w:ascii="Arial" w:hAnsi="Arial" w:cs="Arial"/>
          <w:lang w:val="en-IN"/>
        </w:rPr>
        <w:t xml:space="preserve">, L. (2024). </w:t>
      </w:r>
      <w:proofErr w:type="spellStart"/>
      <w:r>
        <w:rPr>
          <w:rFonts w:ascii="Arial" w:hAnsi="Arial" w:cs="Arial"/>
          <w:lang w:val="en-IN"/>
        </w:rPr>
        <w:t>Valorization</w:t>
      </w:r>
      <w:proofErr w:type="spellEnd"/>
      <w:r>
        <w:rPr>
          <w:rFonts w:ascii="Arial" w:hAnsi="Arial" w:cs="Arial"/>
          <w:lang w:val="en-IN"/>
        </w:rPr>
        <w:t xml:space="preserve"> of Spent Mushroom Substrate: Establishing the Foundation for Waste-Free Production.</w:t>
      </w:r>
      <w:r>
        <w:rPr>
          <w:rFonts w:ascii="Arial" w:eastAsiaTheme="minorHAnsi" w:hAnsi="Arial" w:cs="Arial"/>
          <w:kern w:val="2"/>
          <w:lang w:val="en-IN"/>
          <w14:ligatures w14:val="standardContextual"/>
        </w:rPr>
        <w:t xml:space="preserve"> </w:t>
      </w:r>
      <w:r>
        <w:rPr>
          <w:rFonts w:ascii="Arial" w:eastAsiaTheme="minorHAnsi" w:hAnsi="Arial" w:cs="Arial"/>
          <w:i/>
          <w:iCs/>
          <w:kern w:val="2"/>
          <w:lang w:val="en-IN"/>
          <w14:ligatures w14:val="standardContextual"/>
        </w:rPr>
        <w:t>Recycling</w:t>
      </w:r>
      <w:r>
        <w:rPr>
          <w:rFonts w:ascii="Arial" w:eastAsiaTheme="minorHAnsi" w:hAnsi="Arial" w:cs="Arial"/>
          <w:kern w:val="2"/>
          <w:lang w:val="en-IN"/>
          <w14:ligatures w14:val="standardContextual"/>
        </w:rPr>
        <w:t xml:space="preserve">, </w:t>
      </w:r>
      <w:r>
        <w:rPr>
          <w:rFonts w:ascii="Arial" w:hAnsi="Arial" w:cs="Arial"/>
          <w:lang w:val="en-IN"/>
        </w:rPr>
        <w:t>9(3), 44.</w:t>
      </w:r>
    </w:p>
    <w:p>
      <w:pPr>
        <w:pStyle w:val="Body"/>
        <w:spacing w:after="0"/>
        <w:rPr>
          <w:rFonts w:ascii="Arial" w:hAnsi="Arial" w:cs="Arial"/>
          <w:lang w:val="en-IN"/>
        </w:rPr>
      </w:pPr>
    </w:p>
    <w:p>
      <w:pPr>
        <w:pStyle w:val="Body"/>
        <w:spacing w:after="0"/>
        <w:rPr>
          <w:rFonts w:ascii="Arial" w:hAnsi="Arial" w:cs="Arial"/>
          <w:lang w:val="en-IN"/>
        </w:rPr>
      </w:pPr>
      <w:r>
        <w:rPr>
          <w:rFonts w:ascii="Arial" w:hAnsi="Arial" w:cs="Arial"/>
          <w:lang w:val="en-IN"/>
        </w:rPr>
        <w:t xml:space="preserve">Roig A., Lax, A., </w:t>
      </w:r>
      <w:proofErr w:type="spellStart"/>
      <w:r>
        <w:rPr>
          <w:rFonts w:ascii="Arial" w:hAnsi="Arial" w:cs="Arial"/>
          <w:lang w:val="en-IN"/>
        </w:rPr>
        <w:t>Ceggara</w:t>
      </w:r>
      <w:proofErr w:type="spellEnd"/>
      <w:r>
        <w:rPr>
          <w:rFonts w:ascii="Arial" w:hAnsi="Arial" w:cs="Arial"/>
          <w:lang w:val="en-IN"/>
        </w:rPr>
        <w:t xml:space="preserve">, J., Costa, P., &amp; Hernandez, M. T. (1988). Cation exchange capacity as a parameter for measuring the humification degree of manures. </w:t>
      </w:r>
      <w:r>
        <w:rPr>
          <w:rFonts w:ascii="Arial" w:hAnsi="Arial" w:cs="Arial"/>
          <w:i/>
          <w:iCs/>
          <w:lang w:val="en-IN"/>
        </w:rPr>
        <w:t>Soil Sci</w:t>
      </w:r>
      <w:r>
        <w:rPr>
          <w:rFonts w:ascii="Arial" w:hAnsi="Arial" w:cs="Arial"/>
          <w:lang w:val="en-IN"/>
        </w:rPr>
        <w:t>. 146(5), 331-316.</w:t>
      </w:r>
    </w:p>
    <w:p>
      <w:pPr>
        <w:pStyle w:val="Body"/>
        <w:spacing w:after="0"/>
        <w:rPr>
          <w:rFonts w:ascii="Arial" w:hAnsi="Arial" w:cs="Arial"/>
          <w:lang w:val="en-IN"/>
        </w:rPr>
      </w:pPr>
    </w:p>
    <w:p>
      <w:pPr>
        <w:pStyle w:val="Body"/>
        <w:spacing w:after="0"/>
        <w:rPr>
          <w:rFonts w:ascii="Arial" w:hAnsi="Arial" w:cs="Arial"/>
          <w:lang w:val="en-IN"/>
        </w:rPr>
      </w:pPr>
      <w:r>
        <w:rPr>
          <w:rFonts w:ascii="Arial" w:hAnsi="Arial" w:cs="Arial"/>
        </w:rPr>
        <w:lastRenderedPageBreak/>
        <w:t>Roshna,</w:t>
      </w:r>
      <w:r>
        <w:rPr>
          <w:rFonts w:ascii="Arial" w:hAnsi="Arial" w:cs="Arial"/>
          <w:spacing w:val="5"/>
        </w:rPr>
        <w:t xml:space="preserve"> </w:t>
      </w:r>
      <w:r>
        <w:rPr>
          <w:rFonts w:ascii="Arial" w:hAnsi="Arial" w:cs="Arial"/>
        </w:rPr>
        <w:t>S.</w:t>
      </w:r>
      <w:r>
        <w:rPr>
          <w:rFonts w:ascii="Arial" w:hAnsi="Arial" w:cs="Arial"/>
          <w:spacing w:val="5"/>
        </w:rPr>
        <w:t xml:space="preserve"> </w:t>
      </w:r>
      <w:r>
        <w:rPr>
          <w:rFonts w:ascii="Arial" w:hAnsi="Arial" w:cs="Arial"/>
        </w:rPr>
        <w:t>2013.</w:t>
      </w:r>
      <w:r>
        <w:rPr>
          <w:rFonts w:ascii="Arial" w:hAnsi="Arial" w:cs="Arial"/>
          <w:spacing w:val="3"/>
        </w:rPr>
        <w:t xml:space="preserve"> </w:t>
      </w:r>
      <w:r>
        <w:rPr>
          <w:rFonts w:ascii="Arial" w:hAnsi="Arial" w:cs="Arial"/>
        </w:rPr>
        <w:t>Potential</w:t>
      </w:r>
      <w:r>
        <w:rPr>
          <w:rFonts w:ascii="Arial" w:hAnsi="Arial" w:cs="Arial"/>
          <w:spacing w:val="5"/>
        </w:rPr>
        <w:t xml:space="preserve"> </w:t>
      </w:r>
      <w:r>
        <w:rPr>
          <w:rFonts w:ascii="Arial" w:hAnsi="Arial" w:cs="Arial"/>
        </w:rPr>
        <w:t>of</w:t>
      </w:r>
      <w:r>
        <w:rPr>
          <w:rFonts w:ascii="Arial" w:hAnsi="Arial" w:cs="Arial"/>
          <w:spacing w:val="5"/>
        </w:rPr>
        <w:t xml:space="preserve"> </w:t>
      </w:r>
      <w:r>
        <w:rPr>
          <w:rFonts w:ascii="Arial" w:hAnsi="Arial" w:cs="Arial"/>
        </w:rPr>
        <w:t>spent</w:t>
      </w:r>
      <w:r>
        <w:rPr>
          <w:rFonts w:ascii="Arial" w:hAnsi="Arial" w:cs="Arial"/>
          <w:spacing w:val="5"/>
        </w:rPr>
        <w:t xml:space="preserve"> </w:t>
      </w:r>
      <w:r>
        <w:rPr>
          <w:rFonts w:ascii="Arial" w:hAnsi="Arial" w:cs="Arial"/>
        </w:rPr>
        <w:t>mushroom</w:t>
      </w:r>
      <w:r>
        <w:rPr>
          <w:rFonts w:ascii="Arial" w:hAnsi="Arial" w:cs="Arial"/>
          <w:spacing w:val="5"/>
        </w:rPr>
        <w:t xml:space="preserve"> </w:t>
      </w:r>
      <w:r>
        <w:rPr>
          <w:rFonts w:ascii="Arial" w:hAnsi="Arial" w:cs="Arial"/>
        </w:rPr>
        <w:t>substrate</w:t>
      </w:r>
      <w:r>
        <w:rPr>
          <w:rFonts w:ascii="Arial" w:hAnsi="Arial" w:cs="Arial"/>
          <w:spacing w:val="3"/>
        </w:rPr>
        <w:t xml:space="preserve"> </w:t>
      </w:r>
      <w:r>
        <w:rPr>
          <w:rFonts w:ascii="Arial" w:hAnsi="Arial" w:cs="Arial"/>
        </w:rPr>
        <w:t>for</w:t>
      </w:r>
      <w:r>
        <w:rPr>
          <w:rFonts w:ascii="Arial" w:hAnsi="Arial" w:cs="Arial"/>
          <w:spacing w:val="7"/>
        </w:rPr>
        <w:t xml:space="preserve"> </w:t>
      </w:r>
      <w:r>
        <w:rPr>
          <w:rFonts w:ascii="Arial" w:hAnsi="Arial" w:cs="Arial"/>
        </w:rPr>
        <w:t>the</w:t>
      </w:r>
      <w:r>
        <w:rPr>
          <w:rFonts w:ascii="Arial" w:hAnsi="Arial" w:cs="Arial"/>
          <w:spacing w:val="5"/>
        </w:rPr>
        <w:t xml:space="preserve"> </w:t>
      </w:r>
      <w:r>
        <w:rPr>
          <w:rFonts w:ascii="Arial" w:hAnsi="Arial" w:cs="Arial"/>
        </w:rPr>
        <w:t>management</w:t>
      </w:r>
      <w:r>
        <w:rPr>
          <w:rFonts w:ascii="Arial" w:hAnsi="Arial" w:cs="Arial"/>
          <w:spacing w:val="9"/>
        </w:rPr>
        <w:t xml:space="preserve"> </w:t>
      </w:r>
      <w:r>
        <w:rPr>
          <w:rFonts w:ascii="Arial" w:hAnsi="Arial" w:cs="Arial"/>
        </w:rPr>
        <w:t>of</w:t>
      </w:r>
      <w:r>
        <w:rPr>
          <w:rFonts w:ascii="Arial" w:hAnsi="Arial" w:cs="Arial"/>
          <w:spacing w:val="5"/>
        </w:rPr>
        <w:t xml:space="preserve"> </w:t>
      </w:r>
      <w:r>
        <w:rPr>
          <w:rFonts w:ascii="Arial" w:hAnsi="Arial" w:cs="Arial"/>
        </w:rPr>
        <w:t>nursery</w:t>
      </w:r>
      <w:r>
        <w:rPr>
          <w:rFonts w:ascii="Arial" w:hAnsi="Arial" w:cs="Arial"/>
          <w:spacing w:val="8"/>
        </w:rPr>
        <w:t xml:space="preserve"> </w:t>
      </w:r>
      <w:r>
        <w:rPr>
          <w:rFonts w:ascii="Arial" w:hAnsi="Arial" w:cs="Arial"/>
        </w:rPr>
        <w:t>disease</w:t>
      </w:r>
      <w:r>
        <w:rPr>
          <w:rFonts w:ascii="Arial" w:hAnsi="Arial" w:cs="Arial"/>
          <w:spacing w:val="-52"/>
        </w:rPr>
        <w:t xml:space="preserve"> </w:t>
      </w:r>
      <w:r>
        <w:rPr>
          <w:rFonts w:ascii="Arial" w:hAnsi="Arial" w:cs="Arial"/>
        </w:rPr>
        <w:t>of</w:t>
      </w:r>
      <w:r>
        <w:rPr>
          <w:rFonts w:ascii="Arial" w:hAnsi="Arial" w:cs="Arial"/>
          <w:spacing w:val="4"/>
        </w:rPr>
        <w:t xml:space="preserve"> </w:t>
      </w:r>
      <w:r>
        <w:rPr>
          <w:rFonts w:ascii="Arial" w:hAnsi="Arial" w:cs="Arial"/>
        </w:rPr>
        <w:t>black</w:t>
      </w:r>
      <w:r>
        <w:rPr>
          <w:rFonts w:ascii="Arial" w:hAnsi="Arial" w:cs="Arial"/>
          <w:spacing w:val="7"/>
        </w:rPr>
        <w:t xml:space="preserve"> </w:t>
      </w:r>
      <w:r>
        <w:rPr>
          <w:rFonts w:ascii="Arial" w:hAnsi="Arial" w:cs="Arial"/>
        </w:rPr>
        <w:t>pepper.</w:t>
      </w:r>
      <w:r>
        <w:rPr>
          <w:rFonts w:ascii="Arial" w:hAnsi="Arial" w:cs="Arial"/>
          <w:spacing w:val="8"/>
        </w:rPr>
        <w:t xml:space="preserve"> </w:t>
      </w:r>
      <w:r>
        <w:rPr>
          <w:rFonts w:ascii="Arial" w:hAnsi="Arial" w:cs="Arial"/>
        </w:rPr>
        <w:t>MSc.</w:t>
      </w:r>
      <w:r>
        <w:rPr>
          <w:rFonts w:ascii="Arial" w:hAnsi="Arial" w:cs="Arial"/>
          <w:spacing w:val="7"/>
        </w:rPr>
        <w:t xml:space="preserve"> </w:t>
      </w:r>
      <w:r>
        <w:rPr>
          <w:rFonts w:ascii="Arial" w:hAnsi="Arial" w:cs="Arial"/>
        </w:rPr>
        <w:t>(Ag)</w:t>
      </w:r>
      <w:r>
        <w:rPr>
          <w:rFonts w:ascii="Arial" w:hAnsi="Arial" w:cs="Arial"/>
          <w:spacing w:val="5"/>
        </w:rPr>
        <w:t xml:space="preserve"> </w:t>
      </w:r>
      <w:r>
        <w:rPr>
          <w:rFonts w:ascii="Arial" w:hAnsi="Arial" w:cs="Arial"/>
        </w:rPr>
        <w:t>thesis,</w:t>
      </w:r>
      <w:r>
        <w:rPr>
          <w:rFonts w:ascii="Arial" w:hAnsi="Arial" w:cs="Arial"/>
          <w:spacing w:val="7"/>
        </w:rPr>
        <w:t xml:space="preserve"> </w:t>
      </w:r>
      <w:r>
        <w:rPr>
          <w:rFonts w:ascii="Arial" w:hAnsi="Arial" w:cs="Arial"/>
        </w:rPr>
        <w:t>Kerala</w:t>
      </w:r>
      <w:r>
        <w:rPr>
          <w:rFonts w:ascii="Arial" w:hAnsi="Arial" w:cs="Arial"/>
          <w:spacing w:val="-9"/>
        </w:rPr>
        <w:t xml:space="preserve"> </w:t>
      </w:r>
      <w:r>
        <w:rPr>
          <w:rFonts w:ascii="Arial" w:hAnsi="Arial" w:cs="Arial"/>
        </w:rPr>
        <w:t>Agriculture</w:t>
      </w:r>
      <w:r>
        <w:rPr>
          <w:rFonts w:ascii="Arial" w:hAnsi="Arial" w:cs="Arial"/>
          <w:spacing w:val="6"/>
        </w:rPr>
        <w:t xml:space="preserve"> </w:t>
      </w:r>
      <w:r>
        <w:rPr>
          <w:rFonts w:ascii="Arial" w:hAnsi="Arial" w:cs="Arial"/>
        </w:rPr>
        <w:t>University,</w:t>
      </w:r>
      <w:r>
        <w:rPr>
          <w:rFonts w:ascii="Arial" w:hAnsi="Arial" w:cs="Arial"/>
          <w:spacing w:val="2"/>
        </w:rPr>
        <w:t xml:space="preserve"> </w:t>
      </w:r>
      <w:r>
        <w:rPr>
          <w:rFonts w:ascii="Arial" w:hAnsi="Arial" w:cs="Arial"/>
        </w:rPr>
        <w:t>Thrissur.</w:t>
      </w:r>
      <w:r>
        <w:rPr>
          <w:rFonts w:ascii="Arial" w:hAnsi="Arial" w:cs="Arial"/>
          <w:spacing w:val="7"/>
        </w:rPr>
        <w:t xml:space="preserve"> </w:t>
      </w:r>
      <w:r>
        <w:rPr>
          <w:rFonts w:ascii="Arial" w:hAnsi="Arial" w:cs="Arial"/>
        </w:rPr>
        <w:t>215p</w:t>
      </w:r>
      <w:r>
        <w:rPr>
          <w:sz w:val="24"/>
          <w:szCs w:val="24"/>
        </w:rPr>
        <w:t>.</w:t>
      </w:r>
    </w:p>
    <w:p>
      <w:pPr>
        <w:pStyle w:val="Body"/>
        <w:spacing w:after="0"/>
        <w:rPr>
          <w:rFonts w:ascii="Arial" w:hAnsi="Arial" w:cs="Arial"/>
          <w:lang w:val="en-IN"/>
        </w:rPr>
      </w:pPr>
    </w:p>
    <w:p>
      <w:pPr>
        <w:pStyle w:val="Body"/>
        <w:spacing w:after="0"/>
        <w:rPr>
          <w:rFonts w:ascii="Arial" w:hAnsi="Arial" w:cs="Arial"/>
          <w:lang w:val="en-IN"/>
        </w:rPr>
      </w:pPr>
      <w:r>
        <w:rPr>
          <w:rFonts w:ascii="Arial" w:hAnsi="Arial" w:cs="Arial"/>
        </w:rPr>
        <w:t>Roy,</w:t>
      </w:r>
      <w:r>
        <w:rPr>
          <w:rFonts w:ascii="Arial" w:hAnsi="Arial" w:cs="Arial"/>
          <w:spacing w:val="25"/>
        </w:rPr>
        <w:t xml:space="preserve"> </w:t>
      </w:r>
      <w:r>
        <w:rPr>
          <w:rFonts w:ascii="Arial" w:hAnsi="Arial" w:cs="Arial"/>
        </w:rPr>
        <w:t>S.,</w:t>
      </w:r>
      <w:r>
        <w:rPr>
          <w:rFonts w:ascii="Arial" w:hAnsi="Arial" w:cs="Arial"/>
          <w:spacing w:val="20"/>
        </w:rPr>
        <w:t xml:space="preserve"> </w:t>
      </w:r>
      <w:r>
        <w:rPr>
          <w:rFonts w:ascii="Arial" w:hAnsi="Arial" w:cs="Arial"/>
        </w:rPr>
        <w:t>Barman,</w:t>
      </w:r>
      <w:r>
        <w:rPr>
          <w:rFonts w:ascii="Arial" w:hAnsi="Arial" w:cs="Arial"/>
          <w:spacing w:val="20"/>
        </w:rPr>
        <w:t xml:space="preserve"> </w:t>
      </w:r>
      <w:r>
        <w:rPr>
          <w:rFonts w:ascii="Arial" w:hAnsi="Arial" w:cs="Arial"/>
        </w:rPr>
        <w:t>S.,</w:t>
      </w:r>
      <w:r>
        <w:rPr>
          <w:rFonts w:ascii="Arial" w:hAnsi="Arial" w:cs="Arial"/>
          <w:spacing w:val="25"/>
        </w:rPr>
        <w:t xml:space="preserve"> </w:t>
      </w:r>
      <w:r>
        <w:rPr>
          <w:rFonts w:ascii="Arial" w:hAnsi="Arial" w:cs="Arial"/>
        </w:rPr>
        <w:t>Chakraborty,</w:t>
      </w:r>
      <w:r>
        <w:rPr>
          <w:rFonts w:ascii="Arial" w:hAnsi="Arial" w:cs="Arial"/>
          <w:spacing w:val="22"/>
        </w:rPr>
        <w:t xml:space="preserve"> </w:t>
      </w:r>
      <w:r>
        <w:rPr>
          <w:rFonts w:ascii="Arial" w:hAnsi="Arial" w:cs="Arial"/>
        </w:rPr>
        <w:t>U.,</w:t>
      </w:r>
      <w:r>
        <w:rPr>
          <w:rFonts w:ascii="Arial" w:hAnsi="Arial" w:cs="Arial"/>
          <w:spacing w:val="25"/>
        </w:rPr>
        <w:t xml:space="preserve"> </w:t>
      </w:r>
      <w:r>
        <w:rPr>
          <w:rFonts w:ascii="Arial" w:hAnsi="Arial" w:cs="Arial"/>
        </w:rPr>
        <w:t>&amp; Chakraborty,</w:t>
      </w:r>
      <w:r>
        <w:rPr>
          <w:rFonts w:ascii="Arial" w:hAnsi="Arial" w:cs="Arial"/>
          <w:spacing w:val="22"/>
        </w:rPr>
        <w:t xml:space="preserve"> </w:t>
      </w:r>
      <w:r>
        <w:rPr>
          <w:rFonts w:ascii="Arial" w:hAnsi="Arial" w:cs="Arial"/>
        </w:rPr>
        <w:t>B.</w:t>
      </w:r>
      <w:r>
        <w:rPr>
          <w:rFonts w:ascii="Arial" w:hAnsi="Arial" w:cs="Arial"/>
          <w:spacing w:val="22"/>
        </w:rPr>
        <w:t xml:space="preserve"> (</w:t>
      </w:r>
      <w:r>
        <w:rPr>
          <w:rFonts w:ascii="Arial" w:hAnsi="Arial" w:cs="Arial"/>
        </w:rPr>
        <w:t>2015).</w:t>
      </w:r>
      <w:r>
        <w:rPr>
          <w:rFonts w:ascii="Arial" w:hAnsi="Arial" w:cs="Arial"/>
          <w:spacing w:val="25"/>
        </w:rPr>
        <w:t xml:space="preserve"> </w:t>
      </w:r>
      <w:r>
        <w:rPr>
          <w:rFonts w:ascii="Arial" w:hAnsi="Arial" w:cs="Arial"/>
        </w:rPr>
        <w:t>Evaluation</w:t>
      </w:r>
      <w:r>
        <w:rPr>
          <w:rFonts w:ascii="Arial" w:hAnsi="Arial" w:cs="Arial"/>
          <w:spacing w:val="20"/>
        </w:rPr>
        <w:t xml:space="preserve"> </w:t>
      </w:r>
      <w:r>
        <w:rPr>
          <w:rFonts w:ascii="Arial" w:hAnsi="Arial" w:cs="Arial"/>
        </w:rPr>
        <w:t>of</w:t>
      </w:r>
      <w:r>
        <w:rPr>
          <w:rFonts w:ascii="Arial" w:hAnsi="Arial" w:cs="Arial"/>
          <w:spacing w:val="22"/>
        </w:rPr>
        <w:t xml:space="preserve"> </w:t>
      </w:r>
      <w:r>
        <w:rPr>
          <w:rFonts w:ascii="Arial" w:hAnsi="Arial" w:cs="Arial"/>
        </w:rPr>
        <w:t>Spent</w:t>
      </w:r>
      <w:r>
        <w:rPr>
          <w:rFonts w:ascii="Arial" w:hAnsi="Arial" w:cs="Arial"/>
          <w:spacing w:val="-52"/>
        </w:rPr>
        <w:t xml:space="preserve"> </w:t>
      </w:r>
      <w:r>
        <w:rPr>
          <w:rFonts w:ascii="Arial" w:hAnsi="Arial" w:cs="Arial"/>
        </w:rPr>
        <w:t>Mushroom</w:t>
      </w:r>
      <w:r>
        <w:rPr>
          <w:rFonts w:ascii="Arial" w:hAnsi="Arial" w:cs="Arial"/>
          <w:spacing w:val="19"/>
        </w:rPr>
        <w:t xml:space="preserve"> </w:t>
      </w:r>
      <w:r>
        <w:rPr>
          <w:rFonts w:ascii="Arial" w:hAnsi="Arial" w:cs="Arial"/>
        </w:rPr>
        <w:t>Substrate</w:t>
      </w:r>
      <w:r>
        <w:rPr>
          <w:rFonts w:ascii="Arial" w:hAnsi="Arial" w:cs="Arial"/>
          <w:spacing w:val="18"/>
        </w:rPr>
        <w:t xml:space="preserve"> </w:t>
      </w:r>
      <w:r>
        <w:rPr>
          <w:rFonts w:ascii="Arial" w:hAnsi="Arial" w:cs="Arial"/>
        </w:rPr>
        <w:t>as</w:t>
      </w:r>
      <w:r>
        <w:rPr>
          <w:rFonts w:ascii="Arial" w:hAnsi="Arial" w:cs="Arial"/>
          <w:spacing w:val="15"/>
        </w:rPr>
        <w:t xml:space="preserve"> </w:t>
      </w:r>
      <w:r>
        <w:rPr>
          <w:rFonts w:ascii="Arial" w:hAnsi="Arial" w:cs="Arial"/>
        </w:rPr>
        <w:t>biofertilizer</w:t>
      </w:r>
      <w:r>
        <w:rPr>
          <w:rFonts w:ascii="Arial" w:hAnsi="Arial" w:cs="Arial"/>
          <w:spacing w:val="21"/>
        </w:rPr>
        <w:t xml:space="preserve"> </w:t>
      </w:r>
      <w:r>
        <w:rPr>
          <w:rFonts w:ascii="Arial" w:hAnsi="Arial" w:cs="Arial"/>
        </w:rPr>
        <w:t>for</w:t>
      </w:r>
      <w:r>
        <w:rPr>
          <w:rFonts w:ascii="Arial" w:hAnsi="Arial" w:cs="Arial"/>
          <w:spacing w:val="21"/>
        </w:rPr>
        <w:t xml:space="preserve"> </w:t>
      </w:r>
      <w:r>
        <w:rPr>
          <w:rFonts w:ascii="Arial" w:hAnsi="Arial" w:cs="Arial"/>
        </w:rPr>
        <w:t>growth</w:t>
      </w:r>
      <w:r>
        <w:rPr>
          <w:rFonts w:ascii="Arial" w:hAnsi="Arial" w:cs="Arial"/>
          <w:spacing w:val="18"/>
        </w:rPr>
        <w:t xml:space="preserve"> </w:t>
      </w:r>
      <w:r>
        <w:rPr>
          <w:rFonts w:ascii="Arial" w:hAnsi="Arial" w:cs="Arial"/>
        </w:rPr>
        <w:t>improvement</w:t>
      </w:r>
      <w:r>
        <w:rPr>
          <w:rFonts w:ascii="Arial" w:hAnsi="Arial" w:cs="Arial"/>
          <w:spacing w:val="19"/>
        </w:rPr>
        <w:t xml:space="preserve"> </w:t>
      </w:r>
      <w:r>
        <w:rPr>
          <w:rFonts w:ascii="Arial" w:hAnsi="Arial" w:cs="Arial"/>
        </w:rPr>
        <w:t>of</w:t>
      </w:r>
      <w:r>
        <w:rPr>
          <w:rFonts w:ascii="Arial" w:hAnsi="Arial" w:cs="Arial"/>
          <w:spacing w:val="27"/>
        </w:rPr>
        <w:t xml:space="preserve"> </w:t>
      </w:r>
      <w:r>
        <w:rPr>
          <w:rFonts w:ascii="Arial" w:hAnsi="Arial" w:cs="Arial"/>
          <w:i/>
        </w:rPr>
        <w:t>Capsicum</w:t>
      </w:r>
      <w:r>
        <w:rPr>
          <w:rFonts w:ascii="Arial" w:hAnsi="Arial" w:cs="Arial"/>
          <w:i/>
          <w:spacing w:val="18"/>
        </w:rPr>
        <w:t xml:space="preserve"> </w:t>
      </w:r>
      <w:r>
        <w:rPr>
          <w:rFonts w:ascii="Arial" w:hAnsi="Arial" w:cs="Arial"/>
          <w:i/>
        </w:rPr>
        <w:t>annuum</w:t>
      </w:r>
      <w:r>
        <w:rPr>
          <w:rFonts w:ascii="Arial" w:hAnsi="Arial" w:cs="Arial"/>
          <w:i/>
          <w:spacing w:val="23"/>
        </w:rPr>
        <w:t xml:space="preserve"> </w:t>
      </w:r>
      <w:r>
        <w:rPr>
          <w:rFonts w:ascii="Arial" w:hAnsi="Arial" w:cs="Arial"/>
        </w:rPr>
        <w:t xml:space="preserve">L. </w:t>
      </w:r>
      <w:r>
        <w:rPr>
          <w:rFonts w:ascii="Arial" w:hAnsi="Arial" w:cs="Arial"/>
          <w:i/>
        </w:rPr>
        <w:t>J.</w:t>
      </w:r>
      <w:r>
        <w:rPr>
          <w:rFonts w:ascii="Arial" w:hAnsi="Arial" w:cs="Arial"/>
          <w:i/>
          <w:spacing w:val="2"/>
        </w:rPr>
        <w:t xml:space="preserve"> </w:t>
      </w:r>
      <w:r>
        <w:rPr>
          <w:rFonts w:ascii="Arial" w:hAnsi="Arial" w:cs="Arial"/>
          <w:i/>
        </w:rPr>
        <w:t>Appl.</w:t>
      </w:r>
      <w:r>
        <w:rPr>
          <w:rFonts w:ascii="Arial" w:hAnsi="Arial" w:cs="Arial"/>
          <w:i/>
          <w:spacing w:val="11"/>
        </w:rPr>
        <w:t xml:space="preserve"> </w:t>
      </w:r>
      <w:r>
        <w:rPr>
          <w:rFonts w:ascii="Arial" w:hAnsi="Arial" w:cs="Arial"/>
          <w:i/>
        </w:rPr>
        <w:t>Biol</w:t>
      </w:r>
      <w:r>
        <w:rPr>
          <w:rFonts w:ascii="Arial" w:hAnsi="Arial" w:cs="Arial"/>
          <w:i/>
          <w:spacing w:val="15"/>
        </w:rPr>
        <w:t xml:space="preserve"> </w:t>
      </w:r>
      <w:r>
        <w:rPr>
          <w:rFonts w:ascii="Arial" w:hAnsi="Arial" w:cs="Arial"/>
          <w:i/>
        </w:rPr>
        <w:t>&amp;</w:t>
      </w:r>
      <w:r>
        <w:rPr>
          <w:rFonts w:ascii="Arial" w:hAnsi="Arial" w:cs="Arial"/>
          <w:i/>
          <w:spacing w:val="11"/>
        </w:rPr>
        <w:t xml:space="preserve"> </w:t>
      </w:r>
      <w:proofErr w:type="spellStart"/>
      <w:r>
        <w:rPr>
          <w:rFonts w:ascii="Arial" w:hAnsi="Arial" w:cs="Arial"/>
          <w:i/>
        </w:rPr>
        <w:t>Biotechnol</w:t>
      </w:r>
      <w:proofErr w:type="spellEnd"/>
      <w:r>
        <w:rPr>
          <w:rFonts w:ascii="Arial" w:hAnsi="Arial" w:cs="Arial"/>
          <w:i/>
        </w:rPr>
        <w:t>.</w:t>
      </w:r>
      <w:r>
        <w:rPr>
          <w:rFonts w:ascii="Arial" w:hAnsi="Arial" w:cs="Arial"/>
          <w:i/>
          <w:spacing w:val="14"/>
        </w:rPr>
        <w:t xml:space="preserve"> </w:t>
      </w:r>
      <w:r>
        <w:rPr>
          <w:rFonts w:ascii="Arial" w:hAnsi="Arial" w:cs="Arial"/>
        </w:rPr>
        <w:t>3(3),</w:t>
      </w:r>
      <w:r>
        <w:rPr>
          <w:rFonts w:ascii="Arial" w:hAnsi="Arial" w:cs="Arial"/>
          <w:spacing w:val="11"/>
        </w:rPr>
        <w:t xml:space="preserve"> </w:t>
      </w:r>
      <w:r>
        <w:rPr>
          <w:rFonts w:ascii="Arial" w:hAnsi="Arial" w:cs="Arial"/>
        </w:rPr>
        <w:t>22-27.</w:t>
      </w:r>
    </w:p>
    <w:p>
      <w:pPr>
        <w:pStyle w:val="Body"/>
        <w:spacing w:after="0"/>
        <w:rPr>
          <w:rFonts w:ascii="Arial" w:hAnsi="Arial" w:cs="Arial"/>
          <w:lang w:val="en-IN"/>
        </w:rPr>
      </w:pPr>
    </w:p>
    <w:p>
      <w:pPr>
        <w:pStyle w:val="Body"/>
        <w:spacing w:after="0"/>
        <w:rPr>
          <w:rFonts w:ascii="Arial" w:hAnsi="Arial" w:cs="Arial"/>
          <w:lang w:val="en-IN"/>
        </w:rPr>
      </w:pPr>
      <w:r>
        <w:rPr>
          <w:rFonts w:ascii="Arial" w:hAnsi="Arial" w:cs="Arial"/>
        </w:rPr>
        <w:t xml:space="preserve">Wang, D., Luo, W.-Z., Zhang, D.-D., Li, R., Kong, Z., Song, J.-Q., Dai, X., Alkan, N., &amp; Chen, J. (2023). Insights into the Biocontrol Function of a </w:t>
      </w:r>
      <w:proofErr w:type="spellStart"/>
      <w:r>
        <w:rPr>
          <w:rFonts w:ascii="Arial" w:hAnsi="Arial" w:cs="Arial"/>
          <w:i/>
          <w:iCs/>
        </w:rPr>
        <w:t>Burkholderia</w:t>
      </w:r>
      <w:proofErr w:type="spellEnd"/>
      <w:r>
        <w:rPr>
          <w:rFonts w:ascii="Arial" w:hAnsi="Arial" w:cs="Arial"/>
          <w:i/>
          <w:iCs/>
        </w:rPr>
        <w:t xml:space="preserve"> gladioli</w:t>
      </w:r>
      <w:r>
        <w:rPr>
          <w:rFonts w:ascii="Arial" w:hAnsi="Arial" w:cs="Arial"/>
        </w:rPr>
        <w:t xml:space="preserve"> Strain against </w:t>
      </w:r>
      <w:r>
        <w:rPr>
          <w:rFonts w:ascii="Arial" w:hAnsi="Arial" w:cs="Arial"/>
          <w:i/>
          <w:iCs/>
        </w:rPr>
        <w:t>Botrytis cinerea.</w:t>
      </w:r>
      <w:r>
        <w:rPr>
          <w:rFonts w:ascii="Arial" w:hAnsi="Arial" w:cs="Arial"/>
        </w:rPr>
        <w:t> </w:t>
      </w:r>
      <w:r>
        <w:rPr>
          <w:rFonts w:ascii="Arial" w:hAnsi="Arial" w:cs="Arial"/>
          <w:i/>
          <w:iCs/>
        </w:rPr>
        <w:t>Microbiology Spectrum</w:t>
      </w:r>
      <w:r>
        <w:rPr>
          <w:rFonts w:ascii="Arial" w:hAnsi="Arial" w:cs="Arial"/>
        </w:rPr>
        <w:t>, 11(2). https://doi.org/10.1128/spectrum.04805-22</w:t>
      </w:r>
    </w:p>
    <w:p>
      <w:pPr>
        <w:pStyle w:val="Appendix"/>
        <w:spacing w:after="0"/>
        <w:jc w:val="both"/>
        <w:rPr>
          <w:rFonts w:ascii="Arial" w:hAnsi="Arial" w:cs="Arial"/>
          <w:b w:val="0"/>
        </w:rPr>
        <w:sectPr>
          <w:footerReference w:type="default" r:id="rId17"/>
          <w:type w:val="continuous"/>
          <w:pgSz w:w="12240" w:h="15840"/>
          <w:pgMar w:top="1440" w:right="2016" w:bottom="2016" w:left="2016" w:header="720" w:footer="1123" w:gutter="0"/>
          <w:cols w:space="720"/>
          <w:docGrid w:linePitch="272"/>
        </w:sectPr>
      </w:pPr>
    </w:p>
    <w:p>
      <w:pPr>
        <w:pStyle w:val="Appendix"/>
        <w:spacing w:after="0"/>
        <w:jc w:val="both"/>
        <w:rPr>
          <w:rFonts w:ascii="Arial" w:hAnsi="Arial" w:cs="Arial"/>
          <w:b w:val="0"/>
        </w:rPr>
      </w:pPr>
    </w:p>
    <w:sectPr>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ogle Sans Text">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rFonts w:ascii="Arial" w:hAnsi="Arial" w:cs="Arial"/>
        <w:sz w:val="16"/>
      </w:rPr>
    </w:pPr>
  </w:p>
  <w:p>
    <w:pPr>
      <w:pStyle w:val="Footer"/>
      <w:jc w:val="center"/>
      <w:rPr>
        <w:rFonts w:ascii="Arial" w:hAnsi="Arial" w:cs="Arial"/>
        <w:sz w:val="16"/>
      </w:rPr>
    </w:pPr>
    <w:r>
      <w:rPr>
        <w:rFonts w:ascii="Arial" w:hAnsi="Arial" w:cs="Arial"/>
        <w:sz w:val="16"/>
      </w:rPr>
      <w:t>____________________________________________________________________________________________</w:t>
    </w:r>
  </w:p>
  <w:p>
    <w:pPr>
      <w:pStyle w:val="Footer"/>
      <w:rPr>
        <w:rFonts w:ascii="Arial" w:hAnsi="Arial" w:cs="Arial"/>
        <w:sz w:val="16"/>
      </w:rPr>
    </w:pPr>
  </w:p>
  <w:p>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ind w:left="2160"/>
      <w:jc w:val="center"/>
      <w:rPr>
        <w:rFonts w:ascii="Times New Roman" w:eastAsia="Calibri" w:hAnsi="Times New Roman"/>
        <w:i/>
        <w:sz w:val="18"/>
        <w:szCs w:val="22"/>
      </w:rPr>
    </w:pPr>
  </w:p>
  <w:p>
    <w:pPr>
      <w:ind w:left="4320"/>
      <w:rPr>
        <w:rFonts w:ascii="Times New Roman" w:eastAsia="Calibri" w:hAnsi="Times New Roman"/>
        <w:i/>
        <w:sz w:val="18"/>
        <w:szCs w:val="22"/>
      </w:rPr>
    </w:pPr>
    <w:r>
      <w:rPr>
        <w:rFonts w:ascii="Times New Roman" w:eastAsia="Calibri" w:hAnsi="Times New Roman"/>
        <w:i/>
        <w:sz w:val="18"/>
        <w:szCs w:val="22"/>
      </w:rPr>
      <w:t xml:space="preserve">.     </w:t>
    </w:r>
  </w:p>
  <w:p>
    <w:pPr>
      <w:jc w:val="center"/>
      <w:rPr>
        <w:rFonts w:ascii="Times New Roman" w:eastAsia="Calibri" w:hAnsi="Times New Roman"/>
        <w:i/>
        <w:sz w:val="18"/>
        <w:szCs w:val="22"/>
      </w:rPr>
    </w:pPr>
    <w:r>
      <w:rPr>
        <w:rFonts w:ascii="Times New Roman" w:eastAsia="Calibri" w:hAnsi="Times New Roman"/>
        <w:i/>
        <w:sz w:val="18"/>
        <w:szCs w:val="22"/>
      </w:rPr>
      <w:t>.</w:t>
    </w:r>
  </w:p>
  <w:p>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pPr>
      <w:jc w:val="center"/>
      <w:rPr>
        <w:rFonts w:ascii="Times New Roman" w:eastAsia="Calibri" w:hAnsi="Times New Roman"/>
        <w:i/>
        <w:sz w:val="18"/>
        <w:szCs w:val="22"/>
      </w:rPr>
    </w:pPr>
    <w:r>
      <w:rPr>
        <w:rFonts w:ascii="Times New Roman" w:eastAsia="Calibri" w:hAnsi="Times New Roman"/>
        <w:i/>
        <w:sz w:val="18"/>
        <w:szCs w:val="22"/>
      </w:rPr>
      <w:t xml:space="preserve">                     </w:t>
    </w:r>
  </w:p>
  <w:p>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30B02"/>
    <w:multiLevelType w:val="multilevel"/>
    <w:tmpl w:val="F4E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E50C8"/>
    <w:multiLevelType w:val="hybridMultilevel"/>
    <w:tmpl w:val="705848B8"/>
    <w:lvl w:ilvl="0" w:tplc="D19CCC34">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9" w15:restartNumberingAfterBreak="0">
    <w:nsid w:val="5CD239DD"/>
    <w:multiLevelType w:val="multilevel"/>
    <w:tmpl w:val="2A2C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CC7401"/>
    <w:multiLevelType w:val="hybridMultilevel"/>
    <w:tmpl w:val="91C83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CC41FF"/>
    <w:multiLevelType w:val="multilevel"/>
    <w:tmpl w:val="32C0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5"/>
  </w:num>
  <w:num w:numId="19">
    <w:abstractNumId w:val="33"/>
  </w:num>
  <w:num w:numId="20">
    <w:abstractNumId w:val="12"/>
  </w:num>
  <w:num w:numId="21">
    <w:abstractNumId w:val="9"/>
  </w:num>
  <w:num w:numId="22">
    <w:abstractNumId w:val="14"/>
  </w:num>
  <w:num w:numId="23">
    <w:abstractNumId w:val="23"/>
  </w:num>
  <w:num w:numId="24">
    <w:abstractNumId w:val="31"/>
  </w:num>
  <w:num w:numId="25">
    <w:abstractNumId w:val="4"/>
  </w:num>
  <w:num w:numId="26">
    <w:abstractNumId w:val="17"/>
  </w:num>
  <w:num w:numId="27">
    <w:abstractNumId w:val="24"/>
  </w:num>
  <w:num w:numId="28">
    <w:abstractNumId w:val="32"/>
  </w:num>
  <w:num w:numId="29">
    <w:abstractNumId w:val="29"/>
  </w:num>
  <w:num w:numId="30">
    <w:abstractNumId w:val="1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 w:numId="34">
    <w:abstractNumId w:val="1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cs="Arial"/>
      <w:color w:val="000000"/>
      <w:sz w:val="24"/>
      <w:szCs w:val="24"/>
      <w:lang w:val="en-IN"/>
    </w:rPr>
  </w:style>
  <w:style w:type="paragraph" w:styleId="CommentSubject">
    <w:name w:val="annotation subject"/>
    <w:basedOn w:val="CommentText"/>
    <w:next w:val="CommentText"/>
    <w:link w:val="CommentSubjectChar"/>
    <w:semiHidden/>
    <w:unhideWhenUsed/>
    <w:rPr>
      <w:rFonts w:ascii="Helvetica" w:hAnsi="Helvetica"/>
      <w:b/>
      <w:bCs/>
      <w:lang w:val="en-US" w:eastAsia="en-US"/>
    </w:rPr>
  </w:style>
  <w:style w:type="character" w:customStyle="1" w:styleId="CommentSubjectChar">
    <w:name w:val="Comment Subject Char"/>
    <w:basedOn w:val="CommentTextChar"/>
    <w:link w:val="CommentSubject"/>
    <w:semiHidden/>
    <w:rPr>
      <w:rFonts w:ascii="Helvetica" w:hAnsi="Helvetica"/>
      <w:b/>
      <w:bCs/>
      <w:lang w:val="nb-NO" w:eastAsia="nb-NO"/>
    </w:rPr>
  </w:style>
  <w:style w:type="character" w:customStyle="1" w:styleId="mo">
    <w:name w:val="mo"/>
    <w:basedOn w:val="DefaultParagraphFont"/>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rFonts w:ascii="Helvetica" w:hAnsi="Helvetica"/>
    </w:rPr>
  </w:style>
  <w:style w:type="paragraph" w:styleId="ListParagraph">
    <w:name w:val="List Paragraph"/>
    <w:basedOn w:val="Normal"/>
    <w:uiPriority w:val="34"/>
    <w:qFormat/>
    <w:pPr>
      <w:ind w:left="720"/>
      <w:contextualSpacing/>
    </w:pPr>
  </w:style>
  <w:style w:type="paragraph" w:styleId="NormalWeb">
    <w:name w:val="Normal (Web)"/>
    <w:basedOn w:val="Normal"/>
    <w:semiHidden/>
    <w:unhideWhenUse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2">
                <a:shade val="58000"/>
              </a:schemeClr>
            </a:solidFill>
            <a:ln>
              <a:noFill/>
            </a:ln>
            <a:effectLst/>
          </c:spPr>
          <c:invertIfNegative val="0"/>
          <c:cat>
            <c:strRef>
              <c:f>Sheet1!$A$2:$A$6</c:f>
              <c:strCache>
                <c:ptCount val="5"/>
                <c:pt idx="0">
                  <c:v>N</c:v>
                </c:pt>
                <c:pt idx="1">
                  <c:v>P</c:v>
                </c:pt>
                <c:pt idx="2">
                  <c:v>Ca</c:v>
                </c:pt>
                <c:pt idx="3">
                  <c:v>Mg</c:v>
                </c:pt>
                <c:pt idx="4">
                  <c:v>S</c:v>
                </c:pt>
              </c:strCache>
            </c:strRef>
          </c:cat>
          <c:val>
            <c:numRef>
              <c:f>Sheet1!$B$2:$B$6</c:f>
              <c:numCache>
                <c:formatCode>General</c:formatCode>
                <c:ptCount val="5"/>
                <c:pt idx="0">
                  <c:v>1.45</c:v>
                </c:pt>
                <c:pt idx="1">
                  <c:v>0.16</c:v>
                </c:pt>
                <c:pt idx="2">
                  <c:v>1.1399999999999999</c:v>
                </c:pt>
                <c:pt idx="3">
                  <c:v>1.26</c:v>
                </c:pt>
                <c:pt idx="4">
                  <c:v>0.42</c:v>
                </c:pt>
              </c:numCache>
            </c:numRef>
          </c:val>
          <c:extLst>
            <c:ext xmlns:c16="http://schemas.microsoft.com/office/drawing/2014/chart" uri="{C3380CC4-5D6E-409C-BE32-E72D297353CC}">
              <c16:uniqueId val="{00000000-77AF-44F5-9DB8-D9FB681C3845}"/>
            </c:ext>
          </c:extLst>
        </c:ser>
        <c:ser>
          <c:idx val="1"/>
          <c:order val="1"/>
          <c:tx>
            <c:strRef>
              <c:f>Sheet1!$C$1</c:f>
              <c:strCache>
                <c:ptCount val="1"/>
                <c:pt idx="0">
                  <c:v>T2</c:v>
                </c:pt>
              </c:strCache>
            </c:strRef>
          </c:tx>
          <c:spPr>
            <a:solidFill>
              <a:schemeClr val="accent2">
                <a:shade val="86000"/>
              </a:schemeClr>
            </a:solidFill>
            <a:ln>
              <a:noFill/>
            </a:ln>
            <a:effectLst/>
          </c:spPr>
          <c:invertIfNegative val="0"/>
          <c:cat>
            <c:strRef>
              <c:f>Sheet1!$A$2:$A$6</c:f>
              <c:strCache>
                <c:ptCount val="5"/>
                <c:pt idx="0">
                  <c:v>N</c:v>
                </c:pt>
                <c:pt idx="1">
                  <c:v>P</c:v>
                </c:pt>
                <c:pt idx="2">
                  <c:v>Ca</c:v>
                </c:pt>
                <c:pt idx="3">
                  <c:v>Mg</c:v>
                </c:pt>
                <c:pt idx="4">
                  <c:v>S</c:v>
                </c:pt>
              </c:strCache>
            </c:strRef>
          </c:cat>
          <c:val>
            <c:numRef>
              <c:f>Sheet1!$C$2:$C$6</c:f>
              <c:numCache>
                <c:formatCode>General</c:formatCode>
                <c:ptCount val="5"/>
                <c:pt idx="0">
                  <c:v>1.77</c:v>
                </c:pt>
                <c:pt idx="1">
                  <c:v>2.3E-2</c:v>
                </c:pt>
                <c:pt idx="2">
                  <c:v>2.1</c:v>
                </c:pt>
                <c:pt idx="3">
                  <c:v>1.02</c:v>
                </c:pt>
                <c:pt idx="4">
                  <c:v>0.59</c:v>
                </c:pt>
              </c:numCache>
            </c:numRef>
          </c:val>
          <c:extLst>
            <c:ext xmlns:c16="http://schemas.microsoft.com/office/drawing/2014/chart" uri="{C3380CC4-5D6E-409C-BE32-E72D297353CC}">
              <c16:uniqueId val="{00000001-77AF-44F5-9DB8-D9FB681C3845}"/>
            </c:ext>
          </c:extLst>
        </c:ser>
        <c:ser>
          <c:idx val="2"/>
          <c:order val="2"/>
          <c:tx>
            <c:strRef>
              <c:f>Sheet1!$D$1</c:f>
              <c:strCache>
                <c:ptCount val="1"/>
                <c:pt idx="0">
                  <c:v>T3</c:v>
                </c:pt>
              </c:strCache>
            </c:strRef>
          </c:tx>
          <c:spPr>
            <a:solidFill>
              <a:schemeClr val="accent2">
                <a:tint val="86000"/>
              </a:schemeClr>
            </a:solidFill>
            <a:ln>
              <a:noFill/>
            </a:ln>
            <a:effectLst/>
          </c:spPr>
          <c:invertIfNegative val="0"/>
          <c:cat>
            <c:strRef>
              <c:f>Sheet1!$A$2:$A$6</c:f>
              <c:strCache>
                <c:ptCount val="5"/>
                <c:pt idx="0">
                  <c:v>N</c:v>
                </c:pt>
                <c:pt idx="1">
                  <c:v>P</c:v>
                </c:pt>
                <c:pt idx="2">
                  <c:v>Ca</c:v>
                </c:pt>
                <c:pt idx="3">
                  <c:v>Mg</c:v>
                </c:pt>
                <c:pt idx="4">
                  <c:v>S</c:v>
                </c:pt>
              </c:strCache>
            </c:strRef>
          </c:cat>
          <c:val>
            <c:numRef>
              <c:f>Sheet1!$D$2:$D$6</c:f>
              <c:numCache>
                <c:formatCode>General</c:formatCode>
                <c:ptCount val="5"/>
                <c:pt idx="0">
                  <c:v>1.5</c:v>
                </c:pt>
                <c:pt idx="1">
                  <c:v>0.14000000000000001</c:v>
                </c:pt>
                <c:pt idx="2">
                  <c:v>1.52</c:v>
                </c:pt>
                <c:pt idx="3">
                  <c:v>1.1399999999999999</c:v>
                </c:pt>
                <c:pt idx="4">
                  <c:v>0.51</c:v>
                </c:pt>
              </c:numCache>
            </c:numRef>
          </c:val>
          <c:extLst>
            <c:ext xmlns:c16="http://schemas.microsoft.com/office/drawing/2014/chart" uri="{C3380CC4-5D6E-409C-BE32-E72D297353CC}">
              <c16:uniqueId val="{00000002-77AF-44F5-9DB8-D9FB681C3845}"/>
            </c:ext>
          </c:extLst>
        </c:ser>
        <c:ser>
          <c:idx val="3"/>
          <c:order val="3"/>
          <c:tx>
            <c:strRef>
              <c:f>Sheet1!$E$1</c:f>
              <c:strCache>
                <c:ptCount val="1"/>
                <c:pt idx="0">
                  <c:v>T4</c:v>
                </c:pt>
              </c:strCache>
            </c:strRef>
          </c:tx>
          <c:spPr>
            <a:solidFill>
              <a:schemeClr val="accent2">
                <a:tint val="58000"/>
              </a:schemeClr>
            </a:solidFill>
            <a:ln>
              <a:noFill/>
            </a:ln>
            <a:effectLst/>
          </c:spPr>
          <c:invertIfNegative val="0"/>
          <c:cat>
            <c:strRef>
              <c:f>Sheet1!$A$2:$A$6</c:f>
              <c:strCache>
                <c:ptCount val="5"/>
                <c:pt idx="0">
                  <c:v>N</c:v>
                </c:pt>
                <c:pt idx="1">
                  <c:v>P</c:v>
                </c:pt>
                <c:pt idx="2">
                  <c:v>Ca</c:v>
                </c:pt>
                <c:pt idx="3">
                  <c:v>Mg</c:v>
                </c:pt>
                <c:pt idx="4">
                  <c:v>S</c:v>
                </c:pt>
              </c:strCache>
            </c:strRef>
          </c:cat>
          <c:val>
            <c:numRef>
              <c:f>Sheet1!$E$2:$E$6</c:f>
              <c:numCache>
                <c:formatCode>General</c:formatCode>
                <c:ptCount val="5"/>
                <c:pt idx="0">
                  <c:v>1.35</c:v>
                </c:pt>
                <c:pt idx="1">
                  <c:v>0.128</c:v>
                </c:pt>
                <c:pt idx="2">
                  <c:v>1.2</c:v>
                </c:pt>
                <c:pt idx="3">
                  <c:v>0.66</c:v>
                </c:pt>
                <c:pt idx="4">
                  <c:v>0.61</c:v>
                </c:pt>
              </c:numCache>
            </c:numRef>
          </c:val>
          <c:extLst>
            <c:ext xmlns:c16="http://schemas.microsoft.com/office/drawing/2014/chart" uri="{C3380CC4-5D6E-409C-BE32-E72D297353CC}">
              <c16:uniqueId val="{00000003-77AF-44F5-9DB8-D9FB681C3845}"/>
            </c:ext>
          </c:extLst>
        </c:ser>
        <c:dLbls>
          <c:showLegendKey val="0"/>
          <c:showVal val="0"/>
          <c:showCatName val="0"/>
          <c:showSerName val="0"/>
          <c:showPercent val="0"/>
          <c:showBubbleSize val="0"/>
        </c:dLbls>
        <c:gapWidth val="182"/>
        <c:axId val="1266675759"/>
        <c:axId val="1266672879"/>
      </c:barChart>
      <c:catAx>
        <c:axId val="1266675759"/>
        <c:scaling>
          <c:orientation val="minMax"/>
        </c:scaling>
        <c:delete val="0"/>
        <c:axPos val="b"/>
        <c:title>
          <c:tx>
            <c:rich>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IN" dirty="0"/>
                  <a:t>Macronutrient</a:t>
                </a:r>
              </a:p>
            </c:rich>
          </c:tx>
          <c:overlay val="0"/>
          <c:spPr>
            <a:noFill/>
            <a:ln>
              <a:noFill/>
            </a:ln>
            <a:effectLst/>
          </c:spPr>
          <c:txPr>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266672879"/>
        <c:crosses val="autoZero"/>
        <c:auto val="1"/>
        <c:lblAlgn val="ctr"/>
        <c:lblOffset val="100"/>
        <c:noMultiLvlLbl val="0"/>
      </c:catAx>
      <c:valAx>
        <c:axId val="1266672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IN" dirty="0"/>
                  <a:t>Concentration  (%)</a:t>
                </a:r>
              </a:p>
            </c:rich>
          </c:tx>
          <c:overlay val="0"/>
          <c:spPr>
            <a:noFill/>
            <a:ln>
              <a:noFill/>
            </a:ln>
            <a:effectLst/>
          </c:spPr>
          <c:txPr>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266675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2">
                <a:shade val="58000"/>
              </a:schemeClr>
            </a:solidFill>
            <a:ln>
              <a:noFill/>
            </a:ln>
            <a:effectLst/>
          </c:spPr>
          <c:invertIfNegative val="0"/>
          <c:cat>
            <c:strRef>
              <c:f>Sheet1!$A$2:$A$5</c:f>
              <c:strCache>
                <c:ptCount val="1"/>
                <c:pt idx="0">
                  <c:v>K </c:v>
                </c:pt>
              </c:strCache>
            </c:strRef>
          </c:cat>
          <c:val>
            <c:numRef>
              <c:f>Sheet1!$B$2:$B$5</c:f>
              <c:numCache>
                <c:formatCode>General</c:formatCode>
                <c:ptCount val="4"/>
                <c:pt idx="0">
                  <c:v>1.1499999999999999</c:v>
                </c:pt>
              </c:numCache>
            </c:numRef>
          </c:val>
          <c:extLst>
            <c:ext xmlns:c16="http://schemas.microsoft.com/office/drawing/2014/chart" uri="{C3380CC4-5D6E-409C-BE32-E72D297353CC}">
              <c16:uniqueId val="{00000000-F32A-401F-B7FB-A7C58B769B9B}"/>
            </c:ext>
          </c:extLst>
        </c:ser>
        <c:ser>
          <c:idx val="1"/>
          <c:order val="1"/>
          <c:tx>
            <c:strRef>
              <c:f>Sheet1!$C$1</c:f>
              <c:strCache>
                <c:ptCount val="1"/>
                <c:pt idx="0">
                  <c:v>T2</c:v>
                </c:pt>
              </c:strCache>
            </c:strRef>
          </c:tx>
          <c:spPr>
            <a:solidFill>
              <a:schemeClr val="accent2">
                <a:shade val="86000"/>
              </a:schemeClr>
            </a:solidFill>
            <a:ln>
              <a:noFill/>
            </a:ln>
            <a:effectLst/>
          </c:spPr>
          <c:invertIfNegative val="0"/>
          <c:cat>
            <c:strRef>
              <c:f>Sheet1!$A$2:$A$5</c:f>
              <c:strCache>
                <c:ptCount val="1"/>
                <c:pt idx="0">
                  <c:v>K </c:v>
                </c:pt>
              </c:strCache>
            </c:strRef>
          </c:cat>
          <c:val>
            <c:numRef>
              <c:f>Sheet1!$C$2:$C$5</c:f>
              <c:numCache>
                <c:formatCode>General</c:formatCode>
                <c:ptCount val="4"/>
                <c:pt idx="0">
                  <c:v>1.4</c:v>
                </c:pt>
              </c:numCache>
            </c:numRef>
          </c:val>
          <c:extLst>
            <c:ext xmlns:c16="http://schemas.microsoft.com/office/drawing/2014/chart" uri="{C3380CC4-5D6E-409C-BE32-E72D297353CC}">
              <c16:uniqueId val="{00000001-F32A-401F-B7FB-A7C58B769B9B}"/>
            </c:ext>
          </c:extLst>
        </c:ser>
        <c:ser>
          <c:idx val="2"/>
          <c:order val="2"/>
          <c:tx>
            <c:strRef>
              <c:f>Sheet1!$D$1</c:f>
              <c:strCache>
                <c:ptCount val="1"/>
                <c:pt idx="0">
                  <c:v>T3</c:v>
                </c:pt>
              </c:strCache>
            </c:strRef>
          </c:tx>
          <c:spPr>
            <a:solidFill>
              <a:schemeClr val="accent2">
                <a:tint val="86000"/>
              </a:schemeClr>
            </a:solidFill>
            <a:ln>
              <a:noFill/>
            </a:ln>
            <a:effectLst/>
          </c:spPr>
          <c:invertIfNegative val="0"/>
          <c:cat>
            <c:strRef>
              <c:f>Sheet1!$A$2:$A$5</c:f>
              <c:strCache>
                <c:ptCount val="1"/>
                <c:pt idx="0">
                  <c:v>K </c:v>
                </c:pt>
              </c:strCache>
            </c:strRef>
          </c:cat>
          <c:val>
            <c:numRef>
              <c:f>Sheet1!$D$2:$D$5</c:f>
              <c:numCache>
                <c:formatCode>General</c:formatCode>
                <c:ptCount val="4"/>
                <c:pt idx="0">
                  <c:v>1.25</c:v>
                </c:pt>
              </c:numCache>
            </c:numRef>
          </c:val>
          <c:extLst>
            <c:ext xmlns:c16="http://schemas.microsoft.com/office/drawing/2014/chart" uri="{C3380CC4-5D6E-409C-BE32-E72D297353CC}">
              <c16:uniqueId val="{00000002-F32A-401F-B7FB-A7C58B769B9B}"/>
            </c:ext>
          </c:extLst>
        </c:ser>
        <c:ser>
          <c:idx val="3"/>
          <c:order val="3"/>
          <c:tx>
            <c:strRef>
              <c:f>Sheet1!$E$1</c:f>
              <c:strCache>
                <c:ptCount val="1"/>
                <c:pt idx="0">
                  <c:v>T4</c:v>
                </c:pt>
              </c:strCache>
            </c:strRef>
          </c:tx>
          <c:spPr>
            <a:solidFill>
              <a:schemeClr val="accent2">
                <a:tint val="58000"/>
              </a:schemeClr>
            </a:solidFill>
            <a:ln>
              <a:noFill/>
            </a:ln>
            <a:effectLst/>
          </c:spPr>
          <c:invertIfNegative val="0"/>
          <c:cat>
            <c:strRef>
              <c:f>Sheet1!$A$2:$A$5</c:f>
              <c:strCache>
                <c:ptCount val="1"/>
                <c:pt idx="0">
                  <c:v>K </c:v>
                </c:pt>
              </c:strCache>
            </c:strRef>
          </c:cat>
          <c:val>
            <c:numRef>
              <c:f>Sheet1!$E$2:$E$5</c:f>
              <c:numCache>
                <c:formatCode>General</c:formatCode>
                <c:ptCount val="4"/>
                <c:pt idx="0">
                  <c:v>1.05</c:v>
                </c:pt>
              </c:numCache>
            </c:numRef>
          </c:val>
          <c:extLst>
            <c:ext xmlns:c16="http://schemas.microsoft.com/office/drawing/2014/chart" uri="{C3380CC4-5D6E-409C-BE32-E72D297353CC}">
              <c16:uniqueId val="{00000003-F32A-401F-B7FB-A7C58B769B9B}"/>
            </c:ext>
          </c:extLst>
        </c:ser>
        <c:dLbls>
          <c:showLegendKey val="0"/>
          <c:showVal val="0"/>
          <c:showCatName val="0"/>
          <c:showSerName val="0"/>
          <c:showPercent val="0"/>
          <c:showBubbleSize val="0"/>
        </c:dLbls>
        <c:gapWidth val="219"/>
        <c:overlap val="-27"/>
        <c:axId val="1266673839"/>
        <c:axId val="1266665679"/>
      </c:barChart>
      <c:catAx>
        <c:axId val="1266673839"/>
        <c:scaling>
          <c:orientation val="minMax"/>
        </c:scaling>
        <c:delete val="0"/>
        <c:axPos val="b"/>
        <c:title>
          <c:tx>
            <c:rich>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IN" dirty="0"/>
                  <a:t>Macronutrient K</a:t>
                </a:r>
              </a:p>
            </c:rich>
          </c:tx>
          <c:overlay val="0"/>
          <c:spPr>
            <a:noFill/>
            <a:ln>
              <a:noFill/>
            </a:ln>
            <a:effectLst/>
          </c:spPr>
          <c:txPr>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266665679"/>
        <c:crosses val="autoZero"/>
        <c:auto val="1"/>
        <c:lblAlgn val="ctr"/>
        <c:lblOffset val="100"/>
        <c:noMultiLvlLbl val="0"/>
      </c:catAx>
      <c:valAx>
        <c:axId val="12666656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IN" dirty="0"/>
                  <a:t>Concentration (ppm)</a:t>
                </a:r>
              </a:p>
            </c:rich>
          </c:tx>
          <c:overlay val="0"/>
          <c:spPr>
            <a:noFill/>
            <a:ln>
              <a:noFill/>
            </a:ln>
            <a:effectLst/>
          </c:spPr>
          <c:txPr>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266673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IN"/>
              <a:t>Micronutrient</a:t>
            </a:r>
            <a:r>
              <a:rPr lang="en-IN" baseline="0"/>
              <a:t> profile of SMS</a:t>
            </a:r>
            <a:endParaRPr lang="en-IN"/>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T1</c:v>
                </c:pt>
              </c:strCache>
            </c:strRef>
          </c:tx>
          <c:spPr>
            <a:solidFill>
              <a:schemeClr val="accent2">
                <a:shade val="58000"/>
              </a:schemeClr>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Sheet1!$A$2:$A$5</c:f>
              <c:strCache>
                <c:ptCount val="4"/>
                <c:pt idx="0">
                  <c:v>B</c:v>
                </c:pt>
                <c:pt idx="1">
                  <c:v>Fe</c:v>
                </c:pt>
                <c:pt idx="2">
                  <c:v>Zn</c:v>
                </c:pt>
                <c:pt idx="3">
                  <c:v>Cu</c:v>
                </c:pt>
              </c:strCache>
            </c:strRef>
          </c:cat>
          <c:val>
            <c:numRef>
              <c:f>Sheet1!$B$2:$B$5</c:f>
              <c:numCache>
                <c:formatCode>General</c:formatCode>
                <c:ptCount val="4"/>
                <c:pt idx="0">
                  <c:v>59</c:v>
                </c:pt>
                <c:pt idx="1">
                  <c:v>106.5</c:v>
                </c:pt>
                <c:pt idx="2">
                  <c:v>15</c:v>
                </c:pt>
                <c:pt idx="3">
                  <c:v>10.5</c:v>
                </c:pt>
              </c:numCache>
            </c:numRef>
          </c:val>
          <c:extLst>
            <c:ext xmlns:c16="http://schemas.microsoft.com/office/drawing/2014/chart" uri="{C3380CC4-5D6E-409C-BE32-E72D297353CC}">
              <c16:uniqueId val="{00000000-08BC-43D7-AD27-A15CE4043D2F}"/>
            </c:ext>
          </c:extLst>
        </c:ser>
        <c:ser>
          <c:idx val="1"/>
          <c:order val="1"/>
          <c:tx>
            <c:strRef>
              <c:f>Sheet1!$C$1</c:f>
              <c:strCache>
                <c:ptCount val="1"/>
                <c:pt idx="0">
                  <c:v>T2</c:v>
                </c:pt>
              </c:strCache>
            </c:strRef>
          </c:tx>
          <c:spPr>
            <a:solidFill>
              <a:schemeClr val="accent2">
                <a:shade val="86000"/>
              </a:schemeClr>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Sheet1!$A$2:$A$5</c:f>
              <c:strCache>
                <c:ptCount val="4"/>
                <c:pt idx="0">
                  <c:v>B</c:v>
                </c:pt>
                <c:pt idx="1">
                  <c:v>Fe</c:v>
                </c:pt>
                <c:pt idx="2">
                  <c:v>Zn</c:v>
                </c:pt>
                <c:pt idx="3">
                  <c:v>Cu</c:v>
                </c:pt>
              </c:strCache>
            </c:strRef>
          </c:cat>
          <c:val>
            <c:numRef>
              <c:f>Sheet1!$C$2:$C$5</c:f>
              <c:numCache>
                <c:formatCode>General</c:formatCode>
                <c:ptCount val="4"/>
                <c:pt idx="0">
                  <c:v>82</c:v>
                </c:pt>
                <c:pt idx="1">
                  <c:v>117</c:v>
                </c:pt>
                <c:pt idx="2">
                  <c:v>18</c:v>
                </c:pt>
                <c:pt idx="3">
                  <c:v>14.5</c:v>
                </c:pt>
              </c:numCache>
            </c:numRef>
          </c:val>
          <c:extLst>
            <c:ext xmlns:c16="http://schemas.microsoft.com/office/drawing/2014/chart" uri="{C3380CC4-5D6E-409C-BE32-E72D297353CC}">
              <c16:uniqueId val="{00000001-08BC-43D7-AD27-A15CE4043D2F}"/>
            </c:ext>
          </c:extLst>
        </c:ser>
        <c:ser>
          <c:idx val="2"/>
          <c:order val="2"/>
          <c:tx>
            <c:strRef>
              <c:f>Sheet1!$D$1</c:f>
              <c:strCache>
                <c:ptCount val="1"/>
                <c:pt idx="0">
                  <c:v>T3</c:v>
                </c:pt>
              </c:strCache>
            </c:strRef>
          </c:tx>
          <c:spPr>
            <a:solidFill>
              <a:schemeClr val="accent2">
                <a:tint val="86000"/>
              </a:schemeClr>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Sheet1!$A$2:$A$5</c:f>
              <c:strCache>
                <c:ptCount val="4"/>
                <c:pt idx="0">
                  <c:v>B</c:v>
                </c:pt>
                <c:pt idx="1">
                  <c:v>Fe</c:v>
                </c:pt>
                <c:pt idx="2">
                  <c:v>Zn</c:v>
                </c:pt>
                <c:pt idx="3">
                  <c:v>Cu</c:v>
                </c:pt>
              </c:strCache>
            </c:strRef>
          </c:cat>
          <c:val>
            <c:numRef>
              <c:f>Sheet1!$D$2:$D$5</c:f>
              <c:numCache>
                <c:formatCode>General</c:formatCode>
                <c:ptCount val="4"/>
                <c:pt idx="0">
                  <c:v>75</c:v>
                </c:pt>
                <c:pt idx="1">
                  <c:v>115</c:v>
                </c:pt>
                <c:pt idx="2">
                  <c:v>15</c:v>
                </c:pt>
                <c:pt idx="3">
                  <c:v>11</c:v>
                </c:pt>
              </c:numCache>
            </c:numRef>
          </c:val>
          <c:extLst>
            <c:ext xmlns:c16="http://schemas.microsoft.com/office/drawing/2014/chart" uri="{C3380CC4-5D6E-409C-BE32-E72D297353CC}">
              <c16:uniqueId val="{00000002-08BC-43D7-AD27-A15CE4043D2F}"/>
            </c:ext>
          </c:extLst>
        </c:ser>
        <c:ser>
          <c:idx val="3"/>
          <c:order val="3"/>
          <c:tx>
            <c:strRef>
              <c:f>Sheet1!$E$1</c:f>
              <c:strCache>
                <c:ptCount val="1"/>
                <c:pt idx="0">
                  <c:v>T4</c:v>
                </c:pt>
              </c:strCache>
            </c:strRef>
          </c:tx>
          <c:spPr>
            <a:solidFill>
              <a:schemeClr val="accent2">
                <a:tint val="58000"/>
              </a:schemeClr>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Sheet1!$A$2:$A$5</c:f>
              <c:strCache>
                <c:ptCount val="4"/>
                <c:pt idx="0">
                  <c:v>B</c:v>
                </c:pt>
                <c:pt idx="1">
                  <c:v>Fe</c:v>
                </c:pt>
                <c:pt idx="2">
                  <c:v>Zn</c:v>
                </c:pt>
                <c:pt idx="3">
                  <c:v>Cu</c:v>
                </c:pt>
              </c:strCache>
            </c:strRef>
          </c:cat>
          <c:val>
            <c:numRef>
              <c:f>Sheet1!$E$2:$E$5</c:f>
              <c:numCache>
                <c:formatCode>General</c:formatCode>
                <c:ptCount val="4"/>
                <c:pt idx="0">
                  <c:v>70</c:v>
                </c:pt>
                <c:pt idx="1">
                  <c:v>112.5</c:v>
                </c:pt>
                <c:pt idx="2">
                  <c:v>21</c:v>
                </c:pt>
                <c:pt idx="3">
                  <c:v>9.5</c:v>
                </c:pt>
              </c:numCache>
            </c:numRef>
          </c:val>
          <c:extLst>
            <c:ext xmlns:c16="http://schemas.microsoft.com/office/drawing/2014/chart" uri="{C3380CC4-5D6E-409C-BE32-E72D297353CC}">
              <c16:uniqueId val="{00000003-08BC-43D7-AD27-A15CE4043D2F}"/>
            </c:ext>
          </c:extLst>
        </c:ser>
        <c:dLbls>
          <c:showLegendKey val="0"/>
          <c:showVal val="0"/>
          <c:showCatName val="0"/>
          <c:showSerName val="0"/>
          <c:showPercent val="0"/>
          <c:showBubbleSize val="0"/>
        </c:dLbls>
        <c:gapWidth val="219"/>
        <c:overlap val="-27"/>
        <c:axId val="728816591"/>
        <c:axId val="728818991"/>
      </c:barChart>
      <c:catAx>
        <c:axId val="728816591"/>
        <c:scaling>
          <c:orientation val="minMax"/>
        </c:scaling>
        <c:delete val="0"/>
        <c:axPos val="b"/>
        <c:title>
          <c:tx>
            <c:rich>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IN"/>
                  <a:t>Micronutrient</a:t>
                </a:r>
                <a:r>
                  <a:rPr lang="en-IN" baseline="0"/>
                  <a:t> </a:t>
                </a:r>
                <a:endParaRPr lang="en-IN"/>
              </a:p>
            </c:rich>
          </c:tx>
          <c:overlay val="0"/>
          <c:spPr>
            <a:noFill/>
            <a:ln>
              <a:noFill/>
            </a:ln>
            <a:effectLst/>
          </c:spPr>
          <c:txPr>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728818991"/>
        <c:crosses val="autoZero"/>
        <c:auto val="1"/>
        <c:lblAlgn val="ctr"/>
        <c:lblOffset val="100"/>
        <c:noMultiLvlLbl val="0"/>
      </c:catAx>
      <c:valAx>
        <c:axId val="7288189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IN"/>
                  <a:t>Concentration (ppm)</a:t>
                </a:r>
              </a:p>
            </c:rich>
          </c:tx>
          <c:overlay val="0"/>
          <c:spPr>
            <a:noFill/>
            <a:ln>
              <a:noFill/>
            </a:ln>
            <a:effectLst/>
          </c:spPr>
          <c:txPr>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728816591"/>
        <c:crosses val="autoZero"/>
        <c:crossBetween val="between"/>
      </c:valAx>
      <c:spPr>
        <a:noFill/>
        <a:ln>
          <a:noFill/>
        </a:ln>
        <a:effectLst/>
      </c:spPr>
    </c:plotArea>
    <c:legend>
      <c:legendPos val="b"/>
      <c:layout>
        <c:manualLayout>
          <c:xMode val="edge"/>
          <c:yMode val="edge"/>
          <c:x val="0.2001118555356019"/>
          <c:y val="0.79607594754494804"/>
          <c:w val="0.59490299458181761"/>
          <c:h val="0.12470406464274232"/>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44E7-AA55-45AA-85AF-0658E031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16</Pages>
  <Words>4946</Words>
  <Characters>28195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33075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1170</cp:lastModifiedBy>
  <cp:revision>10</cp:revision>
  <cp:lastPrinted>1999-07-06T11:00:00Z</cp:lastPrinted>
  <dcterms:created xsi:type="dcterms:W3CDTF">2025-10-20T18:04:00Z</dcterms:created>
  <dcterms:modified xsi:type="dcterms:W3CDTF">2025-10-21T06:27:00Z</dcterms:modified>
</cp:coreProperties>
</file>