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035070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4AF8BB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81115BA" w14:textId="77777777" w:rsidTr="002643B3">
        <w:trPr>
          <w:trHeight w:val="290"/>
        </w:trPr>
        <w:tc>
          <w:tcPr>
            <w:tcW w:w="1234" w:type="pct"/>
          </w:tcPr>
          <w:p w14:paraId="4D5C9E4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86E6" w14:textId="77777777" w:rsidR="0000007A" w:rsidRPr="00E65EB7" w:rsidRDefault="00D567D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E077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Pr="00D567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763E6E3" w14:textId="77777777" w:rsidTr="002643B3">
        <w:trPr>
          <w:trHeight w:val="290"/>
        </w:trPr>
        <w:tc>
          <w:tcPr>
            <w:tcW w:w="1234" w:type="pct"/>
          </w:tcPr>
          <w:p w14:paraId="127B30E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FC777" w14:textId="77777777" w:rsidR="0000007A" w:rsidRPr="00F245A7" w:rsidRDefault="003D79C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D79C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Ms_MRJI_147625</w:t>
            </w:r>
          </w:p>
        </w:tc>
      </w:tr>
      <w:tr w:rsidR="0000007A" w:rsidRPr="00F245A7" w14:paraId="7F04FA0A" w14:textId="77777777" w:rsidTr="002643B3">
        <w:trPr>
          <w:trHeight w:val="650"/>
        </w:trPr>
        <w:tc>
          <w:tcPr>
            <w:tcW w:w="1234" w:type="pct"/>
          </w:tcPr>
          <w:p w14:paraId="5E9D775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74AFF" w14:textId="77777777" w:rsidR="0000007A" w:rsidRPr="00F245A7" w:rsidRDefault="003D79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D79C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Risk of Staphylococcus aureus Food Poisoning Associated with Pork Barbecues in </w:t>
            </w:r>
            <w:proofErr w:type="spellStart"/>
            <w:r w:rsidRPr="003D79CD">
              <w:rPr>
                <w:rFonts w:ascii="Arial" w:hAnsi="Arial" w:cs="Arial"/>
                <w:b/>
                <w:sz w:val="20"/>
                <w:szCs w:val="28"/>
                <w:lang w:val="en-GB"/>
              </w:rPr>
              <w:t>Daloa</w:t>
            </w:r>
            <w:proofErr w:type="spellEnd"/>
            <w:r w:rsidRPr="003D79CD">
              <w:rPr>
                <w:rFonts w:ascii="Arial" w:hAnsi="Arial" w:cs="Arial"/>
                <w:b/>
                <w:sz w:val="20"/>
                <w:szCs w:val="28"/>
                <w:lang w:val="en-GB"/>
              </w:rPr>
              <w:t>, Côte d’Ivoire</w:t>
            </w:r>
          </w:p>
        </w:tc>
      </w:tr>
      <w:tr w:rsidR="00CF0BBB" w:rsidRPr="00F245A7" w14:paraId="0E61CC69" w14:textId="77777777" w:rsidTr="002643B3">
        <w:trPr>
          <w:trHeight w:val="332"/>
        </w:trPr>
        <w:tc>
          <w:tcPr>
            <w:tcW w:w="1234" w:type="pct"/>
          </w:tcPr>
          <w:p w14:paraId="7CF956E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C7B3" w14:textId="77777777" w:rsidR="00CF0BBB" w:rsidRPr="00F245A7" w:rsidRDefault="003D79C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D79CD">
              <w:rPr>
                <w:rFonts w:ascii="Arial" w:hAnsi="Arial" w:cs="Arial"/>
                <w:b/>
                <w:sz w:val="20"/>
                <w:szCs w:val="28"/>
                <w:lang w:val="en-GB"/>
              </w:rPr>
              <w:t>Short Research Article</w:t>
            </w:r>
          </w:p>
        </w:tc>
      </w:tr>
    </w:tbl>
    <w:p w14:paraId="4A8D5741" w14:textId="3D693320" w:rsidR="006514EA" w:rsidRPr="00900E9B" w:rsidRDefault="006514EA" w:rsidP="006514E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900E9B" w14:paraId="5713CA7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59287D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6730F04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036B9C17" w14:textId="77777777">
        <w:tc>
          <w:tcPr>
            <w:tcW w:w="1265" w:type="pct"/>
            <w:noWrap/>
          </w:tcPr>
          <w:p w14:paraId="2D4C2CE6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E634753" w14:textId="77777777" w:rsidR="006514EA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1B417D7" w14:textId="77777777" w:rsidR="00966A65" w:rsidRDefault="00966A65" w:rsidP="00966A6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5036109" w14:textId="77777777" w:rsidR="00966A65" w:rsidRPr="00966A65" w:rsidRDefault="00966A65" w:rsidP="00966A6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DAE4626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C5FC44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158DBEC5" w14:textId="77777777">
        <w:trPr>
          <w:trHeight w:val="1264"/>
        </w:trPr>
        <w:tc>
          <w:tcPr>
            <w:tcW w:w="1265" w:type="pct"/>
            <w:noWrap/>
          </w:tcPr>
          <w:p w14:paraId="524FDA99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C81FAEB" w14:textId="77777777" w:rsidR="006514EA" w:rsidRPr="00900E9B" w:rsidRDefault="006514E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83F353" w14:textId="708C6D3A" w:rsidR="006514EA" w:rsidRPr="00900E9B" w:rsidRDefault="009B3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B30D3">
              <w:rPr>
                <w:b/>
                <w:bCs/>
                <w:sz w:val="20"/>
                <w:szCs w:val="20"/>
              </w:rPr>
              <w:t xml:space="preserve">This study is important because it addresses a real public health concern linked to the growing street food culture in Côte d’Ivoire and similar regions. By investigating the presence of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Staphylococcus aureus</w:t>
            </w:r>
            <w:r w:rsidRPr="009B30D3">
              <w:rPr>
                <w:b/>
                <w:bCs/>
                <w:sz w:val="20"/>
                <w:szCs w:val="20"/>
              </w:rPr>
              <w:t xml:space="preserve"> in pork barbecues, the authors help shed light on the safety of a food that many people consume regularly. Their findings, which show no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S. aureus</w:t>
            </w:r>
            <w:r w:rsidRPr="009B30D3">
              <w:rPr>
                <w:b/>
                <w:bCs/>
                <w:sz w:val="20"/>
                <w:szCs w:val="20"/>
              </w:rPr>
              <w:t xml:space="preserve"> contamination but highlight gaps in hygiene and some antibiotic resistance among other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Staphylococcus</w:t>
            </w:r>
            <w:r w:rsidRPr="009B30D3">
              <w:rPr>
                <w:b/>
                <w:bCs/>
                <w:sz w:val="20"/>
                <w:szCs w:val="20"/>
              </w:rPr>
              <w:t xml:space="preserve"> species, provide reassurance while also calling attention to areas needing improvement. Overall, this work contributes to protecting consumers’ health and supports efforts to promote safer food-handling practices in local communities.</w:t>
            </w:r>
          </w:p>
        </w:tc>
        <w:tc>
          <w:tcPr>
            <w:tcW w:w="1523" w:type="pct"/>
          </w:tcPr>
          <w:p w14:paraId="3E1A647C" w14:textId="477E5105" w:rsidR="006514EA" w:rsidRPr="00662516" w:rsidRDefault="007A0111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662516">
              <w:rPr>
                <w:rFonts w:ascii="Times New Roman" w:hAnsi="Times New Roman"/>
                <w:bCs w:val="0"/>
                <w:lang w:val="en-GB"/>
              </w:rPr>
              <w:t xml:space="preserve">I read and agree with these sentences addressing the importance of my work for scientific community. But </w:t>
            </w:r>
            <w:r w:rsidR="002F1156">
              <w:rPr>
                <w:rFonts w:ascii="Times New Roman" w:hAnsi="Times New Roman"/>
                <w:bCs w:val="0"/>
                <w:lang w:val="en-GB"/>
              </w:rPr>
              <w:t>with regard to author</w:t>
            </w:r>
            <w:r w:rsidR="00C50BF2">
              <w:rPr>
                <w:rFonts w:ascii="Times New Roman" w:hAnsi="Times New Roman"/>
                <w:bCs w:val="0"/>
                <w:lang w:val="en-GB"/>
              </w:rPr>
              <w:t xml:space="preserve"> guideline</w:t>
            </w:r>
            <w:r w:rsidR="002F1156">
              <w:rPr>
                <w:rFonts w:ascii="Times New Roman" w:hAnsi="Times New Roman"/>
                <w:bCs w:val="0"/>
                <w:lang w:val="en-GB"/>
              </w:rPr>
              <w:t xml:space="preserve"> or SDI-paper-template, </w:t>
            </w:r>
            <w:r w:rsidRPr="00662516">
              <w:rPr>
                <w:rFonts w:ascii="Times New Roman" w:hAnsi="Times New Roman"/>
                <w:bCs w:val="0"/>
                <w:lang w:val="en-GB"/>
              </w:rPr>
              <w:t>which part of the manuscript s</w:t>
            </w:r>
            <w:r w:rsidR="00662516" w:rsidRPr="00662516">
              <w:rPr>
                <w:rFonts w:ascii="Times New Roman" w:hAnsi="Times New Roman"/>
                <w:bCs w:val="0"/>
                <w:lang w:val="en-GB"/>
              </w:rPr>
              <w:t>hould</w:t>
            </w:r>
            <w:r w:rsidRPr="00662516">
              <w:rPr>
                <w:rFonts w:ascii="Times New Roman" w:hAnsi="Times New Roman"/>
                <w:bCs w:val="0"/>
                <w:lang w:val="en-GB"/>
              </w:rPr>
              <w:t xml:space="preserve"> receive this comment?</w:t>
            </w:r>
          </w:p>
        </w:tc>
      </w:tr>
      <w:tr w:rsidR="006514EA" w:rsidRPr="00900E9B" w14:paraId="6FED448C" w14:textId="77777777">
        <w:trPr>
          <w:trHeight w:val="1262"/>
        </w:trPr>
        <w:tc>
          <w:tcPr>
            <w:tcW w:w="1265" w:type="pct"/>
            <w:noWrap/>
          </w:tcPr>
          <w:p w14:paraId="79DC42B6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F83456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9FC703A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46A489F" w14:textId="12F29F13" w:rsidR="006514EA" w:rsidRPr="00900E9B" w:rsidRDefault="009B30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70D6CC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3445C0DA" w14:textId="77777777">
        <w:trPr>
          <w:trHeight w:val="1262"/>
        </w:trPr>
        <w:tc>
          <w:tcPr>
            <w:tcW w:w="1265" w:type="pct"/>
            <w:noWrap/>
          </w:tcPr>
          <w:p w14:paraId="7C6B9309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5F4BAED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B89021" w14:textId="648B72B2" w:rsidR="009B30D3" w:rsidRPr="009B30D3" w:rsidRDefault="009B30D3" w:rsidP="009B30D3">
            <w:pPr>
              <w:ind w:left="360"/>
              <w:rPr>
                <w:b/>
                <w:bCs/>
                <w:sz w:val="20"/>
                <w:szCs w:val="20"/>
              </w:rPr>
            </w:pPr>
            <w:r w:rsidRPr="009B30D3">
              <w:rPr>
                <w:b/>
                <w:bCs/>
                <w:sz w:val="20"/>
                <w:szCs w:val="20"/>
              </w:rPr>
              <w:t xml:space="preserve">Yes, the abstract is generally comprehensive and </w:t>
            </w:r>
            <w:proofErr w:type="spellStart"/>
            <w:r w:rsidRPr="009B30D3">
              <w:rPr>
                <w:b/>
                <w:bCs/>
                <w:sz w:val="20"/>
                <w:szCs w:val="20"/>
              </w:rPr>
              <w:t>well structured</w:t>
            </w:r>
            <w:proofErr w:type="spellEnd"/>
            <w:r>
              <w:rPr>
                <w:b/>
                <w:bCs/>
                <w:sz w:val="20"/>
                <w:szCs w:val="20"/>
              </w:rPr>
              <w:br/>
              <w:t xml:space="preserve">Here are </w:t>
            </w:r>
            <w:r w:rsidRPr="009B30D3">
              <w:rPr>
                <w:b/>
                <w:bCs/>
                <w:sz w:val="20"/>
                <w:szCs w:val="20"/>
              </w:rPr>
              <w:t xml:space="preserve"> improvements </w:t>
            </w:r>
            <w:r>
              <w:rPr>
                <w:b/>
                <w:bCs/>
                <w:sz w:val="20"/>
                <w:szCs w:val="20"/>
              </w:rPr>
              <w:t>that could</w:t>
            </w:r>
            <w:r w:rsidRPr="009B30D3">
              <w:rPr>
                <w:b/>
                <w:bCs/>
                <w:sz w:val="20"/>
                <w:szCs w:val="20"/>
              </w:rPr>
              <w:t xml:space="preserve"> make it stronger:</w:t>
            </w:r>
          </w:p>
          <w:p w14:paraId="747E40C4" w14:textId="77777777" w:rsidR="009B30D3" w:rsidRPr="009B30D3" w:rsidRDefault="009B30D3" w:rsidP="009B30D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9B30D3">
              <w:rPr>
                <w:b/>
                <w:bCs/>
                <w:sz w:val="20"/>
                <w:szCs w:val="20"/>
              </w:rPr>
              <w:t xml:space="preserve">Clarify the methodology: Briefly mention that both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culture-dependent</w:t>
            </w:r>
            <w:r w:rsidRPr="009B30D3">
              <w:rPr>
                <w:b/>
                <w:bCs/>
                <w:sz w:val="20"/>
                <w:szCs w:val="20"/>
              </w:rPr>
              <w:t xml:space="preserve"> and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PCR-based molecular methods</w:t>
            </w:r>
            <w:r w:rsidRPr="009B30D3">
              <w:rPr>
                <w:b/>
                <w:bCs/>
                <w:sz w:val="20"/>
                <w:szCs w:val="20"/>
              </w:rPr>
              <w:t xml:space="preserve"> were used—this highlights the robustness of the analysis.</w:t>
            </w:r>
          </w:p>
          <w:p w14:paraId="2A8785EE" w14:textId="77777777" w:rsidR="009B30D3" w:rsidRPr="009B30D3" w:rsidRDefault="009B30D3" w:rsidP="009B30D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9B30D3">
              <w:rPr>
                <w:b/>
                <w:bCs/>
                <w:sz w:val="20"/>
                <w:szCs w:val="20"/>
              </w:rPr>
              <w:t xml:space="preserve">Add key quantitative data: Including the range of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Staphylococcus spp.</w:t>
            </w:r>
            <w:r w:rsidRPr="009B30D3">
              <w:rPr>
                <w:b/>
                <w:bCs/>
                <w:sz w:val="20"/>
                <w:szCs w:val="20"/>
              </w:rPr>
              <w:t xml:space="preserve"> counts (e.g., 6.1×10² to 3.3×10³ CFU/g) would provide more scientific precision.</w:t>
            </w:r>
          </w:p>
          <w:p w14:paraId="2C29D680" w14:textId="77777777" w:rsidR="009B30D3" w:rsidRPr="009B30D3" w:rsidRDefault="009B30D3" w:rsidP="009B30D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9B30D3">
              <w:rPr>
                <w:b/>
                <w:bCs/>
                <w:sz w:val="20"/>
                <w:szCs w:val="20"/>
              </w:rPr>
              <w:t>Streamline the aim statement: The sentence beginning with “To evaluate the risk of…” could be shortened for better readability.</w:t>
            </w:r>
          </w:p>
          <w:p w14:paraId="5C16BA93" w14:textId="77777777" w:rsidR="009B30D3" w:rsidRPr="009B30D3" w:rsidRDefault="009B30D3" w:rsidP="009B30D3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9B30D3">
              <w:rPr>
                <w:b/>
                <w:bCs/>
                <w:sz w:val="20"/>
                <w:szCs w:val="20"/>
              </w:rPr>
              <w:t>Add a forward-looking remark: Conclude with one sentence emphasizing the importance of reinforcing hygiene and surveillance to prevent future contamination risks.</w:t>
            </w:r>
          </w:p>
          <w:p w14:paraId="58B3FD46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27718D" w14:textId="77777777" w:rsidR="000F7ABE" w:rsidRDefault="000F7ABE" w:rsidP="000F7ABE">
            <w:pPr>
              <w:pStyle w:val="Heading2"/>
              <w:jc w:val="left"/>
              <w:rPr>
                <w:rFonts w:ascii="Times New Roman" w:hAnsi="Times New Roman" w:cs="Times New Roman"/>
              </w:rPr>
            </w:pPr>
          </w:p>
          <w:p w14:paraId="52669284" w14:textId="11E1E554" w:rsidR="0092102C" w:rsidRDefault="0092102C" w:rsidP="0092102C">
            <w:pPr>
              <w:pStyle w:val="Heading2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</w:rPr>
            </w:pPr>
            <w:r w:rsidRPr="0092102C">
              <w:rPr>
                <w:rFonts w:ascii="Times New Roman" w:hAnsi="Times New Roman" w:cs="Times New Roman"/>
              </w:rPr>
              <w:t>This mention ‘’</w:t>
            </w:r>
            <w:proofErr w:type="spellStart"/>
            <w:r w:rsidRPr="0092102C">
              <w:rPr>
                <w:rFonts w:ascii="Times New Roman" w:hAnsi="Times New Roman" w:cs="Times New Roman"/>
              </w:rPr>
              <w:t>both</w:t>
            </w:r>
            <w:proofErr w:type="spellEnd"/>
            <w:r w:rsidRPr="0092102C">
              <w:rPr>
                <w:rFonts w:ascii="Times New Roman" w:hAnsi="Times New Roman" w:cs="Times New Roman"/>
              </w:rPr>
              <w:t xml:space="preserve"> </w:t>
            </w:r>
            <w:r w:rsidRPr="0092102C">
              <w:rPr>
                <w:rFonts w:ascii="Times New Roman" w:hAnsi="Times New Roman" w:cs="Times New Roman"/>
                <w:i/>
                <w:iCs/>
              </w:rPr>
              <w:t>culture-</w:t>
            </w:r>
            <w:proofErr w:type="spellStart"/>
            <w:r w:rsidRPr="0092102C">
              <w:rPr>
                <w:rFonts w:ascii="Times New Roman" w:hAnsi="Times New Roman" w:cs="Times New Roman"/>
                <w:i/>
                <w:iCs/>
              </w:rPr>
              <w:t>dependent</w:t>
            </w:r>
            <w:proofErr w:type="spellEnd"/>
            <w:r w:rsidRPr="0092102C">
              <w:rPr>
                <w:rFonts w:ascii="Times New Roman" w:hAnsi="Times New Roman" w:cs="Times New Roman"/>
              </w:rPr>
              <w:t xml:space="preserve"> and </w:t>
            </w:r>
            <w:r w:rsidRPr="0092102C">
              <w:rPr>
                <w:rFonts w:ascii="Times New Roman" w:hAnsi="Times New Roman" w:cs="Times New Roman"/>
                <w:i/>
                <w:iCs/>
              </w:rPr>
              <w:t>PCR-</w:t>
            </w:r>
            <w:proofErr w:type="spellStart"/>
            <w:r w:rsidRPr="0092102C">
              <w:rPr>
                <w:rFonts w:ascii="Times New Roman" w:hAnsi="Times New Roman" w:cs="Times New Roman"/>
                <w:i/>
                <w:iCs/>
              </w:rPr>
              <w:t>based</w:t>
            </w:r>
            <w:proofErr w:type="spellEnd"/>
            <w:r w:rsidRPr="0092102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92102C">
              <w:rPr>
                <w:rFonts w:ascii="Times New Roman" w:hAnsi="Times New Roman" w:cs="Times New Roman"/>
                <w:i/>
                <w:iCs/>
              </w:rPr>
              <w:t>molecular</w:t>
            </w:r>
            <w:proofErr w:type="spellEnd"/>
            <w:r w:rsidRPr="0092102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92102C">
              <w:rPr>
                <w:rFonts w:ascii="Times New Roman" w:hAnsi="Times New Roman" w:cs="Times New Roman"/>
                <w:i/>
                <w:iCs/>
              </w:rPr>
              <w:t>methods</w:t>
            </w:r>
            <w:proofErr w:type="spellEnd"/>
            <w:r w:rsidRPr="0092102C">
              <w:rPr>
                <w:rFonts w:ascii="Times New Roman" w:hAnsi="Times New Roman" w:cs="Times New Roman"/>
                <w:i/>
                <w:iCs/>
              </w:rPr>
              <w:t>’’</w:t>
            </w:r>
            <w:r w:rsidRPr="009210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02C">
              <w:rPr>
                <w:rFonts w:ascii="Times New Roman" w:hAnsi="Times New Roman" w:cs="Times New Roman"/>
              </w:rPr>
              <w:t>were</w:t>
            </w:r>
            <w:proofErr w:type="spellEnd"/>
            <w:r w:rsidRPr="009210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102C">
              <w:rPr>
                <w:rFonts w:ascii="Times New Roman" w:hAnsi="Times New Roman" w:cs="Times New Roman"/>
              </w:rPr>
              <w:t>added</w:t>
            </w:r>
            <w:proofErr w:type="spellEnd"/>
          </w:p>
          <w:p w14:paraId="7B90EA73" w14:textId="77777777" w:rsidR="0092102C" w:rsidRPr="0092102C" w:rsidRDefault="0092102C" w:rsidP="0092102C">
            <w:pPr>
              <w:pStyle w:val="ListParagraph"/>
              <w:numPr>
                <w:ilvl w:val="0"/>
                <w:numId w:val="15"/>
              </w:numPr>
              <w:rPr>
                <w:lang w:val="fr-FR"/>
              </w:rPr>
            </w:pPr>
            <w:r w:rsidRPr="0092102C">
              <w:rPr>
                <w:b/>
                <w:bCs/>
                <w:sz w:val="20"/>
                <w:szCs w:val="20"/>
                <w:lang w:val="fr-FR"/>
              </w:rPr>
              <w:t>Range of</w:t>
            </w:r>
            <w:r>
              <w:rPr>
                <w:lang w:val="fr-FR"/>
              </w:rPr>
              <w:t xml:space="preserve"> </w:t>
            </w:r>
            <w:r w:rsidRPr="009B30D3">
              <w:rPr>
                <w:b/>
                <w:bCs/>
                <w:i/>
                <w:iCs/>
                <w:sz w:val="20"/>
                <w:szCs w:val="20"/>
              </w:rPr>
              <w:t>Staphylococcus spp.</w:t>
            </w:r>
            <w:r w:rsidRPr="009B30D3">
              <w:rPr>
                <w:b/>
                <w:bCs/>
                <w:sz w:val="20"/>
                <w:szCs w:val="20"/>
              </w:rPr>
              <w:t xml:space="preserve"> counts (6.1×10² to 3.3×10³ CFU/g) w</w:t>
            </w:r>
            <w:r>
              <w:rPr>
                <w:b/>
                <w:bCs/>
                <w:sz w:val="20"/>
                <w:szCs w:val="20"/>
              </w:rPr>
              <w:t>ere</w:t>
            </w:r>
            <w:r w:rsidRPr="009B30D3">
              <w:rPr>
                <w:b/>
                <w:bCs/>
                <w:sz w:val="20"/>
                <w:szCs w:val="20"/>
              </w:rPr>
              <w:t xml:space="preserve"> provide</w:t>
            </w:r>
            <w:r>
              <w:rPr>
                <w:b/>
                <w:bCs/>
                <w:sz w:val="20"/>
                <w:szCs w:val="20"/>
              </w:rPr>
              <w:t>d in the submitted paper</w:t>
            </w:r>
          </w:p>
          <w:p w14:paraId="1B0109CE" w14:textId="77777777" w:rsidR="0092102C" w:rsidRPr="00C50BF2" w:rsidRDefault="000F7ABE" w:rsidP="0092102C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0"/>
                <w:szCs w:val="20"/>
                <w:lang w:val="fr-FR"/>
              </w:rPr>
            </w:pPr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present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evaluated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risk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r w:rsidRPr="00C50BF2">
              <w:rPr>
                <w:b/>
                <w:bCs/>
                <w:i/>
                <w:iCs/>
                <w:sz w:val="20"/>
                <w:szCs w:val="20"/>
                <w:lang w:val="fr-FR"/>
              </w:rPr>
              <w:t>S. aureus</w:t>
            </w:r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foodborne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poisoning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associated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pork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barbecues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sold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in Daloa</w:t>
            </w:r>
          </w:p>
          <w:p w14:paraId="0C0844D8" w14:textId="495C3908" w:rsidR="000F7ABE" w:rsidRPr="0092102C" w:rsidRDefault="00C50BF2" w:rsidP="0092102C">
            <w:pPr>
              <w:pStyle w:val="ListParagraph"/>
              <w:numPr>
                <w:ilvl w:val="0"/>
                <w:numId w:val="15"/>
              </w:numPr>
              <w:rPr>
                <w:lang w:val="fr-FR"/>
              </w:rPr>
            </w:pP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Maintaining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good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hygiene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and monitoring at points of sale for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pork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barbecues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is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essential to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prevent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contamination, as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theses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measures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help break the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chain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C50BF2">
              <w:rPr>
                <w:b/>
                <w:bCs/>
                <w:sz w:val="20"/>
                <w:szCs w:val="20"/>
                <w:lang w:val="fr-FR"/>
              </w:rPr>
              <w:t>pathogen</w:t>
            </w:r>
            <w:proofErr w:type="spellEnd"/>
            <w:r w:rsidRPr="00C50BF2">
              <w:rPr>
                <w:b/>
                <w:bCs/>
                <w:sz w:val="20"/>
                <w:szCs w:val="20"/>
                <w:lang w:val="fr-FR"/>
              </w:rPr>
              <w:t xml:space="preserve"> transmission.</w:t>
            </w:r>
          </w:p>
        </w:tc>
      </w:tr>
      <w:tr w:rsidR="006514EA" w:rsidRPr="00900E9B" w14:paraId="0478F20E" w14:textId="77777777">
        <w:trPr>
          <w:trHeight w:val="704"/>
        </w:trPr>
        <w:tc>
          <w:tcPr>
            <w:tcW w:w="1265" w:type="pct"/>
            <w:noWrap/>
          </w:tcPr>
          <w:p w14:paraId="73042F61" w14:textId="77777777" w:rsidR="006514EA" w:rsidRPr="00900E9B" w:rsidRDefault="006514E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4EA835B" w14:textId="77777777" w:rsidR="009B30D3" w:rsidRPr="009B30D3" w:rsidRDefault="009B30D3" w:rsidP="009B30D3">
            <w:pPr>
              <w:pStyle w:val="ListParagraph"/>
              <w:rPr>
                <w:bCs/>
                <w:sz w:val="20"/>
                <w:szCs w:val="20"/>
              </w:rPr>
            </w:pPr>
            <w:r w:rsidRPr="009B30D3">
              <w:rPr>
                <w:bCs/>
                <w:sz w:val="20"/>
                <w:szCs w:val="20"/>
              </w:rPr>
              <w:t>Yes, the manuscript is scientifically sound and follows established microbiological and molecular protocols.</w:t>
            </w:r>
            <w:r>
              <w:rPr>
                <w:bCs/>
                <w:sz w:val="20"/>
                <w:szCs w:val="20"/>
              </w:rPr>
              <w:br/>
            </w:r>
            <w:r w:rsidRPr="009B30D3">
              <w:rPr>
                <w:bCs/>
                <w:sz w:val="20"/>
                <w:szCs w:val="20"/>
              </w:rPr>
              <w:t>However, a few refinements could further strengthen the scientific rigor:</w:t>
            </w:r>
          </w:p>
          <w:p w14:paraId="73BE134C" w14:textId="77777777" w:rsidR="009B30D3" w:rsidRPr="009B30D3" w:rsidRDefault="009B30D3" w:rsidP="009B30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9B30D3">
              <w:rPr>
                <w:bCs/>
                <w:sz w:val="20"/>
                <w:szCs w:val="20"/>
              </w:rPr>
              <w:t xml:space="preserve">Include details on </w:t>
            </w:r>
            <w:r w:rsidRPr="009B30D3">
              <w:rPr>
                <w:b/>
                <w:bCs/>
                <w:sz w:val="20"/>
                <w:szCs w:val="20"/>
              </w:rPr>
              <w:t>replicates and controls</w:t>
            </w:r>
            <w:r w:rsidRPr="009B30D3">
              <w:rPr>
                <w:bCs/>
                <w:sz w:val="20"/>
                <w:szCs w:val="20"/>
              </w:rPr>
              <w:t xml:space="preserve"> for the microbiological tests to enhance reproducibility.</w:t>
            </w:r>
          </w:p>
          <w:p w14:paraId="5DF73142" w14:textId="77777777" w:rsidR="009B30D3" w:rsidRPr="009B30D3" w:rsidRDefault="009B30D3" w:rsidP="009B30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9B30D3">
              <w:rPr>
                <w:bCs/>
                <w:sz w:val="20"/>
                <w:szCs w:val="20"/>
              </w:rPr>
              <w:t xml:space="preserve">Provide a brief justification for the </w:t>
            </w:r>
            <w:r w:rsidRPr="009B30D3">
              <w:rPr>
                <w:b/>
                <w:bCs/>
                <w:sz w:val="20"/>
                <w:szCs w:val="20"/>
              </w:rPr>
              <w:t>sample size (n = 20)</w:t>
            </w:r>
            <w:r w:rsidRPr="009B30D3">
              <w:rPr>
                <w:bCs/>
                <w:sz w:val="20"/>
                <w:szCs w:val="20"/>
              </w:rPr>
              <w:t xml:space="preserve"> to demonstrate representativeness.</w:t>
            </w:r>
          </w:p>
          <w:p w14:paraId="6F29AB7B" w14:textId="77777777" w:rsidR="009B30D3" w:rsidRPr="009B30D3" w:rsidRDefault="009B30D3" w:rsidP="009B30D3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 w:rsidRPr="009B30D3">
              <w:rPr>
                <w:bCs/>
                <w:sz w:val="20"/>
                <w:szCs w:val="20"/>
              </w:rPr>
              <w:t xml:space="preserve">Clarify whether </w:t>
            </w:r>
            <w:r w:rsidRPr="009B30D3">
              <w:rPr>
                <w:b/>
                <w:bCs/>
                <w:sz w:val="20"/>
                <w:szCs w:val="20"/>
              </w:rPr>
              <w:t>antibiotic susceptibility testing</w:t>
            </w:r>
            <w:r w:rsidRPr="009B30D3">
              <w:rPr>
                <w:bCs/>
                <w:sz w:val="20"/>
                <w:szCs w:val="20"/>
              </w:rPr>
              <w:t xml:space="preserve"> was performed in triplicate and how </w:t>
            </w:r>
            <w:r w:rsidRPr="009B30D3">
              <w:rPr>
                <w:b/>
                <w:bCs/>
                <w:sz w:val="20"/>
                <w:szCs w:val="20"/>
              </w:rPr>
              <w:t>interpretation zones</w:t>
            </w:r>
            <w:r w:rsidRPr="009B30D3">
              <w:rPr>
                <w:bCs/>
                <w:sz w:val="20"/>
                <w:szCs w:val="20"/>
              </w:rPr>
              <w:t xml:space="preserve"> followed CASFM/EUCAST guidelines.</w:t>
            </w:r>
          </w:p>
          <w:p w14:paraId="029A8152" w14:textId="2CA48D37" w:rsidR="006514EA" w:rsidRPr="00C115E9" w:rsidRDefault="006514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B5B713" w14:textId="573D46B1" w:rsidR="00826B30" w:rsidRDefault="00826B30" w:rsidP="00826B30">
            <w:pPr>
              <w:pStyle w:val="Heading2"/>
              <w:ind w:left="720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  <w:p w14:paraId="3BF9E3D5" w14:textId="77777777" w:rsidR="00826B30" w:rsidRPr="00826B30" w:rsidRDefault="00826B30" w:rsidP="00826B30">
            <w:pPr>
              <w:rPr>
                <w:lang w:val="en-GB"/>
              </w:rPr>
            </w:pPr>
          </w:p>
          <w:p w14:paraId="3B3E2D0E" w14:textId="77777777" w:rsidR="00DE723D" w:rsidRPr="00DE723D" w:rsidRDefault="003E098F" w:rsidP="00DE723D">
            <w:pPr>
              <w:pStyle w:val="Heading2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proofErr w:type="spellStart"/>
            <w:r w:rsidRPr="00826B30">
              <w:rPr>
                <w:rFonts w:ascii="Times New Roman" w:hAnsi="Times New Roman" w:cs="Times New Roman"/>
                <w:b w:val="0"/>
                <w:bCs w:val="0"/>
              </w:rPr>
              <w:t>Experiences</w:t>
            </w:r>
            <w:proofErr w:type="spellEnd"/>
            <w:r w:rsidRPr="00826B30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826B30">
              <w:rPr>
                <w:rFonts w:ascii="Times New Roman" w:hAnsi="Times New Roman" w:cs="Times New Roman"/>
                <w:b w:val="0"/>
                <w:bCs w:val="0"/>
              </w:rPr>
              <w:t>were</w:t>
            </w:r>
            <w:proofErr w:type="spellEnd"/>
            <w:r w:rsidRPr="00826B30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826B30">
              <w:rPr>
                <w:rFonts w:ascii="Times New Roman" w:hAnsi="Times New Roman" w:cs="Times New Roman"/>
                <w:b w:val="0"/>
                <w:bCs w:val="0"/>
              </w:rPr>
              <w:t>carried</w:t>
            </w:r>
            <w:proofErr w:type="spellEnd"/>
            <w:r w:rsidRPr="00826B30">
              <w:rPr>
                <w:rFonts w:ascii="Times New Roman" w:hAnsi="Times New Roman" w:cs="Times New Roman"/>
                <w:b w:val="0"/>
                <w:bCs w:val="0"/>
              </w:rPr>
              <w:t xml:space="preserve"> out in duplicate</w:t>
            </w:r>
            <w:bookmarkStart w:id="2" w:name="_Hlk213005151"/>
          </w:p>
          <w:p w14:paraId="630A9AC2" w14:textId="0BA082CF" w:rsidR="00DE723D" w:rsidRDefault="00304196" w:rsidP="00DE723D">
            <w:pPr>
              <w:pStyle w:val="Heading2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E723D">
              <w:rPr>
                <w:rFonts w:ascii="Times New Roman" w:hAnsi="Times New Roman" w:cs="Times New Roman"/>
                <w:b w:val="0"/>
                <w:bCs w:val="0"/>
              </w:rPr>
              <w:t>S</w:t>
            </w:r>
            <w:proofErr w:type="spellStart"/>
            <w:r w:rsidRPr="00DE723D">
              <w:rPr>
                <w:rFonts w:ascii="Times New Roman" w:hAnsi="Times New Roman"/>
                <w:b w:val="0"/>
                <w:lang w:val="en-GB"/>
              </w:rPr>
              <w:t>amples</w:t>
            </w:r>
            <w:proofErr w:type="spellEnd"/>
            <w:r w:rsidRPr="00DE723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spellStart"/>
            <w:r w:rsidRPr="00DE723D">
              <w:rPr>
                <w:rFonts w:ascii="Times New Roman" w:hAnsi="Times New Roman"/>
                <w:b w:val="0"/>
                <w:lang w:val="en-GB"/>
              </w:rPr>
              <w:t>analyzed</w:t>
            </w:r>
            <w:proofErr w:type="spellEnd"/>
            <w:r w:rsidRPr="00DE723D">
              <w:rPr>
                <w:rFonts w:ascii="Times New Roman" w:hAnsi="Times New Roman"/>
                <w:b w:val="0"/>
                <w:lang w:val="en-GB"/>
              </w:rPr>
              <w:t xml:space="preserve"> in this study were composite samples. Each composite sample consisted of four elementary pork samples randomly selected from a single production at the vendor chosen</w:t>
            </w:r>
            <w:bookmarkEnd w:id="2"/>
            <w:r w:rsidRPr="00DE723D">
              <w:rPr>
                <w:rFonts w:ascii="Times New Roman" w:hAnsi="Times New Roman"/>
                <w:b w:val="0"/>
                <w:lang w:val="en-GB"/>
              </w:rPr>
              <w:t>.</w:t>
            </w:r>
            <w:r w:rsidR="00DE723D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DE723D">
              <w:rPr>
                <w:rFonts w:ascii="Times New Roman" w:hAnsi="Times New Roman"/>
                <w:b w:val="0"/>
                <w:lang w:val="en-GB"/>
              </w:rPr>
              <w:t>These sampling details are included in the methodology</w:t>
            </w:r>
            <w:r w:rsidR="00DE723D">
              <w:rPr>
                <w:rFonts w:ascii="Times New Roman" w:hAnsi="Times New Roman"/>
                <w:b w:val="0"/>
                <w:lang w:val="en-GB"/>
              </w:rPr>
              <w:t>.</w:t>
            </w:r>
          </w:p>
          <w:p w14:paraId="50DB94C1" w14:textId="7EC0DF4F" w:rsidR="00DE723D" w:rsidRPr="00DE723D" w:rsidRDefault="00DE723D" w:rsidP="00DE723D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  <w:lang w:val="en-GB"/>
              </w:rPr>
            </w:pPr>
            <w:r w:rsidRPr="00DE723D">
              <w:rPr>
                <w:sz w:val="20"/>
                <w:szCs w:val="20"/>
              </w:rPr>
              <w:t xml:space="preserve">Experiences were carried out in duplicate. Inhibition zone diameters (ID) were measured in </w:t>
            </w:r>
            <w:proofErr w:type="spellStart"/>
            <w:r w:rsidRPr="00DE723D">
              <w:rPr>
                <w:sz w:val="20"/>
                <w:szCs w:val="20"/>
              </w:rPr>
              <w:t>millimetres</w:t>
            </w:r>
            <w:proofErr w:type="spellEnd"/>
            <w:r w:rsidRPr="00DE723D">
              <w:rPr>
                <w:sz w:val="20"/>
                <w:szCs w:val="20"/>
              </w:rPr>
              <w:t xml:space="preserve"> and interpreted as Susceptible (ID ≥ susceptibility cutoff diameter), Intermediate (resistance cutoff diameter &lt;</w:t>
            </w:r>
            <w:r>
              <w:rPr>
                <w:sz w:val="20"/>
                <w:szCs w:val="20"/>
              </w:rPr>
              <w:t xml:space="preserve"> </w:t>
            </w:r>
            <w:r w:rsidRPr="00DE723D">
              <w:rPr>
                <w:sz w:val="20"/>
                <w:szCs w:val="20"/>
              </w:rPr>
              <w:t>ID</w:t>
            </w:r>
            <w:r>
              <w:rPr>
                <w:sz w:val="20"/>
                <w:szCs w:val="20"/>
              </w:rPr>
              <w:t xml:space="preserve"> </w:t>
            </w:r>
            <w:r w:rsidRPr="00DE723D">
              <w:rPr>
                <w:sz w:val="20"/>
                <w:szCs w:val="20"/>
              </w:rPr>
              <w:t>&lt; susceptibility cutoff diameter), or Resistant (ID ≤ resistance cutoff diameter) according to CASFM/EUCAST breakpoints (Table 1) (CASFM/EUCAST, 2022).</w:t>
            </w:r>
            <w:r>
              <w:rPr>
                <w:sz w:val="20"/>
                <w:szCs w:val="20"/>
              </w:rPr>
              <w:t xml:space="preserve"> D</w:t>
            </w:r>
            <w:proofErr w:type="spellStart"/>
            <w:r w:rsidRPr="00DE723D">
              <w:rPr>
                <w:sz w:val="20"/>
                <w:szCs w:val="20"/>
                <w:lang w:val="en-GB"/>
              </w:rPr>
              <w:t>etails</w:t>
            </w:r>
            <w:proofErr w:type="spellEnd"/>
            <w:r w:rsidRPr="00DE723D">
              <w:rPr>
                <w:sz w:val="20"/>
                <w:szCs w:val="20"/>
                <w:lang w:val="en-GB"/>
              </w:rPr>
              <w:t xml:space="preserve"> are included in the methodology</w:t>
            </w:r>
          </w:p>
          <w:p w14:paraId="459F991E" w14:textId="77777777" w:rsidR="00DE723D" w:rsidRPr="00DE723D" w:rsidRDefault="00DE723D" w:rsidP="00DE723D">
            <w:pPr>
              <w:rPr>
                <w:sz w:val="20"/>
                <w:szCs w:val="20"/>
                <w:lang w:val="en-GB"/>
              </w:rPr>
            </w:pPr>
          </w:p>
          <w:p w14:paraId="7C5FDB9C" w14:textId="7835DFE2" w:rsidR="00F374C9" w:rsidRPr="00F374C9" w:rsidRDefault="00F374C9" w:rsidP="00F374C9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139C28CE" w14:textId="77777777">
        <w:trPr>
          <w:trHeight w:val="703"/>
        </w:trPr>
        <w:tc>
          <w:tcPr>
            <w:tcW w:w="1265" w:type="pct"/>
            <w:noWrap/>
          </w:tcPr>
          <w:p w14:paraId="2EEAA960" w14:textId="77777777" w:rsidR="006514EA" w:rsidRPr="00E10705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2767681" w14:textId="4496177D" w:rsidR="006514EA" w:rsidRDefault="009B30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B30D3">
              <w:rPr>
                <w:bCs/>
                <w:sz w:val="20"/>
                <w:szCs w:val="20"/>
              </w:rPr>
              <w:t>The references are adequate</w:t>
            </w:r>
          </w:p>
          <w:p w14:paraId="7B709ABE" w14:textId="35ACF82C" w:rsidR="009B30D3" w:rsidRPr="009B30D3" w:rsidRDefault="009B30D3" w:rsidP="009B30D3">
            <w:pPr>
              <w:tabs>
                <w:tab w:val="left" w:pos="92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  <w:tc>
          <w:tcPr>
            <w:tcW w:w="1523" w:type="pct"/>
          </w:tcPr>
          <w:p w14:paraId="29ED672E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6A4F1B4A" w14:textId="77777777">
        <w:trPr>
          <w:trHeight w:val="386"/>
        </w:trPr>
        <w:tc>
          <w:tcPr>
            <w:tcW w:w="1265" w:type="pct"/>
            <w:noWrap/>
          </w:tcPr>
          <w:p w14:paraId="68D61930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89122AC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EC1153" w14:textId="5983E3EA" w:rsidR="006514EA" w:rsidRPr="00900E9B" w:rsidRDefault="009B30D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618C45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3EADDFB7" w14:textId="77777777">
        <w:trPr>
          <w:trHeight w:val="1178"/>
        </w:trPr>
        <w:tc>
          <w:tcPr>
            <w:tcW w:w="1265" w:type="pct"/>
            <w:noWrap/>
          </w:tcPr>
          <w:p w14:paraId="77D6D91F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854620B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841E324" w14:textId="77777777" w:rsidR="006514EA" w:rsidRPr="000D0955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2B396D3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A34E095" w14:textId="77777777" w:rsidR="006514EA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A0F4C" w:rsidRPr="00340561" w14:paraId="72E51BF3" w14:textId="77777777" w:rsidTr="001E623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8F55" w14:textId="77777777" w:rsidR="00EA0F4C" w:rsidRPr="00340561" w:rsidRDefault="00EA0F4C" w:rsidP="001E6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8E6C80" w14:textId="77777777" w:rsidR="00EA0F4C" w:rsidRPr="00340561" w:rsidRDefault="00EA0F4C" w:rsidP="001E6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0F4C" w:rsidRPr="00340561" w14:paraId="33D3CE68" w14:textId="77777777" w:rsidTr="001E623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E34FC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88BA" w14:textId="77777777" w:rsidR="00EA0F4C" w:rsidRPr="00340561" w:rsidRDefault="00EA0F4C" w:rsidP="001E6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9D137F7" w14:textId="77777777" w:rsidR="00EA0F4C" w:rsidRPr="008608EB" w:rsidRDefault="00EA0F4C" w:rsidP="001E62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5CC3E3" w14:textId="77777777" w:rsidR="00EA0F4C" w:rsidRPr="00340561" w:rsidRDefault="00EA0F4C" w:rsidP="001E6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0F4C" w:rsidRPr="00340561" w14:paraId="0E9DA257" w14:textId="77777777" w:rsidTr="001E623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37AF" w14:textId="77777777" w:rsidR="00EA0F4C" w:rsidRPr="00340561" w:rsidRDefault="00EA0F4C" w:rsidP="001E62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3F0E7C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BAA0D" w14:textId="77777777" w:rsidR="00EA0F4C" w:rsidRPr="00340561" w:rsidRDefault="00EA0F4C" w:rsidP="001E62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B578A10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5883BF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6C2FAA6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1677FD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05FBE6" w14:textId="77777777" w:rsidR="00EA0F4C" w:rsidRPr="00340561" w:rsidRDefault="00EA0F4C" w:rsidP="001E6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06999C7" w14:textId="77777777" w:rsidR="00EA0F4C" w:rsidRDefault="00EA0F4C" w:rsidP="00EA0F4C"/>
    <w:p w14:paraId="7E3D4DA4" w14:textId="77777777" w:rsidR="00EA0F4C" w:rsidRDefault="00EA0F4C" w:rsidP="00EA0F4C"/>
    <w:p w14:paraId="10D8916E" w14:textId="77777777" w:rsidR="00EA0F4C" w:rsidRPr="00375011" w:rsidRDefault="00EA0F4C" w:rsidP="00EA0F4C">
      <w:pPr>
        <w:rPr>
          <w:bCs/>
          <w:u w:val="single"/>
          <w:lang w:val="en-GB"/>
        </w:rPr>
      </w:pPr>
    </w:p>
    <w:bookmarkEnd w:id="4"/>
    <w:p w14:paraId="5F4FDE62" w14:textId="77777777" w:rsidR="00EA0F4C" w:rsidRDefault="00EA0F4C" w:rsidP="00EA0F4C"/>
    <w:p w14:paraId="6570DB8C" w14:textId="77777777" w:rsidR="008913D5" w:rsidRDefault="008913D5" w:rsidP="00EA0F4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C270" w14:textId="77777777" w:rsidR="006963FD" w:rsidRPr="0000007A" w:rsidRDefault="006963FD" w:rsidP="0099583E">
      <w:r>
        <w:separator/>
      </w:r>
    </w:p>
  </w:endnote>
  <w:endnote w:type="continuationSeparator" w:id="0">
    <w:p w14:paraId="4FDB0405" w14:textId="77777777" w:rsidR="006963FD" w:rsidRPr="0000007A" w:rsidRDefault="006963F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0BC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9229E" w14:textId="77777777" w:rsidR="006963FD" w:rsidRPr="0000007A" w:rsidRDefault="006963FD" w:rsidP="0099583E">
      <w:r>
        <w:separator/>
      </w:r>
    </w:p>
  </w:footnote>
  <w:footnote w:type="continuationSeparator" w:id="0">
    <w:p w14:paraId="7D09F622" w14:textId="77777777" w:rsidR="006963FD" w:rsidRPr="0000007A" w:rsidRDefault="006963F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D77B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45FB5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61E87"/>
    <w:multiLevelType w:val="hybridMultilevel"/>
    <w:tmpl w:val="98FEB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D74FE"/>
    <w:multiLevelType w:val="multilevel"/>
    <w:tmpl w:val="18DE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982A5A"/>
    <w:multiLevelType w:val="hybridMultilevel"/>
    <w:tmpl w:val="FE14DA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7F2443"/>
    <w:multiLevelType w:val="multilevel"/>
    <w:tmpl w:val="CD76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3689">
    <w:abstractNumId w:val="4"/>
  </w:num>
  <w:num w:numId="2" w16cid:durableId="273707781">
    <w:abstractNumId w:val="8"/>
  </w:num>
  <w:num w:numId="3" w16cid:durableId="713818828">
    <w:abstractNumId w:val="7"/>
  </w:num>
  <w:num w:numId="4" w16cid:durableId="18705224">
    <w:abstractNumId w:val="9"/>
  </w:num>
  <w:num w:numId="5" w16cid:durableId="196896113">
    <w:abstractNumId w:val="6"/>
  </w:num>
  <w:num w:numId="6" w16cid:durableId="860782003">
    <w:abstractNumId w:val="0"/>
  </w:num>
  <w:num w:numId="7" w16cid:durableId="1259603762">
    <w:abstractNumId w:val="3"/>
  </w:num>
  <w:num w:numId="8" w16cid:durableId="487944468">
    <w:abstractNumId w:val="14"/>
  </w:num>
  <w:num w:numId="9" w16cid:durableId="548538679">
    <w:abstractNumId w:val="13"/>
  </w:num>
  <w:num w:numId="10" w16cid:durableId="974604732">
    <w:abstractNumId w:val="2"/>
  </w:num>
  <w:num w:numId="11" w16cid:durableId="2045669579">
    <w:abstractNumId w:val="1"/>
  </w:num>
  <w:num w:numId="12" w16cid:durableId="311449693">
    <w:abstractNumId w:val="5"/>
  </w:num>
  <w:num w:numId="13" w16cid:durableId="1895047720">
    <w:abstractNumId w:val="11"/>
  </w:num>
  <w:num w:numId="14" w16cid:durableId="1182627710">
    <w:abstractNumId w:val="15"/>
  </w:num>
  <w:num w:numId="15" w16cid:durableId="725227070">
    <w:abstractNumId w:val="12"/>
  </w:num>
  <w:num w:numId="16" w16cid:durableId="3012312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7ABE"/>
    <w:rsid w:val="00100577"/>
    <w:rsid w:val="00101322"/>
    <w:rsid w:val="00136984"/>
    <w:rsid w:val="0013719F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3A85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EA9"/>
    <w:rsid w:val="002E1211"/>
    <w:rsid w:val="002E2339"/>
    <w:rsid w:val="002E6D86"/>
    <w:rsid w:val="002F1156"/>
    <w:rsid w:val="002F6935"/>
    <w:rsid w:val="00304196"/>
    <w:rsid w:val="00312559"/>
    <w:rsid w:val="003204B8"/>
    <w:rsid w:val="0033692F"/>
    <w:rsid w:val="00346223"/>
    <w:rsid w:val="0037486B"/>
    <w:rsid w:val="003A04E7"/>
    <w:rsid w:val="003A4991"/>
    <w:rsid w:val="003A6E1A"/>
    <w:rsid w:val="003B2172"/>
    <w:rsid w:val="003C7FC9"/>
    <w:rsid w:val="003D79CD"/>
    <w:rsid w:val="003E098F"/>
    <w:rsid w:val="003E746A"/>
    <w:rsid w:val="0042465A"/>
    <w:rsid w:val="004334BE"/>
    <w:rsid w:val="004356CC"/>
    <w:rsid w:val="00435B36"/>
    <w:rsid w:val="0044184B"/>
    <w:rsid w:val="00442B24"/>
    <w:rsid w:val="0044444D"/>
    <w:rsid w:val="00444CD6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965B7"/>
    <w:rsid w:val="005A30BE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71E8"/>
    <w:rsid w:val="006514EA"/>
    <w:rsid w:val="006532DF"/>
    <w:rsid w:val="0065579D"/>
    <w:rsid w:val="00662516"/>
    <w:rsid w:val="00663792"/>
    <w:rsid w:val="0067046C"/>
    <w:rsid w:val="00676845"/>
    <w:rsid w:val="00680547"/>
    <w:rsid w:val="0068446F"/>
    <w:rsid w:val="0069428E"/>
    <w:rsid w:val="006963FD"/>
    <w:rsid w:val="00696CAD"/>
    <w:rsid w:val="006A5E0B"/>
    <w:rsid w:val="006C3797"/>
    <w:rsid w:val="006E7D6E"/>
    <w:rsid w:val="006F6F2F"/>
    <w:rsid w:val="00701186"/>
    <w:rsid w:val="00701565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0111"/>
    <w:rsid w:val="007A6AA0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30"/>
    <w:rsid w:val="00831055"/>
    <w:rsid w:val="008423BB"/>
    <w:rsid w:val="00846F1F"/>
    <w:rsid w:val="0085404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E21"/>
    <w:rsid w:val="008F36E4"/>
    <w:rsid w:val="0092102C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30D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519D1"/>
    <w:rsid w:val="00A56FB9"/>
    <w:rsid w:val="00A6229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26554"/>
    <w:rsid w:val="00B3033D"/>
    <w:rsid w:val="00B356AF"/>
    <w:rsid w:val="00B62087"/>
    <w:rsid w:val="00B62F41"/>
    <w:rsid w:val="00B73785"/>
    <w:rsid w:val="00B760E1"/>
    <w:rsid w:val="00B807F8"/>
    <w:rsid w:val="00B858FF"/>
    <w:rsid w:val="00B86783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50BF2"/>
    <w:rsid w:val="00C635B6"/>
    <w:rsid w:val="00C63FB9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DE723D"/>
    <w:rsid w:val="00E3004F"/>
    <w:rsid w:val="00E451EA"/>
    <w:rsid w:val="00E53E52"/>
    <w:rsid w:val="00E57F4B"/>
    <w:rsid w:val="00E63889"/>
    <w:rsid w:val="00E65EB7"/>
    <w:rsid w:val="00E71C8D"/>
    <w:rsid w:val="00E72360"/>
    <w:rsid w:val="00E93C9F"/>
    <w:rsid w:val="00E972A7"/>
    <w:rsid w:val="00EA0F4C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374C9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6AD61"/>
  <w15:chartTrackingRefBased/>
  <w15:docId w15:val="{807CD9C1-ABAE-4126-B0C7-EC51DF0A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333FC-6CA4-4DF9-B9C9-CCA8C121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9</cp:revision>
  <dcterms:created xsi:type="dcterms:W3CDTF">2025-11-02T15:05:00Z</dcterms:created>
  <dcterms:modified xsi:type="dcterms:W3CDTF">2025-11-03T05:29:00Z</dcterms:modified>
</cp:coreProperties>
</file>