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C3D69" w:rsidRPr="00B774F9" w:rsidRDefault="005C3D6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C3D69" w:rsidRPr="00B774F9">
        <w:trPr>
          <w:trHeight w:val="290"/>
        </w:trPr>
        <w:tc>
          <w:tcPr>
            <w:tcW w:w="20934" w:type="dxa"/>
            <w:gridSpan w:val="2"/>
            <w:tcBorders>
              <w:top w:val="nil"/>
              <w:left w:val="nil"/>
              <w:right w:val="nil"/>
            </w:tcBorders>
          </w:tcPr>
          <w:p w:rsidR="005C3D69" w:rsidRPr="00B774F9" w:rsidRDefault="005C3D69">
            <w:pPr>
              <w:pStyle w:val="Heading2"/>
              <w:jc w:val="left"/>
              <w:rPr>
                <w:rFonts w:ascii="Arial" w:eastAsia="Arial" w:hAnsi="Arial" w:cs="Arial"/>
                <w:b w:val="0"/>
              </w:rPr>
            </w:pPr>
          </w:p>
        </w:tc>
      </w:tr>
      <w:tr w:rsidR="005C3D69" w:rsidRPr="00B774F9">
        <w:trPr>
          <w:trHeight w:val="290"/>
        </w:trPr>
        <w:tc>
          <w:tcPr>
            <w:tcW w:w="5167" w:type="dxa"/>
          </w:tcPr>
          <w:p w:rsidR="005C3D69" w:rsidRPr="00B774F9" w:rsidRDefault="002C6796">
            <w:pPr>
              <w:pBdr>
                <w:top w:val="nil"/>
                <w:left w:val="nil"/>
                <w:bottom w:val="nil"/>
                <w:right w:val="nil"/>
                <w:between w:val="nil"/>
              </w:pBdr>
              <w:ind w:left="90"/>
              <w:rPr>
                <w:rFonts w:ascii="Arial" w:eastAsia="Arial" w:hAnsi="Arial" w:cs="Arial"/>
                <w:color w:val="000000"/>
                <w:sz w:val="20"/>
                <w:szCs w:val="20"/>
              </w:rPr>
            </w:pPr>
            <w:r w:rsidRPr="00B774F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C3D69" w:rsidRPr="00B774F9" w:rsidRDefault="002C6796">
            <w:pPr>
              <w:rPr>
                <w:rFonts w:ascii="Arial" w:eastAsia="Arial" w:hAnsi="Arial" w:cs="Arial"/>
                <w:color w:val="0000FF"/>
                <w:sz w:val="20"/>
                <w:szCs w:val="20"/>
              </w:rPr>
            </w:pPr>
            <w:hyperlink r:id="rId7">
              <w:r w:rsidRPr="00B774F9">
                <w:rPr>
                  <w:rFonts w:ascii="Arial" w:eastAsia="Arial" w:hAnsi="Arial" w:cs="Arial"/>
                  <w:b/>
                  <w:color w:val="0000FF"/>
                  <w:sz w:val="20"/>
                  <w:szCs w:val="20"/>
                  <w:u w:val="single"/>
                </w:rPr>
                <w:t>Biotechnology Journal International</w:t>
              </w:r>
            </w:hyperlink>
            <w:r w:rsidRPr="00B774F9">
              <w:rPr>
                <w:rFonts w:ascii="Arial" w:eastAsia="Arial" w:hAnsi="Arial" w:cs="Arial"/>
                <w:b/>
                <w:color w:val="0000FF"/>
                <w:sz w:val="20"/>
                <w:szCs w:val="20"/>
              </w:rPr>
              <w:t xml:space="preserve"> </w:t>
            </w:r>
          </w:p>
        </w:tc>
      </w:tr>
      <w:tr w:rsidR="005C3D69" w:rsidRPr="00B774F9">
        <w:trPr>
          <w:trHeight w:val="290"/>
        </w:trPr>
        <w:tc>
          <w:tcPr>
            <w:tcW w:w="5167" w:type="dxa"/>
          </w:tcPr>
          <w:p w:rsidR="005C3D69" w:rsidRPr="00B774F9" w:rsidRDefault="002C6796">
            <w:pPr>
              <w:pBdr>
                <w:top w:val="nil"/>
                <w:left w:val="nil"/>
                <w:bottom w:val="nil"/>
                <w:right w:val="nil"/>
                <w:between w:val="nil"/>
              </w:pBdr>
              <w:ind w:left="90"/>
              <w:rPr>
                <w:rFonts w:ascii="Arial" w:eastAsia="Arial" w:hAnsi="Arial" w:cs="Arial"/>
                <w:color w:val="000000"/>
                <w:sz w:val="20"/>
                <w:szCs w:val="20"/>
              </w:rPr>
            </w:pPr>
            <w:r w:rsidRPr="00B774F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C3D69" w:rsidRPr="00B774F9" w:rsidRDefault="002C6796">
            <w:pPr>
              <w:pBdr>
                <w:top w:val="nil"/>
                <w:left w:val="nil"/>
                <w:bottom w:val="nil"/>
                <w:right w:val="nil"/>
                <w:between w:val="nil"/>
              </w:pBdr>
              <w:rPr>
                <w:rFonts w:ascii="Arial" w:eastAsia="Arial" w:hAnsi="Arial" w:cs="Arial"/>
                <w:color w:val="000000"/>
                <w:sz w:val="20"/>
                <w:szCs w:val="20"/>
              </w:rPr>
            </w:pPr>
            <w:r w:rsidRPr="00B774F9">
              <w:rPr>
                <w:rFonts w:ascii="Arial" w:eastAsia="Arial" w:hAnsi="Arial" w:cs="Arial"/>
                <w:b/>
                <w:color w:val="000000"/>
                <w:sz w:val="20"/>
                <w:szCs w:val="20"/>
              </w:rPr>
              <w:t>Ms_BJI_146864</w:t>
            </w:r>
          </w:p>
        </w:tc>
      </w:tr>
      <w:tr w:rsidR="005C3D69" w:rsidRPr="00B774F9">
        <w:trPr>
          <w:trHeight w:val="650"/>
        </w:trPr>
        <w:tc>
          <w:tcPr>
            <w:tcW w:w="5167" w:type="dxa"/>
          </w:tcPr>
          <w:p w:rsidR="005C3D69" w:rsidRPr="00B774F9" w:rsidRDefault="002C6796">
            <w:pPr>
              <w:pBdr>
                <w:top w:val="nil"/>
                <w:left w:val="nil"/>
                <w:bottom w:val="nil"/>
                <w:right w:val="nil"/>
                <w:between w:val="nil"/>
              </w:pBdr>
              <w:ind w:left="90"/>
              <w:rPr>
                <w:rFonts w:ascii="Arial" w:eastAsia="Arial" w:hAnsi="Arial" w:cs="Arial"/>
                <w:color w:val="000000"/>
                <w:sz w:val="20"/>
                <w:szCs w:val="20"/>
              </w:rPr>
            </w:pPr>
            <w:r w:rsidRPr="00B774F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C3D69" w:rsidRPr="00B774F9" w:rsidRDefault="002C6796">
            <w:pPr>
              <w:pBdr>
                <w:top w:val="nil"/>
                <w:left w:val="nil"/>
                <w:bottom w:val="nil"/>
                <w:right w:val="nil"/>
                <w:between w:val="nil"/>
              </w:pBdr>
              <w:rPr>
                <w:rFonts w:ascii="Arial" w:eastAsia="Arial" w:hAnsi="Arial" w:cs="Arial"/>
                <w:color w:val="000000"/>
                <w:sz w:val="20"/>
                <w:szCs w:val="20"/>
              </w:rPr>
            </w:pPr>
            <w:r w:rsidRPr="00B774F9">
              <w:rPr>
                <w:rFonts w:ascii="Arial" w:eastAsia="Arial" w:hAnsi="Arial" w:cs="Arial"/>
                <w:b/>
                <w:color w:val="000000"/>
                <w:sz w:val="20"/>
                <w:szCs w:val="20"/>
              </w:rPr>
              <w:t>In-Silico Identification of Candidate Genes Related to Seed Zinc and Iron Concentration in Chickpea (</w:t>
            </w:r>
            <w:proofErr w:type="spellStart"/>
            <w:r w:rsidRPr="00B774F9">
              <w:rPr>
                <w:rFonts w:ascii="Arial" w:eastAsia="Arial" w:hAnsi="Arial" w:cs="Arial"/>
                <w:b/>
                <w:color w:val="000000"/>
                <w:sz w:val="20"/>
                <w:szCs w:val="20"/>
              </w:rPr>
              <w:t>Cicer</w:t>
            </w:r>
            <w:proofErr w:type="spellEnd"/>
            <w:r w:rsidRPr="00B774F9">
              <w:rPr>
                <w:rFonts w:ascii="Arial" w:eastAsia="Arial" w:hAnsi="Arial" w:cs="Arial"/>
                <w:b/>
                <w:color w:val="000000"/>
                <w:sz w:val="20"/>
                <w:szCs w:val="20"/>
              </w:rPr>
              <w:t xml:space="preserve"> arietinum L.)</w:t>
            </w:r>
          </w:p>
        </w:tc>
      </w:tr>
      <w:tr w:rsidR="005C3D69" w:rsidRPr="00B774F9">
        <w:trPr>
          <w:trHeight w:val="332"/>
        </w:trPr>
        <w:tc>
          <w:tcPr>
            <w:tcW w:w="5167" w:type="dxa"/>
          </w:tcPr>
          <w:p w:rsidR="005C3D69" w:rsidRPr="00B774F9" w:rsidRDefault="002C6796">
            <w:pPr>
              <w:pBdr>
                <w:top w:val="nil"/>
                <w:left w:val="nil"/>
                <w:bottom w:val="nil"/>
                <w:right w:val="nil"/>
                <w:between w:val="nil"/>
              </w:pBdr>
              <w:ind w:left="90"/>
              <w:rPr>
                <w:rFonts w:ascii="Arial" w:eastAsia="Arial" w:hAnsi="Arial" w:cs="Arial"/>
                <w:color w:val="000000"/>
                <w:sz w:val="20"/>
                <w:szCs w:val="20"/>
              </w:rPr>
            </w:pPr>
            <w:r w:rsidRPr="00B774F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C3D69" w:rsidRPr="00B774F9" w:rsidRDefault="002C6796">
            <w:pPr>
              <w:pBdr>
                <w:top w:val="nil"/>
                <w:left w:val="nil"/>
                <w:bottom w:val="nil"/>
                <w:right w:val="nil"/>
                <w:between w:val="nil"/>
              </w:pBdr>
              <w:rPr>
                <w:rFonts w:ascii="Arial" w:eastAsia="Arial" w:hAnsi="Arial" w:cs="Arial"/>
                <w:color w:val="000000"/>
                <w:sz w:val="20"/>
                <w:szCs w:val="20"/>
              </w:rPr>
            </w:pPr>
            <w:r w:rsidRPr="00B774F9">
              <w:rPr>
                <w:rFonts w:ascii="Arial" w:eastAsia="Arial" w:hAnsi="Arial" w:cs="Arial"/>
                <w:sz w:val="20"/>
                <w:szCs w:val="20"/>
              </w:rPr>
              <w:t>Original Research Article</w:t>
            </w:r>
          </w:p>
        </w:tc>
      </w:tr>
    </w:tbl>
    <w:p w:rsidR="005C3D69" w:rsidRPr="00B774F9" w:rsidRDefault="005C3D69">
      <w:pPr>
        <w:pBdr>
          <w:top w:val="nil"/>
          <w:left w:val="nil"/>
          <w:bottom w:val="nil"/>
          <w:right w:val="nil"/>
          <w:between w:val="nil"/>
        </w:pBdr>
        <w:jc w:val="both"/>
        <w:rPr>
          <w:rFonts w:ascii="Arial" w:eastAsia="Arial" w:hAnsi="Arial" w:cs="Arial"/>
          <w:color w:val="000000"/>
          <w:sz w:val="20"/>
          <w:szCs w:val="20"/>
          <w:u w:val="single"/>
        </w:rPr>
      </w:pPr>
      <w:bookmarkStart w:id="0" w:name="_heading=h.46guzrz75wcy" w:colFirst="0" w:colLast="0"/>
      <w:bookmarkEnd w:id="0"/>
    </w:p>
    <w:p w:rsidR="005C3D69" w:rsidRPr="00B774F9" w:rsidRDefault="005C3D69">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C3D69" w:rsidRPr="00B774F9">
        <w:tc>
          <w:tcPr>
            <w:tcW w:w="21150" w:type="dxa"/>
            <w:gridSpan w:val="3"/>
            <w:tcBorders>
              <w:top w:val="nil"/>
              <w:left w:val="nil"/>
              <w:right w:val="nil"/>
            </w:tcBorders>
          </w:tcPr>
          <w:p w:rsidR="005C3D69" w:rsidRPr="00B774F9" w:rsidRDefault="002C6796">
            <w:pPr>
              <w:pStyle w:val="Heading2"/>
              <w:jc w:val="left"/>
              <w:rPr>
                <w:rFonts w:ascii="Arial" w:eastAsia="Times New Roman" w:hAnsi="Arial" w:cs="Arial"/>
              </w:rPr>
            </w:pPr>
            <w:r w:rsidRPr="00B774F9">
              <w:rPr>
                <w:rFonts w:ascii="Arial" w:eastAsia="Times New Roman" w:hAnsi="Arial" w:cs="Arial"/>
                <w:highlight w:val="yellow"/>
              </w:rPr>
              <w:t>PART  1:</w:t>
            </w:r>
            <w:r w:rsidRPr="00B774F9">
              <w:rPr>
                <w:rFonts w:ascii="Arial" w:eastAsia="Times New Roman" w:hAnsi="Arial" w:cs="Arial"/>
              </w:rPr>
              <w:t xml:space="preserve"> Comments</w:t>
            </w:r>
          </w:p>
          <w:p w:rsidR="005C3D69" w:rsidRPr="00B774F9" w:rsidRDefault="005C3D69">
            <w:pPr>
              <w:rPr>
                <w:rFonts w:ascii="Arial" w:hAnsi="Arial" w:cs="Arial"/>
                <w:sz w:val="20"/>
                <w:szCs w:val="20"/>
              </w:rPr>
            </w:pPr>
          </w:p>
        </w:tc>
      </w:tr>
      <w:tr w:rsidR="005C3D69" w:rsidRPr="00B774F9">
        <w:tc>
          <w:tcPr>
            <w:tcW w:w="5351" w:type="dxa"/>
          </w:tcPr>
          <w:p w:rsidR="005C3D69" w:rsidRPr="00B774F9" w:rsidRDefault="005C3D69">
            <w:pPr>
              <w:pStyle w:val="Heading2"/>
              <w:jc w:val="left"/>
              <w:rPr>
                <w:rFonts w:ascii="Arial" w:eastAsia="Times New Roman" w:hAnsi="Arial" w:cs="Arial"/>
              </w:rPr>
            </w:pPr>
          </w:p>
        </w:tc>
        <w:tc>
          <w:tcPr>
            <w:tcW w:w="9357" w:type="dxa"/>
          </w:tcPr>
          <w:p w:rsidR="005C3D69" w:rsidRPr="00B774F9" w:rsidRDefault="002C6796">
            <w:pPr>
              <w:pStyle w:val="Heading2"/>
              <w:jc w:val="left"/>
              <w:rPr>
                <w:rFonts w:ascii="Arial" w:eastAsia="Times New Roman" w:hAnsi="Arial" w:cs="Arial"/>
              </w:rPr>
            </w:pPr>
            <w:r w:rsidRPr="00B774F9">
              <w:rPr>
                <w:rFonts w:ascii="Arial" w:eastAsia="Times New Roman" w:hAnsi="Arial" w:cs="Arial"/>
              </w:rPr>
              <w:t>Reviewer’s comment</w:t>
            </w:r>
          </w:p>
          <w:p w:rsidR="005C3D69" w:rsidRPr="00B774F9" w:rsidRDefault="002C6796">
            <w:pPr>
              <w:rPr>
                <w:rFonts w:ascii="Arial" w:hAnsi="Arial" w:cs="Arial"/>
                <w:sz w:val="20"/>
                <w:szCs w:val="20"/>
              </w:rPr>
            </w:pPr>
            <w:r w:rsidRPr="00B774F9">
              <w:rPr>
                <w:rFonts w:ascii="Arial" w:hAnsi="Arial" w:cs="Arial"/>
                <w:b/>
                <w:sz w:val="20"/>
                <w:szCs w:val="20"/>
                <w:highlight w:val="yellow"/>
              </w:rPr>
              <w:t>Artificial Intelligence (AI) generated or assisted review comments are strictly prohibited during peer review.</w:t>
            </w:r>
          </w:p>
          <w:p w:rsidR="005C3D69" w:rsidRPr="00B774F9" w:rsidRDefault="005C3D69">
            <w:pPr>
              <w:rPr>
                <w:rFonts w:ascii="Arial" w:hAnsi="Arial" w:cs="Arial"/>
                <w:sz w:val="20"/>
                <w:szCs w:val="20"/>
              </w:rPr>
            </w:pPr>
          </w:p>
        </w:tc>
        <w:tc>
          <w:tcPr>
            <w:tcW w:w="6442" w:type="dxa"/>
          </w:tcPr>
          <w:p w:rsidR="005C3D69" w:rsidRPr="00B774F9" w:rsidRDefault="002C6796">
            <w:pPr>
              <w:spacing w:after="160" w:line="254" w:lineRule="auto"/>
              <w:rPr>
                <w:rFonts w:ascii="Arial" w:hAnsi="Arial" w:cs="Arial"/>
                <w:sz w:val="20"/>
                <w:szCs w:val="20"/>
              </w:rPr>
            </w:pPr>
            <w:r w:rsidRPr="00B774F9">
              <w:rPr>
                <w:rFonts w:ascii="Arial" w:hAnsi="Arial" w:cs="Arial"/>
                <w:b/>
                <w:sz w:val="20"/>
                <w:szCs w:val="20"/>
              </w:rPr>
              <w:t>Author’s Feedback</w:t>
            </w:r>
            <w:r w:rsidRPr="00B774F9">
              <w:rPr>
                <w:rFonts w:ascii="Arial" w:hAnsi="Arial" w:cs="Arial"/>
                <w:sz w:val="20"/>
                <w:szCs w:val="20"/>
              </w:rPr>
              <w:t xml:space="preserve"> (It is mandatory that authors should write his/her feedback here)</w:t>
            </w:r>
          </w:p>
          <w:p w:rsidR="005C3D69" w:rsidRPr="00B774F9" w:rsidRDefault="005C3D69">
            <w:pPr>
              <w:pStyle w:val="Heading2"/>
              <w:jc w:val="left"/>
              <w:rPr>
                <w:rFonts w:ascii="Arial" w:eastAsia="Times New Roman" w:hAnsi="Arial" w:cs="Arial"/>
                <w:b w:val="0"/>
              </w:rPr>
            </w:pPr>
          </w:p>
        </w:tc>
      </w:tr>
      <w:tr w:rsidR="005C3D69" w:rsidRPr="00B774F9">
        <w:trPr>
          <w:trHeight w:val="1264"/>
        </w:trPr>
        <w:tc>
          <w:tcPr>
            <w:tcW w:w="5351" w:type="dxa"/>
          </w:tcPr>
          <w:p w:rsidR="005C3D69" w:rsidRPr="00B774F9" w:rsidRDefault="002C6796">
            <w:pPr>
              <w:ind w:left="360"/>
              <w:rPr>
                <w:rFonts w:ascii="Arial" w:hAnsi="Arial" w:cs="Arial"/>
                <w:sz w:val="20"/>
                <w:szCs w:val="20"/>
              </w:rPr>
            </w:pPr>
            <w:r w:rsidRPr="00B774F9">
              <w:rPr>
                <w:rFonts w:ascii="Arial" w:hAnsi="Arial" w:cs="Arial"/>
                <w:b/>
                <w:sz w:val="20"/>
                <w:szCs w:val="20"/>
              </w:rPr>
              <w:t>Please write a few sentences regarding the importance of t</w:t>
            </w:r>
            <w:r w:rsidRPr="00B774F9">
              <w:rPr>
                <w:rFonts w:ascii="Arial" w:hAnsi="Arial" w:cs="Arial"/>
                <w:b/>
                <w:sz w:val="20"/>
                <w:szCs w:val="20"/>
              </w:rPr>
              <w:t>his manuscript for the scientific community. A minimum of 3-4 sentences may be required for this part.</w:t>
            </w:r>
          </w:p>
          <w:p w:rsidR="005C3D69" w:rsidRPr="00B774F9" w:rsidRDefault="005C3D69">
            <w:pPr>
              <w:ind w:left="360"/>
              <w:rPr>
                <w:rFonts w:ascii="Arial" w:hAnsi="Arial" w:cs="Arial"/>
                <w:sz w:val="20"/>
                <w:szCs w:val="20"/>
              </w:rPr>
            </w:pPr>
          </w:p>
        </w:tc>
        <w:tc>
          <w:tcPr>
            <w:tcW w:w="9357" w:type="dxa"/>
          </w:tcPr>
          <w:p w:rsidR="005C3D69" w:rsidRPr="00B774F9" w:rsidRDefault="002C6796">
            <w:pPr>
              <w:pBdr>
                <w:top w:val="nil"/>
                <w:left w:val="nil"/>
                <w:bottom w:val="nil"/>
                <w:right w:val="nil"/>
                <w:between w:val="nil"/>
              </w:pBdr>
              <w:rPr>
                <w:rFonts w:ascii="Arial" w:hAnsi="Arial" w:cs="Arial"/>
                <w:color w:val="000000"/>
                <w:sz w:val="20"/>
                <w:szCs w:val="20"/>
              </w:rPr>
            </w:pPr>
            <w:r w:rsidRPr="00B774F9">
              <w:rPr>
                <w:rFonts w:ascii="Arial" w:hAnsi="Arial" w:cs="Arial"/>
                <w:color w:val="000000"/>
                <w:sz w:val="20"/>
                <w:szCs w:val="20"/>
              </w:rPr>
              <w:t>This manuscript holds significant importance for the scientific community as it integrates genomics and bioinformatics to address the pressing issue of micronutrient malnutrition through crop biofortification. By identifying candidate genes and SNPs associ</w:t>
            </w:r>
            <w:r w:rsidRPr="00B774F9">
              <w:rPr>
                <w:rFonts w:ascii="Arial" w:hAnsi="Arial" w:cs="Arial"/>
                <w:color w:val="000000"/>
                <w:sz w:val="20"/>
                <w:szCs w:val="20"/>
              </w:rPr>
              <w:t xml:space="preserve">ated with zinc and iron accumulation in chickpea, it provides valuable genomic resources for breeding nutrient-rich cultivars. The in-silico approach presented here demonstrates the power of computational genomics in accelerating gene discovery and marker </w:t>
            </w:r>
            <w:r w:rsidRPr="00B774F9">
              <w:rPr>
                <w:rFonts w:ascii="Arial" w:hAnsi="Arial" w:cs="Arial"/>
                <w:color w:val="000000"/>
                <w:sz w:val="20"/>
                <w:szCs w:val="20"/>
              </w:rPr>
              <w:t>development for complex traits. Furthermore, the findings contribute to global efforts in improving human health and nutritional security, offering a foundation for future functional validation, molecular breeding, and genome editing initiatives in legumes</w:t>
            </w:r>
            <w:r w:rsidRPr="00B774F9">
              <w:rPr>
                <w:rFonts w:ascii="Arial" w:hAnsi="Arial" w:cs="Arial"/>
                <w:color w:val="000000"/>
                <w:sz w:val="20"/>
                <w:szCs w:val="20"/>
              </w:rPr>
              <w:t>.</w:t>
            </w:r>
          </w:p>
        </w:tc>
        <w:tc>
          <w:tcPr>
            <w:tcW w:w="6442" w:type="dxa"/>
          </w:tcPr>
          <w:p w:rsidR="005C3D69" w:rsidRPr="00B774F9" w:rsidRDefault="002C6796">
            <w:pPr>
              <w:pStyle w:val="Heading2"/>
              <w:jc w:val="left"/>
              <w:rPr>
                <w:rFonts w:ascii="Arial" w:eastAsia="Times New Roman" w:hAnsi="Arial" w:cs="Arial"/>
                <w:b w:val="0"/>
              </w:rPr>
            </w:pPr>
            <w:r w:rsidRPr="00B774F9">
              <w:rPr>
                <w:rFonts w:ascii="Arial" w:eastAsia="Times New Roman" w:hAnsi="Arial" w:cs="Arial"/>
                <w:b w:val="0"/>
              </w:rPr>
              <w:t>This work is important to the scientific community because it uses crop biofortification to address the urgent problem of micronutrient deficiencies by combining genetics and bioinformatics. Through the identification of SNPs and candidate genes linked t</w:t>
            </w:r>
            <w:r w:rsidRPr="00B774F9">
              <w:rPr>
                <w:rFonts w:ascii="Arial" w:eastAsia="Times New Roman" w:hAnsi="Arial" w:cs="Arial"/>
                <w:b w:val="0"/>
              </w:rPr>
              <w:t>o the accumulation of iron and zinc in chickpea, it offers useful genomic resources for breeding cultivars that are high in nutrients. The in-silico method described here shows how computational genomics can speed up the generation of markers and gene disc</w:t>
            </w:r>
            <w:r w:rsidRPr="00B774F9">
              <w:rPr>
                <w:rFonts w:ascii="Arial" w:eastAsia="Times New Roman" w:hAnsi="Arial" w:cs="Arial"/>
                <w:b w:val="0"/>
              </w:rPr>
              <w:t>overies for complicated phenotypes. Additionally, the results give a basis for future functional validation, molecular breeding, and genome editing projects in legumes, supporting international efforts to enhance human health and nutritional security.</w:t>
            </w:r>
          </w:p>
        </w:tc>
      </w:tr>
      <w:tr w:rsidR="005C3D69" w:rsidRPr="00B774F9">
        <w:trPr>
          <w:trHeight w:val="1202"/>
        </w:trPr>
        <w:tc>
          <w:tcPr>
            <w:tcW w:w="5351" w:type="dxa"/>
          </w:tcPr>
          <w:p w:rsidR="005C3D69" w:rsidRPr="00B774F9" w:rsidRDefault="002C6796">
            <w:pPr>
              <w:ind w:left="360"/>
              <w:rPr>
                <w:rFonts w:ascii="Arial" w:hAnsi="Arial" w:cs="Arial"/>
                <w:sz w:val="20"/>
                <w:szCs w:val="20"/>
              </w:rPr>
            </w:pPr>
            <w:r w:rsidRPr="00B774F9">
              <w:rPr>
                <w:rFonts w:ascii="Arial" w:hAnsi="Arial" w:cs="Arial"/>
                <w:b/>
                <w:sz w:val="20"/>
                <w:szCs w:val="20"/>
              </w:rPr>
              <w:t xml:space="preserve">Is </w:t>
            </w:r>
            <w:r w:rsidRPr="00B774F9">
              <w:rPr>
                <w:rFonts w:ascii="Arial" w:hAnsi="Arial" w:cs="Arial"/>
                <w:b/>
                <w:sz w:val="20"/>
                <w:szCs w:val="20"/>
              </w:rPr>
              <w:t>the title of the article suitable?</w:t>
            </w:r>
          </w:p>
          <w:p w:rsidR="005C3D69" w:rsidRPr="00B774F9" w:rsidRDefault="002C6796">
            <w:pPr>
              <w:ind w:left="360"/>
              <w:rPr>
                <w:rFonts w:ascii="Arial" w:hAnsi="Arial" w:cs="Arial"/>
                <w:sz w:val="20"/>
                <w:szCs w:val="20"/>
              </w:rPr>
            </w:pPr>
            <w:r w:rsidRPr="00B774F9">
              <w:rPr>
                <w:rFonts w:ascii="Arial" w:hAnsi="Arial" w:cs="Arial"/>
                <w:b/>
                <w:sz w:val="20"/>
                <w:szCs w:val="20"/>
              </w:rPr>
              <w:t>(If not please suggest an alternative title)</w:t>
            </w:r>
          </w:p>
          <w:p w:rsidR="005C3D69" w:rsidRPr="00B774F9" w:rsidRDefault="005C3D69">
            <w:pPr>
              <w:pStyle w:val="Heading2"/>
              <w:jc w:val="left"/>
              <w:rPr>
                <w:rFonts w:ascii="Arial" w:eastAsia="Times New Roman" w:hAnsi="Arial" w:cs="Arial"/>
                <w:u w:val="single"/>
              </w:rPr>
            </w:pPr>
          </w:p>
        </w:tc>
        <w:tc>
          <w:tcPr>
            <w:tcW w:w="9357" w:type="dxa"/>
          </w:tcPr>
          <w:p w:rsidR="005C3D69" w:rsidRPr="00B774F9" w:rsidRDefault="002C6796">
            <w:pPr>
              <w:jc w:val="both"/>
              <w:rPr>
                <w:rFonts w:ascii="Arial" w:hAnsi="Arial" w:cs="Arial"/>
                <w:sz w:val="20"/>
                <w:szCs w:val="20"/>
              </w:rPr>
            </w:pPr>
            <w:r w:rsidRPr="00B774F9">
              <w:rPr>
                <w:rFonts w:ascii="Arial" w:hAnsi="Arial" w:cs="Arial"/>
                <w:sz w:val="20"/>
                <w:szCs w:val="20"/>
              </w:rPr>
              <w:t xml:space="preserve">The current title — </w:t>
            </w:r>
            <w:r w:rsidRPr="00B774F9">
              <w:rPr>
                <w:rFonts w:ascii="Arial" w:hAnsi="Arial" w:cs="Arial"/>
                <w:b/>
                <w:sz w:val="20"/>
                <w:szCs w:val="20"/>
              </w:rPr>
              <w:t>“In-Silico Identification of Candidate Genes Related to Seed Zinc and Iron Concentration in Chickpea (</w:t>
            </w:r>
            <w:proofErr w:type="spellStart"/>
            <w:r w:rsidRPr="00B774F9">
              <w:rPr>
                <w:rFonts w:ascii="Arial" w:hAnsi="Arial" w:cs="Arial"/>
                <w:b/>
                <w:sz w:val="20"/>
                <w:szCs w:val="20"/>
              </w:rPr>
              <w:t>Cicer</w:t>
            </w:r>
            <w:proofErr w:type="spellEnd"/>
            <w:r w:rsidRPr="00B774F9">
              <w:rPr>
                <w:rFonts w:ascii="Arial" w:hAnsi="Arial" w:cs="Arial"/>
                <w:b/>
                <w:sz w:val="20"/>
                <w:szCs w:val="20"/>
              </w:rPr>
              <w:t xml:space="preserve"> arietinum L.)”</w:t>
            </w:r>
            <w:r w:rsidRPr="00B774F9">
              <w:rPr>
                <w:rFonts w:ascii="Arial" w:hAnsi="Arial" w:cs="Arial"/>
                <w:sz w:val="20"/>
                <w:szCs w:val="20"/>
              </w:rPr>
              <w:t xml:space="preserve"> — is clear, informative, and sci</w:t>
            </w:r>
            <w:r w:rsidRPr="00B774F9">
              <w:rPr>
                <w:rFonts w:ascii="Arial" w:hAnsi="Arial" w:cs="Arial"/>
                <w:sz w:val="20"/>
                <w:szCs w:val="20"/>
              </w:rPr>
              <w:t>entifically sound. It accurately reflects the methodology (</w:t>
            </w:r>
            <w:r w:rsidRPr="00B774F9">
              <w:rPr>
                <w:rFonts w:ascii="Arial" w:hAnsi="Arial" w:cs="Arial"/>
                <w:i/>
                <w:sz w:val="20"/>
                <w:szCs w:val="20"/>
              </w:rPr>
              <w:t>in-silico analysis</w:t>
            </w:r>
            <w:r w:rsidRPr="00B774F9">
              <w:rPr>
                <w:rFonts w:ascii="Arial" w:hAnsi="Arial" w:cs="Arial"/>
                <w:sz w:val="20"/>
                <w:szCs w:val="20"/>
              </w:rPr>
              <w:t>) and the focus of the study (</w:t>
            </w:r>
            <w:r w:rsidRPr="00B774F9">
              <w:rPr>
                <w:rFonts w:ascii="Arial" w:hAnsi="Arial" w:cs="Arial"/>
                <w:i/>
                <w:sz w:val="20"/>
                <w:szCs w:val="20"/>
              </w:rPr>
              <w:t>genes associated with Zn and Fe concentration in chickpea seeds</w:t>
            </w:r>
            <w:r w:rsidRPr="00B774F9">
              <w:rPr>
                <w:rFonts w:ascii="Arial" w:eastAsia="SimSun" w:hAnsi="Arial" w:cs="Arial"/>
                <w:sz w:val="20"/>
                <w:szCs w:val="20"/>
              </w:rPr>
              <w:t>)</w:t>
            </w:r>
          </w:p>
        </w:tc>
        <w:tc>
          <w:tcPr>
            <w:tcW w:w="6442" w:type="dxa"/>
          </w:tcPr>
          <w:p w:rsidR="005C3D69" w:rsidRPr="00B774F9" w:rsidRDefault="002C6796">
            <w:pPr>
              <w:pStyle w:val="Heading2"/>
              <w:jc w:val="left"/>
              <w:rPr>
                <w:rFonts w:ascii="Arial" w:eastAsia="Times New Roman" w:hAnsi="Arial" w:cs="Arial"/>
                <w:b w:val="0"/>
              </w:rPr>
            </w:pPr>
            <w:r w:rsidRPr="00B774F9">
              <w:rPr>
                <w:rFonts w:ascii="Arial" w:eastAsia="Times New Roman" w:hAnsi="Arial" w:cs="Arial"/>
                <w:b w:val="0"/>
              </w:rPr>
              <w:t>The title that is currently in use, "In-Silico Identification of Candidate Genes Rel</w:t>
            </w:r>
            <w:r w:rsidRPr="00B774F9">
              <w:rPr>
                <w:rFonts w:ascii="Arial" w:eastAsia="Times New Roman" w:hAnsi="Arial" w:cs="Arial"/>
                <w:b w:val="0"/>
              </w:rPr>
              <w:t>ated to Seed Zinc and Iron Concentration in Chickpea (</w:t>
            </w:r>
            <w:proofErr w:type="spellStart"/>
            <w:r w:rsidRPr="00B774F9">
              <w:rPr>
                <w:rFonts w:ascii="Arial" w:eastAsia="Times New Roman" w:hAnsi="Arial" w:cs="Arial"/>
                <w:b w:val="0"/>
              </w:rPr>
              <w:t>Cicer</w:t>
            </w:r>
            <w:proofErr w:type="spellEnd"/>
            <w:r w:rsidRPr="00B774F9">
              <w:rPr>
                <w:rFonts w:ascii="Arial" w:eastAsia="Times New Roman" w:hAnsi="Arial" w:cs="Arial"/>
                <w:b w:val="0"/>
              </w:rPr>
              <w:t xml:space="preserve"> arietinum L.)," is understandable, educational, and supported by science. The study's aim (genes linked to the concentration of zinc and iron in chickpea seeds) and methodology (in-silico analysis</w:t>
            </w:r>
            <w:r w:rsidRPr="00B774F9">
              <w:rPr>
                <w:rFonts w:ascii="Arial" w:eastAsia="Times New Roman" w:hAnsi="Arial" w:cs="Arial"/>
                <w:b w:val="0"/>
              </w:rPr>
              <w:t>) are both appropriately reflected.</w:t>
            </w:r>
          </w:p>
        </w:tc>
      </w:tr>
      <w:tr w:rsidR="005C3D69" w:rsidRPr="00B774F9">
        <w:trPr>
          <w:trHeight w:val="1262"/>
        </w:trPr>
        <w:tc>
          <w:tcPr>
            <w:tcW w:w="5351" w:type="dxa"/>
          </w:tcPr>
          <w:p w:rsidR="005C3D69" w:rsidRPr="00B774F9" w:rsidRDefault="002C6796">
            <w:pPr>
              <w:pStyle w:val="Heading2"/>
              <w:ind w:left="360"/>
              <w:jc w:val="left"/>
              <w:rPr>
                <w:rFonts w:ascii="Arial" w:eastAsia="Times New Roman" w:hAnsi="Arial" w:cs="Arial"/>
              </w:rPr>
            </w:pPr>
            <w:r w:rsidRPr="00B774F9">
              <w:rPr>
                <w:rFonts w:ascii="Arial" w:eastAsia="Times New Roman" w:hAnsi="Arial" w:cs="Arial"/>
              </w:rPr>
              <w:t>Is the abstract of the article comprehensive? Do you suggest the addition (or deletion) of some points in this section? Please write your suggestions here.</w:t>
            </w:r>
          </w:p>
          <w:p w:rsidR="005C3D69" w:rsidRPr="00B774F9" w:rsidRDefault="005C3D69">
            <w:pPr>
              <w:pStyle w:val="Heading2"/>
              <w:jc w:val="left"/>
              <w:rPr>
                <w:rFonts w:ascii="Arial" w:eastAsia="Times New Roman" w:hAnsi="Arial" w:cs="Arial"/>
                <w:u w:val="single"/>
              </w:rPr>
            </w:pPr>
          </w:p>
        </w:tc>
        <w:tc>
          <w:tcPr>
            <w:tcW w:w="9357" w:type="dxa"/>
          </w:tcPr>
          <w:p w:rsidR="005C3D69" w:rsidRPr="00B774F9" w:rsidRDefault="002C6796">
            <w:pPr>
              <w:rPr>
                <w:rFonts w:ascii="Arial" w:hAnsi="Arial" w:cs="Arial"/>
                <w:sz w:val="20"/>
                <w:szCs w:val="20"/>
              </w:rPr>
            </w:pPr>
            <w:r w:rsidRPr="00B774F9">
              <w:rPr>
                <w:rFonts w:ascii="Arial" w:hAnsi="Arial" w:cs="Arial"/>
                <w:sz w:val="20"/>
                <w:szCs w:val="20"/>
              </w:rPr>
              <w:t xml:space="preserve">Yes, the abstract of your article is </w:t>
            </w:r>
            <w:r w:rsidRPr="00B774F9">
              <w:rPr>
                <w:rFonts w:ascii="Arial" w:hAnsi="Arial" w:cs="Arial"/>
                <w:b/>
                <w:sz w:val="20"/>
                <w:szCs w:val="20"/>
              </w:rPr>
              <w:t>well-written and comprehensive</w:t>
            </w:r>
            <w:r w:rsidRPr="00B774F9">
              <w:rPr>
                <w:rFonts w:ascii="Arial" w:hAnsi="Arial" w:cs="Arial"/>
                <w:sz w:val="20"/>
                <w:szCs w:val="20"/>
              </w:rPr>
              <w:t xml:space="preserve">, as it clearly conveys the </w:t>
            </w:r>
            <w:r w:rsidRPr="00B774F9">
              <w:rPr>
                <w:rFonts w:ascii="Arial" w:hAnsi="Arial" w:cs="Arial"/>
                <w:b/>
                <w:sz w:val="20"/>
                <w:szCs w:val="20"/>
              </w:rPr>
              <w:t>background</w:t>
            </w:r>
            <w:r w:rsidRPr="00B774F9">
              <w:rPr>
                <w:rFonts w:ascii="Arial" w:hAnsi="Arial" w:cs="Arial"/>
                <w:sz w:val="20"/>
                <w:szCs w:val="20"/>
              </w:rPr>
              <w:t xml:space="preserve">, </w:t>
            </w:r>
            <w:r w:rsidRPr="00B774F9">
              <w:rPr>
                <w:rFonts w:ascii="Arial" w:hAnsi="Arial" w:cs="Arial"/>
                <w:b/>
                <w:sz w:val="20"/>
                <w:szCs w:val="20"/>
              </w:rPr>
              <w:t>objectives</w:t>
            </w:r>
            <w:r w:rsidRPr="00B774F9">
              <w:rPr>
                <w:rFonts w:ascii="Arial" w:hAnsi="Arial" w:cs="Arial"/>
                <w:sz w:val="20"/>
                <w:szCs w:val="20"/>
              </w:rPr>
              <w:t xml:space="preserve">, </w:t>
            </w:r>
            <w:r w:rsidRPr="00B774F9">
              <w:rPr>
                <w:rFonts w:ascii="Arial" w:hAnsi="Arial" w:cs="Arial"/>
                <w:b/>
                <w:sz w:val="20"/>
                <w:szCs w:val="20"/>
              </w:rPr>
              <w:t>methods</w:t>
            </w:r>
            <w:r w:rsidRPr="00B774F9">
              <w:rPr>
                <w:rFonts w:ascii="Arial" w:hAnsi="Arial" w:cs="Arial"/>
                <w:sz w:val="20"/>
                <w:szCs w:val="20"/>
              </w:rPr>
              <w:t xml:space="preserve">, and </w:t>
            </w:r>
            <w:r w:rsidRPr="00B774F9">
              <w:rPr>
                <w:rFonts w:ascii="Arial" w:hAnsi="Arial" w:cs="Arial"/>
                <w:b/>
                <w:sz w:val="20"/>
                <w:szCs w:val="20"/>
              </w:rPr>
              <w:t>significance</w:t>
            </w:r>
            <w:r w:rsidRPr="00B774F9">
              <w:rPr>
                <w:rFonts w:ascii="Arial" w:hAnsi="Arial" w:cs="Arial"/>
                <w:sz w:val="20"/>
                <w:szCs w:val="20"/>
              </w:rPr>
              <w:t xml:space="preserve"> of the study. It successfully highlights the global relevance of zinc (Zn) and iron (Fe) deficiencies, the use of </w:t>
            </w:r>
            <w:r w:rsidRPr="00B774F9">
              <w:rPr>
                <w:rFonts w:ascii="Arial" w:hAnsi="Arial" w:cs="Arial"/>
                <w:b/>
                <w:sz w:val="20"/>
                <w:szCs w:val="20"/>
              </w:rPr>
              <w:t>in-silico analysis</w:t>
            </w:r>
            <w:r w:rsidRPr="00B774F9">
              <w:rPr>
                <w:rFonts w:ascii="Arial" w:hAnsi="Arial" w:cs="Arial"/>
                <w:sz w:val="20"/>
                <w:szCs w:val="20"/>
              </w:rPr>
              <w:t xml:space="preserve"> for gene identi</w:t>
            </w:r>
            <w:r w:rsidRPr="00B774F9">
              <w:rPr>
                <w:rFonts w:ascii="Arial" w:hAnsi="Arial" w:cs="Arial"/>
                <w:sz w:val="20"/>
                <w:szCs w:val="20"/>
              </w:rPr>
              <w:t xml:space="preserve">fication, and the potential application of findings in </w:t>
            </w:r>
            <w:r w:rsidRPr="00B774F9">
              <w:rPr>
                <w:rFonts w:ascii="Arial" w:hAnsi="Arial" w:cs="Arial"/>
                <w:b/>
                <w:sz w:val="20"/>
                <w:szCs w:val="20"/>
              </w:rPr>
              <w:t>biofortification and marker-assisted selection</w:t>
            </w:r>
            <w:r w:rsidRPr="00B774F9">
              <w:rPr>
                <w:rFonts w:ascii="Arial" w:hAnsi="Arial" w:cs="Arial"/>
                <w:sz w:val="20"/>
                <w:szCs w:val="20"/>
              </w:rPr>
              <w:t>.</w:t>
            </w:r>
          </w:p>
        </w:tc>
        <w:tc>
          <w:tcPr>
            <w:tcW w:w="6442" w:type="dxa"/>
          </w:tcPr>
          <w:p w:rsidR="005C3D69" w:rsidRPr="00B774F9" w:rsidRDefault="002C6796">
            <w:pPr>
              <w:pStyle w:val="Heading2"/>
              <w:jc w:val="left"/>
              <w:rPr>
                <w:rFonts w:ascii="Arial" w:eastAsia="Times New Roman" w:hAnsi="Arial" w:cs="Arial"/>
                <w:b w:val="0"/>
              </w:rPr>
            </w:pPr>
            <w:r w:rsidRPr="00B774F9">
              <w:rPr>
                <w:rFonts w:ascii="Arial" w:eastAsia="Times New Roman" w:hAnsi="Arial" w:cs="Arial"/>
                <w:b w:val="0"/>
              </w:rPr>
              <w:t>Article's abstract effectively communicates the study's history, goals, methodology, and importance, demonstrating that it is well-written and thorough. The use of in-silico analysis for gene identification, the worldwide significance of zinc (Zn) and iron</w:t>
            </w:r>
            <w:r w:rsidRPr="00B774F9">
              <w:rPr>
                <w:rFonts w:ascii="Arial" w:eastAsia="Times New Roman" w:hAnsi="Arial" w:cs="Arial"/>
                <w:b w:val="0"/>
              </w:rPr>
              <w:t xml:space="preserve"> (Fe) deficits, and the possible use of results in biofortification and marker-assisted selection are all skillfully highlighted.</w:t>
            </w:r>
          </w:p>
        </w:tc>
      </w:tr>
      <w:tr w:rsidR="005C3D69" w:rsidRPr="00B774F9">
        <w:trPr>
          <w:trHeight w:val="704"/>
        </w:trPr>
        <w:tc>
          <w:tcPr>
            <w:tcW w:w="5351" w:type="dxa"/>
          </w:tcPr>
          <w:p w:rsidR="005C3D69" w:rsidRPr="00B774F9" w:rsidRDefault="002C6796">
            <w:pPr>
              <w:pStyle w:val="Heading2"/>
              <w:ind w:left="360"/>
              <w:jc w:val="left"/>
              <w:rPr>
                <w:rFonts w:ascii="Arial" w:hAnsi="Arial" w:cs="Arial"/>
                <w:b w:val="0"/>
                <w:u w:val="single"/>
              </w:rPr>
            </w:pPr>
            <w:r w:rsidRPr="00B774F9">
              <w:rPr>
                <w:rFonts w:ascii="Arial" w:eastAsia="Times New Roman" w:hAnsi="Arial" w:cs="Arial"/>
              </w:rPr>
              <w:t>Is the manuscript scientifically, correct? Please write here.</w:t>
            </w:r>
          </w:p>
        </w:tc>
        <w:tc>
          <w:tcPr>
            <w:tcW w:w="9357" w:type="dxa"/>
          </w:tcPr>
          <w:p w:rsidR="005C3D69" w:rsidRPr="00B774F9" w:rsidRDefault="002C6796">
            <w:pPr>
              <w:pBdr>
                <w:top w:val="nil"/>
                <w:left w:val="nil"/>
                <w:bottom w:val="nil"/>
                <w:right w:val="nil"/>
                <w:between w:val="nil"/>
              </w:pBdr>
              <w:jc w:val="both"/>
              <w:rPr>
                <w:rFonts w:ascii="Arial" w:hAnsi="Arial" w:cs="Arial"/>
                <w:color w:val="000000"/>
                <w:sz w:val="20"/>
                <w:szCs w:val="20"/>
              </w:rPr>
            </w:pPr>
            <w:r w:rsidRPr="00B774F9">
              <w:rPr>
                <w:rFonts w:ascii="Arial" w:hAnsi="Arial" w:cs="Arial"/>
                <w:color w:val="000000"/>
                <w:sz w:val="20"/>
                <w:szCs w:val="20"/>
              </w:rPr>
              <w:t xml:space="preserve">Overall, the manuscript is </w:t>
            </w:r>
            <w:r w:rsidRPr="00B774F9">
              <w:rPr>
                <w:rFonts w:ascii="Arial" w:hAnsi="Arial" w:cs="Arial"/>
                <w:b/>
                <w:color w:val="000000"/>
                <w:sz w:val="20"/>
                <w:szCs w:val="20"/>
              </w:rPr>
              <w:t>scientifically sound and well-structured</w:t>
            </w:r>
            <w:r w:rsidRPr="00B774F9">
              <w:rPr>
                <w:rFonts w:ascii="Arial" w:hAnsi="Arial" w:cs="Arial"/>
                <w:color w:val="000000"/>
                <w:sz w:val="20"/>
                <w:szCs w:val="20"/>
              </w:rPr>
              <w:t xml:space="preserve">, demonstrating a clear understanding of both </w:t>
            </w:r>
            <w:r w:rsidRPr="00B774F9">
              <w:rPr>
                <w:rFonts w:ascii="Arial" w:hAnsi="Arial" w:cs="Arial"/>
                <w:b/>
                <w:color w:val="000000"/>
                <w:sz w:val="20"/>
                <w:szCs w:val="20"/>
              </w:rPr>
              <w:t>plant genomics</w:t>
            </w:r>
            <w:r w:rsidRPr="00B774F9">
              <w:rPr>
                <w:rFonts w:ascii="Arial" w:hAnsi="Arial" w:cs="Arial"/>
                <w:color w:val="000000"/>
                <w:sz w:val="20"/>
                <w:szCs w:val="20"/>
              </w:rPr>
              <w:t xml:space="preserve"> and </w:t>
            </w:r>
            <w:r w:rsidRPr="00B774F9">
              <w:rPr>
                <w:rFonts w:ascii="Arial" w:hAnsi="Arial" w:cs="Arial"/>
                <w:b/>
                <w:color w:val="000000"/>
                <w:sz w:val="20"/>
                <w:szCs w:val="20"/>
              </w:rPr>
              <w:t>biofortification research</w:t>
            </w:r>
            <w:r w:rsidRPr="00B774F9">
              <w:rPr>
                <w:rFonts w:ascii="Arial" w:hAnsi="Arial" w:cs="Arial"/>
                <w:color w:val="000000"/>
                <w:sz w:val="20"/>
                <w:szCs w:val="20"/>
              </w:rPr>
              <w:t>. The objectives, methodology, and interpretation of results are coherent and align with current standards in crop genomics an</w:t>
            </w:r>
            <w:r w:rsidRPr="00B774F9">
              <w:rPr>
                <w:rFonts w:ascii="Arial" w:hAnsi="Arial" w:cs="Arial"/>
                <w:color w:val="000000"/>
                <w:sz w:val="20"/>
                <w:szCs w:val="20"/>
              </w:rPr>
              <w:t xml:space="preserve">d molecular breeding. The integration of </w:t>
            </w:r>
            <w:r w:rsidRPr="00B774F9">
              <w:rPr>
                <w:rFonts w:ascii="Arial" w:hAnsi="Arial" w:cs="Arial"/>
                <w:b/>
                <w:color w:val="000000"/>
                <w:sz w:val="20"/>
                <w:szCs w:val="20"/>
              </w:rPr>
              <w:t>phenotypic data</w:t>
            </w:r>
            <w:r w:rsidRPr="00B774F9">
              <w:rPr>
                <w:rFonts w:ascii="Arial" w:hAnsi="Arial" w:cs="Arial"/>
                <w:color w:val="000000"/>
                <w:sz w:val="20"/>
                <w:szCs w:val="20"/>
              </w:rPr>
              <w:t xml:space="preserve">, </w:t>
            </w:r>
            <w:r w:rsidRPr="00B774F9">
              <w:rPr>
                <w:rFonts w:ascii="Arial" w:hAnsi="Arial" w:cs="Arial"/>
                <w:b/>
                <w:color w:val="000000"/>
                <w:sz w:val="20"/>
                <w:szCs w:val="20"/>
              </w:rPr>
              <w:t>whole-genome resequencing (WGRS)</w:t>
            </w:r>
            <w:r w:rsidRPr="00B774F9">
              <w:rPr>
                <w:rFonts w:ascii="Arial" w:hAnsi="Arial" w:cs="Arial"/>
                <w:color w:val="000000"/>
                <w:sz w:val="20"/>
                <w:szCs w:val="20"/>
              </w:rPr>
              <w:t xml:space="preserve">, and </w:t>
            </w:r>
            <w:r w:rsidRPr="00B774F9">
              <w:rPr>
                <w:rFonts w:ascii="Arial" w:hAnsi="Arial" w:cs="Arial"/>
                <w:b/>
                <w:color w:val="000000"/>
                <w:sz w:val="20"/>
                <w:szCs w:val="20"/>
              </w:rPr>
              <w:t>in-silico gene annotation</w:t>
            </w:r>
            <w:r w:rsidRPr="00B774F9">
              <w:rPr>
                <w:rFonts w:ascii="Arial" w:hAnsi="Arial" w:cs="Arial"/>
                <w:color w:val="000000"/>
                <w:sz w:val="20"/>
                <w:szCs w:val="20"/>
              </w:rPr>
              <w:t xml:space="preserve"> is appropriate and reflects accepted scientific practices in identifying candidate genes linked to micronutrient traits</w:t>
            </w:r>
            <w:r w:rsidRPr="00B774F9">
              <w:rPr>
                <w:rFonts w:ascii="Arial" w:eastAsia="SimSun" w:hAnsi="Arial" w:cs="Arial"/>
                <w:color w:val="000000"/>
                <w:sz w:val="20"/>
                <w:szCs w:val="20"/>
              </w:rPr>
              <w:t>.</w:t>
            </w:r>
          </w:p>
        </w:tc>
        <w:tc>
          <w:tcPr>
            <w:tcW w:w="6442" w:type="dxa"/>
          </w:tcPr>
          <w:p w:rsidR="005C3D69" w:rsidRPr="00B774F9" w:rsidRDefault="002C6796">
            <w:pPr>
              <w:pStyle w:val="Heading2"/>
              <w:jc w:val="left"/>
              <w:rPr>
                <w:rFonts w:ascii="Arial" w:eastAsia="Times New Roman" w:hAnsi="Arial" w:cs="Arial"/>
                <w:b w:val="0"/>
              </w:rPr>
            </w:pPr>
            <w:r w:rsidRPr="00B774F9">
              <w:rPr>
                <w:rFonts w:ascii="Arial" w:eastAsia="Times New Roman" w:hAnsi="Arial" w:cs="Arial"/>
                <w:b w:val="0"/>
              </w:rPr>
              <w:t>The work exhi</w:t>
            </w:r>
            <w:r w:rsidRPr="00B774F9">
              <w:rPr>
                <w:rFonts w:ascii="Arial" w:eastAsia="Times New Roman" w:hAnsi="Arial" w:cs="Arial"/>
                <w:b w:val="0"/>
              </w:rPr>
              <w:t>bits a thorough comprehension of both plant genomes and biofortification research, and it is generally well-structured and scientifically sound. The goals, approach, and results interpretation are all logical and in line with the most recent norms in molec</w:t>
            </w:r>
            <w:r w:rsidRPr="00B774F9">
              <w:rPr>
                <w:rFonts w:ascii="Arial" w:eastAsia="Times New Roman" w:hAnsi="Arial" w:cs="Arial"/>
                <w:b w:val="0"/>
              </w:rPr>
              <w:t>ular breeding and crop genomics. In order to find candidate genes connected to micronutrient characteristics, it is appropriate and consistent with accepted scientific standards to combine phenotypic data, whole-genome resequencing (WGRS), and in-silico ge</w:t>
            </w:r>
            <w:r w:rsidRPr="00B774F9">
              <w:rPr>
                <w:rFonts w:ascii="Arial" w:eastAsia="Times New Roman" w:hAnsi="Arial" w:cs="Arial"/>
                <w:b w:val="0"/>
              </w:rPr>
              <w:t>ne annotation.</w:t>
            </w:r>
          </w:p>
        </w:tc>
      </w:tr>
      <w:tr w:rsidR="005C3D69" w:rsidRPr="00B774F9">
        <w:trPr>
          <w:trHeight w:val="703"/>
        </w:trPr>
        <w:tc>
          <w:tcPr>
            <w:tcW w:w="5351" w:type="dxa"/>
          </w:tcPr>
          <w:p w:rsidR="005C3D69" w:rsidRPr="00B774F9" w:rsidRDefault="002C6796">
            <w:pPr>
              <w:ind w:left="360"/>
              <w:rPr>
                <w:rFonts w:ascii="Arial" w:hAnsi="Arial" w:cs="Arial"/>
                <w:sz w:val="20"/>
                <w:szCs w:val="20"/>
              </w:rPr>
            </w:pPr>
            <w:r w:rsidRPr="00B774F9">
              <w:rPr>
                <w:rFonts w:ascii="Arial" w:hAnsi="Arial" w:cs="Arial"/>
                <w:b/>
                <w:sz w:val="20"/>
                <w:szCs w:val="20"/>
              </w:rPr>
              <w:t>Are the references sufficient and recent? If you have suggestions of additional references, please mention them in the review form.</w:t>
            </w:r>
          </w:p>
        </w:tc>
        <w:tc>
          <w:tcPr>
            <w:tcW w:w="9357" w:type="dxa"/>
          </w:tcPr>
          <w:p w:rsidR="005C3D69" w:rsidRPr="00B774F9" w:rsidRDefault="002C6796">
            <w:pPr>
              <w:pBdr>
                <w:top w:val="nil"/>
                <w:left w:val="nil"/>
                <w:bottom w:val="nil"/>
                <w:right w:val="nil"/>
                <w:between w:val="nil"/>
              </w:pBdr>
              <w:rPr>
                <w:rFonts w:ascii="Arial" w:hAnsi="Arial" w:cs="Arial"/>
                <w:color w:val="000000"/>
                <w:sz w:val="20"/>
                <w:szCs w:val="20"/>
              </w:rPr>
            </w:pPr>
            <w:r w:rsidRPr="00B774F9">
              <w:rPr>
                <w:rFonts w:ascii="Arial" w:hAnsi="Arial" w:cs="Arial"/>
                <w:color w:val="000000"/>
                <w:sz w:val="20"/>
                <w:szCs w:val="20"/>
              </w:rPr>
              <w:t>YES</w:t>
            </w:r>
          </w:p>
        </w:tc>
        <w:tc>
          <w:tcPr>
            <w:tcW w:w="6442" w:type="dxa"/>
          </w:tcPr>
          <w:p w:rsidR="005C3D69" w:rsidRPr="00B774F9" w:rsidRDefault="002C6796">
            <w:pPr>
              <w:pStyle w:val="Heading2"/>
              <w:jc w:val="left"/>
              <w:rPr>
                <w:rFonts w:ascii="Arial" w:eastAsia="Times New Roman" w:hAnsi="Arial" w:cs="Arial"/>
                <w:b w:val="0"/>
              </w:rPr>
            </w:pPr>
            <w:r w:rsidRPr="00B774F9">
              <w:rPr>
                <w:rFonts w:ascii="Arial" w:eastAsia="Times New Roman" w:hAnsi="Arial" w:cs="Arial"/>
                <w:b w:val="0"/>
              </w:rPr>
              <w:t>Yes, the references are sufficient and are ranging from 5 to 10 years.</w:t>
            </w:r>
          </w:p>
        </w:tc>
      </w:tr>
      <w:tr w:rsidR="005C3D69" w:rsidRPr="00B774F9">
        <w:trPr>
          <w:trHeight w:val="719"/>
        </w:trPr>
        <w:tc>
          <w:tcPr>
            <w:tcW w:w="5351" w:type="dxa"/>
          </w:tcPr>
          <w:p w:rsidR="005C3D69" w:rsidRPr="00B774F9" w:rsidRDefault="002C6796">
            <w:pPr>
              <w:pStyle w:val="Heading2"/>
              <w:ind w:left="360"/>
              <w:jc w:val="left"/>
              <w:rPr>
                <w:rFonts w:ascii="Arial" w:eastAsia="Times New Roman" w:hAnsi="Arial" w:cs="Arial"/>
              </w:rPr>
            </w:pPr>
            <w:r w:rsidRPr="00B774F9">
              <w:rPr>
                <w:rFonts w:ascii="Arial" w:eastAsia="Times New Roman" w:hAnsi="Arial" w:cs="Arial"/>
              </w:rPr>
              <w:lastRenderedPageBreak/>
              <w:t>Is the language/English quality of the article suitable for scholarly communications?</w:t>
            </w:r>
          </w:p>
          <w:p w:rsidR="005C3D69" w:rsidRPr="00B774F9" w:rsidRDefault="005C3D69">
            <w:pPr>
              <w:rPr>
                <w:rFonts w:ascii="Arial" w:hAnsi="Arial" w:cs="Arial"/>
                <w:sz w:val="20"/>
                <w:szCs w:val="20"/>
              </w:rPr>
            </w:pPr>
          </w:p>
        </w:tc>
        <w:tc>
          <w:tcPr>
            <w:tcW w:w="9357" w:type="dxa"/>
          </w:tcPr>
          <w:p w:rsidR="005C3D69" w:rsidRPr="00B774F9" w:rsidRDefault="002C6796">
            <w:pPr>
              <w:rPr>
                <w:rFonts w:ascii="Arial" w:hAnsi="Arial" w:cs="Arial"/>
                <w:sz w:val="20"/>
                <w:szCs w:val="20"/>
              </w:rPr>
            </w:pPr>
            <w:r w:rsidRPr="00B774F9">
              <w:rPr>
                <w:rFonts w:ascii="Arial" w:hAnsi="Arial" w:cs="Arial"/>
                <w:sz w:val="20"/>
                <w:szCs w:val="20"/>
              </w:rPr>
              <w:t>YES</w:t>
            </w:r>
          </w:p>
        </w:tc>
        <w:tc>
          <w:tcPr>
            <w:tcW w:w="6442" w:type="dxa"/>
          </w:tcPr>
          <w:p w:rsidR="005C3D69" w:rsidRPr="00B774F9" w:rsidRDefault="002C6796">
            <w:pPr>
              <w:rPr>
                <w:rFonts w:ascii="Arial" w:hAnsi="Arial" w:cs="Arial"/>
                <w:sz w:val="20"/>
                <w:szCs w:val="20"/>
              </w:rPr>
            </w:pPr>
            <w:r w:rsidRPr="00B774F9">
              <w:rPr>
                <w:rFonts w:ascii="Arial" w:hAnsi="Arial" w:cs="Arial"/>
                <w:sz w:val="20"/>
                <w:szCs w:val="20"/>
              </w:rPr>
              <w:t>Yes, the article's English and vocabulary are appropriate for academic discourse. The manuscript's readability, grammar, and clarity have all been examined.</w:t>
            </w:r>
          </w:p>
        </w:tc>
      </w:tr>
      <w:tr w:rsidR="005C3D69" w:rsidRPr="00B774F9">
        <w:trPr>
          <w:trHeight w:val="1178"/>
        </w:trPr>
        <w:tc>
          <w:tcPr>
            <w:tcW w:w="5351" w:type="dxa"/>
          </w:tcPr>
          <w:p w:rsidR="005C3D69" w:rsidRPr="00B774F9" w:rsidRDefault="002C6796">
            <w:pPr>
              <w:pStyle w:val="Heading2"/>
              <w:jc w:val="left"/>
              <w:rPr>
                <w:rFonts w:ascii="Arial" w:eastAsia="Times New Roman" w:hAnsi="Arial" w:cs="Arial"/>
                <w:b w:val="0"/>
              </w:rPr>
            </w:pPr>
            <w:r w:rsidRPr="00B774F9">
              <w:rPr>
                <w:rFonts w:ascii="Arial" w:eastAsia="Times New Roman" w:hAnsi="Arial" w:cs="Arial"/>
                <w:u w:val="single"/>
              </w:rPr>
              <w:t>Optiona</w:t>
            </w:r>
            <w:r w:rsidRPr="00B774F9">
              <w:rPr>
                <w:rFonts w:ascii="Arial" w:eastAsia="Times New Roman" w:hAnsi="Arial" w:cs="Arial"/>
                <w:u w:val="single"/>
              </w:rPr>
              <w:t>l/General</w:t>
            </w:r>
            <w:r w:rsidRPr="00B774F9">
              <w:rPr>
                <w:rFonts w:ascii="Arial" w:eastAsia="Times New Roman" w:hAnsi="Arial" w:cs="Arial"/>
              </w:rPr>
              <w:t xml:space="preserve"> </w:t>
            </w:r>
            <w:r w:rsidRPr="00B774F9">
              <w:rPr>
                <w:rFonts w:ascii="Arial" w:eastAsia="Times New Roman" w:hAnsi="Arial" w:cs="Arial"/>
                <w:b w:val="0"/>
              </w:rPr>
              <w:t>comments</w:t>
            </w:r>
          </w:p>
          <w:p w:rsidR="005C3D69" w:rsidRPr="00B774F9" w:rsidRDefault="005C3D69">
            <w:pPr>
              <w:pStyle w:val="Heading2"/>
              <w:jc w:val="left"/>
              <w:rPr>
                <w:rFonts w:ascii="Arial" w:eastAsia="Times New Roman" w:hAnsi="Arial" w:cs="Arial"/>
                <w:b w:val="0"/>
              </w:rPr>
            </w:pPr>
          </w:p>
        </w:tc>
        <w:tc>
          <w:tcPr>
            <w:tcW w:w="9357" w:type="dxa"/>
          </w:tcPr>
          <w:p w:rsidR="005C3D69" w:rsidRPr="00B774F9" w:rsidRDefault="002C6796">
            <w:pPr>
              <w:pBdr>
                <w:top w:val="nil"/>
                <w:left w:val="nil"/>
                <w:bottom w:val="nil"/>
                <w:right w:val="nil"/>
                <w:between w:val="nil"/>
              </w:pBdr>
              <w:spacing w:after="280"/>
              <w:jc w:val="both"/>
              <w:rPr>
                <w:rFonts w:ascii="Arial" w:eastAsia="Arimo" w:hAnsi="Arial" w:cs="Arial"/>
                <w:color w:val="000000"/>
                <w:sz w:val="20"/>
                <w:szCs w:val="20"/>
              </w:rPr>
            </w:pPr>
            <w:r w:rsidRPr="00B774F9">
              <w:rPr>
                <w:rFonts w:ascii="Arial" w:eastAsia="Arimo" w:hAnsi="Arial" w:cs="Arial"/>
                <w:color w:val="000000"/>
                <w:sz w:val="20"/>
                <w:szCs w:val="20"/>
              </w:rPr>
              <w:t xml:space="preserve">The manuscript is </w:t>
            </w:r>
            <w:r w:rsidRPr="00B774F9">
              <w:rPr>
                <w:rFonts w:ascii="Arial" w:eastAsia="Arimo" w:hAnsi="Arial" w:cs="Arial"/>
                <w:b/>
                <w:color w:val="000000"/>
                <w:sz w:val="20"/>
                <w:szCs w:val="20"/>
              </w:rPr>
              <w:t>well-conceived, scientifically relevant, and clearly written</w:t>
            </w:r>
            <w:r w:rsidRPr="00B774F9">
              <w:rPr>
                <w:rFonts w:ascii="Arial" w:eastAsia="Arimo" w:hAnsi="Arial" w:cs="Arial"/>
                <w:color w:val="000000"/>
                <w:sz w:val="20"/>
                <w:szCs w:val="20"/>
              </w:rPr>
              <w:t xml:space="preserve">, addressing an important global issue — micronutrient malnutrition — through the lens of </w:t>
            </w:r>
            <w:r w:rsidRPr="00B774F9">
              <w:rPr>
                <w:rFonts w:ascii="Arial" w:eastAsia="Arimo" w:hAnsi="Arial" w:cs="Arial"/>
                <w:b/>
                <w:color w:val="000000"/>
                <w:sz w:val="20"/>
                <w:szCs w:val="20"/>
              </w:rPr>
              <w:t>genomics-assisted chickpea biofortification</w:t>
            </w:r>
            <w:r w:rsidRPr="00B774F9">
              <w:rPr>
                <w:rFonts w:ascii="Arial" w:eastAsia="Arimo" w:hAnsi="Arial" w:cs="Arial"/>
                <w:color w:val="000000"/>
                <w:sz w:val="20"/>
                <w:szCs w:val="20"/>
              </w:rPr>
              <w:t xml:space="preserve">. The integration of </w:t>
            </w:r>
            <w:r w:rsidRPr="00B774F9">
              <w:rPr>
                <w:rFonts w:ascii="Arial" w:eastAsia="Arimo" w:hAnsi="Arial" w:cs="Arial"/>
                <w:b/>
                <w:color w:val="000000"/>
                <w:sz w:val="20"/>
                <w:szCs w:val="20"/>
              </w:rPr>
              <w:t>phenotypic, genomic, and in-silico analyses</w:t>
            </w:r>
            <w:r w:rsidRPr="00B774F9">
              <w:rPr>
                <w:rFonts w:ascii="Arial" w:eastAsia="Arimo" w:hAnsi="Arial" w:cs="Arial"/>
                <w:color w:val="000000"/>
                <w:sz w:val="20"/>
                <w:szCs w:val="20"/>
              </w:rPr>
              <w:t xml:space="preserve"> is commendable and demonstrates strong technical execution. The results are presented logically, with appropriate interpretation linking identified SNPs and genes to known pathways of zinc and iron metabolism.</w:t>
            </w:r>
          </w:p>
          <w:p w:rsidR="005C3D69" w:rsidRPr="00B774F9" w:rsidRDefault="002C6796">
            <w:pPr>
              <w:pBdr>
                <w:top w:val="nil"/>
                <w:left w:val="nil"/>
                <w:bottom w:val="nil"/>
                <w:right w:val="nil"/>
                <w:between w:val="nil"/>
              </w:pBdr>
              <w:spacing w:before="280" w:after="280"/>
              <w:jc w:val="both"/>
              <w:rPr>
                <w:rFonts w:ascii="Arial" w:eastAsia="Arimo" w:hAnsi="Arial" w:cs="Arial"/>
                <w:color w:val="000000"/>
                <w:sz w:val="20"/>
                <w:szCs w:val="20"/>
              </w:rPr>
            </w:pPr>
            <w:r w:rsidRPr="00B774F9">
              <w:rPr>
                <w:rFonts w:ascii="Arial" w:eastAsia="Arimo" w:hAnsi="Arial" w:cs="Arial"/>
                <w:color w:val="000000"/>
                <w:sz w:val="20"/>
                <w:szCs w:val="20"/>
              </w:rPr>
              <w:t>Th</w:t>
            </w:r>
            <w:r w:rsidRPr="00B774F9">
              <w:rPr>
                <w:rFonts w:ascii="Arial" w:eastAsia="Arimo" w:hAnsi="Arial" w:cs="Arial"/>
                <w:color w:val="000000"/>
                <w:sz w:val="20"/>
                <w:szCs w:val="20"/>
              </w:rPr>
              <w:t xml:space="preserve">e writing style is generally clear and concise, and the manuscript maintains a good balance between background information, methodological detail, and interpretation. The study provides valuable genomic insights that can support </w:t>
            </w:r>
            <w:r w:rsidRPr="00B774F9">
              <w:rPr>
                <w:rFonts w:ascii="Arial" w:eastAsia="Arimo" w:hAnsi="Arial" w:cs="Arial"/>
                <w:b/>
                <w:color w:val="000000"/>
                <w:sz w:val="20"/>
                <w:szCs w:val="20"/>
              </w:rPr>
              <w:t>marker-assisted selection (</w:t>
            </w:r>
            <w:r w:rsidRPr="00B774F9">
              <w:rPr>
                <w:rFonts w:ascii="Arial" w:eastAsia="Arimo" w:hAnsi="Arial" w:cs="Arial"/>
                <w:b/>
                <w:color w:val="000000"/>
                <w:sz w:val="20"/>
                <w:szCs w:val="20"/>
              </w:rPr>
              <w:t>MAS)</w:t>
            </w:r>
            <w:r w:rsidRPr="00B774F9">
              <w:rPr>
                <w:rFonts w:ascii="Arial" w:eastAsia="Arimo" w:hAnsi="Arial" w:cs="Arial"/>
                <w:color w:val="000000"/>
                <w:sz w:val="20"/>
                <w:szCs w:val="20"/>
              </w:rPr>
              <w:t xml:space="preserve"> and </w:t>
            </w:r>
            <w:r w:rsidRPr="00B774F9">
              <w:rPr>
                <w:rFonts w:ascii="Arial" w:eastAsia="Arimo" w:hAnsi="Arial" w:cs="Arial"/>
                <w:b/>
                <w:color w:val="000000"/>
                <w:sz w:val="20"/>
                <w:szCs w:val="20"/>
              </w:rPr>
              <w:t>functional genomics</w:t>
            </w:r>
            <w:r w:rsidRPr="00B774F9">
              <w:rPr>
                <w:rFonts w:ascii="Arial" w:eastAsia="Arimo" w:hAnsi="Arial" w:cs="Arial"/>
                <w:color w:val="000000"/>
                <w:sz w:val="20"/>
                <w:szCs w:val="20"/>
              </w:rPr>
              <w:t xml:space="preserve"> research in legumes.</w:t>
            </w:r>
          </w:p>
          <w:p w:rsidR="005C3D69" w:rsidRPr="00B774F9" w:rsidRDefault="005C3D69">
            <w:pPr>
              <w:pBdr>
                <w:top w:val="nil"/>
                <w:left w:val="nil"/>
                <w:bottom w:val="nil"/>
                <w:right w:val="nil"/>
                <w:between w:val="nil"/>
              </w:pBdr>
              <w:rPr>
                <w:rFonts w:ascii="Arial" w:hAnsi="Arial" w:cs="Arial"/>
                <w:color w:val="000000"/>
                <w:sz w:val="20"/>
                <w:szCs w:val="20"/>
              </w:rPr>
            </w:pPr>
          </w:p>
        </w:tc>
        <w:tc>
          <w:tcPr>
            <w:tcW w:w="6442" w:type="dxa"/>
          </w:tcPr>
          <w:p w:rsidR="005C3D69" w:rsidRPr="00B774F9" w:rsidRDefault="005C3D69">
            <w:pPr>
              <w:rPr>
                <w:rFonts w:ascii="Arial" w:hAnsi="Arial" w:cs="Arial"/>
                <w:sz w:val="20"/>
                <w:szCs w:val="20"/>
              </w:rPr>
            </w:pPr>
          </w:p>
        </w:tc>
      </w:tr>
    </w:tbl>
    <w:p w:rsidR="005C3D69" w:rsidRPr="00B774F9" w:rsidRDefault="005C3D69">
      <w:pPr>
        <w:pBdr>
          <w:top w:val="nil"/>
          <w:left w:val="nil"/>
          <w:bottom w:val="nil"/>
          <w:right w:val="nil"/>
          <w:between w:val="nil"/>
        </w:pBdr>
        <w:jc w:val="both"/>
        <w:rPr>
          <w:rFonts w:ascii="Arial" w:hAnsi="Arial" w:cs="Arial"/>
          <w:color w:val="000000"/>
          <w:sz w:val="20"/>
          <w:szCs w:val="20"/>
          <w:u w:val="single"/>
        </w:rPr>
      </w:pPr>
    </w:p>
    <w:p w:rsidR="005C3D69" w:rsidRPr="00B774F9" w:rsidRDefault="005C3D69">
      <w:pPr>
        <w:pBdr>
          <w:top w:val="nil"/>
          <w:left w:val="nil"/>
          <w:bottom w:val="nil"/>
          <w:right w:val="nil"/>
          <w:between w:val="nil"/>
        </w:pBdr>
        <w:jc w:val="both"/>
        <w:rPr>
          <w:rFonts w:ascii="Arial" w:hAnsi="Arial" w:cs="Arial"/>
          <w:color w:val="000000"/>
          <w:sz w:val="20"/>
          <w:szCs w:val="20"/>
          <w:u w:val="single"/>
        </w:rPr>
      </w:pPr>
      <w:bookmarkStart w:id="1" w:name="_GoBack"/>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C3D69" w:rsidRPr="00B774F9">
        <w:trPr>
          <w:trHeight w:val="237"/>
        </w:trPr>
        <w:tc>
          <w:tcPr>
            <w:tcW w:w="21150" w:type="dxa"/>
            <w:gridSpan w:val="3"/>
            <w:tcBorders>
              <w:top w:val="nil"/>
              <w:left w:val="nil"/>
              <w:right w:val="nil"/>
            </w:tcBorders>
            <w:tcMar>
              <w:top w:w="0" w:type="dxa"/>
              <w:left w:w="108" w:type="dxa"/>
              <w:bottom w:w="0" w:type="dxa"/>
              <w:right w:w="108" w:type="dxa"/>
            </w:tcMar>
            <w:vAlign w:val="center"/>
          </w:tcPr>
          <w:p w:rsidR="005C3D69" w:rsidRPr="00B774F9" w:rsidRDefault="002C6796">
            <w:pPr>
              <w:pBdr>
                <w:top w:val="nil"/>
                <w:left w:val="nil"/>
                <w:bottom w:val="nil"/>
                <w:right w:val="nil"/>
                <w:between w:val="nil"/>
              </w:pBdr>
              <w:rPr>
                <w:rFonts w:ascii="Arial" w:hAnsi="Arial" w:cs="Arial"/>
                <w:color w:val="000000"/>
                <w:sz w:val="20"/>
                <w:szCs w:val="20"/>
                <w:u w:val="single"/>
              </w:rPr>
            </w:pPr>
            <w:r w:rsidRPr="00B774F9">
              <w:rPr>
                <w:rFonts w:ascii="Arial" w:hAnsi="Arial" w:cs="Arial"/>
                <w:b/>
                <w:color w:val="000000"/>
                <w:sz w:val="20"/>
                <w:szCs w:val="20"/>
                <w:highlight w:val="yellow"/>
                <w:u w:val="single"/>
              </w:rPr>
              <w:t>PART  2:</w:t>
            </w:r>
            <w:r w:rsidRPr="00B774F9">
              <w:rPr>
                <w:rFonts w:ascii="Arial" w:hAnsi="Arial" w:cs="Arial"/>
                <w:b/>
                <w:color w:val="000000"/>
                <w:sz w:val="20"/>
                <w:szCs w:val="20"/>
                <w:u w:val="single"/>
              </w:rPr>
              <w:t xml:space="preserve"> </w:t>
            </w:r>
          </w:p>
          <w:p w:rsidR="005C3D69" w:rsidRPr="00B774F9" w:rsidRDefault="005C3D69">
            <w:pPr>
              <w:pBdr>
                <w:top w:val="nil"/>
                <w:left w:val="nil"/>
                <w:bottom w:val="nil"/>
                <w:right w:val="nil"/>
                <w:between w:val="nil"/>
              </w:pBdr>
              <w:rPr>
                <w:rFonts w:ascii="Arial" w:hAnsi="Arial" w:cs="Arial"/>
                <w:color w:val="000000"/>
                <w:sz w:val="20"/>
                <w:szCs w:val="20"/>
                <w:u w:val="single"/>
              </w:rPr>
            </w:pPr>
          </w:p>
        </w:tc>
      </w:tr>
      <w:tr w:rsidR="005C3D69" w:rsidRPr="00B774F9">
        <w:trPr>
          <w:trHeight w:val="935"/>
        </w:trPr>
        <w:tc>
          <w:tcPr>
            <w:tcW w:w="6831" w:type="dxa"/>
            <w:tcMar>
              <w:top w:w="0" w:type="dxa"/>
              <w:left w:w="108" w:type="dxa"/>
              <w:bottom w:w="0" w:type="dxa"/>
              <w:right w:w="108" w:type="dxa"/>
            </w:tcMar>
            <w:vAlign w:val="center"/>
          </w:tcPr>
          <w:p w:rsidR="005C3D69" w:rsidRPr="00B774F9" w:rsidRDefault="005C3D69">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5C3D69" w:rsidRPr="00B774F9" w:rsidRDefault="002C6796">
            <w:pPr>
              <w:pStyle w:val="Heading2"/>
              <w:jc w:val="left"/>
              <w:rPr>
                <w:rFonts w:ascii="Arial" w:eastAsia="Times New Roman" w:hAnsi="Arial" w:cs="Arial"/>
              </w:rPr>
            </w:pPr>
            <w:r w:rsidRPr="00B774F9">
              <w:rPr>
                <w:rFonts w:ascii="Arial" w:eastAsia="Times New Roman" w:hAnsi="Arial" w:cs="Arial"/>
              </w:rPr>
              <w:t>Reviewer’s comment</w:t>
            </w:r>
          </w:p>
        </w:tc>
        <w:tc>
          <w:tcPr>
            <w:tcW w:w="5677" w:type="dxa"/>
          </w:tcPr>
          <w:p w:rsidR="005C3D69" w:rsidRPr="00B774F9" w:rsidRDefault="002C6796">
            <w:pPr>
              <w:spacing w:after="160" w:line="254" w:lineRule="auto"/>
              <w:rPr>
                <w:rFonts w:ascii="Arial" w:hAnsi="Arial" w:cs="Arial"/>
                <w:sz w:val="20"/>
                <w:szCs w:val="20"/>
              </w:rPr>
            </w:pPr>
            <w:r w:rsidRPr="00B774F9">
              <w:rPr>
                <w:rFonts w:ascii="Arial" w:hAnsi="Arial" w:cs="Arial"/>
                <w:b/>
                <w:sz w:val="20"/>
                <w:szCs w:val="20"/>
              </w:rPr>
              <w:t>Author’s Feedback</w:t>
            </w:r>
            <w:r w:rsidRPr="00B774F9">
              <w:rPr>
                <w:rFonts w:ascii="Arial" w:hAnsi="Arial" w:cs="Arial"/>
                <w:sz w:val="20"/>
                <w:szCs w:val="20"/>
              </w:rPr>
              <w:t xml:space="preserve"> (It is mandatory that authors should write his/her feedback here)</w:t>
            </w:r>
          </w:p>
          <w:p w:rsidR="005C3D69" w:rsidRPr="00B774F9" w:rsidRDefault="005C3D69">
            <w:pPr>
              <w:pStyle w:val="Heading2"/>
              <w:jc w:val="left"/>
              <w:rPr>
                <w:rFonts w:ascii="Arial" w:eastAsia="Times New Roman" w:hAnsi="Arial" w:cs="Arial"/>
                <w:b w:val="0"/>
              </w:rPr>
            </w:pPr>
          </w:p>
        </w:tc>
      </w:tr>
      <w:tr w:rsidR="005C3D69" w:rsidRPr="00B774F9">
        <w:trPr>
          <w:trHeight w:val="697"/>
        </w:trPr>
        <w:tc>
          <w:tcPr>
            <w:tcW w:w="6831" w:type="dxa"/>
            <w:tcMar>
              <w:top w:w="0" w:type="dxa"/>
              <w:left w:w="108" w:type="dxa"/>
              <w:bottom w:w="0" w:type="dxa"/>
              <w:right w:w="108" w:type="dxa"/>
            </w:tcMar>
            <w:vAlign w:val="center"/>
          </w:tcPr>
          <w:p w:rsidR="005C3D69" w:rsidRPr="00B774F9" w:rsidRDefault="002C6796">
            <w:pPr>
              <w:pBdr>
                <w:top w:val="nil"/>
                <w:left w:val="nil"/>
                <w:bottom w:val="nil"/>
                <w:right w:val="nil"/>
                <w:between w:val="nil"/>
              </w:pBdr>
              <w:rPr>
                <w:rFonts w:ascii="Arial" w:hAnsi="Arial" w:cs="Arial"/>
                <w:color w:val="000000"/>
                <w:sz w:val="20"/>
                <w:szCs w:val="20"/>
              </w:rPr>
            </w:pPr>
            <w:r w:rsidRPr="00B774F9">
              <w:rPr>
                <w:rFonts w:ascii="Arial" w:hAnsi="Arial" w:cs="Arial"/>
                <w:b/>
                <w:color w:val="000000"/>
                <w:sz w:val="20"/>
                <w:szCs w:val="20"/>
              </w:rPr>
              <w:t xml:space="preserve">Are there ethical issues in this manuscript? </w:t>
            </w:r>
          </w:p>
          <w:p w:rsidR="005C3D69" w:rsidRPr="00B774F9" w:rsidRDefault="005C3D69">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5C3D69" w:rsidRPr="00B774F9" w:rsidRDefault="002C6796">
            <w:pPr>
              <w:pBdr>
                <w:top w:val="nil"/>
                <w:left w:val="nil"/>
                <w:bottom w:val="nil"/>
                <w:right w:val="nil"/>
                <w:between w:val="nil"/>
              </w:pBdr>
              <w:rPr>
                <w:rFonts w:ascii="Arial" w:hAnsi="Arial" w:cs="Arial"/>
                <w:color w:val="000000"/>
                <w:sz w:val="20"/>
                <w:szCs w:val="20"/>
              </w:rPr>
            </w:pPr>
            <w:r w:rsidRPr="00B774F9">
              <w:rPr>
                <w:rFonts w:ascii="Arial" w:hAnsi="Arial" w:cs="Arial"/>
                <w:color w:val="000000"/>
                <w:sz w:val="20"/>
                <w:szCs w:val="20"/>
              </w:rPr>
              <w:t>NO</w:t>
            </w:r>
          </w:p>
          <w:p w:rsidR="005C3D69" w:rsidRPr="00B774F9" w:rsidRDefault="005C3D69">
            <w:pPr>
              <w:pBdr>
                <w:top w:val="nil"/>
                <w:left w:val="nil"/>
                <w:bottom w:val="nil"/>
                <w:right w:val="nil"/>
                <w:between w:val="nil"/>
              </w:pBdr>
              <w:rPr>
                <w:rFonts w:ascii="Arial" w:hAnsi="Arial" w:cs="Arial"/>
                <w:color w:val="000000"/>
                <w:sz w:val="20"/>
                <w:szCs w:val="20"/>
              </w:rPr>
            </w:pPr>
          </w:p>
        </w:tc>
        <w:tc>
          <w:tcPr>
            <w:tcW w:w="5677" w:type="dxa"/>
            <w:vAlign w:val="center"/>
          </w:tcPr>
          <w:p w:rsidR="005C3D69" w:rsidRPr="00B774F9" w:rsidRDefault="005C3D69">
            <w:pPr>
              <w:rPr>
                <w:rFonts w:ascii="Arial" w:hAnsi="Arial" w:cs="Arial"/>
                <w:sz w:val="20"/>
                <w:szCs w:val="20"/>
              </w:rPr>
            </w:pPr>
          </w:p>
          <w:p w:rsidR="005C3D69" w:rsidRPr="00B774F9" w:rsidRDefault="005C3D69">
            <w:pPr>
              <w:rPr>
                <w:rFonts w:ascii="Arial" w:hAnsi="Arial" w:cs="Arial"/>
                <w:sz w:val="20"/>
                <w:szCs w:val="20"/>
              </w:rPr>
            </w:pPr>
          </w:p>
          <w:p w:rsidR="005C3D69" w:rsidRPr="00B774F9" w:rsidRDefault="005C3D69">
            <w:pPr>
              <w:rPr>
                <w:rFonts w:ascii="Arial" w:hAnsi="Arial" w:cs="Arial"/>
                <w:sz w:val="20"/>
                <w:szCs w:val="20"/>
              </w:rPr>
            </w:pPr>
          </w:p>
          <w:p w:rsidR="005C3D69" w:rsidRPr="00B774F9" w:rsidRDefault="005C3D69">
            <w:pPr>
              <w:pBdr>
                <w:top w:val="nil"/>
                <w:left w:val="nil"/>
                <w:bottom w:val="nil"/>
                <w:right w:val="nil"/>
                <w:between w:val="nil"/>
              </w:pBdr>
              <w:rPr>
                <w:rFonts w:ascii="Arial" w:hAnsi="Arial" w:cs="Arial"/>
                <w:color w:val="000000"/>
                <w:sz w:val="20"/>
                <w:szCs w:val="20"/>
              </w:rPr>
            </w:pPr>
          </w:p>
        </w:tc>
      </w:tr>
    </w:tbl>
    <w:p w:rsidR="005C3D69" w:rsidRPr="00B774F9" w:rsidRDefault="005C3D69">
      <w:pPr>
        <w:pBdr>
          <w:top w:val="nil"/>
          <w:left w:val="nil"/>
          <w:bottom w:val="nil"/>
          <w:right w:val="nil"/>
          <w:between w:val="nil"/>
        </w:pBdr>
        <w:jc w:val="both"/>
        <w:rPr>
          <w:rFonts w:ascii="Arial" w:eastAsia="Arial" w:hAnsi="Arial" w:cs="Arial"/>
          <w:color w:val="000000"/>
          <w:sz w:val="20"/>
          <w:szCs w:val="20"/>
        </w:rPr>
      </w:pPr>
    </w:p>
    <w:sectPr w:rsidR="005C3D69" w:rsidRPr="00B774F9">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C6796" w:rsidRDefault="002C6796">
      <w:r>
        <w:separator/>
      </w:r>
    </w:p>
  </w:endnote>
  <w:endnote w:type="continuationSeparator" w:id="0">
    <w:p w:rsidR="002C6796" w:rsidRDefault="002C67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A6E35D3D-DDBE-4078-BFA2-851D7F519A0D}"/>
    <w:embedBold r:id="rId2" w:fontKey="{4A9DB9D4-17F8-40A3-A446-3927539CA05E}"/>
  </w:font>
  <w:font w:name="Arimo">
    <w:charset w:val="00"/>
    <w:family w:val="auto"/>
    <w:pitch w:val="default"/>
    <w:embedRegular r:id="rId3" w:fontKey="{D0BC3244-78AC-4249-86B3-22F37413F47D}"/>
    <w:embedBold r:id="rId4" w:fontKey="{88B64287-10DF-4204-83AB-57DE24CF7F8E}"/>
  </w:font>
  <w:font w:name="Helvetica">
    <w:panose1 w:val="020B0604020202020204"/>
    <w:charset w:val="00"/>
    <w:family w:val="swiss"/>
    <w:pitch w:val="variable"/>
    <w:sig w:usb0="00000003" w:usb1="00000000" w:usb2="00000000" w:usb3="00000000" w:csb0="00000001" w:csb1="00000000"/>
    <w:embedRegular r:id="rId5" w:fontKey="{19646C45-A412-42E3-94D2-5ADC90CDF626}"/>
    <w:embedBold r:id="rId6" w:fontKey="{9580589F-07AE-42A3-BEC0-AA77C71FB58A}"/>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FC7F7E02-38D0-494E-B353-E88B220EEB2D}"/>
  </w:font>
  <w:font w:name="Georgia">
    <w:panose1 w:val="02040502050405020303"/>
    <w:charset w:val="00"/>
    <w:family w:val="roman"/>
    <w:pitch w:val="variable"/>
    <w:sig w:usb0="00000287" w:usb1="00000000" w:usb2="00000000" w:usb3="00000000" w:csb0="0000009F" w:csb1="00000000"/>
    <w:embedRegular r:id="rId8" w:fontKey="{AD0FD5FE-4CC2-4836-9F58-6449067CBE53}"/>
    <w:embedItalic r:id="rId9" w:fontKey="{BA8BBFA2-5E4D-4A7F-B7BD-8676EECFBC4E}"/>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10" w:fontKey="{CB3D1220-BA50-461F-9C56-7FB0CB717B3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3D69" w:rsidRDefault="002C6796">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C6796" w:rsidRDefault="002C6796">
      <w:r>
        <w:separator/>
      </w:r>
    </w:p>
  </w:footnote>
  <w:footnote w:type="continuationSeparator" w:id="0">
    <w:p w:rsidR="002C6796" w:rsidRDefault="002C67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3D69" w:rsidRDefault="005C3D69">
    <w:pPr>
      <w:spacing w:after="280"/>
      <w:jc w:val="center"/>
      <w:rPr>
        <w:rFonts w:ascii="Arial" w:eastAsia="Arial" w:hAnsi="Arial" w:cs="Arial"/>
        <w:color w:val="003399"/>
        <w:u w:val="single"/>
      </w:rPr>
    </w:pPr>
  </w:p>
  <w:p w:rsidR="005C3D69" w:rsidRDefault="002C6796">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3D69"/>
    <w:rsid w:val="002C6796"/>
    <w:rsid w:val="005C3D69"/>
    <w:rsid w:val="00B774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19A070"/>
  <w15:docId w15:val="{D18AEA09-1FA4-4AE0-A513-207523E31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character" w:styleId="Emphasis">
    <w:name w:val="Emphasis"/>
    <w:rPr>
      <w:i/>
      <w:iCs/>
      <w:w w:val="100"/>
      <w:position w:val="-1"/>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paragraph" w:styleId="Footer">
    <w:name w:val="footer"/>
    <w:basedOn w:val="Normal"/>
    <w:qFormat/>
    <w:pPr>
      <w:tabs>
        <w:tab w:val="center" w:pos="4513"/>
        <w:tab w:val="right" w:pos="9026"/>
      </w:tabs>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Header">
    <w:name w:val="header"/>
    <w:basedOn w:val="Normal"/>
    <w:pPr>
      <w:tabs>
        <w:tab w:val="center" w:pos="4680"/>
        <w:tab w:val="right" w:pos="9360"/>
      </w:tabs>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character" w:styleId="Strong">
    <w:name w:val="Strong"/>
    <w:rPr>
      <w:b/>
      <w:bCs/>
      <w:w w:val="100"/>
      <w:position w:val="-1"/>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bji.com/index.php/BJ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9nVaZjbNR+/Sc73vSp4el+vyzg==">CgMxLjAyDmguNDZndXpyejc1d2N5OAByITFKQWVhMFdmSlNlVFM4T3B0Qjd4aERQVXBXWXJHVXJWNg==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986</Words>
  <Characters>5624</Characters>
  <Application>Microsoft Office Word</Application>
  <DocSecurity>0</DocSecurity>
  <Lines>46</Lines>
  <Paragraphs>13</Paragraphs>
  <ScaleCrop>false</ScaleCrop>
  <Company/>
  <LinksUpToDate>false</LinksUpToDate>
  <CharactersWithSpaces>6597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2025-10-31T06:20:00Z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1033-12.2.0.23131</vt:lpwstr>
  </property>
  <property fmtid="{D5CDD505-2E9C-101B-9397-08002B2CF9AE}" pid="3" name="ICV">
    <vt:lpwstr>DED11835104746A49D73B71158FCAE0A_12</vt:lpwstr>
  </property>
</Properties>
</file>