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DFFF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14"/>
        <w:tblW w:w="209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7"/>
        <w:gridCol w:w="15767"/>
      </w:tblGrid>
      <w:tr w14:paraId="347C8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01DE951B">
            <w:pPr>
              <w:pStyle w:val="3"/>
              <w:jc w:val="left"/>
              <w:rPr>
                <w:rFonts w:ascii="Arial" w:hAnsi="Arial" w:eastAsia="Arial" w:cs="Arial"/>
                <w:b w:val="0"/>
                <w:sz w:val="28"/>
                <w:szCs w:val="28"/>
              </w:rPr>
            </w:pPr>
          </w:p>
        </w:tc>
      </w:tr>
      <w:tr w14:paraId="07991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167" w:type="dxa"/>
          </w:tcPr>
          <w:p w14:paraId="490B6FC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9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Journal Name: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1075D">
            <w:pPr>
              <w:rPr>
                <w:rFonts w:ascii="Arial" w:hAnsi="Arial" w:eastAsia="Arial" w:cs="Arial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"https://journalarjgo.com/index.php/ARJGO" \h </w:instrText>
            </w:r>
            <w:r>
              <w:fldChar w:fldCharType="separate"/>
            </w:r>
            <w:r>
              <w:rPr>
                <w:rFonts w:ascii="Arial" w:hAnsi="Arial" w:eastAsia="Arial" w:cs="Arial"/>
                <w:b/>
                <w:color w:val="0000FF"/>
                <w:sz w:val="20"/>
                <w:szCs w:val="20"/>
                <w:u w:val="single"/>
              </w:rPr>
              <w:t>Asian Research Journal of Gynaecology and Obstetrics</w:t>
            </w:r>
            <w:r>
              <w:rPr>
                <w:rFonts w:ascii="Arial" w:hAnsi="Arial" w:eastAsia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14:paraId="0A616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167" w:type="dxa"/>
          </w:tcPr>
          <w:p w14:paraId="052F16D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9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5705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Ms_ARJGO_146898</w:t>
            </w:r>
          </w:p>
        </w:tc>
      </w:tr>
      <w:tr w14:paraId="29A0F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167" w:type="dxa"/>
          </w:tcPr>
          <w:p w14:paraId="2C16BD8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90"/>
              <w:rPr>
                <w:rFonts w:ascii="Arial" w:hAnsi="Arial" w:eastAsia="Arial" w:cs="Arial"/>
                <w:sz w:val="20"/>
                <w:szCs w:val="20"/>
              </w:rPr>
            </w:pPr>
          </w:p>
          <w:p w14:paraId="5E8D4BB3">
            <w:pPr>
              <w:ind w:left="9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Title</w:t>
            </w:r>
          </w:p>
          <w:p w14:paraId="48D12591">
            <w:pPr>
              <w:spacing w:before="20" w:after="240" w:line="196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</w:p>
          <w:p w14:paraId="7BA0ADF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90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D79E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Gravid Uterine Herniation in Ventral Wall Defect: A Rare Cause of Pelvic Pain</w:t>
            </w:r>
          </w:p>
        </w:tc>
      </w:tr>
      <w:tr w14:paraId="2B936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167" w:type="dxa"/>
          </w:tcPr>
          <w:p w14:paraId="666501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9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Type of the Article case report review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04B3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14:paraId="7B19993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ascii="Arial" w:hAnsi="Arial" w:eastAsia="Arial" w:cs="Arial"/>
          <w:color w:val="000000"/>
          <w:sz w:val="20"/>
          <w:szCs w:val="20"/>
          <w:u w:val="single"/>
        </w:rPr>
      </w:pPr>
    </w:p>
    <w:p w14:paraId="345668F8">
      <w:pPr>
        <w:rPr>
          <w:sz w:val="20"/>
          <w:szCs w:val="20"/>
        </w:rPr>
      </w:pPr>
    </w:p>
    <w:tbl>
      <w:tblPr>
        <w:tblStyle w:val="15"/>
        <w:tblW w:w="21150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1"/>
        <w:gridCol w:w="9357"/>
        <w:gridCol w:w="6442"/>
      </w:tblGrid>
      <w:tr w14:paraId="70012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5B611B5A">
            <w:pPr>
              <w:pStyle w:val="3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highlight w:val="yellow"/>
              </w:rPr>
              <w:t>PART  1:</w:t>
            </w:r>
            <w:r>
              <w:rPr>
                <w:rFonts w:ascii="Times New Roman" w:hAnsi="Times New Roman" w:eastAsia="Times New Roman" w:cs="Times New Roman"/>
              </w:rPr>
              <w:t xml:space="preserve"> Comments</w:t>
            </w:r>
          </w:p>
          <w:p w14:paraId="28EC70FE">
            <w:pPr>
              <w:rPr>
                <w:sz w:val="20"/>
                <w:szCs w:val="20"/>
              </w:rPr>
            </w:pPr>
          </w:p>
        </w:tc>
      </w:tr>
      <w:tr w14:paraId="5A1F3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1" w:type="dxa"/>
          </w:tcPr>
          <w:p w14:paraId="3BDEB7AC">
            <w:pPr>
              <w:pStyle w:val="3"/>
              <w:jc w:val="left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357" w:type="dxa"/>
          </w:tcPr>
          <w:p w14:paraId="755F444D">
            <w:pPr>
              <w:pStyle w:val="3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Reviewer’s comment</w:t>
            </w:r>
          </w:p>
          <w:p w14:paraId="60C60E1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E3D0F19"/>
        </w:tc>
        <w:tc>
          <w:tcPr>
            <w:tcW w:w="6442" w:type="dxa"/>
          </w:tcPr>
          <w:p w14:paraId="1D8F3134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679866E8">
            <w:pPr>
              <w:spacing w:after="160" w:line="254" w:lineRule="auto"/>
              <w:rPr>
                <w:b/>
              </w:rPr>
            </w:pPr>
          </w:p>
        </w:tc>
      </w:tr>
      <w:tr w14:paraId="2B7FD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5351" w:type="dxa"/>
          </w:tcPr>
          <w:p w14:paraId="5FCF3DC9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1D945A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75C9593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sz w:val="20"/>
                <w:szCs w:val="20"/>
              </w:rPr>
            </w:pPr>
          </w:p>
          <w:p w14:paraId="10A556C7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topic is relevant. Undiagnosed or Unattended cases may develop serious complications . </w:t>
            </w:r>
          </w:p>
          <w:p w14:paraId="2960394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  <w:bookmarkStart w:id="0" w:name="_j6556dwyczo8" w:colFirst="0" w:colLast="0"/>
            <w:bookmarkEnd w:id="0"/>
            <w:r>
              <w:t>The health provider must anticipate problems and tutor the patient regarding redflags</w:t>
            </w:r>
          </w:p>
        </w:tc>
        <w:tc>
          <w:tcPr>
            <w:tcW w:w="6442" w:type="dxa"/>
          </w:tcPr>
          <w:p w14:paraId="5D9A595D">
            <w:pPr>
              <w:pStyle w:val="3"/>
              <w:keepNext w:val="0"/>
              <w:spacing w:after="160" w:line="254" w:lineRule="auto"/>
              <w:jc w:val="left"/>
              <w:rPr>
                <w:rFonts w:ascii="Times New Roman" w:hAnsi="Times New Roman" w:eastAsia="Times New Roman" w:cs="Times New Roman"/>
                <w:b w:val="0"/>
              </w:rPr>
            </w:pPr>
          </w:p>
        </w:tc>
      </w:tr>
      <w:tr w14:paraId="5447D5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5351" w:type="dxa"/>
          </w:tcPr>
          <w:p w14:paraId="51EC08CC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3BC7F66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7CF992E3">
            <w:pPr>
              <w:pStyle w:val="3"/>
              <w:jc w:val="left"/>
              <w:rPr>
                <w:rFonts w:ascii="Times New Roman" w:hAnsi="Times New Roman" w:eastAsia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7172755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Gravid Uterine Herniation in Ventral Wall Defect: A Rare Cause of Pelvic Pain- A Case Report and Review</w:t>
            </w:r>
          </w:p>
          <w:p w14:paraId="3B99C60A">
            <w:pPr>
              <w:ind w:left="360"/>
            </w:pPr>
          </w:p>
          <w:p w14:paraId="4175954A">
            <w:pPr>
              <w:ind w:left="360"/>
            </w:pPr>
          </w:p>
          <w:p w14:paraId="18254F65">
            <w:pPr>
              <w:ind w:left="360"/>
              <w:rPr>
                <w:sz w:val="20"/>
                <w:szCs w:val="20"/>
              </w:rPr>
            </w:pPr>
            <w:r>
              <w:t>Yes</w:t>
            </w:r>
          </w:p>
        </w:tc>
        <w:tc>
          <w:tcPr>
            <w:tcW w:w="6442" w:type="dxa"/>
          </w:tcPr>
          <w:p w14:paraId="433EBAA1">
            <w:pPr>
              <w:pStyle w:val="3"/>
              <w:jc w:val="left"/>
              <w:rPr>
                <w:rFonts w:hint="default" w:ascii="Times New Roman" w:hAnsi="Times New Roman" w:eastAsia="Times New Roman" w:cs="Times New Roman"/>
                <w:b w:val="0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lang w:val="en-US"/>
              </w:rPr>
              <w:t>The authors would like to thank the reviewers for the suggestion. The article title has been changed.</w:t>
            </w:r>
          </w:p>
        </w:tc>
      </w:tr>
      <w:tr w14:paraId="233BA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5351" w:type="dxa"/>
          </w:tcPr>
          <w:p w14:paraId="7723ABA9">
            <w:pPr>
              <w:pStyle w:val="3"/>
              <w:ind w:left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60E206D6">
            <w:pPr>
              <w:pStyle w:val="3"/>
              <w:jc w:val="left"/>
              <w:rPr>
                <w:rFonts w:ascii="Times New Roman" w:hAnsi="Times New Roman" w:eastAsia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3A088DF7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few more points could be added to illustrate indications for casarean section. Conservative management till delivery , use of mesh repair and complications during delivery , A simple abdominal binder could prevent most complications .</w:t>
            </w:r>
          </w:p>
        </w:tc>
        <w:tc>
          <w:tcPr>
            <w:tcW w:w="6442" w:type="dxa"/>
          </w:tcPr>
          <w:p w14:paraId="49966CA4">
            <w:pPr>
              <w:pStyle w:val="3"/>
              <w:jc w:val="left"/>
              <w:rPr>
                <w:rFonts w:hint="default" w:ascii="Times New Roman" w:hAnsi="Times New Roman" w:eastAsia="Times New Roman" w:cs="Times New Roman"/>
                <w:b w:val="0"/>
                <w:lang w:val="en-US"/>
              </w:rPr>
            </w:pPr>
            <w:r>
              <w:rPr>
                <w:rFonts w:hint="default" w:ascii="Times New Roman" w:hAnsi="Times New Roman" w:eastAsia="Times New Roman"/>
                <w:b w:val="0"/>
                <w:lang w:val="en-US"/>
              </w:rPr>
              <w:t>Suggested comments have been added to the manuscript.</w:t>
            </w:r>
            <w:bookmarkStart w:id="1" w:name="_GoBack"/>
            <w:bookmarkEnd w:id="1"/>
          </w:p>
        </w:tc>
      </w:tr>
      <w:tr w14:paraId="69420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351" w:type="dxa"/>
          </w:tcPr>
          <w:p w14:paraId="02C51DF0">
            <w:pPr>
              <w:pStyle w:val="3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hAnsi="Times New Roman" w:eastAsia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3253C9C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evidence is aupportuve </w:t>
            </w:r>
          </w:p>
        </w:tc>
        <w:tc>
          <w:tcPr>
            <w:tcW w:w="6442" w:type="dxa"/>
          </w:tcPr>
          <w:p w14:paraId="7C5D7AA2">
            <w:pPr>
              <w:pStyle w:val="3"/>
              <w:jc w:val="left"/>
              <w:rPr>
                <w:rFonts w:ascii="Times New Roman" w:hAnsi="Times New Roman" w:eastAsia="Times New Roman" w:cs="Times New Roman"/>
                <w:b w:val="0"/>
              </w:rPr>
            </w:pPr>
          </w:p>
        </w:tc>
      </w:tr>
      <w:tr w14:paraId="41932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5351" w:type="dxa"/>
          </w:tcPr>
          <w:p w14:paraId="0789031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2CDA08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There could be more references regarding the issue of choice of route of delivery .indications for casesearen section</w:t>
            </w:r>
          </w:p>
        </w:tc>
        <w:tc>
          <w:tcPr>
            <w:tcW w:w="6442" w:type="dxa"/>
          </w:tcPr>
          <w:p w14:paraId="2937393F">
            <w:pPr>
              <w:pStyle w:val="3"/>
              <w:jc w:val="left"/>
              <w:rPr>
                <w:rFonts w:hint="default" w:ascii="Times New Roman" w:hAnsi="Times New Roman" w:eastAsia="Times New Roman" w:cs="Times New Roman"/>
                <w:b w:val="0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lang w:val="en-US"/>
              </w:rPr>
              <w:t xml:space="preserve">As this is an incredibly rare case, there were no management guidelines. Given the prior history of C sections and the concurrent ventral wall defect, a repeat C section was decided to be the best course of action. This treatment line is documented in all other case reports in our references section.  </w:t>
            </w:r>
          </w:p>
        </w:tc>
      </w:tr>
      <w:tr w14:paraId="33BE4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1" w:type="dxa"/>
          </w:tcPr>
          <w:p w14:paraId="5EF578C0">
            <w:pPr>
              <w:pStyle w:val="3"/>
              <w:ind w:left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Is the language/English quality of the article suitable for scholarly communications?</w:t>
            </w:r>
          </w:p>
          <w:p w14:paraId="5F0CA206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2A72C5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Suitable </w:t>
            </w:r>
          </w:p>
        </w:tc>
        <w:tc>
          <w:tcPr>
            <w:tcW w:w="6442" w:type="dxa"/>
          </w:tcPr>
          <w:p w14:paraId="0ED3397B">
            <w:pPr>
              <w:rPr>
                <w:sz w:val="20"/>
                <w:szCs w:val="20"/>
              </w:rPr>
            </w:pPr>
          </w:p>
        </w:tc>
      </w:tr>
      <w:tr w14:paraId="40B5E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5351" w:type="dxa"/>
          </w:tcPr>
          <w:p w14:paraId="5010FE4B">
            <w:pPr>
              <w:pStyle w:val="3"/>
              <w:jc w:val="left"/>
              <w:rPr>
                <w:rFonts w:ascii="Times New Roman" w:hAnsi="Times New Roman" w:eastAsia="Times New Roman" w:cs="Times New Roman"/>
                <w:b w:val="0"/>
              </w:rPr>
            </w:pPr>
            <w:r>
              <w:rPr>
                <w:rFonts w:ascii="Times New Roman" w:hAnsi="Times New Roman" w:eastAsia="Times New Roman" w:cs="Times New Roman"/>
                <w:u w:val="single"/>
              </w:rPr>
              <w:t>Optional/General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</w:rPr>
              <w:t>comments</w:t>
            </w:r>
          </w:p>
          <w:p w14:paraId="554EB992">
            <w:pPr>
              <w:pStyle w:val="3"/>
              <w:jc w:val="left"/>
              <w:rPr>
                <w:rFonts w:ascii="Times New Roman" w:hAnsi="Times New Roman" w:eastAsia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59674CD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further comments </w:t>
            </w:r>
          </w:p>
        </w:tc>
        <w:tc>
          <w:tcPr>
            <w:tcW w:w="6442" w:type="dxa"/>
          </w:tcPr>
          <w:p w14:paraId="14422B55">
            <w:pPr>
              <w:rPr>
                <w:sz w:val="20"/>
                <w:szCs w:val="20"/>
              </w:rPr>
            </w:pPr>
          </w:p>
        </w:tc>
      </w:tr>
    </w:tbl>
    <w:p w14:paraId="10864B4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0"/>
          <w:szCs w:val="20"/>
          <w:u w:val="single"/>
        </w:rPr>
      </w:pPr>
    </w:p>
    <w:p w14:paraId="21486BB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0"/>
          <w:szCs w:val="20"/>
          <w:u w:val="single"/>
        </w:rPr>
      </w:pPr>
    </w:p>
    <w:p w14:paraId="70E4251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0"/>
          <w:szCs w:val="20"/>
          <w:u w:val="single"/>
        </w:rPr>
      </w:pPr>
    </w:p>
    <w:p w14:paraId="2656DB6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0"/>
          <w:szCs w:val="20"/>
          <w:u w:val="single"/>
        </w:rPr>
      </w:pPr>
    </w:p>
    <w:p w14:paraId="6CC7DE2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0"/>
          <w:szCs w:val="20"/>
          <w:u w:val="single"/>
        </w:rPr>
      </w:pPr>
    </w:p>
    <w:p w14:paraId="26C59A2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0"/>
          <w:szCs w:val="20"/>
          <w:u w:val="single"/>
        </w:rPr>
      </w:pPr>
    </w:p>
    <w:p w14:paraId="4C70FB6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0"/>
          <w:szCs w:val="20"/>
          <w:u w:val="single"/>
        </w:rPr>
      </w:pPr>
    </w:p>
    <w:p w14:paraId="7660EE5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0"/>
          <w:szCs w:val="20"/>
          <w:u w:val="single"/>
        </w:rPr>
      </w:pPr>
    </w:p>
    <w:p w14:paraId="3DB34E9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Style w:val="16"/>
        <w:tblW w:w="21150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1"/>
        <w:gridCol w:w="8642"/>
        <w:gridCol w:w="5677"/>
      </w:tblGrid>
      <w:tr w14:paraId="17564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6DE0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4936B7E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  <w:u w:val="single"/>
              </w:rPr>
            </w:pPr>
          </w:p>
        </w:tc>
      </w:tr>
      <w:tr w14:paraId="698514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0643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843A">
            <w:pPr>
              <w:pStyle w:val="3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Reviewer’s comment</w:t>
            </w:r>
          </w:p>
        </w:tc>
        <w:tc>
          <w:tcPr>
            <w:tcW w:w="5677" w:type="dxa"/>
          </w:tcPr>
          <w:p w14:paraId="317D2206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23CF6149">
            <w:pPr>
              <w:pStyle w:val="3"/>
              <w:jc w:val="left"/>
              <w:rPr>
                <w:rFonts w:ascii="Times New Roman" w:hAnsi="Times New Roman" w:eastAsia="Times New Roman" w:cs="Times New Roman"/>
                <w:b w:val="0"/>
              </w:rPr>
            </w:pPr>
          </w:p>
        </w:tc>
      </w:tr>
      <w:tr w14:paraId="779160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05A7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2A0E8B9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1DC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5EEA9CE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</w:p>
          <w:p w14:paraId="0550841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14:paraId="7F949405">
            <w:pPr>
              <w:rPr>
                <w:sz w:val="20"/>
                <w:szCs w:val="20"/>
              </w:rPr>
            </w:pPr>
          </w:p>
          <w:p w14:paraId="3E4FB02C">
            <w:pPr>
              <w:rPr>
                <w:sz w:val="20"/>
                <w:szCs w:val="20"/>
              </w:rPr>
            </w:pPr>
          </w:p>
          <w:p w14:paraId="5ABEC22B">
            <w:pPr>
              <w:rPr>
                <w:sz w:val="20"/>
                <w:szCs w:val="20"/>
              </w:rPr>
            </w:pPr>
          </w:p>
          <w:p w14:paraId="438297D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01B43A7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ascii="Arial" w:hAnsi="Arial" w:eastAsia="Arial" w:cs="Arial"/>
          <w:color w:val="000000"/>
          <w:sz w:val="20"/>
          <w:szCs w:val="20"/>
        </w:rPr>
      </w:pPr>
    </w:p>
    <w:sectPr>
      <w:headerReference r:id="rId3" w:type="default"/>
      <w:footerReference r:id="rId4" w:type="default"/>
      <w:pgSz w:w="23814" w:h="16839" w:orient="landscape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 Neue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m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52F6C1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>Version: 3 (07-07-2024)</w:t>
    </w:r>
    <w:r>
      <w:rPr>
        <w:color w:val="000000"/>
        <w:sz w:val="16"/>
        <w:szCs w:val="16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1DDE4">
    <w:pPr>
      <w:spacing w:after="280"/>
      <w:jc w:val="center"/>
      <w:rPr>
        <w:rFonts w:ascii="Arial" w:hAnsi="Arial" w:eastAsia="Arial" w:cs="Arial"/>
        <w:color w:val="003399"/>
        <w:u w:val="single"/>
      </w:rPr>
    </w:pPr>
  </w:p>
  <w:p w14:paraId="7BEFDCC3">
    <w:pPr>
      <w:spacing w:before="280"/>
    </w:pPr>
    <w:r>
      <w:rPr>
        <w:rFonts w:ascii="Arial" w:hAnsi="Arial" w:eastAsia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C4F0281"/>
    <w:rsid w:val="6FC1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nhideWhenUsed/>
    <w:qFormat/>
    <w:uiPriority w:val="9"/>
    <w:pPr>
      <w:keepNext/>
      <w:jc w:val="both"/>
      <w:outlineLvl w:val="1"/>
    </w:pPr>
    <w:rPr>
      <w:rFonts w:ascii="Helvetica Neue" w:hAnsi="Helvetica Neue" w:eastAsia="Helvetica Neue" w:cs="Helvetica Neue"/>
      <w:b/>
      <w:sz w:val="20"/>
      <w:szCs w:val="20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outlineLvl w:val="3"/>
    </w:pPr>
    <w:rPr>
      <w:rFonts w:ascii="Arimo" w:hAnsi="Arimo" w:eastAsia="Arimo" w:cs="Arimo"/>
      <w:b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paragraph" w:styleId="11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2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table" w:customStyle="1" w:styleId="13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_Style 12"/>
    <w:basedOn w:val="1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_Style 13"/>
    <w:basedOn w:val="1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4"/>
    <w:basedOn w:val="1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_Style 15"/>
    <w:basedOn w:val="1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_Style 16"/>
    <w:basedOn w:val="1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_Style 17"/>
    <w:basedOn w:val="1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_Style 18"/>
    <w:basedOn w:val="1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332</Words>
  <Characters>1899</Characters>
  <Lines>15</Lines>
  <Paragraphs>4</Paragraphs>
  <TotalTime>34</TotalTime>
  <ScaleCrop>false</ScaleCrop>
  <LinksUpToDate>false</LinksUpToDate>
  <CharactersWithSpaces>2227</CharactersWithSpaces>
  <Application>WPS Office_12.2.0.23149_F1E327BC-269C-435d-A152-05C5408002CA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2025-10-27T06:00:00Z</dcterms:created>
  <dc:creator>gupta</dc:creator>
  <cp:lastModifiedBy>gupta</cp:lastModifiedBy>
  <dcterms:modified xsi:type="dcterms:W3CDTF">2025-11-07T08:15:47Z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2057-12.2.0.23149</vt:lpwstr>
  </property>
  <property fmtid="{D5CDD505-2E9C-101B-9397-08002B2CF9AE}" pid="3" name="ICV">
    <vt:lpwstr>62BAC5A4C0C24170BDE59E271BA389AE_12</vt:lpwstr>
  </property>
</Properties>
</file>