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DEB8" w14:textId="77777777" w:rsidR="000D0D7C" w:rsidRDefault="000D0D7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D0D7C" w14:paraId="7DA5021A" w14:textId="77777777">
        <w:trPr>
          <w:trHeight w:val="290"/>
        </w:trPr>
        <w:tc>
          <w:tcPr>
            <w:tcW w:w="20934" w:type="dxa"/>
            <w:gridSpan w:val="2"/>
            <w:tcBorders>
              <w:top w:val="nil"/>
              <w:left w:val="nil"/>
              <w:right w:val="nil"/>
            </w:tcBorders>
          </w:tcPr>
          <w:p w14:paraId="708A1DC5" w14:textId="77777777" w:rsidR="000D0D7C" w:rsidRDefault="000D0D7C">
            <w:pPr>
              <w:pStyle w:val="Ttulo2"/>
              <w:jc w:val="left"/>
              <w:rPr>
                <w:rFonts w:ascii="Arial" w:eastAsia="Arial" w:hAnsi="Arial" w:cs="Arial"/>
                <w:b w:val="0"/>
                <w:sz w:val="28"/>
                <w:szCs w:val="28"/>
              </w:rPr>
            </w:pPr>
          </w:p>
        </w:tc>
      </w:tr>
      <w:tr w:rsidR="000D0D7C" w14:paraId="557E2ED5" w14:textId="77777777">
        <w:trPr>
          <w:trHeight w:val="290"/>
        </w:trPr>
        <w:tc>
          <w:tcPr>
            <w:tcW w:w="5167" w:type="dxa"/>
          </w:tcPr>
          <w:p w14:paraId="3E4EA33F" w14:textId="77777777" w:rsidR="000D0D7C" w:rsidRDefault="002E5A05">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9D96ED7" w14:textId="77777777" w:rsidR="000D0D7C" w:rsidRDefault="002C34F5">
            <w:pPr>
              <w:rPr>
                <w:rFonts w:ascii="Arial" w:eastAsia="Arial" w:hAnsi="Arial" w:cs="Arial"/>
                <w:color w:val="0000FF"/>
                <w:sz w:val="20"/>
                <w:szCs w:val="20"/>
              </w:rPr>
            </w:pPr>
            <w:hyperlink r:id="rId7">
              <w:r w:rsidR="002E5A05">
                <w:rPr>
                  <w:rFonts w:ascii="Arial" w:eastAsia="Arial" w:hAnsi="Arial" w:cs="Arial"/>
                  <w:b/>
                  <w:color w:val="0000FF"/>
                  <w:sz w:val="20"/>
                  <w:szCs w:val="20"/>
                  <w:u w:val="single"/>
                </w:rPr>
                <w:t>Asian Journal of Biology</w:t>
              </w:r>
            </w:hyperlink>
          </w:p>
        </w:tc>
      </w:tr>
      <w:tr w:rsidR="000D0D7C" w14:paraId="0C050C91" w14:textId="77777777">
        <w:trPr>
          <w:trHeight w:val="290"/>
        </w:trPr>
        <w:tc>
          <w:tcPr>
            <w:tcW w:w="5167" w:type="dxa"/>
          </w:tcPr>
          <w:p w14:paraId="64D77D77" w14:textId="77777777" w:rsidR="000D0D7C" w:rsidRDefault="002E5A05">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39F52123" w14:textId="77777777" w:rsidR="000D0D7C" w:rsidRDefault="002E5A05">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Ms_AJOB_146768</w:t>
            </w:r>
          </w:p>
        </w:tc>
      </w:tr>
      <w:tr w:rsidR="000D0D7C" w14:paraId="6B61FF0A" w14:textId="77777777">
        <w:trPr>
          <w:trHeight w:val="650"/>
        </w:trPr>
        <w:tc>
          <w:tcPr>
            <w:tcW w:w="5167" w:type="dxa"/>
          </w:tcPr>
          <w:p w14:paraId="38BFC9C7" w14:textId="77777777" w:rsidR="000D0D7C" w:rsidRDefault="002E5A05">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30ACAC7D" w14:textId="77777777" w:rsidR="000D0D7C" w:rsidRDefault="002E5A05">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 xml:space="preserve">Evaluation of the Antioxidant Capacity of a Fermented Alcoholic Beverage, Rum, and </w:t>
            </w:r>
            <w:proofErr w:type="spellStart"/>
            <w:r>
              <w:rPr>
                <w:rFonts w:ascii="Arial" w:eastAsia="Arial" w:hAnsi="Arial" w:cs="Arial"/>
                <w:b/>
                <w:color w:val="000000"/>
                <w:sz w:val="20"/>
                <w:szCs w:val="20"/>
              </w:rPr>
              <w:t>Mezcal</w:t>
            </w:r>
            <w:proofErr w:type="spellEnd"/>
            <w:r>
              <w:rPr>
                <w:rFonts w:ascii="Arial" w:eastAsia="Arial" w:hAnsi="Arial" w:cs="Arial"/>
                <w:b/>
                <w:color w:val="000000"/>
                <w:sz w:val="20"/>
                <w:szCs w:val="20"/>
              </w:rPr>
              <w:t xml:space="preserve"> Made from </w:t>
            </w:r>
            <w:proofErr w:type="spellStart"/>
            <w:r>
              <w:rPr>
                <w:rFonts w:ascii="Arial" w:eastAsia="Arial" w:hAnsi="Arial" w:cs="Arial"/>
                <w:b/>
                <w:color w:val="000000"/>
                <w:sz w:val="20"/>
                <w:szCs w:val="20"/>
              </w:rPr>
              <w:t>Tejocote</w:t>
            </w:r>
            <w:proofErr w:type="spellEnd"/>
            <w:r>
              <w:rPr>
                <w:rFonts w:ascii="Arial" w:eastAsia="Arial" w:hAnsi="Arial" w:cs="Arial"/>
                <w:b/>
                <w:color w:val="000000"/>
                <w:sz w:val="20"/>
                <w:szCs w:val="20"/>
              </w:rPr>
              <w:t xml:space="preserve"> (</w:t>
            </w:r>
            <w:proofErr w:type="spellStart"/>
            <w:r>
              <w:rPr>
                <w:rFonts w:ascii="Arial" w:eastAsia="Arial" w:hAnsi="Arial" w:cs="Arial"/>
                <w:b/>
                <w:color w:val="000000"/>
                <w:sz w:val="20"/>
                <w:szCs w:val="20"/>
              </w:rPr>
              <w:t>Crataegus</w:t>
            </w:r>
            <w:proofErr w:type="spellEnd"/>
            <w:r>
              <w:rPr>
                <w:rFonts w:ascii="Arial" w:eastAsia="Arial" w:hAnsi="Arial" w:cs="Arial"/>
                <w:b/>
                <w:color w:val="000000"/>
                <w:sz w:val="20"/>
                <w:szCs w:val="20"/>
              </w:rPr>
              <w:t xml:space="preserve"> </w:t>
            </w:r>
            <w:proofErr w:type="spellStart"/>
            <w:r>
              <w:rPr>
                <w:rFonts w:ascii="Arial" w:eastAsia="Arial" w:hAnsi="Arial" w:cs="Arial"/>
                <w:b/>
                <w:color w:val="000000"/>
                <w:sz w:val="20"/>
                <w:szCs w:val="20"/>
              </w:rPr>
              <w:t>mexicana</w:t>
            </w:r>
            <w:proofErr w:type="spellEnd"/>
            <w:r>
              <w:rPr>
                <w:rFonts w:ascii="Arial" w:eastAsia="Arial" w:hAnsi="Arial" w:cs="Arial"/>
                <w:b/>
                <w:color w:val="000000"/>
                <w:sz w:val="20"/>
                <w:szCs w:val="20"/>
              </w:rPr>
              <w:t>)</w:t>
            </w:r>
          </w:p>
        </w:tc>
      </w:tr>
      <w:tr w:rsidR="000D0D7C" w14:paraId="22E45073" w14:textId="77777777">
        <w:trPr>
          <w:trHeight w:val="332"/>
        </w:trPr>
        <w:tc>
          <w:tcPr>
            <w:tcW w:w="5167" w:type="dxa"/>
          </w:tcPr>
          <w:p w14:paraId="2982155A" w14:textId="77777777" w:rsidR="000D0D7C" w:rsidRDefault="002E5A05">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7E79D4C4" w14:textId="77777777" w:rsidR="000D0D7C" w:rsidRDefault="002E5A05">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Original Research Article</w:t>
            </w:r>
          </w:p>
        </w:tc>
      </w:tr>
    </w:tbl>
    <w:p w14:paraId="2BEF1F53" w14:textId="77777777" w:rsidR="000D0D7C" w:rsidRDefault="000D0D7C">
      <w:pPr>
        <w:pBdr>
          <w:top w:val="nil"/>
          <w:left w:val="nil"/>
          <w:bottom w:val="nil"/>
          <w:right w:val="nil"/>
          <w:between w:val="nil"/>
        </w:pBdr>
        <w:jc w:val="both"/>
        <w:rPr>
          <w:rFonts w:ascii="Arial" w:eastAsia="Arial" w:hAnsi="Arial" w:cs="Arial"/>
          <w:color w:val="000000"/>
          <w:sz w:val="20"/>
          <w:szCs w:val="20"/>
          <w:u w:val="single"/>
        </w:rPr>
      </w:pPr>
      <w:bookmarkStart w:id="0" w:name="_sj5ugi9prapi" w:colFirst="0" w:colLast="0"/>
      <w:bookmarkEnd w:id="0"/>
    </w:p>
    <w:p w14:paraId="0F917AF0" w14:textId="77777777" w:rsidR="000D0D7C" w:rsidRDefault="000D0D7C">
      <w:pPr>
        <w:rPr>
          <w:sz w:val="20"/>
          <w:szCs w:val="20"/>
        </w:rPr>
      </w:pPr>
    </w:p>
    <w:tbl>
      <w:tblPr>
        <w:tblStyle w:val="a0"/>
        <w:tblW w:w="210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8507"/>
        <w:gridCol w:w="7156"/>
      </w:tblGrid>
      <w:tr w:rsidR="000D0D7C" w14:paraId="5CADEBB1" w14:textId="77777777" w:rsidTr="00791876">
        <w:tc>
          <w:tcPr>
            <w:tcW w:w="21014" w:type="dxa"/>
            <w:gridSpan w:val="3"/>
            <w:tcBorders>
              <w:top w:val="nil"/>
              <w:left w:val="nil"/>
              <w:right w:val="nil"/>
            </w:tcBorders>
          </w:tcPr>
          <w:p w14:paraId="5B25FD1D" w14:textId="77777777" w:rsidR="000D0D7C" w:rsidRDefault="002E5A05">
            <w:pPr>
              <w:pStyle w:val="Ttulo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5B6C16A7" w14:textId="77777777" w:rsidR="000D0D7C" w:rsidRDefault="000D0D7C">
            <w:pPr>
              <w:rPr>
                <w:sz w:val="20"/>
                <w:szCs w:val="20"/>
              </w:rPr>
            </w:pPr>
          </w:p>
        </w:tc>
      </w:tr>
      <w:tr w:rsidR="000D0D7C" w14:paraId="49A46E89" w14:textId="77777777" w:rsidTr="00791876">
        <w:tc>
          <w:tcPr>
            <w:tcW w:w="5351" w:type="dxa"/>
          </w:tcPr>
          <w:p w14:paraId="1737DC24" w14:textId="77777777" w:rsidR="000D0D7C" w:rsidRDefault="000D0D7C">
            <w:pPr>
              <w:pStyle w:val="Ttulo2"/>
              <w:jc w:val="left"/>
              <w:rPr>
                <w:rFonts w:ascii="Times New Roman" w:eastAsia="Times New Roman" w:hAnsi="Times New Roman" w:cs="Times New Roman"/>
              </w:rPr>
            </w:pPr>
          </w:p>
        </w:tc>
        <w:tc>
          <w:tcPr>
            <w:tcW w:w="8507" w:type="dxa"/>
          </w:tcPr>
          <w:p w14:paraId="550507B3" w14:textId="77777777" w:rsidR="000D0D7C" w:rsidRDefault="002E5A05">
            <w:pPr>
              <w:pStyle w:val="Ttulo2"/>
              <w:jc w:val="left"/>
              <w:rPr>
                <w:rFonts w:ascii="Times New Roman" w:eastAsia="Times New Roman" w:hAnsi="Times New Roman" w:cs="Times New Roman"/>
              </w:rPr>
            </w:pPr>
            <w:r>
              <w:rPr>
                <w:rFonts w:ascii="Times New Roman" w:eastAsia="Times New Roman" w:hAnsi="Times New Roman" w:cs="Times New Roman"/>
              </w:rPr>
              <w:t>Reviewer’s comment</w:t>
            </w:r>
          </w:p>
          <w:p w14:paraId="3D0547D4" w14:textId="77777777" w:rsidR="000D0D7C" w:rsidRDefault="002E5A05">
            <w:pPr>
              <w:rPr>
                <w:sz w:val="20"/>
                <w:szCs w:val="20"/>
              </w:rPr>
            </w:pPr>
            <w:r>
              <w:rPr>
                <w:b/>
                <w:sz w:val="20"/>
                <w:szCs w:val="20"/>
                <w:highlight w:val="yellow"/>
              </w:rPr>
              <w:t>Artificial Intelligence (AI) generated or assisted review comments are strictly prohibited during peer review.</w:t>
            </w:r>
          </w:p>
          <w:p w14:paraId="0EA155C7" w14:textId="77777777" w:rsidR="000D0D7C" w:rsidRDefault="000D0D7C"/>
        </w:tc>
        <w:tc>
          <w:tcPr>
            <w:tcW w:w="7156" w:type="dxa"/>
          </w:tcPr>
          <w:p w14:paraId="5E646AE3" w14:textId="77777777" w:rsidR="000D0D7C" w:rsidRDefault="002E5A05">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14:paraId="4D657E20" w14:textId="77777777" w:rsidR="000D0D7C" w:rsidRDefault="000D0D7C">
            <w:pPr>
              <w:pStyle w:val="Ttulo2"/>
              <w:jc w:val="left"/>
              <w:rPr>
                <w:rFonts w:ascii="Times New Roman" w:eastAsia="Times New Roman" w:hAnsi="Times New Roman" w:cs="Times New Roman"/>
                <w:b w:val="0"/>
              </w:rPr>
            </w:pPr>
          </w:p>
        </w:tc>
      </w:tr>
      <w:tr w:rsidR="000D0D7C" w14:paraId="23C18D57" w14:textId="77777777" w:rsidTr="00791876">
        <w:trPr>
          <w:trHeight w:val="719"/>
        </w:trPr>
        <w:tc>
          <w:tcPr>
            <w:tcW w:w="5351" w:type="dxa"/>
          </w:tcPr>
          <w:p w14:paraId="4431609A" w14:textId="77777777" w:rsidR="000D0D7C" w:rsidRDefault="002E5A05">
            <w:pPr>
              <w:ind w:left="360"/>
              <w:rPr>
                <w:sz w:val="20"/>
                <w:szCs w:val="20"/>
              </w:rPr>
            </w:pPr>
            <w:r>
              <w:rPr>
                <w:b/>
                <w:sz w:val="20"/>
                <w:szCs w:val="20"/>
              </w:rPr>
              <w:t>Please write a few sentences regarding the importance of this manuscript for the scientific community. A minimum of 3-4 sentences may be required for this part.</w:t>
            </w:r>
          </w:p>
          <w:p w14:paraId="3553BDD3" w14:textId="77777777" w:rsidR="000D0D7C" w:rsidRDefault="000D0D7C">
            <w:pPr>
              <w:ind w:left="360"/>
              <w:rPr>
                <w:sz w:val="20"/>
                <w:szCs w:val="20"/>
              </w:rPr>
            </w:pPr>
          </w:p>
        </w:tc>
        <w:tc>
          <w:tcPr>
            <w:tcW w:w="8507" w:type="dxa"/>
          </w:tcPr>
          <w:p w14:paraId="68A6253C" w14:textId="77777777" w:rsidR="000D0D7C" w:rsidRDefault="002E5A05">
            <w:pPr>
              <w:pBdr>
                <w:top w:val="nil"/>
                <w:left w:val="nil"/>
                <w:bottom w:val="nil"/>
                <w:right w:val="nil"/>
                <w:between w:val="nil"/>
              </w:pBdr>
              <w:rPr>
                <w:color w:val="000000"/>
                <w:sz w:val="20"/>
                <w:szCs w:val="20"/>
              </w:rPr>
            </w:pPr>
            <w:r>
              <w:rPr>
                <w:color w:val="000000"/>
                <w:sz w:val="20"/>
                <w:szCs w:val="20"/>
              </w:rPr>
              <w:t xml:space="preserve">The paper has results of the potential antioxidant benefit of fermented grain products. </w:t>
            </w:r>
          </w:p>
        </w:tc>
        <w:tc>
          <w:tcPr>
            <w:tcW w:w="7156" w:type="dxa"/>
          </w:tcPr>
          <w:p w14:paraId="48EF69FB" w14:textId="77777777" w:rsidR="000D0D7C" w:rsidRDefault="000D0D7C">
            <w:pPr>
              <w:pStyle w:val="Ttulo2"/>
              <w:jc w:val="left"/>
              <w:rPr>
                <w:rFonts w:ascii="Times New Roman" w:eastAsia="Times New Roman" w:hAnsi="Times New Roman" w:cs="Times New Roman"/>
                <w:b w:val="0"/>
              </w:rPr>
            </w:pPr>
          </w:p>
        </w:tc>
      </w:tr>
      <w:tr w:rsidR="000D0D7C" w14:paraId="13BB0690" w14:textId="77777777" w:rsidTr="00791876">
        <w:trPr>
          <w:trHeight w:val="377"/>
        </w:trPr>
        <w:tc>
          <w:tcPr>
            <w:tcW w:w="5351" w:type="dxa"/>
          </w:tcPr>
          <w:p w14:paraId="5357FD33" w14:textId="77777777" w:rsidR="000D0D7C" w:rsidRDefault="002E5A05">
            <w:pPr>
              <w:ind w:left="360"/>
              <w:rPr>
                <w:sz w:val="20"/>
                <w:szCs w:val="20"/>
              </w:rPr>
            </w:pPr>
            <w:r>
              <w:rPr>
                <w:b/>
                <w:sz w:val="20"/>
                <w:szCs w:val="20"/>
              </w:rPr>
              <w:t>Is the title of the article suitable?</w:t>
            </w:r>
          </w:p>
          <w:p w14:paraId="71996903" w14:textId="77777777" w:rsidR="000D0D7C" w:rsidRDefault="002E5A05">
            <w:pPr>
              <w:ind w:left="360"/>
              <w:rPr>
                <w:sz w:val="20"/>
                <w:szCs w:val="20"/>
              </w:rPr>
            </w:pPr>
            <w:r>
              <w:rPr>
                <w:b/>
                <w:sz w:val="20"/>
                <w:szCs w:val="20"/>
              </w:rPr>
              <w:t>(If not please suggest an alternative title)</w:t>
            </w:r>
          </w:p>
          <w:p w14:paraId="255E8FFA" w14:textId="77777777" w:rsidR="000D0D7C" w:rsidRDefault="000D0D7C">
            <w:pPr>
              <w:pStyle w:val="Ttulo2"/>
              <w:jc w:val="left"/>
              <w:rPr>
                <w:rFonts w:ascii="Times New Roman" w:eastAsia="Times New Roman" w:hAnsi="Times New Roman" w:cs="Times New Roman"/>
                <w:u w:val="single"/>
              </w:rPr>
            </w:pPr>
          </w:p>
        </w:tc>
        <w:tc>
          <w:tcPr>
            <w:tcW w:w="8507" w:type="dxa"/>
          </w:tcPr>
          <w:p w14:paraId="37C63546" w14:textId="77777777" w:rsidR="000D0D7C" w:rsidRDefault="002E5A05">
            <w:pPr>
              <w:rPr>
                <w:sz w:val="20"/>
                <w:szCs w:val="20"/>
              </w:rPr>
            </w:pPr>
            <w:r>
              <w:rPr>
                <w:sz w:val="20"/>
                <w:szCs w:val="20"/>
              </w:rPr>
              <w:t xml:space="preserve">The title of the submission is suitable. </w:t>
            </w:r>
          </w:p>
        </w:tc>
        <w:tc>
          <w:tcPr>
            <w:tcW w:w="7156" w:type="dxa"/>
          </w:tcPr>
          <w:p w14:paraId="49F694E6" w14:textId="77777777" w:rsidR="000D0D7C" w:rsidRDefault="000D0D7C">
            <w:pPr>
              <w:pStyle w:val="Ttulo2"/>
              <w:jc w:val="left"/>
              <w:rPr>
                <w:rFonts w:ascii="Times New Roman" w:eastAsia="Times New Roman" w:hAnsi="Times New Roman" w:cs="Times New Roman"/>
                <w:b w:val="0"/>
              </w:rPr>
            </w:pPr>
          </w:p>
        </w:tc>
      </w:tr>
      <w:tr w:rsidR="000D0D7C" w14:paraId="35D33009" w14:textId="77777777" w:rsidTr="00791876">
        <w:trPr>
          <w:trHeight w:val="1262"/>
        </w:trPr>
        <w:tc>
          <w:tcPr>
            <w:tcW w:w="5351" w:type="dxa"/>
          </w:tcPr>
          <w:p w14:paraId="08F76EF9" w14:textId="77777777" w:rsidR="000D0D7C" w:rsidRDefault="002E5A05">
            <w:pPr>
              <w:pStyle w:val="Ttulo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176903D3" w14:textId="77777777" w:rsidR="000D0D7C" w:rsidRDefault="000D0D7C">
            <w:pPr>
              <w:pStyle w:val="Ttulo2"/>
              <w:jc w:val="left"/>
              <w:rPr>
                <w:rFonts w:ascii="Times New Roman" w:eastAsia="Times New Roman" w:hAnsi="Times New Roman" w:cs="Times New Roman"/>
                <w:u w:val="single"/>
              </w:rPr>
            </w:pPr>
          </w:p>
        </w:tc>
        <w:tc>
          <w:tcPr>
            <w:tcW w:w="8507" w:type="dxa"/>
          </w:tcPr>
          <w:p w14:paraId="32C4866D" w14:textId="77777777" w:rsidR="000D0D7C" w:rsidRDefault="002E5A05">
            <w:pPr>
              <w:rPr>
                <w:sz w:val="20"/>
                <w:szCs w:val="20"/>
              </w:rPr>
            </w:pPr>
            <w:r>
              <w:rPr>
                <w:sz w:val="20"/>
                <w:szCs w:val="20"/>
              </w:rPr>
              <w:t xml:space="preserve">See peer review comments below.  </w:t>
            </w:r>
          </w:p>
        </w:tc>
        <w:tc>
          <w:tcPr>
            <w:tcW w:w="7156" w:type="dxa"/>
          </w:tcPr>
          <w:p w14:paraId="3865D618" w14:textId="77777777" w:rsidR="000D0D7C" w:rsidRDefault="000D0D7C">
            <w:pPr>
              <w:pStyle w:val="Ttulo2"/>
              <w:jc w:val="left"/>
              <w:rPr>
                <w:rFonts w:ascii="Times New Roman" w:eastAsia="Times New Roman" w:hAnsi="Times New Roman" w:cs="Times New Roman"/>
                <w:b w:val="0"/>
              </w:rPr>
            </w:pPr>
          </w:p>
        </w:tc>
      </w:tr>
      <w:tr w:rsidR="000D0D7C" w14:paraId="1D42AFDB" w14:textId="77777777" w:rsidTr="00791876">
        <w:trPr>
          <w:trHeight w:val="704"/>
        </w:trPr>
        <w:tc>
          <w:tcPr>
            <w:tcW w:w="5351" w:type="dxa"/>
          </w:tcPr>
          <w:p w14:paraId="01E69088" w14:textId="77777777" w:rsidR="000D0D7C" w:rsidRDefault="002E5A05">
            <w:pPr>
              <w:pStyle w:val="Ttulo2"/>
              <w:ind w:left="360"/>
              <w:jc w:val="left"/>
              <w:rPr>
                <w:b w:val="0"/>
                <w:u w:val="single"/>
              </w:rPr>
            </w:pPr>
            <w:r>
              <w:rPr>
                <w:rFonts w:ascii="Times New Roman" w:eastAsia="Times New Roman" w:hAnsi="Times New Roman" w:cs="Times New Roman"/>
              </w:rPr>
              <w:t>Is the manuscript scientifically, correct? Please write here.</w:t>
            </w:r>
          </w:p>
        </w:tc>
        <w:tc>
          <w:tcPr>
            <w:tcW w:w="8507" w:type="dxa"/>
          </w:tcPr>
          <w:p w14:paraId="05435AEC" w14:textId="77777777" w:rsidR="000D0D7C" w:rsidRDefault="002E5A05">
            <w:pPr>
              <w:pBdr>
                <w:top w:val="nil"/>
                <w:left w:val="nil"/>
                <w:bottom w:val="nil"/>
                <w:right w:val="nil"/>
                <w:between w:val="nil"/>
              </w:pBdr>
              <w:rPr>
                <w:color w:val="000000"/>
                <w:sz w:val="20"/>
                <w:szCs w:val="20"/>
              </w:rPr>
            </w:pPr>
            <w:r>
              <w:rPr>
                <w:color w:val="000000"/>
                <w:sz w:val="20"/>
                <w:szCs w:val="20"/>
              </w:rPr>
              <w:t xml:space="preserve">Overall, the contents of the submission appear to be valid.  </w:t>
            </w:r>
          </w:p>
        </w:tc>
        <w:tc>
          <w:tcPr>
            <w:tcW w:w="7156" w:type="dxa"/>
          </w:tcPr>
          <w:p w14:paraId="0403B4FB" w14:textId="77777777" w:rsidR="000D0D7C" w:rsidRDefault="000D0D7C">
            <w:pPr>
              <w:pStyle w:val="Ttulo2"/>
              <w:jc w:val="left"/>
              <w:rPr>
                <w:rFonts w:ascii="Times New Roman" w:eastAsia="Times New Roman" w:hAnsi="Times New Roman" w:cs="Times New Roman"/>
                <w:b w:val="0"/>
              </w:rPr>
            </w:pPr>
          </w:p>
        </w:tc>
      </w:tr>
      <w:tr w:rsidR="000D0D7C" w14:paraId="20D8A65F" w14:textId="77777777" w:rsidTr="00791876">
        <w:trPr>
          <w:trHeight w:val="703"/>
        </w:trPr>
        <w:tc>
          <w:tcPr>
            <w:tcW w:w="5351" w:type="dxa"/>
          </w:tcPr>
          <w:p w14:paraId="2261355D" w14:textId="77777777" w:rsidR="000D0D7C" w:rsidRDefault="002E5A05">
            <w:pPr>
              <w:ind w:left="360"/>
              <w:rPr>
                <w:sz w:val="20"/>
                <w:szCs w:val="20"/>
              </w:rPr>
            </w:pPr>
            <w:r>
              <w:rPr>
                <w:b/>
                <w:sz w:val="20"/>
                <w:szCs w:val="20"/>
              </w:rPr>
              <w:t>Are the references sufficient and recent? If you have suggestions of additional references, please mention them in the review form.</w:t>
            </w:r>
          </w:p>
        </w:tc>
        <w:tc>
          <w:tcPr>
            <w:tcW w:w="8507" w:type="dxa"/>
          </w:tcPr>
          <w:p w14:paraId="0648E457" w14:textId="77777777" w:rsidR="000D0D7C" w:rsidRDefault="002E5A05">
            <w:pPr>
              <w:pBdr>
                <w:top w:val="nil"/>
                <w:left w:val="nil"/>
                <w:bottom w:val="nil"/>
                <w:right w:val="nil"/>
                <w:between w:val="nil"/>
              </w:pBdr>
              <w:rPr>
                <w:color w:val="000000"/>
                <w:sz w:val="20"/>
                <w:szCs w:val="20"/>
              </w:rPr>
            </w:pPr>
            <w:r>
              <w:rPr>
                <w:color w:val="000000"/>
                <w:sz w:val="20"/>
                <w:szCs w:val="20"/>
              </w:rPr>
              <w:t xml:space="preserve">The references that are cited are current and appropriate for the content. </w:t>
            </w:r>
          </w:p>
        </w:tc>
        <w:tc>
          <w:tcPr>
            <w:tcW w:w="7156" w:type="dxa"/>
          </w:tcPr>
          <w:p w14:paraId="356C8FE2" w14:textId="77777777" w:rsidR="000D0D7C" w:rsidRDefault="000D0D7C">
            <w:pPr>
              <w:pStyle w:val="Ttulo2"/>
              <w:jc w:val="left"/>
              <w:rPr>
                <w:rFonts w:ascii="Times New Roman" w:eastAsia="Times New Roman" w:hAnsi="Times New Roman" w:cs="Times New Roman"/>
                <w:b w:val="0"/>
              </w:rPr>
            </w:pPr>
          </w:p>
        </w:tc>
      </w:tr>
      <w:tr w:rsidR="000D0D7C" w14:paraId="03EB40D4" w14:textId="77777777" w:rsidTr="00791876">
        <w:trPr>
          <w:trHeight w:val="386"/>
        </w:trPr>
        <w:tc>
          <w:tcPr>
            <w:tcW w:w="5351" w:type="dxa"/>
          </w:tcPr>
          <w:p w14:paraId="3273591D" w14:textId="77777777" w:rsidR="000D0D7C" w:rsidRDefault="002E5A05">
            <w:pPr>
              <w:pStyle w:val="Ttulo2"/>
              <w:ind w:left="360"/>
              <w:jc w:val="left"/>
              <w:rPr>
                <w:rFonts w:ascii="Times New Roman" w:eastAsia="Times New Roman" w:hAnsi="Times New Roman" w:cs="Times New Roman"/>
              </w:rPr>
            </w:pPr>
            <w:r>
              <w:rPr>
                <w:rFonts w:ascii="Times New Roman" w:eastAsia="Times New Roman" w:hAnsi="Times New Roman" w:cs="Times New Roman"/>
              </w:rPr>
              <w:lastRenderedPageBreak/>
              <w:t>Is the language/English quality of the article suitable for scholarly communications?</w:t>
            </w:r>
          </w:p>
          <w:p w14:paraId="0E2E75C5" w14:textId="77777777" w:rsidR="000D0D7C" w:rsidRDefault="000D0D7C">
            <w:pPr>
              <w:rPr>
                <w:sz w:val="20"/>
                <w:szCs w:val="20"/>
              </w:rPr>
            </w:pPr>
          </w:p>
        </w:tc>
        <w:tc>
          <w:tcPr>
            <w:tcW w:w="8507" w:type="dxa"/>
          </w:tcPr>
          <w:p w14:paraId="2768BDF1" w14:textId="77777777" w:rsidR="000D0D7C" w:rsidRDefault="002E5A05">
            <w:pPr>
              <w:rPr>
                <w:sz w:val="20"/>
                <w:szCs w:val="20"/>
              </w:rPr>
            </w:pPr>
            <w:r>
              <w:rPr>
                <w:sz w:val="20"/>
                <w:szCs w:val="20"/>
              </w:rPr>
              <w:t>The grammar and sentence in the primary language is suitable.</w:t>
            </w:r>
          </w:p>
        </w:tc>
        <w:tc>
          <w:tcPr>
            <w:tcW w:w="7156" w:type="dxa"/>
          </w:tcPr>
          <w:p w14:paraId="784B82F1" w14:textId="77777777" w:rsidR="000D0D7C" w:rsidRPr="00E82E7C" w:rsidRDefault="000D0D7C" w:rsidP="00E82E7C">
            <w:pPr>
              <w:jc w:val="both"/>
              <w:rPr>
                <w:rFonts w:ascii="Arial" w:hAnsi="Arial" w:cs="Arial"/>
                <w:color w:val="000000" w:themeColor="text1"/>
                <w:sz w:val="18"/>
                <w:szCs w:val="18"/>
              </w:rPr>
            </w:pPr>
          </w:p>
        </w:tc>
      </w:tr>
      <w:tr w:rsidR="000D0D7C" w:rsidRPr="00791876" w14:paraId="6F0948F2" w14:textId="77777777" w:rsidTr="00791876">
        <w:trPr>
          <w:trHeight w:val="1178"/>
        </w:trPr>
        <w:tc>
          <w:tcPr>
            <w:tcW w:w="5351" w:type="dxa"/>
          </w:tcPr>
          <w:p w14:paraId="7322C06E" w14:textId="77777777" w:rsidR="000D0D7C" w:rsidRDefault="002E5A05">
            <w:pPr>
              <w:pStyle w:val="Ttulo2"/>
              <w:jc w:val="left"/>
              <w:rPr>
                <w:rFonts w:ascii="Times New Roman" w:eastAsia="Times New Roman" w:hAnsi="Times New Roman" w:cs="Times New Roman"/>
                <w:b w:val="0"/>
              </w:rPr>
            </w:pPr>
            <w:r>
              <w:rPr>
                <w:rFonts w:ascii="Times New Roman" w:eastAsia="Times New Roman" w:hAnsi="Times New Roman" w:cs="Times New Roman"/>
                <w:u w:val="single"/>
              </w:rPr>
              <w:lastRenderedPageBreak/>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173D3DBD" w14:textId="77777777" w:rsidR="000D0D7C" w:rsidRDefault="000D0D7C">
            <w:pPr>
              <w:pStyle w:val="Ttulo2"/>
              <w:jc w:val="left"/>
              <w:rPr>
                <w:rFonts w:ascii="Times New Roman" w:eastAsia="Times New Roman" w:hAnsi="Times New Roman" w:cs="Times New Roman"/>
                <w:b w:val="0"/>
              </w:rPr>
            </w:pPr>
          </w:p>
        </w:tc>
        <w:tc>
          <w:tcPr>
            <w:tcW w:w="8507" w:type="dxa"/>
          </w:tcPr>
          <w:p w14:paraId="23764637" w14:textId="77777777" w:rsidR="000D0D7C" w:rsidRDefault="002E5A05">
            <w:pPr>
              <w:rPr>
                <w:color w:val="000000"/>
                <w:highlight w:val="white"/>
              </w:rPr>
            </w:pPr>
            <w:r>
              <w:rPr>
                <w:color w:val="000000"/>
                <w:highlight w:val="white"/>
              </w:rPr>
              <w:t xml:space="preserve">In this submission, the author conducts a study to test the hypothesis that there are differences in the concentration of the anti-oxidant composition of fermented </w:t>
            </w:r>
            <w:proofErr w:type="spellStart"/>
            <w:r>
              <w:rPr>
                <w:color w:val="000000"/>
                <w:highlight w:val="white"/>
              </w:rPr>
              <w:t>teiocote</w:t>
            </w:r>
            <w:proofErr w:type="spellEnd"/>
            <w:r>
              <w:rPr>
                <w:color w:val="000000"/>
                <w:highlight w:val="white"/>
              </w:rPr>
              <w:t xml:space="preserve"> fruit product of the </w:t>
            </w:r>
            <w:proofErr w:type="spellStart"/>
            <w:r>
              <w:rPr>
                <w:color w:val="000000"/>
                <w:highlight w:val="white"/>
              </w:rPr>
              <w:t>Crataegus</w:t>
            </w:r>
            <w:proofErr w:type="spellEnd"/>
            <w:r>
              <w:rPr>
                <w:color w:val="000000"/>
                <w:highlight w:val="white"/>
              </w:rPr>
              <w:t xml:space="preserve"> </w:t>
            </w:r>
            <w:proofErr w:type="spellStart"/>
            <w:r>
              <w:rPr>
                <w:color w:val="000000"/>
                <w:highlight w:val="white"/>
              </w:rPr>
              <w:t>mexicana</w:t>
            </w:r>
            <w:proofErr w:type="spellEnd"/>
            <w:r>
              <w:rPr>
                <w:color w:val="000000"/>
                <w:highlight w:val="white"/>
              </w:rPr>
              <w:t xml:space="preserve"> plant that results in rum over a temporal process of fermentation. The method that they have utilized for determining the anti-oxidant potential of the fermentation products is by both absorbance spectroscopy and mass-to-ionization spectroscopy of the rum upon inhibition of the ferric sulfate-induced lipid/heme peroxidation by the: </w:t>
            </w:r>
            <w:proofErr w:type="spellStart"/>
            <w:r>
              <w:rPr>
                <w:color w:val="000000"/>
                <w:highlight w:val="white"/>
              </w:rPr>
              <w:t>i</w:t>
            </w:r>
            <w:proofErr w:type="spellEnd"/>
            <w:r>
              <w:rPr>
                <w:color w:val="000000"/>
                <w:highlight w:val="white"/>
              </w:rPr>
              <w:t xml:space="preserve">) TBARs assay, in which the </w:t>
            </w:r>
            <w:proofErr w:type="spellStart"/>
            <w:r>
              <w:rPr>
                <w:color w:val="000000"/>
                <w:highlight w:val="white"/>
              </w:rPr>
              <w:t>c.m</w:t>
            </w:r>
            <w:proofErr w:type="spellEnd"/>
            <w:r>
              <w:rPr>
                <w:color w:val="000000"/>
                <w:highlight w:val="white"/>
              </w:rPr>
              <w:t xml:space="preserve">. generated / liberated malondialdehyde reacts with its reactive electrophilic carbon with the reductive agent (2-sulfanylidene-1,3-diazinane -4,6-dione (2-thiobarbituric acid)), ii) the DPPH assay, in which the electron singlet (radical) compound reacts with a </w:t>
            </w:r>
            <w:proofErr w:type="spellStart"/>
            <w:r>
              <w:rPr>
                <w:color w:val="000000"/>
                <w:highlight w:val="white"/>
              </w:rPr>
              <w:t>c.m</w:t>
            </w:r>
            <w:proofErr w:type="spellEnd"/>
            <w:r>
              <w:rPr>
                <w:color w:val="000000"/>
                <w:highlight w:val="white"/>
              </w:rPr>
              <w:t xml:space="preserve">. liberated radical, and also with iii) the ABTS assay, in which the hydrazine compound  is reduced by anti-oxidant composition. The study findings show the temporal relationship between the alcohol content and the fermentation reaction. The statistics is by ANOVA followed by serial comparison of means by post-hoc test with p-values indicated for each comparison </w:t>
            </w:r>
            <w:proofErr w:type="gramStart"/>
            <w:r>
              <w:rPr>
                <w:color w:val="000000"/>
                <w:highlight w:val="white"/>
              </w:rPr>
              <w:t>an</w:t>
            </w:r>
            <w:proofErr w:type="gramEnd"/>
            <w:r>
              <w:rPr>
                <w:color w:val="000000"/>
                <w:highlight w:val="white"/>
              </w:rPr>
              <w:t xml:space="preserve"> level of p-value significance.  </w:t>
            </w:r>
          </w:p>
          <w:p w14:paraId="0B707B8F" w14:textId="77777777" w:rsidR="000D0D7C" w:rsidRDefault="000D0D7C">
            <w:pPr>
              <w:rPr>
                <w:color w:val="000000"/>
                <w:highlight w:val="white"/>
              </w:rPr>
            </w:pPr>
          </w:p>
          <w:p w14:paraId="7540CCAD" w14:textId="77777777" w:rsidR="000D0D7C" w:rsidRDefault="002E5A05">
            <w:pPr>
              <w:rPr>
                <w:color w:val="000000"/>
                <w:highlight w:val="white"/>
              </w:rPr>
            </w:pPr>
            <w:r>
              <w:rPr>
                <w:color w:val="000000"/>
                <w:highlight w:val="white"/>
              </w:rPr>
              <w:t xml:space="preserve">Assessment: The last paragraph of the introduction contains results methods portion with result and conclusion that should instead be included within the abstract section where it is missing. In the method (2.5.2) should the control abs. be subtractive of the sample abs. Maybe some of the tabular information can be shown in figure form with descriptive statistics. The statistical and conclusion sections should include some more information such as which post-test and each p-value should be included in the figure or in the ledger. The paper conclusion can include some more statement of the findings, and abstract conclusion should include the finding(s). The one question is how the invitro result of the amount of reactivity of the </w:t>
            </w:r>
            <w:proofErr w:type="spellStart"/>
            <w:r>
              <w:rPr>
                <w:color w:val="000000"/>
                <w:highlight w:val="white"/>
              </w:rPr>
              <w:t>c.m</w:t>
            </w:r>
            <w:proofErr w:type="spellEnd"/>
            <w:r>
              <w:rPr>
                <w:color w:val="000000"/>
                <w:highlight w:val="white"/>
              </w:rPr>
              <w:t xml:space="preserve">. liberated malondialdehyde based on TBARs assay 2:1 </w:t>
            </w:r>
            <w:proofErr w:type="gramStart"/>
            <w:r>
              <w:rPr>
                <w:color w:val="000000"/>
                <w:highlight w:val="white"/>
              </w:rPr>
              <w:t>stoichiometry  product</w:t>
            </w:r>
            <w:proofErr w:type="gramEnd"/>
            <w:r>
              <w:rPr>
                <w:color w:val="000000"/>
                <w:highlight w:val="white"/>
              </w:rPr>
              <w:t xml:space="preserve"> compares to the amount of acetaldehyde generated in vivo by the alcohol dehydrogenase reaction. </w:t>
            </w:r>
          </w:p>
          <w:p w14:paraId="51F8FDBC" w14:textId="77777777" w:rsidR="000D0D7C" w:rsidRDefault="000D0D7C">
            <w:pPr>
              <w:rPr>
                <w:color w:val="000000"/>
                <w:highlight w:val="white"/>
              </w:rPr>
            </w:pPr>
          </w:p>
          <w:p w14:paraId="582AFCEC" w14:textId="77777777" w:rsidR="000D0D7C" w:rsidRDefault="002E5A05">
            <w:r>
              <w:t xml:space="preserve">Recommendation: With response to comments and/or some more information, the submission can be considered further for suitability. </w:t>
            </w:r>
          </w:p>
          <w:p w14:paraId="0435CB98" w14:textId="77777777" w:rsidR="000D0D7C" w:rsidRDefault="000D0D7C">
            <w:pPr>
              <w:pBdr>
                <w:top w:val="nil"/>
                <w:left w:val="nil"/>
                <w:bottom w:val="nil"/>
                <w:right w:val="nil"/>
                <w:between w:val="nil"/>
              </w:pBdr>
              <w:rPr>
                <w:color w:val="000000"/>
                <w:sz w:val="20"/>
                <w:szCs w:val="20"/>
              </w:rPr>
            </w:pPr>
          </w:p>
        </w:tc>
        <w:tc>
          <w:tcPr>
            <w:tcW w:w="7156" w:type="dxa"/>
          </w:tcPr>
          <w:p w14:paraId="0E7153D1" w14:textId="77777777" w:rsidR="00791876" w:rsidRPr="00D11DE5" w:rsidRDefault="00791876" w:rsidP="00791876">
            <w:pPr>
              <w:pStyle w:val="Prrafodelista"/>
              <w:numPr>
                <w:ilvl w:val="0"/>
                <w:numId w:val="4"/>
              </w:numPr>
              <w:spacing w:line="276" w:lineRule="auto"/>
              <w:jc w:val="both"/>
              <w:rPr>
                <w:lang w:val="en-US"/>
              </w:rPr>
            </w:pPr>
            <w:r w:rsidRPr="00D11DE5">
              <w:rPr>
                <w:lang w:val="en-US"/>
              </w:rPr>
              <w:t>The last paragraph of the Introduction was revised to emphasize the results of a previous study, clarifying that these findings are not part of our own results or methodology, as shown below:</w:t>
            </w:r>
            <w:r w:rsidRPr="00D11DE5">
              <w:rPr>
                <w:lang w:val="en-US"/>
              </w:rPr>
              <w:br/>
              <w:t xml:space="preserve">The preparation and evaluation of the antioxidant activity of a fermented alcoholic beverage derived from the genus </w:t>
            </w:r>
            <w:proofErr w:type="spellStart"/>
            <w:r w:rsidRPr="00D11DE5">
              <w:rPr>
                <w:i/>
                <w:lang w:val="en-US"/>
              </w:rPr>
              <w:t>Crataegus</w:t>
            </w:r>
            <w:proofErr w:type="spellEnd"/>
            <w:r w:rsidRPr="00D11DE5">
              <w:rPr>
                <w:i/>
                <w:lang w:val="en-US"/>
              </w:rPr>
              <w:t xml:space="preserve"> </w:t>
            </w:r>
            <w:proofErr w:type="spellStart"/>
            <w:r w:rsidRPr="00D11DE5">
              <w:rPr>
                <w:i/>
                <w:lang w:val="en-US"/>
              </w:rPr>
              <w:t>mexicana</w:t>
            </w:r>
            <w:proofErr w:type="spellEnd"/>
            <w:r w:rsidRPr="00D11DE5">
              <w:rPr>
                <w:lang w:val="en-US"/>
              </w:rPr>
              <w:t xml:space="preserve"> has been previously described by González-Jiménez </w:t>
            </w:r>
            <w:r w:rsidRPr="00D11DE5">
              <w:rPr>
                <w:i/>
                <w:lang w:val="en-US"/>
              </w:rPr>
              <w:t>et al.</w:t>
            </w:r>
            <w:r w:rsidRPr="00D11DE5">
              <w:rPr>
                <w:lang w:val="en-US"/>
              </w:rPr>
              <w:t xml:space="preserve"> (2017). This beverage contained 12% Alc. Vol. The antioxidant activity, evaluated by the DPPH and ABTS methods, was 84 ± 3.6% and 95.3 ± 3.3%, respectively. Finally, the metabolite identified according to its mass-to-charge ratio (577 m/z) corresponded to procyanidin B2 (González-Jiménez </w:t>
            </w:r>
            <w:r w:rsidRPr="00D11DE5">
              <w:rPr>
                <w:i/>
                <w:iCs/>
                <w:lang w:val="en-US"/>
              </w:rPr>
              <w:t>et al.,</w:t>
            </w:r>
            <w:r w:rsidRPr="00D11DE5">
              <w:rPr>
                <w:lang w:val="en-US"/>
              </w:rPr>
              <w:t xml:space="preserve"> 2017).</w:t>
            </w:r>
          </w:p>
          <w:p w14:paraId="2CA93EAF" w14:textId="77777777" w:rsidR="00791876" w:rsidRPr="00D11DE5" w:rsidRDefault="00791876" w:rsidP="00791876">
            <w:pPr>
              <w:pStyle w:val="Prrafodelista"/>
              <w:numPr>
                <w:ilvl w:val="0"/>
                <w:numId w:val="4"/>
              </w:numPr>
              <w:spacing w:line="276" w:lineRule="auto"/>
              <w:jc w:val="both"/>
              <w:rPr>
                <w:lang w:val="en-US"/>
              </w:rPr>
            </w:pPr>
            <w:r w:rsidRPr="00D11DE5">
              <w:rPr>
                <w:lang w:val="en-US"/>
              </w:rPr>
              <w:t>Additional findings were incorporated into the Abstract, as shown below:</w:t>
            </w:r>
            <w:r w:rsidRPr="00D11DE5">
              <w:rPr>
                <w:lang w:val="en-US"/>
              </w:rPr>
              <w:br/>
              <w:t xml:space="preserve">The antioxidant activity of three alcoholic beverages derived from Mexican hawthorn </w:t>
            </w:r>
            <w:r w:rsidRPr="00D11DE5">
              <w:rPr>
                <w:i/>
                <w:iCs/>
                <w:lang w:val="en-US"/>
              </w:rPr>
              <w:t>(</w:t>
            </w:r>
            <w:proofErr w:type="spellStart"/>
            <w:r w:rsidRPr="00D11DE5">
              <w:rPr>
                <w:i/>
                <w:iCs/>
                <w:lang w:val="en-US"/>
              </w:rPr>
              <w:t>Crataegus</w:t>
            </w:r>
            <w:proofErr w:type="spellEnd"/>
            <w:r w:rsidRPr="00D11DE5">
              <w:rPr>
                <w:i/>
                <w:iCs/>
                <w:lang w:val="en-US"/>
              </w:rPr>
              <w:t xml:space="preserve"> </w:t>
            </w:r>
            <w:proofErr w:type="spellStart"/>
            <w:r w:rsidRPr="00D11DE5">
              <w:rPr>
                <w:i/>
                <w:iCs/>
                <w:lang w:val="en-US"/>
              </w:rPr>
              <w:t>mexicana</w:t>
            </w:r>
            <w:proofErr w:type="spellEnd"/>
            <w:r w:rsidRPr="00D11DE5">
              <w:rPr>
                <w:i/>
                <w:iCs/>
                <w:lang w:val="en-US"/>
              </w:rPr>
              <w:t>)</w:t>
            </w:r>
            <w:r w:rsidRPr="00D11DE5">
              <w:rPr>
                <w:lang w:val="en-US"/>
              </w:rPr>
              <w:t xml:space="preserve"> is preserved over time and throughout both the alcoholic fermentation (fermented beverage) and maceration (rum and mezcal) processes.</w:t>
            </w:r>
          </w:p>
          <w:p w14:paraId="73D69D88" w14:textId="77777777" w:rsidR="00791876" w:rsidRPr="00D11DE5" w:rsidRDefault="00791876" w:rsidP="00791876">
            <w:pPr>
              <w:pStyle w:val="Prrafodelista"/>
              <w:numPr>
                <w:ilvl w:val="0"/>
                <w:numId w:val="4"/>
              </w:numPr>
              <w:spacing w:line="276" w:lineRule="auto"/>
              <w:jc w:val="both"/>
              <w:rPr>
                <w:lang w:val="en-US"/>
              </w:rPr>
            </w:pPr>
            <w:r w:rsidRPr="00D11DE5">
              <w:rPr>
                <w:lang w:val="en-US"/>
              </w:rPr>
              <w:t>The absorbance value for the DPPH control was corrected as follows:</w:t>
            </w:r>
            <w:r w:rsidRPr="00D11DE5">
              <w:rPr>
                <w:lang w:val="en-US"/>
              </w:rPr>
              <w:br/>
              <w:t>C = Absorbance of the DPPH radical at a concentration of 133.33 µM.</w:t>
            </w:r>
            <w:r w:rsidRPr="00D11DE5">
              <w:rPr>
                <w:lang w:val="en-US"/>
              </w:rPr>
              <w:br/>
              <w:t>E = Absorbance of the sample to be evaluated.</w:t>
            </w:r>
          </w:p>
          <w:p w14:paraId="0B666212" w14:textId="77777777" w:rsidR="00791876" w:rsidRPr="00D11DE5" w:rsidRDefault="00791876" w:rsidP="00791876">
            <w:pPr>
              <w:pStyle w:val="Prrafodelista"/>
              <w:numPr>
                <w:ilvl w:val="0"/>
                <w:numId w:val="4"/>
              </w:numPr>
              <w:spacing w:line="276" w:lineRule="auto"/>
              <w:jc w:val="both"/>
              <w:rPr>
                <w:lang w:val="en-US"/>
              </w:rPr>
            </w:pPr>
            <w:r w:rsidRPr="00D11DE5">
              <w:rPr>
                <w:lang w:val="en-US"/>
              </w:rPr>
              <w:t>Tables were corrected according to the reviewer’s observations. These changes are reflected in Tables 1 and 2.</w:t>
            </w:r>
          </w:p>
          <w:p w14:paraId="71CD0329" w14:textId="2BFF1A3A" w:rsidR="00791876" w:rsidRPr="00D11DE5" w:rsidRDefault="00791876" w:rsidP="00791876">
            <w:pPr>
              <w:pStyle w:val="Prrafodelista"/>
              <w:numPr>
                <w:ilvl w:val="0"/>
                <w:numId w:val="4"/>
              </w:numPr>
              <w:spacing w:line="276" w:lineRule="auto"/>
              <w:jc w:val="both"/>
              <w:rPr>
                <w:i/>
                <w:iCs/>
                <w:lang w:val="en-US"/>
              </w:rPr>
            </w:pPr>
            <w:r w:rsidRPr="00D11DE5">
              <w:rPr>
                <w:lang w:val="en-US"/>
              </w:rPr>
              <w:t>Statistical information in section 2.6 was completed as follows:</w:t>
            </w:r>
            <w:r w:rsidRPr="00D11DE5">
              <w:rPr>
                <w:lang w:val="en-US"/>
              </w:rPr>
              <w:br/>
              <w:t xml:space="preserve">A repeated-measures ANOVA was used to compare the mean lipid peroxidation inhibition values of the fermented alcoholic beverage from Mexican hawthorn </w:t>
            </w:r>
            <w:r w:rsidRPr="00D11DE5">
              <w:rPr>
                <w:i/>
                <w:iCs/>
                <w:lang w:val="en-US"/>
              </w:rPr>
              <w:t>(</w:t>
            </w:r>
            <w:proofErr w:type="spellStart"/>
            <w:r w:rsidRPr="00D11DE5">
              <w:rPr>
                <w:i/>
                <w:iCs/>
                <w:lang w:val="en-US"/>
              </w:rPr>
              <w:t>Crataegus</w:t>
            </w:r>
            <w:proofErr w:type="spellEnd"/>
            <w:r w:rsidRPr="00D11DE5">
              <w:rPr>
                <w:i/>
                <w:iCs/>
                <w:lang w:val="en-US"/>
              </w:rPr>
              <w:t xml:space="preserve"> </w:t>
            </w:r>
            <w:proofErr w:type="spellStart"/>
            <w:r w:rsidRPr="00D11DE5">
              <w:rPr>
                <w:i/>
                <w:iCs/>
                <w:lang w:val="en-US"/>
              </w:rPr>
              <w:t>mexicana</w:t>
            </w:r>
            <w:proofErr w:type="spellEnd"/>
            <w:r w:rsidRPr="00D11DE5">
              <w:rPr>
                <w:i/>
                <w:iCs/>
                <w:lang w:val="en-US"/>
              </w:rPr>
              <w:t>)</w:t>
            </w:r>
            <w:r w:rsidRPr="00D11DE5">
              <w:rPr>
                <w:lang w:val="en-US"/>
              </w:rPr>
              <w:t xml:space="preserve"> before and after the alcoholic fermentation process (parametric data), showing a statistically significant difference (</w:t>
            </w:r>
            <w:r w:rsidRPr="00D11DE5">
              <w:rPr>
                <w:i/>
                <w:lang w:val="en-US"/>
              </w:rPr>
              <w:t>P</w:t>
            </w:r>
            <w:r w:rsidRPr="00D11DE5">
              <w:rPr>
                <w:lang w:val="en-US"/>
              </w:rPr>
              <w:t xml:space="preserve"> &lt; .001). Following the ANOVA, Bonferroni’s post-hoc test was applied to determine which samples differ significantly from each other (</w:t>
            </w:r>
            <w:r w:rsidRPr="00D11DE5">
              <w:rPr>
                <w:i/>
                <w:lang w:val="en-US"/>
              </w:rPr>
              <w:t xml:space="preserve">P </w:t>
            </w:r>
            <w:r w:rsidRPr="00D11DE5">
              <w:rPr>
                <w:lang w:val="en-US"/>
              </w:rPr>
              <w:t>= .05). All samples were collected and analyzed in triplicate for each antioxidan</w:t>
            </w:r>
            <w:bookmarkStart w:id="1" w:name="_GoBack"/>
            <w:bookmarkEnd w:id="1"/>
            <w:r w:rsidRPr="00D11DE5">
              <w:rPr>
                <w:lang w:val="en-US"/>
              </w:rPr>
              <w:t>t activity assay. It is important to note that the control group corresponded to the alcoholic beverage prior to fermentation and maceration.</w:t>
            </w:r>
          </w:p>
          <w:p w14:paraId="60FF25B1" w14:textId="77777777" w:rsidR="00791876" w:rsidRPr="00D11DE5" w:rsidRDefault="00791876" w:rsidP="00791876">
            <w:pPr>
              <w:pStyle w:val="Prrafodelista"/>
              <w:numPr>
                <w:ilvl w:val="0"/>
                <w:numId w:val="4"/>
              </w:numPr>
              <w:spacing w:line="276" w:lineRule="auto"/>
              <w:jc w:val="both"/>
              <w:rPr>
                <w:lang w:val="en-US"/>
              </w:rPr>
            </w:pPr>
            <w:r w:rsidRPr="00D11DE5">
              <w:rPr>
                <w:lang w:val="en-US"/>
              </w:rPr>
              <w:t>The P-value notation was corrected to comply with the journal’s formatting requirements (Tables 1 and 2).</w:t>
            </w:r>
          </w:p>
          <w:p w14:paraId="3755E36C" w14:textId="77777777" w:rsidR="00791876" w:rsidRPr="00D11DE5" w:rsidRDefault="00791876" w:rsidP="00791876">
            <w:pPr>
              <w:pStyle w:val="Prrafodelista"/>
              <w:numPr>
                <w:ilvl w:val="0"/>
                <w:numId w:val="4"/>
              </w:numPr>
              <w:spacing w:line="276" w:lineRule="auto"/>
              <w:jc w:val="both"/>
              <w:rPr>
                <w:lang w:val="en-US"/>
              </w:rPr>
            </w:pPr>
            <w:r w:rsidRPr="00D11DE5">
              <w:rPr>
                <w:lang w:val="en-US"/>
              </w:rPr>
              <w:t>Detailed findings were added to the Conclusion, as shown below:</w:t>
            </w:r>
            <w:r w:rsidRPr="00D11DE5">
              <w:rPr>
                <w:lang w:val="en-US"/>
              </w:rPr>
              <w:br/>
              <w:t xml:space="preserve">This finding indicates that the antioxidant property is preserved over time and throughout both the alcoholic fermentation (fermented beverage) and maceration (rum and mezcal) </w:t>
            </w:r>
            <w:r w:rsidRPr="00D11DE5">
              <w:rPr>
                <w:lang w:val="en-US"/>
              </w:rPr>
              <w:lastRenderedPageBreak/>
              <w:t>processes, demonstrating that the Mexican hawthorn fruit exhibits high stability in its antioxidant metabolites.</w:t>
            </w:r>
          </w:p>
          <w:p w14:paraId="75028431" w14:textId="77777777" w:rsidR="00791876" w:rsidRPr="00D11DE5" w:rsidRDefault="00791876" w:rsidP="00791876">
            <w:pPr>
              <w:pStyle w:val="Prrafodelista"/>
              <w:numPr>
                <w:ilvl w:val="0"/>
                <w:numId w:val="4"/>
              </w:numPr>
              <w:spacing w:line="276" w:lineRule="auto"/>
              <w:jc w:val="both"/>
              <w:rPr>
                <w:lang w:val="en-US"/>
              </w:rPr>
            </w:pPr>
            <w:r w:rsidRPr="00D11DE5">
              <w:rPr>
                <w:lang w:val="en-US"/>
              </w:rPr>
              <w:t xml:space="preserve">In section 3.3, the reaction involving </w:t>
            </w:r>
            <w:proofErr w:type="spellStart"/>
            <w:r w:rsidRPr="00D11DE5">
              <w:rPr>
                <w:lang w:val="en-US"/>
              </w:rPr>
              <w:t>tetramethoxypropane</w:t>
            </w:r>
            <w:proofErr w:type="spellEnd"/>
            <w:r w:rsidRPr="00D11DE5">
              <w:rPr>
                <w:lang w:val="en-US"/>
              </w:rPr>
              <w:t xml:space="preserve"> to generate </w:t>
            </w:r>
            <w:proofErr w:type="spellStart"/>
            <w:r w:rsidRPr="00D11DE5">
              <w:rPr>
                <w:lang w:val="en-US"/>
              </w:rPr>
              <w:t>malondialdehyde</w:t>
            </w:r>
            <w:proofErr w:type="spellEnd"/>
            <w:r w:rsidRPr="00D11DE5">
              <w:rPr>
                <w:lang w:val="en-US"/>
              </w:rPr>
              <w:t xml:space="preserve"> (MDA) for the evaluation of lipid peroxidation inhibition (TBARS assay) was described in greater detail. A calibration curve was initially constructed using </w:t>
            </w:r>
            <w:proofErr w:type="spellStart"/>
            <w:r w:rsidRPr="00D11DE5">
              <w:rPr>
                <w:lang w:val="en-US"/>
              </w:rPr>
              <w:t>tetramethoxypropane</w:t>
            </w:r>
            <w:proofErr w:type="spellEnd"/>
            <w:r w:rsidRPr="00D11DE5">
              <w:rPr>
                <w:lang w:val="en-US"/>
              </w:rPr>
              <w:t xml:space="preserve"> to produce and identify MDA, which reacts with </w:t>
            </w:r>
            <w:proofErr w:type="spellStart"/>
            <w:r w:rsidRPr="00D11DE5">
              <w:rPr>
                <w:lang w:val="en-US"/>
              </w:rPr>
              <w:t>thiobarbituric</w:t>
            </w:r>
            <w:proofErr w:type="spellEnd"/>
            <w:r w:rsidRPr="00D11DE5">
              <w:rPr>
                <w:lang w:val="en-US"/>
              </w:rPr>
              <w:t xml:space="preserve"> acid (TBA) to form the MDA-TBA₂ adduct. This adduct consists of two TBA molecules and one MDA molecule. The calibration curve was generated using MDA concentrations ranging from 1 to 10 µg, correlated with their corresponding optical densities. Based on this curve, the percentage of lipid peroxidation inhibition was determined.</w:t>
            </w:r>
          </w:p>
          <w:p w14:paraId="0DFE477D" w14:textId="77777777" w:rsidR="00431D6F" w:rsidRPr="00791876" w:rsidRDefault="00431D6F" w:rsidP="00791876">
            <w:pPr>
              <w:pStyle w:val="Prrafodelista"/>
              <w:spacing w:line="276" w:lineRule="auto"/>
              <w:jc w:val="both"/>
              <w:rPr>
                <w:color w:val="FF0000"/>
                <w:sz w:val="22"/>
                <w:szCs w:val="22"/>
                <w:lang w:val="en-US"/>
              </w:rPr>
            </w:pPr>
          </w:p>
        </w:tc>
      </w:tr>
    </w:tbl>
    <w:p w14:paraId="52405124" w14:textId="77777777" w:rsidR="000D0D7C" w:rsidRPr="00791876" w:rsidRDefault="000D0D7C">
      <w:pPr>
        <w:pBdr>
          <w:top w:val="nil"/>
          <w:left w:val="nil"/>
          <w:bottom w:val="nil"/>
          <w:right w:val="nil"/>
          <w:between w:val="nil"/>
        </w:pBdr>
        <w:jc w:val="both"/>
        <w:rPr>
          <w:color w:val="000000"/>
          <w:sz w:val="20"/>
          <w:szCs w:val="20"/>
          <w:u w:val="single"/>
          <w:lang w:val="en-US"/>
        </w:rPr>
      </w:pPr>
    </w:p>
    <w:p w14:paraId="0875BB35" w14:textId="77777777" w:rsidR="000D0D7C" w:rsidRPr="00791876" w:rsidRDefault="000D0D7C">
      <w:pPr>
        <w:pBdr>
          <w:top w:val="nil"/>
          <w:left w:val="nil"/>
          <w:bottom w:val="nil"/>
          <w:right w:val="nil"/>
          <w:between w:val="nil"/>
        </w:pBdr>
        <w:jc w:val="both"/>
        <w:rPr>
          <w:color w:val="000000"/>
          <w:sz w:val="20"/>
          <w:szCs w:val="20"/>
          <w:u w:val="single"/>
          <w:lang w:val="en-US"/>
        </w:rPr>
      </w:pPr>
    </w:p>
    <w:p w14:paraId="279B8DAA" w14:textId="77777777" w:rsidR="000D0D7C" w:rsidRPr="00791876" w:rsidRDefault="000D0D7C">
      <w:pPr>
        <w:pBdr>
          <w:top w:val="nil"/>
          <w:left w:val="nil"/>
          <w:bottom w:val="nil"/>
          <w:right w:val="nil"/>
          <w:between w:val="nil"/>
        </w:pBdr>
        <w:jc w:val="both"/>
        <w:rPr>
          <w:color w:val="000000"/>
          <w:sz w:val="20"/>
          <w:szCs w:val="20"/>
          <w:u w:val="single"/>
          <w:lang w:val="en-US"/>
        </w:rPr>
      </w:pPr>
      <w:bookmarkStart w:id="2" w:name="_mxtc45w1v4db"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0D0D7C" w14:paraId="239CD5D5" w14:textId="77777777">
        <w:tc>
          <w:tcPr>
            <w:tcW w:w="21150" w:type="dxa"/>
            <w:gridSpan w:val="3"/>
            <w:tcBorders>
              <w:top w:val="nil"/>
              <w:left w:val="nil"/>
              <w:right w:val="nil"/>
            </w:tcBorders>
            <w:tcMar>
              <w:top w:w="0" w:type="dxa"/>
              <w:left w:w="108" w:type="dxa"/>
              <w:bottom w:w="0" w:type="dxa"/>
              <w:right w:w="108" w:type="dxa"/>
            </w:tcMar>
            <w:vAlign w:val="center"/>
          </w:tcPr>
          <w:p w14:paraId="15966915" w14:textId="77777777" w:rsidR="000D0D7C" w:rsidRDefault="002E5A05">
            <w:pPr>
              <w:rPr>
                <w:rFonts w:ascii="Arial" w:eastAsia="Arial" w:hAnsi="Arial" w:cs="Arial"/>
                <w:sz w:val="20"/>
                <w:szCs w:val="20"/>
                <w:u w:val="single"/>
              </w:rPr>
            </w:pPr>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14:paraId="464A188E" w14:textId="77777777" w:rsidR="000D0D7C" w:rsidRDefault="000D0D7C">
            <w:pPr>
              <w:rPr>
                <w:rFonts w:ascii="Arial" w:eastAsia="Arial" w:hAnsi="Arial" w:cs="Arial"/>
                <w:sz w:val="20"/>
                <w:szCs w:val="20"/>
                <w:u w:val="single"/>
              </w:rPr>
            </w:pPr>
          </w:p>
        </w:tc>
      </w:tr>
      <w:tr w:rsidR="000D0D7C" w14:paraId="6726BF67" w14:textId="77777777">
        <w:tc>
          <w:tcPr>
            <w:tcW w:w="6831" w:type="dxa"/>
            <w:tcMar>
              <w:top w:w="0" w:type="dxa"/>
              <w:left w:w="108" w:type="dxa"/>
              <w:bottom w:w="0" w:type="dxa"/>
              <w:right w:w="108" w:type="dxa"/>
            </w:tcMar>
            <w:vAlign w:val="center"/>
          </w:tcPr>
          <w:p w14:paraId="52C4027A" w14:textId="77777777" w:rsidR="000D0D7C" w:rsidRDefault="000D0D7C">
            <w:pPr>
              <w:rPr>
                <w:rFonts w:ascii="Arial" w:eastAsia="Arial" w:hAnsi="Arial" w:cs="Arial"/>
                <w:sz w:val="20"/>
                <w:szCs w:val="20"/>
              </w:rPr>
            </w:pPr>
          </w:p>
        </w:tc>
        <w:tc>
          <w:tcPr>
            <w:tcW w:w="7166" w:type="dxa"/>
            <w:tcMar>
              <w:top w:w="0" w:type="dxa"/>
              <w:left w:w="108" w:type="dxa"/>
              <w:bottom w:w="0" w:type="dxa"/>
              <w:right w:w="108" w:type="dxa"/>
            </w:tcMar>
          </w:tcPr>
          <w:p w14:paraId="449FE1B4" w14:textId="77777777" w:rsidR="000D0D7C" w:rsidRDefault="002E5A05">
            <w:pPr>
              <w:keepNext/>
              <w:rPr>
                <w:rFonts w:ascii="Arial" w:eastAsia="Arial" w:hAnsi="Arial" w:cs="Arial"/>
                <w:sz w:val="20"/>
                <w:szCs w:val="20"/>
              </w:rPr>
            </w:pPr>
            <w:r>
              <w:rPr>
                <w:rFonts w:ascii="Arial" w:eastAsia="Arial" w:hAnsi="Arial" w:cs="Arial"/>
                <w:b/>
                <w:sz w:val="20"/>
                <w:szCs w:val="20"/>
              </w:rPr>
              <w:t>Reviewer’s comment</w:t>
            </w:r>
          </w:p>
        </w:tc>
        <w:tc>
          <w:tcPr>
            <w:tcW w:w="7153" w:type="dxa"/>
          </w:tcPr>
          <w:p w14:paraId="44A298FF" w14:textId="77777777" w:rsidR="000D0D7C" w:rsidRDefault="002E5A05">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14:paraId="2CD449FA" w14:textId="77777777" w:rsidR="000D0D7C" w:rsidRDefault="000D0D7C">
            <w:pPr>
              <w:keepNext/>
              <w:rPr>
                <w:rFonts w:ascii="Arial" w:eastAsia="Arial" w:hAnsi="Arial" w:cs="Arial"/>
                <w:sz w:val="20"/>
                <w:szCs w:val="20"/>
              </w:rPr>
            </w:pPr>
          </w:p>
        </w:tc>
      </w:tr>
      <w:tr w:rsidR="000D0D7C" w14:paraId="0CB821C2" w14:textId="77777777">
        <w:trPr>
          <w:trHeight w:val="890"/>
        </w:trPr>
        <w:tc>
          <w:tcPr>
            <w:tcW w:w="6831" w:type="dxa"/>
            <w:tcMar>
              <w:top w:w="0" w:type="dxa"/>
              <w:left w:w="108" w:type="dxa"/>
              <w:bottom w:w="0" w:type="dxa"/>
              <w:right w:w="108" w:type="dxa"/>
            </w:tcMar>
            <w:vAlign w:val="center"/>
          </w:tcPr>
          <w:p w14:paraId="5489CC7A" w14:textId="77777777" w:rsidR="000D0D7C" w:rsidRDefault="002E5A05">
            <w:pPr>
              <w:rPr>
                <w:rFonts w:ascii="Arial" w:eastAsia="Arial" w:hAnsi="Arial" w:cs="Arial"/>
                <w:sz w:val="20"/>
                <w:szCs w:val="20"/>
              </w:rPr>
            </w:pPr>
            <w:r>
              <w:rPr>
                <w:rFonts w:ascii="Arial" w:eastAsia="Arial" w:hAnsi="Arial" w:cs="Arial"/>
                <w:b/>
                <w:sz w:val="20"/>
                <w:szCs w:val="20"/>
              </w:rPr>
              <w:t xml:space="preserve">Are there ethical issues in this manuscript? </w:t>
            </w:r>
          </w:p>
          <w:p w14:paraId="45763A0A" w14:textId="77777777" w:rsidR="000D0D7C" w:rsidRDefault="000D0D7C">
            <w:pPr>
              <w:rPr>
                <w:rFonts w:ascii="Arial" w:eastAsia="Arial" w:hAnsi="Arial" w:cs="Arial"/>
                <w:sz w:val="20"/>
                <w:szCs w:val="20"/>
              </w:rPr>
            </w:pPr>
          </w:p>
        </w:tc>
        <w:tc>
          <w:tcPr>
            <w:tcW w:w="7166" w:type="dxa"/>
            <w:tcMar>
              <w:top w:w="0" w:type="dxa"/>
              <w:left w:w="108" w:type="dxa"/>
              <w:bottom w:w="0" w:type="dxa"/>
              <w:right w:w="108" w:type="dxa"/>
            </w:tcMar>
            <w:vAlign w:val="center"/>
          </w:tcPr>
          <w:p w14:paraId="639D63AD" w14:textId="77777777" w:rsidR="000D0D7C" w:rsidRDefault="002E5A05">
            <w:pPr>
              <w:rPr>
                <w:rFonts w:ascii="Arial" w:eastAsia="Arial" w:hAnsi="Arial" w:cs="Arial"/>
                <w:sz w:val="20"/>
                <w:szCs w:val="20"/>
                <w:u w:val="single"/>
              </w:rPr>
            </w:pPr>
            <w:r>
              <w:rPr>
                <w:rFonts w:ascii="Arial" w:eastAsia="Arial" w:hAnsi="Arial" w:cs="Arial"/>
                <w:i/>
                <w:sz w:val="20"/>
                <w:szCs w:val="20"/>
                <w:u w:val="single"/>
              </w:rPr>
              <w:t>(If yes, Kindly please write down the ethical issues here in details)</w:t>
            </w:r>
          </w:p>
          <w:p w14:paraId="2805E015" w14:textId="77777777" w:rsidR="000D0D7C" w:rsidRDefault="000D0D7C">
            <w:pPr>
              <w:rPr>
                <w:rFonts w:ascii="Arial" w:eastAsia="Arial" w:hAnsi="Arial" w:cs="Arial"/>
                <w:sz w:val="20"/>
                <w:szCs w:val="20"/>
              </w:rPr>
            </w:pPr>
          </w:p>
        </w:tc>
        <w:tc>
          <w:tcPr>
            <w:tcW w:w="7153" w:type="dxa"/>
            <w:vAlign w:val="center"/>
          </w:tcPr>
          <w:p w14:paraId="04723F41" w14:textId="77777777" w:rsidR="000D0D7C" w:rsidRDefault="000D0D7C">
            <w:pPr>
              <w:rPr>
                <w:rFonts w:ascii="Arial" w:eastAsia="Arial" w:hAnsi="Arial" w:cs="Arial"/>
                <w:sz w:val="20"/>
                <w:szCs w:val="20"/>
              </w:rPr>
            </w:pPr>
          </w:p>
          <w:p w14:paraId="2DF147E1" w14:textId="77777777" w:rsidR="000D0D7C" w:rsidRDefault="000D0D7C">
            <w:pPr>
              <w:rPr>
                <w:rFonts w:ascii="Arial" w:eastAsia="Arial" w:hAnsi="Arial" w:cs="Arial"/>
                <w:sz w:val="20"/>
                <w:szCs w:val="20"/>
              </w:rPr>
            </w:pPr>
          </w:p>
          <w:p w14:paraId="1C5F3D1C" w14:textId="77777777" w:rsidR="000D0D7C" w:rsidRDefault="000D0D7C">
            <w:pPr>
              <w:rPr>
                <w:rFonts w:ascii="Arial" w:eastAsia="Arial" w:hAnsi="Arial" w:cs="Arial"/>
                <w:sz w:val="20"/>
                <w:szCs w:val="20"/>
              </w:rPr>
            </w:pPr>
          </w:p>
        </w:tc>
      </w:tr>
    </w:tbl>
    <w:p w14:paraId="0EF3C700" w14:textId="77777777" w:rsidR="000D0D7C" w:rsidRDefault="000D0D7C"/>
    <w:p w14:paraId="39261554" w14:textId="77777777" w:rsidR="000D0D7C" w:rsidRDefault="000D0D7C"/>
    <w:p w14:paraId="050D188D" w14:textId="77777777" w:rsidR="000D0D7C" w:rsidRDefault="000D0D7C">
      <w:pPr>
        <w:rPr>
          <w:u w:val="single"/>
        </w:rPr>
      </w:pPr>
    </w:p>
    <w:p w14:paraId="62739550" w14:textId="77777777" w:rsidR="000D0D7C" w:rsidRDefault="000D0D7C"/>
    <w:p w14:paraId="073411D5" w14:textId="77777777" w:rsidR="000D0D7C" w:rsidRDefault="000D0D7C">
      <w:pPr>
        <w:pBdr>
          <w:top w:val="nil"/>
          <w:left w:val="nil"/>
          <w:bottom w:val="nil"/>
          <w:right w:val="nil"/>
          <w:between w:val="nil"/>
        </w:pBdr>
        <w:jc w:val="both"/>
        <w:rPr>
          <w:color w:val="000000"/>
          <w:sz w:val="20"/>
          <w:szCs w:val="20"/>
          <w:u w:val="single"/>
        </w:rPr>
      </w:pPr>
    </w:p>
    <w:sectPr w:rsidR="000D0D7C">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8671A" w14:textId="77777777" w:rsidR="002C34F5" w:rsidRDefault="002C34F5">
      <w:r>
        <w:separator/>
      </w:r>
    </w:p>
  </w:endnote>
  <w:endnote w:type="continuationSeparator" w:id="0">
    <w:p w14:paraId="490B210C" w14:textId="77777777" w:rsidR="002C34F5" w:rsidRDefault="002C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1D95" w14:textId="77777777" w:rsidR="000D0D7C" w:rsidRDefault="002E5A0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7CD08" w14:textId="77777777" w:rsidR="002C34F5" w:rsidRDefault="002C34F5">
      <w:r>
        <w:separator/>
      </w:r>
    </w:p>
  </w:footnote>
  <w:footnote w:type="continuationSeparator" w:id="0">
    <w:p w14:paraId="322FF4ED" w14:textId="77777777" w:rsidR="002C34F5" w:rsidRDefault="002C34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30E00" w14:textId="77777777" w:rsidR="000D0D7C" w:rsidRDefault="000D0D7C">
    <w:pPr>
      <w:spacing w:after="280"/>
      <w:jc w:val="center"/>
      <w:rPr>
        <w:rFonts w:ascii="Arial" w:eastAsia="Arial" w:hAnsi="Arial" w:cs="Arial"/>
        <w:color w:val="003399"/>
        <w:u w:val="single"/>
      </w:rPr>
    </w:pPr>
  </w:p>
  <w:p w14:paraId="72BCED37" w14:textId="77777777" w:rsidR="000D0D7C" w:rsidRDefault="002E5A05">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70759"/>
    <w:multiLevelType w:val="multilevel"/>
    <w:tmpl w:val="01509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883386"/>
    <w:multiLevelType w:val="multilevel"/>
    <w:tmpl w:val="B9D82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126B4C"/>
    <w:multiLevelType w:val="hybridMultilevel"/>
    <w:tmpl w:val="86ACF3B4"/>
    <w:lvl w:ilvl="0" w:tplc="D92880C8">
      <w:start w:val="1"/>
      <w:numFmt w:val="decimal"/>
      <w:lvlText w:val="%1"/>
      <w:lvlJc w:val="left"/>
      <w:pPr>
        <w:ind w:left="360" w:hanging="360"/>
      </w:pPr>
      <w:rPr>
        <w:rFonts w:ascii="Arial" w:eastAsia="Times New Roman" w:hAnsi="Arial" w:cs="Arial"/>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7ACE1658"/>
    <w:multiLevelType w:val="hybridMultilevel"/>
    <w:tmpl w:val="72D49F0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D7C"/>
    <w:rsid w:val="000D0D7C"/>
    <w:rsid w:val="000E1501"/>
    <w:rsid w:val="001E7FBB"/>
    <w:rsid w:val="002C34F5"/>
    <w:rsid w:val="002E5A05"/>
    <w:rsid w:val="0040396A"/>
    <w:rsid w:val="004258E9"/>
    <w:rsid w:val="00431D6F"/>
    <w:rsid w:val="007672DA"/>
    <w:rsid w:val="00791492"/>
    <w:rsid w:val="00791876"/>
    <w:rsid w:val="008071D7"/>
    <w:rsid w:val="00821413"/>
    <w:rsid w:val="00827C81"/>
    <w:rsid w:val="00A62069"/>
    <w:rsid w:val="00BF6629"/>
    <w:rsid w:val="00C655F1"/>
    <w:rsid w:val="00D04AF2"/>
    <w:rsid w:val="00D11DE5"/>
    <w:rsid w:val="00D51C9E"/>
    <w:rsid w:val="00E82E7C"/>
    <w:rsid w:val="00FB01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269DB"/>
  <w15:docId w15:val="{158A657F-F106-496D-83D9-81B152B01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jc w:val="both"/>
      <w:outlineLvl w:val="1"/>
    </w:pPr>
    <w:rPr>
      <w:rFonts w:ascii="Helvetica Neue" w:eastAsia="Helvetica Neue" w:hAnsi="Helvetica Neue" w:cs="Helvetica Neue"/>
      <w:b/>
      <w:sz w:val="20"/>
      <w:szCs w:val="20"/>
    </w:rPr>
  </w:style>
  <w:style w:type="paragraph" w:styleId="Ttulo3">
    <w:name w:val="heading 3"/>
    <w:basedOn w:val="Normal"/>
    <w:next w:val="Normal"/>
    <w:pPr>
      <w:keepNext/>
      <w:spacing w:before="240" w:after="60"/>
      <w:outlineLvl w:val="2"/>
    </w:pPr>
    <w:rPr>
      <w:rFonts w:ascii="Calibri" w:eastAsia="Calibri" w:hAnsi="Calibri" w:cs="Calibri"/>
      <w:b/>
      <w:sz w:val="26"/>
      <w:szCs w:val="26"/>
    </w:rPr>
  </w:style>
  <w:style w:type="paragraph" w:styleId="Ttulo4">
    <w:name w:val="heading 4"/>
    <w:basedOn w:val="Normal"/>
    <w:next w:val="Normal"/>
    <w:pPr>
      <w:outlineLvl w:val="3"/>
    </w:pPr>
    <w:rPr>
      <w:rFonts w:ascii="Arimo" w:eastAsia="Arimo" w:hAnsi="Arimo" w:cs="Arimo"/>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0" w:type="dxa"/>
        <w:bottom w:w="0" w:type="dxa"/>
        <w:right w:w="0" w:type="dxa"/>
      </w:tblCellMar>
    </w:tblPr>
  </w:style>
  <w:style w:type="paragraph" w:styleId="Prrafodelista">
    <w:name w:val="List Paragraph"/>
    <w:basedOn w:val="Normal"/>
    <w:uiPriority w:val="34"/>
    <w:qFormat/>
    <w:rsid w:val="00BF6629"/>
    <w:pPr>
      <w:ind w:left="720"/>
      <w:contextualSpacing/>
    </w:pPr>
  </w:style>
  <w:style w:type="paragraph" w:customStyle="1" w:styleId="Body">
    <w:name w:val="Body"/>
    <w:basedOn w:val="Normal"/>
    <w:rsid w:val="000E1501"/>
    <w:pPr>
      <w:spacing w:after="240"/>
      <w:jc w:val="both"/>
    </w:pPr>
    <w:rPr>
      <w:rFonts w:ascii="Helvetica" w:hAnsi="Helvetic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b.com/index.php/AJO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1128</Words>
  <Characters>6208</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Méndez</dc:creator>
  <cp:lastModifiedBy>Psicologa</cp:lastModifiedBy>
  <cp:revision>2</cp:revision>
  <dcterms:created xsi:type="dcterms:W3CDTF">2025-10-28T02:10:00Z</dcterms:created>
  <dcterms:modified xsi:type="dcterms:W3CDTF">2025-10-28T02:10:00Z</dcterms:modified>
</cp:coreProperties>
</file>