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14068" w:rsidRDefault="0091406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14068">
        <w:trPr>
          <w:trHeight w:val="290"/>
        </w:trPr>
        <w:tc>
          <w:tcPr>
            <w:tcW w:w="20934" w:type="dxa"/>
            <w:gridSpan w:val="2"/>
            <w:tcBorders>
              <w:top w:val="nil"/>
              <w:left w:val="nil"/>
              <w:right w:val="nil"/>
            </w:tcBorders>
          </w:tcPr>
          <w:p w:rsidR="00914068" w:rsidRDefault="00914068">
            <w:pPr>
              <w:pStyle w:val="Heading2"/>
              <w:jc w:val="left"/>
              <w:rPr>
                <w:rFonts w:ascii="Arial" w:eastAsia="Arial" w:hAnsi="Arial" w:cs="Arial"/>
                <w:b w:val="0"/>
                <w:bCs w:val="0"/>
                <w:sz w:val="28"/>
                <w:szCs w:val="28"/>
              </w:rPr>
            </w:pPr>
          </w:p>
        </w:tc>
      </w:tr>
      <w:tr w:rsidR="00914068">
        <w:trPr>
          <w:trHeight w:val="290"/>
        </w:trPr>
        <w:tc>
          <w:tcPr>
            <w:tcW w:w="5167" w:type="dxa"/>
          </w:tcPr>
          <w:p w:rsidR="00914068" w:rsidRDefault="00C05BF9">
            <w:pPr>
              <w:pBdr>
                <w:top w:val="nil"/>
                <w:left w:val="nil"/>
                <w:bottom w:val="nil"/>
                <w:right w:val="nil"/>
                <w:between w:val="nil"/>
              </w:pBdr>
              <w:ind w:left="90"/>
              <w:rPr>
                <w:rFonts w:ascii="Arial" w:eastAsia="Arial" w:hAnsi="Arial" w:cs="Arial"/>
                <w:color w:val="000000"/>
                <w:sz w:val="20"/>
                <w:szCs w:val="20"/>
              </w:rPr>
            </w:pPr>
            <w:bookmarkStart w:id="0" w:name="_heading=h.gnlzbdohogo" w:colFirst="0" w:colLast="0"/>
            <w:bookmarkEnd w:id="0"/>
            <w:r>
              <w:rPr>
                <w:rFonts w:ascii="Arial" w:eastAsia="Arial" w:hAnsi="Arial" w:cs="Arial"/>
                <w:color w:val="000000"/>
                <w:sz w:val="20"/>
                <w:szCs w:val="20"/>
              </w:rPr>
              <w:t>Journal Name:</w:t>
            </w:r>
          </w:p>
        </w:tc>
        <w:bookmarkStart w:id="1" w:name="_heading=h.1ja0eyel1kiq" w:colFirst="0" w:colLast="0"/>
        <w:bookmarkEnd w:id="1"/>
        <w:tc>
          <w:tcPr>
            <w:tcW w:w="15767" w:type="dxa"/>
            <w:tcMar>
              <w:top w:w="0" w:type="dxa"/>
              <w:left w:w="108" w:type="dxa"/>
              <w:bottom w:w="0" w:type="dxa"/>
              <w:right w:w="108" w:type="dxa"/>
            </w:tcMar>
            <w:vAlign w:val="center"/>
          </w:tcPr>
          <w:p w:rsidR="00914068" w:rsidRDefault="00C05BF9">
            <w:pPr>
              <w:rPr>
                <w:rFonts w:ascii="Arial" w:eastAsia="Arial" w:hAnsi="Arial" w:cs="Arial"/>
                <w:color w:val="0000FF"/>
                <w:sz w:val="20"/>
                <w:szCs w:val="20"/>
              </w:rPr>
            </w:pPr>
            <w:r>
              <w:fldChar w:fldCharType="begin"/>
            </w:r>
            <w:r>
              <w:instrText xml:space="preserve"> HYPERLINK "https://journalajcrs.com/index.php/AJCRS" \h </w:instrText>
            </w:r>
            <w:r>
              <w:fldChar w:fldCharType="separate"/>
            </w:r>
            <w:r>
              <w:rPr>
                <w:rFonts w:ascii="Arial" w:eastAsia="Arial" w:hAnsi="Arial" w:cs="Arial"/>
                <w:b/>
                <w:bCs/>
                <w:color w:val="0000FF"/>
                <w:sz w:val="20"/>
                <w:szCs w:val="20"/>
                <w:u w:val="single"/>
              </w:rPr>
              <w:t>Asian Journal of Case Reports in Surgery</w:t>
            </w:r>
            <w:r>
              <w:rPr>
                <w:rFonts w:ascii="Arial" w:eastAsia="Arial" w:hAnsi="Arial" w:cs="Arial"/>
                <w:b/>
                <w:bCs/>
                <w:color w:val="0000FF"/>
                <w:sz w:val="20"/>
                <w:szCs w:val="20"/>
                <w:u w:val="single"/>
              </w:rPr>
              <w:fldChar w:fldCharType="end"/>
            </w:r>
          </w:p>
        </w:tc>
      </w:tr>
      <w:tr w:rsidR="00914068">
        <w:trPr>
          <w:trHeight w:val="290"/>
        </w:trPr>
        <w:tc>
          <w:tcPr>
            <w:tcW w:w="5167" w:type="dxa"/>
          </w:tcPr>
          <w:p w:rsidR="00914068" w:rsidRDefault="00C05BF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14068" w:rsidRDefault="00C05BF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Ms_AJCRS_148589</w:t>
            </w:r>
          </w:p>
        </w:tc>
      </w:tr>
      <w:tr w:rsidR="00914068">
        <w:trPr>
          <w:trHeight w:val="650"/>
        </w:trPr>
        <w:tc>
          <w:tcPr>
            <w:tcW w:w="5167" w:type="dxa"/>
          </w:tcPr>
          <w:p w:rsidR="00914068" w:rsidRDefault="00C05BF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14068" w:rsidRDefault="00C05BF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Laparoscopic Common Bile Duct Exploration Using a Standard Gastroscope and Simple Accessories in a Resource-Limited Setting: A Case Report and Review of Literature</w:t>
            </w:r>
          </w:p>
        </w:tc>
      </w:tr>
      <w:tr w:rsidR="00914068">
        <w:trPr>
          <w:trHeight w:val="332"/>
        </w:trPr>
        <w:tc>
          <w:tcPr>
            <w:tcW w:w="5167" w:type="dxa"/>
          </w:tcPr>
          <w:p w:rsidR="00914068" w:rsidRDefault="00C05BF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14068" w:rsidRDefault="00914068">
            <w:pPr>
              <w:pBdr>
                <w:top w:val="nil"/>
                <w:left w:val="nil"/>
                <w:bottom w:val="nil"/>
                <w:right w:val="nil"/>
                <w:between w:val="nil"/>
              </w:pBdr>
              <w:rPr>
                <w:rFonts w:ascii="Arial" w:eastAsia="Arial" w:hAnsi="Arial" w:cs="Arial"/>
                <w:color w:val="000000"/>
                <w:sz w:val="20"/>
                <w:szCs w:val="20"/>
              </w:rPr>
            </w:pPr>
          </w:p>
        </w:tc>
      </w:tr>
    </w:tbl>
    <w:p w:rsidR="00914068" w:rsidRDefault="00914068">
      <w:pPr>
        <w:rPr>
          <w:sz w:val="20"/>
          <w:szCs w:val="20"/>
        </w:rPr>
      </w:pPr>
      <w:bookmarkStart w:id="2" w:name="_heading=h.rzpjc533wz87" w:colFirst="0" w:colLast="0"/>
      <w:bookmarkEnd w:id="2"/>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10067"/>
        <w:gridCol w:w="5732"/>
      </w:tblGrid>
      <w:tr w:rsidR="00914068">
        <w:tc>
          <w:tcPr>
            <w:tcW w:w="21150" w:type="dxa"/>
            <w:gridSpan w:val="3"/>
            <w:tcBorders>
              <w:top w:val="nil"/>
              <w:left w:val="nil"/>
              <w:right w:val="nil"/>
            </w:tcBorders>
          </w:tcPr>
          <w:p w:rsidR="00914068" w:rsidRDefault="00C05BF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914068" w:rsidRDefault="00914068">
            <w:pPr>
              <w:rPr>
                <w:sz w:val="20"/>
                <w:szCs w:val="20"/>
              </w:rPr>
            </w:pPr>
          </w:p>
        </w:tc>
      </w:tr>
      <w:tr w:rsidR="00914068">
        <w:tc>
          <w:tcPr>
            <w:tcW w:w="5351" w:type="dxa"/>
          </w:tcPr>
          <w:p w:rsidR="00914068" w:rsidRDefault="00914068">
            <w:pPr>
              <w:pStyle w:val="Heading2"/>
              <w:jc w:val="left"/>
              <w:rPr>
                <w:rFonts w:ascii="Times New Roman" w:eastAsia="Times New Roman" w:hAnsi="Times New Roman" w:cs="Times New Roman"/>
              </w:rPr>
            </w:pPr>
          </w:p>
        </w:tc>
        <w:tc>
          <w:tcPr>
            <w:tcW w:w="10067" w:type="dxa"/>
          </w:tcPr>
          <w:p w:rsidR="00914068" w:rsidRDefault="00C05BF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914068" w:rsidRDefault="00C05BF9">
            <w:pPr>
              <w:rPr>
                <w:sz w:val="20"/>
                <w:szCs w:val="20"/>
              </w:rPr>
            </w:pPr>
            <w:r>
              <w:rPr>
                <w:b/>
                <w:bCs/>
                <w:sz w:val="20"/>
                <w:szCs w:val="20"/>
                <w:highlight w:val="yellow"/>
              </w:rPr>
              <w:t>Artificial Intelligence (AI) generated or assisted review comments are strictly prohibited during peer review.</w:t>
            </w:r>
          </w:p>
          <w:p w:rsidR="00914068" w:rsidRDefault="00914068"/>
        </w:tc>
        <w:tc>
          <w:tcPr>
            <w:tcW w:w="5732" w:type="dxa"/>
          </w:tcPr>
          <w:p w:rsidR="00914068" w:rsidRDefault="00C05BF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914068" w:rsidRDefault="00914068">
            <w:pPr>
              <w:pStyle w:val="Heading2"/>
              <w:jc w:val="left"/>
              <w:rPr>
                <w:rFonts w:ascii="Times New Roman" w:eastAsia="Times New Roman" w:hAnsi="Times New Roman" w:cs="Times New Roman"/>
                <w:b w:val="0"/>
                <w:bCs w:val="0"/>
              </w:rPr>
            </w:pPr>
          </w:p>
        </w:tc>
      </w:tr>
      <w:tr w:rsidR="00914068">
        <w:trPr>
          <w:trHeight w:val="1264"/>
        </w:trPr>
        <w:tc>
          <w:tcPr>
            <w:tcW w:w="5351" w:type="dxa"/>
          </w:tcPr>
          <w:p w:rsidR="00914068" w:rsidRDefault="00C05BF9">
            <w:pPr>
              <w:ind w:left="360"/>
              <w:rPr>
                <w:sz w:val="20"/>
                <w:szCs w:val="20"/>
              </w:rPr>
            </w:pPr>
            <w:r>
              <w:rPr>
                <w:b/>
                <w:bCs/>
                <w:sz w:val="20"/>
                <w:szCs w:val="20"/>
              </w:rPr>
              <w:t>Please write a few sentences regarding the importance of t</w:t>
            </w:r>
            <w:r>
              <w:rPr>
                <w:b/>
                <w:bCs/>
                <w:sz w:val="20"/>
                <w:szCs w:val="20"/>
              </w:rPr>
              <w:t>his manuscript for the scientific community. A minimum of 3-4 sentences may be required for this part.</w:t>
            </w:r>
          </w:p>
          <w:p w:rsidR="00914068" w:rsidRDefault="00914068">
            <w:pPr>
              <w:ind w:left="360"/>
              <w:rPr>
                <w:sz w:val="20"/>
                <w:szCs w:val="20"/>
              </w:rPr>
            </w:pPr>
          </w:p>
        </w:tc>
        <w:tc>
          <w:tcPr>
            <w:tcW w:w="10067" w:type="dxa"/>
          </w:tcPr>
          <w:p w:rsidR="00914068" w:rsidRDefault="00C05BF9">
            <w:pPr>
              <w:jc w:val="both"/>
            </w:pPr>
            <w:r>
              <w:t>This manuscript presents a case that provides relevant evidence for the scientific community regarding the use of safe and accessible solutions for lapa</w:t>
            </w:r>
            <w:r>
              <w:t xml:space="preserve">roscopic common bile duct exploration in resource-limited settings. Demonstrating that a standard gastroscope can effectively replace a dedicated </w:t>
            </w:r>
            <w:proofErr w:type="spellStart"/>
            <w:r>
              <w:t>choledochoscope</w:t>
            </w:r>
            <w:proofErr w:type="spellEnd"/>
            <w:r>
              <w:t xml:space="preserve"> expands the practical toolkit available to surgeons who lack access to advanced instruments. T</w:t>
            </w:r>
            <w:r>
              <w:t>he work promotes innovation, adaptability, and equitable access to minimally invasive surgery. It also encourages further studies to validate this low-cost technique and contribute to strengthening surgical capacity on a global scale.</w:t>
            </w:r>
          </w:p>
          <w:p w:rsidR="00914068" w:rsidRDefault="00914068">
            <w:pPr>
              <w:pBdr>
                <w:top w:val="nil"/>
                <w:left w:val="nil"/>
                <w:bottom w:val="nil"/>
                <w:right w:val="nil"/>
                <w:between w:val="nil"/>
              </w:pBdr>
              <w:jc w:val="both"/>
              <w:rPr>
                <w:color w:val="000000"/>
                <w:sz w:val="20"/>
                <w:szCs w:val="20"/>
              </w:rPr>
            </w:pPr>
          </w:p>
        </w:tc>
        <w:tc>
          <w:tcPr>
            <w:tcW w:w="5732" w:type="dxa"/>
          </w:tcPr>
          <w:p w:rsidR="00914068" w:rsidRDefault="00C05BF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We can’t substitute standard </w:t>
            </w:r>
            <w:proofErr w:type="spellStart"/>
            <w:proofErr w:type="gramStart"/>
            <w:r>
              <w:rPr>
                <w:rFonts w:ascii="Times New Roman" w:eastAsia="Times New Roman" w:hAnsi="Times New Roman" w:cs="Times New Roman"/>
                <w:b w:val="0"/>
                <w:bCs w:val="0"/>
              </w:rPr>
              <w:t>cholangioscope</w:t>
            </w:r>
            <w:proofErr w:type="spellEnd"/>
            <w:r>
              <w:rPr>
                <w:rFonts w:ascii="Times New Roman" w:eastAsia="Times New Roman" w:hAnsi="Times New Roman" w:cs="Times New Roman"/>
                <w:b w:val="0"/>
                <w:bCs w:val="0"/>
              </w:rPr>
              <w:t xml:space="preserve"> ,</w:t>
            </w:r>
            <w:proofErr w:type="gramEnd"/>
            <w:r>
              <w:rPr>
                <w:rFonts w:ascii="Times New Roman" w:eastAsia="Times New Roman" w:hAnsi="Times New Roman" w:cs="Times New Roman"/>
                <w:b w:val="0"/>
                <w:bCs w:val="0"/>
              </w:rPr>
              <w:t xml:space="preserve"> but in resource limited conditions , and whenever duct is dilated beyond 12 mm , with meticulous use , gastroscope can be used as alternative to </w:t>
            </w:r>
            <w:proofErr w:type="spellStart"/>
            <w:r>
              <w:rPr>
                <w:rFonts w:ascii="Times New Roman" w:eastAsia="Times New Roman" w:hAnsi="Times New Roman" w:cs="Times New Roman"/>
                <w:b w:val="0"/>
                <w:bCs w:val="0"/>
              </w:rPr>
              <w:t>cholangioscope</w:t>
            </w:r>
            <w:proofErr w:type="spellEnd"/>
            <w:r>
              <w:rPr>
                <w:rFonts w:ascii="Times New Roman" w:eastAsia="Times New Roman" w:hAnsi="Times New Roman" w:cs="Times New Roman"/>
                <w:b w:val="0"/>
                <w:bCs w:val="0"/>
              </w:rPr>
              <w:t>.</w:t>
            </w:r>
          </w:p>
        </w:tc>
      </w:tr>
      <w:tr w:rsidR="00914068">
        <w:trPr>
          <w:trHeight w:val="1262"/>
        </w:trPr>
        <w:tc>
          <w:tcPr>
            <w:tcW w:w="5351" w:type="dxa"/>
          </w:tcPr>
          <w:p w:rsidR="00914068" w:rsidRDefault="00C05BF9">
            <w:pPr>
              <w:ind w:left="360"/>
              <w:rPr>
                <w:sz w:val="20"/>
                <w:szCs w:val="20"/>
              </w:rPr>
            </w:pPr>
            <w:r>
              <w:rPr>
                <w:b/>
                <w:bCs/>
                <w:sz w:val="20"/>
                <w:szCs w:val="20"/>
              </w:rPr>
              <w:t>Is the title of the article suitable?</w:t>
            </w:r>
          </w:p>
          <w:p w:rsidR="00914068" w:rsidRDefault="00C05BF9">
            <w:pPr>
              <w:ind w:left="360"/>
              <w:rPr>
                <w:sz w:val="20"/>
                <w:szCs w:val="20"/>
              </w:rPr>
            </w:pPr>
            <w:r>
              <w:rPr>
                <w:b/>
                <w:bCs/>
                <w:sz w:val="20"/>
                <w:szCs w:val="20"/>
              </w:rPr>
              <w:t>(If not pl</w:t>
            </w:r>
            <w:r>
              <w:rPr>
                <w:b/>
                <w:bCs/>
                <w:sz w:val="20"/>
                <w:szCs w:val="20"/>
              </w:rPr>
              <w:t>ease suggest an alternative title)</w:t>
            </w:r>
          </w:p>
          <w:p w:rsidR="00914068" w:rsidRDefault="00914068">
            <w:pPr>
              <w:pStyle w:val="Heading2"/>
              <w:jc w:val="left"/>
              <w:rPr>
                <w:rFonts w:ascii="Times New Roman" w:eastAsia="Times New Roman" w:hAnsi="Times New Roman" w:cs="Times New Roman"/>
                <w:u w:val="single"/>
              </w:rPr>
            </w:pPr>
          </w:p>
        </w:tc>
        <w:tc>
          <w:tcPr>
            <w:tcW w:w="10067" w:type="dxa"/>
          </w:tcPr>
          <w:p w:rsidR="00914068" w:rsidRDefault="00C05BF9">
            <w:pPr>
              <w:jc w:val="both"/>
              <w:rPr>
                <w:sz w:val="20"/>
                <w:szCs w:val="20"/>
              </w:rPr>
            </w:pPr>
            <w:r>
              <w:rPr>
                <w:sz w:val="20"/>
                <w:szCs w:val="20"/>
              </w:rPr>
              <w:t>The current title, “Laparoscopic Common Bile Duct Exploration Using a Standard Gastroscope and Simple Accessories in a Resource-Limited Setting: A Case Report and Review of Literature”, is clear and descriptive, accurate</w:t>
            </w:r>
            <w:r>
              <w:rPr>
                <w:sz w:val="20"/>
                <w:szCs w:val="20"/>
              </w:rPr>
              <w:t>ly reflecting the content of the manuscript. It highlights the key innovative aspect (the use of a standard gastroscope) and specifies the study type (case report + literature review).</w:t>
            </w:r>
          </w:p>
          <w:p w:rsidR="00914068" w:rsidRDefault="00C05BF9">
            <w:pPr>
              <w:jc w:val="both"/>
              <w:rPr>
                <w:sz w:val="20"/>
                <w:szCs w:val="20"/>
              </w:rPr>
            </w:pPr>
            <w:r>
              <w:rPr>
                <w:sz w:val="20"/>
                <w:szCs w:val="20"/>
              </w:rPr>
              <w:t>However, it is long and somewhat wordy, and may benefit from being more</w:t>
            </w:r>
            <w:r>
              <w:rPr>
                <w:sz w:val="20"/>
                <w:szCs w:val="20"/>
              </w:rPr>
              <w:t xml:space="preserve"> concise and focused. I believe a shorter title would be more suitable, such as “Gastroscope-Guided Laparoscopic CBD Exploration as a Replacement for </w:t>
            </w:r>
            <w:proofErr w:type="spellStart"/>
            <w:r>
              <w:rPr>
                <w:sz w:val="20"/>
                <w:szCs w:val="20"/>
              </w:rPr>
              <w:t>Choledochoscopy</w:t>
            </w:r>
            <w:proofErr w:type="spellEnd"/>
            <w:r>
              <w:rPr>
                <w:sz w:val="20"/>
                <w:szCs w:val="20"/>
              </w:rPr>
              <w:t xml:space="preserve"> in Low-Resource Hospitals”, or any other shorter alternative.</w:t>
            </w:r>
          </w:p>
        </w:tc>
        <w:tc>
          <w:tcPr>
            <w:tcW w:w="5732" w:type="dxa"/>
          </w:tcPr>
          <w:p w:rsidR="00914068" w:rsidRDefault="00C05BF9">
            <w:pPr>
              <w:jc w:val="both"/>
            </w:pPr>
            <w:r>
              <w:rPr>
                <w:sz w:val="20"/>
                <w:szCs w:val="20"/>
              </w:rPr>
              <w:t>Laparoscopic Common Bile Duct Exploration Using a Standard Gastroscope and Simple Accessories</w:t>
            </w:r>
          </w:p>
        </w:tc>
      </w:tr>
      <w:tr w:rsidR="00914068">
        <w:trPr>
          <w:trHeight w:val="1262"/>
        </w:trPr>
        <w:tc>
          <w:tcPr>
            <w:tcW w:w="5351" w:type="dxa"/>
          </w:tcPr>
          <w:p w:rsidR="00914068" w:rsidRDefault="00C05BF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914068" w:rsidRDefault="00914068">
            <w:pPr>
              <w:pStyle w:val="Heading2"/>
              <w:jc w:val="left"/>
              <w:rPr>
                <w:rFonts w:ascii="Times New Roman" w:eastAsia="Times New Roman" w:hAnsi="Times New Roman" w:cs="Times New Roman"/>
                <w:u w:val="single"/>
              </w:rPr>
            </w:pPr>
          </w:p>
        </w:tc>
        <w:tc>
          <w:tcPr>
            <w:tcW w:w="10067" w:type="dxa"/>
          </w:tcPr>
          <w:p w:rsidR="00914068" w:rsidRDefault="00C05BF9">
            <w:pPr>
              <w:jc w:val="both"/>
              <w:rPr>
                <w:sz w:val="20"/>
                <w:szCs w:val="20"/>
              </w:rPr>
            </w:pPr>
            <w:r>
              <w:rPr>
                <w:sz w:val="20"/>
                <w:szCs w:val="20"/>
              </w:rPr>
              <w:t xml:space="preserve">The abstract is clear, well organized, and accurately presents the essential elements of the case. Highlighting the use of a standard gastroscope instead of a dedicated </w:t>
            </w:r>
            <w:proofErr w:type="spellStart"/>
            <w:r>
              <w:rPr>
                <w:sz w:val="20"/>
                <w:szCs w:val="20"/>
              </w:rPr>
              <w:t>choledochoscope</w:t>
            </w:r>
            <w:proofErr w:type="spellEnd"/>
            <w:r>
              <w:rPr>
                <w:sz w:val="20"/>
                <w:szCs w:val="20"/>
              </w:rPr>
              <w:t xml:space="preserve"> is a strong point. However, for a surgical journal, it could be improve</w:t>
            </w:r>
            <w:r>
              <w:rPr>
                <w:sz w:val="20"/>
                <w:szCs w:val="20"/>
              </w:rPr>
              <w:t xml:space="preserve">d through a few adjustments. I believe a sentence should be added to explain why the gastroscope was chosen (e.g., unavailability of a </w:t>
            </w:r>
            <w:proofErr w:type="spellStart"/>
            <w:r>
              <w:rPr>
                <w:sz w:val="20"/>
                <w:szCs w:val="20"/>
              </w:rPr>
              <w:t>choledochoscope</w:t>
            </w:r>
            <w:proofErr w:type="spellEnd"/>
            <w:r>
              <w:rPr>
                <w:sz w:val="20"/>
                <w:szCs w:val="20"/>
              </w:rPr>
              <w:t xml:space="preserve">), along with a brief statement about the relevance of the technique for resource-limited </w:t>
            </w:r>
            <w:proofErr w:type="spellStart"/>
            <w:r>
              <w:rPr>
                <w:sz w:val="20"/>
                <w:szCs w:val="20"/>
              </w:rPr>
              <w:t>centers</w:t>
            </w:r>
            <w:proofErr w:type="spellEnd"/>
            <w:r>
              <w:rPr>
                <w:sz w:val="20"/>
                <w:szCs w:val="20"/>
              </w:rPr>
              <w:t>, and a m</w:t>
            </w:r>
            <w:r>
              <w:rPr>
                <w:sz w:val="20"/>
                <w:szCs w:val="20"/>
              </w:rPr>
              <w:t>ention of postoperative monitoring (e.g., ultrasound evaluation or normal laboratory results).</w:t>
            </w:r>
          </w:p>
        </w:tc>
        <w:tc>
          <w:tcPr>
            <w:tcW w:w="5732" w:type="dxa"/>
          </w:tcPr>
          <w:p w:rsidR="00914068" w:rsidRDefault="00C05BF9">
            <w:pPr>
              <w:jc w:val="both"/>
            </w:pPr>
            <w:r>
              <w:rPr>
                <w:sz w:val="20"/>
                <w:szCs w:val="20"/>
              </w:rPr>
              <w:t xml:space="preserve">unavailability of a </w:t>
            </w:r>
            <w:proofErr w:type="spellStart"/>
            <w:proofErr w:type="gramStart"/>
            <w:r>
              <w:rPr>
                <w:sz w:val="20"/>
                <w:szCs w:val="20"/>
              </w:rPr>
              <w:t>choledochoscope</w:t>
            </w:r>
            <w:proofErr w:type="spellEnd"/>
            <w:r>
              <w:rPr>
                <w:sz w:val="20"/>
                <w:szCs w:val="20"/>
              </w:rPr>
              <w:t xml:space="preserve"> ,</w:t>
            </w:r>
            <w:proofErr w:type="gramEnd"/>
            <w:r>
              <w:rPr>
                <w:sz w:val="20"/>
                <w:szCs w:val="20"/>
              </w:rPr>
              <w:t xml:space="preserve"> duct dilation of 12mm were the reasons to use gastroscope.</w:t>
            </w:r>
          </w:p>
        </w:tc>
      </w:tr>
      <w:tr w:rsidR="00914068">
        <w:trPr>
          <w:trHeight w:val="704"/>
        </w:trPr>
        <w:tc>
          <w:tcPr>
            <w:tcW w:w="5351" w:type="dxa"/>
          </w:tcPr>
          <w:p w:rsidR="00914068" w:rsidRDefault="00C05BF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10067" w:type="dxa"/>
          </w:tcPr>
          <w:p w:rsidR="00914068" w:rsidRDefault="00C05BF9">
            <w:pPr>
              <w:pBdr>
                <w:top w:val="nil"/>
                <w:left w:val="nil"/>
                <w:bottom w:val="nil"/>
                <w:right w:val="nil"/>
                <w:between w:val="nil"/>
              </w:pBdr>
              <w:jc w:val="both"/>
              <w:rPr>
                <w:color w:val="000000"/>
                <w:sz w:val="20"/>
                <w:szCs w:val="20"/>
              </w:rPr>
            </w:pPr>
            <w:r>
              <w:rPr>
                <w:color w:val="000000"/>
                <w:sz w:val="20"/>
                <w:szCs w:val="20"/>
              </w:rPr>
              <w:t>O</w:t>
            </w:r>
            <w:r>
              <w:rPr>
                <w:color w:val="000000"/>
                <w:sz w:val="20"/>
                <w:szCs w:val="20"/>
              </w:rPr>
              <w:t>verall, the manuscript is scientifically sound, well structured, and consistent with the standards of a case report. The described technique aligns with current principles of hepatobiliary surgery, and the adaptation of a standard gastroscope for bile duct</w:t>
            </w:r>
            <w:r>
              <w:rPr>
                <w:color w:val="000000"/>
                <w:sz w:val="20"/>
                <w:szCs w:val="20"/>
              </w:rPr>
              <w:t xml:space="preserve"> exploration is presented coherently and supported by the existing literature. The discussion accurately reflects current data regarding the comparison between LCBDE and ERCP + cholecystectomy, the use of alternative endoscopes, and the safety of primary c</w:t>
            </w:r>
            <w:r>
              <w:rPr>
                <w:color w:val="000000"/>
                <w:sz w:val="20"/>
                <w:szCs w:val="20"/>
              </w:rPr>
              <w:t>holedochotomy closure after complete ductal clearance. The references are appropriate and up to date, and the acknowledgment of limitations (single case, short follow-up) strengthens the scientific credibility of the work.</w:t>
            </w:r>
          </w:p>
          <w:p w:rsidR="00914068" w:rsidRDefault="00914068">
            <w:pPr>
              <w:pBdr>
                <w:top w:val="nil"/>
                <w:left w:val="nil"/>
                <w:bottom w:val="nil"/>
                <w:right w:val="nil"/>
                <w:between w:val="nil"/>
              </w:pBdr>
              <w:jc w:val="both"/>
              <w:rPr>
                <w:color w:val="000000"/>
                <w:sz w:val="20"/>
                <w:szCs w:val="20"/>
              </w:rPr>
            </w:pPr>
          </w:p>
          <w:p w:rsidR="00914068" w:rsidRDefault="00C05BF9">
            <w:pPr>
              <w:pBdr>
                <w:top w:val="nil"/>
                <w:left w:val="nil"/>
                <w:bottom w:val="nil"/>
                <w:right w:val="nil"/>
                <w:between w:val="nil"/>
              </w:pBdr>
              <w:jc w:val="both"/>
              <w:rPr>
                <w:color w:val="000000"/>
                <w:sz w:val="20"/>
                <w:szCs w:val="20"/>
              </w:rPr>
            </w:pPr>
            <w:r>
              <w:rPr>
                <w:color w:val="000000"/>
                <w:sz w:val="20"/>
                <w:szCs w:val="20"/>
              </w:rPr>
              <w:t>Strong scientific points include: the accurate surgical description, the justification for transverse choledochotomy closure, the discussion aligned with current clinical evidence, and the integration of literature on gastroscope use.</w:t>
            </w:r>
          </w:p>
          <w:p w:rsidR="00914068" w:rsidRDefault="00C05BF9">
            <w:pPr>
              <w:pBdr>
                <w:top w:val="nil"/>
                <w:left w:val="nil"/>
                <w:bottom w:val="nil"/>
                <w:right w:val="nil"/>
                <w:between w:val="nil"/>
              </w:pBdr>
              <w:jc w:val="both"/>
              <w:rPr>
                <w:color w:val="000000"/>
                <w:sz w:val="20"/>
                <w:szCs w:val="20"/>
              </w:rPr>
            </w:pPr>
            <w:r>
              <w:rPr>
                <w:color w:val="000000"/>
                <w:sz w:val="20"/>
                <w:szCs w:val="20"/>
              </w:rPr>
              <w:t>Minor suggestions for</w:t>
            </w:r>
            <w:r>
              <w:rPr>
                <w:color w:val="000000"/>
                <w:sz w:val="20"/>
                <w:szCs w:val="20"/>
              </w:rPr>
              <w:t xml:space="preserve"> improvement include: briefly outlining the patient selection criteria for using a gastroscope instead of a dedicated </w:t>
            </w:r>
            <w:proofErr w:type="spellStart"/>
            <w:r>
              <w:rPr>
                <w:color w:val="000000"/>
                <w:sz w:val="20"/>
                <w:szCs w:val="20"/>
              </w:rPr>
              <w:t>choledochoscope</w:t>
            </w:r>
            <w:proofErr w:type="spellEnd"/>
            <w:r>
              <w:rPr>
                <w:color w:val="000000"/>
                <w:sz w:val="20"/>
                <w:szCs w:val="20"/>
              </w:rPr>
              <w:t>, adding a sentence summarizing the rationale for omitting biliary drainage (T-tube or stent), and mentioning the importanc</w:t>
            </w:r>
            <w:r>
              <w:rPr>
                <w:color w:val="000000"/>
                <w:sz w:val="20"/>
                <w:szCs w:val="20"/>
              </w:rPr>
              <w:t>e of duct diameter for reproducibility of the technique.</w:t>
            </w:r>
          </w:p>
          <w:p w:rsidR="00914068" w:rsidRDefault="00914068">
            <w:pPr>
              <w:pBdr>
                <w:top w:val="nil"/>
                <w:left w:val="nil"/>
                <w:bottom w:val="nil"/>
                <w:right w:val="nil"/>
                <w:between w:val="nil"/>
              </w:pBdr>
              <w:jc w:val="both"/>
              <w:rPr>
                <w:color w:val="000000"/>
                <w:sz w:val="20"/>
                <w:szCs w:val="20"/>
              </w:rPr>
            </w:pPr>
          </w:p>
          <w:p w:rsidR="00914068" w:rsidRDefault="00C05BF9">
            <w:pPr>
              <w:pBdr>
                <w:top w:val="nil"/>
                <w:left w:val="nil"/>
                <w:bottom w:val="nil"/>
                <w:right w:val="nil"/>
                <w:between w:val="nil"/>
              </w:pBdr>
              <w:jc w:val="both"/>
              <w:rPr>
                <w:color w:val="000000"/>
                <w:sz w:val="20"/>
                <w:szCs w:val="20"/>
              </w:rPr>
            </w:pPr>
            <w:r>
              <w:rPr>
                <w:color w:val="000000"/>
                <w:sz w:val="20"/>
                <w:szCs w:val="20"/>
              </w:rPr>
              <w:t>Overall, the manuscript is scientifically valid, coherent, and provides a meaningful contribution to the literature on minimally invasive surgery in resource-limited settings.</w:t>
            </w:r>
          </w:p>
        </w:tc>
        <w:tc>
          <w:tcPr>
            <w:tcW w:w="5732" w:type="dxa"/>
          </w:tcPr>
          <w:p w:rsidR="00914068" w:rsidRDefault="00914068">
            <w:pPr>
              <w:pStyle w:val="Heading2"/>
              <w:jc w:val="left"/>
              <w:rPr>
                <w:rFonts w:ascii="Times New Roman" w:eastAsia="Times New Roman" w:hAnsi="Times New Roman" w:cs="Times New Roman"/>
                <w:b w:val="0"/>
                <w:bCs w:val="0"/>
              </w:rPr>
            </w:pPr>
          </w:p>
        </w:tc>
      </w:tr>
      <w:tr w:rsidR="00914068">
        <w:trPr>
          <w:trHeight w:val="703"/>
        </w:trPr>
        <w:tc>
          <w:tcPr>
            <w:tcW w:w="5351" w:type="dxa"/>
          </w:tcPr>
          <w:p w:rsidR="00914068" w:rsidRDefault="00C05BF9">
            <w:pPr>
              <w:ind w:left="360"/>
              <w:rPr>
                <w:sz w:val="20"/>
                <w:szCs w:val="20"/>
              </w:rPr>
            </w:pPr>
            <w:r>
              <w:rPr>
                <w:b/>
                <w:bCs/>
                <w:sz w:val="20"/>
                <w:szCs w:val="20"/>
              </w:rPr>
              <w:t>Are the references s</w:t>
            </w:r>
            <w:r>
              <w:rPr>
                <w:b/>
                <w:bCs/>
                <w:sz w:val="20"/>
                <w:szCs w:val="20"/>
              </w:rPr>
              <w:t>ufficient and recent? If you have suggestions of additional references, please mention them in the review form.</w:t>
            </w:r>
          </w:p>
        </w:tc>
        <w:tc>
          <w:tcPr>
            <w:tcW w:w="10067" w:type="dxa"/>
          </w:tcPr>
          <w:p w:rsidR="00914068" w:rsidRDefault="00C05BF9">
            <w:pPr>
              <w:pBdr>
                <w:top w:val="nil"/>
                <w:left w:val="nil"/>
                <w:bottom w:val="nil"/>
                <w:right w:val="nil"/>
                <w:between w:val="nil"/>
              </w:pBdr>
              <w:jc w:val="both"/>
              <w:rPr>
                <w:color w:val="000000"/>
                <w:sz w:val="20"/>
                <w:szCs w:val="20"/>
              </w:rPr>
            </w:pPr>
            <w:r>
              <w:rPr>
                <w:color w:val="000000"/>
                <w:sz w:val="20"/>
                <w:szCs w:val="20"/>
              </w:rPr>
              <w:t>The references are generally adequate, covering key meta-analyses and studies relevant to LCBDE and alternative visualization techniques. Howeve</w:t>
            </w:r>
            <w:r>
              <w:rPr>
                <w:color w:val="000000"/>
                <w:sz w:val="20"/>
                <w:szCs w:val="20"/>
              </w:rPr>
              <w:t>r, the manuscript would benefit from the inclusion of more recent literature (2021–2024), especially regarding primary duct closure, single-stage minimally invasive management of choledocholithiasis, and innovations in resource-limited settings. Adding rec</w:t>
            </w:r>
            <w:r>
              <w:rPr>
                <w:color w:val="000000"/>
                <w:sz w:val="20"/>
                <w:szCs w:val="20"/>
              </w:rPr>
              <w:t>ent data would further support the safety and applicability of the described technique.</w:t>
            </w:r>
          </w:p>
        </w:tc>
        <w:tc>
          <w:tcPr>
            <w:tcW w:w="5732" w:type="dxa"/>
          </w:tcPr>
          <w:p w:rsidR="00914068" w:rsidRDefault="00914068">
            <w:pPr>
              <w:pStyle w:val="Heading2"/>
              <w:jc w:val="left"/>
              <w:rPr>
                <w:rFonts w:ascii="Times New Roman" w:eastAsia="Times New Roman" w:hAnsi="Times New Roman" w:cs="Times New Roman"/>
                <w:b w:val="0"/>
                <w:bCs w:val="0"/>
              </w:rPr>
            </w:pPr>
          </w:p>
        </w:tc>
      </w:tr>
      <w:tr w:rsidR="00914068">
        <w:trPr>
          <w:trHeight w:val="386"/>
        </w:trPr>
        <w:tc>
          <w:tcPr>
            <w:tcW w:w="5351" w:type="dxa"/>
          </w:tcPr>
          <w:p w:rsidR="00914068" w:rsidRDefault="00C05BF9">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914068" w:rsidRDefault="00914068">
            <w:pPr>
              <w:rPr>
                <w:sz w:val="20"/>
                <w:szCs w:val="20"/>
              </w:rPr>
            </w:pPr>
          </w:p>
        </w:tc>
        <w:tc>
          <w:tcPr>
            <w:tcW w:w="10067" w:type="dxa"/>
          </w:tcPr>
          <w:p w:rsidR="00914068" w:rsidRDefault="00C05BF9">
            <w:pPr>
              <w:jc w:val="both"/>
              <w:rPr>
                <w:sz w:val="20"/>
                <w:szCs w:val="20"/>
              </w:rPr>
            </w:pPr>
            <w:r>
              <w:rPr>
                <w:sz w:val="20"/>
                <w:szCs w:val="20"/>
              </w:rPr>
              <w:t>The manuscript is written in clear, coherent English that is appropriate for scientific communication. The terminology is correct and specific to the surgical field, and the text follows a logical and easy-to-follow structure. The technical descriptions ar</w:t>
            </w:r>
            <w:r>
              <w:rPr>
                <w:sz w:val="20"/>
                <w:szCs w:val="20"/>
              </w:rPr>
              <w:t>e precise, well formulated, and maintain an appropriate academic tone.</w:t>
            </w:r>
          </w:p>
          <w:p w:rsidR="00914068" w:rsidRDefault="00C05BF9">
            <w:pPr>
              <w:jc w:val="both"/>
              <w:rPr>
                <w:sz w:val="20"/>
                <w:szCs w:val="20"/>
              </w:rPr>
            </w:pPr>
            <w:r>
              <w:rPr>
                <w:sz w:val="20"/>
                <w:szCs w:val="20"/>
              </w:rPr>
              <w:t>There are only a few minor aspects that could be improved for conciseness and clarity—for example, simplifying certain passages in the abstract, condensing some sentences in the introdu</w:t>
            </w:r>
            <w:r>
              <w:rPr>
                <w:sz w:val="20"/>
                <w:szCs w:val="20"/>
              </w:rPr>
              <w:t>ction, and ensuring consistent verb tense usage throughout. These are minor stylistic adjustments and do not represent significant issues.</w:t>
            </w:r>
          </w:p>
          <w:p w:rsidR="00914068" w:rsidRDefault="00C05BF9">
            <w:pPr>
              <w:jc w:val="both"/>
              <w:rPr>
                <w:sz w:val="20"/>
                <w:szCs w:val="20"/>
              </w:rPr>
            </w:pPr>
            <w:r>
              <w:rPr>
                <w:sz w:val="20"/>
                <w:szCs w:val="20"/>
              </w:rPr>
              <w:t>Overall, the English language quality is suitable for publication in a scientific journal, requiring only minimal pol</w:t>
            </w:r>
            <w:r>
              <w:rPr>
                <w:sz w:val="20"/>
                <w:szCs w:val="20"/>
              </w:rPr>
              <w:t>ishing for refinement.</w:t>
            </w:r>
          </w:p>
        </w:tc>
        <w:tc>
          <w:tcPr>
            <w:tcW w:w="5732" w:type="dxa"/>
          </w:tcPr>
          <w:p w:rsidR="00914068" w:rsidRDefault="00914068">
            <w:pPr>
              <w:rPr>
                <w:sz w:val="20"/>
                <w:szCs w:val="20"/>
              </w:rPr>
            </w:pPr>
          </w:p>
        </w:tc>
      </w:tr>
      <w:tr w:rsidR="00914068">
        <w:trPr>
          <w:trHeight w:val="1178"/>
        </w:trPr>
        <w:tc>
          <w:tcPr>
            <w:tcW w:w="5351" w:type="dxa"/>
          </w:tcPr>
          <w:p w:rsidR="00914068" w:rsidRDefault="00C05BF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914068" w:rsidRDefault="00914068">
            <w:pPr>
              <w:pStyle w:val="Heading2"/>
              <w:jc w:val="left"/>
              <w:rPr>
                <w:rFonts w:ascii="Times New Roman" w:eastAsia="Times New Roman" w:hAnsi="Times New Roman" w:cs="Times New Roman"/>
                <w:b w:val="0"/>
                <w:bCs w:val="0"/>
              </w:rPr>
            </w:pPr>
          </w:p>
        </w:tc>
        <w:tc>
          <w:tcPr>
            <w:tcW w:w="10067" w:type="dxa"/>
          </w:tcPr>
          <w:p w:rsidR="00914068" w:rsidRDefault="00C05BF9">
            <w:r>
              <w:rPr>
                <w:b/>
                <w:bCs/>
              </w:rPr>
              <w:t>Relevance and Originality of the Research</w:t>
            </w:r>
          </w:p>
          <w:p w:rsidR="00914068" w:rsidRDefault="00C05BF9">
            <w:r>
              <w:t xml:space="preserve">The manuscript addresses an important issue in minimally invasive biliary surgery, particularly in countries with many </w:t>
            </w:r>
            <w:proofErr w:type="spellStart"/>
            <w:r>
              <w:t>centers</w:t>
            </w:r>
            <w:proofErr w:type="spellEnd"/>
            <w:r>
              <w:t xml:space="preserve"> that operate under resource-limited conditions. The use of a standard gastroscope as an alternative to a dedicated </w:t>
            </w:r>
            <w:proofErr w:type="spellStart"/>
            <w:r>
              <w:t>choledochoscop</w:t>
            </w:r>
            <w:r>
              <w:t>e</w:t>
            </w:r>
            <w:proofErr w:type="spellEnd"/>
            <w:r>
              <w:t xml:space="preserve"> represents a practical, feasible, and low-cost solution that is currently underreported in the literature. This work provides an original and relevant contribution with potential impact on healthcare systems operating with limited resources.</w:t>
            </w:r>
          </w:p>
          <w:p w:rsidR="00914068" w:rsidRDefault="00914068"/>
          <w:p w:rsidR="00914068" w:rsidRDefault="00C05BF9">
            <w:r>
              <w:rPr>
                <w:b/>
                <w:bCs/>
              </w:rPr>
              <w:t>Methodology</w:t>
            </w:r>
          </w:p>
          <w:p w:rsidR="00914068" w:rsidRDefault="00C05BF9">
            <w:r>
              <w:t>The methodology is appropriate for a case-report study. The surgical steps are clearly described, and the adapted technique is presented in a reproducible manner. The justification for using a gastroscope is logical and clinically well-supported. The inhe</w:t>
            </w:r>
            <w:r>
              <w:t>rent limitations of a single case are acknowledged. An additional note regarding patient selection criteria could further strengthen the methodological section.</w:t>
            </w:r>
          </w:p>
          <w:p w:rsidR="00914068" w:rsidRDefault="00914068"/>
          <w:p w:rsidR="00914068" w:rsidRDefault="00C05BF9">
            <w:r>
              <w:rPr>
                <w:b/>
                <w:bCs/>
              </w:rPr>
              <w:t>Results and Interpretation</w:t>
            </w:r>
          </w:p>
          <w:p w:rsidR="00914068" w:rsidRDefault="00C05BF9">
            <w:r>
              <w:t>The results are clear and consistent with the stated objective. The</w:t>
            </w:r>
            <w:r>
              <w:t xml:space="preserve"> rapid recovery, complete stone extraction, socio-professional reintegration, </w:t>
            </w:r>
            <w:proofErr w:type="spellStart"/>
            <w:r>
              <w:t>favorable</w:t>
            </w:r>
            <w:proofErr w:type="spellEnd"/>
            <w:r>
              <w:t xml:space="preserve"> aesthetic outcome, and complication-free primary duct closure all support the feasibility of the technique. The interpretation is balanced, well integrated with existin</w:t>
            </w:r>
            <w:r>
              <w:t>g literature, and does not overstate the conclusions. Postoperative ductal monitoring is correctly emphasized.</w:t>
            </w:r>
          </w:p>
          <w:p w:rsidR="00914068" w:rsidRDefault="00914068"/>
          <w:p w:rsidR="00914068" w:rsidRDefault="00C05BF9">
            <w:r>
              <w:rPr>
                <w:b/>
                <w:bCs/>
              </w:rPr>
              <w:t>Structure and Clarity</w:t>
            </w:r>
          </w:p>
          <w:p w:rsidR="00914068" w:rsidRDefault="00C05BF9">
            <w:r>
              <w:t>The manuscript has a solid and logical structure. The narrative is clear, coherent, and easy to follow. The figures are us</w:t>
            </w:r>
            <w:r>
              <w:t xml:space="preserve">eful and appropriately selected. The abstract and introduction could be slightly condensed, but overall the text is well written and professionally presented. The clarity and linguistic fluency </w:t>
            </w:r>
            <w:proofErr w:type="gramStart"/>
            <w:r>
              <w:t>meet</w:t>
            </w:r>
            <w:proofErr w:type="gramEnd"/>
            <w:r>
              <w:t xml:space="preserve"> academic standards.</w:t>
            </w:r>
          </w:p>
          <w:p w:rsidR="00914068" w:rsidRDefault="00914068"/>
          <w:p w:rsidR="00914068" w:rsidRDefault="00C05BF9">
            <w:r>
              <w:rPr>
                <w:b/>
                <w:bCs/>
              </w:rPr>
              <w:t>References and Citations</w:t>
            </w:r>
          </w:p>
          <w:p w:rsidR="00914068" w:rsidRDefault="00C05BF9">
            <w:r>
              <w:t>The referen</w:t>
            </w:r>
            <w:r>
              <w:t>ces are relevant, current, and support the statements made in the text. The list includes major meta-analyses, technical studies, and pertinent reports. However, incorporating more recent articles (2021–2024)—particularly those addressing modern LCBDE, pri</w:t>
            </w:r>
            <w:r>
              <w:t>mary duct closure, and innovative solutions in low-resource environments—would further strengthen the scientific basis of the manuscript.</w:t>
            </w:r>
          </w:p>
          <w:p w:rsidR="00914068" w:rsidRDefault="00914068"/>
          <w:p w:rsidR="00914068" w:rsidRDefault="00C05BF9">
            <w:r>
              <w:rPr>
                <w:b/>
                <w:bCs/>
              </w:rPr>
              <w:t>Conclusion</w:t>
            </w:r>
          </w:p>
          <w:p w:rsidR="00914068" w:rsidRDefault="00C05BF9">
            <w:pPr>
              <w:pBdr>
                <w:top w:val="nil"/>
                <w:left w:val="nil"/>
                <w:bottom w:val="nil"/>
                <w:right w:val="nil"/>
                <w:between w:val="nil"/>
              </w:pBdr>
              <w:rPr>
                <w:color w:val="000000"/>
                <w:sz w:val="20"/>
                <w:szCs w:val="20"/>
              </w:rPr>
            </w:pPr>
            <w:r>
              <w:rPr>
                <w:rFonts w:ascii="Arimo" w:eastAsia="Arimo" w:hAnsi="Arimo" w:cs="Arimo"/>
                <w:color w:val="000000"/>
              </w:rPr>
              <w:t xml:space="preserve">The conclusion is well formulated, accurately reflecting the findings and clinical relevance of the case. </w:t>
            </w:r>
            <w:r>
              <w:rPr>
                <w:rFonts w:ascii="Arimo" w:eastAsia="Arimo" w:hAnsi="Arimo" w:cs="Arimo"/>
                <w:color w:val="000000"/>
              </w:rPr>
              <w:t>The authors avoid excessive generalization and correctly emphasize the need for additional studies. The final message is balanced and credible, appropriately integrating both the limitations and the potential of the technique</w:t>
            </w:r>
          </w:p>
        </w:tc>
        <w:tc>
          <w:tcPr>
            <w:tcW w:w="5732" w:type="dxa"/>
          </w:tcPr>
          <w:p w:rsidR="00914068" w:rsidRDefault="00914068">
            <w:pPr>
              <w:rPr>
                <w:sz w:val="20"/>
                <w:szCs w:val="20"/>
              </w:rPr>
            </w:pPr>
          </w:p>
        </w:tc>
      </w:tr>
    </w:tbl>
    <w:p w:rsidR="00914068" w:rsidRDefault="00914068">
      <w:pPr>
        <w:pBdr>
          <w:top w:val="nil"/>
          <w:left w:val="nil"/>
          <w:bottom w:val="nil"/>
          <w:right w:val="nil"/>
          <w:between w:val="nil"/>
        </w:pBdr>
        <w:jc w:val="both"/>
        <w:rPr>
          <w:color w:val="000000"/>
          <w:sz w:val="20"/>
          <w:szCs w:val="20"/>
          <w:u w:val="single"/>
        </w:rPr>
      </w:pPr>
    </w:p>
    <w:p w:rsidR="00914068" w:rsidRDefault="00914068">
      <w:pPr>
        <w:pBdr>
          <w:top w:val="nil"/>
          <w:left w:val="nil"/>
          <w:bottom w:val="nil"/>
          <w:right w:val="nil"/>
          <w:between w:val="nil"/>
        </w:pBdr>
        <w:jc w:val="both"/>
        <w:rPr>
          <w:color w:val="000000"/>
          <w:sz w:val="20"/>
          <w:szCs w:val="20"/>
          <w:u w:val="single"/>
        </w:rPr>
      </w:pPr>
      <w:bookmarkStart w:id="3" w:name="_heading=h.3by72jbtpfy4" w:colFirst="0" w:colLast="0"/>
      <w:bookmarkEnd w:id="3"/>
    </w:p>
    <w:p w:rsidR="00914068" w:rsidRDefault="00914068">
      <w:pPr>
        <w:spacing w:after="160" w:line="256" w:lineRule="auto"/>
        <w:rPr>
          <w:rFonts w:ascii="Calibri" w:eastAsia="Calibri" w:hAnsi="Calibri" w:cs="Calibri"/>
          <w:sz w:val="22"/>
          <w:szCs w:val="22"/>
        </w:rPr>
      </w:pPr>
      <w:bookmarkStart w:id="4" w:name="_heading=h.2q0evys8ej33" w:colFirst="0" w:colLast="0"/>
      <w:bookmarkEnd w:id="4"/>
    </w:p>
    <w:p w:rsidR="00D67DDD" w:rsidRDefault="00D67DDD">
      <w:pPr>
        <w:spacing w:after="160" w:line="256" w:lineRule="auto"/>
        <w:rPr>
          <w:rFonts w:ascii="Calibri" w:eastAsia="Calibri" w:hAnsi="Calibri" w:cs="Calibri"/>
          <w:sz w:val="22"/>
          <w:szCs w:val="22"/>
        </w:rPr>
      </w:pPr>
    </w:p>
    <w:p w:rsidR="00D67DDD" w:rsidRDefault="00D67DDD">
      <w:pPr>
        <w:spacing w:after="160" w:line="256" w:lineRule="auto"/>
        <w:rPr>
          <w:rFonts w:ascii="Calibri" w:eastAsia="Calibri" w:hAnsi="Calibri" w:cs="Calibri"/>
          <w:sz w:val="22"/>
          <w:szCs w:val="22"/>
        </w:rPr>
      </w:pPr>
      <w:bookmarkStart w:id="5" w:name="_GoBack"/>
      <w:bookmarkEnd w:id="5"/>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14068">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914068" w:rsidRDefault="00C05BF9">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914068" w:rsidRDefault="00914068">
            <w:pPr>
              <w:spacing w:line="276" w:lineRule="auto"/>
              <w:rPr>
                <w:rFonts w:ascii="Arial" w:eastAsia="Arial" w:hAnsi="Arial" w:cs="Arial"/>
                <w:sz w:val="20"/>
                <w:szCs w:val="20"/>
                <w:u w:val="single"/>
              </w:rPr>
            </w:pPr>
          </w:p>
        </w:tc>
      </w:tr>
      <w:tr w:rsidR="00914068">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14068" w:rsidRDefault="00914068">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14068" w:rsidRDefault="00C05BF9">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914068" w:rsidRDefault="00C05BF9">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914068" w:rsidRDefault="00914068">
            <w:pPr>
              <w:keepNext/>
              <w:spacing w:line="276" w:lineRule="auto"/>
              <w:rPr>
                <w:rFonts w:ascii="Arial" w:eastAsia="Arial" w:hAnsi="Arial" w:cs="Arial"/>
                <w:sz w:val="20"/>
                <w:szCs w:val="20"/>
              </w:rPr>
            </w:pPr>
          </w:p>
        </w:tc>
      </w:tr>
      <w:tr w:rsidR="00914068">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14068" w:rsidRDefault="00C05BF9">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914068" w:rsidRDefault="00914068">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14068" w:rsidRDefault="00C05BF9">
            <w:pPr>
              <w:spacing w:line="276" w:lineRule="auto"/>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914068" w:rsidRDefault="00914068">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914068" w:rsidRDefault="00914068">
            <w:pPr>
              <w:spacing w:line="276" w:lineRule="auto"/>
              <w:rPr>
                <w:rFonts w:ascii="Arial" w:eastAsia="Arial" w:hAnsi="Arial" w:cs="Arial"/>
                <w:sz w:val="20"/>
                <w:szCs w:val="20"/>
              </w:rPr>
            </w:pPr>
          </w:p>
          <w:p w:rsidR="00914068" w:rsidRDefault="00914068">
            <w:pPr>
              <w:spacing w:line="276" w:lineRule="auto"/>
              <w:rPr>
                <w:rFonts w:ascii="Arial" w:eastAsia="Arial" w:hAnsi="Arial" w:cs="Arial"/>
                <w:sz w:val="20"/>
                <w:szCs w:val="20"/>
              </w:rPr>
            </w:pPr>
          </w:p>
          <w:p w:rsidR="00914068" w:rsidRDefault="00914068">
            <w:pPr>
              <w:spacing w:line="276" w:lineRule="auto"/>
              <w:rPr>
                <w:rFonts w:ascii="Arial" w:eastAsia="Arial" w:hAnsi="Arial" w:cs="Arial"/>
                <w:sz w:val="20"/>
                <w:szCs w:val="20"/>
              </w:rPr>
            </w:pPr>
          </w:p>
        </w:tc>
      </w:tr>
    </w:tbl>
    <w:p w:rsidR="00914068" w:rsidRDefault="00914068"/>
    <w:p w:rsidR="00914068" w:rsidRDefault="00914068"/>
    <w:p w:rsidR="00914068" w:rsidRDefault="00914068">
      <w:pPr>
        <w:rPr>
          <w:u w:val="single"/>
        </w:rPr>
      </w:pPr>
    </w:p>
    <w:p w:rsidR="00914068" w:rsidRDefault="00914068"/>
    <w:p w:rsidR="00914068" w:rsidRDefault="00914068">
      <w:pPr>
        <w:spacing w:after="160" w:line="256" w:lineRule="auto"/>
        <w:rPr>
          <w:rFonts w:ascii="Calibri" w:eastAsia="Calibri" w:hAnsi="Calibri" w:cs="Calibri"/>
          <w:sz w:val="22"/>
          <w:szCs w:val="22"/>
        </w:rPr>
      </w:pPr>
    </w:p>
    <w:p w:rsidR="00914068" w:rsidRDefault="00914068">
      <w:pPr>
        <w:spacing w:after="160" w:line="256" w:lineRule="auto"/>
        <w:rPr>
          <w:rFonts w:ascii="Calibri" w:eastAsia="Calibri" w:hAnsi="Calibri" w:cs="Calibri"/>
          <w:sz w:val="22"/>
          <w:szCs w:val="22"/>
        </w:rPr>
      </w:pPr>
    </w:p>
    <w:p w:rsidR="00914068" w:rsidRDefault="00914068">
      <w:pPr>
        <w:spacing w:after="160" w:line="256" w:lineRule="auto"/>
        <w:rPr>
          <w:rFonts w:ascii="Calibri" w:eastAsia="Calibri" w:hAnsi="Calibri" w:cs="Calibri"/>
          <w:sz w:val="22"/>
          <w:szCs w:val="22"/>
        </w:rPr>
      </w:pPr>
    </w:p>
    <w:p w:rsidR="00914068" w:rsidRDefault="00914068">
      <w:pPr>
        <w:spacing w:after="160" w:line="256" w:lineRule="auto"/>
        <w:rPr>
          <w:rFonts w:ascii="Calibri" w:eastAsia="Calibri" w:hAnsi="Calibri" w:cs="Calibri"/>
          <w:sz w:val="22"/>
          <w:szCs w:val="22"/>
        </w:rPr>
      </w:pPr>
    </w:p>
    <w:p w:rsidR="00914068" w:rsidRDefault="00914068">
      <w:pPr>
        <w:spacing w:after="160" w:line="256" w:lineRule="auto"/>
        <w:rPr>
          <w:rFonts w:ascii="Calibri" w:eastAsia="Calibri" w:hAnsi="Calibri" w:cs="Calibri"/>
          <w:sz w:val="22"/>
          <w:szCs w:val="22"/>
        </w:rPr>
      </w:pPr>
    </w:p>
    <w:p w:rsidR="00914068" w:rsidRDefault="00914068">
      <w:pPr>
        <w:spacing w:after="160" w:line="256" w:lineRule="auto"/>
        <w:rPr>
          <w:rFonts w:ascii="Calibri" w:eastAsia="Calibri" w:hAnsi="Calibri" w:cs="Calibri"/>
          <w:sz w:val="22"/>
          <w:szCs w:val="22"/>
        </w:rPr>
      </w:pPr>
    </w:p>
    <w:p w:rsidR="00914068" w:rsidRDefault="00914068">
      <w:pPr>
        <w:spacing w:after="160" w:line="256" w:lineRule="auto"/>
        <w:rPr>
          <w:rFonts w:ascii="Calibri" w:eastAsia="Calibri" w:hAnsi="Calibri" w:cs="Calibri"/>
          <w:sz w:val="22"/>
          <w:szCs w:val="22"/>
        </w:rPr>
      </w:pPr>
    </w:p>
    <w:p w:rsidR="00914068" w:rsidRDefault="00C05BF9">
      <w:pPr>
        <w:spacing w:after="160" w:line="256" w:lineRule="auto"/>
        <w:rPr>
          <w:rFonts w:ascii="Calibri" w:eastAsia="Calibri" w:hAnsi="Calibri" w:cs="Calibri"/>
          <w:sz w:val="22"/>
          <w:szCs w:val="22"/>
        </w:rPr>
      </w:pPr>
      <w:r>
        <w:rPr>
          <w:rFonts w:ascii="Calibri" w:eastAsia="Calibri" w:hAnsi="Calibri" w:cs="Calibri"/>
          <w:sz w:val="22"/>
          <w:szCs w:val="22"/>
        </w:rPr>
        <w:tab/>
      </w:r>
    </w:p>
    <w:p w:rsidR="00914068" w:rsidRDefault="00914068">
      <w:pPr>
        <w:spacing w:after="160" w:line="256" w:lineRule="auto"/>
        <w:rPr>
          <w:rFonts w:ascii="Calibri" w:eastAsia="Calibri" w:hAnsi="Calibri" w:cs="Calibri"/>
          <w:sz w:val="22"/>
          <w:szCs w:val="22"/>
        </w:rPr>
      </w:pPr>
    </w:p>
    <w:p w:rsidR="00914068" w:rsidRDefault="00914068">
      <w:pPr>
        <w:pBdr>
          <w:top w:val="nil"/>
          <w:left w:val="nil"/>
          <w:bottom w:val="nil"/>
          <w:right w:val="nil"/>
          <w:between w:val="nil"/>
        </w:pBdr>
        <w:jc w:val="both"/>
        <w:rPr>
          <w:color w:val="000000"/>
          <w:sz w:val="20"/>
          <w:szCs w:val="20"/>
          <w:u w:val="single"/>
        </w:rPr>
      </w:pPr>
    </w:p>
    <w:sectPr w:rsidR="00914068">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05BF9" w:rsidRDefault="00C05BF9">
      <w:r>
        <w:separator/>
      </w:r>
    </w:p>
  </w:endnote>
  <w:endnote w:type="continuationSeparator" w:id="0">
    <w:p w:rsidR="00C05BF9" w:rsidRDefault="00C05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79633B8-EF06-4DC6-85ED-EC97B7771ABB}"/>
    <w:embedBold r:id="rId2" w:fontKey="{8FBA669F-B24E-428A-8885-E5E2C08B8F23}"/>
  </w:font>
  <w:font w:name="Helvetica Neue">
    <w:charset w:val="00"/>
    <w:family w:val="auto"/>
    <w:pitch w:val="default"/>
    <w:embedRegular r:id="rId3" w:fontKey="{BFB76C55-20F7-4E6B-AF28-50D4BDEA72BE}"/>
    <w:embedBold r:id="rId4" w:fontKey="{1076DFA7-1168-46CD-AB55-754E9B5C045A}"/>
  </w:font>
  <w:font w:name="Arimo">
    <w:charset w:val="00"/>
    <w:family w:val="auto"/>
    <w:pitch w:val="default"/>
    <w:embedRegular r:id="rId5" w:fontKey="{F27206D4-FA0E-403E-B0C6-8E166141155A}"/>
    <w:embedBold r:id="rId6" w:fontKey="{6CB6CE08-5373-42EC-9528-4EC37E620A83}"/>
  </w:font>
  <w:font w:name="Helvetica">
    <w:panose1 w:val="020B0604020202020204"/>
    <w:charset w:val="00"/>
    <w:family w:val="swiss"/>
    <w:pitch w:val="variable"/>
    <w:sig w:usb0="E0002EFF" w:usb1="C000785B" w:usb2="00000009" w:usb3="00000000" w:csb0="000001FF" w:csb1="00000000"/>
    <w:embedRegular r:id="rId7" w:fontKey="{3C4E18AD-44B2-4694-8315-15376687F720}"/>
    <w:embedBold r:id="rId8" w:fontKey="{5E4104C5-8D2E-4EA8-A963-3175A83414F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Bold r:id="rId9" w:fontKey="{F78F648D-255B-4F1A-9B8C-6E16CB2774AB}"/>
  </w:font>
  <w:font w:name="Georgia">
    <w:panose1 w:val="02040502050405020303"/>
    <w:charset w:val="00"/>
    <w:family w:val="roman"/>
    <w:pitch w:val="variable"/>
    <w:sig w:usb0="00000287" w:usb1="00000000" w:usb2="00000000" w:usb3="00000000" w:csb0="0000009F" w:csb1="00000000"/>
    <w:embedItalic r:id="rId10" w:fontKey="{FC121004-5399-46EA-AF97-4B21ADC7D63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1" w:fontKey="{996706ED-8064-4862-9FFB-5F007A716C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4068" w:rsidRDefault="00C05BF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05BF9" w:rsidRDefault="00C05BF9">
      <w:r>
        <w:separator/>
      </w:r>
    </w:p>
  </w:footnote>
  <w:footnote w:type="continuationSeparator" w:id="0">
    <w:p w:rsidR="00C05BF9" w:rsidRDefault="00C05B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4068" w:rsidRDefault="00914068">
    <w:pPr>
      <w:spacing w:after="280"/>
      <w:jc w:val="center"/>
      <w:rPr>
        <w:rFonts w:ascii="Arial" w:eastAsia="Arial" w:hAnsi="Arial" w:cs="Arial"/>
        <w:color w:val="003399"/>
        <w:u w:val="single"/>
      </w:rPr>
    </w:pPr>
  </w:p>
  <w:p w:rsidR="00914068" w:rsidRDefault="00C05BF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4068"/>
    <w:rsid w:val="00914068"/>
    <w:rsid w:val="00C05BF9"/>
    <w:rsid w:val="00D67DD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745A80"/>
  <w15:docId w15:val="{366DC844-95AC-4DB3-82D9-65D8F7E73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1Char">
    <w:name w:val="Heading 1 Char"/>
    <w:rPr>
      <w:rFonts w:ascii="Calibri Light" w:eastAsia="Times New Roman" w:hAnsi="Calibri Light" w:cs="Times New Roman"/>
      <w:b/>
      <w:bCs/>
      <w:w w:val="100"/>
      <w:kern w:val="32"/>
      <w:position w:val="-1"/>
      <w:sz w:val="32"/>
      <w:szCs w:val="3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9oOyP7GI2aie1l/ILiLT+GCelA==">CgMxLjAyDWguZ25semJkb2hvZ28yDmguMWphMGV5ZWwxa2lxMg5oLnJ6cGpjNTMzd3o4NzIOaC4zYnk3MmpidHBmeTQyDmguMnEwZXZ5czhlajMzOAByITE3SW9INmVlUHRfdVFxWU9YVGZ6Z1dXOXptendrX0diUA==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1384</Words>
  <Characters>7892</Characters>
  <Application>Microsoft Office Word</Application>
  <DocSecurity>0</DocSecurity>
  <Lines>65</Lines>
  <Paragraphs>18</Paragraphs>
  <ScaleCrop>false</ScaleCrop>
  <Company/>
  <LinksUpToDate>false</LinksUpToDate>
  <CharactersWithSpaces>9258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2025-11-18T16:29:00Z</dcterms:created>
  <dcterms:modified xsi:type="dcterms:W3CDTF">2025-11-21T11:00:00Z</dcterms:modified>
</cp:coreProperties>
</file>