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033775" w:rsidRPr="001C270B" w14:paraId="6762C93B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495F19C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33775" w:rsidRPr="001C270B" w14:paraId="67CDADD2" w14:textId="77777777">
        <w:trPr>
          <w:trHeight w:val="290"/>
        </w:trPr>
        <w:tc>
          <w:tcPr>
            <w:tcW w:w="1234" w:type="pct"/>
          </w:tcPr>
          <w:p w14:paraId="53CEDB49" w14:textId="77777777" w:rsidR="005A2B7E" w:rsidRPr="001C270B" w:rsidRDefault="005A2B7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F6D37" w14:textId="77777777" w:rsidR="005A2B7E" w:rsidRPr="001C270B" w:rsidRDefault="003D376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A2B7E" w:rsidRPr="001C270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="005A2B7E" w:rsidRPr="001C270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33775" w:rsidRPr="001C270B" w14:paraId="207F3798" w14:textId="77777777">
        <w:trPr>
          <w:trHeight w:val="290"/>
        </w:trPr>
        <w:tc>
          <w:tcPr>
            <w:tcW w:w="1234" w:type="pct"/>
          </w:tcPr>
          <w:p w14:paraId="58923F22" w14:textId="77777777" w:rsidR="005A2B7E" w:rsidRPr="001C270B" w:rsidRDefault="005A2B7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CE020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Ms_AJCRMH_147370</w:t>
            </w:r>
          </w:p>
        </w:tc>
      </w:tr>
      <w:tr w:rsidR="00033775" w:rsidRPr="001C270B" w14:paraId="686FE693" w14:textId="77777777">
        <w:trPr>
          <w:trHeight w:val="650"/>
        </w:trPr>
        <w:tc>
          <w:tcPr>
            <w:tcW w:w="1234" w:type="pct"/>
          </w:tcPr>
          <w:p w14:paraId="4B848162" w14:textId="77777777" w:rsidR="005A2B7E" w:rsidRPr="001C270B" w:rsidRDefault="005A2B7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46B29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sz w:val="20"/>
                <w:szCs w:val="20"/>
                <w:lang w:val="en-GB"/>
              </w:rPr>
              <w:t>Levodopa-Induced Hypersalivation: A Case Report</w:t>
            </w:r>
          </w:p>
        </w:tc>
      </w:tr>
      <w:tr w:rsidR="00033775" w:rsidRPr="001C270B" w14:paraId="5CB86832" w14:textId="77777777">
        <w:trPr>
          <w:trHeight w:val="332"/>
        </w:trPr>
        <w:tc>
          <w:tcPr>
            <w:tcW w:w="1234" w:type="pct"/>
          </w:tcPr>
          <w:p w14:paraId="27ED77B6" w14:textId="77777777" w:rsidR="005A2B7E" w:rsidRPr="001C270B" w:rsidRDefault="005A2B7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64094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29823EBA" w14:textId="77777777" w:rsidR="005A2B7E" w:rsidRPr="001C270B" w:rsidRDefault="005A2B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AD2304" w14:textId="77777777" w:rsidR="005A2B7E" w:rsidRPr="001C270B" w:rsidRDefault="005A2B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2501D6" w14:textId="77777777" w:rsidR="005A2B7E" w:rsidRPr="001C270B" w:rsidRDefault="005A2B7E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33775" w:rsidRPr="001C270B" w14:paraId="4FC9851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3C416C2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C270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C270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4A9C3CE" w14:textId="77777777" w:rsidR="005A2B7E" w:rsidRPr="001C270B" w:rsidRDefault="005A2B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3775" w:rsidRPr="001C270B" w14:paraId="1CDB15EF" w14:textId="77777777">
        <w:tc>
          <w:tcPr>
            <w:tcW w:w="1265" w:type="pct"/>
            <w:noWrap/>
          </w:tcPr>
          <w:p w14:paraId="0102C5D6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26C5491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C270B">
              <w:rPr>
                <w:rFonts w:ascii="Arial" w:hAnsi="Arial" w:cs="Arial"/>
                <w:lang w:val="en-GB"/>
              </w:rPr>
              <w:t>Reviewer’s comment</w:t>
            </w:r>
          </w:p>
          <w:p w14:paraId="70F536DC" w14:textId="77777777" w:rsidR="005A2B7E" w:rsidRPr="001C270B" w:rsidRDefault="005A2B7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A4688B7" w14:textId="77777777" w:rsidR="005A2B7E" w:rsidRPr="001C270B" w:rsidRDefault="005A2B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EF79272" w14:textId="77777777" w:rsidR="005A2B7E" w:rsidRPr="001C270B" w:rsidRDefault="005A2B7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C27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C270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BA0193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33775" w:rsidRPr="001C270B" w14:paraId="06109A64" w14:textId="77777777">
        <w:trPr>
          <w:trHeight w:val="1264"/>
        </w:trPr>
        <w:tc>
          <w:tcPr>
            <w:tcW w:w="1265" w:type="pct"/>
            <w:noWrap/>
          </w:tcPr>
          <w:p w14:paraId="1BE527C6" w14:textId="77777777" w:rsidR="005A2B7E" w:rsidRPr="001C270B" w:rsidRDefault="005A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133A861" w14:textId="77777777" w:rsidR="005A2B7E" w:rsidRPr="001C270B" w:rsidRDefault="005A2B7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5CF55B8" w14:textId="77777777" w:rsidR="005A2B7E" w:rsidRPr="001C270B" w:rsidRDefault="005A2B7E">
            <w:pPr>
              <w:pStyle w:val="ListParagraph"/>
              <w:ind w:left="3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case report offers a critical insight for the scientific community by highlighting a rare and paradoxical side effect of levodopa/carbidopa, the primary treatment for Parkinson's disease (PD).</w:t>
            </w:r>
          </w:p>
          <w:p w14:paraId="2E1874CC" w14:textId="77777777" w:rsidR="005A2B7E" w:rsidRPr="001C270B" w:rsidRDefault="005A2B7E">
            <w:pPr>
              <w:pStyle w:val="ListParagraph"/>
              <w:ind w:left="3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While sialorrhea (excessive drooling) is a common non-motor symptom of PD, its acute induction by a dopaminergic agent is a vital distinction. Clinicians could easily misattribute this effect to the progression of the underlying disease, leading to incorrect management.</w:t>
            </w:r>
          </w:p>
          <w:p w14:paraId="7B4580CF" w14:textId="77777777" w:rsidR="005A2B7E" w:rsidRPr="001C270B" w:rsidRDefault="005A2B7E">
            <w:pPr>
              <w:pStyle w:val="ListParagraph"/>
              <w:ind w:left="33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report enhances our understanding of the intricate, sometimes dual role of dopaminergic pathways in autonomic regulation, specifically concerning salivary secretion.</w:t>
            </w:r>
          </w:p>
          <w:p w14:paraId="346B8913" w14:textId="77777777" w:rsidR="005A2B7E" w:rsidRPr="001C270B" w:rsidRDefault="005A2B7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Recognizing this drug-induced (iatrogenic) effect is essential for clinicians. It ensures accurate diagnosis, helps prevent unnecessary patient discomfort, and informs appropriate, personalized adjustments to treatment in parkinsonian disorders.</w:t>
            </w:r>
          </w:p>
        </w:tc>
        <w:tc>
          <w:tcPr>
            <w:tcW w:w="1523" w:type="pct"/>
          </w:tcPr>
          <w:p w14:paraId="1C766BC1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33775" w:rsidRPr="001C270B" w14:paraId="1015F830" w14:textId="77777777">
        <w:trPr>
          <w:trHeight w:val="1262"/>
        </w:trPr>
        <w:tc>
          <w:tcPr>
            <w:tcW w:w="1265" w:type="pct"/>
            <w:noWrap/>
          </w:tcPr>
          <w:p w14:paraId="45FFA88C" w14:textId="77777777" w:rsidR="005A2B7E" w:rsidRPr="001C270B" w:rsidRDefault="005A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BF1E1DD" w14:textId="77777777" w:rsidR="005A2B7E" w:rsidRPr="001C270B" w:rsidRDefault="005A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972E7C8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83286F3" w14:textId="77777777" w:rsidR="005A2B7E" w:rsidRPr="001C270B" w:rsidRDefault="005A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  <w:r w:rsidRPr="001C270B">
              <w:rPr>
                <w:rFonts w:ascii="Arial" w:hAnsi="Arial" w:cs="Arial"/>
                <w:sz w:val="20"/>
                <w:szCs w:val="20"/>
              </w:rPr>
              <w:t xml:space="preserve">, the title </w:t>
            </w:r>
            <w:r w:rsidRPr="001C270B">
              <w:rPr>
                <w:rFonts w:ascii="Arial" w:hAnsi="Arial" w:cs="Arial"/>
                <w:b/>
                <w:bCs/>
                <w:sz w:val="20"/>
                <w:szCs w:val="20"/>
              </w:rPr>
              <w:t>"Levodopa-Induced Hypersalivation: A Case Report"</w:t>
            </w:r>
            <w:r w:rsidRPr="001C270B">
              <w:rPr>
                <w:rFonts w:ascii="Arial" w:hAnsi="Arial" w:cs="Arial"/>
                <w:sz w:val="20"/>
                <w:szCs w:val="20"/>
              </w:rPr>
              <w:t xml:space="preserve"> is </w:t>
            </w:r>
            <w:r w:rsidRPr="001C270B">
              <w:rPr>
                <w:rFonts w:ascii="Arial" w:hAnsi="Arial" w:cs="Arial"/>
                <w:b/>
                <w:bCs/>
                <w:sz w:val="20"/>
                <w:szCs w:val="20"/>
              </w:rPr>
              <w:t>suitable</w:t>
            </w:r>
            <w:r w:rsidRPr="001C270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656FE0F5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33775" w:rsidRPr="001C270B" w14:paraId="6FD09C79" w14:textId="77777777">
        <w:trPr>
          <w:trHeight w:val="1262"/>
        </w:trPr>
        <w:tc>
          <w:tcPr>
            <w:tcW w:w="1265" w:type="pct"/>
            <w:noWrap/>
          </w:tcPr>
          <w:p w14:paraId="35DF1378" w14:textId="77777777" w:rsidR="005A2B7E" w:rsidRPr="001C270B" w:rsidRDefault="005A2B7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C270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9FAA7C1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0263B1" w14:textId="77777777" w:rsidR="005A2B7E" w:rsidRPr="001C270B" w:rsidRDefault="005A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mentions the patient had a Naranjo score of 8, but the Case Presentation section states the score was 6. This is a critical inconsistency that must be corrected in one of the sections. I suggest standardizing the score to 8 in the Case Presentation as it is a "probable" classification and better supports the reported certainty of the adverse reaction (a score of 6 is also "probable," but 8 indicates a higher likelihood).</w:t>
            </w:r>
          </w:p>
          <w:p w14:paraId="66B74933" w14:textId="77777777" w:rsidR="005A2B7E" w:rsidRPr="001C270B" w:rsidRDefault="005A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final line of the abstract could be slightly strengthened to explicitly mention the reversibility upon discontinuation, which is a key clinical takeaway. Current final sentence: "Recognizing this potential, reversible side effect is crucial to prevent unnecessary patient discomfort and to inform appropriate treatment adjustments in parkinsonian disorders." Suggested change: "</w:t>
            </w:r>
            <w:bookmarkStart w:id="2" w:name="_Hlk213262384"/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Recognizing this potential and reversible side effect is crucial to prevent unnecessary patient discomfort and to inform appropriate treatment adjustments in parkinsonian disorders</w:t>
            </w:r>
            <w:bookmarkEnd w:id="2"/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."</w:t>
            </w:r>
          </w:p>
        </w:tc>
        <w:tc>
          <w:tcPr>
            <w:tcW w:w="1523" w:type="pct"/>
          </w:tcPr>
          <w:p w14:paraId="081054E1" w14:textId="7594F654" w:rsidR="00FB1CFC" w:rsidRPr="001C270B" w:rsidRDefault="00FB1CFC" w:rsidP="00FB1CFC">
            <w:pPr>
              <w:pStyle w:val="Heading2"/>
              <w:numPr>
                <w:ilvl w:val="0"/>
                <w:numId w:val="13"/>
              </w:numPr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C270B">
              <w:rPr>
                <w:rFonts w:ascii="Arial" w:hAnsi="Arial" w:cs="Arial"/>
                <w:highlight w:val="yellow"/>
              </w:rPr>
              <w:t>Naranjo Adverse Drug Reaction Probability Scale score of 8</w:t>
            </w:r>
          </w:p>
          <w:p w14:paraId="208029CF" w14:textId="2839A897" w:rsidR="005A2B7E" w:rsidRPr="001C270B" w:rsidRDefault="00FB1CFC" w:rsidP="00FB1CFC">
            <w:pPr>
              <w:pStyle w:val="Heading2"/>
              <w:numPr>
                <w:ilvl w:val="0"/>
                <w:numId w:val="13"/>
              </w:numPr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C270B">
              <w:rPr>
                <w:rFonts w:ascii="Arial" w:hAnsi="Arial" w:cs="Arial"/>
                <w:highlight w:val="yellow"/>
              </w:rPr>
              <w:t xml:space="preserve">This case highlights a critical clinical paradox: sialorrhea, typically a feature of advanced Parkinson's disease due to impaired swallowing, can also be an iatrogenic and reversible effect of its primary treatment. </w:t>
            </w:r>
            <w:r w:rsidRPr="001C270B">
              <w:rPr>
                <w:rFonts w:ascii="Arial" w:hAnsi="Arial" w:cs="Arial"/>
                <w:highlight w:val="yellow"/>
                <w:lang w:val="en-GB"/>
              </w:rPr>
              <w:t>Recognizing this potential and reversible side effect is crucial to prevent unnecessary patient discomfort and to inform appropriate treatment adjustments in parkinsonian disorders</w:t>
            </w:r>
            <w:r w:rsidRPr="001C270B">
              <w:rPr>
                <w:rFonts w:ascii="Arial" w:hAnsi="Arial" w:cs="Arial"/>
                <w:highlight w:val="yellow"/>
              </w:rPr>
              <w:t>.</w:t>
            </w:r>
          </w:p>
        </w:tc>
      </w:tr>
      <w:tr w:rsidR="00033775" w:rsidRPr="001C270B" w14:paraId="0FB501D1" w14:textId="77777777">
        <w:trPr>
          <w:trHeight w:val="704"/>
        </w:trPr>
        <w:tc>
          <w:tcPr>
            <w:tcW w:w="1265" w:type="pct"/>
            <w:noWrap/>
          </w:tcPr>
          <w:p w14:paraId="310FC997" w14:textId="77777777" w:rsidR="005A2B7E" w:rsidRPr="001C270B" w:rsidRDefault="005A2B7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C270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5B5749B" w14:textId="77777777" w:rsidR="005A2B7E" w:rsidRPr="001C270B" w:rsidRDefault="005A2B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47347A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33775" w:rsidRPr="001C270B" w14:paraId="79C809C4" w14:textId="77777777">
        <w:trPr>
          <w:trHeight w:val="703"/>
        </w:trPr>
        <w:tc>
          <w:tcPr>
            <w:tcW w:w="1265" w:type="pct"/>
            <w:noWrap/>
          </w:tcPr>
          <w:p w14:paraId="2E136C12" w14:textId="77777777" w:rsidR="005A2B7E" w:rsidRPr="001C270B" w:rsidRDefault="005A2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A25AA68" w14:textId="77777777" w:rsidR="005A2B7E" w:rsidRPr="001C270B" w:rsidRDefault="005A2B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0736A4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33775" w:rsidRPr="001C270B" w14:paraId="38E15B1F" w14:textId="77777777">
        <w:trPr>
          <w:trHeight w:val="386"/>
        </w:trPr>
        <w:tc>
          <w:tcPr>
            <w:tcW w:w="1265" w:type="pct"/>
            <w:noWrap/>
          </w:tcPr>
          <w:p w14:paraId="0A2B9C64" w14:textId="77777777" w:rsidR="005A2B7E" w:rsidRPr="001C270B" w:rsidRDefault="005A2B7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C270B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461B694A" w14:textId="77777777" w:rsidR="005A2B7E" w:rsidRPr="001C270B" w:rsidRDefault="005A2B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4A3283B" w14:textId="77777777" w:rsidR="005A2B7E" w:rsidRPr="001C270B" w:rsidRDefault="005A2B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24B2BF0" w14:textId="77777777" w:rsidR="005A2B7E" w:rsidRPr="001C270B" w:rsidRDefault="005A2B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3775" w:rsidRPr="001C270B" w14:paraId="67235A2D" w14:textId="77777777">
        <w:trPr>
          <w:trHeight w:val="1178"/>
        </w:trPr>
        <w:tc>
          <w:tcPr>
            <w:tcW w:w="1265" w:type="pct"/>
            <w:noWrap/>
          </w:tcPr>
          <w:p w14:paraId="3871924C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C270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C270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C270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80645DF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3B37B2B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1C270B">
              <w:rPr>
                <w:rFonts w:ascii="Arial" w:hAnsi="Arial" w:cs="Arial"/>
                <w:b/>
                <w:sz w:val="20"/>
                <w:szCs w:val="20"/>
              </w:rPr>
              <w:t xml:space="preserve">The case report mentions an 8-year history of HIV. While a "parkinson-plus syndrome" was established, the manuscript </w:t>
            </w:r>
            <w:r w:rsidRPr="001C270B">
              <w:rPr>
                <w:rFonts w:ascii="Arial" w:hAnsi="Arial" w:cs="Arial"/>
                <w:b/>
                <w:bCs/>
                <w:sz w:val="20"/>
                <w:szCs w:val="20"/>
              </w:rPr>
              <w:t>does not clearly explore or exclude HIV-related parkinsonism</w:t>
            </w:r>
            <w:r w:rsidRPr="001C270B">
              <w:rPr>
                <w:rFonts w:ascii="Arial" w:hAnsi="Arial" w:cs="Arial"/>
                <w:b/>
                <w:sz w:val="20"/>
                <w:szCs w:val="20"/>
              </w:rPr>
              <w:t xml:space="preserve"> (which is a recognized cause, e.g., HIV-associated neurocognitive disorder or drug-induced by antiretrovirals) as a contributing factor to the initial symptoms or the paradoxical reaction. A brief sentence or two in the Discussion acknowledging this differential diagnosis and why the authors </w:t>
            </w:r>
            <w:r w:rsidRPr="001C270B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believe</w:t>
            </w:r>
            <w:r w:rsidRPr="001C270B">
              <w:rPr>
                <w:rFonts w:ascii="Arial" w:hAnsi="Arial" w:cs="Arial"/>
                <w:b/>
                <w:sz w:val="20"/>
                <w:szCs w:val="20"/>
              </w:rPr>
              <w:t xml:space="preserve"> the levodopa-induced effect is distinct would enhance the manuscript's depth.</w:t>
            </w:r>
          </w:p>
          <w:p w14:paraId="3788DD8A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1C270B">
              <w:rPr>
                <w:rFonts w:ascii="Arial" w:hAnsi="Arial" w:cs="Arial"/>
                <w:b/>
                <w:bCs/>
                <w:sz w:val="20"/>
                <w:szCs w:val="20"/>
              </w:rPr>
              <w:t>The Naranjo score inconsistency must be fixed.</w:t>
            </w:r>
            <w:r w:rsidRPr="001C270B">
              <w:rPr>
                <w:rFonts w:ascii="Arial" w:hAnsi="Arial" w:cs="Arial"/>
                <w:b/>
                <w:sz w:val="20"/>
                <w:szCs w:val="20"/>
              </w:rPr>
              <w:t xml:space="preserve"> The abstract says 8, and the Case Presentation says 6. Please verify the actual score and ensure consistency throughout the text.</w:t>
            </w:r>
          </w:p>
          <w:p w14:paraId="18A7C476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1C270B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1C270B">
              <w:rPr>
                <w:rFonts w:ascii="Arial" w:hAnsi="Arial" w:cs="Arial"/>
                <w:b/>
                <w:bCs/>
                <w:sz w:val="20"/>
                <w:szCs w:val="20"/>
              </w:rPr>
              <w:t>Conclusion</w:t>
            </w:r>
            <w:r w:rsidRPr="001C270B">
              <w:rPr>
                <w:rFonts w:ascii="Arial" w:hAnsi="Arial" w:cs="Arial"/>
                <w:b/>
                <w:sz w:val="20"/>
                <w:szCs w:val="20"/>
              </w:rPr>
              <w:t xml:space="preserve"> is a bit verbose. The main takeaway is already well-covered. It could be slightly shortened to be more impactful.</w:t>
            </w:r>
          </w:p>
          <w:p w14:paraId="7728A7B9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1C270B">
              <w:rPr>
                <w:rFonts w:ascii="Arial" w:hAnsi="Arial" w:cs="Arial"/>
                <w:b/>
                <w:sz w:val="20"/>
                <w:szCs w:val="20"/>
              </w:rPr>
              <w:t xml:space="preserve">In the </w:t>
            </w:r>
            <w:r w:rsidRPr="001C270B">
              <w:rPr>
                <w:rFonts w:ascii="Arial" w:hAnsi="Arial" w:cs="Arial"/>
                <w:b/>
                <w:bCs/>
                <w:sz w:val="20"/>
                <w:szCs w:val="20"/>
              </w:rPr>
              <w:t>Discussion</w:t>
            </w:r>
            <w:r w:rsidRPr="001C270B">
              <w:rPr>
                <w:rFonts w:ascii="Arial" w:hAnsi="Arial" w:cs="Arial"/>
                <w:b/>
                <w:sz w:val="20"/>
                <w:szCs w:val="20"/>
              </w:rPr>
              <w:t xml:space="preserve">, there is a citation break: </w:t>
            </w:r>
            <w:r w:rsidRPr="001C270B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The mechanism behind levodopa-induced sialorrhea is believed to involve dual pathways. Preclinical evidence suggests that systemically administered L-dopa and its metabolite, dopamine, can stimulate salivary flow [6].</w:t>
            </w:r>
            <w:r w:rsidRPr="001C270B">
              <w:rPr>
                <w:rFonts w:ascii="Arial" w:hAnsi="Arial" w:cs="Arial"/>
                <w:b/>
                <w:sz w:val="20"/>
                <w:szCs w:val="20"/>
              </w:rPr>
              <w:t xml:space="preserve"> The mechanism explanation following this is sound, but it might be worth checking if there are any </w:t>
            </w:r>
            <w:r w:rsidRPr="001C270B">
              <w:rPr>
                <w:rFonts w:ascii="Arial" w:hAnsi="Arial" w:cs="Arial"/>
                <w:b/>
                <w:bCs/>
                <w:sz w:val="20"/>
                <w:szCs w:val="20"/>
              </w:rPr>
              <w:t>human clinical data</w:t>
            </w:r>
            <w:r w:rsidRPr="001C270B">
              <w:rPr>
                <w:rFonts w:ascii="Arial" w:hAnsi="Arial" w:cs="Arial"/>
                <w:b/>
                <w:sz w:val="20"/>
                <w:szCs w:val="20"/>
              </w:rPr>
              <w:t xml:space="preserve"> beyond the preclinical reference [6] that also support this dual-pathway mechanism.</w:t>
            </w:r>
          </w:p>
          <w:p w14:paraId="6DB761A2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C87C4F0" w14:textId="77777777" w:rsidR="00FB1CFC" w:rsidRPr="001C270B" w:rsidRDefault="00FB1CFC" w:rsidP="00FB1CFC">
            <w:pPr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270B">
              <w:rPr>
                <w:rFonts w:ascii="Arial" w:hAnsi="Arial" w:cs="Arial"/>
                <w:sz w:val="20"/>
                <w:szCs w:val="20"/>
                <w:highlight w:val="yellow"/>
              </w:rPr>
              <w:t>This case emphasizes the need for clinical vigilance. Sialorrhea in a parkinsonian patient is often automatically attributed to the disease itself, which can lead to the oversight of a reversible, drug-induced cause. The acute onset following levodopa initiation, as demonstrated here, is a vital diagnostic clue. Distinguishing between disease-related and drug-induced sialorrhea is crucial, as the management differs fundamentally—one may require aggressive symptomatic treatment, while the other may necessitate a simple medication change. Therefore, a thorough assessment of the temporal relationship between symptom onset and medication initiation is paramount for accurate diagnosis and personalized management.</w:t>
            </w:r>
          </w:p>
          <w:p w14:paraId="323E20E2" w14:textId="77777777" w:rsidR="00FB1CFC" w:rsidRPr="001C270B" w:rsidRDefault="00FB1CFC" w:rsidP="00805E8B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2986C1" w14:textId="77777777" w:rsidR="005A2B7E" w:rsidRPr="001C270B" w:rsidRDefault="005A2B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24755CD" w14:textId="77777777" w:rsidR="005A2B7E" w:rsidRPr="001C270B" w:rsidRDefault="005A2B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B37111" w14:textId="77777777" w:rsidR="005A2B7E" w:rsidRPr="001C270B" w:rsidRDefault="005A2B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033775" w:rsidRPr="001C270B" w14:paraId="5CC3961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599E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C270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C270B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84BBDF8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33775" w:rsidRPr="001C270B" w14:paraId="6921BBAC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165F0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3" w:name="_GoBack"/>
            <w:bookmarkEnd w:id="3"/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9EDF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C270B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42BC66C" w14:textId="77777777" w:rsidR="005A2B7E" w:rsidRPr="001C270B" w:rsidRDefault="005A2B7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C27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C270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680F5A" w14:textId="77777777" w:rsidR="005A2B7E" w:rsidRPr="001C270B" w:rsidRDefault="005A2B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33775" w:rsidRPr="001C270B" w14:paraId="696DD31C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9965E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270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C7A68AB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E3DC3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C270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No</w:t>
            </w:r>
          </w:p>
          <w:p w14:paraId="10645349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3DBCB4B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5212E9CA" w14:textId="77777777" w:rsidR="005A2B7E" w:rsidRPr="001C270B" w:rsidRDefault="005A2B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9FD9CD" w14:textId="77777777" w:rsidR="005A2B7E" w:rsidRPr="001C270B" w:rsidRDefault="005A2B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736B23" w14:textId="77777777" w:rsidR="005A2B7E" w:rsidRPr="001C270B" w:rsidRDefault="005A2B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E1D323" w14:textId="77777777" w:rsidR="005A2B7E" w:rsidRPr="001C270B" w:rsidRDefault="005A2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548BA81" w14:textId="77777777" w:rsidR="005A2B7E" w:rsidRPr="001C270B" w:rsidRDefault="005A2B7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A2B7E" w:rsidRPr="001C270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DFFE6" w14:textId="77777777" w:rsidR="003D376B" w:rsidRDefault="003D376B">
      <w:r>
        <w:separator/>
      </w:r>
    </w:p>
  </w:endnote>
  <w:endnote w:type="continuationSeparator" w:id="0">
    <w:p w14:paraId="52859F7E" w14:textId="77777777" w:rsidR="003D376B" w:rsidRDefault="003D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54913" w14:textId="77777777" w:rsidR="005A2B7E" w:rsidRDefault="005A2B7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8A2EB" w14:textId="77777777" w:rsidR="003D376B" w:rsidRDefault="003D376B">
      <w:r>
        <w:separator/>
      </w:r>
    </w:p>
  </w:footnote>
  <w:footnote w:type="continuationSeparator" w:id="0">
    <w:p w14:paraId="1E51A067" w14:textId="77777777" w:rsidR="003D376B" w:rsidRDefault="003D3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A348C" w14:textId="77777777" w:rsidR="005A2B7E" w:rsidRDefault="005A2B7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FEE98D" w14:textId="77777777" w:rsidR="005A2B7E" w:rsidRDefault="005A2B7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7D2301"/>
    <w:multiLevelType w:val="hybridMultilevel"/>
    <w:tmpl w:val="2D9E50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657F3E"/>
    <w:multiLevelType w:val="hybridMultilevel"/>
    <w:tmpl w:val="9A5A1A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815"/>
    <w:rsid w:val="00033775"/>
    <w:rsid w:val="001C270B"/>
    <w:rsid w:val="003D376B"/>
    <w:rsid w:val="005A2B7E"/>
    <w:rsid w:val="00686815"/>
    <w:rsid w:val="00805E8B"/>
    <w:rsid w:val="009B06C3"/>
    <w:rsid w:val="00FB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400B6"/>
  <w15:chartTrackingRefBased/>
  <w15:docId w15:val="{90279F77-6AD3-4888-8426-1A156E64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4BACD-B682-4C89-B11E-8B9525177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5893</CharactersWithSpaces>
  <SharedDoc>false</SharedDoc>
  <HLinks>
    <vt:vector size="6" baseType="variant"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4</cp:revision>
  <dcterms:created xsi:type="dcterms:W3CDTF">2025-11-05T13:45:00Z</dcterms:created>
  <dcterms:modified xsi:type="dcterms:W3CDTF">2025-11-06T06:56:00Z</dcterms:modified>
</cp:coreProperties>
</file>