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430CD4" w:rsidRDefault="009344FF" w:rsidP="009344FF">
      <w:pPr>
        <w:rPr>
          <w:rFonts w:ascii="Arial" w:hAnsi="Arial" w:cs="Arial"/>
          <w:b/>
          <w:sz w:val="20"/>
          <w:szCs w:val="20"/>
          <w:u w:val="single"/>
        </w:rPr>
      </w:pPr>
      <w:r w:rsidRPr="00430CD4">
        <w:rPr>
          <w:rFonts w:ascii="Arial" w:hAnsi="Arial" w:cs="Arial"/>
          <w:b/>
          <w:sz w:val="20"/>
          <w:szCs w:val="20"/>
          <w:u w:val="single"/>
        </w:rPr>
        <w:t>Editor’s Comment:</w:t>
      </w:r>
    </w:p>
    <w:p w:rsidR="007677BB" w:rsidRPr="007677BB" w:rsidRDefault="007677BB" w:rsidP="007677BB">
      <w:pPr>
        <w:shd w:val="clear" w:color="auto" w:fill="FFFFFF"/>
        <w:spacing w:before="100" w:beforeAutospacing="1" w:after="100" w:afterAutospacing="1" w:line="240" w:lineRule="auto"/>
        <w:outlineLvl w:val="1"/>
        <w:rPr>
          <w:rFonts w:ascii="Arial" w:eastAsia="Times New Roman" w:hAnsi="Arial" w:cs="Arial"/>
          <w:b/>
          <w:bCs/>
          <w:color w:val="222222"/>
          <w:sz w:val="20"/>
          <w:szCs w:val="20"/>
          <w:lang w:val="en-US"/>
        </w:rPr>
      </w:pPr>
      <w:r w:rsidRPr="007677BB">
        <w:rPr>
          <w:rFonts w:ascii="Arial" w:eastAsia="Times New Roman" w:hAnsi="Arial" w:cs="Arial"/>
          <w:color w:val="222222"/>
          <w:sz w:val="20"/>
          <w:szCs w:val="20"/>
          <w:lang w:val="en-US"/>
        </w:rPr>
        <w:t>I think this paper needs more work. The manuscript is methodologically promising and policy-relevant, but requires substantial revision in structure, analytical clarity, and empirical transparency. Once these issues are addressed, the paper could make a meaningful contribution to applied stochastic modeling in transport safety.</w:t>
      </w:r>
    </w:p>
    <w:p w:rsidR="007677BB" w:rsidRPr="007677BB" w:rsidRDefault="007677BB" w:rsidP="009B72A4">
      <w:pPr>
        <w:shd w:val="clear" w:color="auto" w:fill="FFFFFF"/>
        <w:spacing w:line="253" w:lineRule="atLeast"/>
        <w:rPr>
          <w:rFonts w:ascii="Arial" w:eastAsia="Times New Roman" w:hAnsi="Arial" w:cs="Arial"/>
          <w:color w:val="222222"/>
          <w:sz w:val="20"/>
          <w:szCs w:val="20"/>
          <w:lang w:val="en-US"/>
        </w:rPr>
      </w:pPr>
      <w:r w:rsidRPr="007677BB">
        <w:rPr>
          <w:rFonts w:ascii="Arial" w:eastAsia="Times New Roman" w:hAnsi="Arial" w:cs="Arial"/>
          <w:color w:val="222222"/>
          <w:sz w:val="20"/>
          <w:szCs w:val="20"/>
          <w:lang w:val="en-GB"/>
        </w:rPr>
        <w:t> </w:t>
      </w:r>
      <w:r w:rsidRPr="007677BB">
        <w:rPr>
          <w:rFonts w:ascii="Arial" w:eastAsia="Times New Roman" w:hAnsi="Arial" w:cs="Arial"/>
          <w:color w:val="222222"/>
          <w:sz w:val="20"/>
          <w:szCs w:val="20"/>
          <w:lang w:val="en-US"/>
        </w:rPr>
        <w:t>For improving this paper, see my comments:</w:t>
      </w:r>
    </w:p>
    <w:p w:rsidR="007677BB" w:rsidRPr="007677BB" w:rsidRDefault="007677BB" w:rsidP="007677BB">
      <w:pPr>
        <w:shd w:val="clear" w:color="auto" w:fill="FFFFFF"/>
        <w:spacing w:line="224" w:lineRule="atLeast"/>
        <w:rPr>
          <w:rFonts w:ascii="Arial" w:eastAsia="Times New Roman" w:hAnsi="Arial" w:cs="Arial"/>
          <w:color w:val="222222"/>
          <w:sz w:val="20"/>
          <w:szCs w:val="20"/>
          <w:lang w:val="en-US"/>
        </w:rPr>
      </w:pPr>
      <w:r w:rsidRPr="007677BB">
        <w:rPr>
          <w:rFonts w:ascii="Arial" w:eastAsia="Times New Roman" w:hAnsi="Arial" w:cs="Arial"/>
          <w:color w:val="222222"/>
          <w:sz w:val="20"/>
          <w:szCs w:val="20"/>
          <w:lang w:val="en-US"/>
        </w:rPr>
        <w:t>1. Conceptual Framework and Motivation</w:t>
      </w:r>
    </w:p>
    <w:p w:rsidR="007677BB" w:rsidRPr="007677BB" w:rsidRDefault="007677BB" w:rsidP="007677BB">
      <w:pPr>
        <w:shd w:val="clear" w:color="auto" w:fill="FFFFFF"/>
        <w:spacing w:line="224" w:lineRule="atLeast"/>
        <w:rPr>
          <w:rFonts w:ascii="Arial" w:eastAsia="Times New Roman" w:hAnsi="Arial" w:cs="Arial"/>
          <w:color w:val="222222"/>
          <w:sz w:val="20"/>
          <w:szCs w:val="20"/>
          <w:lang w:val="en-US"/>
        </w:rPr>
      </w:pPr>
      <w:r w:rsidRPr="007677BB">
        <w:rPr>
          <w:rFonts w:ascii="Arial" w:eastAsia="Times New Roman" w:hAnsi="Arial" w:cs="Arial"/>
          <w:color w:val="222222"/>
          <w:sz w:val="20"/>
          <w:szCs w:val="20"/>
          <w:lang w:val="en-US"/>
        </w:rPr>
        <w:t>The paper should provide a clearer theoretical rationale for using a Semi-Markov model in this context. Currently, the justification focuses on variable sojourn times, but does not articulate why this approach offers clear advantages over alternative dynamic frameworks (e.g., time-series, ARIMA, or Bayesian dynamic models).</w:t>
      </w:r>
      <w:r w:rsidRPr="007677BB">
        <w:rPr>
          <w:rFonts w:ascii="Arial" w:eastAsia="Times New Roman" w:hAnsi="Arial" w:cs="Arial"/>
          <w:color w:val="222222"/>
          <w:sz w:val="20"/>
          <w:szCs w:val="20"/>
          <w:lang w:val="en-US"/>
        </w:rPr>
        <w:br/>
        <w:t>→ Recommendation: Add a conceptual figure contrasting Markov, semi-Markov, and simpler time-dependent models in terms of assumptions and policy interpretation.</w:t>
      </w:r>
    </w:p>
    <w:p w:rsidR="007677BB" w:rsidRPr="007677BB" w:rsidRDefault="007677BB" w:rsidP="007677BB">
      <w:pPr>
        <w:shd w:val="clear" w:color="auto" w:fill="FFFFFF"/>
        <w:spacing w:line="224" w:lineRule="atLeast"/>
        <w:rPr>
          <w:rFonts w:ascii="Arial" w:eastAsia="Times New Roman" w:hAnsi="Arial" w:cs="Arial"/>
          <w:color w:val="222222"/>
          <w:sz w:val="20"/>
          <w:szCs w:val="20"/>
          <w:lang w:val="en-US"/>
        </w:rPr>
      </w:pPr>
      <w:r w:rsidRPr="007677BB">
        <w:rPr>
          <w:rFonts w:ascii="Arial" w:eastAsia="Times New Roman" w:hAnsi="Arial" w:cs="Arial"/>
          <w:color w:val="222222"/>
          <w:sz w:val="20"/>
          <w:szCs w:val="20"/>
          <w:lang w:val="en-US"/>
        </w:rPr>
        <w:t>The transition structure (S0→S1→S2→S3→S4) is fully deterministic, implying irreversible progression through policy states. In practice, enforcement quality and compliance may fluctuate, leading to potential reversals or overlapping effects.</w:t>
      </w:r>
      <w:r w:rsidRPr="007677BB">
        <w:rPr>
          <w:rFonts w:ascii="Arial" w:eastAsia="Times New Roman" w:hAnsi="Arial" w:cs="Arial"/>
          <w:color w:val="222222"/>
          <w:sz w:val="20"/>
          <w:szCs w:val="20"/>
          <w:lang w:val="en-US"/>
        </w:rPr>
        <w:br/>
        <w:t>→ Recommendation: Discuss this limitation explicitly and note how future extensions might accommodate non-linear or reversible transitions.</w:t>
      </w:r>
    </w:p>
    <w:p w:rsidR="007677BB" w:rsidRPr="007677BB" w:rsidRDefault="007677BB" w:rsidP="007677BB">
      <w:pPr>
        <w:shd w:val="clear" w:color="auto" w:fill="FFFFFF"/>
        <w:spacing w:line="224" w:lineRule="atLeast"/>
        <w:rPr>
          <w:rFonts w:ascii="Arial" w:eastAsia="Times New Roman" w:hAnsi="Arial" w:cs="Arial"/>
          <w:color w:val="222222"/>
          <w:sz w:val="20"/>
          <w:szCs w:val="20"/>
          <w:lang w:val="en-US"/>
        </w:rPr>
      </w:pPr>
      <w:r w:rsidRPr="007677BB">
        <w:rPr>
          <w:rFonts w:ascii="Arial" w:eastAsia="Times New Roman" w:hAnsi="Arial" w:cs="Arial"/>
          <w:color w:val="222222"/>
          <w:sz w:val="20"/>
          <w:szCs w:val="20"/>
          <w:lang w:val="en-US"/>
        </w:rPr>
        <w:t> 2. Methodological Clarity</w:t>
      </w:r>
    </w:p>
    <w:p w:rsidR="007677BB" w:rsidRPr="007677BB" w:rsidRDefault="007677BB" w:rsidP="007677BB">
      <w:pPr>
        <w:shd w:val="clear" w:color="auto" w:fill="FFFFFF"/>
        <w:spacing w:line="224" w:lineRule="atLeast"/>
        <w:rPr>
          <w:rFonts w:ascii="Arial" w:eastAsia="Times New Roman" w:hAnsi="Arial" w:cs="Arial"/>
          <w:color w:val="222222"/>
          <w:sz w:val="20"/>
          <w:szCs w:val="20"/>
          <w:lang w:val="en-US"/>
        </w:rPr>
      </w:pPr>
      <w:r w:rsidRPr="007677BB">
        <w:rPr>
          <w:rFonts w:ascii="Arial" w:eastAsia="Times New Roman" w:hAnsi="Arial" w:cs="Arial"/>
          <w:color w:val="222222"/>
          <w:sz w:val="20"/>
          <w:szCs w:val="20"/>
          <w:lang w:val="en-US"/>
        </w:rPr>
        <w:t>The exponential sojourn assumption requires stronger justification. While it has the lowest AIC, the ΔAIC values between distributions (Exponential = 23.63; Weibull = 25.62; Lognormal = 25.31) are relatively small, suggesting that fit differences are not decisive.</w:t>
      </w:r>
      <w:r w:rsidRPr="007677BB">
        <w:rPr>
          <w:rFonts w:ascii="Arial" w:eastAsia="Times New Roman" w:hAnsi="Arial" w:cs="Arial"/>
          <w:color w:val="222222"/>
          <w:sz w:val="20"/>
          <w:szCs w:val="20"/>
          <w:lang w:val="en-US"/>
        </w:rPr>
        <w:br/>
        <w:t>→ Recommendation: Report confidence intervals for the rate parameter (λ̂) and briefly discuss implications of using alternative distributions.</w:t>
      </w:r>
    </w:p>
    <w:p w:rsidR="007677BB" w:rsidRPr="007677BB" w:rsidRDefault="007677BB" w:rsidP="007677BB">
      <w:pPr>
        <w:shd w:val="clear" w:color="auto" w:fill="FFFFFF"/>
        <w:spacing w:line="224" w:lineRule="atLeast"/>
        <w:rPr>
          <w:rFonts w:ascii="Arial" w:eastAsia="Times New Roman" w:hAnsi="Arial" w:cs="Arial"/>
          <w:color w:val="222222"/>
          <w:sz w:val="20"/>
          <w:szCs w:val="20"/>
          <w:lang w:val="en-US"/>
        </w:rPr>
      </w:pPr>
      <w:r w:rsidRPr="007677BB">
        <w:rPr>
          <w:rFonts w:ascii="Arial" w:eastAsia="Times New Roman" w:hAnsi="Arial" w:cs="Arial"/>
          <w:color w:val="222222"/>
          <w:sz w:val="20"/>
          <w:szCs w:val="20"/>
          <w:lang w:val="en-US"/>
        </w:rPr>
        <w:t>Clarify the data source and estimation process. It is stated that data come from the “FRSC Annual Crash Reports (2024),” but the number of observations per state, sampling frequency (annual or monthly), and method for determining transition points are unclear.</w:t>
      </w:r>
      <w:r w:rsidRPr="007677BB">
        <w:rPr>
          <w:rFonts w:ascii="Arial" w:eastAsia="Times New Roman" w:hAnsi="Arial" w:cs="Arial"/>
          <w:color w:val="222222"/>
          <w:sz w:val="20"/>
          <w:szCs w:val="20"/>
          <w:lang w:val="en-US"/>
        </w:rPr>
        <w:br/>
        <w:t>→ Recommendation: Include a data summary table and specify how the sojourn durations were empirically determined.</w:t>
      </w:r>
    </w:p>
    <w:p w:rsidR="007677BB" w:rsidRPr="007677BB" w:rsidRDefault="007677BB" w:rsidP="007677BB">
      <w:pPr>
        <w:shd w:val="clear" w:color="auto" w:fill="FFFFFF"/>
        <w:spacing w:line="224" w:lineRule="atLeast"/>
        <w:rPr>
          <w:rFonts w:ascii="Arial" w:eastAsia="Times New Roman" w:hAnsi="Arial" w:cs="Arial"/>
          <w:color w:val="222222"/>
          <w:sz w:val="20"/>
          <w:szCs w:val="20"/>
          <w:lang w:val="en-US"/>
        </w:rPr>
      </w:pPr>
      <w:r w:rsidRPr="007677BB">
        <w:rPr>
          <w:rFonts w:ascii="Arial" w:eastAsia="Times New Roman" w:hAnsi="Arial" w:cs="Arial"/>
          <w:color w:val="222222"/>
          <w:sz w:val="20"/>
          <w:szCs w:val="20"/>
          <w:lang w:val="en-US"/>
        </w:rPr>
        <w:t>The forecasting framework (Eq. 12–14) treats each state’s mean fatalities (µ</w:t>
      </w:r>
      <w:proofErr w:type="spellStart"/>
      <w:r w:rsidRPr="007677BB">
        <w:rPr>
          <w:rFonts w:ascii="Arial" w:eastAsia="Times New Roman" w:hAnsi="Arial" w:cs="Arial"/>
          <w:color w:val="222222"/>
          <w:sz w:val="20"/>
          <w:szCs w:val="20"/>
          <w:lang w:val="en-US"/>
        </w:rPr>
        <w:t>i</w:t>
      </w:r>
      <w:proofErr w:type="spellEnd"/>
      <w:r w:rsidRPr="007677BB">
        <w:rPr>
          <w:rFonts w:ascii="Arial" w:eastAsia="Times New Roman" w:hAnsi="Arial" w:cs="Arial"/>
          <w:color w:val="222222"/>
          <w:sz w:val="20"/>
          <w:szCs w:val="20"/>
          <w:lang w:val="en-US"/>
        </w:rPr>
        <w:t>) as fixed constants. This may oversimplify the temporal structure.</w:t>
      </w:r>
      <w:r w:rsidRPr="007677BB">
        <w:rPr>
          <w:rFonts w:ascii="Arial" w:eastAsia="Times New Roman" w:hAnsi="Arial" w:cs="Arial"/>
          <w:color w:val="222222"/>
          <w:sz w:val="20"/>
          <w:szCs w:val="20"/>
          <w:lang w:val="en-US"/>
        </w:rPr>
        <w:br/>
        <w:t>→ Recommendation: Consider (or at least discuss) integrating a state-dependent regression or ARIMA model to capture stochastic variation within states.</w:t>
      </w:r>
    </w:p>
    <w:p w:rsidR="007677BB" w:rsidRPr="007677BB" w:rsidRDefault="007677BB" w:rsidP="007677BB">
      <w:pPr>
        <w:shd w:val="clear" w:color="auto" w:fill="FFFFFF"/>
        <w:spacing w:line="224" w:lineRule="atLeast"/>
        <w:rPr>
          <w:rFonts w:ascii="Arial" w:eastAsia="Times New Roman" w:hAnsi="Arial" w:cs="Arial"/>
          <w:color w:val="222222"/>
          <w:sz w:val="20"/>
          <w:szCs w:val="20"/>
          <w:lang w:val="en-US"/>
        </w:rPr>
      </w:pPr>
      <w:r w:rsidRPr="007677BB">
        <w:rPr>
          <w:rFonts w:ascii="Arial" w:eastAsia="Times New Roman" w:hAnsi="Arial" w:cs="Arial"/>
          <w:color w:val="222222"/>
          <w:sz w:val="20"/>
          <w:szCs w:val="20"/>
          <w:lang w:val="en-US"/>
        </w:rPr>
        <w:t> 3. Empirical Validation and Interpretation</w:t>
      </w:r>
    </w:p>
    <w:p w:rsidR="007677BB" w:rsidRPr="007677BB" w:rsidRDefault="007677BB" w:rsidP="007677BB">
      <w:pPr>
        <w:shd w:val="clear" w:color="auto" w:fill="FFFFFF"/>
        <w:spacing w:line="224" w:lineRule="atLeast"/>
        <w:rPr>
          <w:rFonts w:ascii="Arial" w:eastAsia="Times New Roman" w:hAnsi="Arial" w:cs="Arial"/>
          <w:color w:val="222222"/>
          <w:sz w:val="20"/>
          <w:szCs w:val="20"/>
          <w:lang w:val="en-US"/>
        </w:rPr>
      </w:pPr>
      <w:r w:rsidRPr="007677BB">
        <w:rPr>
          <w:rFonts w:ascii="Arial" w:eastAsia="Times New Roman" w:hAnsi="Arial" w:cs="Arial"/>
          <w:color w:val="222222"/>
          <w:sz w:val="20"/>
          <w:szCs w:val="20"/>
          <w:lang w:val="en-US"/>
        </w:rPr>
        <w:t>The Kolmogorov–Smirnov (KS) test result (D = 0.542, p = 0.424) is unusual. Typically, D values this large indicate moderate divergence, even if not statistically significant.</w:t>
      </w:r>
      <w:r w:rsidRPr="007677BB">
        <w:rPr>
          <w:rFonts w:ascii="Arial" w:eastAsia="Times New Roman" w:hAnsi="Arial" w:cs="Arial"/>
          <w:color w:val="222222"/>
          <w:sz w:val="20"/>
          <w:szCs w:val="20"/>
          <w:lang w:val="en-US"/>
        </w:rPr>
        <w:br/>
        <w:t>→ Recommendation: Re-examine test application (sample size, continuity correction) and provide interpretation with caution.</w:t>
      </w:r>
    </w:p>
    <w:p w:rsidR="007677BB" w:rsidRPr="007677BB" w:rsidRDefault="007677BB" w:rsidP="007677BB">
      <w:pPr>
        <w:shd w:val="clear" w:color="auto" w:fill="FFFFFF"/>
        <w:spacing w:line="224" w:lineRule="atLeast"/>
        <w:rPr>
          <w:rFonts w:ascii="Arial" w:eastAsia="Times New Roman" w:hAnsi="Arial" w:cs="Arial"/>
          <w:color w:val="222222"/>
          <w:sz w:val="20"/>
          <w:szCs w:val="20"/>
          <w:lang w:val="en-US"/>
        </w:rPr>
      </w:pPr>
      <w:r w:rsidRPr="007677BB">
        <w:rPr>
          <w:rFonts w:ascii="Arial" w:eastAsia="Times New Roman" w:hAnsi="Arial" w:cs="Arial"/>
          <w:color w:val="222222"/>
          <w:sz w:val="20"/>
          <w:szCs w:val="20"/>
          <w:lang w:val="en-US"/>
        </w:rPr>
        <w:t>The forecast section (2025–2029) presents results without uncertainty intervals.</w:t>
      </w:r>
      <w:r w:rsidRPr="007677BB">
        <w:rPr>
          <w:rFonts w:ascii="Arial" w:eastAsia="Times New Roman" w:hAnsi="Arial" w:cs="Arial"/>
          <w:color w:val="222222"/>
          <w:sz w:val="20"/>
          <w:szCs w:val="20"/>
          <w:lang w:val="en-US"/>
        </w:rPr>
        <w:br/>
        <w:t>→ Recommendation: Add 95% confidence bands (or a shaded region) to Figure 3 and provide standard errors in the text.</w:t>
      </w:r>
    </w:p>
    <w:p w:rsidR="007677BB" w:rsidRPr="007677BB" w:rsidRDefault="007677BB" w:rsidP="007677BB">
      <w:pPr>
        <w:shd w:val="clear" w:color="auto" w:fill="FFFFFF"/>
        <w:spacing w:line="224" w:lineRule="atLeast"/>
        <w:rPr>
          <w:rFonts w:ascii="Arial" w:eastAsia="Times New Roman" w:hAnsi="Arial" w:cs="Arial"/>
          <w:color w:val="222222"/>
          <w:sz w:val="20"/>
          <w:szCs w:val="20"/>
          <w:lang w:val="en-US"/>
        </w:rPr>
      </w:pPr>
      <w:r w:rsidRPr="007677BB">
        <w:rPr>
          <w:rFonts w:ascii="Arial" w:eastAsia="Times New Roman" w:hAnsi="Arial" w:cs="Arial"/>
          <w:color w:val="222222"/>
          <w:sz w:val="20"/>
          <w:szCs w:val="20"/>
          <w:lang w:val="en-US"/>
        </w:rPr>
        <w:t>It would be beneficial to contextualize results by comparing with other LMIC case studies (e.g., Ghana, Kenya, India, Brazil). This situates Nigeria’s legislative evolution within a broader policy landscape.</w:t>
      </w:r>
    </w:p>
    <w:p w:rsidR="007677BB" w:rsidRPr="007677BB" w:rsidRDefault="007677BB" w:rsidP="007677BB">
      <w:pPr>
        <w:shd w:val="clear" w:color="auto" w:fill="FFFFFF"/>
        <w:spacing w:line="224" w:lineRule="atLeast"/>
        <w:rPr>
          <w:rFonts w:ascii="Arial" w:eastAsia="Times New Roman" w:hAnsi="Arial" w:cs="Arial"/>
          <w:color w:val="222222"/>
          <w:sz w:val="20"/>
          <w:szCs w:val="20"/>
          <w:lang w:val="en-US"/>
        </w:rPr>
      </w:pPr>
      <w:r w:rsidRPr="007677BB">
        <w:rPr>
          <w:rFonts w:ascii="Arial" w:eastAsia="Times New Roman" w:hAnsi="Arial" w:cs="Arial"/>
          <w:color w:val="222222"/>
          <w:sz w:val="20"/>
          <w:szCs w:val="20"/>
          <w:lang w:val="en-US"/>
        </w:rPr>
        <w:t> </w:t>
      </w:r>
    </w:p>
    <w:p w:rsidR="007677BB" w:rsidRPr="007677BB" w:rsidRDefault="007677BB" w:rsidP="007677BB">
      <w:pPr>
        <w:shd w:val="clear" w:color="auto" w:fill="FFFFFF"/>
        <w:spacing w:line="224" w:lineRule="atLeast"/>
        <w:rPr>
          <w:rFonts w:ascii="Arial" w:eastAsia="Times New Roman" w:hAnsi="Arial" w:cs="Arial"/>
          <w:color w:val="222222"/>
          <w:sz w:val="20"/>
          <w:szCs w:val="20"/>
          <w:lang w:val="en-US"/>
        </w:rPr>
      </w:pPr>
      <w:r w:rsidRPr="007677BB">
        <w:rPr>
          <w:rFonts w:ascii="Arial" w:eastAsia="Times New Roman" w:hAnsi="Arial" w:cs="Arial"/>
          <w:color w:val="222222"/>
          <w:sz w:val="20"/>
          <w:szCs w:val="20"/>
          <w:lang w:val="en-US"/>
        </w:rPr>
        <w:t>4. Discussion and Policy Implications</w:t>
      </w:r>
    </w:p>
    <w:p w:rsidR="007677BB" w:rsidRPr="007677BB" w:rsidRDefault="007677BB" w:rsidP="007677BB">
      <w:pPr>
        <w:shd w:val="clear" w:color="auto" w:fill="FFFFFF"/>
        <w:spacing w:line="224" w:lineRule="atLeast"/>
        <w:rPr>
          <w:rFonts w:ascii="Arial" w:eastAsia="Times New Roman" w:hAnsi="Arial" w:cs="Arial"/>
          <w:color w:val="222222"/>
          <w:sz w:val="20"/>
          <w:szCs w:val="20"/>
          <w:lang w:val="en-US"/>
        </w:rPr>
      </w:pPr>
      <w:r w:rsidRPr="007677BB">
        <w:rPr>
          <w:rFonts w:ascii="Arial" w:eastAsia="Times New Roman" w:hAnsi="Arial" w:cs="Arial"/>
          <w:color w:val="222222"/>
          <w:sz w:val="20"/>
          <w:szCs w:val="20"/>
          <w:lang w:val="en-US"/>
        </w:rPr>
        <w:lastRenderedPageBreak/>
        <w:t>The discussion section would benefit from clearer subheadings (e.g., “Model Fit and Interpretation,” “Policy Sequencing Effects,” “Limitations and Extensions”).</w:t>
      </w:r>
    </w:p>
    <w:p w:rsidR="007677BB" w:rsidRPr="007677BB" w:rsidRDefault="007677BB" w:rsidP="007677BB">
      <w:pPr>
        <w:shd w:val="clear" w:color="auto" w:fill="FFFFFF"/>
        <w:spacing w:line="224" w:lineRule="atLeast"/>
        <w:rPr>
          <w:rFonts w:ascii="Arial" w:eastAsia="Times New Roman" w:hAnsi="Arial" w:cs="Arial"/>
          <w:color w:val="222222"/>
          <w:sz w:val="20"/>
          <w:szCs w:val="20"/>
          <w:lang w:val="en-US"/>
        </w:rPr>
      </w:pPr>
      <w:r w:rsidRPr="007677BB">
        <w:rPr>
          <w:rFonts w:ascii="Arial" w:eastAsia="Times New Roman" w:hAnsi="Arial" w:cs="Arial"/>
          <w:color w:val="222222"/>
          <w:sz w:val="20"/>
          <w:szCs w:val="20"/>
          <w:lang w:val="en-US"/>
        </w:rPr>
        <w:t>The narrative should explicitly connect the model outputs (e.g., expected passage times, sojourn estimates) with practical policy insights — such as how timing, enforcement strength, or policy overlap affect outcomes.</w:t>
      </w:r>
    </w:p>
    <w:p w:rsidR="007677BB" w:rsidRPr="007677BB" w:rsidRDefault="007677BB" w:rsidP="007677BB">
      <w:pPr>
        <w:shd w:val="clear" w:color="auto" w:fill="FFFFFF"/>
        <w:spacing w:line="224" w:lineRule="atLeast"/>
        <w:rPr>
          <w:rFonts w:ascii="Arial" w:eastAsia="Times New Roman" w:hAnsi="Arial" w:cs="Arial"/>
          <w:color w:val="222222"/>
          <w:sz w:val="20"/>
          <w:szCs w:val="20"/>
          <w:lang w:val="en-US"/>
        </w:rPr>
      </w:pPr>
      <w:r w:rsidRPr="007677BB">
        <w:rPr>
          <w:rFonts w:ascii="Arial" w:eastAsia="Times New Roman" w:hAnsi="Arial" w:cs="Arial"/>
          <w:color w:val="222222"/>
          <w:sz w:val="20"/>
          <w:szCs w:val="20"/>
          <w:lang w:val="en-US"/>
        </w:rPr>
        <w:t>Add a brief paragraph on how the SMP framework could support predictive policy planning — for example, estimating time-to-effect for future digital interventions or vehicle safety campaigns.</w:t>
      </w:r>
    </w:p>
    <w:p w:rsidR="009344FF" w:rsidRPr="00430CD4" w:rsidRDefault="009344FF" w:rsidP="009344FF">
      <w:pPr>
        <w:rPr>
          <w:rFonts w:ascii="Arial" w:hAnsi="Arial" w:cs="Arial"/>
          <w:sz w:val="20"/>
          <w:szCs w:val="20"/>
        </w:rPr>
      </w:pPr>
    </w:p>
    <w:p w:rsidR="000F2F46" w:rsidRDefault="009344FF" w:rsidP="009344FF">
      <w:pPr>
        <w:rPr>
          <w:rFonts w:ascii="Arial" w:hAnsi="Arial" w:cs="Arial"/>
          <w:b/>
          <w:sz w:val="20"/>
          <w:szCs w:val="20"/>
          <w:u w:val="single"/>
        </w:rPr>
      </w:pPr>
      <w:r w:rsidRPr="00430CD4">
        <w:rPr>
          <w:rFonts w:ascii="Arial" w:hAnsi="Arial" w:cs="Arial"/>
          <w:b/>
          <w:sz w:val="20"/>
          <w:szCs w:val="20"/>
          <w:u w:val="single"/>
        </w:rPr>
        <w:t>Editor’s Details:</w:t>
      </w:r>
    </w:p>
    <w:p w:rsidR="00C37059" w:rsidRPr="00C37059" w:rsidRDefault="00786BBB" w:rsidP="00786BBB">
      <w:pPr>
        <w:rPr>
          <w:rFonts w:ascii="Arial" w:hAnsi="Arial" w:cs="Arial"/>
          <w:sz w:val="20"/>
          <w:szCs w:val="20"/>
        </w:rPr>
      </w:pPr>
      <w:r w:rsidRPr="00786BBB">
        <w:rPr>
          <w:rFonts w:ascii="Arial" w:hAnsi="Arial" w:cs="Arial"/>
          <w:sz w:val="20"/>
          <w:szCs w:val="20"/>
        </w:rPr>
        <w:t xml:space="preserve">Pr. Halim </w:t>
      </w:r>
      <w:proofErr w:type="spellStart"/>
      <w:r w:rsidRPr="00786BBB">
        <w:rPr>
          <w:rFonts w:ascii="Arial" w:hAnsi="Arial" w:cs="Arial"/>
          <w:sz w:val="20"/>
          <w:szCs w:val="20"/>
        </w:rPr>
        <w:t>Zeghdoudi</w:t>
      </w:r>
      <w:proofErr w:type="spellEnd"/>
      <w:r w:rsidRPr="00786BBB">
        <w:rPr>
          <w:rFonts w:ascii="Arial" w:hAnsi="Arial" w:cs="Arial"/>
          <w:sz w:val="20"/>
          <w:szCs w:val="20"/>
        </w:rPr>
        <w:t xml:space="preserve">, </w:t>
      </w:r>
      <w:proofErr w:type="spellStart"/>
      <w:r w:rsidRPr="00786BBB">
        <w:rPr>
          <w:rFonts w:ascii="Arial" w:hAnsi="Arial" w:cs="Arial"/>
          <w:sz w:val="20"/>
          <w:szCs w:val="20"/>
        </w:rPr>
        <w:t>Badji</w:t>
      </w:r>
      <w:proofErr w:type="spellEnd"/>
      <w:r w:rsidRPr="00786BBB">
        <w:rPr>
          <w:rFonts w:ascii="Arial" w:hAnsi="Arial" w:cs="Arial"/>
          <w:sz w:val="20"/>
          <w:szCs w:val="20"/>
        </w:rPr>
        <w:t>-Mokhtar University, Algeria</w:t>
      </w:r>
      <w:bookmarkStart w:id="0" w:name="_GoBack"/>
      <w:bookmarkEnd w:id="0"/>
    </w:p>
    <w:sectPr w:rsidR="00C37059" w:rsidRPr="00C370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MyNDU2NbewNDE2sTRX0lEKTi0uzszPAykwrgUACxgNTiwAAAA="/>
  </w:docVars>
  <w:rsids>
    <w:rsidRoot w:val="00A72896"/>
    <w:rsid w:val="002C0B2C"/>
    <w:rsid w:val="00430CD4"/>
    <w:rsid w:val="007677BB"/>
    <w:rsid w:val="00786BBB"/>
    <w:rsid w:val="009344FF"/>
    <w:rsid w:val="009B72A4"/>
    <w:rsid w:val="009F328F"/>
    <w:rsid w:val="00A72896"/>
    <w:rsid w:val="00C3705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3F34D7-0690-405E-A612-370ADDC53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479457">
      <w:bodyDiv w:val="1"/>
      <w:marLeft w:val="0"/>
      <w:marRight w:val="0"/>
      <w:marTop w:val="0"/>
      <w:marBottom w:val="0"/>
      <w:divBdr>
        <w:top w:val="none" w:sz="0" w:space="0" w:color="auto"/>
        <w:left w:val="none" w:sz="0" w:space="0" w:color="auto"/>
        <w:bottom w:val="none" w:sz="0" w:space="0" w:color="auto"/>
        <w:right w:val="none" w:sz="0" w:space="0" w:color="auto"/>
      </w:divBdr>
      <w:divsChild>
        <w:div w:id="571623238">
          <w:marLeft w:val="0"/>
          <w:marRight w:val="0"/>
          <w:marTop w:val="0"/>
          <w:marBottom w:val="0"/>
          <w:divBdr>
            <w:top w:val="none" w:sz="0" w:space="0" w:color="auto"/>
            <w:left w:val="none" w:sz="0" w:space="0" w:color="auto"/>
            <w:bottom w:val="none" w:sz="0" w:space="0" w:color="auto"/>
            <w:right w:val="none" w:sz="0" w:space="0" w:color="auto"/>
          </w:divBdr>
        </w:div>
        <w:div w:id="1824807082">
          <w:marLeft w:val="0"/>
          <w:marRight w:val="0"/>
          <w:marTop w:val="0"/>
          <w:marBottom w:val="0"/>
          <w:divBdr>
            <w:top w:val="none" w:sz="0" w:space="0" w:color="auto"/>
            <w:left w:val="none" w:sz="0" w:space="0" w:color="auto"/>
            <w:bottom w:val="none" w:sz="0" w:space="0" w:color="auto"/>
            <w:right w:val="none" w:sz="0" w:space="0" w:color="auto"/>
          </w:divBdr>
        </w:div>
        <w:div w:id="375011309">
          <w:marLeft w:val="0"/>
          <w:marRight w:val="0"/>
          <w:marTop w:val="0"/>
          <w:marBottom w:val="0"/>
          <w:divBdr>
            <w:top w:val="none" w:sz="0" w:space="0" w:color="auto"/>
            <w:left w:val="none" w:sz="0" w:space="0" w:color="auto"/>
            <w:bottom w:val="none" w:sz="0" w:space="0" w:color="auto"/>
            <w:right w:val="none" w:sz="0" w:space="0" w:color="auto"/>
          </w:divBdr>
        </w:div>
      </w:divsChild>
    </w:div>
    <w:div w:id="1457019571">
      <w:bodyDiv w:val="1"/>
      <w:marLeft w:val="0"/>
      <w:marRight w:val="0"/>
      <w:marTop w:val="0"/>
      <w:marBottom w:val="0"/>
      <w:divBdr>
        <w:top w:val="none" w:sz="0" w:space="0" w:color="auto"/>
        <w:left w:val="none" w:sz="0" w:space="0" w:color="auto"/>
        <w:bottom w:val="none" w:sz="0" w:space="0" w:color="auto"/>
        <w:right w:val="none" w:sz="0" w:space="0" w:color="auto"/>
      </w:divBdr>
      <w:divsChild>
        <w:div w:id="336156289">
          <w:marLeft w:val="0"/>
          <w:marRight w:val="0"/>
          <w:marTop w:val="0"/>
          <w:marBottom w:val="0"/>
          <w:divBdr>
            <w:top w:val="none" w:sz="0" w:space="0" w:color="auto"/>
            <w:left w:val="none" w:sz="0" w:space="0" w:color="auto"/>
            <w:bottom w:val="none" w:sz="0" w:space="0" w:color="auto"/>
            <w:right w:val="none" w:sz="0" w:space="0" w:color="auto"/>
          </w:divBdr>
        </w:div>
        <w:div w:id="610284671">
          <w:marLeft w:val="0"/>
          <w:marRight w:val="0"/>
          <w:marTop w:val="0"/>
          <w:marBottom w:val="0"/>
          <w:divBdr>
            <w:top w:val="none" w:sz="0" w:space="0" w:color="auto"/>
            <w:left w:val="none" w:sz="0" w:space="0" w:color="auto"/>
            <w:bottom w:val="none" w:sz="0" w:space="0" w:color="auto"/>
            <w:right w:val="none" w:sz="0" w:space="0" w:color="auto"/>
          </w:divBdr>
        </w:div>
        <w:div w:id="20672938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572</Words>
  <Characters>3266</Characters>
  <Application>Microsoft Office Word</Application>
  <DocSecurity>0</DocSecurity>
  <Lines>27</Lines>
  <Paragraphs>7</Paragraphs>
  <ScaleCrop>false</ScaleCrop>
  <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1020</cp:lastModifiedBy>
  <cp:revision>7</cp:revision>
  <dcterms:created xsi:type="dcterms:W3CDTF">2025-02-19T08:37:00Z</dcterms:created>
  <dcterms:modified xsi:type="dcterms:W3CDTF">2025-11-01T07:54:00Z</dcterms:modified>
</cp:coreProperties>
</file>