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0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F07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C33DF" w:rsidRPr="00CF0713" w:rsidRDefault="008C33DF" w:rsidP="009344FF">
      <w:pPr>
        <w:rPr>
          <w:rFonts w:ascii="Arial" w:hAnsi="Arial" w:cs="Arial"/>
          <w:b/>
          <w:sz w:val="20"/>
          <w:szCs w:val="20"/>
        </w:rPr>
      </w:pPr>
      <w:r w:rsidRPr="00CF0713">
        <w:rPr>
          <w:rFonts w:ascii="Arial" w:hAnsi="Arial" w:cs="Arial"/>
          <w:sz w:val="20"/>
          <w:szCs w:val="20"/>
          <w:shd w:val="clear" w:color="auto" w:fill="FFFFFF"/>
        </w:rPr>
        <w:t>I think that with </w:t>
      </w:r>
      <w:r w:rsidRPr="00CF0713">
        <w:rPr>
          <w:rFonts w:ascii="Arial" w:hAnsi="Arial" w:cs="Arial"/>
          <w:iCs/>
          <w:sz w:val="20"/>
          <w:szCs w:val="20"/>
          <w:shd w:val="clear" w:color="auto" w:fill="FFFFFF"/>
        </w:rPr>
        <w:t>minor revisions</w:t>
      </w:r>
      <w:r w:rsidRPr="00CF0713">
        <w:rPr>
          <w:rFonts w:ascii="Arial" w:hAnsi="Arial" w:cs="Arial"/>
          <w:sz w:val="20"/>
          <w:szCs w:val="20"/>
          <w:shd w:val="clear" w:color="auto" w:fill="FFFFFF"/>
        </w:rPr>
        <w:t>, the article can be published in the prestigious </w:t>
      </w:r>
      <w:hyperlink r:id="rId5" w:tgtFrame="_blank" w:history="1">
        <w:r w:rsidRPr="00CF0713">
          <w:rPr>
            <w:rFonts w:ascii="Arial" w:hAnsi="Arial" w:cs="Arial"/>
            <w:b/>
            <w:bCs/>
            <w:sz w:val="20"/>
            <w:szCs w:val="20"/>
            <w:shd w:val="clear" w:color="auto" w:fill="FFFFFF"/>
          </w:rPr>
          <w:t>Asian Journal of Agricultural Extension, Economics &amp; Sociology</w:t>
        </w:r>
      </w:hyperlink>
      <w:r w:rsidRPr="00CF0713">
        <w:rPr>
          <w:rFonts w:ascii="Arial" w:hAnsi="Arial" w:cs="Arial"/>
          <w:iCs/>
          <w:sz w:val="20"/>
          <w:szCs w:val="20"/>
          <w:shd w:val="clear" w:color="auto" w:fill="FFFFFF"/>
        </w:rPr>
        <w:t>.</w:t>
      </w:r>
    </w:p>
    <w:p w:rsidR="009344FF" w:rsidRPr="00CF0713" w:rsidRDefault="005920E9" w:rsidP="009344FF">
      <w:pPr>
        <w:rPr>
          <w:rFonts w:ascii="Arial" w:hAnsi="Arial" w:cs="Arial"/>
          <w:sz w:val="20"/>
          <w:szCs w:val="20"/>
        </w:rPr>
      </w:pPr>
      <w:r w:rsidRPr="00CF0713">
        <w:rPr>
          <w:rFonts w:ascii="Arial" w:hAnsi="Arial" w:cs="Arial"/>
          <w:sz w:val="20"/>
          <w:szCs w:val="20"/>
        </w:rPr>
        <w:t xml:space="preserve">From my point of view, it is a very interesting topic and simultaneously it seems that to the best of my knowledge is an empirical research aims to explores how Chinese regional tea enterprises, particularly </w:t>
      </w:r>
      <w:proofErr w:type="spellStart"/>
      <w:r w:rsidRPr="00CF0713">
        <w:rPr>
          <w:rFonts w:ascii="Arial" w:hAnsi="Arial" w:cs="Arial"/>
          <w:sz w:val="20"/>
          <w:szCs w:val="20"/>
        </w:rPr>
        <w:t>Fuliang</w:t>
      </w:r>
      <w:proofErr w:type="spellEnd"/>
      <w:r w:rsidRPr="00CF0713">
        <w:rPr>
          <w:rFonts w:ascii="Arial" w:hAnsi="Arial" w:cs="Arial"/>
          <w:sz w:val="20"/>
          <w:szCs w:val="20"/>
        </w:rPr>
        <w:t xml:space="preserve"> tea producers, develop and implement cross-cultural marketing strategies in the era of global e-commerce. It seeks to understand how cultural adaptation, digital innovation, and institutional support enhance international competitiveness. Data were collected through semi-structured interviews with 22 participants, including tea enterprise managers, e-commerce staff, government officials, industry association representatives, and international consumers. Three representative tea enterprises were examined in depth. Data were </w:t>
      </w:r>
      <w:proofErr w:type="spellStart"/>
      <w:r w:rsidRPr="00CF0713">
        <w:rPr>
          <w:rFonts w:ascii="Arial" w:hAnsi="Arial" w:cs="Arial"/>
          <w:sz w:val="20"/>
          <w:szCs w:val="20"/>
        </w:rPr>
        <w:t>analyzed</w:t>
      </w:r>
      <w:proofErr w:type="spellEnd"/>
      <w:r w:rsidRPr="00CF0713">
        <w:rPr>
          <w:rFonts w:ascii="Arial" w:hAnsi="Arial" w:cs="Arial"/>
          <w:sz w:val="20"/>
          <w:szCs w:val="20"/>
        </w:rPr>
        <w:t xml:space="preserve"> using Naeem et al.’s (2023) six-step thematic analysis with both inductive and deductive coding, supported by Hofstede’s and Aaker’s theoretical frameworks. Four main themes emerged: (1) cultural framing and narrative translation; (2) product and packaging adaptation; (3) digital channel diversification and live-streaming; and (4) institutional trust-building through certification and service infrastructure. These themes highlight how cultural communication, digital engagement, and institutional mechanisms interact to strengthen global brand legitimacy. The study contributes to cross-cultural marketing theory by integrating cultural and digital perspectives within agri-food e-commerce. It offers practical insights for policymakers, industry associations, and SMEs on leveraging storytelling, certification, and digital tools to promote sustainable internationalization of regional brands.</w:t>
      </w:r>
    </w:p>
    <w:p w:rsidR="005920E9" w:rsidRPr="00CF0713" w:rsidRDefault="005920E9" w:rsidP="009344FF">
      <w:pPr>
        <w:rPr>
          <w:rFonts w:ascii="Arial" w:hAnsi="Arial" w:cs="Arial"/>
          <w:sz w:val="20"/>
          <w:szCs w:val="20"/>
        </w:rPr>
      </w:pPr>
    </w:p>
    <w:p w:rsidR="005920E9" w:rsidRPr="00CF0713" w:rsidRDefault="005920E9" w:rsidP="009344FF">
      <w:pPr>
        <w:rPr>
          <w:rFonts w:ascii="Arial" w:hAnsi="Arial" w:cs="Arial"/>
          <w:sz w:val="20"/>
          <w:szCs w:val="20"/>
        </w:rPr>
      </w:pPr>
      <w:r w:rsidRPr="00CF0713">
        <w:rPr>
          <w:rFonts w:ascii="Arial" w:hAnsi="Arial" w:cs="Arial"/>
          <w:sz w:val="20"/>
          <w:szCs w:val="20"/>
        </w:rPr>
        <w:t>It would be very useful to add in the "Introduction" section the purpose, objectives and hypothesis of the research. I consider that a weak point of the paper is that the authors did not show the novelty of the paper compared to other works. That is why, I consider that the introduction should specify the novelty of the paper compared to other papers published in this area.</w:t>
      </w:r>
    </w:p>
    <w:p w:rsidR="005920E9" w:rsidRPr="00CF0713" w:rsidRDefault="005920E9" w:rsidP="009344FF">
      <w:pPr>
        <w:rPr>
          <w:rFonts w:ascii="Arial" w:hAnsi="Arial" w:cs="Arial"/>
          <w:sz w:val="20"/>
          <w:szCs w:val="20"/>
        </w:rPr>
      </w:pPr>
    </w:p>
    <w:p w:rsidR="005920E9" w:rsidRPr="00CF0713" w:rsidRDefault="005920E9" w:rsidP="00CF0713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CF0713">
        <w:rPr>
          <w:rFonts w:ascii="Arial" w:hAnsi="Arial" w:cs="Arial"/>
          <w:color w:val="auto"/>
          <w:sz w:val="20"/>
          <w:szCs w:val="20"/>
        </w:rPr>
        <w:t>I think that the literature needs to be improved with other works, because the papers refered to economic growth are not enough.  That is why I recommend the authors refer to other recent works indexed in Web of Science. I suggest that the authors cite papers published in Web of Science Journals, such as:</w:t>
      </w:r>
    </w:p>
    <w:p w:rsidR="005920E9" w:rsidRPr="00CF0713" w:rsidRDefault="005920E9" w:rsidP="005920E9">
      <w:pPr>
        <w:pStyle w:val="Default"/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0" w:line="360" w:lineRule="auto"/>
        <w:ind w:left="1428"/>
        <w:rPr>
          <w:rFonts w:ascii="Arial" w:hAnsi="Arial" w:cs="Arial"/>
          <w:bCs/>
          <w:sz w:val="20"/>
          <w:szCs w:val="20"/>
        </w:rPr>
      </w:pPr>
      <w:r w:rsidRPr="00CF0713">
        <w:rPr>
          <w:rFonts w:ascii="Arial" w:hAnsi="Arial" w:cs="Arial"/>
          <w:bCs/>
          <w:sz w:val="20"/>
          <w:szCs w:val="20"/>
        </w:rPr>
        <w:t>https://doi.org/10.1371/journal.pone.0283277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0" w:line="360" w:lineRule="auto"/>
        <w:ind w:left="1428"/>
        <w:rPr>
          <w:rFonts w:ascii="Arial" w:hAnsi="Arial" w:cs="Arial"/>
          <w:bCs/>
          <w:sz w:val="20"/>
          <w:szCs w:val="20"/>
        </w:rPr>
      </w:pPr>
      <w:r w:rsidRPr="00CF0713">
        <w:rPr>
          <w:rFonts w:ascii="Arial" w:hAnsi="Arial" w:cs="Arial"/>
          <w:bCs/>
          <w:sz w:val="20"/>
          <w:szCs w:val="20"/>
        </w:rPr>
        <w:t>https://doi.org/10.1007/978-3-031-17707-1_19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0" w:line="360" w:lineRule="auto"/>
        <w:ind w:left="1428"/>
        <w:rPr>
          <w:rFonts w:ascii="Arial" w:hAnsi="Arial" w:cs="Arial"/>
          <w:bCs/>
          <w:sz w:val="20"/>
          <w:szCs w:val="20"/>
        </w:rPr>
      </w:pPr>
      <w:hyperlink r:id="rId6" w:history="1">
        <w:r w:rsidRPr="00CF0713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https://doi.org/10.3390/jrfm14070336</w:t>
        </w:r>
      </w:hyperlink>
      <w:r w:rsidRPr="00CF0713">
        <w:rPr>
          <w:rFonts w:ascii="Arial" w:hAnsi="Arial" w:cs="Arial"/>
          <w:bCs/>
          <w:sz w:val="20"/>
          <w:szCs w:val="20"/>
        </w:rPr>
        <w:t>.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0" w:line="360" w:lineRule="auto"/>
        <w:ind w:left="1428"/>
        <w:rPr>
          <w:rFonts w:ascii="Arial" w:hAnsi="Arial" w:cs="Arial"/>
          <w:bCs/>
          <w:sz w:val="20"/>
          <w:szCs w:val="20"/>
        </w:rPr>
      </w:pPr>
      <w:hyperlink r:id="rId7" w:history="1">
        <w:r w:rsidRPr="00CF0713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https://doi.org/10.3390/jrfm14050218</w:t>
        </w:r>
      </w:hyperlink>
      <w:r w:rsidRPr="00CF0713">
        <w:rPr>
          <w:rFonts w:ascii="Arial" w:hAnsi="Arial" w:cs="Arial"/>
          <w:bCs/>
          <w:sz w:val="20"/>
          <w:szCs w:val="20"/>
        </w:rPr>
        <w:t>.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0" w:line="360" w:lineRule="auto"/>
        <w:ind w:left="1428"/>
        <w:rPr>
          <w:rFonts w:ascii="Arial" w:hAnsi="Arial" w:cs="Arial"/>
          <w:bCs/>
          <w:sz w:val="20"/>
          <w:szCs w:val="20"/>
        </w:rPr>
      </w:pPr>
      <w:hyperlink r:id="rId8" w:history="1">
        <w:r w:rsidRPr="00CF071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https://doi.org/10.3390/su132313151</w:t>
        </w:r>
      </w:hyperlink>
      <w:r w:rsidRPr="00CF0713">
        <w:rPr>
          <w:rFonts w:ascii="Arial" w:hAnsi="Arial" w:cs="Arial"/>
          <w:sz w:val="20"/>
          <w:szCs w:val="20"/>
        </w:rPr>
        <w:t>.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hAnsi="Arial" w:cs="Arial"/>
          <w:bCs/>
          <w:sz w:val="20"/>
          <w:szCs w:val="20"/>
        </w:rPr>
      </w:pPr>
      <w:hyperlink r:id="rId9" w:history="1">
        <w:r w:rsidRPr="00CF071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https://doi.org/10.3390/jrfm14070336</w:t>
        </w:r>
      </w:hyperlink>
      <w:r w:rsidRPr="00CF0713">
        <w:rPr>
          <w:rFonts w:ascii="Arial" w:hAnsi="Arial" w:cs="Arial"/>
          <w:sz w:val="20"/>
          <w:szCs w:val="20"/>
        </w:rPr>
        <w:t xml:space="preserve">. 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15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hyperlink r:id="rId10" w:history="1">
        <w:r w:rsidRPr="00CF071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https://doi.org/10.3390/math10193660</w:t>
        </w:r>
      </w:hyperlink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15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hyperlink r:id="rId11" w:history="1">
        <w:r w:rsidRPr="00CF0713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https://doi.org/10.3390/math8122217</w:t>
        </w:r>
      </w:hyperlink>
      <w:r w:rsidRPr="00CF0713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.</w:t>
      </w:r>
    </w:p>
    <w:p w:rsidR="005920E9" w:rsidRPr="00CF0713" w:rsidRDefault="005920E9" w:rsidP="005920E9">
      <w:pPr>
        <w:numPr>
          <w:ilvl w:val="0"/>
          <w:numId w:val="2"/>
        </w:numPr>
        <w:shd w:val="clear" w:color="auto" w:fill="FFFFFF"/>
        <w:spacing w:after="15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hyperlink r:id="rId12" w:history="1">
        <w:r w:rsidRPr="00CF0713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https://doi.org/10.3934/GF.20250002</w:t>
        </w:r>
      </w:hyperlink>
    </w:p>
    <w:p w:rsidR="005920E9" w:rsidRPr="00CF0713" w:rsidRDefault="005920E9" w:rsidP="005920E9">
      <w:pPr>
        <w:shd w:val="clear" w:color="auto" w:fill="FFFFFF"/>
        <w:spacing w:after="150" w:line="240" w:lineRule="auto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r w:rsidRPr="00CF0713">
        <w:rPr>
          <w:rFonts w:ascii="Arial" w:eastAsia="Times New Roman" w:hAnsi="Arial" w:cs="Arial"/>
          <w:sz w:val="20"/>
          <w:szCs w:val="20"/>
          <w:lang w:val="en-US"/>
        </w:rPr>
        <w:t>The language is clear.</w:t>
      </w:r>
    </w:p>
    <w:p w:rsidR="005920E9" w:rsidRPr="00CF0713" w:rsidRDefault="005920E9" w:rsidP="009344FF">
      <w:pPr>
        <w:rPr>
          <w:rFonts w:ascii="Arial" w:hAnsi="Arial" w:cs="Arial"/>
          <w:sz w:val="20"/>
          <w:szCs w:val="20"/>
        </w:rPr>
      </w:pPr>
      <w:r w:rsidRPr="00CF0713">
        <w:rPr>
          <w:rFonts w:ascii="Arial" w:hAnsi="Arial" w:cs="Arial"/>
          <w:sz w:val="20"/>
          <w:szCs w:val="20"/>
        </w:rPr>
        <w:lastRenderedPageBreak/>
        <w:t xml:space="preserve">In conclusion, the article should be </w:t>
      </w:r>
      <w:r w:rsidR="00CF0713" w:rsidRPr="00CF0713">
        <w:rPr>
          <w:rFonts w:ascii="Arial" w:hAnsi="Arial" w:cs="Arial"/>
          <w:sz w:val="20"/>
          <w:szCs w:val="20"/>
        </w:rPr>
        <w:t>improving</w:t>
      </w:r>
      <w:r w:rsidRPr="00CF0713">
        <w:rPr>
          <w:rFonts w:ascii="Arial" w:hAnsi="Arial" w:cs="Arial"/>
          <w:sz w:val="20"/>
          <w:szCs w:val="20"/>
        </w:rPr>
        <w:t>. It should also be enhanced with a review of the literature adequate to the subject and a broader interpretation and commentary of the research results.</w:t>
      </w:r>
    </w:p>
    <w:p w:rsidR="000F2F46" w:rsidRPr="00CF0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07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0713" w:rsidRPr="00CF0713" w:rsidRDefault="00CF0713" w:rsidP="009344FF">
      <w:pPr>
        <w:rPr>
          <w:rFonts w:ascii="Arial" w:hAnsi="Arial" w:cs="Arial"/>
          <w:sz w:val="20"/>
          <w:szCs w:val="20"/>
        </w:rPr>
      </w:pPr>
      <w:r w:rsidRPr="00CF0713">
        <w:rPr>
          <w:rFonts w:ascii="Arial" w:hAnsi="Arial" w:cs="Arial"/>
          <w:sz w:val="20"/>
          <w:szCs w:val="20"/>
        </w:rPr>
        <w:t xml:space="preserve">Prof. Larissa-Margareta </w:t>
      </w:r>
      <w:proofErr w:type="spellStart"/>
      <w:r w:rsidRPr="00CF0713">
        <w:rPr>
          <w:rFonts w:ascii="Arial" w:hAnsi="Arial" w:cs="Arial"/>
          <w:sz w:val="20"/>
          <w:szCs w:val="20"/>
        </w:rPr>
        <w:t>Batrancea</w:t>
      </w:r>
      <w:proofErr w:type="spellEnd"/>
      <w:r w:rsidRPr="00CF07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0713">
        <w:rPr>
          <w:rFonts w:ascii="Arial" w:hAnsi="Arial" w:cs="Arial"/>
          <w:sz w:val="20"/>
          <w:szCs w:val="20"/>
        </w:rPr>
        <w:t>Babeș-Bolyai</w:t>
      </w:r>
      <w:proofErr w:type="spellEnd"/>
      <w:r w:rsidRPr="00CF0713">
        <w:rPr>
          <w:rFonts w:ascii="Arial" w:hAnsi="Arial" w:cs="Arial"/>
          <w:sz w:val="20"/>
          <w:szCs w:val="20"/>
        </w:rPr>
        <w:t xml:space="preserve"> University, Romania</w:t>
      </w:r>
      <w:bookmarkEnd w:id="0"/>
    </w:p>
    <w:sectPr w:rsidR="00CF0713" w:rsidRPr="00CF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62E"/>
    <w:multiLevelType w:val="hybridMultilevel"/>
    <w:tmpl w:val="5890E742"/>
    <w:lvl w:ilvl="0" w:tplc="C18E007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39510AB5"/>
    <w:multiLevelType w:val="hybridMultilevel"/>
    <w:tmpl w:val="7BC239C2"/>
    <w:lvl w:ilvl="0" w:tplc="3C145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20E9"/>
    <w:rsid w:val="008C33DF"/>
    <w:rsid w:val="009344FF"/>
    <w:rsid w:val="009F328F"/>
    <w:rsid w:val="00A72896"/>
    <w:rsid w:val="00C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F978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20E9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rsid w:val="005920E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Default">
    <w:name w:val="Default"/>
    <w:rsid w:val="005920E9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9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323131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jrfm14050218" TargetMode="External"/><Relationship Id="rId12" Type="http://schemas.openxmlformats.org/officeDocument/2006/relationships/hyperlink" Target="https://doi.org/10.3934/GF.20250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jrfm14070336" TargetMode="External"/><Relationship Id="rId11" Type="http://schemas.openxmlformats.org/officeDocument/2006/relationships/hyperlink" Target="https://doi.org/10.3390/math8122217" TargetMode="External"/><Relationship Id="rId5" Type="http://schemas.openxmlformats.org/officeDocument/2006/relationships/hyperlink" Target="https://journalajaees.com/index.php/AJAEES" TargetMode="External"/><Relationship Id="rId10" Type="http://schemas.openxmlformats.org/officeDocument/2006/relationships/hyperlink" Target="https://doi.org/10.3390/math10193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jrfm140703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2025-11-12T09:26:00Z</dcterms:modified>
</cp:coreProperties>
</file>