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360"/>
        <w:ind w:right="0" w:left="0" w:firstLine="0"/>
        <w:jc w:val="center"/>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F1115"/>
          <w:spacing w:val="0"/>
          <w:position w:val="0"/>
          <w:sz w:val="22"/>
          <w:shd w:fill="FFFFFF" w:val="clear"/>
        </w:rPr>
        <w:t xml:space="preserve">Ecological Effects of Fire Frequency on Soil, Microclimate, and Vegetation Dynamics in Secondary Forests at Nnamdi Azikiwe University Awka, Nigeria</w:t>
      </w:r>
    </w:p>
    <w:p>
      <w:pPr>
        <w:spacing w:before="0" w:after="160" w:line="240"/>
        <w:ind w:right="0" w:left="1440" w:firstLine="720"/>
        <w:jc w:val="both"/>
        <w:rPr>
          <w:rFonts w:ascii="Times New Roman" w:hAnsi="Times New Roman" w:cs="Times New Roman" w:eastAsia="Times New Roman"/>
          <w:color w:val="auto"/>
          <w:spacing w:val="0"/>
          <w:position w:val="0"/>
          <w:sz w:val="20"/>
          <w:shd w:fill="auto" w:val="clear"/>
        </w:rPr>
      </w:pPr>
    </w:p>
    <w:p>
      <w:pPr>
        <w:spacing w:before="0" w:after="160" w:line="240"/>
        <w:ind w:right="0" w:left="1440" w:firstLine="720"/>
        <w:jc w:val="both"/>
        <w:rPr>
          <w:rFonts w:ascii="Times New Roman" w:hAnsi="Times New Roman" w:cs="Times New Roman" w:eastAsia="Times New Roman"/>
          <w:color w:val="auto"/>
          <w:spacing w:val="0"/>
          <w:position w:val="0"/>
          <w:sz w:val="20"/>
          <w:shd w:fill="auto" w:val="clear"/>
        </w:rPr>
      </w:pPr>
    </w:p>
    <w:p>
      <w:pPr>
        <w:spacing w:before="0" w:after="16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ABSTRACT</w:t>
      </w:r>
    </w:p>
    <w:p>
      <w:pPr>
        <w:spacing w:before="0" w:after="16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Anthropogenic fire is a pervasive agent of disturbance in tropical secondary forests, yet its specific impacts on ecosystem structure and function in West Africa remain inadequately quantified. This study assessed the effects of varying fire frequencies on soil physicochemical properties, microclimatic conditions, and vegetation composition in three secondary forest types within Nnamdi Azikiwe University Awka, Nigeria: frequently burned, periodically burned, and unburned (control). A completely randomized design was employed with three replicate plots (20 m × 20 m) per forest type. Standard analytical techniques were used to evaluate soil physicochemical properties. Vegetation was assessed via systematic sampling to determine species richness and Shannon diversity (H</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Data were analyzed using ANOVA and post-hoc Least Significant Difference (LSD) tests at p&lt;0.05.The results demonstrated significant gradients of degradation with increasing fire frequency. Frequently burned sites exhibited severe depletion of SOM (1.04 ± 0.11%), N (0.062 ± 0.004%), and P (8.50 ± 1.40 mg/kg) compared to unburned (2.04 ± 0.11%, 0.154 ± 0.005%, 14.80 ± 1.30 mg/kg, respectively). Fire also induced soil acidification (pH: 5.26 in frequently burned vs. 6.08 in unburned). Microclimatic conditions were markedly altered, with frequently burned plots showing elevated soil temperature (33.5 ± 0.7 °C), reduced soil water potential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 0.1 MPa), and diminished rainfall retention (45 ± 5%). Consequently, vegetation composition shifted dramatically, with species richness and diversity declining sharply from unburned plots (36.8 ± 2.15 species; H</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=2.21) to frequently burned plots (8.4 </w:t>
      </w:r>
      <w:r>
        <w:rPr>
          <w:rFonts w:ascii="Times New Roman" w:hAnsi="Times New Roman" w:cs="Times New Roman" w:eastAsia="Times New Roman"/>
          <w:color w:val="auto"/>
          <w:spacing w:val="0"/>
          <w:position w:val="0"/>
          <w:sz w:val="20"/>
          <w:shd w:fill="auto" w:val="clear"/>
        </w:rPr>
        <w:t xml:space="preserve">± 1.81 species; H</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=0.92), indicating a successional arrest dominated by ruderal, fire-tolerant weed species. This study showed that frequent anthropogenic fire acts as a primary driver of ecosystem degradation in these tropical secondary forests, triggering a negative feedback loop of nutrient loss, microclimatic harshness, and biotic homogenization. </w:t>
      </w:r>
      <w:r>
        <w:rPr>
          <w:rFonts w:ascii="Times New Roman" w:hAnsi="Times New Roman" w:cs="Times New Roman" w:eastAsia="Times New Roman"/>
          <w:color w:val="auto"/>
          <w:spacing w:val="0"/>
          <w:position w:val="0"/>
          <w:sz w:val="20"/>
          <w:shd w:fill="FFFFFF" w:val="clear"/>
        </w:rPr>
        <w:t xml:space="preserve">A notable finding was the significant soil acidification under frequent burning, contrasting with the short-term alkalization often reported in other ecosystems. </w:t>
      </w:r>
      <w:r>
        <w:rPr>
          <w:rFonts w:ascii="Times New Roman" w:hAnsi="Times New Roman" w:cs="Times New Roman" w:eastAsia="Times New Roman"/>
          <w:color w:val="auto"/>
          <w:spacing w:val="0"/>
          <w:position w:val="0"/>
          <w:sz w:val="20"/>
          <w:shd w:fill="auto" w:val="clear"/>
        </w:rPr>
        <w:t xml:space="preserve">The findings underscore the critical need for implemented fire management strategies and targeted restoration interventions to mitigate biodiversity loss and promote ecological recovery in tropical forests globally.</w:t>
      </w:r>
    </w:p>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KEYWORDS:</w:t>
      </w:r>
      <w:r>
        <w:rPr>
          <w:rFonts w:ascii="Times New Roman" w:hAnsi="Times New Roman" w:cs="Times New Roman" w:eastAsia="Times New Roman"/>
          <w:color w:val="auto"/>
          <w:spacing w:val="0"/>
          <w:position w:val="0"/>
          <w:sz w:val="20"/>
          <w:shd w:fill="auto" w:val="clear"/>
        </w:rPr>
        <w:t xml:space="preserve"> Anthropogenic Fire, Ecosystem Degradation, Nutrient Depletion, Species Diversity, Successional Arrest, Tropical Secondary Forest.</w:t>
      </w:r>
    </w:p>
    <w:p>
      <w:pPr>
        <w:spacing w:before="0" w:after="160" w:line="259"/>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 INTRODUCTION</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Fire is a crucial natural disturbance that significantly influences the structure, composition, and function of forest ecosystems around the globe, especially in tropical areas [1]. Although natural fire patterns can help maintain ecological stability, human-induced fires, often employed for purposes such as land clearing, hunting, and pasture management, have increased in frequency and intensity, resulting in extensive ecosystem degradation [2]. The ecological effects of fire are not uniform; they differ considerably based on factors like fire frequency, intensity, timing, and ecosystem resilience [3]. Fire is vital ecologically, as it shapes vegetation structure, affects soil properties, and alters microclimatic conditions within forest ecosystems. In numerous tropical regions, including Nigeria, anthropogenic burning is commonly practiced for agriculture and land management, frequently with little regard for its long-term environmental impacts. </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Secondary forests, which regenerate after prior clearance, are particularly susceptible to modified fire regimes. Their ecological development, reliant on intricate interactions among soil recovery, seed banks, and biotic relationships, can be significantly disrupted by repeated burning [4]. Regular fires can hinder succession, exhaust soil nutrient reserves, change microclimate conditions, and instigate a transition in plant communities towards dominance by fire-adapted and invasive species [5, 6]. In West African secondary forests, ongoing burning has been connected to the spread of aggressive invasive species such as </w:t>
      </w:r>
      <w:r>
        <w:rPr>
          <w:rFonts w:ascii="Times New Roman" w:hAnsi="Times New Roman" w:cs="Times New Roman" w:eastAsia="Times New Roman"/>
          <w:i/>
          <w:color w:val="auto"/>
          <w:spacing w:val="0"/>
          <w:position w:val="0"/>
          <w:sz w:val="20"/>
          <w:shd w:fill="auto" w:val="clear"/>
        </w:rPr>
        <w:t xml:space="preserve">Chromolaena odorata, Imperata cylindrica,</w:t>
      </w:r>
      <w:r>
        <w:rPr>
          <w:rFonts w:ascii="Times New Roman" w:hAnsi="Times New Roman" w:cs="Times New Roman" w:eastAsia="Times New Roman"/>
          <w:color w:val="auto"/>
          <w:spacing w:val="0"/>
          <w:position w:val="0"/>
          <w:sz w:val="20"/>
          <w:shd w:fill="auto" w:val="clear"/>
        </w:rPr>
        <w:t xml:space="preserve"> and </w:t>
      </w:r>
      <w:r>
        <w:rPr>
          <w:rFonts w:ascii="Times New Roman" w:hAnsi="Times New Roman" w:cs="Times New Roman" w:eastAsia="Times New Roman"/>
          <w:i/>
          <w:color w:val="auto"/>
          <w:spacing w:val="0"/>
          <w:position w:val="0"/>
          <w:sz w:val="20"/>
          <w:shd w:fill="auto" w:val="clear"/>
        </w:rPr>
        <w:t xml:space="preserve">Panicum maximum</w:t>
      </w:r>
      <w:r>
        <w:rPr>
          <w:rFonts w:ascii="Times New Roman" w:hAnsi="Times New Roman" w:cs="Times New Roman" w:eastAsia="Times New Roman"/>
          <w:color w:val="auto"/>
          <w:spacing w:val="0"/>
          <w:position w:val="0"/>
          <w:sz w:val="20"/>
          <w:shd w:fill="auto" w:val="clear"/>
        </w:rPr>
        <w:t xml:space="preserve"> [7, 8]. These species often create dense stands that suppress the native understory flora and lower overall biodiversity [9]. Moreover, systems dominated by weeds can alter nutrient cycling, change soil characteristics, and obstruct forest regeneration [10]. Certain fire-adapted weeds, particularly </w:t>
      </w:r>
      <w:r>
        <w:rPr>
          <w:rFonts w:ascii="Times New Roman" w:hAnsi="Times New Roman" w:cs="Times New Roman" w:eastAsia="Times New Roman"/>
          <w:i/>
          <w:color w:val="auto"/>
          <w:spacing w:val="0"/>
          <w:position w:val="0"/>
          <w:sz w:val="20"/>
          <w:shd w:fill="auto" w:val="clear"/>
        </w:rPr>
        <w:t xml:space="preserve">Imperata cylindrica</w:t>
      </w:r>
      <w:r>
        <w:rPr>
          <w:rFonts w:ascii="Times New Roman" w:hAnsi="Times New Roman" w:cs="Times New Roman" w:eastAsia="Times New Roman"/>
          <w:color w:val="auto"/>
          <w:spacing w:val="0"/>
          <w:position w:val="0"/>
          <w:sz w:val="20"/>
          <w:shd w:fill="auto" w:val="clear"/>
        </w:rPr>
        <w:t xml:space="preserve">, produce highly flammable biomass that raises the risk of future fires, fostering a feedback loop of fire and invasion [11].</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 Nigeria, the ecological impacts of fire in secondary forests are still largely unexamined, despite their commonality. The secondary forests located on the grounds of Nnamdi Azikiwe University (NAU), Awka, serve as an excellent model system for studying these effects, as they experience a variety of fire histories. This study specifically examines how plant communities, defined here as native or exotic pioneering species that quickly populate disturbed areas, respond to different fire frequencies. Plant communities or ruderal species; possess characteristics such as rapid growth rates, high reproductive potential, effective dispersal, and resilience to environmental stress [12, 13]. In landscapes affected by fire, these species can outcompete slower-growing native plants, potentially resulting in diminished biodiversity, altered ecosystem services, and impeded forest recovery [14]. While often viewed negatively due to their effects on agriculture and native ecosystems, ruderal species can also fulfill important ecological roles. Some may aid in erosion control, contribute to soil organic matter, or provide medicinal benefits [15, 16]. Consequently, understanding the relationship between fire frequency and vegetation dynamics is crucial for creating effective land management and restoration strategies for Nigeria’s at-risk secondary forests.</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Frequent fires lead to the depletion of soil nutrients through the burning of organic matter and disruption of microbial communities. Research conducted in Nigerian forests has revealed significant declines in nitrogen, phosphorus, and organic carbon levels in soils subjected to regular burning [17]. Continuous exposure to fire also deteriorates soil structure, raises erodibility, and can result in acidification due to the leaching of base cations [18]. Conversely, forests that are not burned accumulate organic matter, support vibrant microbial communities, and retain greater soil fertility [19].</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Fire influences significant microclimatic factors, including temperature and soil moisture levels. The presence of vegetation greatly affects evaporation rates, the capacity for infiltration, and the retention of moisture. Areas that experience frequent burning tend to have lower soil water potential and dry out more quickly because of the loss of organic matter and shading plants [20]. The removal of canopy cover leads to increased exposure to solar radiation, which raises soil temperatures and impacts both plant health and biological activity in the soil [19]. While fire does not decrease rainfall levels, it disrupts hydrological functions by diminishing litter cover and enhancing soil hydrophobicity, which results in increased runoff and decreased water infiltration [21]. </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frequency of fire plays a crucial role in determining the composition and diversity of plant species. Regular burning tends to eliminate species that are sensitive to fire, favoring the growth of fire-adapted grasses and ruderal plants, which can lead to a transition from diverse forest ecosystems to less diverse grasslands or shrublands [22, 23]. In contrast, forests that are not burned maintain a richer variety of native herbs, shrubs, and trees because of stable soil conditions, the accumulation of organic matter, and moderated microclimates. </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 Nigeria, most fires are caused by human activities such as farming, hunting, and clearing land. Even in university settings like Nnamdi Azikiwe University, fire is often used for ease without proper consideration of its ecological effects. Although community surveys reflect awareness of the dangers associated with fire [24, 25], traditional habits, a lack of alternatives, and ineffective enforcement of environmental regulations continue to encourage burning practices. These disconnect between knowledge and action highlights the necessity for improved environmental education and outreach both within academic settings and local communities. The purpose of this study was to evaluate the ecological effects of fire on weed population dynamics in three secondary forests at Nnamdi Azikiwe University, Awka, which have different histories of fire exposure.</w:t>
      </w:r>
    </w:p>
    <w:p>
      <w:pPr>
        <w:keepNext w:val="true"/>
        <w:keepLines w:val="true"/>
        <w:spacing w:before="40" w:after="0" w:line="259"/>
        <w:ind w:right="0" w:left="0" w:firstLine="0"/>
        <w:jc w:val="both"/>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2. MATERIALS AND METHODS</w:t>
      </w:r>
    </w:p>
    <w:p>
      <w:pPr>
        <w:keepNext w:val="true"/>
        <w:keepLines w:val="true"/>
        <w:spacing w:before="4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Cambria" w:hAnsi="Cambria" w:cs="Cambria" w:eastAsia="Cambria"/>
          <w:b/>
          <w:color w:val="auto"/>
          <w:spacing w:val="0"/>
          <w:position w:val="0"/>
          <w:sz w:val="20"/>
          <w:shd w:fill="auto" w:val="clear"/>
        </w:rPr>
        <w:t xml:space="preserve">2.1 Study Area</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research was carried out in the forested areas of Nnamdi Azikiwe University (NAU), located in Awka, Anambra State, Southeastern Nigeria. Awka is within the lowland tropical rainforest ecological zone, positioned at latitude 6.245°N and longitude 7.119°E. This area experiences a tropical wet-and-dry climate, with two peaks of rainfall distribution occurring in June</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July and September</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October, followed by a significant dry season from November to March. The annual rainfall varies between 1,800 and 2,200 mm, while the mean annual temperature hovers around 27°C [21]. </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local vegetation predominantly features secondary tropical rainforest and savanna mosaics, which have been influenced by human activities such as agriculture, logging, and bush burning. Earlier research has highlighted a rich diversity of plant species, including trees, shrubs, and climbers [26].</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For the study, three different forest types were selected:</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t xml:space="preserve">Frequently burned forest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N</w:t>
      </w:r>
      <w:r>
        <w:rPr>
          <w:rFonts w:ascii="Times New Roman" w:hAnsi="Times New Roman" w:cs="Times New Roman" w:eastAsia="Times New Roman"/>
          <w:color w:val="auto"/>
          <w:spacing w:val="0"/>
          <w:position w:val="0"/>
          <w:sz w:val="20"/>
          <w:shd w:fill="auto" w:val="clear"/>
        </w:rPr>
        <w:t xml:space="preserve">°6.2451 / E°7.1194</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t xml:space="preserve">Periodically burned forest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N</w:t>
      </w:r>
      <w:r>
        <w:rPr>
          <w:rFonts w:ascii="Times New Roman" w:hAnsi="Times New Roman" w:cs="Times New Roman" w:eastAsia="Times New Roman"/>
          <w:color w:val="auto"/>
          <w:spacing w:val="0"/>
          <w:position w:val="0"/>
          <w:sz w:val="20"/>
          <w:shd w:fill="auto" w:val="clear"/>
        </w:rPr>
        <w:t xml:space="preserve">°6.2460 / E°7.1201</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t xml:space="preserve">Unburned forest (control)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N</w:t>
      </w:r>
      <w:r>
        <w:rPr>
          <w:rFonts w:ascii="Times New Roman" w:hAnsi="Times New Roman" w:cs="Times New Roman" w:eastAsia="Times New Roman"/>
          <w:color w:val="auto"/>
          <w:spacing w:val="0"/>
          <w:position w:val="0"/>
          <w:sz w:val="20"/>
          <w:shd w:fill="auto" w:val="clear"/>
        </w:rPr>
        <w:t xml:space="preserve">°6.2473 / E°7.1210</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selection of each site was based on (i) visible signs of past fires, such as charcoal remnants, (ii) closeness to human activities, and (iii) validation from long-term residents and university personnel.</w:t>
      </w:r>
    </w:p>
    <w:p>
      <w:pPr>
        <w:spacing w:before="100" w:after="10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2.2 Rainfall Data Collection </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Rainfall was recorded using three standard manual rain gauges (Climemet CM1016), with one gauge placed at each forest type. The gauges were set up in cleared and open areas, elevated at least 30 cm above the ground, in accordance with World Meteorological Organization [27] guidelines to prevent obstruction from vegetation or slope.</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Measurements were taken weekly between 9:00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11:00 AM using a Borosil 500 mL plastic measuring cylinder, and data were documented in field notebooks. Data collection was carried out consistently over one month (from May 1 to June 3), during the height of the rainy season. Once the sampling period concluded, rainfall data were analyzed using simple averages and Analysis of Variance (ANOVA) to determine significant differences across the studied forest types.</w:t>
      </w:r>
    </w:p>
    <w:p>
      <w:pPr>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2.3 Experimental Design </w:t>
      </w:r>
    </w:p>
    <w:p>
      <w:pPr>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 Completely Randomized Design (CRD) was utilized. In each of the three forest types, three replicate plots (20 m × 20 m) were established, culminating in a total of nine plots.</w:t>
      </w:r>
    </w:p>
    <w:p>
      <w:pPr>
        <w:spacing w:before="0" w:after="24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2.4 Vegetation Assessment </w:t>
      </w:r>
    </w:p>
    <w:p>
      <w:pPr>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forest’s vegetation illustrates different stages of secondary succession shaped by both fire and human activities. Three distinct vegetation conditions were noted:</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w:t>
        <w:tab/>
        <w:t xml:space="preserve">Frequently burned forest</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w:t>
        <w:tab/>
        <w:t xml:space="preserve">This area is dominated by fire-resistant grasses such as </w:t>
      </w:r>
      <w:r>
        <w:rPr>
          <w:rFonts w:ascii="Times New Roman" w:hAnsi="Times New Roman" w:cs="Times New Roman" w:eastAsia="Times New Roman"/>
          <w:i/>
          <w:color w:val="auto"/>
          <w:spacing w:val="0"/>
          <w:position w:val="0"/>
          <w:sz w:val="20"/>
          <w:shd w:fill="auto" w:val="clear"/>
        </w:rPr>
        <w:t xml:space="preserve">Spilanthes philicaulis</w:t>
      </w:r>
      <w:r>
        <w:rPr>
          <w:rFonts w:ascii="Times New Roman" w:hAnsi="Times New Roman" w:cs="Times New Roman" w:eastAsia="Times New Roman"/>
          <w:color w:val="auto"/>
          <w:spacing w:val="0"/>
          <w:position w:val="0"/>
          <w:sz w:val="20"/>
          <w:shd w:fill="auto" w:val="clear"/>
        </w:rPr>
        <w:t xml:space="preserve"> and </w:t>
      </w:r>
      <w:r>
        <w:rPr>
          <w:rFonts w:ascii="Times New Roman" w:hAnsi="Times New Roman" w:cs="Times New Roman" w:eastAsia="Times New Roman"/>
          <w:i/>
          <w:color w:val="auto"/>
          <w:spacing w:val="0"/>
          <w:position w:val="0"/>
          <w:sz w:val="20"/>
          <w:shd w:fill="auto" w:val="clear"/>
        </w:rPr>
        <w:t xml:space="preserve">Oldenlandia corymbosa</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w:t>
        <w:tab/>
        <w:t xml:space="preserve">Woody regeneration is minimal due to the frequent fires.</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w:t>
        <w:tab/>
        <w:t xml:space="preserve">Periodically burned forest</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w:t>
        <w:tab/>
        <w:t xml:space="preserve">This area exhibits a combination of grasses, shrubs, and young trees.</w:t>
      </w:r>
    </w:p>
    <w:p>
      <w:pPr>
        <w:spacing w:before="0" w:after="0" w:line="240"/>
        <w:ind w:right="0" w:left="720" w:hanging="72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w:t>
        <w:tab/>
        <w:t xml:space="preserve">Common species include </w:t>
      </w:r>
      <w:r>
        <w:rPr>
          <w:rFonts w:ascii="Times New Roman" w:hAnsi="Times New Roman" w:cs="Times New Roman" w:eastAsia="Times New Roman"/>
          <w:i/>
          <w:color w:val="auto"/>
          <w:spacing w:val="0"/>
          <w:position w:val="0"/>
          <w:sz w:val="20"/>
          <w:shd w:fill="auto" w:val="clear"/>
        </w:rPr>
        <w:t xml:space="preserve">Chromolaena odorata, Alchornea cordifolia</w:t>
      </w:r>
      <w:r>
        <w:rPr>
          <w:rFonts w:ascii="Times New Roman" w:hAnsi="Times New Roman" w:cs="Times New Roman" w:eastAsia="Times New Roman"/>
          <w:color w:val="auto"/>
          <w:spacing w:val="0"/>
          <w:position w:val="0"/>
          <w:sz w:val="20"/>
          <w:shd w:fill="auto" w:val="clear"/>
        </w:rPr>
        <w:t xml:space="preserve">, and scattered young trees like </w:t>
      </w:r>
      <w:r>
        <w:rPr>
          <w:rFonts w:ascii="Times New Roman" w:hAnsi="Times New Roman" w:cs="Times New Roman" w:eastAsia="Times New Roman"/>
          <w:i/>
          <w:color w:val="auto"/>
          <w:spacing w:val="0"/>
          <w:position w:val="0"/>
          <w:sz w:val="20"/>
          <w:shd w:fill="auto" w:val="clear"/>
        </w:rPr>
        <w:t xml:space="preserve">Ficus exasperata.</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w:t>
        <w:tab/>
        <w:t xml:space="preserve">Less frequent fires permit some woody regrowth.</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w:t>
        <w:tab/>
        <w:t xml:space="preserve">Unburned forest (control)</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w:t>
        <w:tab/>
        <w:t xml:space="preserve">Represents a more established secondary forest with a closed canopy and multiple layers of vegetation.</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w:t>
        <w:tab/>
        <w:t xml:space="preserve">The dominant species in this area include </w:t>
      </w:r>
      <w:r>
        <w:rPr>
          <w:rFonts w:ascii="Times New Roman" w:hAnsi="Times New Roman" w:cs="Times New Roman" w:eastAsia="Times New Roman"/>
          <w:i/>
          <w:color w:val="auto"/>
          <w:spacing w:val="0"/>
          <w:position w:val="0"/>
          <w:sz w:val="20"/>
          <w:shd w:fill="auto" w:val="clear"/>
        </w:rPr>
        <w:t xml:space="preserve">Tectona grandis</w:t>
      </w:r>
      <w:r>
        <w:rPr>
          <w:rFonts w:ascii="Times New Roman" w:hAnsi="Times New Roman" w:cs="Times New Roman" w:eastAsia="Times New Roman"/>
          <w:color w:val="auto"/>
          <w:spacing w:val="0"/>
          <w:position w:val="0"/>
          <w:sz w:val="20"/>
          <w:shd w:fill="auto" w:val="clear"/>
        </w:rPr>
        <w:t xml:space="preserve"> and </w:t>
      </w:r>
      <w:r>
        <w:rPr>
          <w:rFonts w:ascii="Times New Roman" w:hAnsi="Times New Roman" w:cs="Times New Roman" w:eastAsia="Times New Roman"/>
          <w:i/>
          <w:color w:val="auto"/>
          <w:spacing w:val="0"/>
          <w:position w:val="0"/>
          <w:sz w:val="20"/>
          <w:shd w:fill="auto" w:val="clear"/>
        </w:rPr>
        <w:t xml:space="preserve">Delonix regia</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w:t>
        <w:tab/>
        <w:t xml:space="preserve">The understory is diverse, featuring minimal grass cover and substantial leaf litter.</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Vegetation surveys were performed using Random Quadrat Sampling combined with a Grid System, supplemented by visual observations. Species identification was confirmed with the assistance of the departmental taxonomist, Dr. C. F. Iroka.</w:t>
      </w:r>
    </w:p>
    <w:p>
      <w:pPr>
        <w:spacing w:before="100" w:after="10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2.5 Soil Sampling Design </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Soil sampling adhered to the Random Quadrat Method with a grid system to ensure an unbiased representation.</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2.6 Materials used:</w:t>
      </w:r>
    </w:p>
    <w:p>
      <w:pPr>
        <w:numPr>
          <w:ilvl w:val="0"/>
          <w:numId w:val="12"/>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GPS device</w:t>
      </w:r>
    </w:p>
    <w:p>
      <w:pPr>
        <w:numPr>
          <w:ilvl w:val="0"/>
          <w:numId w:val="12"/>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Soil auger (0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15 cm depth)</w:t>
      </w:r>
    </w:p>
    <w:p>
      <w:pPr>
        <w:numPr>
          <w:ilvl w:val="0"/>
          <w:numId w:val="12"/>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Ziplock sampling bags</w:t>
      </w:r>
    </w:p>
    <w:p>
      <w:pPr>
        <w:numPr>
          <w:ilvl w:val="0"/>
          <w:numId w:val="12"/>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Permanent marker</w:t>
      </w:r>
    </w:p>
    <w:p>
      <w:pPr>
        <w:numPr>
          <w:ilvl w:val="0"/>
          <w:numId w:val="12"/>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Compass and measuring tape</w:t>
      </w:r>
    </w:p>
    <w:p>
      <w:pPr>
        <w:numPr>
          <w:ilvl w:val="0"/>
          <w:numId w:val="12"/>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Data sheet and clipboard</w:t>
      </w:r>
    </w:p>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Procedure:</w:t>
      </w:r>
      <w:r>
        <w:rPr>
          <w:rFonts w:ascii="Times New Roman" w:hAnsi="Times New Roman" w:cs="Times New Roman" w:eastAsia="Times New Roman"/>
          <w:color w:val="auto"/>
          <w:spacing w:val="0"/>
          <w:position w:val="0"/>
          <w:sz w:val="20"/>
          <w:shd w:fill="auto" w:val="clear"/>
        </w:rPr>
        <w:br/>
        <w:t xml:space="preserve">Each 20 × 20 m plot was divided into grids. Random coordinates were generated using a standard 52-card deck method, following Mitchell and Sheehy Skeffington [28]. The intersection points of the chosen coordinates determined the sampling locations.At each point, topsoil samples (0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15 cm depth) were collected using a hand auger. Samples from different plots in each of the three forests were bulked accordingly, properly labeled, stored in Ziplock bags, and transported to the laboratory for analysis of organic matter, pH, nitrogen, phosphorus, and water potential. This approach aligns with the random coordinate sampling technique described by Gómez and Gómez [29], which minimizes selection bias and ensures representative ecological data.</w:t>
      </w:r>
    </w:p>
    <w:p>
      <w:pPr>
        <w:spacing w:before="0" w:after="160" w:line="259"/>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2.7 Soil Sampling and Analysis</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Soil samples were collected from the topsoil layer (0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15 cm depth) from five random points within each plot using a soil auger. </w:t>
      </w:r>
      <w:r>
        <w:rPr>
          <w:rFonts w:ascii="Times New Roman" w:hAnsi="Times New Roman" w:cs="Times New Roman" w:eastAsia="Times New Roman"/>
          <w:color w:val="auto"/>
          <w:spacing w:val="0"/>
          <w:position w:val="0"/>
          <w:sz w:val="20"/>
          <w:shd w:fill="FFFFFF" w:val="clear"/>
        </w:rPr>
        <w:t xml:space="preserve">Samples from the five random points within a single plot were composited to form one representative sample per plot. This was repeated for each of the three replicate plots per forest type, ensuring the plot remained the statistical unit of replication. </w:t>
      </w:r>
      <w:r>
        <w:rPr>
          <w:rFonts w:ascii="Times New Roman" w:hAnsi="Times New Roman" w:cs="Times New Roman" w:eastAsia="Times New Roman"/>
          <w:color w:val="auto"/>
          <w:spacing w:val="0"/>
          <w:position w:val="0"/>
          <w:sz w:val="20"/>
          <w:shd w:fill="auto" w:val="clear"/>
        </w:rPr>
        <w:t xml:space="preserve">The samples from each plot were air-dried, ground, and passed through a 2 mm sieve for homogenization before laboratory analysis.</w:t>
      </w:r>
    </w:p>
    <w:p>
      <w:pPr>
        <w:spacing w:before="0" w:after="160" w:line="259"/>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2.8 Soil Organic Matter (SOM): </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SOM was determined using the Walkley-Black wet oxidation method [30]. Briefly, a known weight of soil was digested with a mixture of potassium dichromate (K</w:t>
      </w:r>
      <w:r>
        <w:rPr>
          <w:rFonts w:ascii="Times New Roman" w:hAnsi="Times New Roman" w:cs="Times New Roman" w:eastAsia="Times New Roman"/>
          <w:color w:val="auto"/>
          <w:spacing w:val="0"/>
          <w:position w:val="0"/>
          <w:sz w:val="20"/>
          <w:shd w:fill="auto" w:val="clear"/>
        </w:rPr>
        <w:t xml:space="preserve">₂</w:t>
      </w:r>
      <w:r>
        <w:rPr>
          <w:rFonts w:ascii="Times New Roman" w:hAnsi="Times New Roman" w:cs="Times New Roman" w:eastAsia="Times New Roman"/>
          <w:color w:val="auto"/>
          <w:spacing w:val="0"/>
          <w:position w:val="0"/>
          <w:sz w:val="20"/>
          <w:shd w:fill="auto" w:val="clear"/>
        </w:rPr>
        <w:t xml:space="preserve">Cr</w:t>
      </w:r>
      <w:r>
        <w:rPr>
          <w:rFonts w:ascii="Times New Roman" w:hAnsi="Times New Roman" w:cs="Times New Roman" w:eastAsia="Times New Roman"/>
          <w:color w:val="auto"/>
          <w:spacing w:val="0"/>
          <w:position w:val="0"/>
          <w:sz w:val="20"/>
          <w:shd w:fill="auto" w:val="clear"/>
        </w:rPr>
        <w:t xml:space="preserve">₂</w:t>
      </w:r>
      <w:r>
        <w:rPr>
          <w:rFonts w:ascii="Times New Roman" w:hAnsi="Times New Roman" w:cs="Times New Roman" w:eastAsia="Times New Roman"/>
          <w:color w:val="auto"/>
          <w:spacing w:val="0"/>
          <w:position w:val="0"/>
          <w:sz w:val="20"/>
          <w:shd w:fill="auto" w:val="clear"/>
        </w:rPr>
        <w:t xml:space="preserve">O</w:t>
      </w:r>
      <w:r>
        <w:rPr>
          <w:rFonts w:ascii="Times New Roman" w:hAnsi="Times New Roman" w:cs="Times New Roman" w:eastAsia="Times New Roman"/>
          <w:color w:val="auto"/>
          <w:spacing w:val="0"/>
          <w:position w:val="0"/>
          <w:sz w:val="20"/>
          <w:shd w:fill="auto" w:val="clear"/>
        </w:rPr>
        <w:t xml:space="preserve">₇</w:t>
      </w:r>
      <w:r>
        <w:rPr>
          <w:rFonts w:ascii="Times New Roman" w:hAnsi="Times New Roman" w:cs="Times New Roman" w:eastAsia="Times New Roman"/>
          <w:color w:val="auto"/>
          <w:spacing w:val="0"/>
          <w:position w:val="0"/>
          <w:sz w:val="20"/>
          <w:shd w:fill="auto" w:val="clear"/>
        </w:rPr>
        <w:t xml:space="preserve">) and sulfuric acid (H</w:t>
      </w:r>
      <w:r>
        <w:rPr>
          <w:rFonts w:ascii="Times New Roman" w:hAnsi="Times New Roman" w:cs="Times New Roman" w:eastAsia="Times New Roman"/>
          <w:color w:val="auto"/>
          <w:spacing w:val="0"/>
          <w:position w:val="0"/>
          <w:sz w:val="20"/>
          <w:shd w:fill="auto" w:val="clear"/>
        </w:rPr>
        <w:t xml:space="preserve">₂</w:t>
      </w:r>
      <w:r>
        <w:rPr>
          <w:rFonts w:ascii="Times New Roman" w:hAnsi="Times New Roman" w:cs="Times New Roman" w:eastAsia="Times New Roman"/>
          <w:color w:val="auto"/>
          <w:spacing w:val="0"/>
          <w:position w:val="0"/>
          <w:sz w:val="20"/>
          <w:shd w:fill="auto" w:val="clear"/>
        </w:rPr>
        <w:t xml:space="preserve">SO</w:t>
      </w:r>
      <w:r>
        <w:rPr>
          <w:rFonts w:ascii="Times New Roman" w:hAnsi="Times New Roman" w:cs="Times New Roman" w:eastAsia="Times New Roman"/>
          <w:color w:val="auto"/>
          <w:spacing w:val="0"/>
          <w:position w:val="0"/>
          <w:sz w:val="20"/>
          <w:shd w:fill="auto" w:val="clear"/>
        </w:rPr>
        <w:t xml:space="preserve">₄</w:t>
      </w:r>
      <w:r>
        <w:rPr>
          <w:rFonts w:ascii="Times New Roman" w:hAnsi="Times New Roman" w:cs="Times New Roman" w:eastAsia="Times New Roman"/>
          <w:color w:val="auto"/>
          <w:spacing w:val="0"/>
          <w:position w:val="0"/>
          <w:sz w:val="20"/>
          <w:shd w:fill="auto" w:val="clear"/>
        </w:rPr>
        <w:t xml:space="preserve">), and the excess dichromate was titrated with ferrous ammonium sulfate to calculate the organic carbon content, which was then converted to SOM by multiplying by a factor of 1.724.</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Soil pH: Soil pH was measured potentiometrically in a 1:2.5 (w/v) soil-to-water suspension using a calibrated glass electrode pH meter [31].</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Soil Nitrogen (N): Total nitrogen content was determined by the micro-Kjeldahl digestion, distillation, and titration method [32]. This involved digesting the soil in concentrated sulfuric acid with a catalyst to convert organic nitrogen to ammonium sulfate, which was then distilled and titrated.</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Available Phosphorus (P): Available phosphorus was extracted using the Bray-1 method [33] for acidic soils. The extractant (0.03N NH</w:t>
      </w:r>
      <w:r>
        <w:rPr>
          <w:rFonts w:ascii="Times New Roman" w:hAnsi="Times New Roman" w:cs="Times New Roman" w:eastAsia="Times New Roman"/>
          <w:color w:val="auto"/>
          <w:spacing w:val="0"/>
          <w:position w:val="0"/>
          <w:sz w:val="20"/>
          <w:shd w:fill="auto" w:val="clear"/>
        </w:rPr>
        <w:t xml:space="preserve">₄</w:t>
      </w:r>
      <w:r>
        <w:rPr>
          <w:rFonts w:ascii="Times New Roman" w:hAnsi="Times New Roman" w:cs="Times New Roman" w:eastAsia="Times New Roman"/>
          <w:color w:val="auto"/>
          <w:spacing w:val="0"/>
          <w:position w:val="0"/>
          <w:sz w:val="20"/>
          <w:shd w:fill="auto" w:val="clear"/>
        </w:rPr>
        <w:t xml:space="preserve">F + 0.025N HCl) was mixed with the soil, filtered, and the phosphorus concentration in the filtrate was determined colorimetrically by the ascorbic acid method [34].</w:t>
      </w:r>
    </w:p>
    <w:p>
      <w:pPr>
        <w:spacing w:before="0" w:after="160" w:line="259"/>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2.9 Microclimatic Data Collection</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Soil Water Potential: Soil water potential (matric potential) was measured </w:t>
      </w:r>
      <w:r>
        <w:rPr>
          <w:rFonts w:ascii="Times New Roman" w:hAnsi="Times New Roman" w:cs="Times New Roman" w:eastAsia="Times New Roman"/>
          <w:i/>
          <w:color w:val="auto"/>
          <w:spacing w:val="0"/>
          <w:position w:val="0"/>
          <w:sz w:val="20"/>
          <w:shd w:fill="auto" w:val="clear"/>
        </w:rPr>
        <w:t xml:space="preserve">in situ</w:t>
      </w:r>
      <w:r>
        <w:rPr>
          <w:rFonts w:ascii="Times New Roman" w:hAnsi="Times New Roman" w:cs="Times New Roman" w:eastAsia="Times New Roman"/>
          <w:color w:val="auto"/>
          <w:spacing w:val="0"/>
          <w:position w:val="0"/>
          <w:sz w:val="20"/>
          <w:shd w:fill="auto" w:val="clear"/>
        </w:rPr>
        <w:t xml:space="preserve"> using a tensiometer or psychrometer at a depth of 15 cm. Readings were taken between 7:00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9:00 AM on the same day for all plots to minimize diurnal variation [35].</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Temperature: Ambient temperature was recorded at 1 m above ground level in the center of each plot using a digital hygro-thermometer. Daily readings were taken at 12:00 noon for one week, and the average for each plot was used for analysis [36].</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Rainfall and Rainfall Retention: A standard manual rain gauge (with a funnel diameter of 127 mm) was installed in an open area near each forest type. Rainfall was measured daily at 9:00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11:00 AM. To calculate rainfall retention, throughfall was measured using three randomly placed collection gauges under the canopy in each plot. Rainfall retention was calculated according to method by Zimmermann et al. [37] as:</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Retention (%) = (</w:t>
      </w:r>
      <w:r>
        <w:rPr>
          <w:rFonts w:ascii="Times New Roman" w:hAnsi="Times New Roman" w:cs="Times New Roman" w:eastAsia="Times New Roman"/>
          <w:color w:val="auto"/>
          <w:spacing w:val="0"/>
          <w:position w:val="0"/>
          <w:sz w:val="20"/>
          <w:u w:val="single"/>
          <w:shd w:fill="auto" w:val="clear"/>
        </w:rPr>
        <w:t xml:space="preserve">Rainfall - Throughfall</w:t>
      </w:r>
      <w:r>
        <w:rPr>
          <w:rFonts w:ascii="Times New Roman" w:hAnsi="Times New Roman" w:cs="Times New Roman" w:eastAsia="Times New Roman"/>
          <w:color w:val="auto"/>
          <w:spacing w:val="0"/>
          <w:position w:val="0"/>
          <w:sz w:val="20"/>
          <w:shd w:fill="auto" w:val="clear"/>
        </w:rPr>
        <w:t xml:space="preserve">) x 100.</w:t>
      </w:r>
    </w:p>
    <w:p>
      <w:pPr>
        <w:spacing w:before="0" w:after="160" w:line="259"/>
        <w:ind w:right="0" w:left="1440" w:firstLine="72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Rainfall</w:t>
      </w:r>
    </w:p>
    <w:p>
      <w:pPr>
        <w:spacing w:before="0" w:after="160" w:line="259"/>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2.10 Vegetation Survey</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Within each 20 m x 20 m plot, flora was surveyed using a systematic sampling approach. All vascular plant species were identified and counted. Species identification was confirmed using standard floras (e.g., Flora of West Tropical Africa) and with the assistance of a taxonomist.</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Species Richness: The total number of species present in each plot was recorded as species richness [38].</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Shannon Diversity Index (H'): This index was calculated to determine species diversity, incorporating both richness and evenness. It was computed using the formula:</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*H' = -</w:t>
      </w:r>
      <w:r>
        <w:rPr>
          <w:rFonts w:ascii="Times New Roman" w:hAnsi="Times New Roman" w:cs="Times New Roman" w:eastAsia="Times New Roman"/>
          <w:color w:val="auto"/>
          <w:spacing w:val="0"/>
          <w:position w:val="0"/>
          <w:sz w:val="20"/>
          <w:shd w:fill="auto" w:val="clear"/>
        </w:rPr>
        <w:t xml:space="preserve">Σ (p_i x ln p_i)</w:t>
      </w:r>
    </w:p>
    <w:p>
      <w:pPr>
        <w:spacing w:before="0" w:after="16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where ‘pi’ is the proportion of individuals found of the ‘I’th species [39].</w:t>
      </w:r>
    </w:p>
    <w:p>
      <w:pPr>
        <w:spacing w:before="0" w:after="160" w:line="259"/>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2.11 Statistical Analysis</w:t>
      </w:r>
    </w:p>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All data were analyzed using One-Way Analysis of Variance (ANOVA) in SPSS Statistics version 25.0 (IBM Corp., Armonk, NY, USA). The assumptions of normality (Shapiro</w:t>
      </w:r>
      <w:r>
        <w:rPr>
          <w:rFonts w:ascii="Times New Roman" w:hAnsi="Times New Roman" w:cs="Times New Roman" w:eastAsia="Times New Roman"/>
          <w:color w:val="auto"/>
          <w:spacing w:val="0"/>
          <w:position w:val="0"/>
          <w:sz w:val="20"/>
          <w:shd w:fill="auto" w:val="clear"/>
        </w:rPr>
        <w:t xml:space="preserve">–Wilk test) and homogeneity of variances (Levene’s test) were verified before performing ANOVA. Where significant differences were detected (p &lt; 0.05), means were separated using the Least Significant Difference (LSD) post-hoc test at the 5% probability level. Data are presented as Mean </w:t>
      </w:r>
      <w:r>
        <w:rPr>
          <w:rFonts w:ascii="Times New Roman" w:hAnsi="Times New Roman" w:cs="Times New Roman" w:eastAsia="Times New Roman"/>
          <w:color w:val="auto"/>
          <w:spacing w:val="0"/>
          <w:position w:val="0"/>
          <w:sz w:val="20"/>
          <w:shd w:fill="auto" w:val="clear"/>
        </w:rPr>
        <w:t xml:space="preserve">± Standard Error (SE), and means followed by different letters indicate significant differences at p &lt; 0.05.</w:t>
      </w:r>
    </w:p>
    <w:p>
      <w:pPr>
        <w:spacing w:before="0" w:after="16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3. RESULTS</w:t>
      </w:r>
    </w:p>
    <w:p>
      <w:pPr>
        <w:spacing w:before="10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Table 1: Mean separation of Soil Organic Matter(SOM)</w:t>
      </w:r>
    </w:p>
    <w:tbl>
      <w:tblPr/>
      <w:tblGrid>
        <w:gridCol w:w="3251"/>
        <w:gridCol w:w="3654"/>
        <w:gridCol w:w="2653"/>
      </w:tblGrid>
      <w:tr>
        <w:trPr>
          <w:trHeight w:val="395" w:hRule="auto"/>
          <w:jc w:val="left"/>
        </w:trPr>
        <w:tc>
          <w:tcPr>
            <w:tcW w:w="3251"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Forest Type</w:t>
            </w:r>
          </w:p>
        </w:tc>
        <w:tc>
          <w:tcPr>
            <w:tcW w:w="365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Mean SOM (%) ± SE</w:t>
            </w:r>
          </w:p>
        </w:tc>
        <w:tc>
          <w:tcPr>
            <w:tcW w:w="265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Significance Group*</w:t>
            </w:r>
          </w:p>
        </w:tc>
      </w:tr>
      <w:tr>
        <w:trPr>
          <w:trHeight w:val="359" w:hRule="auto"/>
          <w:jc w:val="left"/>
        </w:trPr>
        <w:tc>
          <w:tcPr>
            <w:tcW w:w="3251"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w:t>
            </w:r>
          </w:p>
        </w:tc>
        <w:tc>
          <w:tcPr>
            <w:tcW w:w="365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2.04 ± 0.11</w:t>
            </w:r>
          </w:p>
        </w:tc>
        <w:tc>
          <w:tcPr>
            <w:tcW w:w="265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w:t>
            </w:r>
          </w:p>
        </w:tc>
      </w:tr>
      <w:tr>
        <w:trPr>
          <w:trHeight w:val="350" w:hRule="auto"/>
          <w:jc w:val="left"/>
        </w:trPr>
        <w:tc>
          <w:tcPr>
            <w:tcW w:w="3251"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Periodically Burned</w:t>
            </w:r>
          </w:p>
        </w:tc>
        <w:tc>
          <w:tcPr>
            <w:tcW w:w="365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1.54 ± 0.11</w:t>
            </w:r>
          </w:p>
        </w:tc>
        <w:tc>
          <w:tcPr>
            <w:tcW w:w="265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w:t>
            </w:r>
          </w:p>
        </w:tc>
      </w:tr>
      <w:tr>
        <w:trPr>
          <w:trHeight w:val="260" w:hRule="auto"/>
          <w:jc w:val="left"/>
        </w:trPr>
        <w:tc>
          <w:tcPr>
            <w:tcW w:w="3251"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Frequently Burned</w:t>
            </w:r>
          </w:p>
        </w:tc>
        <w:tc>
          <w:tcPr>
            <w:tcW w:w="365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1.04 ± 0.11</w:t>
            </w:r>
          </w:p>
        </w:tc>
        <w:tc>
          <w:tcPr>
            <w:tcW w:w="265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10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w:t>
            </w:r>
          </w:p>
        </w:tc>
      </w:tr>
    </w:tbl>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Table 1 indicates that the levels of soil organic matter (SOM) vary considerably across the three types of forest. The unburned location exhibits the highest amount of soil organic matter, while the periodically burned area comes next, and the frequently burned site has the least. The LSD test validated that these differences are statistically significant, demonstrating that the frequency of fire has a significant impact on soil organic matter content.</w:t>
      </w:r>
    </w:p>
    <w:p>
      <w:pPr>
        <w:spacing w:before="0" w:after="16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Table 2: Mean Separation of Soil pH</w:t>
      </w:r>
    </w:p>
    <w:tbl>
      <w:tblPr/>
      <w:tblGrid>
        <w:gridCol w:w="4066"/>
        <w:gridCol w:w="2280"/>
        <w:gridCol w:w="3212"/>
      </w:tblGrid>
      <w:tr>
        <w:trPr>
          <w:trHeight w:val="233" w:hRule="auto"/>
          <w:jc w:val="left"/>
        </w:trPr>
        <w:tc>
          <w:tcPr>
            <w:tcW w:w="406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Site</w:t>
            </w:r>
          </w:p>
        </w:tc>
        <w:tc>
          <w:tcPr>
            <w:tcW w:w="22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Mean pH</w:t>
            </w:r>
          </w:p>
        </w:tc>
        <w:tc>
          <w:tcPr>
            <w:tcW w:w="321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Grouping (LSD)</w:t>
            </w:r>
          </w:p>
        </w:tc>
      </w:tr>
      <w:tr>
        <w:trPr>
          <w:trHeight w:val="287" w:hRule="auto"/>
          <w:jc w:val="left"/>
        </w:trPr>
        <w:tc>
          <w:tcPr>
            <w:tcW w:w="406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w:t>
            </w:r>
          </w:p>
        </w:tc>
        <w:tc>
          <w:tcPr>
            <w:tcW w:w="22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6.08</w:t>
            </w:r>
          </w:p>
        </w:tc>
        <w:tc>
          <w:tcPr>
            <w:tcW w:w="321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w:t>
            </w:r>
          </w:p>
        </w:tc>
      </w:tr>
      <w:tr>
        <w:trPr>
          <w:trHeight w:val="242" w:hRule="auto"/>
          <w:jc w:val="left"/>
        </w:trPr>
        <w:tc>
          <w:tcPr>
            <w:tcW w:w="406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Periodically Burned</w:t>
            </w:r>
          </w:p>
        </w:tc>
        <w:tc>
          <w:tcPr>
            <w:tcW w:w="22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5.64</w:t>
            </w:r>
          </w:p>
        </w:tc>
        <w:tc>
          <w:tcPr>
            <w:tcW w:w="321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w:t>
            </w:r>
          </w:p>
        </w:tc>
      </w:tr>
      <w:tr>
        <w:trPr>
          <w:trHeight w:val="296" w:hRule="auto"/>
          <w:jc w:val="left"/>
        </w:trPr>
        <w:tc>
          <w:tcPr>
            <w:tcW w:w="406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Frequently Burned</w:t>
            </w:r>
          </w:p>
        </w:tc>
        <w:tc>
          <w:tcPr>
            <w:tcW w:w="22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5.26</w:t>
            </w:r>
          </w:p>
        </w:tc>
        <w:tc>
          <w:tcPr>
            <w:tcW w:w="321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w:t>
            </w:r>
          </w:p>
        </w:tc>
      </w:tr>
    </w:tbl>
    <w:p>
      <w:pPr>
        <w:spacing w:before="24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frequency of fires as shown in table 2 above has a significant impact on soil acidity, revealing that sites that are burned frequently exhibit more acidic soil (lower pH) in comparison to sites that are burned periodically and those that are not burned at all. The soils in unburned forests tend to have a pH that is nearer to neutral, indicating a lower level of disturbance and increased soil stability.</w:t>
      </w:r>
    </w:p>
    <w:p>
      <w:pPr>
        <w:spacing w:before="0" w:after="16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Table 3: Soil Nitrogen Content (%) and Mean Separation among Forest Types</w:t>
      </w:r>
    </w:p>
    <w:tbl>
      <w:tblPr/>
      <w:tblGrid>
        <w:gridCol w:w="2443"/>
        <w:gridCol w:w="3148"/>
        <w:gridCol w:w="4007"/>
      </w:tblGrid>
      <w:tr>
        <w:trPr>
          <w:trHeight w:val="341" w:hRule="auto"/>
          <w:jc w:val="left"/>
        </w:trPr>
        <w:tc>
          <w:tcPr>
            <w:tcW w:w="244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Forest Type</w:t>
            </w:r>
          </w:p>
        </w:tc>
        <w:tc>
          <w:tcPr>
            <w:tcW w:w="314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Mean Nitrogen (%) ± SE</w:t>
            </w:r>
          </w:p>
        </w:tc>
        <w:tc>
          <w:tcPr>
            <w:tcW w:w="400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Mean Separation (LSD = 0.0139)</w:t>
            </w:r>
          </w:p>
        </w:tc>
      </w:tr>
      <w:tr>
        <w:trPr>
          <w:trHeight w:val="305" w:hRule="auto"/>
          <w:jc w:val="left"/>
        </w:trPr>
        <w:tc>
          <w:tcPr>
            <w:tcW w:w="244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Frequently Burned</w:t>
            </w:r>
          </w:p>
        </w:tc>
        <w:tc>
          <w:tcPr>
            <w:tcW w:w="314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0.062 ± 0.004</w:t>
            </w:r>
          </w:p>
        </w:tc>
        <w:tc>
          <w:tcPr>
            <w:tcW w:w="400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w:t>
            </w:r>
          </w:p>
        </w:tc>
      </w:tr>
      <w:tr>
        <w:trPr>
          <w:trHeight w:val="260" w:hRule="auto"/>
          <w:jc w:val="left"/>
        </w:trPr>
        <w:tc>
          <w:tcPr>
            <w:tcW w:w="244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Periodically Burned</w:t>
            </w:r>
          </w:p>
        </w:tc>
        <w:tc>
          <w:tcPr>
            <w:tcW w:w="314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0.106 ± 0.005</w:t>
            </w:r>
          </w:p>
        </w:tc>
        <w:tc>
          <w:tcPr>
            <w:tcW w:w="400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w:t>
            </w:r>
          </w:p>
        </w:tc>
      </w:tr>
      <w:tr>
        <w:trPr>
          <w:trHeight w:val="224" w:hRule="auto"/>
          <w:jc w:val="left"/>
        </w:trPr>
        <w:tc>
          <w:tcPr>
            <w:tcW w:w="244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w:t>
            </w:r>
          </w:p>
        </w:tc>
        <w:tc>
          <w:tcPr>
            <w:tcW w:w="314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0.154 ± 0.005</w:t>
            </w:r>
          </w:p>
        </w:tc>
        <w:tc>
          <w:tcPr>
            <w:tcW w:w="400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w:t>
            </w:r>
          </w:p>
        </w:tc>
      </w:tr>
    </w:tbl>
    <w:p>
      <w:pPr>
        <w:spacing w:before="24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nitrogen content of soil shown in table 3 differs considerably among the three types of forests. Plots that are frequently burned exhibit the lowest levels of nitrogen, while those that are periodically burned show moderate amounts, and unburned plots contain the highest levels. This trend demonstrates nitrogen depletion due to frequent fires and greater nutrient retention in undisturbed soil.</w:t>
      </w:r>
    </w:p>
    <w:p>
      <w:pPr>
        <w:spacing w:before="0" w:after="16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Table 4: Soil Phosphorus Content (mg/kg) and Mean Separation among Forest Types</w:t>
      </w:r>
    </w:p>
    <w:tbl>
      <w:tblPr/>
      <w:tblGrid>
        <w:gridCol w:w="2676"/>
        <w:gridCol w:w="3522"/>
        <w:gridCol w:w="1672"/>
        <w:gridCol w:w="1835"/>
      </w:tblGrid>
      <w:tr>
        <w:trPr>
          <w:trHeight w:val="395" w:hRule="auto"/>
          <w:jc w:val="left"/>
        </w:trPr>
        <w:tc>
          <w:tcPr>
            <w:tcW w:w="267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Forest Type</w:t>
            </w:r>
          </w:p>
        </w:tc>
        <w:tc>
          <w:tcPr>
            <w:tcW w:w="352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Phosphorus (mg/kg) ± SE</w:t>
            </w:r>
          </w:p>
        </w:tc>
        <w:tc>
          <w:tcPr>
            <w:tcW w:w="167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LSD (0.05)</w:t>
            </w:r>
          </w:p>
        </w:tc>
        <w:tc>
          <w:tcPr>
            <w:tcW w:w="1835"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Significance</w:t>
            </w:r>
          </w:p>
        </w:tc>
      </w:tr>
      <w:tr>
        <w:trPr>
          <w:trHeight w:val="350" w:hRule="auto"/>
          <w:jc w:val="left"/>
        </w:trPr>
        <w:tc>
          <w:tcPr>
            <w:tcW w:w="267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Frequently Burned</w:t>
            </w:r>
          </w:p>
        </w:tc>
        <w:tc>
          <w:tcPr>
            <w:tcW w:w="352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8.50 ± 1.40 c</w:t>
            </w:r>
          </w:p>
        </w:tc>
        <w:tc>
          <w:tcPr>
            <w:tcW w:w="167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1.25</w:t>
            </w:r>
          </w:p>
        </w:tc>
        <w:tc>
          <w:tcPr>
            <w:tcW w:w="1835"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Significant</w:t>
            </w:r>
          </w:p>
        </w:tc>
      </w:tr>
      <w:tr>
        <w:trPr>
          <w:trHeight w:val="305" w:hRule="auto"/>
          <w:jc w:val="left"/>
        </w:trPr>
        <w:tc>
          <w:tcPr>
            <w:tcW w:w="267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Periodically Burned</w:t>
            </w:r>
          </w:p>
        </w:tc>
        <w:tc>
          <w:tcPr>
            <w:tcW w:w="352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11.20 ± 1.10 b</w:t>
            </w:r>
          </w:p>
        </w:tc>
        <w:tc>
          <w:tcPr>
            <w:tcW w:w="167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1835"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r>
        <w:trPr>
          <w:trHeight w:val="215" w:hRule="auto"/>
          <w:jc w:val="left"/>
        </w:trPr>
        <w:tc>
          <w:tcPr>
            <w:tcW w:w="267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w:t>
            </w:r>
          </w:p>
        </w:tc>
        <w:tc>
          <w:tcPr>
            <w:tcW w:w="352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14.80 ± 1.30 a</w:t>
            </w:r>
          </w:p>
        </w:tc>
        <w:tc>
          <w:tcPr>
            <w:tcW w:w="1672"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1835"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bl>
    <w:p>
      <w:pPr>
        <w:keepNext w:val="true"/>
        <w:keepLines w:val="true"/>
        <w:spacing w:before="4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According to table 4, the level of soil phosphorus was greatest in the unburned forest (14.80 ± 1.30 mg/kg), moderate in the periodically burned forest (11.20 ± 1.10 mg/kg), and least in the frequently burned forest (8.50 ± 1.40 mg/kg). The LSD value of 1.25 verified that these differences were statistically significant. The reduction in phosphorus in frequently burned areas was attributed to nutrient loss resulting from volatilization and erosion, whereas unburned locations retained higher phosphorus levels due to the decomposition of organic matter and minimal disruption.</w:t>
      </w:r>
    </w:p>
    <w:p>
      <w:pPr>
        <w:keepNext w:val="true"/>
        <w:keepLines w:val="true"/>
        <w:spacing w:before="40" w:after="0" w:line="240"/>
        <w:ind w:right="0" w:left="0" w:firstLine="72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Table 5: Mean Separation of Average Temperature.</w:t>
      </w:r>
    </w:p>
    <w:tbl>
      <w:tblPr/>
      <w:tblGrid>
        <w:gridCol w:w="2303"/>
        <w:gridCol w:w="4437"/>
        <w:gridCol w:w="1439"/>
        <w:gridCol w:w="1580"/>
      </w:tblGrid>
      <w:tr>
        <w:trPr>
          <w:trHeight w:val="242" w:hRule="auto"/>
          <w:jc w:val="left"/>
        </w:trPr>
        <w:tc>
          <w:tcPr>
            <w:tcW w:w="230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Forest Type</w:t>
            </w:r>
          </w:p>
        </w:tc>
        <w:tc>
          <w:tcPr>
            <w:tcW w:w="443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Average Temperature (°C) Mean ± SE</w:t>
            </w:r>
          </w:p>
        </w:tc>
        <w:tc>
          <w:tcPr>
            <w:tcW w:w="143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LSD (0.05)</w:t>
            </w:r>
          </w:p>
        </w:tc>
        <w:tc>
          <w:tcPr>
            <w:tcW w:w="15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Significance</w:t>
            </w:r>
          </w:p>
        </w:tc>
      </w:tr>
      <w:tr>
        <w:trPr>
          <w:trHeight w:val="287" w:hRule="auto"/>
          <w:jc w:val="left"/>
        </w:trPr>
        <w:tc>
          <w:tcPr>
            <w:tcW w:w="230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Frequently Burned</w:t>
            </w:r>
          </w:p>
        </w:tc>
        <w:tc>
          <w:tcPr>
            <w:tcW w:w="443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33.5 ± 0.7 a</w:t>
            </w:r>
          </w:p>
        </w:tc>
        <w:tc>
          <w:tcPr>
            <w:tcW w:w="143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0.63</w:t>
            </w:r>
          </w:p>
        </w:tc>
        <w:tc>
          <w:tcPr>
            <w:tcW w:w="15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Significant</w:t>
            </w:r>
          </w:p>
        </w:tc>
      </w:tr>
      <w:tr>
        <w:trPr>
          <w:trHeight w:val="251" w:hRule="auto"/>
          <w:jc w:val="left"/>
        </w:trPr>
        <w:tc>
          <w:tcPr>
            <w:tcW w:w="230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Periodically Burned</w:t>
            </w:r>
          </w:p>
        </w:tc>
        <w:tc>
          <w:tcPr>
            <w:tcW w:w="443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31.1 ± 0.6 b</w:t>
            </w:r>
          </w:p>
        </w:tc>
        <w:tc>
          <w:tcPr>
            <w:tcW w:w="143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15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r>
        <w:trPr>
          <w:trHeight w:val="206" w:hRule="auto"/>
          <w:jc w:val="left"/>
        </w:trPr>
        <w:tc>
          <w:tcPr>
            <w:tcW w:w="230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w:t>
            </w:r>
          </w:p>
        </w:tc>
        <w:tc>
          <w:tcPr>
            <w:tcW w:w="443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28.9 ± 0.5 c</w:t>
            </w:r>
          </w:p>
        </w:tc>
        <w:tc>
          <w:tcPr>
            <w:tcW w:w="143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15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bl>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Table 5 indicated that there were notable variations in average temperatures across the three types of forests. The plots that were frequently burned exhibited the highest average temperature (33.5 ± 0.7 °C), followed by those that were periodically burned (31.1 ± 0.6 °C), while the unburned plots had the lowest temperature (28.9 ± 0.5 °C). These differences were statistically significant as verified by LSD at the 5% level (LSD = 0.63 °C).</w:t>
      </w:r>
    </w:p>
    <w:p>
      <w:pPr>
        <w:spacing w:before="10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Table 6: Weekly rainfall (9:00</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11:00 AM) and corresponding retained water (mm) across forest types</w:t>
      </w:r>
    </w:p>
    <w:tbl>
      <w:tblPr/>
      <w:tblGrid>
        <w:gridCol w:w="706"/>
        <w:gridCol w:w="1459"/>
        <w:gridCol w:w="2217"/>
        <w:gridCol w:w="1769"/>
        <w:gridCol w:w="2000"/>
        <w:gridCol w:w="1659"/>
      </w:tblGrid>
      <w:tr>
        <w:trPr>
          <w:trHeight w:val="530" w:hRule="auto"/>
          <w:jc w:val="left"/>
        </w:trPr>
        <w:tc>
          <w:tcPr>
            <w:tcW w:w="70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Week</w:t>
            </w:r>
          </w:p>
        </w:tc>
        <w:tc>
          <w:tcPr>
            <w:tcW w:w="14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Dates</w:t>
            </w:r>
          </w:p>
        </w:tc>
        <w:tc>
          <w:tcPr>
            <w:tcW w:w="221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72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Rainfall(mm)</w:t>
            </w:r>
          </w:p>
        </w:tc>
        <w:tc>
          <w:tcPr>
            <w:tcW w:w="176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w:t>
            </w:r>
          </w:p>
        </w:tc>
        <w:tc>
          <w:tcPr>
            <w:tcW w:w="200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Periodically</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Burn</w:t>
            </w:r>
          </w:p>
        </w:tc>
        <w:tc>
          <w:tcPr>
            <w:tcW w:w="16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Frequently</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Burn</w:t>
            </w:r>
          </w:p>
        </w:tc>
      </w:tr>
      <w:tr>
        <w:trPr>
          <w:trHeight w:val="368" w:hRule="auto"/>
          <w:jc w:val="left"/>
        </w:trPr>
        <w:tc>
          <w:tcPr>
            <w:tcW w:w="70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4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7 May</w:t>
            </w:r>
          </w:p>
        </w:tc>
        <w:tc>
          <w:tcPr>
            <w:tcW w:w="221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72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31.1</w:t>
            </w:r>
          </w:p>
        </w:tc>
        <w:tc>
          <w:tcPr>
            <w:tcW w:w="176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26.5</w:t>
            </w:r>
          </w:p>
        </w:tc>
        <w:tc>
          <w:tcPr>
            <w:tcW w:w="200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24.4</w:t>
            </w:r>
          </w:p>
        </w:tc>
        <w:tc>
          <w:tcPr>
            <w:tcW w:w="16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21.9</w:t>
            </w:r>
          </w:p>
        </w:tc>
      </w:tr>
      <w:tr>
        <w:trPr>
          <w:trHeight w:val="431" w:hRule="auto"/>
          <w:jc w:val="left"/>
        </w:trPr>
        <w:tc>
          <w:tcPr>
            <w:tcW w:w="70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4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14 May</w:t>
            </w:r>
          </w:p>
        </w:tc>
        <w:tc>
          <w:tcPr>
            <w:tcW w:w="221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72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35.5</w:t>
            </w:r>
          </w:p>
        </w:tc>
        <w:tc>
          <w:tcPr>
            <w:tcW w:w="176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30.3</w:t>
            </w:r>
          </w:p>
        </w:tc>
        <w:tc>
          <w:tcPr>
            <w:tcW w:w="200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27.9</w:t>
            </w:r>
          </w:p>
        </w:tc>
        <w:tc>
          <w:tcPr>
            <w:tcW w:w="16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25.0</w:t>
            </w:r>
          </w:p>
        </w:tc>
      </w:tr>
      <w:tr>
        <w:trPr>
          <w:trHeight w:val="404" w:hRule="auto"/>
          <w:jc w:val="left"/>
        </w:trPr>
        <w:tc>
          <w:tcPr>
            <w:tcW w:w="70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14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15</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21 May</w:t>
            </w:r>
          </w:p>
        </w:tc>
        <w:tc>
          <w:tcPr>
            <w:tcW w:w="221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72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23.9</w:t>
            </w:r>
          </w:p>
        </w:tc>
        <w:tc>
          <w:tcPr>
            <w:tcW w:w="176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20.4</w:t>
            </w:r>
          </w:p>
        </w:tc>
        <w:tc>
          <w:tcPr>
            <w:tcW w:w="200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18.8</w:t>
            </w:r>
          </w:p>
        </w:tc>
        <w:tc>
          <w:tcPr>
            <w:tcW w:w="16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16.8</w:t>
            </w:r>
          </w:p>
        </w:tc>
      </w:tr>
      <w:tr>
        <w:trPr>
          <w:trHeight w:val="296" w:hRule="auto"/>
          <w:jc w:val="left"/>
        </w:trPr>
        <w:tc>
          <w:tcPr>
            <w:tcW w:w="70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14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22</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28 May</w:t>
            </w:r>
          </w:p>
        </w:tc>
        <w:tc>
          <w:tcPr>
            <w:tcW w:w="221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72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34.7</w:t>
            </w:r>
          </w:p>
        </w:tc>
        <w:tc>
          <w:tcPr>
            <w:tcW w:w="176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29.6</w:t>
            </w:r>
          </w:p>
        </w:tc>
        <w:tc>
          <w:tcPr>
            <w:tcW w:w="200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27.3</w:t>
            </w:r>
          </w:p>
        </w:tc>
        <w:tc>
          <w:tcPr>
            <w:tcW w:w="16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24.4</w:t>
            </w:r>
          </w:p>
        </w:tc>
      </w:tr>
      <w:tr>
        <w:trPr>
          <w:trHeight w:val="377" w:hRule="auto"/>
          <w:jc w:val="left"/>
        </w:trPr>
        <w:tc>
          <w:tcPr>
            <w:tcW w:w="70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14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29May</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3June</w:t>
            </w:r>
          </w:p>
        </w:tc>
        <w:tc>
          <w:tcPr>
            <w:tcW w:w="221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72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34.3</w:t>
            </w:r>
          </w:p>
        </w:tc>
        <w:tc>
          <w:tcPr>
            <w:tcW w:w="176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29.3</w:t>
            </w:r>
          </w:p>
        </w:tc>
        <w:tc>
          <w:tcPr>
            <w:tcW w:w="200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27.0</w:t>
            </w:r>
          </w:p>
        </w:tc>
        <w:tc>
          <w:tcPr>
            <w:tcW w:w="165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24.2</w:t>
            </w:r>
          </w:p>
        </w:tc>
      </w:tr>
    </w:tbl>
    <w:p>
      <w:pPr>
        <w:spacing w:before="100" w:after="10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 weekly rainfall data presented in table 6 indicates that from 1 May to 3 June, the weekly rainfall (9:00</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11:00 AM) varied between 23.9 mm (Week 3) and 35.5 mm (Week 2). When adjusted for measured rainfall retention capacities, the unburned forest showed the highest retention each week (20.4</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30.3 mm), while the periodically burned forest retained moderate amounts (18.8</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27.9 mm), and the frequently burned forest retained the least (16.8</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25.0 mm). These variations correlate with the recorded soil water potential values, where the unburned forest exhibited the least negative mean (-0.65 MPa), contrasting with the frequently burned forest, which had the most negative mean (-1.25 MPa).</w:t>
      </w:r>
    </w:p>
    <w:p>
      <w:pPr>
        <w:spacing w:before="100" w:after="0" w:line="240"/>
        <w:ind w:right="0" w:left="0" w:firstLine="72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Table 7:</w:t>
      </w:r>
      <w:r>
        <w:rPr>
          <w:rFonts w:ascii="Times New Roman" w:hAnsi="Times New Roman" w:cs="Times New Roman" w:eastAsia="Times New Roman"/>
          <w:b/>
          <w:color w:val="auto"/>
          <w:spacing w:val="0"/>
          <w:position w:val="0"/>
          <w:sz w:val="20"/>
          <w:shd w:fill="auto" w:val="clear"/>
        </w:rPr>
        <w:t xml:space="preserve">Mean Separation of Soil Water Potential</w:t>
      </w:r>
    </w:p>
    <w:tbl>
      <w:tblPr/>
      <w:tblGrid>
        <w:gridCol w:w="2529"/>
        <w:gridCol w:w="4266"/>
        <w:gridCol w:w="1536"/>
        <w:gridCol w:w="1479"/>
      </w:tblGrid>
      <w:tr>
        <w:trPr>
          <w:trHeight w:val="377" w:hRule="auto"/>
          <w:jc w:val="left"/>
        </w:trPr>
        <w:tc>
          <w:tcPr>
            <w:tcW w:w="252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Forest Type</w:t>
            </w:r>
          </w:p>
        </w:tc>
        <w:tc>
          <w:tcPr>
            <w:tcW w:w="426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Water Potential (MPa) Mean ± SE</w:t>
            </w:r>
          </w:p>
        </w:tc>
        <w:tc>
          <w:tcPr>
            <w:tcW w:w="153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LSD (0.05)</w:t>
            </w:r>
          </w:p>
        </w:tc>
        <w:tc>
          <w:tcPr>
            <w:tcW w:w="147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Significance</w:t>
            </w:r>
          </w:p>
        </w:tc>
      </w:tr>
      <w:tr>
        <w:trPr>
          <w:trHeight w:val="251" w:hRule="auto"/>
          <w:jc w:val="left"/>
        </w:trPr>
        <w:tc>
          <w:tcPr>
            <w:tcW w:w="252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Frequently Burned</w:t>
            </w:r>
          </w:p>
        </w:tc>
        <w:tc>
          <w:tcPr>
            <w:tcW w:w="426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 ± 0.1 a</w:t>
            </w:r>
          </w:p>
        </w:tc>
        <w:tc>
          <w:tcPr>
            <w:tcW w:w="153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0.15</w:t>
            </w:r>
          </w:p>
        </w:tc>
        <w:tc>
          <w:tcPr>
            <w:tcW w:w="147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Significant</w:t>
            </w:r>
          </w:p>
        </w:tc>
      </w:tr>
      <w:tr>
        <w:trPr>
          <w:trHeight w:val="296" w:hRule="auto"/>
          <w:jc w:val="left"/>
        </w:trPr>
        <w:tc>
          <w:tcPr>
            <w:tcW w:w="252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Periodically Burned</w:t>
            </w:r>
          </w:p>
        </w:tc>
        <w:tc>
          <w:tcPr>
            <w:tcW w:w="426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-0.8 ± 0.1 b</w:t>
            </w:r>
          </w:p>
        </w:tc>
        <w:tc>
          <w:tcPr>
            <w:tcW w:w="153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147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r>
        <w:trPr>
          <w:trHeight w:val="260" w:hRule="auto"/>
          <w:jc w:val="left"/>
        </w:trPr>
        <w:tc>
          <w:tcPr>
            <w:tcW w:w="252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w:t>
            </w:r>
          </w:p>
        </w:tc>
        <w:tc>
          <w:tcPr>
            <w:tcW w:w="426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-0.4 ± 0.1 c</w:t>
            </w:r>
          </w:p>
        </w:tc>
        <w:tc>
          <w:tcPr>
            <w:tcW w:w="153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147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bl>
    <w:p>
      <w:pPr>
        <w:spacing w:before="100" w:after="10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Table 7 indicated that the soil water potential is at its lowest (most negative) in areas that are burned frequently, suggesting drier soil conditions. The variations among all forest types are statistically significant, demonstrating that the frequency of fire has a substantial impact on the status of soil moisture.</w:t>
      </w:r>
    </w:p>
    <w:p>
      <w:pPr>
        <w:spacing w:before="10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Table 8: Mean Separation of Rainfall Retention</w:t>
      </w:r>
    </w:p>
    <w:tbl>
      <w:tblPr/>
      <w:tblGrid>
        <w:gridCol w:w="2896"/>
        <w:gridCol w:w="1747"/>
        <w:gridCol w:w="1289"/>
        <w:gridCol w:w="1239"/>
        <w:gridCol w:w="2567"/>
      </w:tblGrid>
      <w:tr>
        <w:trPr>
          <w:trHeight w:val="575" w:hRule="auto"/>
          <w:jc w:val="left"/>
        </w:trPr>
        <w:tc>
          <w:tcPr>
            <w:tcW w:w="28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Comparison</w:t>
            </w:r>
          </w:p>
        </w:tc>
        <w:tc>
          <w:tcPr>
            <w:tcW w:w="174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Mean Difference (%)</w:t>
            </w:r>
          </w:p>
        </w:tc>
        <w:tc>
          <w:tcPr>
            <w:tcW w:w="128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LSD Value (%)</w:t>
            </w:r>
          </w:p>
        </w:tc>
        <w:tc>
          <w:tcPr>
            <w:tcW w:w="123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Significant?</w:t>
            </w:r>
          </w:p>
        </w:tc>
        <w:tc>
          <w:tcPr>
            <w:tcW w:w="256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Comparison</w:t>
            </w:r>
          </w:p>
        </w:tc>
      </w:tr>
      <w:tr>
        <w:trPr>
          <w:trHeight w:val="476" w:hRule="auto"/>
          <w:jc w:val="left"/>
        </w:trPr>
        <w:tc>
          <w:tcPr>
            <w:tcW w:w="28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 vs Periodically Burned</w:t>
            </w:r>
          </w:p>
        </w:tc>
        <w:tc>
          <w:tcPr>
            <w:tcW w:w="174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6.70</w:t>
            </w:r>
          </w:p>
        </w:tc>
        <w:tc>
          <w:tcPr>
            <w:tcW w:w="128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3.40</w:t>
            </w:r>
          </w:p>
        </w:tc>
        <w:tc>
          <w:tcPr>
            <w:tcW w:w="123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Yes</w:t>
            </w:r>
          </w:p>
        </w:tc>
        <w:tc>
          <w:tcPr>
            <w:tcW w:w="256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 vs Periodically Burned</w:t>
            </w:r>
          </w:p>
        </w:tc>
      </w:tr>
      <w:tr>
        <w:trPr>
          <w:trHeight w:val="557" w:hRule="auto"/>
          <w:jc w:val="left"/>
        </w:trPr>
        <w:tc>
          <w:tcPr>
            <w:tcW w:w="28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 vs Frequently Burned</w:t>
            </w:r>
          </w:p>
        </w:tc>
        <w:tc>
          <w:tcPr>
            <w:tcW w:w="174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14.87</w:t>
            </w:r>
          </w:p>
        </w:tc>
        <w:tc>
          <w:tcPr>
            <w:tcW w:w="128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3.40</w:t>
            </w:r>
          </w:p>
        </w:tc>
        <w:tc>
          <w:tcPr>
            <w:tcW w:w="123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Yes</w:t>
            </w:r>
          </w:p>
        </w:tc>
        <w:tc>
          <w:tcPr>
            <w:tcW w:w="256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 vs Frequently Burned</w:t>
            </w:r>
          </w:p>
        </w:tc>
      </w:tr>
      <w:tr>
        <w:trPr>
          <w:trHeight w:val="530" w:hRule="auto"/>
          <w:jc w:val="left"/>
        </w:trPr>
        <w:tc>
          <w:tcPr>
            <w:tcW w:w="28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Periodically Burned vs Frequently Burned</w:t>
            </w:r>
          </w:p>
        </w:tc>
        <w:tc>
          <w:tcPr>
            <w:tcW w:w="174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8.17</w:t>
            </w:r>
          </w:p>
        </w:tc>
        <w:tc>
          <w:tcPr>
            <w:tcW w:w="128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3.40</w:t>
            </w:r>
          </w:p>
        </w:tc>
        <w:tc>
          <w:tcPr>
            <w:tcW w:w="1239"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Yes</w:t>
            </w:r>
          </w:p>
        </w:tc>
        <w:tc>
          <w:tcPr>
            <w:tcW w:w="2567"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center"/>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Periodically Burned vs Frequently Burned</w:t>
            </w:r>
          </w:p>
        </w:tc>
      </w:tr>
    </w:tbl>
    <w:p>
      <w:pPr>
        <w:spacing w:before="100" w:after="10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Table 8 illustrates notable differences in rainfall retention across various forest types. The unburned forest demonstrated the highest rainfall retention, followed by the periodically burned forest, while the frequently burned forest showed the least retention. Each pairwise comparison yielded statistically significant results as determined by the LSD test.</w:t>
      </w:r>
    </w:p>
    <w:p>
      <w:pPr>
        <w:spacing w:before="100" w:after="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Table 9: Mean Separation and Species Diversity</w:t>
      </w:r>
    </w:p>
    <w:tbl>
      <w:tblPr/>
      <w:tblGrid>
        <w:gridCol w:w="1980"/>
        <w:gridCol w:w="2864"/>
        <w:gridCol w:w="2396"/>
        <w:gridCol w:w="1148"/>
        <w:gridCol w:w="1260"/>
      </w:tblGrid>
      <w:tr>
        <w:trPr>
          <w:trHeight w:val="377" w:hRule="auto"/>
          <w:jc w:val="left"/>
        </w:trPr>
        <w:tc>
          <w:tcPr>
            <w:tcW w:w="19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Forest Type</w:t>
            </w:r>
          </w:p>
        </w:tc>
        <w:tc>
          <w:tcPr>
            <w:tcW w:w="286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Mean Species Richness ± SE</w:t>
            </w:r>
          </w:p>
        </w:tc>
        <w:tc>
          <w:tcPr>
            <w:tcW w:w="23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H’ (Shannon Diversity)</w:t>
            </w:r>
          </w:p>
        </w:tc>
        <w:tc>
          <w:tcPr>
            <w:tcW w:w="114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LSD (0.05)</w:t>
            </w:r>
          </w:p>
        </w:tc>
        <w:tc>
          <w:tcPr>
            <w:tcW w:w="126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Significant?</w:t>
            </w:r>
          </w:p>
        </w:tc>
      </w:tr>
      <w:tr>
        <w:trPr>
          <w:trHeight w:val="251" w:hRule="auto"/>
          <w:jc w:val="left"/>
        </w:trPr>
        <w:tc>
          <w:tcPr>
            <w:tcW w:w="19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Frequently Burned</w:t>
            </w:r>
          </w:p>
        </w:tc>
        <w:tc>
          <w:tcPr>
            <w:tcW w:w="286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8.4 ± 1.81</w:t>
            </w:r>
          </w:p>
        </w:tc>
        <w:tc>
          <w:tcPr>
            <w:tcW w:w="23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0.92</w:t>
            </w:r>
          </w:p>
        </w:tc>
        <w:tc>
          <w:tcPr>
            <w:tcW w:w="114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w:t>
            </w:r>
          </w:p>
        </w:tc>
        <w:tc>
          <w:tcPr>
            <w:tcW w:w="126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Yes</w:t>
            </w:r>
          </w:p>
        </w:tc>
      </w:tr>
      <w:tr>
        <w:trPr>
          <w:trHeight w:val="296" w:hRule="auto"/>
          <w:jc w:val="left"/>
        </w:trPr>
        <w:tc>
          <w:tcPr>
            <w:tcW w:w="19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Periodically Burned</w:t>
            </w:r>
          </w:p>
        </w:tc>
        <w:tc>
          <w:tcPr>
            <w:tcW w:w="286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22.0 ± 0.71</w:t>
            </w:r>
          </w:p>
        </w:tc>
        <w:tc>
          <w:tcPr>
            <w:tcW w:w="23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1.74</w:t>
            </w:r>
          </w:p>
        </w:tc>
        <w:tc>
          <w:tcPr>
            <w:tcW w:w="114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w:t>
            </w:r>
          </w:p>
        </w:tc>
        <w:tc>
          <w:tcPr>
            <w:tcW w:w="126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Yes</w:t>
            </w:r>
          </w:p>
        </w:tc>
      </w:tr>
      <w:tr>
        <w:trPr>
          <w:trHeight w:val="260" w:hRule="auto"/>
          <w:jc w:val="left"/>
        </w:trPr>
        <w:tc>
          <w:tcPr>
            <w:tcW w:w="198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Unburned</w:t>
            </w:r>
          </w:p>
        </w:tc>
        <w:tc>
          <w:tcPr>
            <w:tcW w:w="2864"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36.8 ± 2.15</w:t>
            </w:r>
          </w:p>
        </w:tc>
        <w:tc>
          <w:tcPr>
            <w:tcW w:w="23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2.21</w:t>
            </w:r>
          </w:p>
        </w:tc>
        <w:tc>
          <w:tcPr>
            <w:tcW w:w="114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w:t>
            </w:r>
          </w:p>
        </w:tc>
        <w:tc>
          <w:tcPr>
            <w:tcW w:w="1260"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Yes</w:t>
            </w:r>
          </w:p>
        </w:tc>
      </w:tr>
    </w:tbl>
    <w:p>
      <w:pPr>
        <w:spacing w:before="240" w:after="16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 data in table 9 above indicates that the frequency of fires has a notable impact on both species richness and diversity. LSD analysis verifies that all variations among the different forest types are statistically significant (p &lt; 0.05). Plots that experience frequent burns show the lowest levels of richness (8.4 ± 1.81) and diversity (0.92), being dominated by species that can tolerate disturbances. In contrast, plots that are burned periodically display intermediate levels of richness (22.0 ± 0.71) and diversity (1.74), supporting a mix of pioneer and tolerant species. Meanwhile, unburned plots exhibit the highest richness (36.8 ± 2.15) and diversity (2.21), characterized by a complex and well-balanced plant community.</w:t>
      </w:r>
    </w:p>
    <w:p>
      <w:pPr>
        <w:spacing w:before="0" w:after="16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0"/>
          <w:shd w:fill="auto" w:val="clear"/>
        </w:rPr>
      </w:pPr>
      <w:r>
        <w:object w:dxaOrig="9341" w:dyaOrig="6667">
          <v:rect xmlns:o="urn:schemas-microsoft-com:office:office" xmlns:v="urn:schemas-microsoft-com:vml" id="rectole0000000000" style="width:467.050000pt;height:333.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40"/>
        <w:ind w:right="0" w:left="0" w:firstLine="0"/>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Fig 1: Comparison of Ecological Parameters across Forest Types</w:t>
      </w:r>
    </w:p>
    <w:p>
      <w:pPr>
        <w:spacing w:before="0" w:after="16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 figure above showed that there is a clear positive correlation between forest preservation and improved rainfall retention, with unburned forest areas exhibiting significantly greater water retention than frequently burned regions. Burned sites suffer from reduced ground cover due to fire, leading to increased surface runoff, soil erosion, and diminished water retention that exacerbates drought stress and limits water availability for plants and groundwater recharge. Furthermore, increased fire frequency correlates with a notable decline in species richness, where unburned forests support a floristically diverse community over four times greater than that of burned sites. The recurrent fires function as a strong ecological filter, removing fire-intolerant species and favoring fire-adapted ruderal weeds, resulting in biotic homogenization and reduced ecological resilience. Additionally, soil organic matter (SOM) is significantly lower in frequently burned areas due to combustion of litter and loss of canopy cover, which hampers nutrient cycling, reduces soil fertility, and alters soil aggregation. The pH levels of these soils typically trend more acidic over time despite short-term alkalization from ash, primarily due to the leaching of base cations following vegetation loss. Essential macronutrients such as nitrogen and phosphorus also see sharp declines with increasing fire frequency due to volatilization and erosion. Lastly, microclimatic conditions are adversely affected by fire, with higher soil temperatures and lower water potential indicating a more pronounced moisture deficit in frequently burned plots.</w:t>
      </w:r>
    </w:p>
    <w:p>
      <w:pPr>
        <w:tabs>
          <w:tab w:val="left" w:pos="360" w:leader="none"/>
        </w:tabs>
        <w:spacing w:before="0" w:after="0" w:line="36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0"/>
          <w:shd w:fill="auto" w:val="clear"/>
        </w:rPr>
        <w:t xml:space="preserve">4. DISCUSSION</w:t>
      </w:r>
    </w:p>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significant reduction in SOM, Nitrogen (N), and Phosphorus (P) in frequently burned plots is a well-documented consequence of fire [41]. The combustion of litter and organic horizon directly mineralizes and volatilizes carbon and nutrients. However, the long-term depletion highlighted here (SOM in frequently burned is less than half of that in unburned) speaks to a fundamental disruption of the nutrient cycle. This aligns with global meta-analyses, such as that by Pellegrini et al. [42], which found that frequent fires in tropical ecosystems can lead to long-term, potentially permanent, reductions in soil carbon and nitrogen pools. The loss of SOM is particularly critical as it is the cornerstone of soil health, influencing structure, water retention, and nutrient availability.</w:t>
      </w:r>
    </w:p>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finding of a lower pH (more acidic) in frequently burned sites (Table 2) is notable and somewhat counterintuitive to the common observation that ash deposition temporarily increases soil pH (alkalinity). This presents a crucial point for further studies. While initial ash deposition can raise pH, the subsequent loss of base cations (like Ca²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Mg</w:t>
      </w:r>
      <w:r>
        <w:rPr>
          <w:rFonts w:ascii="Times New Roman" w:hAnsi="Times New Roman" w:cs="Times New Roman" w:eastAsia="Times New Roman"/>
          <w:color w:val="auto"/>
          <w:spacing w:val="0"/>
          <w:position w:val="0"/>
          <w:sz w:val="20"/>
          <w:shd w:fill="auto" w:val="clear"/>
        </w:rPr>
        <w:t xml:space="preserve">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K</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through leaching (due to reduced vegetation cover and increased runoff) and erosion can lead to acidification over time. Furthermore, the combustion of organic matter can release acidic compounds. This finding contrasts with studies in some savanna systems where fire maintains a higher pH but aligns with work in degraded tropical forests. For instance, Nave et al. [43] demonstrated that fire in temperate forests can lead to soil acidification due to cation leaching. This suggests that in these secondary forests studied, the fire regime has moved beyond a maintaining force to a degrading one, triggering acidification processes.</w:t>
      </w:r>
    </w:p>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alterations in microclimate (Tables 5, 7, 8) are not merely effects but are also drivers of the observed ecological changes, creating a positive feedback loop that hinders recovery. The significantly higher soil temperatures and drastically reduced soil water potential (more negative, indicating drier soil) in frequently burned areas are direct results of canopy and litter loss. This exposes the soil surface to intense solar radiation and wind, increasing evaporation. The reduced rainfall retention capacity is a critical finding. It demonstrates a loss of ecosystem service; the forest's ability to capture and store precipitation. This aligns with research by Jipp et al. [44] who showed that deforestation and disturbance in Amazonia severely reduce soil water storage. More recently, Stoof et al. [45] reviewed how fire can induce soil water repellency (hydrophobicity), further reducing infiltration and increasing runoff and erosion risk, which was likely a factor here. These microclimatic changes create a feedback loop that favors fire-tolerant species (e.g., grasses) over forest regenerants. The hotter, drier conditions stress seedlings of native trees, while the grasses, which may die back in the dry season, provide ample fine fuel for the next fire, perpetuating the cycle. This grass-fire cycle is a well-established driver of ecosystem conversion in the tropics [5].</w:t>
      </w:r>
    </w:p>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vegetation data (Table 9) clearly demonstrates the consequences of these altered abiotic conditions: a dramatic decline in species richness and diversity. The transition from a diverse, multi-layered unburned forest to a species-poor, grass-dominated frequently burned community represents a shift from a late-successional system to an early-successional one. This is a classic response to disturbance. This study correctly identifies the proliferation of ruderal, fire-adapted species like </w:t>
      </w:r>
      <w:r>
        <w:rPr>
          <w:rFonts w:ascii="Times New Roman" w:hAnsi="Times New Roman" w:cs="Times New Roman" w:eastAsia="Times New Roman"/>
          <w:i/>
          <w:color w:val="auto"/>
          <w:spacing w:val="0"/>
          <w:position w:val="0"/>
          <w:sz w:val="20"/>
          <w:shd w:fill="auto" w:val="clear"/>
        </w:rPr>
        <w:t xml:space="preserve">Imperata cylindrica</w:t>
      </w:r>
      <w:r>
        <w:rPr>
          <w:rFonts w:ascii="Times New Roman" w:hAnsi="Times New Roman" w:cs="Times New Roman" w:eastAsia="Times New Roman"/>
          <w:color w:val="auto"/>
          <w:spacing w:val="0"/>
          <w:position w:val="0"/>
          <w:sz w:val="20"/>
          <w:shd w:fill="auto" w:val="clear"/>
        </w:rPr>
        <w:t xml:space="preserve">. The pattern supports, in a negative sense, the Intermediate Disturbance Hypothesis. The unburned forest has high diversity, the frequently burned has very low diversity, and the periodically burned shows intermediate diversity. However, the "intermediate" state here is still highly degraded compared to the potential climax community. This contrasts with studies in fire-adapted ecosystems (e.g., Mediterranean forests or savannas) where intermediate fire frequencies can maximize diversity by preventing competitive exclusion. The key difference is that these Nigerian forests are not inherently fire-adapted; the fires are anthropogenic and novel in their frequency and intensity, exceeding the ecosystem's resilience.</w:t>
      </w:r>
    </w:p>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This research showed that the frequency of fires significantly affects forest hydrology; less frequent burning improves litter accumulation, increases canopy cover, and enhances soil structure, resulting in better water retention. These findings are consistent with the work of Oguntunde et al. [46] and Bond and Keeley [47], who noted that frequent fires lead to reduced infiltration and heightened evaporation because of exposed soil surfaces. Moreover, fire frequency plays a crucial role in shaping the vegetation composition of secondary forests. Plots that experienced frequent burning exhibited lower species richness and diversity, mainly dominated by disturbance-tolerant pioneer species, which aligns with patterns observed in other similar tropical ecosystems. In contrast, plots that were burned periodically showcased intermediate levels of diversity, suggesting that moderate fire conditions allow certain species to persist. Unburned areas demonstrated the highest levels of diversity and evenness, indicating that the absence of fire fosters complex and resilient plant communities. LSD analysis affirmed that these differences were statistically significant, supporting existing literature that highlights how frequent fires simplify plant communities and lead to decreased biodiversity. The notable variations underscore the ecological influence of fire: regular burning tends to favor pioneer or disturbance-tolerant species such as </w:t>
      </w:r>
      <w:r>
        <w:rPr>
          <w:rFonts w:ascii="Times New Roman" w:hAnsi="Times New Roman" w:cs="Times New Roman" w:eastAsia="Times New Roman"/>
          <w:i/>
          <w:color w:val="auto"/>
          <w:spacing w:val="0"/>
          <w:position w:val="0"/>
          <w:sz w:val="20"/>
          <w:shd w:fill="auto" w:val="clear"/>
        </w:rPr>
        <w:t xml:space="preserve">Imperata cylindrica, Cenchrus purpureus</w:t>
      </w:r>
      <w:r>
        <w:rPr>
          <w:rFonts w:ascii="Times New Roman" w:hAnsi="Times New Roman" w:cs="Times New Roman" w:eastAsia="Times New Roman"/>
          <w:color w:val="auto"/>
          <w:spacing w:val="0"/>
          <w:position w:val="0"/>
          <w:sz w:val="20"/>
          <w:shd w:fill="auto" w:val="clear"/>
        </w:rPr>
        <w:t xml:space="preserve">, and </w:t>
      </w:r>
      <w:r>
        <w:rPr>
          <w:rFonts w:ascii="Times New Roman" w:hAnsi="Times New Roman" w:cs="Times New Roman" w:eastAsia="Times New Roman"/>
          <w:i/>
          <w:color w:val="auto"/>
          <w:spacing w:val="0"/>
          <w:position w:val="0"/>
          <w:sz w:val="20"/>
          <w:shd w:fill="auto" w:val="clear"/>
        </w:rPr>
        <w:t xml:space="preserve">Tridax procumbens</w:t>
      </w:r>
      <w:r>
        <w:rPr>
          <w:rFonts w:ascii="Times New Roman" w:hAnsi="Times New Roman" w:cs="Times New Roman" w:eastAsia="Times New Roman"/>
          <w:color w:val="auto"/>
          <w:spacing w:val="0"/>
          <w:position w:val="0"/>
          <w:sz w:val="20"/>
          <w:shd w:fill="auto" w:val="clear"/>
        </w:rPr>
        <w:t xml:space="preserve">, whereas unburned forests tend to accommodate a broader spectrum of species, including shrubs and stable-condition-adapted grasses like </w:t>
      </w:r>
      <w:r>
        <w:rPr>
          <w:rFonts w:ascii="Times New Roman" w:hAnsi="Times New Roman" w:cs="Times New Roman" w:eastAsia="Times New Roman"/>
          <w:i/>
          <w:color w:val="auto"/>
          <w:spacing w:val="0"/>
          <w:position w:val="0"/>
          <w:sz w:val="20"/>
          <w:shd w:fill="auto" w:val="clear"/>
        </w:rPr>
        <w:t xml:space="preserve">Vernonia amygdalina</w:t>
      </w:r>
      <w:r>
        <w:rPr>
          <w:rFonts w:ascii="Times New Roman" w:hAnsi="Times New Roman" w:cs="Times New Roman" w:eastAsia="Times New Roman"/>
          <w:color w:val="auto"/>
          <w:spacing w:val="0"/>
          <w:position w:val="0"/>
          <w:sz w:val="20"/>
          <w:shd w:fill="auto" w:val="clear"/>
        </w:rPr>
        <w:t xml:space="preserve"> and </w:t>
      </w:r>
      <w:r>
        <w:rPr>
          <w:rFonts w:ascii="Times New Roman" w:hAnsi="Times New Roman" w:cs="Times New Roman" w:eastAsia="Times New Roman"/>
          <w:i/>
          <w:color w:val="auto"/>
          <w:spacing w:val="0"/>
          <w:position w:val="0"/>
          <w:sz w:val="20"/>
          <w:shd w:fill="auto" w:val="clear"/>
        </w:rPr>
        <w:t xml:space="preserve">Panicum maximum,</w:t>
      </w:r>
      <w:r>
        <w:rPr>
          <w:rFonts w:ascii="Times New Roman" w:hAnsi="Times New Roman" w:cs="Times New Roman" w:eastAsia="Times New Roman"/>
          <w:color w:val="auto"/>
          <w:spacing w:val="0"/>
          <w:position w:val="0"/>
          <w:sz w:val="20"/>
          <w:shd w:fill="auto" w:val="clear"/>
        </w:rPr>
        <w:t xml:space="preserve"> as well as trees that visual inspections suggested [48, 49]. Nonetheless, the random quadrat sampling method did not fully capture regions where trees were densely located.</w:t>
      </w:r>
    </w:p>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findings are reinforced by more recent global assessments. For example, He et al. [50] found that biodiversity responses to fire are consistently negative in tropical rainforests. Furthermore, the loss of diversity isn't just taxonomic but also functional. Fire filters out species with specific traits (e.g., thin bark, large seeds, shade tolerance) and selects for a narrow set of traits (e.g., resprouting ability, small wind-dispersed seeds), leading to biotic homogenization [51]. The true value of this study lies in the integration of these three components (soil, microclimate, vegetation). It shows that fire doesn't just affect plants; it alters the entire abiotic foundation that supports the ecosystem. The data from this study overwhelmingly supports strict fire exclusion as the most effective strategy for recovery in these already highly degraded systems. Moreso, in frequently burned areas dominated by grasses like </w:t>
      </w:r>
      <w:r>
        <w:rPr>
          <w:rFonts w:ascii="Times New Roman" w:hAnsi="Times New Roman" w:cs="Times New Roman" w:eastAsia="Times New Roman"/>
          <w:i/>
          <w:color w:val="auto"/>
          <w:spacing w:val="0"/>
          <w:position w:val="0"/>
          <w:sz w:val="20"/>
          <w:shd w:fill="auto" w:val="clear"/>
        </w:rPr>
        <w:t xml:space="preserve">Imperatacylindrica</w:t>
      </w:r>
      <w:r>
        <w:rPr>
          <w:rFonts w:ascii="Times New Roman" w:hAnsi="Times New Roman" w:cs="Times New Roman" w:eastAsia="Times New Roman"/>
          <w:color w:val="auto"/>
          <w:spacing w:val="0"/>
          <w:position w:val="0"/>
          <w:sz w:val="20"/>
          <w:shd w:fill="auto" w:val="clear"/>
        </w:rPr>
        <w:t xml:space="preserve">, passive recovery (simply excluding fire) may be extremely slow or impossible due to the established feedback loops. </w:t>
      </w:r>
      <w:r>
        <w:rPr>
          <w:rFonts w:ascii="Times New Roman" w:hAnsi="Times New Roman" w:cs="Times New Roman" w:eastAsia="Times New Roman"/>
          <w:color w:val="auto"/>
          <w:spacing w:val="0"/>
          <w:position w:val="0"/>
          <w:sz w:val="20"/>
          <w:shd w:fill="FFFFFF" w:val="clear"/>
        </w:rPr>
        <w:t xml:space="preserve">While this study demonstrates clear gradients associated with fire history, it is important to note its limitations. The treatment sites were selected based on observed fire frequency, making this an observational study. Although efforts were made to select sites in close proximity, pre-existing differences in soil type, topography, or proximity to human activity could potentially confound the results. Future experimental studies with controlled burning would be valuable to confirm these causal relationships </w:t>
      </w:r>
      <w:r>
        <w:rPr>
          <w:rFonts w:ascii="Times New Roman" w:hAnsi="Times New Roman" w:cs="Times New Roman" w:eastAsia="Times New Roman"/>
          <w:color w:val="auto"/>
          <w:spacing w:val="0"/>
          <w:position w:val="0"/>
          <w:sz w:val="20"/>
          <w:shd w:fill="auto" w:val="clear"/>
        </w:rPr>
        <w:t xml:space="preserve">Active restoration, including mechanical clearing of grasses, planting of native pioneer trees to rapidly restore canopy cover, and soil amendments to address acidity and nutrient depletion, may be required. This approach is supported by work in similar tropical systems [52]. The recommendation for community engagement is critical. Effective fire management must address the root causes of ignition. Understanding the motivations for burning (e.g., hunting, pasture management, land clearing) and working with local communities to develop alternative, sustainable livelihoods is essential for long-term success, as highlighted by Carmenta et al. [53].</w:t>
      </w:r>
    </w:p>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 CONCLUSION</w:t>
      </w:r>
    </w:p>
    <w:p>
      <w:pPr>
        <w:spacing w:before="0" w:after="1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This study presents compelling quantitative evidence of the significant ecological degradation caused by regular human-induced fires in the secondary forests of Nnamdi Azikiwe University. The value of this research is notably increased by its comprehensive approach, which assesses changes in soil, microclimates, and vegetation cohesively. The results extend beyond basic correlations to demonstrate the underlying mechanisms by which fire contributes to ecosystem deterioration: nutrient loss via volatilization and leaching, increased microclimatic severity, and biotic homogenization. Although the trends observed are consistent with global patterns, the specific observation of soil acidification resulting from frequent fires highlights a critical difference from findings in other ecosystems and emphasizes the drastic effects of the current fire regime. This research establishes a solid scientific basis for promoting the urgent need for informed and proactive management and restoration efforts aimed at safeguarding these essential ecosystems.</w:t>
      </w:r>
    </w:p>
    <w:p>
      <w:pPr>
        <w:keepNext w:val="true"/>
        <w:spacing w:before="0" w:after="240" w:line="240"/>
        <w:ind w:right="0" w:left="0" w:firstLine="0"/>
        <w:jc w:val="both"/>
        <w:rPr>
          <w:rFonts w:ascii="Times New Roman" w:hAnsi="Times New Roman" w:cs="Times New Roman" w:eastAsia="Times New Roman"/>
          <w:b/>
          <w:caps w:val="true"/>
          <w:color w:val="auto"/>
          <w:spacing w:val="0"/>
          <w:position w:val="0"/>
          <w:sz w:val="20"/>
          <w:shd w:fill="auto" w:val="clear"/>
        </w:rPr>
      </w:pPr>
      <w:r>
        <w:rPr>
          <w:rFonts w:ascii="Times New Roman" w:hAnsi="Times New Roman" w:cs="Times New Roman" w:eastAsia="Times New Roman"/>
          <w:b/>
          <w:caps w:val="true"/>
          <w:color w:val="auto"/>
          <w:spacing w:val="0"/>
          <w:position w:val="0"/>
          <w:sz w:val="20"/>
          <w:shd w:fill="auto" w:val="clear"/>
        </w:rPr>
        <w:t xml:space="preserve">Competing interests</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Authors have declared that they have no known competing financial interests OR non-financial interests OR personal relationships that could have appeared to influence the work reported in this paper.</w:t>
      </w:r>
    </w:p>
    <w:p>
      <w:pPr>
        <w:keepNext w:val="true"/>
        <w:spacing w:before="0" w:after="24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aps w:val="true"/>
          <w:color w:val="auto"/>
          <w:spacing w:val="0"/>
          <w:position w:val="0"/>
          <w:sz w:val="20"/>
          <w:shd w:fill="auto" w:val="clear"/>
        </w:rPr>
        <w:t xml:space="preserve">Disclaimer (Artificial intelligence)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Author(s) hereby declare that an AI technology such as Natural Language Processors was used to proofread the manuscripts for grammatical correctness.</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Details of the AI usage are given below:</w:t>
      </w:r>
    </w:p>
    <w:p>
      <w:pPr>
        <w:numPr>
          <w:ilvl w:val="0"/>
          <w:numId w:val="169"/>
        </w:numPr>
        <w:tabs>
          <w:tab w:val="left" w:pos="1440" w:leader="none"/>
        </w:tabs>
        <w:spacing w:before="0" w:after="0" w:line="259"/>
        <w:ind w:right="0" w:left="144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Quillbot grammar checker v29.15.2.</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p>
    <w:p>
      <w:pPr>
        <w:spacing w:before="0" w:after="16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REFERENCES</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Bowman, D. M., Balch, J. K., Artaxo, P., Bond, W. J., Carlson, J. M., Cochrane, M. A. and Pyne, S. J. (2009). Fire in the Earth system. Science, 324(5926), 481-484.</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Andela, N., Morton, D. C., Giglio, L., Chen, Y., van der Werf, G. R., Kasibhatla, P. S. and Randerson, J. T. (2017). A human-driven decline in global burned area. Science, 356(6345), 1356-1362.</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Pausas, J. G., &amp; Keeley, J. E. (2019). Wildfires as an ecosystem service. Frontiers in Ecology and the Environment, 17(5), 289-295.</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Chazdon, R. L. (2014). Second growth: The promise of tropical forest regeneration in an age of deforestation. University of Chicago Press.</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Cochrane, M. A., &amp; Laurance, W. F. (2008). Synergisms among fire, land use, and climate change in the Amazon. Ambio, 37(7), 522-527.</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Fensham, R. J., Fraser, J., MacDermott, H. J., &amp;Firn, J. (2018). Dominant tree species are at risk from exaggerated drought under climate change. Global Change Biology, 24(8), 3727-3737.</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Ivens, G. W. (1980). </w:t>
      </w:r>
      <w:r>
        <w:rPr>
          <w:rFonts w:ascii="Times New Roman" w:hAnsi="Times New Roman" w:cs="Times New Roman" w:eastAsia="Times New Roman"/>
          <w:i/>
          <w:color w:val="auto"/>
          <w:spacing w:val="0"/>
          <w:position w:val="0"/>
          <w:sz w:val="20"/>
          <w:shd w:fill="auto" w:val="clear"/>
        </w:rPr>
        <w:t xml:space="preserve">Imperatacylindrica</w:t>
      </w:r>
      <w:r>
        <w:rPr>
          <w:rFonts w:ascii="Times New Roman" w:hAnsi="Times New Roman" w:cs="Times New Roman" w:eastAsia="Times New Roman"/>
          <w:color w:val="auto"/>
          <w:spacing w:val="0"/>
          <w:position w:val="0"/>
          <w:sz w:val="20"/>
          <w:shd w:fill="auto" w:val="clear"/>
        </w:rPr>
        <w:t xml:space="preserve"> (L.) Beauv. in West Africa with particular reference to Sierra Leone. Tropical Pest Management, 26(2), 180-186.</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Sabiiti, E. N., &amp; Wein, R. W. (1987). Fire and Acacia seeds: a hypothesis of colonization success. Journal of Ecology, 75(4), 937-946.</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Hobbs, R. J., &amp;Huenneke, L. F. (1992). Disturbance, diversity, and invasion: implications for conservation. Conservation Biology, 6(3), 324-337.</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Rundel, P. W. (1981). Fire as an ecological factor. In O. L. Lange, P. S. Nobel, C. B. Osmond, &amp; H. Ziegler (Eds.), Physiological plant ecology I (pp. 501-538). Springer.</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Lippincott, C. L. (2000). Effects of </w:t>
      </w:r>
      <w:r>
        <w:rPr>
          <w:rFonts w:ascii="Times New Roman" w:hAnsi="Times New Roman" w:cs="Times New Roman" w:eastAsia="Times New Roman"/>
          <w:i/>
          <w:color w:val="auto"/>
          <w:spacing w:val="0"/>
          <w:position w:val="0"/>
          <w:sz w:val="20"/>
          <w:shd w:fill="auto" w:val="clear"/>
        </w:rPr>
        <w:t xml:space="preserve">Imperatacylindrica</w:t>
      </w:r>
      <w:r>
        <w:rPr>
          <w:rFonts w:ascii="Times New Roman" w:hAnsi="Times New Roman" w:cs="Times New Roman" w:eastAsia="Times New Roman"/>
          <w:color w:val="auto"/>
          <w:spacing w:val="0"/>
          <w:position w:val="0"/>
          <w:sz w:val="20"/>
          <w:shd w:fill="auto" w:val="clear"/>
        </w:rPr>
        <w:t xml:space="preserve"> (L.) Beauv. (cogongrass) invasion on fire regime in Florida sandhill. Natural Areas Journal, 20(2), 140-149.</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Grime, J. P. (2001). Plant strategies, vegetation processes, and ecosystem properties (2nd ed.). John Wiley &amp; Sons.</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Rejmánek, M., &amp; Richardson, D. M. (2013). Trees and shrubs as invasive alien species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2013 update of the global database. Diversity and Distributions, 19(8), 1093-1094.</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D'Antonio, C. M., &amp;Vitousek, P. M. (1992). Biological invasions by exotic grasses, the grass/fire cycle, and global change. Annual Review of Ecology and Systematics, 23(1), 63-87.</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Liebman, M., Mohler, C. L., &amp; Staver, C. P. (2001). Ecological management of agricultural weeds. Cambridge University Press.</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Ekwealor, K. U., Echereme, C. B., &amp;Ofobeze, T. N. (2019). Ethnobotanical survey of medicinal plants in Awka South Local Government Area of Anambra State, Nigeria. Journal of Medicinal Plants Research, 13(5), 116-125.</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Uba, C. U., Okon, P. B., &amp; Uzoh, I. M. (2014). Effects of bush burning on soil chemical properties in a derived savanna ecosystem of Southeastern Nigeria. International Journal of Agriculture and Forestry, 4(4), 297-301.</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Okonkwo, C. C., &amp; Umeh, S. I. (2011). Effects of bush burning on selected soil physical properties in Abakaliki, Southeastern Nigeria. Nigerian Journal of Soil Science, 21(1), 132-138.</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Onyekwelu, J. C., Mosandl, R., &amp;Stimm, B. (2008). Tree species diversity and soil status of primary and degraded tropical rainforest ecosystems in South-Western Nigeria. Journal of Tropical Forest Science, 20(3), 193-204.</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FAO. (2015). Global guidelines for the restoration of degraded forests and landscapes in drylands. Food and Agriculture Organization of the United Nations.</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NIMET. (2020). Nigerian Meteorological Agency: Climate Review Bulletin. NIMET Publications.</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Keay, R. W. J. (1989). Trees of Nigeria. Clarendon Press.</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Adefisan, A., Ogunjobi, K., &amp; Ojo, O. (2017). Impact of bush burning on soil properties and crop yield in Southwestern Nigeria. Journal of Agricultural Science, 9(4), 123-134.</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Akinyemi, O., &amp; Odum, C. (2012). Community perceptions of bush burning and its effects in selected rural areas of Oyo State, Nigeria. Journal of Environmental Extension, 10, 1-8.</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Ifeanyi, O. C., Nkwocha, E. E., &amp; Eze, C. C. (2018). Socio-economic determinants of bush burning among arable crop farmers in Imo State, Nigeria. Journal of Agricultural Extension, 22(2), 152-165.</w:t>
      </w:r>
    </w:p>
    <w:p>
      <w:pPr>
        <w:numPr>
          <w:ilvl w:val="0"/>
          <w:numId w:val="172"/>
        </w:numPr>
        <w:tabs>
          <w:tab w:val="left" w:pos="602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Iroka C.F., Okigbo R.N., Ekwealor K.U., Ikegbunam C.N., Onyili C.A., Okereke C.N., "Checklist of Trees and Shrubs in Forests across Anambra State Nigeria," African Journal of Environment and Natural Science Research; 7(3): 184-202, 2024.</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WMO. (2008). Guide to meteorological instruments and methods of observation (7th ed.). World Meteorological Organization.</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Mitchell, F. J. G., &amp; Sheehy Skeffington, M. (2016). The use of a standard deck of playing cards as a random number generator for ecological fieldwork. Journal of Ecology, 104(5), 1505-1509.</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Gómez, K. A., &amp; Gómez, A. A. (1984). Statistical procedures for agricultural research (2nd ed.). John Wiley &amp; Sons.</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Walkley, A., &amp; Black, I. A. (1934). An examination of the Degtjareff method for determining soil organic matter, and a proposed modification of the chromic acid titration method. Soil Science, 37(1), 29-38.</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McLean, E. O. (1982). Soil pH and lime requirement. In A. L. Page (Ed.), Methods of soil analysis, Part 2: Chemical and microbiological properties (2nd ed., pp. 199-224). American Society of Agronomy.</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Bremner, J. M., &amp; Mulvaney, C. S. (1982). Nitrogen -Total. In A. L. Page (Ed.), Methods of soil analysis, Part 2: Chemical and microbiological properties (2nd ed., pp. 595-624). American Society of Agronomy.</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Bray, R. H., &amp; Kurtz, L. T. (1945). Determination of total, organic, and available forms of phosphorus in soils. Soil Science, 59(1), 39-46.</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Watanabe, F. S., &amp; Olsen, S. R. (1965). Test of an ascorbic acid method for determining phosphorus in water and NaHCO3 extracts from soil. Soil Science Society of America Journal, 29(6), 677-678.</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Richards, L. A. (1965). Physical condition of water in soil. In C. A. Black (Ed.), Methods of soil analysis, Part 1: Physical and mineralogical properties (pp. 128-152). American Society of Agronomy.</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Campbell, G. S., &amp; Norman, J. M. (1998). An introduction to environmental biophysics (2nd ed.). Springer-Verlag.</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Zimmermann, A., Germer, S., Neill, C., Krusche, A. V., &amp;Elsenbeer, H. (2010). Spatial patterns of throughfall and soil water dynamics in a distal tropical rainforest. Water Resources Research, 46(11), W11513.</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Magurran, A. E. (2004). Measuring biological diversity. Blackwell Publishing.</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Shannon, C. E. (1948). A mathematical theory of communication. The Bell System Technical Journal, 27(3), 379-423.</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Steel, R. G. D., Torrie, J. H., &amp; Dickey, D. A. (1997). *Principles and procedures of statistics: A biometrical approach* (3rd ed.). McGraw-Hill.</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Certini, G. (2005). Effects of fire on properties of forest soils: a review. Oecologia, 143(1), 1-10.</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Pellegrini, A. F. A., Ahlström, A., Hobbie, S. E., Reich, P. B., Nieradzik, L. P., Staver, A. C., ... &amp; Jackson, R. B. (2018). Fire frequency drives decadal changes in soil carbon and nitrogen and ecosystem productivity. Nature, 553(7687), 194-198.</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Nave, L. E., Vance, E. D., Swanston, C. W., &amp; Curtis, P. S. (2011). Fire effects on temperate forest soil C and N storage. Ecological Applications, 21(4), 1189-1201.</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Jipp, P. H., Nepstad, D. C., Cassel, D. K., &amp; Reis de Carvalho, C. (1998). Deep soil moisture storage and transpiration in forests and pastures of seasonally-dry Amazonia. Climatic Change, 39(2-3), 395-412.</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Stoof, C. R., Vervoort, R. W., Iwema, J., van den Elsen, E., Ferreira, A. J. D., &amp; Ritsema, C. J. (2012). Hydrological response of a small catchment burned by experimental fire. Hydrology and Earth System Sciences, 16(2), 267-285.</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Oguntunde, P. G., Abiodun, B. J., &amp;Lischeid, G. (2008). Rainfall trends in Nigeria, 1901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2000. Journal of Hydrology, 371(1-4), 1-4.</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Bond, W. J., &amp; Keeley, J. E. (2005). Fire as a global 'herbivore': the ecology and evolution of flammable ecosystems. Trends in Ecology &amp; Evolution, 20(7), 387-394.</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Uyi, O. O., Ekhator, F., Ikuenobe, C. E., Borokini, T. I., Aigbokhan, E. I., Egbon, I. N., ... &amp;Igbinosa, I. B. (2014). </w:t>
      </w:r>
      <w:r>
        <w:rPr>
          <w:rFonts w:ascii="Times New Roman" w:hAnsi="Times New Roman" w:cs="Times New Roman" w:eastAsia="Times New Roman"/>
          <w:i/>
          <w:color w:val="auto"/>
          <w:spacing w:val="0"/>
          <w:position w:val="0"/>
          <w:sz w:val="20"/>
          <w:shd w:fill="auto" w:val="clear"/>
        </w:rPr>
        <w:t xml:space="preserve">Chromolaenaodorata</w:t>
      </w:r>
      <w:r>
        <w:rPr>
          <w:rFonts w:ascii="Times New Roman" w:hAnsi="Times New Roman" w:cs="Times New Roman" w:eastAsia="Times New Roman"/>
          <w:color w:val="auto"/>
          <w:spacing w:val="0"/>
          <w:position w:val="0"/>
          <w:sz w:val="20"/>
          <w:shd w:fill="auto" w:val="clear"/>
        </w:rPr>
        <w:t xml:space="preserve"> invasion in Nigeria: A case for coordinated biological control. Management of Biological Invasions, 5(4), 377-393.</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Ikuenobe, C. E., &amp;Anoliefo, G. O. (2003). Effect of bush burning on the flora and fauna of Nigerian guinea savanna. The Environmentalist, 23(4), 297-302.</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He, T., Lamont, B. B., &amp;Pausas, J. G. (2019). Fire as a key driver of Earth's biodiversity. Biological Reviews, 94(6), 1983-2010.</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Laliberté, E., Wells, J. A., DeClerck, F., Metcalfe, D. J., Catterall, C. P., Queiroz, C., ... &amp; Mayfield, M. M. (2010). Land-use intensification reduces functional redundancy and response diversity in plant communities. Ecology Letters, 13(1), 76-86.</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César, R. G., Moreno, V. S., Coletta, G. D., de Oliveira, J. A., Ferreira, J. N., Nunes, Y. R. F., ... &amp;Brancalion, P. H. S. (2018). Early ecological outcomes of natural regeneration and tree plantations for restoring agricultural landscapes. Ecological Applications, 28(2), 373-384.</w:t>
      </w:r>
    </w:p>
    <w:p>
      <w:pPr>
        <w:numPr>
          <w:ilvl w:val="0"/>
          <w:numId w:val="172"/>
        </w:numPr>
        <w:spacing w:before="0" w:after="20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Carmenta, R., Zabala, A., Daeli, W., &amp; Phelps, J. (2017). Perceptions across scales of governance and the Indonesian peatland fires. Global Environmental Change, 46, 50-59.</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
    <w:lvl w:ilvl="0">
      <w:start w:val="1"/>
      <w:numFmt w:val="decimal"/>
      <w:lvlText w:val="%1."/>
    </w:lvl>
  </w:abstractNum>
  <w:num w:numId="12">
    <w:abstractNumId w:val="6"/>
  </w:num>
  <w:num w:numId="169">
    <w:abstractNumId w:val="0"/>
  </w:num>
  <w:num w:numId="172">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