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ABD" w:rsidRDefault="002405DF" w:rsidP="00441B6F">
      <w:pPr>
        <w:pStyle w:val="Title"/>
        <w:spacing w:after="0"/>
        <w:jc w:val="both"/>
        <w:rPr>
          <w:rFonts w:ascii="Arial" w:hAnsi="Arial" w:cs="Arial"/>
        </w:rPr>
      </w:pPr>
      <w:r w:rsidRPr="002405DF">
        <w:rPr>
          <w:rFonts w:ascii="Arial" w:hAnsi="Arial" w:cs="Arial"/>
        </w:rPr>
        <w:t>Analyzing the Financial Performance of the Pradhan Mantri MUDRA Yojana in India 2016-2024: An Econometric Case Study</w:t>
      </w:r>
    </w:p>
    <w:p w:rsidR="00B01FCD" w:rsidRPr="00C37E61" w:rsidRDefault="00B01FCD" w:rsidP="009B3F90">
      <w:pPr>
        <w:pStyle w:val="Author"/>
        <w:spacing w:line="240" w:lineRule="auto"/>
        <w:jc w:val="center"/>
        <w:rPr>
          <w:rFonts w:ascii="Arial" w:hAnsi="Arial" w:cs="Arial"/>
          <w:b w:val="0"/>
          <w:i/>
          <w:sz w:val="1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2331D" w:rsidP="00441B6F">
      <w:pPr>
        <w:pStyle w:val="Copyright"/>
        <w:spacing w:after="0" w:line="240" w:lineRule="auto"/>
        <w:jc w:val="both"/>
        <w:rPr>
          <w:rFonts w:ascii="Arial" w:hAnsi="Arial" w:cs="Arial"/>
        </w:rPr>
        <w:sectPr w:rsidR="00B01FCD" w:rsidRPr="00FB3A86" w:rsidSect="009412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Pr="00E3114E" w:rsidRDefault="00E3114E" w:rsidP="00441B6F">
            <w:pPr>
              <w:pStyle w:val="Body"/>
              <w:spacing w:after="0"/>
              <w:rPr>
                <w:rFonts w:ascii="Arial" w:eastAsia="Calibri" w:hAnsi="Arial" w:cs="Arial"/>
                <w:szCs w:val="22"/>
              </w:rPr>
            </w:pPr>
          </w:p>
          <w:p w:rsidR="00E3114E" w:rsidRDefault="00E3114E" w:rsidP="00441B6F">
            <w:pPr>
              <w:pStyle w:val="Body"/>
              <w:spacing w:after="0"/>
              <w:rPr>
                <w:rFonts w:ascii="Arial" w:eastAsia="Calibri" w:hAnsi="Arial" w:cs="Arial"/>
                <w:b/>
                <w:szCs w:val="22"/>
              </w:rPr>
            </w:pPr>
          </w:p>
          <w:p w:rsidR="009B3F90" w:rsidRPr="0069265A" w:rsidRDefault="00BA1B01" w:rsidP="00441B6F">
            <w:pPr>
              <w:pStyle w:val="Body"/>
              <w:spacing w:after="0"/>
              <w:rPr>
                <w:rFonts w:ascii="Arial" w:hAnsi="Arial" w:cs="Arial"/>
              </w:rPr>
            </w:pPr>
            <w:r w:rsidRPr="0069265A">
              <w:rPr>
                <w:rFonts w:ascii="Arial" w:eastAsia="Calibri" w:hAnsi="Arial" w:cs="Arial"/>
                <w:b/>
              </w:rPr>
              <w:t xml:space="preserve">Aims: </w:t>
            </w:r>
            <w:r w:rsidR="009B3F90" w:rsidRPr="0069265A">
              <w:rPr>
                <w:rFonts w:ascii="Arial" w:hAnsi="Arial" w:cs="Arial"/>
              </w:rPr>
              <w:t xml:space="preserve">The Pradhan Mantri MUDRA Yojana (PMMY), launched in 2015, aims to promote financial inclusion and entrepreneurship among non-corporate, non-farm micro and small enterprises. This study provides a financial analytics-based assessment of PMMY loan disbursements from FY 2016–17 to FY 2023–24, </w:t>
            </w:r>
            <w:proofErr w:type="spellStart"/>
            <w:r w:rsidR="006F34FA">
              <w:rPr>
                <w:rFonts w:ascii="Arial" w:hAnsi="Arial" w:cs="Arial"/>
              </w:rPr>
              <w:t>analysing</w:t>
            </w:r>
            <w:proofErr w:type="spellEnd"/>
            <w:r w:rsidR="009B3F90" w:rsidRPr="0069265A">
              <w:rPr>
                <w:rFonts w:ascii="Arial" w:hAnsi="Arial" w:cs="Arial"/>
              </w:rPr>
              <w:t xml:space="preserve"> regional trends, category-wise distribution like </w:t>
            </w:r>
            <w:proofErr w:type="spellStart"/>
            <w:r w:rsidR="009B3F90" w:rsidRPr="0069265A">
              <w:rPr>
                <w:rFonts w:ascii="Arial" w:hAnsi="Arial" w:cs="Arial"/>
              </w:rPr>
              <w:t>Shishu</w:t>
            </w:r>
            <w:proofErr w:type="spellEnd"/>
            <w:r w:rsidR="009B3F90" w:rsidRPr="0069265A">
              <w:rPr>
                <w:rFonts w:ascii="Arial" w:hAnsi="Arial" w:cs="Arial"/>
              </w:rPr>
              <w:t xml:space="preserve">, Kishore, and </w:t>
            </w:r>
            <w:proofErr w:type="spellStart"/>
            <w:r w:rsidR="009B3F90" w:rsidRPr="0069265A">
              <w:rPr>
                <w:rFonts w:ascii="Arial" w:hAnsi="Arial" w:cs="Arial"/>
              </w:rPr>
              <w:t>Tarun</w:t>
            </w:r>
            <w:proofErr w:type="spellEnd"/>
            <w:r w:rsidR="009B3F90" w:rsidRPr="0069265A">
              <w:rPr>
                <w:rFonts w:ascii="Arial" w:hAnsi="Arial" w:cs="Arial"/>
              </w:rPr>
              <w:t>, institutional performance, and capital adequacy</w:t>
            </w:r>
          </w:p>
          <w:p w:rsidR="009B3F90" w:rsidRPr="0069265A" w:rsidRDefault="00BA1B01" w:rsidP="00441B6F">
            <w:pPr>
              <w:pStyle w:val="Body"/>
              <w:spacing w:after="0"/>
              <w:rPr>
                <w:rFonts w:ascii="Arial" w:hAnsi="Arial" w:cs="Arial"/>
              </w:rPr>
            </w:pPr>
            <w:r w:rsidRPr="0069265A">
              <w:rPr>
                <w:rFonts w:ascii="Arial" w:eastAsia="Calibri" w:hAnsi="Arial" w:cs="Arial"/>
                <w:b/>
              </w:rPr>
              <w:t>Study design:</w:t>
            </w:r>
            <w:r w:rsidRPr="0069265A">
              <w:rPr>
                <w:rFonts w:ascii="Arial" w:eastAsia="Calibri" w:hAnsi="Arial" w:cs="Arial"/>
              </w:rPr>
              <w:t xml:space="preserve">  </w:t>
            </w:r>
            <w:r w:rsidR="009B3F90" w:rsidRPr="0069265A">
              <w:rPr>
                <w:rFonts w:ascii="Arial" w:hAnsi="Arial" w:cs="Arial"/>
              </w:rPr>
              <w:t>This study uses a quantitative research methodology to assess the financial performance of the Pradhan Mantri MUDRA Yojana (PMMY)</w:t>
            </w:r>
          </w:p>
          <w:p w:rsidR="009B3F90" w:rsidRPr="0069265A" w:rsidRDefault="00BA1B01" w:rsidP="00441B6F">
            <w:pPr>
              <w:pStyle w:val="Body"/>
              <w:spacing w:after="0"/>
              <w:rPr>
                <w:rFonts w:ascii="Arial" w:eastAsia="Calibri" w:hAnsi="Arial" w:cs="Arial"/>
              </w:rPr>
            </w:pPr>
            <w:r w:rsidRPr="0069265A">
              <w:rPr>
                <w:rFonts w:ascii="Arial" w:eastAsia="Calibri" w:hAnsi="Arial" w:cs="Arial"/>
                <w:b/>
              </w:rPr>
              <w:t>Place and Duration of Study:</w:t>
            </w:r>
            <w:r w:rsidRPr="0069265A">
              <w:rPr>
                <w:rFonts w:ascii="Arial" w:eastAsia="Calibri" w:hAnsi="Arial" w:cs="Arial"/>
              </w:rPr>
              <w:t xml:space="preserve"> </w:t>
            </w:r>
            <w:r w:rsidR="009B3F90" w:rsidRPr="0069265A">
              <w:rPr>
                <w:rFonts w:ascii="Arial" w:eastAsia="Calibri" w:hAnsi="Arial" w:cs="Arial"/>
              </w:rPr>
              <w:t xml:space="preserve">This study uses a quantitative research methodology to assess the financial performance of the Pradhan Mantri MUDRA Yojana (PMMY) from FY 2016–17 to FY 2023–24. </w:t>
            </w:r>
          </w:p>
          <w:p w:rsidR="0069265A" w:rsidRDefault="00BA1B01" w:rsidP="0069265A">
            <w:pPr>
              <w:pStyle w:val="Body"/>
              <w:spacing w:after="0"/>
              <w:rPr>
                <w:rFonts w:ascii="Arial" w:eastAsia="Calibri" w:hAnsi="Arial" w:cs="Arial"/>
              </w:rPr>
            </w:pPr>
            <w:r w:rsidRPr="0069265A">
              <w:rPr>
                <w:rFonts w:ascii="Arial" w:eastAsia="Calibri" w:hAnsi="Arial" w:cs="Arial"/>
                <w:b/>
                <w:bCs/>
              </w:rPr>
              <w:t>Methodology:</w:t>
            </w:r>
            <w:r w:rsidRPr="0069265A">
              <w:rPr>
                <w:rFonts w:ascii="Arial" w:eastAsia="Calibri" w:hAnsi="Arial" w:cs="Arial"/>
              </w:rPr>
              <w:t xml:space="preserve"> </w:t>
            </w:r>
            <w:r w:rsidR="009B3F90" w:rsidRPr="0069265A">
              <w:rPr>
                <w:rFonts w:ascii="Arial" w:eastAsia="Calibri" w:hAnsi="Arial" w:cs="Arial"/>
              </w:rPr>
              <w:t>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rsidR="00BA1B01" w:rsidRPr="00FD7F16" w:rsidRDefault="00BA1B01" w:rsidP="00441B6F">
            <w:pPr>
              <w:pStyle w:val="Body"/>
              <w:spacing w:after="0"/>
              <w:rPr>
                <w:rFonts w:ascii="Arial" w:eastAsia="Calibri" w:hAnsi="Arial" w:cs="Arial"/>
              </w:rPr>
            </w:pPr>
            <w:r w:rsidRPr="0069265A">
              <w:rPr>
                <w:rFonts w:ascii="Arial" w:eastAsia="Calibri" w:hAnsi="Arial" w:cs="Arial"/>
                <w:b/>
                <w:bCs/>
              </w:rPr>
              <w:t>Results:</w:t>
            </w:r>
            <w:r w:rsidRPr="0069265A">
              <w:rPr>
                <w:rFonts w:ascii="Arial" w:eastAsia="Calibri" w:hAnsi="Arial" w:cs="Arial"/>
              </w:rPr>
              <w:t xml:space="preserve"> </w:t>
            </w:r>
            <w:r w:rsidR="009B3F90" w:rsidRPr="0069265A">
              <w:rPr>
                <w:rFonts w:ascii="Arial" w:eastAsia="Calibri" w:hAnsi="Arial" w:cs="Arial"/>
              </w:rPr>
              <w:t xml:space="preserve">The results reveal a threefold increase in total disbursement—from ₹1.80 lakh crore in 2016–17 to ₹5.32 lakh crore in 2023–24. South and East regions consistently led in disbursement, while </w:t>
            </w:r>
            <w:proofErr w:type="spellStart"/>
            <w:r w:rsidR="009B3F90" w:rsidRPr="0069265A">
              <w:rPr>
                <w:rFonts w:ascii="Arial" w:eastAsia="Calibri" w:hAnsi="Arial" w:cs="Arial"/>
              </w:rPr>
              <w:t>Shishu</w:t>
            </w:r>
            <w:proofErr w:type="spellEnd"/>
            <w:r w:rsidR="009B3F90" w:rsidRPr="0069265A">
              <w:rPr>
                <w:rFonts w:ascii="Arial" w:eastAsia="Calibri" w:hAnsi="Arial" w:cs="Arial"/>
              </w:rPr>
              <w:t xml:space="preserve"> loans dominated in volume. However, Kishore and Tarun categories showed higher financial allocation and variability. Public sector banks led in volume, while private and small finance banks showed higher efficiency. ANOVA confirmed statistically significant differences across categories and regions. Capital adequacy showed growth with fluctuations. </w:t>
            </w:r>
          </w:p>
          <w:p w:rsidR="00505F06" w:rsidRPr="00FD7F16" w:rsidRDefault="00BA1B01" w:rsidP="00441B6F">
            <w:pPr>
              <w:pStyle w:val="Body"/>
              <w:spacing w:after="0"/>
              <w:rPr>
                <w:rFonts w:ascii="Arial" w:eastAsia="Calibri" w:hAnsi="Arial" w:cs="Arial"/>
              </w:rPr>
            </w:pPr>
            <w:proofErr w:type="spellStart"/>
            <w:r w:rsidRPr="0069265A">
              <w:rPr>
                <w:rFonts w:ascii="Arial" w:eastAsia="Calibri" w:hAnsi="Arial" w:cs="Arial"/>
                <w:b/>
                <w:bCs/>
              </w:rPr>
              <w:t>Conclusion</w:t>
            </w:r>
            <w:proofErr w:type="gramStart"/>
            <w:r w:rsidRPr="0069265A">
              <w:rPr>
                <w:rFonts w:ascii="Arial" w:eastAsia="Calibri" w:hAnsi="Arial" w:cs="Arial"/>
                <w:b/>
                <w:bCs/>
              </w:rPr>
              <w:t>:</w:t>
            </w:r>
            <w:r w:rsidR="009B3F90" w:rsidRPr="0069265A">
              <w:rPr>
                <w:rFonts w:ascii="Arial" w:eastAsia="Calibri" w:hAnsi="Arial" w:cs="Arial"/>
              </w:rPr>
              <w:t>.This</w:t>
            </w:r>
            <w:proofErr w:type="spellEnd"/>
            <w:proofErr w:type="gramEnd"/>
            <w:r w:rsidR="009B3F90" w:rsidRPr="0069265A">
              <w:rPr>
                <w:rFonts w:ascii="Arial" w:eastAsia="Calibri" w:hAnsi="Arial" w:cs="Arial"/>
              </w:rPr>
              <w:t xml:space="preserve"> study highlights the success of PMMY in enhancing credit access, while also identifying regional and institutional imbalances. The findings are useful for policymakers and financial institutions to improve implementation, ensure equity, and strengthen microenterprise development.</w:t>
            </w:r>
          </w:p>
        </w:tc>
      </w:tr>
    </w:tbl>
    <w:p w:rsidR="00636EB2" w:rsidRDefault="00636EB2" w:rsidP="00441B6F">
      <w:pPr>
        <w:pStyle w:val="Body"/>
        <w:spacing w:after="0"/>
        <w:rPr>
          <w:rFonts w:ascii="Arial" w:hAnsi="Arial" w:cs="Arial"/>
          <w:i/>
        </w:rPr>
      </w:pPr>
    </w:p>
    <w:p w:rsidR="00790ADA" w:rsidRDefault="0069265A" w:rsidP="00441B6F">
      <w:pPr>
        <w:pStyle w:val="Body"/>
        <w:spacing w:after="0"/>
        <w:rPr>
          <w:rFonts w:ascii="Arial" w:hAnsi="Arial" w:cs="Arial"/>
          <w:i/>
        </w:rPr>
      </w:pPr>
      <w:r w:rsidRPr="0069265A">
        <w:rPr>
          <w:rFonts w:ascii="Arial" w:hAnsi="Arial" w:cs="Arial"/>
          <w:i/>
        </w:rPr>
        <w:t>Keywords: Pradhan Mantri MUDRA Yojana (PMMY), Financial Analytics, Loan Disbursement        Trends, Capital Adequacy, Regional and Institutional Analysis</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0B09CD" w:rsidRPr="000B09CD" w:rsidRDefault="00B66EEA" w:rsidP="00FD7F16">
      <w:pPr>
        <w:pStyle w:val="Body"/>
        <w:spacing w:after="0"/>
        <w:rPr>
          <w:rFonts w:ascii="Arial" w:hAnsi="Arial" w:cs="Arial"/>
        </w:rPr>
      </w:pPr>
      <w:r>
        <w:rPr>
          <w:rFonts w:ascii="Arial" w:hAnsi="Arial" w:cs="Arial"/>
        </w:rPr>
        <w:t>“</w:t>
      </w:r>
      <w:r w:rsidR="000B09CD" w:rsidRPr="000B09CD">
        <w:rPr>
          <w:rFonts w:ascii="Arial" w:hAnsi="Arial" w:cs="Arial"/>
        </w:rPr>
        <w:t xml:space="preserve">In the journey towards inclusive economic development, access to finance remains a vital component, especially for micro and small enterprises (MSEs) that operate at the grassroots level. Acknowledging the significance of empowering this largely unbanked sector, the Government of India took a proactive step by launching the Pradhan Mantri MUDRA Yojana (PMMY) on April 8, </w:t>
      </w:r>
      <w:proofErr w:type="gramStart"/>
      <w:r w:rsidR="000B09CD" w:rsidRPr="000B09CD">
        <w:rPr>
          <w:rFonts w:ascii="Arial" w:hAnsi="Arial" w:cs="Arial"/>
        </w:rPr>
        <w:t>2015</w:t>
      </w:r>
      <w:r>
        <w:rPr>
          <w:rFonts w:ascii="Arial" w:hAnsi="Arial" w:cs="Arial"/>
        </w:rPr>
        <w:t>”</w:t>
      </w:r>
      <w:r w:rsidR="000B09CD" w:rsidRPr="000B09CD">
        <w:rPr>
          <w:rFonts w:ascii="Arial" w:hAnsi="Arial" w:cs="Arial"/>
        </w:rPr>
        <w:t>(</w:t>
      </w:r>
      <w:proofErr w:type="gramEnd"/>
      <w:r w:rsidR="000B09CD" w:rsidRPr="000B09CD">
        <w:rPr>
          <w:rFonts w:ascii="Arial" w:hAnsi="Arial" w:cs="Arial"/>
        </w:rPr>
        <w:t xml:space="preserve">Agarwal &amp; Dwivedi, 2017). </w:t>
      </w:r>
      <w:r>
        <w:rPr>
          <w:rFonts w:ascii="Arial" w:hAnsi="Arial" w:cs="Arial"/>
        </w:rPr>
        <w:t>“</w:t>
      </w:r>
      <w:r w:rsidR="000B09CD" w:rsidRPr="000B09CD">
        <w:rPr>
          <w:rFonts w:ascii="Arial" w:hAnsi="Arial" w:cs="Arial"/>
        </w:rPr>
        <w:t xml:space="preserve">This flagship initiative aims to “fund the unfunded” by providing collateral-free financial support to non-corporate, non-farm small and micro enterprises, fostering entrepreneurship, enhancing self-reliance, and creating jobs </w:t>
      </w:r>
      <w:r w:rsidR="000B09CD" w:rsidRPr="000B09CD">
        <w:rPr>
          <w:rFonts w:ascii="Arial" w:hAnsi="Arial" w:cs="Arial"/>
        </w:rPr>
        <w:lastRenderedPageBreak/>
        <w:t xml:space="preserve">throughout the </w:t>
      </w:r>
      <w:proofErr w:type="gramStart"/>
      <w:r w:rsidR="000B09CD" w:rsidRPr="000B09CD">
        <w:rPr>
          <w:rFonts w:ascii="Arial" w:hAnsi="Arial" w:cs="Arial"/>
        </w:rPr>
        <w:t>nation</w:t>
      </w:r>
      <w:r>
        <w:rPr>
          <w:rFonts w:ascii="Arial" w:hAnsi="Arial" w:cs="Arial"/>
        </w:rPr>
        <w:t>”</w:t>
      </w:r>
      <w:r w:rsidR="000B09CD" w:rsidRPr="000B09CD">
        <w:rPr>
          <w:rFonts w:ascii="Arial" w:hAnsi="Arial" w:cs="Arial"/>
        </w:rPr>
        <w:t>(</w:t>
      </w:r>
      <w:proofErr w:type="gramEnd"/>
      <w:r w:rsidR="000B09CD" w:rsidRPr="000B09CD">
        <w:rPr>
          <w:rFonts w:ascii="Arial" w:hAnsi="Arial" w:cs="Arial"/>
        </w:rPr>
        <w:t xml:space="preserve">Bharti &amp; Verma, 2023). </w:t>
      </w:r>
      <w:r>
        <w:rPr>
          <w:rFonts w:ascii="Arial" w:hAnsi="Arial" w:cs="Arial"/>
        </w:rPr>
        <w:t>“</w:t>
      </w:r>
      <w:r w:rsidR="000B09CD" w:rsidRPr="000B09CD">
        <w:rPr>
          <w:rFonts w:ascii="Arial" w:hAnsi="Arial" w:cs="Arial"/>
        </w:rPr>
        <w:t>The establishment of the Micro Units Development and Refinance Agency (MUDRA) reflects a commitment to building an inclusive and sustainable entrepreneurial ecosystem by facilitating access to institutional credit for underserved micro-enterprises</w:t>
      </w:r>
      <w:proofErr w:type="gramStart"/>
      <w:r w:rsidR="000B09CD" w:rsidRPr="000B09CD">
        <w:rPr>
          <w:rFonts w:ascii="Arial" w:hAnsi="Arial" w:cs="Arial"/>
        </w:rPr>
        <w:t>.</w:t>
      </w:r>
      <w:r>
        <w:rPr>
          <w:rFonts w:ascii="Arial" w:hAnsi="Arial" w:cs="Arial"/>
        </w:rPr>
        <w:t>”</w:t>
      </w:r>
      <w:r w:rsidR="000B09CD" w:rsidRPr="000B09CD">
        <w:rPr>
          <w:rFonts w:ascii="Arial" w:hAnsi="Arial" w:cs="Arial"/>
        </w:rPr>
        <w:t>(</w:t>
      </w:r>
      <w:proofErr w:type="spellStart"/>
      <w:proofErr w:type="gramEnd"/>
      <w:r w:rsidR="000B09CD" w:rsidRPr="000B09CD">
        <w:rPr>
          <w:rFonts w:ascii="Arial" w:hAnsi="Arial" w:cs="Arial"/>
        </w:rPr>
        <w:t>Padimani</w:t>
      </w:r>
      <w:proofErr w:type="spellEnd"/>
      <w:r w:rsidR="000B09CD" w:rsidRPr="000B09CD">
        <w:rPr>
          <w:rFonts w:ascii="Arial" w:hAnsi="Arial" w:cs="Arial"/>
        </w:rPr>
        <w:t xml:space="preserve">, 2025) </w:t>
      </w:r>
      <w:r>
        <w:rPr>
          <w:rFonts w:ascii="Arial" w:hAnsi="Arial" w:cs="Arial"/>
        </w:rPr>
        <w:t>“</w:t>
      </w:r>
      <w:r w:rsidR="000B09CD" w:rsidRPr="000B09CD">
        <w:rPr>
          <w:rFonts w:ascii="Arial" w:hAnsi="Arial" w:cs="Arial"/>
        </w:rPr>
        <w:t xml:space="preserve">MUDRA's objectives are </w:t>
      </w:r>
      <w:proofErr w:type="spellStart"/>
      <w:r w:rsidR="00C15AA3">
        <w:rPr>
          <w:rFonts w:ascii="Arial" w:hAnsi="Arial" w:cs="Arial"/>
        </w:rPr>
        <w:t>centred</w:t>
      </w:r>
      <w:proofErr w:type="spellEnd"/>
      <w:r w:rsidR="000B09CD" w:rsidRPr="000B09CD">
        <w:rPr>
          <w:rFonts w:ascii="Arial" w:hAnsi="Arial" w:cs="Arial"/>
        </w:rPr>
        <w:t xml:space="preserve"> on expanding financial access, strengthening the microfinance sector, and empowering micro-entrepreneurs at various stages of their business journey</w:t>
      </w:r>
      <w:r>
        <w:rPr>
          <w:rFonts w:ascii="Arial" w:hAnsi="Arial" w:cs="Arial"/>
        </w:rPr>
        <w:t>”</w:t>
      </w:r>
      <w:r w:rsidR="000B09CD" w:rsidRPr="000B09CD">
        <w:rPr>
          <w:rFonts w:ascii="Arial" w:hAnsi="Arial" w:cs="Arial"/>
        </w:rPr>
        <w:t xml:space="preserve"> (S., 2022). </w:t>
      </w:r>
      <w:r>
        <w:rPr>
          <w:rFonts w:ascii="Arial" w:hAnsi="Arial" w:cs="Arial"/>
        </w:rPr>
        <w:t>“</w:t>
      </w:r>
      <w:r w:rsidR="000B09CD" w:rsidRPr="000B09CD">
        <w:rPr>
          <w:rFonts w:ascii="Arial" w:hAnsi="Arial" w:cs="Arial"/>
        </w:rPr>
        <w:t>To address the diverse financial needs of these enterprises, the scheme offers four product categories:</w:t>
      </w:r>
    </w:p>
    <w:p w:rsidR="000B09CD" w:rsidRPr="000B09CD" w:rsidRDefault="000B09CD" w:rsidP="00FD7F16">
      <w:pPr>
        <w:pStyle w:val="Body"/>
        <w:spacing w:after="0"/>
        <w:rPr>
          <w:rFonts w:ascii="Arial" w:hAnsi="Arial" w:cs="Arial"/>
        </w:rPr>
      </w:pPr>
      <w:proofErr w:type="spellStart"/>
      <w:r w:rsidRPr="000B09CD">
        <w:rPr>
          <w:rFonts w:ascii="Arial" w:hAnsi="Arial" w:cs="Arial"/>
        </w:rPr>
        <w:t>Shishu</w:t>
      </w:r>
      <w:proofErr w:type="spellEnd"/>
      <w:r w:rsidRPr="000B09CD">
        <w:rPr>
          <w:rFonts w:ascii="Arial" w:hAnsi="Arial" w:cs="Arial"/>
        </w:rPr>
        <w:t xml:space="preserve"> (up to ₹50,000) – specifically designed to support first-time entrepreneurs in launching their ventures and  Kishore (₹50,001 to ₹5 lakh) – aimed at facilitating the growth of emerging enterprises by providing essential funding to scale operations and  Tarun  (₹5 lakh to ₹10 lakh) – crafted for established businesses looking to expand and enhance their market presence and </w:t>
      </w:r>
      <w:proofErr w:type="spellStart"/>
      <w:r w:rsidRPr="000B09CD">
        <w:rPr>
          <w:rFonts w:ascii="Arial" w:hAnsi="Arial" w:cs="Arial"/>
        </w:rPr>
        <w:t>TarunPlus</w:t>
      </w:r>
      <w:proofErr w:type="spellEnd"/>
      <w:r w:rsidRPr="000B09CD">
        <w:rPr>
          <w:rFonts w:ascii="Arial" w:hAnsi="Arial" w:cs="Arial"/>
        </w:rPr>
        <w:t xml:space="preserve"> (₹10 lakh to ₹20 lakh) – introduced to assist high-growth micro-enterprises as they transition into medium-scale operations, empowering them for sustained success</w:t>
      </w:r>
      <w:r w:rsidR="00B66EEA">
        <w:rPr>
          <w:rFonts w:ascii="Arial" w:hAnsi="Arial" w:cs="Arial"/>
        </w:rPr>
        <w:t>”</w:t>
      </w:r>
      <w:r w:rsidRPr="000B09CD">
        <w:rPr>
          <w:rFonts w:ascii="Arial" w:hAnsi="Arial" w:cs="Arial"/>
        </w:rPr>
        <w:t>.(Gupta, 2022)</w:t>
      </w:r>
    </w:p>
    <w:p w:rsidR="000B09CD" w:rsidRPr="000B09CD" w:rsidRDefault="000B09CD" w:rsidP="00FD7F16">
      <w:pPr>
        <w:pStyle w:val="Body"/>
        <w:spacing w:after="0"/>
        <w:ind w:firstLine="720"/>
        <w:rPr>
          <w:rFonts w:ascii="Arial" w:hAnsi="Arial" w:cs="Arial"/>
        </w:rPr>
      </w:pPr>
      <w:r w:rsidRPr="000B09CD">
        <w:rPr>
          <w:rFonts w:ascii="Arial" w:hAnsi="Arial" w:cs="Arial"/>
        </w:rPr>
        <w:t>These loans are made available through a robust network of institutions, including public and private sector banks, Regional Rural Banks (RRBs), Small Finance Banks, Non-Banking Financial Companies (NBFCs), and Microfinance Institutions (MFIs). From FY 2016–17 to FY 2023–24, MUDRA has experienced remarkable growth, with total disbursements increasing from ₹1.80 lakh crore to ₹5.32 lakh crore. However, it is essential to note that the performance varies across loan categories, institutions, and geographic regions, with the Southern and Eastern regions showing particularly strong uptake. Additionally, the efficiency of institutions differs significantly between public and private sector lenders.</w:t>
      </w:r>
    </w:p>
    <w:p w:rsidR="000B09CD" w:rsidRPr="000B09CD" w:rsidRDefault="00B66EEA" w:rsidP="00FD7F16">
      <w:pPr>
        <w:pStyle w:val="Body"/>
        <w:spacing w:after="0"/>
        <w:ind w:firstLine="720"/>
        <w:rPr>
          <w:rFonts w:ascii="Arial" w:hAnsi="Arial" w:cs="Arial"/>
        </w:rPr>
      </w:pPr>
      <w:r>
        <w:rPr>
          <w:rFonts w:ascii="Arial" w:hAnsi="Arial" w:cs="Arial"/>
        </w:rPr>
        <w:t>“</w:t>
      </w:r>
      <w:r w:rsidR="000B09CD" w:rsidRPr="000B09CD">
        <w:rPr>
          <w:rFonts w:ascii="Arial" w:hAnsi="Arial" w:cs="Arial"/>
        </w:rPr>
        <w:t xml:space="preserve">To effectively assess a large-scale financial program and uncover trends, disparities, and performance gaps, leveraging financial analytics is </w:t>
      </w:r>
      <w:proofErr w:type="gramStart"/>
      <w:r w:rsidR="000B09CD" w:rsidRPr="000B09CD">
        <w:rPr>
          <w:rFonts w:ascii="Arial" w:hAnsi="Arial" w:cs="Arial"/>
        </w:rPr>
        <w:t>essential(</w:t>
      </w:r>
      <w:proofErr w:type="gramEnd"/>
      <w:r w:rsidR="000B09CD" w:rsidRPr="000B09CD">
        <w:rPr>
          <w:rFonts w:ascii="Arial" w:hAnsi="Arial" w:cs="Arial"/>
        </w:rPr>
        <w:t xml:space="preserve">Hasanaj &amp; Kuqi, 2019). This method </w:t>
      </w:r>
      <w:proofErr w:type="spellStart"/>
      <w:r w:rsidR="006F34FA">
        <w:rPr>
          <w:rFonts w:ascii="Arial" w:hAnsi="Arial" w:cs="Arial"/>
        </w:rPr>
        <w:t>utilises</w:t>
      </w:r>
      <w:proofErr w:type="spellEnd"/>
      <w:r w:rsidR="000B09CD" w:rsidRPr="000B09CD">
        <w:rPr>
          <w:rFonts w:ascii="Arial" w:hAnsi="Arial" w:cs="Arial"/>
        </w:rPr>
        <w:t xml:space="preserve"> statistical and computational techniques to derive valuable insights from financial data, facilitating evidence-based decision-making. The analytical strategies include descriptive analytics to </w:t>
      </w:r>
      <w:proofErr w:type="spellStart"/>
      <w:r w:rsidR="006F34FA">
        <w:rPr>
          <w:rFonts w:ascii="Arial" w:hAnsi="Arial" w:cs="Arial"/>
        </w:rPr>
        <w:t>summarise</w:t>
      </w:r>
      <w:proofErr w:type="spellEnd"/>
      <w:r w:rsidR="000B09CD" w:rsidRPr="000B09CD">
        <w:rPr>
          <w:rFonts w:ascii="Arial" w:hAnsi="Arial" w:cs="Arial"/>
        </w:rPr>
        <w:t xml:space="preserve"> historical trends, predictive analytics to forecast future performance, and prescriptive analytics to suggest strategic </w:t>
      </w:r>
      <w:proofErr w:type="gramStart"/>
      <w:r w:rsidR="000B09CD" w:rsidRPr="000B09CD">
        <w:rPr>
          <w:rFonts w:ascii="Arial" w:hAnsi="Arial" w:cs="Arial"/>
        </w:rPr>
        <w:t>actions</w:t>
      </w:r>
      <w:r>
        <w:rPr>
          <w:rFonts w:ascii="Arial" w:hAnsi="Arial" w:cs="Arial"/>
        </w:rPr>
        <w:t>”</w:t>
      </w:r>
      <w:r w:rsidR="000B09CD" w:rsidRPr="000B09CD">
        <w:rPr>
          <w:rFonts w:ascii="Arial" w:hAnsi="Arial" w:cs="Arial"/>
        </w:rPr>
        <w:t>(</w:t>
      </w:r>
      <w:proofErr w:type="spellStart"/>
      <w:proofErr w:type="gramEnd"/>
      <w:r w:rsidR="000B09CD" w:rsidRPr="000B09CD">
        <w:rPr>
          <w:rFonts w:ascii="Arial" w:hAnsi="Arial" w:cs="Arial"/>
        </w:rPr>
        <w:t>Broby</w:t>
      </w:r>
      <w:proofErr w:type="spellEnd"/>
      <w:r w:rsidR="000B09CD" w:rsidRPr="000B09CD">
        <w:rPr>
          <w:rFonts w:ascii="Arial" w:hAnsi="Arial" w:cs="Arial"/>
        </w:rPr>
        <w:t xml:space="preserve">, 2022). </w:t>
      </w:r>
      <w:r>
        <w:rPr>
          <w:rFonts w:ascii="Arial" w:hAnsi="Arial" w:cs="Arial"/>
        </w:rPr>
        <w:t>“</w:t>
      </w:r>
      <w:r w:rsidR="000B09CD" w:rsidRPr="000B09CD">
        <w:rPr>
          <w:rFonts w:ascii="Arial" w:hAnsi="Arial" w:cs="Arial"/>
        </w:rPr>
        <w:t>Additionally, risk and compliance analytics play a vital role in monitoring financial exposure and ensuring adherence to regulatory requirements. This comprehensive approach not only enhances understanding but also supports informed decision-making in financial management</w:t>
      </w:r>
      <w:r>
        <w:rPr>
          <w:rFonts w:ascii="Arial" w:hAnsi="Arial" w:cs="Arial"/>
        </w:rPr>
        <w:t>”</w:t>
      </w:r>
      <w:bookmarkStart w:id="0" w:name="_GoBack"/>
      <w:bookmarkEnd w:id="0"/>
      <w:r w:rsidR="000B09CD" w:rsidRPr="000B09CD">
        <w:rPr>
          <w:rFonts w:ascii="Arial" w:hAnsi="Arial" w:cs="Arial"/>
        </w:rPr>
        <w:t>.(Danci et al., 2025)</w:t>
      </w:r>
    </w:p>
    <w:p w:rsidR="000B09CD" w:rsidRPr="000B09CD" w:rsidRDefault="000B09CD" w:rsidP="00FD7F16">
      <w:pPr>
        <w:pStyle w:val="Body"/>
        <w:spacing w:after="0"/>
        <w:rPr>
          <w:rFonts w:ascii="Arial" w:hAnsi="Arial" w:cs="Arial"/>
        </w:rPr>
      </w:pPr>
      <w:r w:rsidRPr="000B09CD">
        <w:rPr>
          <w:rFonts w:ascii="Arial" w:hAnsi="Arial" w:cs="Arial"/>
        </w:rPr>
        <w:t xml:space="preserve"> </w:t>
      </w:r>
      <w:r w:rsidRPr="000B09CD">
        <w:rPr>
          <w:rFonts w:ascii="Arial" w:hAnsi="Arial" w:cs="Arial"/>
        </w:rPr>
        <w:tab/>
        <w:t xml:space="preserve">In this study, various analytics techniques such as descriptive statistics, ANOVA, Coefficient of Variation (CV%), and Compound Annual Growth </w:t>
      </w:r>
      <w:proofErr w:type="gramStart"/>
      <w:r w:rsidRPr="000B09CD">
        <w:rPr>
          <w:rFonts w:ascii="Arial" w:hAnsi="Arial" w:cs="Arial"/>
        </w:rPr>
        <w:t>Rate  (</w:t>
      </w:r>
      <w:proofErr w:type="gramEnd"/>
      <w:r w:rsidRPr="000B09CD">
        <w:rPr>
          <w:rFonts w:ascii="Arial" w:hAnsi="Arial" w:cs="Arial"/>
        </w:rPr>
        <w:t>CAGR) will be utilized to assess institutional performance, category-wise distribution, regional disbursement patterns, and capital adequacy associated with MUDRA loans. The integration of financial analytics into such an assessment offers numerous benefits. It drives informed decision-making, enhances financial planning and forecasting, improves profitability, identifies operational inefficiencies, and supports risk mitigation strategies. For policymakers and financial institutions, these insights are invaluable for refining credit delivery models, addressing regional disparities, and ensuring the lasting impact of financial inclusion initiatives like PMMY.</w:t>
      </w:r>
    </w:p>
    <w:p w:rsidR="00790ADA" w:rsidRDefault="000B09CD" w:rsidP="00FD7F16">
      <w:pPr>
        <w:pStyle w:val="Body"/>
        <w:spacing w:after="0"/>
        <w:ind w:firstLine="720"/>
        <w:rPr>
          <w:rFonts w:ascii="Arial" w:hAnsi="Arial" w:cs="Arial"/>
        </w:rPr>
      </w:pPr>
      <w:r w:rsidRPr="000B09CD">
        <w:rPr>
          <w:rFonts w:ascii="Arial" w:hAnsi="Arial" w:cs="Arial"/>
        </w:rPr>
        <w:t>Consequently, this research will conduct a comprehensive financial analytics study of MUDRA loan performance from FY 2016–17 to FY 2023–24. The goal is to determine whether the scheme has successfully achieved its mission of promoting inclusive growth and entrepreneurial upliftment while also highlighting structural imbalances and recommending strategic interventions to enhance its outreach and efficacy.</w:t>
      </w:r>
    </w:p>
    <w:p w:rsidR="00FD7F16" w:rsidRDefault="00FD7F16" w:rsidP="00FD7F16">
      <w:pPr>
        <w:pStyle w:val="Body"/>
        <w:spacing w:after="0"/>
        <w:ind w:firstLine="720"/>
        <w:rPr>
          <w:rFonts w:ascii="Arial" w:hAnsi="Arial" w:cs="Arial"/>
        </w:rPr>
      </w:pPr>
    </w:p>
    <w:p w:rsidR="000B09CD" w:rsidRPr="000B09CD" w:rsidRDefault="00FD7F16" w:rsidP="00FD7F16">
      <w:pPr>
        <w:pStyle w:val="Body"/>
        <w:spacing w:after="0"/>
        <w:rPr>
          <w:rFonts w:ascii="Arial" w:hAnsi="Arial" w:cs="Arial"/>
          <w:b/>
          <w:sz w:val="22"/>
        </w:rPr>
      </w:pPr>
      <w:r>
        <w:rPr>
          <w:rFonts w:ascii="Arial" w:hAnsi="Arial" w:cs="Arial"/>
          <w:b/>
          <w:sz w:val="22"/>
        </w:rPr>
        <w:t>2.</w:t>
      </w:r>
      <w:r w:rsidR="00C15AA3">
        <w:rPr>
          <w:rFonts w:ascii="Arial" w:hAnsi="Arial" w:cs="Arial"/>
          <w:b/>
          <w:sz w:val="22"/>
        </w:rPr>
        <w:t xml:space="preserve"> </w:t>
      </w:r>
      <w:r w:rsidR="000B09CD" w:rsidRPr="000B09CD">
        <w:rPr>
          <w:rFonts w:ascii="Arial" w:hAnsi="Arial" w:cs="Arial"/>
          <w:b/>
          <w:sz w:val="22"/>
        </w:rPr>
        <w:t>Review of literature</w:t>
      </w:r>
    </w:p>
    <w:p w:rsidR="000B09CD" w:rsidRDefault="000B09CD" w:rsidP="00FD7F16">
      <w:pPr>
        <w:pStyle w:val="Body"/>
        <w:spacing w:after="0"/>
        <w:rPr>
          <w:rFonts w:ascii="Arial" w:hAnsi="Arial" w:cs="Arial"/>
        </w:rPr>
      </w:pPr>
      <w:r w:rsidRPr="000B09CD">
        <w:rPr>
          <w:rFonts w:ascii="Arial" w:hAnsi="Arial" w:cs="Arial"/>
        </w:rPr>
        <w:t xml:space="preserve">A comprehensive body of literature evaluates the performance, outreach, and challenges of the Pradhan Mantri MUDRA Yojana (PMMY) in enhancing financial inclusion and empowering micro-entrepreneurs. </w:t>
      </w:r>
      <w:r w:rsidRPr="000B09CD">
        <w:rPr>
          <w:rFonts w:ascii="Arial" w:hAnsi="Arial" w:cs="Arial"/>
          <w:b/>
        </w:rPr>
        <w:t>Agarwal and Dwivedi (2017)</w:t>
      </w:r>
      <w:r w:rsidRPr="000B09CD">
        <w:rPr>
          <w:rFonts w:ascii="Arial" w:hAnsi="Arial" w:cs="Arial"/>
        </w:rPr>
        <w:t xml:space="preserve"> highlight operational </w:t>
      </w:r>
      <w:r w:rsidRPr="000B09CD">
        <w:rPr>
          <w:rFonts w:ascii="Arial" w:hAnsi="Arial" w:cs="Arial"/>
        </w:rPr>
        <w:lastRenderedPageBreak/>
        <w:t xml:space="preserve">challenges, including limited financial literacy, weak repayment monitoring, and inadequate infrastructure, despite the scheme’s inclusive intent. </w:t>
      </w:r>
      <w:r w:rsidRPr="000B09CD">
        <w:rPr>
          <w:rFonts w:ascii="Arial" w:hAnsi="Arial" w:cs="Arial"/>
          <w:b/>
        </w:rPr>
        <w:t>Dwivedi (2018)</w:t>
      </w:r>
      <w:r w:rsidRPr="000B09CD">
        <w:rPr>
          <w:rFonts w:ascii="Arial" w:hAnsi="Arial" w:cs="Arial"/>
        </w:rPr>
        <w:t xml:space="preserve"> further emphasized these issues, noting that the effectiveness of PMMY was hindered by poor institutional capacity and a lack of awareness among beneficiaries. </w:t>
      </w:r>
      <w:r w:rsidRPr="000B09CD">
        <w:rPr>
          <w:rFonts w:ascii="Arial" w:hAnsi="Arial" w:cs="Arial"/>
          <w:b/>
        </w:rPr>
        <w:t>Mahajan (2019)</w:t>
      </w:r>
      <w:r w:rsidRPr="000B09CD">
        <w:rPr>
          <w:rFonts w:ascii="Arial" w:hAnsi="Arial" w:cs="Arial"/>
        </w:rPr>
        <w:t xml:space="preserve"> contributed a state-level analysis from Maharashtra, indicating an increase in self-employment due to the scheme but calling for better alignment with skill development programs. </w:t>
      </w:r>
      <w:r w:rsidRPr="000B09CD">
        <w:rPr>
          <w:rFonts w:ascii="Arial" w:hAnsi="Arial" w:cs="Arial"/>
          <w:b/>
        </w:rPr>
        <w:t xml:space="preserve">Hasanaj and Kuqi (2019) </w:t>
      </w:r>
      <w:r w:rsidRPr="000B09CD">
        <w:rPr>
          <w:rFonts w:ascii="Arial" w:hAnsi="Arial" w:cs="Arial"/>
        </w:rPr>
        <w:t xml:space="preserve">presented a financial analytics framework suitable for evaluating PMMY institutions, utilizing tools like ratio analysis and trend forecasting. </w:t>
      </w:r>
      <w:r w:rsidRPr="000B09CD">
        <w:rPr>
          <w:rFonts w:ascii="Arial" w:hAnsi="Arial" w:cs="Arial"/>
          <w:b/>
        </w:rPr>
        <w:t>Rasyid et al. (2020)</w:t>
      </w:r>
      <w:r w:rsidRPr="000B09CD">
        <w:rPr>
          <w:rFonts w:ascii="Arial" w:hAnsi="Arial" w:cs="Arial"/>
        </w:rPr>
        <w:t xml:space="preserve"> employed a SWOT analysis to assess PMMY's role in financing rural MSMEs, highlighting its strengths, such as government risk guarantees, while also pointing out the need for improved borrower training and marketing support. </w:t>
      </w:r>
      <w:proofErr w:type="spellStart"/>
      <w:r w:rsidRPr="000B09CD">
        <w:rPr>
          <w:rFonts w:ascii="Arial" w:hAnsi="Arial" w:cs="Arial"/>
          <w:b/>
        </w:rPr>
        <w:t>Eliganur</w:t>
      </w:r>
      <w:proofErr w:type="spellEnd"/>
      <w:r w:rsidRPr="000B09CD">
        <w:rPr>
          <w:rFonts w:ascii="Arial" w:hAnsi="Arial" w:cs="Arial"/>
          <w:b/>
        </w:rPr>
        <w:t xml:space="preserve"> (2020</w:t>
      </w:r>
      <w:r w:rsidRPr="000B09CD">
        <w:rPr>
          <w:rFonts w:ascii="Arial" w:hAnsi="Arial" w:cs="Arial"/>
        </w:rPr>
        <w:t xml:space="preserve">) analyzed urban-rural disparities in Ballari, Karnataka, revealing different levels of loan utilization and awareness, which necessitated customized intervention strategies. </w:t>
      </w:r>
      <w:r w:rsidRPr="000B09CD">
        <w:rPr>
          <w:rFonts w:ascii="Arial" w:hAnsi="Arial" w:cs="Arial"/>
          <w:b/>
        </w:rPr>
        <w:t>Alzoubi (2021</w:t>
      </w:r>
      <w:r w:rsidRPr="000B09CD">
        <w:rPr>
          <w:rFonts w:ascii="Arial" w:hAnsi="Arial" w:cs="Arial"/>
        </w:rPr>
        <w:t xml:space="preserve">) focused on capital adequacy norms, demonstrating how regulatory and operational constraints influence the disbursal of micro-credit. </w:t>
      </w:r>
      <w:proofErr w:type="spellStart"/>
      <w:r w:rsidRPr="000B09CD">
        <w:rPr>
          <w:rFonts w:ascii="Arial" w:hAnsi="Arial" w:cs="Arial"/>
          <w:b/>
        </w:rPr>
        <w:t>Mahadule</w:t>
      </w:r>
      <w:proofErr w:type="spellEnd"/>
      <w:r w:rsidRPr="000B09CD">
        <w:rPr>
          <w:rFonts w:ascii="Arial" w:hAnsi="Arial" w:cs="Arial"/>
          <w:b/>
        </w:rPr>
        <w:t xml:space="preserve"> and </w:t>
      </w:r>
      <w:proofErr w:type="spellStart"/>
      <w:r w:rsidRPr="000B09CD">
        <w:rPr>
          <w:rFonts w:ascii="Arial" w:hAnsi="Arial" w:cs="Arial"/>
          <w:b/>
        </w:rPr>
        <w:t>Chib</w:t>
      </w:r>
      <w:proofErr w:type="spellEnd"/>
      <w:r w:rsidRPr="000B09CD">
        <w:rPr>
          <w:rFonts w:ascii="Arial" w:hAnsi="Arial" w:cs="Arial"/>
          <w:b/>
        </w:rPr>
        <w:t xml:space="preserve"> (2022)</w:t>
      </w:r>
      <w:r w:rsidRPr="000B09CD">
        <w:rPr>
          <w:rFonts w:ascii="Arial" w:hAnsi="Arial" w:cs="Arial"/>
        </w:rPr>
        <w:t xml:space="preserve"> explored gender perspectives, finding improved credit access for women entrepreneurs, although social and cultural barriers remained significant obstacles to their business growth. </w:t>
      </w:r>
      <w:r w:rsidRPr="000B09CD">
        <w:rPr>
          <w:rFonts w:ascii="Arial" w:hAnsi="Arial" w:cs="Arial"/>
          <w:b/>
        </w:rPr>
        <w:t>Gupta (2022)</w:t>
      </w:r>
      <w:r w:rsidRPr="000B09CD">
        <w:rPr>
          <w:rFonts w:ascii="Arial" w:hAnsi="Arial" w:cs="Arial"/>
        </w:rPr>
        <w:t xml:space="preserve"> analyzed PMMY’s performance from 2015 to 2019 using financial ratios and found consistent growth in disbursements, satisfactory repayment rates, and controlled levels of non-performing assets. </w:t>
      </w:r>
      <w:r w:rsidRPr="000B09CD">
        <w:rPr>
          <w:rFonts w:ascii="Arial" w:hAnsi="Arial" w:cs="Arial"/>
          <w:b/>
        </w:rPr>
        <w:t>Bharti and Verma (2023)</w:t>
      </w:r>
      <w:r w:rsidRPr="000B09CD">
        <w:rPr>
          <w:rFonts w:ascii="Arial" w:hAnsi="Arial" w:cs="Arial"/>
        </w:rPr>
        <w:t xml:space="preserve"> provided a comprehensive national-level study reviewing the evolution of PMMY, highlighting improvements in loan volumes, digital processes, and institutional linkages. Recent works by </w:t>
      </w:r>
      <w:proofErr w:type="spellStart"/>
      <w:r w:rsidRPr="000B09CD">
        <w:rPr>
          <w:rFonts w:ascii="Arial" w:hAnsi="Arial" w:cs="Arial"/>
          <w:b/>
        </w:rPr>
        <w:t>Padimani</w:t>
      </w:r>
      <w:proofErr w:type="spellEnd"/>
      <w:r w:rsidRPr="000B09CD">
        <w:rPr>
          <w:rFonts w:ascii="Arial" w:hAnsi="Arial" w:cs="Arial"/>
          <w:b/>
        </w:rPr>
        <w:t xml:space="preserve"> (2025)</w:t>
      </w:r>
      <w:r w:rsidRPr="000B09CD">
        <w:rPr>
          <w:rFonts w:ascii="Arial" w:hAnsi="Arial" w:cs="Arial"/>
        </w:rPr>
        <w:t xml:space="preserve"> and </w:t>
      </w:r>
      <w:proofErr w:type="spellStart"/>
      <w:r w:rsidRPr="000B09CD">
        <w:rPr>
          <w:rFonts w:ascii="Arial" w:hAnsi="Arial" w:cs="Arial"/>
          <w:b/>
        </w:rPr>
        <w:t>Srividhya</w:t>
      </w:r>
      <w:proofErr w:type="spellEnd"/>
      <w:r w:rsidRPr="000B09CD">
        <w:rPr>
          <w:rFonts w:ascii="Arial" w:hAnsi="Arial" w:cs="Arial"/>
          <w:b/>
        </w:rPr>
        <w:t xml:space="preserve"> &amp; Ranganath (2025)</w:t>
      </w:r>
      <w:r w:rsidRPr="000B09CD">
        <w:rPr>
          <w:rFonts w:ascii="Arial" w:hAnsi="Arial" w:cs="Arial"/>
        </w:rPr>
        <w:t xml:space="preserve"> offer deeper region-wise and socio-economic analyses. </w:t>
      </w:r>
      <w:proofErr w:type="spellStart"/>
      <w:r w:rsidRPr="000B09CD">
        <w:rPr>
          <w:rFonts w:ascii="Arial" w:hAnsi="Arial" w:cs="Arial"/>
        </w:rPr>
        <w:t>Padimani’s</w:t>
      </w:r>
      <w:proofErr w:type="spellEnd"/>
      <w:r w:rsidRPr="000B09CD">
        <w:rPr>
          <w:rFonts w:ascii="Arial" w:hAnsi="Arial" w:cs="Arial"/>
        </w:rPr>
        <w:t xml:space="preserve"> descriptive study in Karnataka highlighted regional disparities and called for more inclusive outreach in rural areas. Srividhya and Ranganath emphasized PMMY’s positive impact on financial independence, income generation, and employment among underserved populations. </w:t>
      </w:r>
      <w:r w:rsidRPr="000B09CD">
        <w:rPr>
          <w:rFonts w:ascii="Arial" w:hAnsi="Arial" w:cs="Arial"/>
          <w:b/>
        </w:rPr>
        <w:t>Nambiar (2025)</w:t>
      </w:r>
      <w:r w:rsidRPr="000B09CD">
        <w:rPr>
          <w:rFonts w:ascii="Arial" w:hAnsi="Arial" w:cs="Arial"/>
        </w:rPr>
        <w:t xml:space="preserve"> highlighted trends in higher loan uptake for the ‘</w:t>
      </w:r>
      <w:proofErr w:type="spellStart"/>
      <w:r w:rsidRPr="000B09CD">
        <w:rPr>
          <w:rFonts w:ascii="Arial" w:hAnsi="Arial" w:cs="Arial"/>
        </w:rPr>
        <w:t>Shishu</w:t>
      </w:r>
      <w:proofErr w:type="spellEnd"/>
      <w:r w:rsidRPr="000B09CD">
        <w:rPr>
          <w:rFonts w:ascii="Arial" w:hAnsi="Arial" w:cs="Arial"/>
        </w:rPr>
        <w:t xml:space="preserve">’ and ‘Kishore’ categories, while ‘Tarun’ loans remained underutilized due to stricter risk assessments. Additionally, </w:t>
      </w:r>
      <w:r w:rsidRPr="000B09CD">
        <w:rPr>
          <w:rFonts w:ascii="Arial" w:hAnsi="Arial" w:cs="Arial"/>
          <w:b/>
        </w:rPr>
        <w:t>Broby (2022) and Danci et al. (2025)</w:t>
      </w:r>
      <w:r w:rsidRPr="000B09CD">
        <w:rPr>
          <w:rFonts w:ascii="Arial" w:hAnsi="Arial" w:cs="Arial"/>
        </w:rPr>
        <w:t xml:space="preserve"> examined the role of predictive analytics in PMMY</w:t>
      </w:r>
    </w:p>
    <w:p w:rsidR="00FD7F16" w:rsidRPr="00FD7F16" w:rsidRDefault="00FD7F16" w:rsidP="00FD7F16">
      <w:pPr>
        <w:pStyle w:val="Body"/>
        <w:spacing w:after="0"/>
        <w:rPr>
          <w:rFonts w:ascii="Arial" w:hAnsi="Arial" w:cs="Arial"/>
        </w:rPr>
      </w:pPr>
    </w:p>
    <w:p w:rsidR="000B09CD" w:rsidRPr="000B09CD" w:rsidRDefault="00C15AA3" w:rsidP="00FD7F16">
      <w:pPr>
        <w:pStyle w:val="Body"/>
        <w:spacing w:after="0"/>
        <w:rPr>
          <w:rFonts w:ascii="Arial" w:hAnsi="Arial" w:cs="Arial"/>
          <w:b/>
          <w:sz w:val="22"/>
        </w:rPr>
      </w:pPr>
      <w:r>
        <w:rPr>
          <w:rFonts w:ascii="Arial" w:hAnsi="Arial" w:cs="Arial"/>
          <w:b/>
          <w:sz w:val="22"/>
        </w:rPr>
        <w:t xml:space="preserve">3. </w:t>
      </w:r>
      <w:r w:rsidR="000B09CD" w:rsidRPr="000B09CD">
        <w:rPr>
          <w:rFonts w:ascii="Arial" w:hAnsi="Arial" w:cs="Arial"/>
          <w:b/>
          <w:sz w:val="22"/>
        </w:rPr>
        <w:t>Objectives</w:t>
      </w:r>
    </w:p>
    <w:p w:rsidR="000B09CD" w:rsidRPr="009F09E1" w:rsidRDefault="000B09CD" w:rsidP="009F09E1">
      <w:pPr>
        <w:pStyle w:val="Body"/>
        <w:numPr>
          <w:ilvl w:val="0"/>
          <w:numId w:val="2"/>
        </w:numPr>
        <w:spacing w:after="0"/>
        <w:rPr>
          <w:rFonts w:ascii="Arial" w:hAnsi="Arial" w:cs="Arial"/>
        </w:rPr>
      </w:pPr>
      <w:r w:rsidRPr="000B09CD">
        <w:rPr>
          <w:rFonts w:ascii="Arial" w:hAnsi="Arial" w:cs="Arial"/>
        </w:rPr>
        <w:t xml:space="preserve">To </w:t>
      </w:r>
      <w:proofErr w:type="spellStart"/>
      <w:r>
        <w:rPr>
          <w:rFonts w:ascii="Arial" w:hAnsi="Arial" w:cs="Arial"/>
        </w:rPr>
        <w:t>analyse</w:t>
      </w:r>
      <w:proofErr w:type="spellEnd"/>
      <w:r w:rsidRPr="000B09CD">
        <w:rPr>
          <w:rFonts w:ascii="Arial" w:hAnsi="Arial" w:cs="Arial"/>
        </w:rPr>
        <w:t xml:space="preserve"> the category-wise number of loan accounts under PMMY from</w:t>
      </w:r>
      <w:r w:rsidR="009F09E1">
        <w:rPr>
          <w:rFonts w:ascii="Arial" w:hAnsi="Arial" w:cs="Arial"/>
        </w:rPr>
        <w:t>2016</w:t>
      </w:r>
      <w:r w:rsidRPr="000B09CD">
        <w:rPr>
          <w:rFonts w:ascii="Arial" w:hAnsi="Arial" w:cs="Arial"/>
        </w:rPr>
        <w:t>–</w:t>
      </w:r>
      <w:r w:rsidR="009F09E1">
        <w:rPr>
          <w:rFonts w:ascii="Arial" w:hAnsi="Arial" w:cs="Arial"/>
        </w:rPr>
        <w:t xml:space="preserve"> </w:t>
      </w:r>
      <w:r w:rsidRPr="000B09CD">
        <w:rPr>
          <w:rFonts w:ascii="Arial" w:hAnsi="Arial" w:cs="Arial"/>
        </w:rPr>
        <w:t>7 to 2023–24 (</w:t>
      </w:r>
      <w:proofErr w:type="spellStart"/>
      <w:r w:rsidRPr="000B09CD">
        <w:rPr>
          <w:rFonts w:ascii="Arial" w:hAnsi="Arial" w:cs="Arial"/>
        </w:rPr>
        <w:t>Shishu</w:t>
      </w:r>
      <w:proofErr w:type="spellEnd"/>
      <w:r w:rsidRPr="000B09CD">
        <w:rPr>
          <w:rFonts w:ascii="Arial" w:hAnsi="Arial" w:cs="Arial"/>
        </w:rPr>
        <w:t xml:space="preserve">, Kishore, </w:t>
      </w:r>
      <w:proofErr w:type="spellStart"/>
      <w:r w:rsidRPr="000B09CD">
        <w:rPr>
          <w:rFonts w:ascii="Arial" w:hAnsi="Arial" w:cs="Arial"/>
        </w:rPr>
        <w:t>Tarun</w:t>
      </w:r>
      <w:proofErr w:type="spellEnd"/>
      <w:r w:rsidRPr="000B09CD">
        <w:rPr>
          <w:rFonts w:ascii="Arial" w:hAnsi="Arial" w:cs="Arial"/>
        </w:rPr>
        <w:t>).</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 xml:space="preserve">To study the </w:t>
      </w:r>
      <w:r>
        <w:rPr>
          <w:rFonts w:ascii="Arial" w:hAnsi="Arial" w:cs="Arial"/>
        </w:rPr>
        <w:t>region-</w:t>
      </w:r>
      <w:proofErr w:type="spellStart"/>
      <w:r>
        <w:rPr>
          <w:rFonts w:ascii="Arial" w:hAnsi="Arial" w:cs="Arial"/>
        </w:rPr>
        <w:t>wise</w:t>
      </w:r>
      <w:proofErr w:type="spellEnd"/>
      <w:r w:rsidRPr="000B09CD">
        <w:rPr>
          <w:rFonts w:ascii="Arial" w:hAnsi="Arial" w:cs="Arial"/>
        </w:rPr>
        <w:t xml:space="preserve"> distribution of loan accounts and loan disbursement across five major regions of India: North, East, North East, South, and West.</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assess the performance of different financial institutions (Public, Private, NBFCs, MFIs, etc.) in achieving their PMMY loan disbursement targets for FY 2023–24.</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identify the top-performing states in terms of MUDRA loan disbursement for FY 2023–24.</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examine the trend and consistency in the capital adequacy ratio of MUDRA from 2016 to 2024.</w:t>
      </w:r>
    </w:p>
    <w:p w:rsidR="000B09CD" w:rsidRPr="000B09CD" w:rsidRDefault="000B09CD" w:rsidP="000B09CD">
      <w:pPr>
        <w:pStyle w:val="Body"/>
        <w:spacing w:after="0"/>
        <w:rPr>
          <w:rFonts w:ascii="Arial" w:hAnsi="Arial" w:cs="Arial"/>
        </w:rPr>
      </w:pPr>
    </w:p>
    <w:p w:rsidR="000B09CD" w:rsidRDefault="000B09CD" w:rsidP="00B56C6D">
      <w:pPr>
        <w:pStyle w:val="Body"/>
        <w:numPr>
          <w:ilvl w:val="0"/>
          <w:numId w:val="2"/>
        </w:numPr>
        <w:spacing w:after="0"/>
        <w:rPr>
          <w:rFonts w:ascii="Arial" w:hAnsi="Arial" w:cs="Arial"/>
        </w:rPr>
      </w:pPr>
      <w:r w:rsidRPr="000B09CD">
        <w:rPr>
          <w:rFonts w:ascii="Arial" w:hAnsi="Arial" w:cs="Arial"/>
        </w:rPr>
        <w:t>To test whether there is a significant difference in loan disbursement and loan accounts across various regions and categories using statistical tools like ANOVA.</w:t>
      </w:r>
    </w:p>
    <w:p w:rsidR="000B09CD" w:rsidRDefault="000B09CD" w:rsidP="000B09CD">
      <w:pPr>
        <w:pStyle w:val="ListParagraph"/>
        <w:rPr>
          <w:rFonts w:ascii="Arial" w:hAnsi="Arial" w:cs="Arial"/>
        </w:rPr>
      </w:pPr>
    </w:p>
    <w:p w:rsidR="000B09CD" w:rsidRPr="00FB3A86" w:rsidRDefault="000B09CD" w:rsidP="000B09CD">
      <w:pPr>
        <w:pStyle w:val="Body"/>
        <w:spacing w:after="0"/>
        <w:rPr>
          <w:rFonts w:ascii="Arial" w:hAnsi="Arial" w:cs="Arial"/>
        </w:rPr>
      </w:pPr>
    </w:p>
    <w:p w:rsidR="00790ADA" w:rsidRPr="00FB3A86" w:rsidRDefault="00C15AA3" w:rsidP="00441B6F">
      <w:pPr>
        <w:pStyle w:val="AbstHead"/>
        <w:spacing w:after="0"/>
        <w:jc w:val="both"/>
        <w:rPr>
          <w:rFonts w:ascii="Arial" w:hAnsi="Arial" w:cs="Arial"/>
        </w:rPr>
      </w:pPr>
      <w:r>
        <w:rPr>
          <w:rFonts w:ascii="Arial" w:hAnsi="Arial" w:cs="Arial"/>
        </w:rPr>
        <w:lastRenderedPageBreak/>
        <w:t>4</w:t>
      </w:r>
      <w:r w:rsidR="00902823">
        <w:rPr>
          <w:rFonts w:ascii="Arial" w:hAnsi="Arial" w:cs="Arial"/>
        </w:rPr>
        <w:t xml:space="preserve">. </w:t>
      </w:r>
      <w:r w:rsidR="006F34FA">
        <w:rPr>
          <w:rFonts w:ascii="Arial" w:hAnsi="Arial" w:cs="Arial"/>
        </w:rPr>
        <w:t>METHODOLOGY</w:t>
      </w:r>
    </w:p>
    <w:p w:rsidR="00A03B96" w:rsidRDefault="000B09CD" w:rsidP="00441B6F">
      <w:pPr>
        <w:pStyle w:val="Body"/>
        <w:spacing w:after="0"/>
        <w:rPr>
          <w:rFonts w:ascii="Arial" w:hAnsi="Arial" w:cs="Arial"/>
        </w:rPr>
      </w:pPr>
      <w:r w:rsidRPr="000B09CD">
        <w:rPr>
          <w:rFonts w:ascii="Arial" w:hAnsi="Arial" w:cs="Arial"/>
        </w:rPr>
        <w:t>This study uses a quantitative research methodology to assess the financial performance of the PMMY from FY 2016–17 to FY 2023–24. 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0B09CD" w:rsidRPr="000B09CD" w:rsidRDefault="000B09CD" w:rsidP="000B09CD">
      <w:pPr>
        <w:pStyle w:val="Head1"/>
        <w:jc w:val="both"/>
        <w:rPr>
          <w:rFonts w:ascii="Arial" w:hAnsi="Arial" w:cs="Arial"/>
        </w:rPr>
      </w:pPr>
      <w:r w:rsidRPr="000B09CD">
        <w:rPr>
          <w:rFonts w:ascii="Arial" w:hAnsi="Arial" w:cs="Arial"/>
        </w:rPr>
        <w:t xml:space="preserve">Institution-wise Performance of MUDRA (FY 2023–24)  </w:t>
      </w:r>
    </w:p>
    <w:p w:rsidR="000B09CD" w:rsidRDefault="000B09CD" w:rsidP="000B09CD">
      <w:pPr>
        <w:pStyle w:val="Head1"/>
        <w:spacing w:after="0"/>
        <w:jc w:val="both"/>
        <w:rPr>
          <w:rFonts w:ascii="Arial" w:hAnsi="Arial" w:cs="Arial"/>
        </w:rPr>
      </w:pPr>
      <w:r w:rsidRPr="000B09CD">
        <w:rPr>
          <w:rFonts w:ascii="Arial" w:hAnsi="Arial" w:cs="Arial"/>
        </w:rPr>
        <w:t>Table 1 Institution-wise Performance of MUDRA (FY 2023–24)</w:t>
      </w:r>
    </w:p>
    <w:tbl>
      <w:tblPr>
        <w:tblStyle w:val="TableGrid"/>
        <w:tblW w:w="0" w:type="auto"/>
        <w:tblLook w:val="04A0" w:firstRow="1" w:lastRow="0" w:firstColumn="1" w:lastColumn="0" w:noHBand="0" w:noVBand="1"/>
      </w:tblPr>
      <w:tblGrid>
        <w:gridCol w:w="2071"/>
        <w:gridCol w:w="1312"/>
        <w:gridCol w:w="1309"/>
        <w:gridCol w:w="1273"/>
        <w:gridCol w:w="998"/>
        <w:gridCol w:w="1461"/>
      </w:tblGrid>
      <w:tr w:rsidR="000B09CD" w:rsidRPr="00370646" w:rsidTr="000B09CD">
        <w:trPr>
          <w:trHeight w:val="660"/>
        </w:trPr>
        <w:tc>
          <w:tcPr>
            <w:tcW w:w="2071"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Institution Category</w:t>
            </w:r>
          </w:p>
        </w:tc>
        <w:tc>
          <w:tcPr>
            <w:tcW w:w="1312"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Target (2023–24)</w:t>
            </w:r>
          </w:p>
        </w:tc>
        <w:tc>
          <w:tcPr>
            <w:tcW w:w="1309"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(2023–24)</w:t>
            </w:r>
          </w:p>
        </w:tc>
        <w:tc>
          <w:tcPr>
            <w:tcW w:w="1273"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(2022–23)</w:t>
            </w:r>
          </w:p>
        </w:tc>
        <w:tc>
          <w:tcPr>
            <w:tcW w:w="998"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Growth (%)</w:t>
            </w:r>
          </w:p>
        </w:tc>
        <w:tc>
          <w:tcPr>
            <w:tcW w:w="1461"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Achievement (%) FY 2023–24</w:t>
            </w:r>
          </w:p>
        </w:tc>
      </w:tr>
      <w:tr w:rsidR="000B09CD" w:rsidRPr="00370646" w:rsidTr="000B09CD">
        <w:trPr>
          <w:trHeight w:val="485"/>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Public Sector Banks (incl. RRBs)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2,02,000.00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1,96,737.68</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1,71,118.78</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97%</w:t>
            </w:r>
          </w:p>
        </w:tc>
      </w:tr>
      <w:tr w:rsidR="000B09CD" w:rsidRPr="00370646" w:rsidTr="000B09CD">
        <w:trPr>
          <w:trHeight w:val="503"/>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Private Sector Banks (incl. Foreign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1,45,000.00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1,74,911.45</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1,41,116.00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24%</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121%</w:t>
            </w:r>
          </w:p>
        </w:tc>
      </w:tr>
      <w:tr w:rsidR="000B09CD" w:rsidRPr="00370646" w:rsidTr="000B09CD">
        <w:trPr>
          <w:trHeight w:val="440"/>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Small Finance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42,000.00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45,190.01</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38,297.00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108%</w:t>
            </w:r>
          </w:p>
        </w:tc>
      </w:tr>
      <w:tr w:rsidR="000B09CD" w:rsidRPr="00370646" w:rsidTr="000B09CD">
        <w:trPr>
          <w:trHeight w:val="660"/>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Micro Finance Institutions (MFIs)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74,000.00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76,605.33</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66,830.62</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104%</w:t>
            </w:r>
          </w:p>
        </w:tc>
      </w:tr>
      <w:tr w:rsidR="000B09CD" w:rsidRPr="00370646" w:rsidTr="000B09CD">
        <w:trPr>
          <w:trHeight w:val="332"/>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Non-Banking Finance Companies (NBFCs)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37,000.00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38,913.72</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33,061.27</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105%</w:t>
            </w:r>
          </w:p>
        </w:tc>
      </w:tr>
      <w:tr w:rsidR="000B09CD" w:rsidRPr="00370646" w:rsidTr="000B09CD">
        <w:trPr>
          <w:trHeight w:val="161"/>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State Co-operative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0.12</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NA</w:t>
            </w:r>
          </w:p>
        </w:tc>
      </w:tr>
      <w:tr w:rsidR="000B09CD" w:rsidRPr="00370646" w:rsidTr="000B09CD">
        <w:trPr>
          <w:trHeight w:val="219"/>
        </w:trPr>
        <w:tc>
          <w:tcPr>
            <w:tcW w:w="2071" w:type="dxa"/>
            <w:hideMark/>
          </w:tcPr>
          <w:p w:rsidR="000B09CD" w:rsidRPr="000B09CD" w:rsidRDefault="000B09CD" w:rsidP="000D5D5A">
            <w:pPr>
              <w:rPr>
                <w:rFonts w:ascii="Arial" w:eastAsia="Times New Roman" w:hAnsi="Arial" w:cs="Arial"/>
                <w:b/>
                <w:bCs/>
                <w:color w:val="000000"/>
                <w:sz w:val="20"/>
              </w:rPr>
            </w:pPr>
            <w:r w:rsidRPr="000B09CD">
              <w:rPr>
                <w:rFonts w:ascii="Arial" w:eastAsia="Times New Roman" w:hAnsi="Arial" w:cs="Arial"/>
                <w:b/>
                <w:bCs/>
                <w:color w:val="000000"/>
                <w:sz w:val="20"/>
              </w:rPr>
              <w:t>Total</w:t>
            </w:r>
          </w:p>
        </w:tc>
        <w:tc>
          <w:tcPr>
            <w:tcW w:w="1312"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5,00,000.00</w:t>
            </w:r>
          </w:p>
        </w:tc>
        <w:tc>
          <w:tcPr>
            <w:tcW w:w="1309"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5,32,358.35</w:t>
            </w:r>
          </w:p>
        </w:tc>
        <w:tc>
          <w:tcPr>
            <w:tcW w:w="1273"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4,50,423.62</w:t>
            </w:r>
          </w:p>
        </w:tc>
        <w:tc>
          <w:tcPr>
            <w:tcW w:w="998"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r>
    </w:tbl>
    <w:p w:rsidR="000B09CD" w:rsidRDefault="001A33A9" w:rsidP="000B09CD">
      <w:pPr>
        <w:jc w:val="both"/>
        <w:rPr>
          <w:rFonts w:ascii="Arial" w:hAnsi="Arial" w:cs="Arial"/>
          <w:color w:val="000000"/>
        </w:rPr>
      </w:pPr>
      <w:r w:rsidRPr="001A33A9">
        <w:rPr>
          <w:rFonts w:ascii="Arial" w:hAnsi="Arial" w:cs="Arial"/>
          <w:b/>
          <w:color w:val="000000"/>
        </w:rPr>
        <w:t>Source:</w:t>
      </w:r>
      <w:r>
        <w:rPr>
          <w:rFonts w:ascii="Arial" w:hAnsi="Arial" w:cs="Arial"/>
          <w:color w:val="000000"/>
        </w:rPr>
        <w:t xml:space="preserve"> Annual Report of MUDRA</w:t>
      </w:r>
    </w:p>
    <w:p w:rsidR="000B09CD" w:rsidRPr="000B09CD" w:rsidRDefault="000B09CD" w:rsidP="000B09CD">
      <w:pPr>
        <w:jc w:val="both"/>
        <w:rPr>
          <w:rFonts w:ascii="Arial" w:hAnsi="Arial" w:cs="Arial"/>
          <w:color w:val="000000"/>
        </w:rPr>
      </w:pPr>
      <w:r w:rsidRPr="000B09CD">
        <w:rPr>
          <w:rFonts w:ascii="Arial" w:hAnsi="Arial" w:cs="Arial"/>
          <w:color w:val="000000"/>
        </w:rPr>
        <w:t xml:space="preserve">Table 1 highlights the Institution-wise Performance of MUDRA for FY 2023–24. Public Sector Banks, including RRBs, aimed for ₹2,02,000 crore and disbursed ₹1,96,737.68 crore, achieving 97% of their target with a 15% growth from the previous year. Private Sector Banks exceeded their ₹1,45,000 crore target by disbursing ₹1,74,911.45 crore, </w:t>
      </w:r>
      <w:proofErr w:type="spellStart"/>
      <w:r w:rsidR="009F09E1">
        <w:rPr>
          <w:rFonts w:ascii="Arial" w:hAnsi="Arial" w:cs="Arial"/>
          <w:color w:val="000000"/>
        </w:rPr>
        <w:t>realising</w:t>
      </w:r>
      <w:proofErr w:type="spellEnd"/>
      <w:r w:rsidRPr="000B09CD">
        <w:rPr>
          <w:rFonts w:ascii="Arial" w:hAnsi="Arial" w:cs="Arial"/>
          <w:color w:val="000000"/>
        </w:rPr>
        <w:t xml:space="preserve"> 121% of their goal and a 24% year-on-year growth. SFBs surpassed their target of ₹42,000 crore by disbursing ₹45,190.01 crore, achieving 108% and an 18% increase from last year. MFIs disbursed ₹76,605.33 crore against a ₹74,000 crore target, achieving 104% with a 15% annual growth. NBFCs successfully disbursed ₹38,913.72 crore, meeting 105% of their ₹37,000 crore target and registering an 18% growth. However, State Co-operative Banks reported minimal activity with a disbursement of just ₹0.12 crore. Overall, the MUDRA scheme disbursed ₹5,32,358.35 crore, exceeding the national target of ₹5,00,000 crore by 6.47% and marking an 18% growth from the previous year, reflecting effective implementation and enhanced support for micro and small enterprises.</w:t>
      </w:r>
    </w:p>
    <w:p w:rsidR="00790ADA" w:rsidRDefault="00790ADA" w:rsidP="00441B6F">
      <w:pPr>
        <w:pStyle w:val="Head1"/>
        <w:spacing w:after="0"/>
        <w:jc w:val="both"/>
        <w:rPr>
          <w:rFonts w:ascii="Arial" w:hAnsi="Arial" w:cs="Arial"/>
        </w:rPr>
      </w:pPr>
    </w:p>
    <w:p w:rsidR="000B09CD" w:rsidRPr="000B09CD" w:rsidRDefault="000B09CD" w:rsidP="000B09CD">
      <w:pPr>
        <w:rPr>
          <w:rFonts w:ascii="Arial" w:hAnsi="Arial" w:cs="Arial"/>
          <w:b/>
          <w:color w:val="000000"/>
          <w:sz w:val="24"/>
        </w:rPr>
      </w:pPr>
      <w:r w:rsidRPr="000B09CD">
        <w:rPr>
          <w:rFonts w:ascii="Arial" w:hAnsi="Arial" w:cs="Arial"/>
          <w:b/>
          <w:color w:val="000000"/>
          <w:sz w:val="24"/>
        </w:rPr>
        <w:t>Top 10 States by MUDRA Disbursement in FY 2023–24 (₹ in Crores)</w:t>
      </w:r>
    </w:p>
    <w:p w:rsidR="000B09CD" w:rsidRPr="000B09CD" w:rsidRDefault="000B09CD" w:rsidP="000B09CD">
      <w:pPr>
        <w:rPr>
          <w:rFonts w:ascii="Arial" w:hAnsi="Arial" w:cs="Arial"/>
          <w:b/>
          <w:color w:val="000000"/>
          <w:sz w:val="24"/>
        </w:rPr>
      </w:pPr>
    </w:p>
    <w:p w:rsidR="000B09CD" w:rsidRPr="000B09CD" w:rsidRDefault="000B09CD" w:rsidP="000B09CD">
      <w:pPr>
        <w:rPr>
          <w:rFonts w:ascii="Arial" w:hAnsi="Arial" w:cs="Arial"/>
          <w:b/>
          <w:color w:val="000000"/>
          <w:sz w:val="24"/>
        </w:rPr>
      </w:pPr>
      <w:r w:rsidRPr="000B09CD">
        <w:rPr>
          <w:rFonts w:ascii="Arial" w:hAnsi="Arial" w:cs="Arial"/>
          <w:b/>
          <w:color w:val="000000"/>
          <w:sz w:val="24"/>
        </w:rPr>
        <w:lastRenderedPageBreak/>
        <w:t>Table 2: Top 10 States by MUDRA Disbursement in FY 2023–24 (₹ in Crores)</w:t>
      </w:r>
    </w:p>
    <w:tbl>
      <w:tblPr>
        <w:tblStyle w:val="TableGrid"/>
        <w:tblW w:w="7900" w:type="dxa"/>
        <w:tblLook w:val="04A0" w:firstRow="1" w:lastRow="0" w:firstColumn="1" w:lastColumn="0" w:noHBand="0" w:noVBand="1"/>
      </w:tblPr>
      <w:tblGrid>
        <w:gridCol w:w="1103"/>
        <w:gridCol w:w="2468"/>
        <w:gridCol w:w="4329"/>
      </w:tblGrid>
      <w:tr w:rsidR="000B09CD" w:rsidRPr="000B09CD" w:rsidTr="000D5D5A">
        <w:trPr>
          <w:trHeight w:val="374"/>
        </w:trPr>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Sl. No</w:t>
            </w:r>
          </w:p>
        </w:tc>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State Name</w:t>
            </w:r>
          </w:p>
        </w:tc>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Disbursement Amt. (2023–24)</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Uttar Pradesh</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58,535.05</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Tamil Nadu</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57,370.41</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3</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Bihar</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56,841.09</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Karnataka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49,510.51</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West Bengal</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46,712.27</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6</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Maharashtra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42,773.74</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7</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Rajasthan</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26,755.28</w:t>
            </w:r>
          </w:p>
        </w:tc>
      </w:tr>
      <w:tr w:rsidR="000B09CD" w:rsidRPr="000B09CD" w:rsidTr="000D5D5A">
        <w:trPr>
          <w:trHeight w:val="273"/>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8</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Madhya Pradesh</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25,272.18</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9</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Odisha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23,355.99</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10</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Gujarat</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19,640.31</w:t>
            </w:r>
          </w:p>
        </w:tc>
      </w:tr>
    </w:tbl>
    <w:p w:rsidR="000B09CD" w:rsidRPr="000B09CD" w:rsidRDefault="000B09CD" w:rsidP="000B09CD">
      <w:pPr>
        <w:rPr>
          <w:rFonts w:ascii="Arial" w:hAnsi="Arial" w:cs="Arial"/>
          <w:sz w:val="24"/>
          <w:szCs w:val="24"/>
        </w:rPr>
      </w:pPr>
      <w:r w:rsidRPr="000B09CD">
        <w:rPr>
          <w:rFonts w:ascii="Arial" w:hAnsi="Arial" w:cs="Arial"/>
          <w:sz w:val="24"/>
          <w:szCs w:val="24"/>
        </w:rPr>
        <w:t xml:space="preserve">Source: Annual Report of Mudra </w:t>
      </w:r>
    </w:p>
    <w:p w:rsidR="000B09CD" w:rsidRDefault="000B09CD" w:rsidP="000B09CD">
      <w:pPr>
        <w:spacing w:before="100" w:beforeAutospacing="1"/>
        <w:jc w:val="both"/>
        <w:rPr>
          <w:rFonts w:ascii="Arial" w:hAnsi="Arial" w:cs="Arial"/>
          <w:color w:val="000000"/>
        </w:rPr>
      </w:pPr>
      <w:r w:rsidRPr="000B09CD">
        <w:rPr>
          <w:rFonts w:ascii="Arial" w:hAnsi="Arial" w:cs="Arial"/>
          <w:color w:val="000000"/>
        </w:rPr>
        <w:t>In FY 2023–24, Uttar Pradesh led MUDRA disbursements with ₹58,535.05 crore, reflecting its strong entrepreneurial base and financial engagement. Tamil Nadu followed closely with ₹57,370.41 crore, showcasing efficient outreach, especially in textiles and small-scale manufacturing. Bihar attained third place with ₹56,841.09 crore, driven by first-generation entrepreneurs in agriculture-linked sectors. Karnataka came fourth at ₹49,510.51 crore, supported by a growing MSME base and proactive financial policies. West Bengal ranked fifth with ₹46,712.27 crore, benefiting from strong micro-enterprise activity. Maharashtra was sixth with ₹42,773.74 crore, focusing more on formal credit and MSME lending. Rajasthan and Madhya Pradesh showed significant MUDRA activity with ₹26,755.28 crore and ₹25,272.18 crore, respectively, aiding non-farm rural livelihoods. Odisha, at ₹23,355.99 crore, highlighted increased credit access in tribal areas. Finally, Gujarat recorded ₹19,640.31 crore, maintaining solid disbursement levels despite being slightly lower than others.</w:t>
      </w:r>
    </w:p>
    <w:p w:rsidR="00FD7F16" w:rsidRDefault="00FD7F16" w:rsidP="000B09CD">
      <w:pPr>
        <w:spacing w:before="100" w:beforeAutospacing="1"/>
        <w:jc w:val="both"/>
        <w:rPr>
          <w:rFonts w:ascii="Arial" w:hAnsi="Arial" w:cs="Arial"/>
          <w:color w:val="000000"/>
        </w:rPr>
      </w:pPr>
    </w:p>
    <w:p w:rsidR="00FD7F16" w:rsidRDefault="00FD7F16" w:rsidP="000B09CD">
      <w:pPr>
        <w:spacing w:before="100" w:beforeAutospacing="1"/>
        <w:jc w:val="both"/>
        <w:rPr>
          <w:rFonts w:ascii="Arial" w:hAnsi="Arial" w:cs="Arial"/>
          <w:color w:val="000000"/>
        </w:rPr>
      </w:pPr>
    </w:p>
    <w:p w:rsidR="001A33A9" w:rsidRPr="000B09CD" w:rsidRDefault="001A33A9" w:rsidP="000B09CD">
      <w:pPr>
        <w:spacing w:before="100" w:beforeAutospacing="1"/>
        <w:jc w:val="both"/>
        <w:rPr>
          <w:rFonts w:ascii="Arial" w:hAnsi="Arial" w:cs="Arial"/>
          <w:color w:val="000000"/>
        </w:rPr>
      </w:pPr>
    </w:p>
    <w:p w:rsidR="000B09CD" w:rsidRPr="000B09CD" w:rsidRDefault="000B09CD" w:rsidP="000B09CD">
      <w:pPr>
        <w:rPr>
          <w:rFonts w:ascii="Arial" w:hAnsi="Arial" w:cs="Arial"/>
          <w:b/>
        </w:rPr>
      </w:pPr>
      <w:r w:rsidRPr="000B09CD">
        <w:rPr>
          <w:rFonts w:ascii="Arial" w:hAnsi="Arial" w:cs="Arial"/>
          <w:b/>
        </w:rPr>
        <w:t>Regional-wise achievements</w:t>
      </w:r>
    </w:p>
    <w:p w:rsidR="000B09CD" w:rsidRPr="00FD7F16" w:rsidRDefault="000B09CD" w:rsidP="00FD7F16">
      <w:pPr>
        <w:spacing w:after="160"/>
        <w:rPr>
          <w:rFonts w:ascii="Arial" w:hAnsi="Arial" w:cs="Arial"/>
          <w:b/>
        </w:rPr>
      </w:pPr>
      <w:r w:rsidRPr="00FD7F16">
        <w:rPr>
          <w:rFonts w:ascii="Arial" w:hAnsi="Arial" w:cs="Arial"/>
          <w:b/>
        </w:rPr>
        <w:t>Table 3: Region-Wise Number of Loan Accounts (A/Cs) under PMMY (2016–17 to 2023–24)</w:t>
      </w:r>
    </w:p>
    <w:tbl>
      <w:tblPr>
        <w:tblStyle w:val="TableGrid"/>
        <w:tblW w:w="9411" w:type="dxa"/>
        <w:tblLook w:val="04A0" w:firstRow="1" w:lastRow="0" w:firstColumn="1" w:lastColumn="0" w:noHBand="0" w:noVBand="1"/>
      </w:tblPr>
      <w:tblGrid>
        <w:gridCol w:w="3096"/>
        <w:gridCol w:w="1235"/>
        <w:gridCol w:w="1236"/>
        <w:gridCol w:w="1372"/>
        <w:gridCol w:w="1236"/>
        <w:gridCol w:w="1236"/>
      </w:tblGrid>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6667731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12838524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1599339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11430144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7165309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2017–18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8464083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12764868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4395809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14464973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8040860</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2018–19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11292193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18658660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3060244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17315948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9543273</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2019–20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12456705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19589404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2278699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17454720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10468078</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2020–21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10405478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17088159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1681086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13083599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8476724</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2021–22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11545805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18724571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1174574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13329413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9021163</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2022–23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13557609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21009744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1084117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15871449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10787679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lastRenderedPageBreak/>
              <w:t>2023–24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13808409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22739462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1184785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18310948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10733409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b/>
                <w:color w:val="000000"/>
                <w:sz w:val="20"/>
                <w:szCs w:val="20"/>
              </w:rPr>
            </w:pPr>
            <w:r w:rsidRPr="000B09CD">
              <w:rPr>
                <w:rFonts w:ascii="Arial" w:hAnsi="Arial" w:cs="Arial"/>
                <w:b/>
                <w:sz w:val="20"/>
                <w:szCs w:val="20"/>
              </w:rPr>
              <w:t>Mean</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11024751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17926674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2057332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15157649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9279562</w:t>
            </w:r>
          </w:p>
        </w:tc>
      </w:tr>
      <w:tr w:rsidR="000B09CD" w:rsidRPr="000B09CD" w:rsidTr="000D5D5A">
        <w:trPr>
          <w:trHeight w:val="271"/>
        </w:trPr>
        <w:tc>
          <w:tcPr>
            <w:tcW w:w="0" w:type="auto"/>
          </w:tcPr>
          <w:p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Standard Deviation</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2463499</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3582537</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1156496</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2461295</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1340894</w:t>
            </w:r>
          </w:p>
        </w:tc>
      </w:tr>
      <w:tr w:rsidR="000B09CD" w:rsidRPr="000B09CD" w:rsidTr="000D5D5A">
        <w:trPr>
          <w:trHeight w:val="271"/>
        </w:trPr>
        <w:tc>
          <w:tcPr>
            <w:tcW w:w="0" w:type="auto"/>
          </w:tcPr>
          <w:p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Coefficient of Variation (%)</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22.35</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19.98</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56.21</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16.24</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14.45</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D0490E" w:rsidP="000B09CD">
      <w:pPr>
        <w:pStyle w:val="ListParagraph"/>
        <w:ind w:left="0"/>
        <w:jc w:val="both"/>
        <w:rPr>
          <w:rFonts w:ascii="Arial" w:hAnsi="Arial" w:cs="Arial"/>
        </w:rPr>
      </w:pPr>
      <w:r w:rsidRPr="00D0490E">
        <w:rPr>
          <w:rFonts w:ascii="Arial" w:hAnsi="Arial" w:cs="Arial"/>
        </w:rPr>
        <w:t>Table 3 presents the Region-Wise Number of Loan Accounts under PMMY from 2016–17 to 2023–24. The East region leads with an average of 1.79 crore loan accounts per year, reflecting strong demand for micro-credit in densely populated states like Bihar, West Bengal, and Odisha. Its low coefficient of variation, 19.98%, indicates stable growth. The South region follows with 1.51 crore accounts, backed by states like Tamil Nadu and Karnataka, and the lowest variation at 16.24% shows consistent outreach. The North region averages over 1.10 crore accounts, with moderate fluctuations at 22.35%, while the West region has around 92.79 lakh accounts, exhibiting stability at 14.45%. The North East region has the lowest average at 20.57 lakh but a high coefficient of variation at 56.21%, indicating fluctuations possibly due to infrastructure challenges, yet it has shown improvement in recent years.</w:t>
      </w:r>
    </w:p>
    <w:tbl>
      <w:tblPr>
        <w:tblW w:w="8527" w:type="dxa"/>
        <w:tblLook w:val="04A0" w:firstRow="1" w:lastRow="0" w:firstColumn="1" w:lastColumn="0" w:noHBand="0" w:noVBand="1"/>
      </w:tblPr>
      <w:tblGrid>
        <w:gridCol w:w="1812"/>
        <w:gridCol w:w="1412"/>
        <w:gridCol w:w="1106"/>
        <w:gridCol w:w="1106"/>
        <w:gridCol w:w="1080"/>
        <w:gridCol w:w="960"/>
        <w:gridCol w:w="1051"/>
      </w:tblGrid>
      <w:tr w:rsidR="000B09CD" w:rsidRPr="000B09CD" w:rsidTr="00D0490E">
        <w:trPr>
          <w:trHeight w:val="300"/>
        </w:trPr>
        <w:tc>
          <w:tcPr>
            <w:tcW w:w="3224"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nil"/>
              <w:right w:val="nil"/>
            </w:tcBorders>
            <w:noWrap/>
            <w:vAlign w:val="bottom"/>
            <w:hideMark/>
          </w:tcPr>
          <w:p w:rsidR="000B09CD" w:rsidRPr="000B09CD" w:rsidRDefault="006A0AF3" w:rsidP="000D5D5A">
            <w:pPr>
              <w:rPr>
                <w:rFonts w:ascii="Arial" w:hAnsi="Arial" w:cs="Arial"/>
                <w:color w:val="000000"/>
              </w:rPr>
            </w:pPr>
            <w:r>
              <w:rPr>
                <w:rFonts w:ascii="Arial" w:hAnsi="Arial" w:cs="Arial"/>
                <w:color w:val="000000"/>
              </w:rPr>
              <w:t>List 1-</w:t>
            </w:r>
            <w:r w:rsidR="000B09CD" w:rsidRPr="000B09CD">
              <w:rPr>
                <w:rFonts w:ascii="Arial" w:hAnsi="Arial" w:cs="Arial"/>
                <w:color w:val="000000"/>
              </w:rPr>
              <w:t>SUMMARY</w:t>
            </w: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960"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North</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88198013</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11024752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6.07E+12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East</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1.43E+08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17926674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1.28E+13</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North east</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16458653</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2057332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1.34E+12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xml:space="preserve">South </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1.21E+08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15157649</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6.06E+12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xml:space="preserve">Est </w:t>
            </w:r>
          </w:p>
        </w:tc>
        <w:tc>
          <w:tcPr>
            <w:tcW w:w="141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74236495</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9279562</w:t>
            </w:r>
          </w:p>
        </w:tc>
        <w:tc>
          <w:tcPr>
            <w:tcW w:w="108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1.8E+12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2-</w:t>
            </w:r>
            <w:r w:rsidR="000B09CD" w:rsidRPr="000B09CD">
              <w:rPr>
                <w:rFonts w:ascii="Arial" w:hAnsi="Arial" w:cs="Arial"/>
                <w:color w:val="000000"/>
              </w:rPr>
              <w:t>ANOVA</w:t>
            </w: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96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1.18526E+15</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2.96E+14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52.7308</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2.44E-14</w:t>
            </w:r>
          </w:p>
        </w:tc>
        <w:tc>
          <w:tcPr>
            <w:tcW w:w="105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1.96678E+14</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5.62E+12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1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1.38193E+15</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10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96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5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D0490E" w:rsidRDefault="00D0490E" w:rsidP="000B09CD">
      <w:pPr>
        <w:pStyle w:val="NormalWeb"/>
        <w:jc w:val="both"/>
        <w:rPr>
          <w:rFonts w:ascii="Arial" w:hAnsi="Arial" w:cs="Arial"/>
          <w:sz w:val="20"/>
          <w:szCs w:val="20"/>
        </w:rPr>
      </w:pPr>
    </w:p>
    <w:p w:rsidR="00D0490E" w:rsidRDefault="00D0490E" w:rsidP="000B09CD">
      <w:pPr>
        <w:pStyle w:val="NormalWeb"/>
        <w:jc w:val="both"/>
        <w:rPr>
          <w:rFonts w:ascii="Arial" w:hAnsi="Arial" w:cs="Arial"/>
          <w:sz w:val="20"/>
          <w:szCs w:val="20"/>
        </w:rPr>
      </w:pPr>
      <w:r w:rsidRPr="00D0490E">
        <w:rPr>
          <w:rFonts w:ascii="Arial" w:hAnsi="Arial" w:cs="Arial"/>
          <w:sz w:val="20"/>
          <w:szCs w:val="20"/>
        </w:rPr>
        <w:t xml:space="preserve">A One-Way ANOVA test was performed to determine significant differences in the average number of MUDRA loan accounts across five Indian regions—North, East, North East, South, and West—from 2016–17 to 2023–24. The East region had the highest average, approximately 1.79 crore, while the North East had the lowest, about 20.5 lakh. The North East also exhibited the highest coefficient of variation, 56.21%, indicating unstable performance, whereas the South and East regions showed more stable, higher disbursements. Based on the ANOVA results, the calculated F-value is 52.73, which is much higher than the critical F-value of 2.64. The p-value, 2.44E-14, is much lower than 0.05, indicating strong statistical significance. In conclusion, there is a significant difference in the </w:t>
      </w:r>
      <w:r w:rsidRPr="00D0490E">
        <w:rPr>
          <w:rFonts w:ascii="Arial" w:hAnsi="Arial" w:cs="Arial"/>
          <w:sz w:val="20"/>
          <w:szCs w:val="20"/>
        </w:rPr>
        <w:lastRenderedPageBreak/>
        <w:t>average number of MUDRA loan accounts across different regions of India. This suggests that regional disparities exist in the implementation or outreach of the PMMY scheme.</w:t>
      </w:r>
    </w:p>
    <w:p w:rsidR="000B09CD" w:rsidRPr="000B09CD" w:rsidRDefault="000B09CD" w:rsidP="000B09CD">
      <w:pPr>
        <w:spacing w:before="100" w:beforeAutospacing="1" w:after="100" w:afterAutospacing="1"/>
        <w:rPr>
          <w:rFonts w:ascii="Arial" w:hAnsi="Arial" w:cs="Arial"/>
        </w:rPr>
      </w:pPr>
      <w:r w:rsidRPr="000B09CD">
        <w:rPr>
          <w:rFonts w:ascii="Arial" w:hAnsi="Arial" w:cs="Arial"/>
          <w:b/>
          <w:bCs/>
        </w:rPr>
        <w:t>H0:</w:t>
      </w:r>
      <w:r w:rsidRPr="000B09CD">
        <w:rPr>
          <w:rFonts w:ascii="Arial" w:hAnsi="Arial" w:cs="Arial"/>
        </w:rPr>
        <w:t xml:space="preserve"> </w:t>
      </w:r>
      <w:r w:rsidRPr="000B09CD">
        <w:rPr>
          <w:rFonts w:ascii="Arial" w:hAnsi="Arial" w:cs="Arial"/>
          <w:iCs/>
        </w:rPr>
        <w:t>There is no significant difference in the number of loan accounts across different regions of India.</w:t>
      </w:r>
    </w:p>
    <w:p w:rsidR="000B09CD" w:rsidRPr="000B09CD" w:rsidRDefault="000B09CD" w:rsidP="000B09CD">
      <w:pPr>
        <w:spacing w:before="100" w:beforeAutospacing="1" w:after="100" w:afterAutospacing="1"/>
        <w:rPr>
          <w:rFonts w:ascii="Arial" w:hAnsi="Arial" w:cs="Arial"/>
          <w:iCs/>
        </w:rPr>
      </w:pPr>
      <w:r w:rsidRPr="000B09CD">
        <w:rPr>
          <w:rFonts w:ascii="Arial" w:hAnsi="Arial" w:cs="Arial"/>
          <w:b/>
          <w:bCs/>
        </w:rPr>
        <w:t>H1:</w:t>
      </w:r>
      <w:r w:rsidRPr="000B09CD">
        <w:rPr>
          <w:rFonts w:ascii="Arial" w:hAnsi="Arial" w:cs="Arial"/>
        </w:rPr>
        <w:t xml:space="preserve"> </w:t>
      </w:r>
      <w:r w:rsidRPr="000B09CD">
        <w:rPr>
          <w:rFonts w:ascii="Arial" w:hAnsi="Arial" w:cs="Arial"/>
          <w:iCs/>
        </w:rPr>
        <w:t>There is a significant difference in the number of loan accounts across different regions of India</w:t>
      </w:r>
    </w:p>
    <w:p w:rsidR="000B09CD" w:rsidRPr="006A0AF3" w:rsidRDefault="000B09CD" w:rsidP="006A0AF3">
      <w:pPr>
        <w:spacing w:after="160"/>
        <w:ind w:left="180"/>
        <w:rPr>
          <w:rFonts w:ascii="Arial" w:hAnsi="Arial" w:cs="Arial"/>
          <w:b/>
        </w:rPr>
      </w:pPr>
      <w:r w:rsidRPr="006A0AF3">
        <w:rPr>
          <w:rFonts w:ascii="Arial" w:hAnsi="Arial" w:cs="Arial"/>
          <w:b/>
        </w:rPr>
        <w:t xml:space="preserve">Table </w:t>
      </w:r>
      <w:proofErr w:type="gramStart"/>
      <w:r w:rsidRPr="006A0AF3">
        <w:rPr>
          <w:rFonts w:ascii="Arial" w:hAnsi="Arial" w:cs="Arial"/>
          <w:b/>
        </w:rPr>
        <w:t>4 :</w:t>
      </w:r>
      <w:proofErr w:type="gramEnd"/>
      <w:r w:rsidRPr="006A0AF3">
        <w:rPr>
          <w:rFonts w:ascii="Arial" w:hAnsi="Arial" w:cs="Arial"/>
          <w:b/>
        </w:rPr>
        <w:t xml:space="preserve"> Region-Wise Disbursement Amount under PMMY (₹ in Crores) (2016–17 to 2023–24)</w:t>
      </w:r>
    </w:p>
    <w:tbl>
      <w:tblPr>
        <w:tblStyle w:val="TableGrid"/>
        <w:tblW w:w="9143" w:type="dxa"/>
        <w:tblLook w:val="04A0" w:firstRow="1" w:lastRow="0" w:firstColumn="1" w:lastColumn="0" w:noHBand="0" w:noVBand="1"/>
      </w:tblPr>
      <w:tblGrid>
        <w:gridCol w:w="1345"/>
        <w:gridCol w:w="1572"/>
        <w:gridCol w:w="1572"/>
        <w:gridCol w:w="1661"/>
        <w:gridCol w:w="1572"/>
        <w:gridCol w:w="1421"/>
      </w:tblGrid>
      <w:tr w:rsidR="000B09CD" w:rsidRPr="000B09CD" w:rsidTr="000D5D5A">
        <w:trPr>
          <w:trHeight w:val="357"/>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2016–17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41884.86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43115.35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6650.34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52876.65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36001.35</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60535.36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48744.33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18553.8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76259.92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49583.68</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2018–19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74437.45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79580.84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13144.77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96930.34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57629.39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2019–20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82045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84574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98767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61285</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2020–21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78555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85472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11511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90325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55897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2021–22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82700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98637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8682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91765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57327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2022–23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111573.17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124667.22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10486.13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124650.13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79047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2023–24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127636.44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148233.29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11525.26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156416.84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88546.49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82420.91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89128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11422.16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98498.86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60664.61</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26979.75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35294.98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3492.01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31004.67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16430.99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32.73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39.6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30.57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31.48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27.08</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0B09CD" w:rsidP="000B09CD">
      <w:pPr>
        <w:jc w:val="both"/>
        <w:rPr>
          <w:rFonts w:ascii="Arial" w:hAnsi="Arial" w:cs="Arial"/>
        </w:rPr>
      </w:pPr>
      <w:r w:rsidRPr="000B09CD">
        <w:rPr>
          <w:rFonts w:ascii="Arial" w:hAnsi="Arial" w:cs="Arial"/>
        </w:rPr>
        <w:t>Table 4 shows the regional disbursement amounts (in ₹ crores) from 2016–17 to 2023–24, highlighting key differences across India’s five major regions: North, East, North East, South, and West. The South consistently had the highest disbursement, averaging ₹98,498.86 crore and reaching ₹1,56,416.84 crore in 2023–24. The East followed with an average of ₹89,128 crore, totaling ₹1,48,233.29 crore in 2023–24, indicating improved credit access in states like Bihar and Odisha. The North maintained steady performance with an average of ₹82,420.91 crore and ₹1,27,636.44 crore in 2023–24. The West recorded an average of ₹60,664.61 crore, with a peak of ₹88,546.49 crore, while the North East showed the lowest average at ₹11,422.16 crore, reaching ₹11,525.26 crore in 2023–24. The Eastern region experienced the highest variability at 39.6%, with fluctuations also observed in the North East and South. The West demonstrated the most consistent trend with 27.08%.</w:t>
      </w:r>
    </w:p>
    <w:tbl>
      <w:tblPr>
        <w:tblW w:w="9320" w:type="dxa"/>
        <w:tblLook w:val="04A0" w:firstRow="1" w:lastRow="0" w:firstColumn="1" w:lastColumn="0" w:noHBand="0" w:noVBand="1"/>
      </w:tblPr>
      <w:tblGrid>
        <w:gridCol w:w="2367"/>
        <w:gridCol w:w="1440"/>
        <w:gridCol w:w="1359"/>
        <w:gridCol w:w="1080"/>
        <w:gridCol w:w="1238"/>
        <w:gridCol w:w="809"/>
        <w:gridCol w:w="1051"/>
      </w:tblGrid>
      <w:tr w:rsidR="000B09CD" w:rsidRPr="000B09CD" w:rsidTr="000D5D5A">
        <w:trPr>
          <w:trHeight w:val="293"/>
        </w:trPr>
        <w:tc>
          <w:tcPr>
            <w:tcW w:w="3793"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3-</w:t>
            </w:r>
            <w:r w:rsidR="000B09CD" w:rsidRPr="000B09CD">
              <w:rPr>
                <w:rFonts w:ascii="Arial" w:hAnsi="Arial" w:cs="Arial"/>
                <w:color w:val="000000"/>
              </w:rPr>
              <w:t>SUMMARY</w:t>
            </w: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2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5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8"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09"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659367.28</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82420.91</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7.28E+08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713024.03</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89128</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1.25E+09</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91377.3</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11422.16</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12194127</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lastRenderedPageBreak/>
              <w:t>Column 4</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787990.88</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98498.86</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9.61E+08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5</w:t>
            </w:r>
          </w:p>
        </w:tc>
        <w:tc>
          <w:tcPr>
            <w:tcW w:w="142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485316.91</w:t>
            </w:r>
          </w:p>
        </w:tc>
        <w:tc>
          <w:tcPr>
            <w:tcW w:w="108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60664.61</w:t>
            </w:r>
          </w:p>
        </w:tc>
        <w:tc>
          <w:tcPr>
            <w:tcW w:w="1238"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2.7E+08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p>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4-</w:t>
            </w:r>
            <w:r w:rsidR="000B09CD" w:rsidRPr="000B09CD">
              <w:rPr>
                <w:rFonts w:ascii="Arial" w:hAnsi="Arial" w:cs="Arial"/>
                <w:color w:val="000000"/>
              </w:rPr>
              <w:t>ANOVA</w:t>
            </w: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2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5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8"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0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4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38707871807</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9.68E+09</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15.03988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3.02E-07</w:t>
            </w:r>
          </w:p>
        </w:tc>
        <w:tc>
          <w:tcPr>
            <w:tcW w:w="104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22519725796</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6.43E+08</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2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61227597603</w:t>
            </w:r>
          </w:p>
        </w:tc>
        <w:tc>
          <w:tcPr>
            <w:tcW w:w="1359"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0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238"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809"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4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0B09CD" w:rsidRPr="000B09CD" w:rsidRDefault="000B09CD" w:rsidP="000B09CD">
      <w:pPr>
        <w:rPr>
          <w:rFonts w:ascii="Arial" w:hAnsi="Arial" w:cs="Arial"/>
          <w:b/>
        </w:rPr>
      </w:pP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ANOVA table provides insights into the differences in average loan disbursement amounts across the five regions of India under the PMMY scheme during the period from 2016–17 to 2023–24. The calculated F-value is 15.03988, which significantly exceeds the F-critical value of 2.641465. Moreover, the p-value is 3.02E-07, clearly indicating a result far below the significance level (α = 0.05).</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hypotheses for this analysis are as follows:</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 xml:space="preserve">H0: </w:t>
      </w:r>
      <w:r w:rsidRPr="000B09CD">
        <w:rPr>
          <w:rFonts w:ascii="Arial" w:hAnsi="Arial" w:cs="Arial"/>
        </w:rPr>
        <w:t>There is no significant difference in the average loan disbursement across regions.</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H1:</w:t>
      </w:r>
      <w:r w:rsidRPr="000B09CD">
        <w:rPr>
          <w:rFonts w:ascii="Arial" w:hAnsi="Arial" w:cs="Arial"/>
        </w:rPr>
        <w:t xml:space="preserve"> There is a significant difference in the average loan disbursement across regions.</w:t>
      </w:r>
    </w:p>
    <w:p w:rsidR="00FD7F16" w:rsidRDefault="000B09CD" w:rsidP="006F34FA">
      <w:pPr>
        <w:spacing w:before="100" w:beforeAutospacing="1" w:after="100" w:afterAutospacing="1"/>
        <w:jc w:val="both"/>
        <w:rPr>
          <w:rFonts w:ascii="Arial" w:hAnsi="Arial" w:cs="Arial"/>
        </w:rPr>
      </w:pPr>
      <w:r w:rsidRPr="000B09CD">
        <w:rPr>
          <w:rFonts w:ascii="Arial" w:hAnsi="Arial" w:cs="Arial"/>
        </w:rPr>
        <w:t>Given that the p-value is less than 0.05 and the F-value exceeds the F-critical value, we can confidently reject the null hypothesis. This suggests that there are indeed significant differences in average loan disbursement across the various regions.</w:t>
      </w:r>
    </w:p>
    <w:p w:rsidR="006F34FA" w:rsidRDefault="006F34FA" w:rsidP="006F34FA">
      <w:pPr>
        <w:spacing w:before="100" w:beforeAutospacing="1" w:after="100" w:afterAutospacing="1"/>
        <w:jc w:val="both"/>
        <w:rPr>
          <w:rFonts w:ascii="Arial" w:hAnsi="Arial" w:cs="Arial"/>
        </w:rPr>
      </w:pPr>
    </w:p>
    <w:p w:rsidR="006F34FA" w:rsidRDefault="006F34FA" w:rsidP="006F34FA">
      <w:pPr>
        <w:spacing w:before="100" w:beforeAutospacing="1" w:after="100" w:afterAutospacing="1"/>
        <w:jc w:val="both"/>
        <w:rPr>
          <w:rFonts w:ascii="Arial" w:hAnsi="Arial" w:cs="Arial"/>
        </w:rPr>
      </w:pPr>
    </w:p>
    <w:p w:rsidR="006F34FA" w:rsidRDefault="006F34FA" w:rsidP="006F34FA">
      <w:pPr>
        <w:spacing w:before="100" w:beforeAutospacing="1" w:after="100" w:afterAutospacing="1"/>
        <w:jc w:val="both"/>
        <w:rPr>
          <w:rFonts w:ascii="Arial" w:hAnsi="Arial" w:cs="Arial"/>
        </w:rPr>
      </w:pPr>
    </w:p>
    <w:p w:rsidR="00E6214D" w:rsidRDefault="00E6214D" w:rsidP="006F34FA">
      <w:pPr>
        <w:spacing w:before="100" w:beforeAutospacing="1" w:after="100" w:afterAutospacing="1"/>
        <w:jc w:val="both"/>
        <w:rPr>
          <w:rFonts w:ascii="Arial" w:hAnsi="Arial" w:cs="Arial"/>
        </w:rPr>
      </w:pPr>
    </w:p>
    <w:p w:rsidR="007A3D33" w:rsidRPr="006F34FA" w:rsidRDefault="007A3D33" w:rsidP="006F34FA">
      <w:pPr>
        <w:spacing w:before="100" w:beforeAutospacing="1" w:after="100" w:afterAutospacing="1"/>
        <w:jc w:val="both"/>
        <w:rPr>
          <w:rFonts w:ascii="Arial" w:hAnsi="Arial" w:cs="Arial"/>
        </w:rPr>
      </w:pPr>
    </w:p>
    <w:p w:rsidR="000B09CD" w:rsidRPr="006F34FA" w:rsidRDefault="000B09CD" w:rsidP="000B09CD">
      <w:pPr>
        <w:pStyle w:val="NormalWeb"/>
        <w:rPr>
          <w:rFonts w:ascii="Arial" w:hAnsi="Arial" w:cs="Arial"/>
          <w:b/>
          <w:sz w:val="22"/>
          <w:szCs w:val="20"/>
        </w:rPr>
      </w:pPr>
      <w:r w:rsidRPr="006F34FA">
        <w:rPr>
          <w:rFonts w:ascii="Arial" w:hAnsi="Arial" w:cs="Arial"/>
          <w:b/>
          <w:sz w:val="22"/>
          <w:szCs w:val="20"/>
        </w:rPr>
        <w:t>Category-wise analysis of the PMMY scheme</w:t>
      </w:r>
    </w:p>
    <w:p w:rsidR="000B09CD" w:rsidRPr="006A0AF3" w:rsidRDefault="000B09CD" w:rsidP="006A0AF3">
      <w:pPr>
        <w:spacing w:after="160"/>
        <w:rPr>
          <w:rFonts w:ascii="Arial" w:hAnsi="Arial" w:cs="Arial"/>
          <w:b/>
        </w:rPr>
      </w:pPr>
      <w:r w:rsidRPr="006A0AF3">
        <w:rPr>
          <w:rFonts w:ascii="Arial" w:hAnsi="Arial" w:cs="Arial"/>
          <w:b/>
        </w:rPr>
        <w:t>Table 5: Category-wise Number of Loan Accounts under PMMY (2016–17 to 2023–24)</w:t>
      </w:r>
    </w:p>
    <w:tbl>
      <w:tblPr>
        <w:tblStyle w:val="TableGrid"/>
        <w:tblW w:w="9040" w:type="dxa"/>
        <w:tblLook w:val="04A0" w:firstRow="1" w:lastRow="0" w:firstColumn="1" w:lastColumn="0" w:noHBand="0" w:noVBand="1"/>
      </w:tblPr>
      <w:tblGrid>
        <w:gridCol w:w="1443"/>
        <w:gridCol w:w="2020"/>
        <w:gridCol w:w="1972"/>
        <w:gridCol w:w="1859"/>
        <w:gridCol w:w="1746"/>
      </w:tblGrid>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A/Cs</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36497813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2663502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539732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39701047</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42669795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4653874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806924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48130593</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lastRenderedPageBreak/>
              <w:t>2018–19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51507438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6606009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1756871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59870318</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54490617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6471873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1285116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62247606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40180115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9486160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1068771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50735046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41721154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11088206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986166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53795526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43077851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17915912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1316835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62310598</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41628309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23630890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1517814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66777013</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43971640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10314550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1159779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55445970</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5984748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7126326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391421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9005450</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 (%)</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13.61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69.09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33.75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16.24</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0B09CD" w:rsidP="000B09CD">
      <w:pPr>
        <w:jc w:val="both"/>
        <w:rPr>
          <w:rFonts w:ascii="Arial" w:hAnsi="Arial" w:cs="Arial"/>
        </w:rPr>
      </w:pPr>
    </w:p>
    <w:p w:rsidR="000B09CD" w:rsidRPr="000B09CD" w:rsidRDefault="00E6214D" w:rsidP="000B09CD">
      <w:pPr>
        <w:jc w:val="both"/>
        <w:rPr>
          <w:rFonts w:ascii="Arial" w:hAnsi="Arial" w:cs="Arial"/>
        </w:rPr>
      </w:pPr>
      <w:r>
        <w:rPr>
          <w:rFonts w:ascii="Arial" w:hAnsi="Arial" w:cs="Arial"/>
        </w:rPr>
        <w:t xml:space="preserve">Table 5 shows the number of PMMY loan accounts from 2016–17 to 2023–24 across three categories. </w:t>
      </w:r>
      <w:proofErr w:type="spellStart"/>
      <w:r>
        <w:rPr>
          <w:rFonts w:ascii="Arial" w:hAnsi="Arial" w:cs="Arial"/>
        </w:rPr>
        <w:t>Shishu</w:t>
      </w:r>
      <w:proofErr w:type="spellEnd"/>
      <w:r>
        <w:rPr>
          <w:rFonts w:ascii="Arial" w:hAnsi="Arial" w:cs="Arial"/>
        </w:rPr>
        <w:t xml:space="preserve"> loans dominate with an average of 4.39 crore accounts, making up 79%–82% of total accounts and showing stability (standard deviation: 59.84 lakh, CV: 13.61%). Kishor loans are increasing, especially after FY 2020–21, averaging 1.03 crore accounts. However, they have a higher standard deviation of 71.26 lakh and a CV of 69.09%, indicating volatility as </w:t>
      </w:r>
      <w:proofErr w:type="spellStart"/>
      <w:r>
        <w:rPr>
          <w:rFonts w:ascii="Arial" w:hAnsi="Arial" w:cs="Arial"/>
        </w:rPr>
        <w:t>Shishu</w:t>
      </w:r>
      <w:proofErr w:type="spellEnd"/>
      <w:r>
        <w:rPr>
          <w:rFonts w:ascii="Arial" w:hAnsi="Arial" w:cs="Arial"/>
        </w:rPr>
        <w:t xml:space="preserve"> borrowers transition to larger loans. Tarun loans are the least utilized, with an average of 11.6 lakh accounts (under 3% of total), a standard deviation of 3.91 lakh, and a CV of 33.75%, reflecting moderate variation due to stricter eligibility criteria.</w:t>
      </w:r>
    </w:p>
    <w:p w:rsidR="000B09CD" w:rsidRPr="000B09CD" w:rsidRDefault="000B09CD" w:rsidP="000B09CD">
      <w:pPr>
        <w:jc w:val="both"/>
        <w:rPr>
          <w:rFonts w:ascii="Arial" w:hAnsi="Arial" w:cs="Arial"/>
          <w:b/>
        </w:rPr>
      </w:pPr>
    </w:p>
    <w:tbl>
      <w:tblPr>
        <w:tblW w:w="9432" w:type="dxa"/>
        <w:tblLook w:val="04A0" w:firstRow="1" w:lastRow="0" w:firstColumn="1" w:lastColumn="0" w:noHBand="0" w:noVBand="1"/>
      </w:tblPr>
      <w:tblGrid>
        <w:gridCol w:w="1314"/>
        <w:gridCol w:w="918"/>
        <w:gridCol w:w="218"/>
        <w:gridCol w:w="955"/>
        <w:gridCol w:w="457"/>
        <w:gridCol w:w="420"/>
        <w:gridCol w:w="873"/>
        <w:gridCol w:w="52"/>
        <w:gridCol w:w="1106"/>
        <w:gridCol w:w="1520"/>
        <w:gridCol w:w="806"/>
        <w:gridCol w:w="1051"/>
      </w:tblGrid>
      <w:tr w:rsidR="000B09CD" w:rsidRPr="000B09CD" w:rsidTr="000D5D5A">
        <w:trPr>
          <w:gridAfter w:val="5"/>
          <w:wAfter w:w="4349" w:type="dxa"/>
          <w:trHeight w:val="284"/>
        </w:trPr>
        <w:tc>
          <w:tcPr>
            <w:tcW w:w="1314" w:type="dxa"/>
            <w:tcBorders>
              <w:top w:val="nil"/>
              <w:left w:val="nil"/>
              <w:bottom w:val="nil"/>
              <w:right w:val="nil"/>
            </w:tcBorders>
            <w:noWrap/>
            <w:vAlign w:val="bottom"/>
          </w:tcPr>
          <w:p w:rsidR="000B09CD" w:rsidRPr="000B09CD" w:rsidRDefault="000B09CD" w:rsidP="000D5D5A">
            <w:pPr>
              <w:rPr>
                <w:rFonts w:ascii="Arial" w:hAnsi="Arial" w:cs="Arial"/>
                <w:color w:val="000000"/>
              </w:rPr>
            </w:pPr>
            <w:r w:rsidRPr="000B09CD">
              <w:rPr>
                <w:rFonts w:ascii="Arial" w:hAnsi="Arial" w:cs="Arial"/>
                <w:color w:val="000000"/>
              </w:rPr>
              <w:t>ANOVA</w:t>
            </w:r>
          </w:p>
        </w:tc>
        <w:tc>
          <w:tcPr>
            <w:tcW w:w="918" w:type="dxa"/>
            <w:tcBorders>
              <w:top w:val="nil"/>
              <w:left w:val="nil"/>
              <w:bottom w:val="nil"/>
              <w:right w:val="nil"/>
            </w:tcBorders>
            <w:noWrap/>
            <w:vAlign w:val="bottom"/>
          </w:tcPr>
          <w:p w:rsidR="000B09CD" w:rsidRPr="000B09CD" w:rsidRDefault="000B09CD" w:rsidP="000D5D5A">
            <w:pPr>
              <w:rPr>
                <w:rFonts w:ascii="Arial" w:hAnsi="Arial" w:cs="Arial"/>
              </w:rPr>
            </w:pPr>
          </w:p>
        </w:tc>
        <w:tc>
          <w:tcPr>
            <w:tcW w:w="1124" w:type="dxa"/>
            <w:gridSpan w:val="2"/>
            <w:tcBorders>
              <w:top w:val="nil"/>
              <w:left w:val="nil"/>
              <w:bottom w:val="nil"/>
              <w:right w:val="nil"/>
            </w:tcBorders>
            <w:noWrap/>
            <w:vAlign w:val="bottom"/>
          </w:tcPr>
          <w:p w:rsidR="000B09CD" w:rsidRPr="000B09CD" w:rsidRDefault="000B09CD" w:rsidP="000D5D5A">
            <w:pPr>
              <w:rPr>
                <w:rFonts w:ascii="Arial" w:hAnsi="Arial" w:cs="Arial"/>
              </w:rPr>
            </w:pPr>
          </w:p>
        </w:tc>
        <w:tc>
          <w:tcPr>
            <w:tcW w:w="854" w:type="dxa"/>
            <w:gridSpan w:val="2"/>
            <w:tcBorders>
              <w:top w:val="nil"/>
              <w:left w:val="nil"/>
              <w:bottom w:val="nil"/>
              <w:right w:val="nil"/>
            </w:tcBorders>
            <w:noWrap/>
            <w:vAlign w:val="bottom"/>
          </w:tcPr>
          <w:p w:rsidR="000B09CD" w:rsidRPr="000B09CD" w:rsidRDefault="000B09CD" w:rsidP="000D5D5A">
            <w:pPr>
              <w:rPr>
                <w:rFonts w:ascii="Arial" w:hAnsi="Arial" w:cs="Arial"/>
              </w:rPr>
            </w:pPr>
          </w:p>
        </w:tc>
        <w:tc>
          <w:tcPr>
            <w:tcW w:w="873" w:type="dxa"/>
            <w:tcBorders>
              <w:top w:val="nil"/>
              <w:left w:val="nil"/>
              <w:bottom w:val="nil"/>
              <w:right w:val="nil"/>
            </w:tcBorders>
            <w:noWrap/>
            <w:vAlign w:val="bottom"/>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r w:rsidRPr="000B09CD">
              <w:rPr>
                <w:rFonts w:ascii="Arial" w:hAnsi="Arial" w:cs="Arial"/>
              </w:rPr>
              <w:t xml:space="preserve"> </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5-</w:t>
            </w:r>
            <w:r w:rsidR="000B09CD" w:rsidRPr="000B09CD">
              <w:rPr>
                <w:rFonts w:ascii="Arial" w:hAnsi="Arial" w:cs="Arial"/>
                <w:color w:val="000000"/>
              </w:rPr>
              <w:t>SUMMARY</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340" w:type="dxa"/>
            <w:gridSpan w:val="2"/>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45"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3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52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766"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351773092</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43971637</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3.58E+13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82516426</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10314553</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5.08E+13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9278229</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1159779</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1.53E+11</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4</w:t>
            </w:r>
          </w:p>
        </w:tc>
        <w:tc>
          <w:tcPr>
            <w:tcW w:w="1340" w:type="dxa"/>
            <w:gridSpan w:val="2"/>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443567747</w:t>
            </w:r>
          </w:p>
        </w:tc>
        <w:tc>
          <w:tcPr>
            <w:tcW w:w="1031"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55445968</w:t>
            </w:r>
          </w:p>
        </w:tc>
        <w:tc>
          <w:tcPr>
            <w:tcW w:w="152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8.11E+13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6-</w:t>
            </w:r>
            <w:r w:rsidR="000B09CD" w:rsidRPr="000B09CD">
              <w:rPr>
                <w:rFonts w:ascii="Arial" w:hAnsi="Arial" w:cs="Arial"/>
                <w:color w:val="000000"/>
              </w:rPr>
              <w:t>ANOVA</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340" w:type="dxa"/>
            <w:gridSpan w:val="2"/>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45"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3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52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76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9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1.63299E+16</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5.44E+15</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129.716</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1.58E-16</w:t>
            </w:r>
          </w:p>
        </w:tc>
        <w:tc>
          <w:tcPr>
            <w:tcW w:w="9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1.17497E+15</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4.2E+13</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340" w:type="dxa"/>
            <w:gridSpan w:val="2"/>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1.75049E+16</w:t>
            </w:r>
          </w:p>
        </w:tc>
        <w:tc>
          <w:tcPr>
            <w:tcW w:w="1345" w:type="dxa"/>
            <w:gridSpan w:val="3"/>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03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52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76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9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E6214D" w:rsidRDefault="00E6214D" w:rsidP="000B09CD">
      <w:pPr>
        <w:pStyle w:val="NormalWeb"/>
        <w:spacing w:after="0" w:afterAutospacing="0"/>
        <w:rPr>
          <w:rFonts w:ascii="Arial" w:hAnsi="Arial" w:cs="Arial"/>
          <w:b/>
          <w:sz w:val="20"/>
          <w:szCs w:val="20"/>
        </w:rPr>
      </w:pPr>
    </w:p>
    <w:p w:rsidR="00E6214D" w:rsidRPr="00E6214D" w:rsidRDefault="00E6214D" w:rsidP="00E6214D">
      <w:pPr>
        <w:pStyle w:val="NormalWeb"/>
        <w:spacing w:after="0" w:afterAutospacing="0"/>
        <w:jc w:val="both"/>
        <w:rPr>
          <w:rFonts w:ascii="Arial" w:hAnsi="Arial" w:cs="Arial"/>
          <w:sz w:val="20"/>
          <w:szCs w:val="20"/>
        </w:rPr>
      </w:pPr>
      <w:r w:rsidRPr="00E6214D">
        <w:rPr>
          <w:rFonts w:ascii="Arial" w:hAnsi="Arial" w:cs="Arial"/>
          <w:sz w:val="20"/>
          <w:szCs w:val="20"/>
        </w:rPr>
        <w:t xml:space="preserve">An ANOVA test was conducted to examine whether there is a significant difference in the average number of MUDRA loan accounts across the three categories over the period 2016–2024. The average number of accounts was highest in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at 4.39 crore, followed by Kishor with 1.03 crore, and Tarun with 11.6 lakh. The F-value is 129.716, which is significantly greater than the critical value of 2.9467. The p-value, 1.58 × 10¹⁶, is far below the 0.05 significance level. Since the F-value exceeds the critical value and the p-value is less than 0.05, we reject the null hypothesis. There is a significant difference in the number </w:t>
      </w:r>
      <w:r w:rsidRPr="00E6214D">
        <w:rPr>
          <w:rFonts w:ascii="Arial" w:hAnsi="Arial" w:cs="Arial"/>
          <w:sz w:val="20"/>
          <w:szCs w:val="20"/>
        </w:rPr>
        <w:lastRenderedPageBreak/>
        <w:t xml:space="preserve">of loan accounts among the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Kishor, and </w:t>
      </w:r>
      <w:proofErr w:type="spellStart"/>
      <w:r w:rsidRPr="00E6214D">
        <w:rPr>
          <w:rFonts w:ascii="Arial" w:hAnsi="Arial" w:cs="Arial"/>
          <w:sz w:val="20"/>
          <w:szCs w:val="20"/>
        </w:rPr>
        <w:t>Tarun</w:t>
      </w:r>
      <w:proofErr w:type="spellEnd"/>
      <w:r w:rsidRPr="00E6214D">
        <w:rPr>
          <w:rFonts w:ascii="Arial" w:hAnsi="Arial" w:cs="Arial"/>
          <w:sz w:val="20"/>
          <w:szCs w:val="20"/>
        </w:rPr>
        <w:t xml:space="preserve"> categories. This indicates that beneficiary participation under PMMY is not uniform across loan categories, with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loans being the most widely availed.</w:t>
      </w:r>
    </w:p>
    <w:p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number of loan accounts across the three PMMY categories during the period 2016–17 to 2023–24.</w:t>
      </w:r>
    </w:p>
    <w:p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H1: </w:t>
      </w:r>
      <w:r w:rsidRPr="000B09CD">
        <w:rPr>
          <w:rFonts w:ascii="Arial" w:hAnsi="Arial" w:cs="Arial"/>
          <w:sz w:val="20"/>
          <w:szCs w:val="20"/>
        </w:rPr>
        <w:t>There is a significant difference in the average number of loan accounts across the three PMMY categories (during the period 2016–17 to 2023–24.</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p>
    <w:p w:rsidR="000B09CD" w:rsidRPr="006A0AF3" w:rsidRDefault="000B09CD" w:rsidP="006A0AF3">
      <w:pPr>
        <w:spacing w:after="160"/>
        <w:ind w:left="360"/>
        <w:rPr>
          <w:rFonts w:ascii="Arial" w:hAnsi="Arial" w:cs="Arial"/>
          <w:b/>
        </w:rPr>
      </w:pPr>
      <w:r w:rsidRPr="006A0AF3">
        <w:rPr>
          <w:rFonts w:ascii="Arial" w:hAnsi="Arial" w:cs="Arial"/>
          <w:b/>
        </w:rPr>
        <w:t>Table 6: Category-wise Loan Amounts under PMMY (₹ in Crore) (2016–17 to 2023–24)</w:t>
      </w:r>
    </w:p>
    <w:tbl>
      <w:tblPr>
        <w:tblStyle w:val="TableGrid"/>
        <w:tblW w:w="9447" w:type="dxa"/>
        <w:tblLook w:val="04A0" w:firstRow="1" w:lastRow="0" w:firstColumn="1" w:lastColumn="0" w:noHBand="0" w:noVBand="1"/>
      </w:tblPr>
      <w:tblGrid>
        <w:gridCol w:w="2547"/>
        <w:gridCol w:w="1796"/>
        <w:gridCol w:w="1768"/>
        <w:gridCol w:w="1701"/>
        <w:gridCol w:w="1635"/>
      </w:tblGrid>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Amt (₹ Cr)</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85100.74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53545.14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41882.66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180528.54</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106001.6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86732.15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60943.36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253677.11</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2018–19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142345.25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104386.68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74990.86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321722.79</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163559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95578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78358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337495</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109953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132516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79290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321759</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124747.37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137644.38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76718.61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339110.35</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141609.85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200936.63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107877.18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450423.66</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147784.68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257094.5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127479.17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532358.35</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127637.69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133554.19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80942.48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342134.35</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Standard Deviation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25929.55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66232.38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26401.97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108703.61</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Coefficient of Variation (%)</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20.31%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32.62%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31.77%</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F270ED" w:rsidP="000B09CD">
      <w:pPr>
        <w:jc w:val="both"/>
        <w:rPr>
          <w:rFonts w:ascii="Arial" w:hAnsi="Arial" w:cs="Arial"/>
        </w:rPr>
      </w:pPr>
      <w:r>
        <w:rPr>
          <w:rFonts w:ascii="Arial" w:hAnsi="Arial" w:cs="Arial"/>
        </w:rPr>
        <w:t xml:space="preserve">Table 6 showcases the Category-wise Loan Amounts under PMMY (₹ in Crore) from 2016–17 to 2023–24. The </w:t>
      </w:r>
      <w:proofErr w:type="spellStart"/>
      <w:r>
        <w:rPr>
          <w:rFonts w:ascii="Arial" w:hAnsi="Arial" w:cs="Arial"/>
        </w:rPr>
        <w:t>Shishu</w:t>
      </w:r>
      <w:proofErr w:type="spellEnd"/>
      <w:r>
        <w:rPr>
          <w:rFonts w:ascii="Arial" w:hAnsi="Arial" w:cs="Arial"/>
        </w:rPr>
        <w:t xml:space="preserve"> category, for loans up to ₹50,000, averaged ₹1,27,638 crore with a low CV of 20.31%, indicating stable funding for micro-entrepreneurs. The Kishor category, offering loans between ₹50,001 and ₹5 lakh, had the highest average at ₹1,33,554 crore but a high CV of 49.59%, reflecting significant yearly fluctuations. The Tarun category, for loans between ₹5 lakh and ₹10 lakh, showed the lowest average disbursement of ₹80,942 crore with a moderate CV of 32.62%, indicating cautious lending. Overall, PMMY disbursement increased from ₹1.80 lakh crore in FY 2016–17 to ₹5.32 lakh crore in FY 2023–24, averaging ₹3.42 lakh crore and highlighting its growing importance in financing microenterprises in India.</w:t>
      </w:r>
    </w:p>
    <w:p w:rsidR="000B09CD" w:rsidRPr="000B09CD" w:rsidRDefault="000B09CD" w:rsidP="000B09CD">
      <w:pPr>
        <w:jc w:val="both"/>
        <w:rPr>
          <w:rFonts w:ascii="Arial" w:hAnsi="Arial" w:cs="Arial"/>
        </w:rPr>
      </w:pPr>
    </w:p>
    <w:tbl>
      <w:tblPr>
        <w:tblW w:w="9450" w:type="dxa"/>
        <w:tblLook w:val="04A0" w:firstRow="1" w:lastRow="0" w:firstColumn="1" w:lastColumn="0" w:noHBand="0" w:noVBand="1"/>
      </w:tblPr>
      <w:tblGrid>
        <w:gridCol w:w="2036"/>
        <w:gridCol w:w="1492"/>
        <w:gridCol w:w="1273"/>
        <w:gridCol w:w="1456"/>
        <w:gridCol w:w="1235"/>
        <w:gridCol w:w="895"/>
        <w:gridCol w:w="1106"/>
      </w:tblGrid>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roofErr w:type="spellStart"/>
            <w:r w:rsidRPr="000B09CD">
              <w:rPr>
                <w:rFonts w:ascii="Arial" w:hAnsi="Arial" w:cs="Arial"/>
                <w:color w:val="000000"/>
              </w:rPr>
              <w:t>Anova</w:t>
            </w:r>
            <w:proofErr w:type="spellEnd"/>
            <w:r w:rsidRPr="000B09CD">
              <w:rPr>
                <w:rFonts w:ascii="Arial" w:hAnsi="Arial" w:cs="Arial"/>
                <w:color w:val="000000"/>
              </w:rPr>
              <w:t xml:space="preserve">: </w:t>
            </w:r>
            <w:proofErr w:type="spellStart"/>
            <w:r w:rsidRPr="000B09CD">
              <w:rPr>
                <w:rFonts w:ascii="Arial" w:hAnsi="Arial" w:cs="Arial"/>
                <w:color w:val="000000"/>
              </w:rPr>
              <w:t>SingleFactor</w:t>
            </w:r>
            <w:proofErr w:type="spellEnd"/>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7-</w:t>
            </w:r>
            <w:r w:rsidR="000B09CD" w:rsidRPr="000B09CD">
              <w:rPr>
                <w:rFonts w:ascii="Arial" w:hAnsi="Arial" w:cs="Arial"/>
                <w:color w:val="000000"/>
              </w:rPr>
              <w:t>SUMMARY</w:t>
            </w: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9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23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45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95"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1021101.49</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127637.6863</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6.72E+08</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1068433.48</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133554.185</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4.39E+09</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647539.84</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80942.48</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6.97E+08</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4</w:t>
            </w:r>
          </w:p>
        </w:tc>
        <w:tc>
          <w:tcPr>
            <w:tcW w:w="149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2737074.8</w:t>
            </w:r>
          </w:p>
        </w:tc>
        <w:tc>
          <w:tcPr>
            <w:tcW w:w="145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342134.35</w:t>
            </w:r>
          </w:p>
        </w:tc>
        <w:tc>
          <w:tcPr>
            <w:tcW w:w="1235"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1.18E+10</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6F34FA" w:rsidRPr="000B09CD" w:rsidTr="000D5D5A">
        <w:trPr>
          <w:trHeight w:val="268"/>
        </w:trPr>
        <w:tc>
          <w:tcPr>
            <w:tcW w:w="2036"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492"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230"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456"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235"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895"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106" w:type="dxa"/>
            <w:tcBorders>
              <w:top w:val="nil"/>
              <w:left w:val="nil"/>
              <w:bottom w:val="nil"/>
              <w:right w:val="nil"/>
            </w:tcBorders>
            <w:noWrap/>
            <w:vAlign w:val="bottom"/>
          </w:tcPr>
          <w:p w:rsidR="006F34FA" w:rsidRPr="000B09CD" w:rsidRDefault="006F34FA"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8-</w:t>
            </w:r>
            <w:r w:rsidR="000B09CD" w:rsidRPr="000B09CD">
              <w:rPr>
                <w:rFonts w:ascii="Arial" w:hAnsi="Arial" w:cs="Arial"/>
                <w:color w:val="000000"/>
              </w:rPr>
              <w:t>ANOVA</w:t>
            </w: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9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23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45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9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3.25438E+11</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1.08479E+11</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24.69285</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5.1E-08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1.23008E+11</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4393151959</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9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4.48447E+11</w:t>
            </w:r>
          </w:p>
        </w:tc>
        <w:tc>
          <w:tcPr>
            <w:tcW w:w="123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45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235"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895"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10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0B09CD" w:rsidRPr="000B09CD" w:rsidRDefault="000B09CD" w:rsidP="000B09CD">
      <w:pPr>
        <w:pStyle w:val="NormalWeb"/>
        <w:jc w:val="both"/>
        <w:rPr>
          <w:rStyle w:val="Strong"/>
          <w:rFonts w:ascii="Arial" w:hAnsi="Arial" w:cs="Arial"/>
          <w:b w:val="0"/>
          <w:sz w:val="20"/>
          <w:szCs w:val="20"/>
        </w:rPr>
      </w:pPr>
      <w:r w:rsidRPr="000B09CD">
        <w:rPr>
          <w:rStyle w:val="Strong"/>
          <w:rFonts w:ascii="Arial" w:hAnsi="Arial" w:cs="Arial"/>
          <w:b w:val="0"/>
          <w:sz w:val="20"/>
          <w:szCs w:val="20"/>
        </w:rPr>
        <w:t>The analysis revealed an F-value of 24.69, with a critical F-value of 2.95 and a P-value of 5.1 × 10</w:t>
      </w:r>
      <w:r w:rsidRPr="000B09CD">
        <w:rPr>
          <w:rStyle w:val="Strong"/>
          <w:rFonts w:ascii="Cambria Math" w:hAnsi="Cambria Math" w:cs="Cambria Math"/>
          <w:b w:val="0"/>
          <w:sz w:val="20"/>
          <w:szCs w:val="20"/>
        </w:rPr>
        <w:t>⁻</w:t>
      </w:r>
      <w:r w:rsidRPr="000B09CD">
        <w:rPr>
          <w:rStyle w:val="Strong"/>
          <w:rFonts w:ascii="Arial" w:hAnsi="Arial" w:cs="Arial"/>
          <w:b w:val="0"/>
          <w:sz w:val="20"/>
          <w:szCs w:val="20"/>
        </w:rPr>
        <w:t>⁸, which is less than 0.05. These results indicate that the F-value exceeds the critical F-value and the P-value is below the significance threshold, suggesting that the findings are statistically significant. Consequently, we can reject the null hypothesis (H</w:t>
      </w:r>
      <w:r w:rsidRPr="000B09CD">
        <w:rPr>
          <w:rStyle w:val="Strong"/>
          <w:rFonts w:ascii="Cambria Math" w:hAnsi="Cambria Math" w:cs="Cambria Math"/>
          <w:b w:val="0"/>
          <w:sz w:val="20"/>
          <w:szCs w:val="20"/>
        </w:rPr>
        <w:t>₀</w:t>
      </w:r>
      <w:r w:rsidRPr="000B09CD">
        <w:rPr>
          <w:rStyle w:val="Strong"/>
          <w:rFonts w:ascii="Arial" w:hAnsi="Arial" w:cs="Arial"/>
          <w:b w:val="0"/>
          <w:sz w:val="20"/>
          <w:szCs w:val="20"/>
        </w:rPr>
        <w:t>), which posits that there is no significant difference in average loan disbursement amounts among the different categories. This indicates that there are indeed meaningful variations in loan disbursement amounts across the categories studied.</w:t>
      </w:r>
    </w:p>
    <w:p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H0:</w:t>
      </w:r>
      <w:r w:rsidRPr="000B09CD">
        <w:rPr>
          <w:rFonts w:ascii="Arial" w:hAnsi="Arial" w:cs="Arial"/>
          <w:sz w:val="20"/>
          <w:szCs w:val="20"/>
        </w:rPr>
        <w:t xml:space="preserve"> </w:t>
      </w:r>
      <w:r w:rsidRPr="006F34FA">
        <w:rPr>
          <w:rFonts w:ascii="Arial" w:hAnsi="Arial" w:cs="Arial"/>
          <w:b/>
          <w:sz w:val="20"/>
          <w:szCs w:val="20"/>
        </w:rPr>
        <w:t>There</w:t>
      </w:r>
      <w:r w:rsidRPr="000B09CD">
        <w:rPr>
          <w:rFonts w:ascii="Arial" w:hAnsi="Arial" w:cs="Arial"/>
          <w:sz w:val="20"/>
          <w:szCs w:val="20"/>
        </w:rPr>
        <w:t xml:space="preserve"> is </w:t>
      </w:r>
      <w:r w:rsidRPr="000B09CD">
        <w:rPr>
          <w:rStyle w:val="Strong"/>
          <w:rFonts w:ascii="Arial" w:hAnsi="Arial" w:cs="Arial"/>
          <w:b w:val="0"/>
          <w:sz w:val="20"/>
          <w:szCs w:val="20"/>
        </w:rPr>
        <w:t>no significant</w:t>
      </w:r>
      <w:r w:rsidRPr="000B09CD">
        <w:rPr>
          <w:rStyle w:val="Strong"/>
          <w:rFonts w:ascii="Arial" w:hAnsi="Arial" w:cs="Arial"/>
          <w:sz w:val="20"/>
          <w:szCs w:val="20"/>
        </w:rPr>
        <w:t xml:space="preserve"> </w:t>
      </w:r>
      <w:r w:rsidRPr="000B09CD">
        <w:rPr>
          <w:rStyle w:val="Strong"/>
          <w:rFonts w:ascii="Arial" w:hAnsi="Arial" w:cs="Arial"/>
          <w:b w:val="0"/>
          <w:sz w:val="20"/>
          <w:szCs w:val="20"/>
        </w:rPr>
        <w:t>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under the three PMMY categories</w:t>
      </w:r>
      <w:r w:rsidR="009F09E1">
        <w:rPr>
          <w:rFonts w:ascii="Arial" w:hAnsi="Arial" w:cs="Arial"/>
          <w:sz w:val="20"/>
          <w:szCs w:val="20"/>
        </w:rPr>
        <w:t xml:space="preserve"> </w:t>
      </w:r>
      <w:r w:rsidRPr="000B09CD">
        <w:rPr>
          <w:rFonts w:ascii="Arial" w:hAnsi="Arial" w:cs="Arial"/>
          <w:sz w:val="20"/>
          <w:szCs w:val="20"/>
        </w:rPr>
        <w:t>from FY 2016–17 to FY 2023–24.</w:t>
      </w:r>
    </w:p>
    <w:p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H1:</w:t>
      </w:r>
      <w:r w:rsidRPr="000B09CD">
        <w:rPr>
          <w:rFonts w:ascii="Arial" w:hAnsi="Arial" w:cs="Arial"/>
          <w:sz w:val="20"/>
          <w:szCs w:val="20"/>
        </w:rPr>
        <w:t xml:space="preserve"> There is a </w:t>
      </w:r>
      <w:r w:rsidRPr="000B09CD">
        <w:rPr>
          <w:rStyle w:val="Strong"/>
          <w:rFonts w:ascii="Arial" w:hAnsi="Arial" w:cs="Arial"/>
          <w:b w:val="0"/>
          <w:sz w:val="20"/>
          <w:szCs w:val="20"/>
        </w:rPr>
        <w:t>significant 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among at least </w:t>
      </w:r>
      <w:r w:rsidRPr="000B09CD">
        <w:rPr>
          <w:rStyle w:val="Strong"/>
          <w:rFonts w:ascii="Arial" w:hAnsi="Arial" w:cs="Arial"/>
          <w:b w:val="0"/>
          <w:sz w:val="20"/>
          <w:szCs w:val="20"/>
        </w:rPr>
        <w:t xml:space="preserve">one of the PMMY </w:t>
      </w:r>
      <w:r w:rsidR="00834A54">
        <w:rPr>
          <w:rStyle w:val="Strong"/>
          <w:rFonts w:ascii="Arial" w:hAnsi="Arial" w:cs="Arial"/>
          <w:b w:val="0"/>
          <w:sz w:val="20"/>
          <w:szCs w:val="20"/>
        </w:rPr>
        <w:t>categories</w:t>
      </w:r>
      <w:r w:rsidRPr="000B09CD">
        <w:rPr>
          <w:rFonts w:ascii="Arial" w:hAnsi="Arial" w:cs="Arial"/>
          <w:sz w:val="20"/>
          <w:szCs w:val="20"/>
        </w:rPr>
        <w:t xml:space="preserve"> from FY 2016–17 to FY 2023–24.</w:t>
      </w:r>
    </w:p>
    <w:p w:rsidR="000B09CD" w:rsidRPr="000B09CD" w:rsidRDefault="000B09CD" w:rsidP="000B09CD">
      <w:pPr>
        <w:tabs>
          <w:tab w:val="left" w:pos="2805"/>
        </w:tabs>
        <w:rPr>
          <w:rFonts w:ascii="Arial" w:hAnsi="Arial" w:cs="Arial"/>
          <w:b/>
        </w:rPr>
      </w:pPr>
    </w:p>
    <w:p w:rsidR="000B09CD" w:rsidRPr="000B09CD" w:rsidRDefault="000B09CD" w:rsidP="000B09CD">
      <w:pPr>
        <w:tabs>
          <w:tab w:val="left" w:pos="2805"/>
        </w:tabs>
        <w:rPr>
          <w:rFonts w:ascii="Arial" w:hAnsi="Arial" w:cs="Arial"/>
          <w:b/>
        </w:rPr>
      </w:pPr>
      <w:r w:rsidRPr="000B09CD">
        <w:rPr>
          <w:rFonts w:ascii="Arial" w:hAnsi="Arial" w:cs="Arial"/>
          <w:b/>
        </w:rPr>
        <w:t>Capital adequacy</w:t>
      </w:r>
    </w:p>
    <w:p w:rsidR="000B09CD" w:rsidRPr="000B09CD" w:rsidRDefault="000B09CD" w:rsidP="000B09CD">
      <w:pPr>
        <w:tabs>
          <w:tab w:val="left" w:pos="2805"/>
        </w:tabs>
        <w:jc w:val="both"/>
        <w:rPr>
          <w:rFonts w:ascii="Arial" w:hAnsi="Arial" w:cs="Arial"/>
        </w:rPr>
      </w:pPr>
      <w:r w:rsidRPr="000B09CD">
        <w:rPr>
          <w:rFonts w:ascii="Arial" w:hAnsi="Arial" w:cs="Arial"/>
        </w:rPr>
        <w:t>Capital adequacy, in the context of financial institutions, refers to the amount of capital that a financial institution holds to absorb potential losses and ensure it can meet its obligations to depositors and creditors. It serves as a measure of financial strength and stability, indicating how effectively a bank can manage risks and remain solvent during challenging times.</w:t>
      </w:r>
      <w:r w:rsidR="00834A54">
        <w:rPr>
          <w:rFonts w:ascii="Arial" w:hAnsi="Arial" w:cs="Arial"/>
        </w:rPr>
        <w:t xml:space="preserve"> </w:t>
      </w:r>
      <w:r w:rsidRPr="000B09CD">
        <w:rPr>
          <w:rFonts w:ascii="Arial" w:hAnsi="Arial" w:cs="Arial"/>
        </w:rPr>
        <w:t>(Alzoubi, M. 2021)</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r w:rsidRPr="000B09CD">
        <w:rPr>
          <w:rFonts w:ascii="Arial" w:hAnsi="Arial" w:cs="Arial"/>
          <w:b/>
        </w:rPr>
        <w:t xml:space="preserve">Table 7: Capital adequacy of </w:t>
      </w:r>
      <w:proofErr w:type="gramStart"/>
      <w:r w:rsidRPr="000B09CD">
        <w:rPr>
          <w:rFonts w:ascii="Arial" w:hAnsi="Arial" w:cs="Arial"/>
          <w:b/>
        </w:rPr>
        <w:t>MUDRA( 2016</w:t>
      </w:r>
      <w:proofErr w:type="gramEnd"/>
      <w:r w:rsidRPr="000B09CD">
        <w:rPr>
          <w:rFonts w:ascii="Arial" w:hAnsi="Arial" w:cs="Arial"/>
          <w:b/>
        </w:rPr>
        <w:t>-2024)</w:t>
      </w:r>
    </w:p>
    <w:tbl>
      <w:tblPr>
        <w:tblStyle w:val="TableGrid"/>
        <w:tblW w:w="0" w:type="auto"/>
        <w:tblLook w:val="04A0" w:firstRow="1" w:lastRow="0" w:firstColumn="1" w:lastColumn="0" w:noHBand="0" w:noVBand="1"/>
      </w:tblPr>
      <w:tblGrid>
        <w:gridCol w:w="661"/>
        <w:gridCol w:w="828"/>
      </w:tblGrid>
      <w:tr w:rsidR="000B09CD" w:rsidRPr="000B09CD" w:rsidTr="000D5D5A">
        <w:tc>
          <w:tcPr>
            <w:tcW w:w="0" w:type="auto"/>
          </w:tcPr>
          <w:p w:rsidR="000B09CD" w:rsidRPr="000B09CD" w:rsidRDefault="000B09CD" w:rsidP="000D5D5A">
            <w:pPr>
              <w:rPr>
                <w:rFonts w:ascii="Arial" w:hAnsi="Arial" w:cs="Arial"/>
                <w:b/>
                <w:sz w:val="20"/>
                <w:szCs w:val="20"/>
              </w:rPr>
            </w:pPr>
            <w:r w:rsidRPr="000B09CD">
              <w:rPr>
                <w:rFonts w:ascii="Arial" w:hAnsi="Arial" w:cs="Arial"/>
                <w:b/>
                <w:sz w:val="20"/>
                <w:szCs w:val="20"/>
              </w:rPr>
              <w:t xml:space="preserve">Year </w:t>
            </w:r>
          </w:p>
        </w:tc>
        <w:tc>
          <w:tcPr>
            <w:tcW w:w="0" w:type="auto"/>
          </w:tcPr>
          <w:p w:rsidR="000B09CD" w:rsidRPr="000B09CD" w:rsidRDefault="000B09CD" w:rsidP="000D5D5A">
            <w:pPr>
              <w:rPr>
                <w:rFonts w:ascii="Arial" w:hAnsi="Arial" w:cs="Arial"/>
                <w:b/>
                <w:sz w:val="20"/>
                <w:szCs w:val="20"/>
              </w:rPr>
            </w:pPr>
            <w:r w:rsidRPr="000B09CD">
              <w:rPr>
                <w:rFonts w:ascii="Arial" w:hAnsi="Arial" w:cs="Arial"/>
                <w:b/>
                <w:sz w:val="20"/>
                <w:szCs w:val="20"/>
              </w:rPr>
              <w:t xml:space="preserve">CAGR </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2016</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83.46</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2017</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56.18</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2018</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45.18</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2019</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64.29</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2020</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61.22</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2021</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117.71</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2022</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65.89</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2023</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71.61</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2024</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81.47</w:t>
            </w:r>
          </w:p>
        </w:tc>
      </w:tr>
    </w:tbl>
    <w:p w:rsidR="000B09CD" w:rsidRPr="000B09CD" w:rsidRDefault="000B09CD" w:rsidP="000B09CD">
      <w:pPr>
        <w:rPr>
          <w:rFonts w:ascii="Arial" w:hAnsi="Arial" w:cs="Arial"/>
        </w:rPr>
      </w:pPr>
      <w:r w:rsidRPr="000B09CD">
        <w:rPr>
          <w:rFonts w:ascii="Arial" w:hAnsi="Arial" w:cs="Arial"/>
        </w:rPr>
        <w:t>Source: Annual report of MUDRA</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r w:rsidRPr="000B09CD">
        <w:rPr>
          <w:rFonts w:ascii="Arial" w:hAnsi="Arial" w:cs="Arial"/>
          <w:b/>
        </w:rPr>
        <w:t>Graph .1: Capital adequacy of MUDRA</w:t>
      </w:r>
      <w:r w:rsidR="00F270ED">
        <w:rPr>
          <w:rFonts w:ascii="Arial" w:hAnsi="Arial" w:cs="Arial"/>
          <w:b/>
        </w:rPr>
        <w:t xml:space="preserve"> (</w:t>
      </w:r>
      <w:r w:rsidRPr="000B09CD">
        <w:rPr>
          <w:rFonts w:ascii="Arial" w:hAnsi="Arial" w:cs="Arial"/>
          <w:b/>
        </w:rPr>
        <w:t>2016-2024)</w:t>
      </w:r>
    </w:p>
    <w:p w:rsidR="000B09CD" w:rsidRPr="000B09CD" w:rsidRDefault="000B09CD" w:rsidP="000B09CD">
      <w:pPr>
        <w:rPr>
          <w:rFonts w:ascii="Arial" w:hAnsi="Arial" w:cs="Arial"/>
        </w:rPr>
      </w:pPr>
      <w:r w:rsidRPr="000B09CD">
        <w:rPr>
          <w:rFonts w:ascii="Arial" w:hAnsi="Arial" w:cs="Arial"/>
          <w:noProof/>
        </w:rPr>
        <w:lastRenderedPageBreak/>
        <w:drawing>
          <wp:inline distT="0" distB="0" distL="0" distR="0">
            <wp:extent cx="5869172" cy="2488018"/>
            <wp:effectExtent l="0" t="0" r="17780" b="7620"/>
            <wp:docPr id="1" name="Chart 1">
              <a:extLst xmlns:a="http://schemas.openxmlformats.org/drawingml/2006/main">
                <a:ext uri="{FF2B5EF4-FFF2-40B4-BE49-F238E27FC236}">
                  <a16:creationId xmlns:a16="http://schemas.microsoft.com/office/drawing/2014/main" id="{BDEA230E-5D5A-4E2E-83C9-35C823085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capital adequacy ratio</w:t>
      </w:r>
      <w:r w:rsidR="009F09E1">
        <w:rPr>
          <w:rFonts w:ascii="Arial" w:hAnsi="Arial" w:cs="Arial"/>
        </w:rPr>
        <w:t xml:space="preserve"> </w:t>
      </w:r>
      <w:r w:rsidRPr="000B09CD">
        <w:rPr>
          <w:rFonts w:ascii="Arial" w:hAnsi="Arial" w:cs="Arial"/>
        </w:rPr>
        <w:t>of MUDRA has fluctuated significantly from 2016 to 2024. In 2016, it reached a high of 83.46%, well above the RBI's 15% minimum for Non-Deposit Systemically Important NBFCs, indicating strong financial stability. However, the CAR decreased to 56.18% in 2017 and 45.18% in 2018, reflecting reduced capital strength due to increased lending. A partial recovery occurred in 2019, with the CAR rising to 64.29%, followed by a slight dip to 61.22% in 2020. In 2021, the CAR surged to a peak of 117.71%, likely due to strategic capital enhancements. It then declined to 65.89% in 2022, increased to 71.61% in 2023, and reached 81.47% in 2024, indicating stable capital maintenance in recent years.</w:t>
      </w:r>
    </w:p>
    <w:p w:rsidR="000B09CD" w:rsidRPr="00F270ED" w:rsidRDefault="00F04044" w:rsidP="000B09CD">
      <w:pPr>
        <w:spacing w:before="100" w:beforeAutospacing="1" w:after="100" w:afterAutospacing="1"/>
        <w:jc w:val="both"/>
        <w:rPr>
          <w:rFonts w:ascii="Arial" w:hAnsi="Arial" w:cs="Arial"/>
          <w:b/>
        </w:rPr>
      </w:pPr>
      <w:r w:rsidRPr="00F04044">
        <w:rPr>
          <w:rFonts w:ascii="Arial" w:hAnsi="Arial" w:cs="Arial"/>
          <w:b/>
          <w:sz w:val="22"/>
        </w:rPr>
        <w:t xml:space="preserve">List </w:t>
      </w:r>
      <w:r>
        <w:rPr>
          <w:rFonts w:ascii="Arial" w:hAnsi="Arial" w:cs="Arial"/>
          <w:b/>
          <w:sz w:val="22"/>
        </w:rPr>
        <w:t>9-</w:t>
      </w:r>
      <w:r w:rsidR="000B09CD" w:rsidRPr="00F270ED">
        <w:rPr>
          <w:rFonts w:ascii="Arial" w:hAnsi="Arial" w:cs="Arial"/>
          <w:b/>
          <w:sz w:val="22"/>
        </w:rPr>
        <w:t>ANOVA</w:t>
      </w:r>
      <w:r w:rsidR="000B09CD" w:rsidRPr="00F270ED">
        <w:rPr>
          <w:rFonts w:ascii="Arial" w:hAnsi="Arial" w:cs="Arial"/>
          <w:b/>
        </w:rPr>
        <w:t xml:space="preserve"> </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300"/>
        <w:gridCol w:w="1405"/>
        <w:gridCol w:w="1266"/>
        <w:gridCol w:w="1213"/>
        <w:gridCol w:w="1210"/>
        <w:gridCol w:w="1307"/>
      </w:tblGrid>
      <w:tr w:rsidR="000B09CD" w:rsidRPr="000B09CD" w:rsidTr="000D5D5A">
        <w:trPr>
          <w:trHeight w:val="1103"/>
        </w:trPr>
        <w:tc>
          <w:tcPr>
            <w:tcW w:w="1447"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Source of Variation</w:t>
            </w:r>
          </w:p>
        </w:tc>
        <w:tc>
          <w:tcPr>
            <w:tcW w:w="1300"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Sum of Squares (SS)</w:t>
            </w:r>
          </w:p>
        </w:tc>
        <w:tc>
          <w:tcPr>
            <w:tcW w:w="1405"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Degrees of Freedom (df)</w:t>
            </w:r>
          </w:p>
        </w:tc>
        <w:tc>
          <w:tcPr>
            <w:tcW w:w="1266"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Mean Square (MS)</w:t>
            </w:r>
          </w:p>
        </w:tc>
        <w:tc>
          <w:tcPr>
            <w:tcW w:w="1213"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F</w:t>
            </w:r>
          </w:p>
        </w:tc>
        <w:tc>
          <w:tcPr>
            <w:tcW w:w="1210"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P-value</w:t>
            </w:r>
          </w:p>
        </w:tc>
        <w:tc>
          <w:tcPr>
            <w:tcW w:w="1307"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F Critical (α = 0.05)</w:t>
            </w:r>
          </w:p>
        </w:tc>
      </w:tr>
      <w:tr w:rsidR="000B09CD" w:rsidRPr="000B09CD" w:rsidTr="000D5D5A">
        <w:trPr>
          <w:trHeight w:val="558"/>
        </w:trPr>
        <w:tc>
          <w:tcPr>
            <w:tcW w:w="1447" w:type="dxa"/>
            <w:vAlign w:val="center"/>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1</w:t>
            </w:r>
          </w:p>
        </w:tc>
        <w:tc>
          <w:tcPr>
            <w:tcW w:w="1266"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213"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1.647</w:t>
            </w:r>
          </w:p>
        </w:tc>
        <w:tc>
          <w:tcPr>
            <w:tcW w:w="121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0.24</w:t>
            </w:r>
          </w:p>
        </w:tc>
        <w:tc>
          <w:tcPr>
            <w:tcW w:w="1307"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5.3177</w:t>
            </w:r>
          </w:p>
        </w:tc>
      </w:tr>
      <w:tr w:rsidR="000B09CD" w:rsidRPr="000B09CD" w:rsidTr="000D5D5A">
        <w:trPr>
          <w:gridAfter w:val="3"/>
          <w:wAfter w:w="3730" w:type="dxa"/>
          <w:trHeight w:val="558"/>
        </w:trPr>
        <w:tc>
          <w:tcPr>
            <w:tcW w:w="1447" w:type="dxa"/>
            <w:vAlign w:val="center"/>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2347.77</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7</w:t>
            </w:r>
          </w:p>
        </w:tc>
        <w:tc>
          <w:tcPr>
            <w:tcW w:w="1266"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335.39</w:t>
            </w:r>
          </w:p>
        </w:tc>
      </w:tr>
      <w:tr w:rsidR="000B09CD" w:rsidRPr="000B09CD" w:rsidTr="000D5D5A">
        <w:trPr>
          <w:gridAfter w:val="3"/>
          <w:wAfter w:w="3730" w:type="dxa"/>
          <w:trHeight w:val="299"/>
        </w:trPr>
        <w:tc>
          <w:tcPr>
            <w:tcW w:w="1447" w:type="dxa"/>
            <w:vAlign w:val="center"/>
            <w:hideMark/>
          </w:tcPr>
          <w:p w:rsidR="000B09CD" w:rsidRPr="000B09CD" w:rsidRDefault="000B09CD" w:rsidP="000D5D5A">
            <w:pPr>
              <w:rPr>
                <w:rFonts w:ascii="Arial" w:hAnsi="Arial" w:cs="Arial"/>
                <w:b/>
                <w:bCs/>
                <w:color w:val="000000"/>
              </w:rPr>
            </w:pPr>
            <w:r w:rsidRPr="000B09CD">
              <w:rPr>
                <w:rFonts w:ascii="Arial" w:hAnsi="Arial" w:cs="Arial"/>
                <w:b/>
                <w:bCs/>
                <w:color w:val="000000"/>
              </w:rPr>
              <w:t>Total</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3312.36</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66" w:type="dxa"/>
            <w:vAlign w:val="center"/>
            <w:hideMark/>
          </w:tcPr>
          <w:p w:rsidR="000B09CD" w:rsidRPr="000B09CD" w:rsidRDefault="000B09CD" w:rsidP="000D5D5A">
            <w:pPr>
              <w:jc w:val="right"/>
              <w:rPr>
                <w:rFonts w:ascii="Arial" w:hAnsi="Arial" w:cs="Arial"/>
                <w:color w:val="000000"/>
              </w:rPr>
            </w:pPr>
          </w:p>
        </w:tc>
      </w:tr>
    </w:tbl>
    <w:p w:rsidR="00F270ED" w:rsidRPr="00F270ED" w:rsidRDefault="00F270ED" w:rsidP="000B09CD">
      <w:pPr>
        <w:pStyle w:val="NormalWeb"/>
        <w:jc w:val="both"/>
        <w:rPr>
          <w:rFonts w:ascii="Arial" w:hAnsi="Arial" w:cs="Arial"/>
          <w:sz w:val="20"/>
          <w:szCs w:val="20"/>
        </w:rPr>
      </w:pPr>
      <w:r>
        <w:rPr>
          <w:rFonts w:ascii="Arial" w:hAnsi="Arial" w:cs="Arial"/>
          <w:sz w:val="20"/>
          <w:szCs w:val="20"/>
        </w:rPr>
        <w:t>An ANOVA was performed to compare MUDRA’s Capital Adequacy Ratio (CAR) between the pre-COVID (2016–2019) and post-COVID (2020–2024) periods. The F-value was 1.647, below the critical value of 5.3177, and the p-value was 0.240, indicating no significant difference in average CAR. Thus, we fail to reject the null hypothesis. MUDRA maintained a CAR well above the RBI’s 15% minimum, peaking at 117.71% in 2021, demonstrating strong capital resilience during the pandemic.</w:t>
      </w:r>
    </w:p>
    <w:p w:rsidR="000B09CD" w:rsidRPr="000B09CD" w:rsidRDefault="000B09CD" w:rsidP="000B09CD">
      <w:pPr>
        <w:pStyle w:val="NormalWeb"/>
        <w:jc w:val="both"/>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CAR of MUDRA between the pre-COVID period (2016–2019) and the post-COVID period (2020–2024).</w:t>
      </w:r>
    </w:p>
    <w:p w:rsidR="000B09CD" w:rsidRDefault="000B09CD" w:rsidP="000B09CD">
      <w:pPr>
        <w:pStyle w:val="NormalWeb"/>
        <w:jc w:val="both"/>
        <w:rPr>
          <w:rFonts w:ascii="Arial" w:hAnsi="Arial" w:cs="Arial"/>
          <w:sz w:val="20"/>
          <w:szCs w:val="20"/>
        </w:rPr>
      </w:pPr>
      <w:r w:rsidRPr="000B09CD">
        <w:rPr>
          <w:rFonts w:ascii="Arial" w:hAnsi="Arial" w:cs="Arial"/>
          <w:b/>
          <w:sz w:val="20"/>
          <w:szCs w:val="20"/>
        </w:rPr>
        <w:lastRenderedPageBreak/>
        <w:t xml:space="preserve">H1: </w:t>
      </w:r>
      <w:r w:rsidRPr="000B09CD">
        <w:rPr>
          <w:rFonts w:ascii="Arial" w:hAnsi="Arial" w:cs="Arial"/>
          <w:sz w:val="20"/>
          <w:szCs w:val="20"/>
        </w:rPr>
        <w:t>There is a significant difference in the average CAR of MUDRA between the pre-COVID and post-COVID periods.</w:t>
      </w:r>
    </w:p>
    <w:p w:rsidR="000B09CD" w:rsidRPr="000B09CD" w:rsidRDefault="00C15AA3" w:rsidP="000B09CD">
      <w:pPr>
        <w:rPr>
          <w:rStyle w:val="Strong"/>
          <w:rFonts w:ascii="Arial" w:hAnsi="Arial" w:cs="Arial"/>
          <w:bCs w:val="0"/>
          <w:sz w:val="22"/>
        </w:rPr>
      </w:pPr>
      <w:r>
        <w:rPr>
          <w:rFonts w:ascii="Arial" w:hAnsi="Arial" w:cs="Arial"/>
          <w:b/>
          <w:sz w:val="22"/>
        </w:rPr>
        <w:t xml:space="preserve">5. </w:t>
      </w:r>
      <w:r w:rsidR="000B09CD" w:rsidRPr="000B09CD">
        <w:rPr>
          <w:rFonts w:ascii="Arial" w:hAnsi="Arial" w:cs="Arial"/>
          <w:b/>
          <w:sz w:val="22"/>
        </w:rPr>
        <w:t xml:space="preserve">Findings </w:t>
      </w:r>
      <w:r w:rsidR="000B09CD" w:rsidRPr="000B09CD">
        <w:rPr>
          <w:rStyle w:val="Strong"/>
          <w:rFonts w:ascii="Arial" w:hAnsi="Arial" w:cs="Arial"/>
          <w:sz w:val="22"/>
        </w:rPr>
        <w:t xml:space="preserve">Based on Financial Analytics </w:t>
      </w:r>
    </w:p>
    <w:p w:rsidR="000B09CD" w:rsidRPr="000B09CD" w:rsidRDefault="000B09CD" w:rsidP="000B09CD">
      <w:pPr>
        <w:jc w:val="both"/>
        <w:rPr>
          <w:rFonts w:ascii="Arial" w:hAnsi="Arial" w:cs="Arial"/>
        </w:rPr>
      </w:pPr>
      <w:r w:rsidRPr="000B09CD">
        <w:rPr>
          <w:rFonts w:ascii="Arial" w:hAnsi="Arial" w:cs="Arial"/>
        </w:rPr>
        <w:t xml:space="preserve">The analysis of PMMY's performance reveals several key insights: the </w:t>
      </w:r>
      <w:proofErr w:type="spellStart"/>
      <w:r w:rsidRPr="000B09CD">
        <w:rPr>
          <w:rFonts w:ascii="Arial" w:hAnsi="Arial" w:cs="Arial"/>
        </w:rPr>
        <w:t>Shishu</w:t>
      </w:r>
      <w:proofErr w:type="spellEnd"/>
      <w:r w:rsidRPr="000B09CD">
        <w:rPr>
          <w:rFonts w:ascii="Arial" w:hAnsi="Arial" w:cs="Arial"/>
        </w:rPr>
        <w:t xml:space="preserve"> category dominates in loan accounts, showcasing the scheme's initial reach. However, the Tarun category's higher per-account disbursement signals a need for greater support for larger micro-enterprises, while the Kishore category's significant funding fluctuations, with a 69% CV, underscore the necessity for stable backing. There are statistically significant differences across all loan categories, with an ANOVA F = 129.716, demanding tailored interventions. Regional disparities are evident, as the South and East lead in disbursements, while the North-East remains underserved, highlighting a crucial need for enhanced financial inclusion. The East region's higher volatility, with a 39.6% CV compared to the West's 27%, further </w:t>
      </w:r>
      <w:proofErr w:type="spellStart"/>
      <w:r w:rsidR="00F270ED">
        <w:rPr>
          <w:rFonts w:ascii="Arial" w:hAnsi="Arial" w:cs="Arial"/>
        </w:rPr>
        <w:t>emphasises</w:t>
      </w:r>
      <w:proofErr w:type="spellEnd"/>
      <w:r w:rsidRPr="000B09CD">
        <w:rPr>
          <w:rFonts w:ascii="Arial" w:hAnsi="Arial" w:cs="Arial"/>
        </w:rPr>
        <w:t xml:space="preserve"> this, with overall regional differences being statistically significant </w:t>
      </w:r>
      <w:r w:rsidR="00F270ED">
        <w:rPr>
          <w:rFonts w:ascii="Arial" w:hAnsi="Arial" w:cs="Arial"/>
        </w:rPr>
        <w:t xml:space="preserve">of </w:t>
      </w:r>
      <w:r w:rsidRPr="000B09CD">
        <w:rPr>
          <w:rFonts w:ascii="Arial" w:hAnsi="Arial" w:cs="Arial"/>
        </w:rPr>
        <w:t>ANOVA F = 15.04. In terms of institutional performance in FY 2023-24, Private institutions achieved 121%, Small Finance Banks surpassed their targets at 108%, and Public Sector Banks, at 97%, narrowly missed theirs, indicating untapped potential. Nevertheless, PMMY overall achieved 106.47% of its target by disbursing ₹5.32 lakh crore. Uttar Pradesh, Tamil Nadu, and Bihar emerged as the top-performing states, with Karnataka and West Bengal also showing strong results. Lastly, MUDRA has maintained a robust Capital Adequacy Ratio (CAR), reaching 81.47% in 2024 after a low of 45.18% in 2018, demonstrating its financial stability and effective credit risk management. Overall, while MUDRA shows solid capital adequacy and increasing contributions from private institutions and MFIs, significant disparities in disbursement patterns across regions and categories persist, especially warranting closer monitoring of the Tarun and Kishore categories due to their high variance.</w:t>
      </w:r>
    </w:p>
    <w:p w:rsidR="000B09CD" w:rsidRPr="000B09CD" w:rsidRDefault="00C15AA3" w:rsidP="000B09CD">
      <w:pPr>
        <w:rPr>
          <w:rFonts w:ascii="Arial" w:hAnsi="Arial" w:cs="Arial"/>
          <w:b/>
          <w:sz w:val="22"/>
        </w:rPr>
      </w:pPr>
      <w:r>
        <w:rPr>
          <w:rFonts w:ascii="Arial" w:hAnsi="Arial" w:cs="Arial"/>
          <w:b/>
          <w:sz w:val="22"/>
        </w:rPr>
        <w:t xml:space="preserve">6. </w:t>
      </w:r>
      <w:r w:rsidR="000B09CD" w:rsidRPr="000B09CD">
        <w:rPr>
          <w:rFonts w:ascii="Arial" w:hAnsi="Arial" w:cs="Arial"/>
          <w:b/>
          <w:sz w:val="22"/>
        </w:rPr>
        <w:t>Suggestions</w:t>
      </w:r>
    </w:p>
    <w:p w:rsidR="000B09CD" w:rsidRPr="000B09CD" w:rsidRDefault="000B09CD" w:rsidP="000B09CD">
      <w:pPr>
        <w:jc w:val="both"/>
        <w:rPr>
          <w:rFonts w:ascii="Arial" w:hAnsi="Arial" w:cs="Arial"/>
        </w:rPr>
      </w:pPr>
      <w:r w:rsidRPr="000B09CD">
        <w:rPr>
          <w:rFonts w:ascii="Arial" w:hAnsi="Arial" w:cs="Arial"/>
        </w:rPr>
        <w:t xml:space="preserve">To boost loan disbursement in underperforming regions like North East and Central India, a multi-pronged approach is essential. Financial literacy campaigns targeting women, </w:t>
      </w:r>
      <w:proofErr w:type="spellStart"/>
      <w:r w:rsidR="00F270ED">
        <w:rPr>
          <w:rFonts w:ascii="Arial" w:hAnsi="Arial" w:cs="Arial"/>
        </w:rPr>
        <w:t>utilising</w:t>
      </w:r>
      <w:proofErr w:type="spellEnd"/>
      <w:r w:rsidRPr="000B09CD">
        <w:rPr>
          <w:rFonts w:ascii="Arial" w:hAnsi="Arial" w:cs="Arial"/>
        </w:rPr>
        <w:t xml:space="preserve"> local-language materials and mobile camps, can enhance awareness. State Co-operative Banks should adopt digital lending tools and performance-linked incentives. Rebalancing loans across </w:t>
      </w:r>
      <w:proofErr w:type="spellStart"/>
      <w:r w:rsidRPr="000B09CD">
        <w:rPr>
          <w:rFonts w:ascii="Arial" w:hAnsi="Arial" w:cs="Arial"/>
        </w:rPr>
        <w:t>Shishu</w:t>
      </w:r>
      <w:proofErr w:type="spellEnd"/>
      <w:r w:rsidRPr="000B09CD">
        <w:rPr>
          <w:rFonts w:ascii="Arial" w:hAnsi="Arial" w:cs="Arial"/>
        </w:rPr>
        <w:t xml:space="preserve">, Kishore, and </w:t>
      </w:r>
      <w:proofErr w:type="spellStart"/>
      <w:r w:rsidRPr="000B09CD">
        <w:rPr>
          <w:rFonts w:ascii="Arial" w:hAnsi="Arial" w:cs="Arial"/>
        </w:rPr>
        <w:t>Tarun</w:t>
      </w:r>
      <w:proofErr w:type="spellEnd"/>
      <w:r w:rsidRPr="000B09CD">
        <w:rPr>
          <w:rFonts w:ascii="Arial" w:hAnsi="Arial" w:cs="Arial"/>
        </w:rPr>
        <w:t xml:space="preserve"> categories can be facilitated by auto-upgrade plans and collateral-free options. A MUDRA Performance Index (MPI) will create competition among states, while educating borrowers and integrating Entrepreneurship Development Programs (EDPs) will improve credit absorption. Leveraging AI for real-time monitoring can help predict delinquency, and initiatives like “MUDRA for Women” will promote gender and social inclusion. Regular reviews of capital adequacy ratios and adjusting targets based on regional needs will enhance performance. Lastly, linking borrowers to skill development </w:t>
      </w:r>
      <w:proofErr w:type="spellStart"/>
      <w:r w:rsidR="006F34FA">
        <w:rPr>
          <w:rFonts w:ascii="Arial" w:hAnsi="Arial" w:cs="Arial"/>
        </w:rPr>
        <w:t>centres</w:t>
      </w:r>
      <w:proofErr w:type="spellEnd"/>
      <w:r w:rsidRPr="000B09CD">
        <w:rPr>
          <w:rFonts w:ascii="Arial" w:hAnsi="Arial" w:cs="Arial"/>
        </w:rPr>
        <w:t xml:space="preserve"> and promoting digital payments will improve their creditworthiness and support.</w:t>
      </w:r>
    </w:p>
    <w:p w:rsidR="00F270ED" w:rsidRPr="000B09CD" w:rsidRDefault="00F270ED" w:rsidP="000B09CD">
      <w:pPr>
        <w:rPr>
          <w:rFonts w:ascii="Arial" w:hAnsi="Arial" w:cs="Arial"/>
          <w:b/>
        </w:rPr>
      </w:pPr>
    </w:p>
    <w:p w:rsidR="000B09CD" w:rsidRPr="000B09CD" w:rsidRDefault="00C15AA3" w:rsidP="000B09CD">
      <w:pPr>
        <w:rPr>
          <w:rFonts w:ascii="Arial" w:hAnsi="Arial" w:cs="Arial"/>
          <w:b/>
          <w:sz w:val="22"/>
        </w:rPr>
      </w:pPr>
      <w:r>
        <w:rPr>
          <w:rFonts w:ascii="Arial" w:hAnsi="Arial" w:cs="Arial"/>
          <w:b/>
          <w:sz w:val="22"/>
        </w:rPr>
        <w:t xml:space="preserve">7. </w:t>
      </w:r>
      <w:r w:rsidR="000B09CD" w:rsidRPr="000B09CD">
        <w:rPr>
          <w:rFonts w:ascii="Arial" w:hAnsi="Arial" w:cs="Arial"/>
          <w:b/>
          <w:sz w:val="22"/>
        </w:rPr>
        <w:t xml:space="preserve">Conclusion </w:t>
      </w:r>
    </w:p>
    <w:p w:rsidR="00FD7F16" w:rsidRDefault="00F270ED" w:rsidP="000D5D5A">
      <w:pPr>
        <w:pStyle w:val="NormalWeb"/>
        <w:jc w:val="both"/>
        <w:rPr>
          <w:rFonts w:ascii="Arial" w:hAnsi="Arial" w:cs="Arial"/>
          <w:sz w:val="20"/>
          <w:szCs w:val="20"/>
        </w:rPr>
      </w:pPr>
      <w:r>
        <w:rPr>
          <w:rFonts w:ascii="Arial" w:hAnsi="Arial" w:cs="Arial"/>
          <w:sz w:val="20"/>
          <w:szCs w:val="20"/>
        </w:rPr>
        <w:t xml:space="preserve">The Pradhan Mantri MUDRA Yojana (PMMY) is a significant initiative aimed at enhancing financial inclusion and supporting micro and small enterprises in India. This study indicates a notable increase in loan disbursements from FY 2016–17 to FY 2023–24, reflecting rising credit demand and the scheme's expanding reach. Strong performance in the South and East regions suggests a robust entrepreneurial ecosystem, while variations in other areas point to opportunities for targeted growth interventions. Although </w:t>
      </w:r>
      <w:proofErr w:type="spellStart"/>
      <w:r>
        <w:rPr>
          <w:rFonts w:ascii="Arial" w:hAnsi="Arial" w:cs="Arial"/>
          <w:sz w:val="20"/>
          <w:szCs w:val="20"/>
        </w:rPr>
        <w:t>Shishu</w:t>
      </w:r>
      <w:proofErr w:type="spellEnd"/>
      <w:r>
        <w:rPr>
          <w:rFonts w:ascii="Arial" w:hAnsi="Arial" w:cs="Arial"/>
          <w:sz w:val="20"/>
          <w:szCs w:val="20"/>
        </w:rPr>
        <w:t xml:space="preserve"> loans dominate in volume, Kishore and Tarun categories show potential for scaling businesses. Public sector banks lead in total loan disbursed, whereas private banks excel in targets and efficiency. Analysis confirms meaningful variations across categories, regions, and institutions, highlighting the need to address uneven credit distribution. Despite fluctuations, trends in capital adequacy indicate the financial stability of lending institutions. Overall, while PMMY </w:t>
      </w:r>
      <w:r>
        <w:rPr>
          <w:rFonts w:ascii="Arial" w:hAnsi="Arial" w:cs="Arial"/>
          <w:sz w:val="20"/>
          <w:szCs w:val="20"/>
        </w:rPr>
        <w:lastRenderedPageBreak/>
        <w:t>has seen success, implementing policy reforms and targeted strategies is essential to address regional and institutional disparities for balanced financial empowerment in India.</w:t>
      </w:r>
    </w:p>
    <w:p w:rsidR="00BA5E21" w:rsidRDefault="00BA5E21" w:rsidP="000D5D5A">
      <w:pPr>
        <w:pStyle w:val="NormalWeb"/>
        <w:jc w:val="both"/>
        <w:rPr>
          <w:rFonts w:ascii="Arial" w:hAnsi="Arial" w:cs="Arial"/>
          <w:sz w:val="20"/>
          <w:szCs w:val="20"/>
        </w:rPr>
      </w:pPr>
    </w:p>
    <w:p w:rsidR="00BA5E21" w:rsidRDefault="00BA5E21" w:rsidP="00BA5E21">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rsidR="00BA5E21" w:rsidRDefault="00BA5E21" w:rsidP="00BA5E21">
      <w:pPr>
        <w:rPr>
          <w:rFonts w:ascii="Calibri" w:eastAsia="Calibri" w:hAnsi="Calibri"/>
          <w:kern w:val="2"/>
          <w:highlight w:val="yellow"/>
        </w:rPr>
      </w:pPr>
      <w:r>
        <w:rPr>
          <w:rFonts w:ascii="Calibri" w:eastAsia="Calibri" w:hAnsi="Calibri"/>
          <w:kern w:val="2"/>
          <w:highlight w:val="yellow"/>
        </w:rPr>
        <w:t>Option 1:</w:t>
      </w:r>
    </w:p>
    <w:p w:rsidR="00BA5E21" w:rsidRDefault="00BA5E21" w:rsidP="00BA5E21">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p w:rsidR="00BA5E21" w:rsidRDefault="00BA5E21" w:rsidP="000D5D5A">
      <w:pPr>
        <w:pStyle w:val="NormalWeb"/>
        <w:jc w:val="both"/>
        <w:rPr>
          <w:rFonts w:ascii="Arial" w:hAnsi="Arial" w:cs="Arial"/>
          <w:sz w:val="20"/>
          <w:szCs w:val="20"/>
        </w:rPr>
      </w:pPr>
    </w:p>
    <w:p w:rsidR="000D5D5A" w:rsidRPr="000D5D5A" w:rsidRDefault="000D5D5A" w:rsidP="000D5D5A">
      <w:pPr>
        <w:pStyle w:val="NormalWeb"/>
        <w:jc w:val="both"/>
        <w:rPr>
          <w:rFonts w:ascii="Arial" w:hAnsi="Arial" w:cs="Arial"/>
          <w:b/>
          <w:sz w:val="22"/>
          <w:szCs w:val="20"/>
        </w:rPr>
      </w:pPr>
      <w:r w:rsidRPr="000D5D5A">
        <w:rPr>
          <w:rFonts w:ascii="Arial" w:hAnsi="Arial" w:cs="Arial"/>
          <w:b/>
          <w:sz w:val="22"/>
          <w:szCs w:val="20"/>
        </w:rPr>
        <w:t xml:space="preserve">Reference </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Agarwal, M., &amp; Dwivedi, R. (2017). Pradhan Mantri Mudra </w:t>
      </w:r>
      <w:proofErr w:type="spellStart"/>
      <w:proofErr w:type="gramStart"/>
      <w:r w:rsidRPr="000D5D5A">
        <w:rPr>
          <w:rFonts w:ascii="Arial" w:hAnsi="Arial" w:cs="Arial"/>
          <w:sz w:val="20"/>
          <w:szCs w:val="20"/>
        </w:rPr>
        <w:t>Yojna:A</w:t>
      </w:r>
      <w:proofErr w:type="spellEnd"/>
      <w:proofErr w:type="gramEnd"/>
      <w:r w:rsidRPr="000D5D5A">
        <w:rPr>
          <w:rFonts w:ascii="Arial" w:hAnsi="Arial" w:cs="Arial"/>
          <w:sz w:val="20"/>
          <w:szCs w:val="20"/>
        </w:rPr>
        <w:t xml:space="preserve"> Critical Review. </w:t>
      </w:r>
      <w:proofErr w:type="spellStart"/>
      <w:r w:rsidRPr="000D5D5A">
        <w:rPr>
          <w:rFonts w:ascii="Arial" w:hAnsi="Arial" w:cs="Arial"/>
          <w:sz w:val="20"/>
          <w:szCs w:val="20"/>
        </w:rPr>
        <w:t>Parikalpana</w:t>
      </w:r>
      <w:proofErr w:type="spellEnd"/>
      <w:r w:rsidRPr="000D5D5A">
        <w:rPr>
          <w:rFonts w:ascii="Arial" w:hAnsi="Arial" w:cs="Arial"/>
          <w:sz w:val="20"/>
          <w:szCs w:val="20"/>
        </w:rPr>
        <w:t xml:space="preserve">: KIIT Journal of Management, 13, 97. </w:t>
      </w:r>
      <w:hyperlink r:id="rId15" w:history="1">
        <w:r w:rsidRPr="000D5D5A">
          <w:rPr>
            <w:rStyle w:val="Hyperlink"/>
            <w:rFonts w:ascii="Arial" w:hAnsi="Arial" w:cs="Arial"/>
            <w:sz w:val="20"/>
            <w:szCs w:val="20"/>
          </w:rPr>
          <w:t>https://doi.org/10.23862/kiit-parikalpana/2017/v13/i2/164524</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AlZoubi, M. (2021). Bank Capital Adequacy: The Impact </w:t>
      </w:r>
      <w:proofErr w:type="gramStart"/>
      <w:r w:rsidRPr="000D5D5A">
        <w:rPr>
          <w:rFonts w:ascii="Arial" w:hAnsi="Arial" w:cs="Arial"/>
          <w:sz w:val="20"/>
          <w:szCs w:val="20"/>
        </w:rPr>
        <w:t>Of</w:t>
      </w:r>
      <w:proofErr w:type="gramEnd"/>
      <w:r w:rsidRPr="000D5D5A">
        <w:rPr>
          <w:rFonts w:ascii="Arial" w:hAnsi="Arial" w:cs="Arial"/>
          <w:sz w:val="20"/>
          <w:szCs w:val="20"/>
        </w:rPr>
        <w:t xml:space="preserve"> Fundamental And Regulatory Factors In A Developing Country. Journal of Applied Business Research (JABR), 37(6), 205–216. https://doi.org/10.19030/jabr.v37i6.10395</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Bharti, U., &amp; Verma, M. (2023). Pradhan Mantri Mudra Yojana. Journal of Business Management and Information Systems, 10, 31–36. https://doi.org/10.48001/jbmis.2023.1001007</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Broby, D. (2022). The use of predictive analytics in finance. The Journal of Finance and Data Science, 8, 145–161. https://doi.org/10.1016/J.JFDS.2022.05.003</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Danci, A. R., Lazar, I. A., &amp; Mureșan, G. M. (2025). Financial analysis in the era of uncertainty: a comprehensive examination. Digital Finance, 1–25. https://doi.org/10.1007/S42521-025-00136-5/TABLES/3</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Gupta, S. K. (2022). Research Report on Financial Performance of MUDRA Yojna for the time period of 2015-2019. Asian Journal of Management, 13(3), 251–261. https://doi.org/10.52711/2321-5763.2022.00044</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Hasanaj, P., &amp; Kuqi, B. (2019). Analysis of Financial Statements. Humanities and Social Science Research, 2(2), p17–p17. </w:t>
      </w:r>
      <w:hyperlink r:id="rId16" w:history="1">
        <w:r w:rsidRPr="000D5D5A">
          <w:rPr>
            <w:rStyle w:val="Hyperlink"/>
            <w:rFonts w:ascii="Arial" w:hAnsi="Arial" w:cs="Arial"/>
            <w:sz w:val="20"/>
            <w:szCs w:val="20"/>
          </w:rPr>
          <w:t>https://doi.org/10.30560/HSSR.V2N2P17</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Mahajan, Yogesh, A Study and Review of Pradhan Mantri Mudra Yojana (</w:t>
      </w:r>
      <w:proofErr w:type="spellStart"/>
      <w:r w:rsidRPr="000D5D5A">
        <w:rPr>
          <w:rFonts w:ascii="Arial" w:hAnsi="Arial" w:cs="Arial"/>
          <w:sz w:val="20"/>
          <w:szCs w:val="20"/>
        </w:rPr>
        <w:t>Pmmy</w:t>
      </w:r>
      <w:proofErr w:type="spellEnd"/>
      <w:r w:rsidRPr="000D5D5A">
        <w:rPr>
          <w:rFonts w:ascii="Arial" w:hAnsi="Arial" w:cs="Arial"/>
          <w:sz w:val="20"/>
          <w:szCs w:val="20"/>
        </w:rPr>
        <w:t>) in the State of Maharashtra (June 15, 2019). International Journal of Advance and Innovative Research Volume 6, Issue 2(XVII): April -June, 2019, Available at SSRN: https://ssrn.com/abstract=3681243</w:t>
      </w:r>
    </w:p>
    <w:p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t>Padimani</w:t>
      </w:r>
      <w:proofErr w:type="spellEnd"/>
      <w:r w:rsidRPr="000D5D5A">
        <w:rPr>
          <w:rFonts w:ascii="Arial" w:hAnsi="Arial" w:cs="Arial"/>
          <w:sz w:val="20"/>
          <w:szCs w:val="20"/>
        </w:rPr>
        <w:t xml:space="preserve">, B. (2025). A Descriptive Analysis on Performance of P. M Mudra Yojana with Special Reference to Karnataka State. RESEARCH REVIEW International Journal of Multidisciplinary, 10(4), 54–62. </w:t>
      </w:r>
      <w:hyperlink r:id="rId17" w:history="1">
        <w:r w:rsidRPr="000D5D5A">
          <w:rPr>
            <w:rStyle w:val="Hyperlink"/>
            <w:rFonts w:ascii="Arial" w:hAnsi="Arial" w:cs="Arial"/>
            <w:sz w:val="20"/>
            <w:szCs w:val="20"/>
          </w:rPr>
          <w:t>https://doi.org/10.31305/RRIJM.2025.V10.N4.008</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Pushpender Kumar, Divya Nandrajog. The impact of Pradhan Mantri Mudra Yojana on the socioeconomic development of women in India: A study of Delhi-NCR. Asian Journal of Management. 2021;12(4):411-9. </w:t>
      </w:r>
      <w:proofErr w:type="spellStart"/>
      <w:r w:rsidRPr="000D5D5A">
        <w:rPr>
          <w:rFonts w:ascii="Arial" w:hAnsi="Arial" w:cs="Arial"/>
          <w:sz w:val="20"/>
          <w:szCs w:val="20"/>
        </w:rPr>
        <w:t>doi</w:t>
      </w:r>
      <w:proofErr w:type="spellEnd"/>
      <w:r w:rsidRPr="000D5D5A">
        <w:rPr>
          <w:rFonts w:ascii="Arial" w:hAnsi="Arial" w:cs="Arial"/>
          <w:sz w:val="20"/>
          <w:szCs w:val="20"/>
        </w:rPr>
        <w:t>: 10.52711/2321-5763.2021.00062</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Ravichandran G (2024), Payment banks — A new milestone for banking penetration in India, International Journal of Financial Engineering, 2014 Vol. 1 Issue 1 - 2015 Vol. 2 Issue 1</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Roy, Anup </w:t>
      </w:r>
      <w:proofErr w:type="gramStart"/>
      <w:r w:rsidRPr="000D5D5A">
        <w:rPr>
          <w:rFonts w:ascii="Arial" w:hAnsi="Arial" w:cs="Arial"/>
          <w:sz w:val="20"/>
          <w:szCs w:val="20"/>
        </w:rPr>
        <w:t>Kumar(</w:t>
      </w:r>
      <w:proofErr w:type="gramEnd"/>
      <w:r w:rsidRPr="000D5D5A">
        <w:rPr>
          <w:rFonts w:ascii="Arial" w:hAnsi="Arial" w:cs="Arial"/>
          <w:sz w:val="20"/>
          <w:szCs w:val="20"/>
        </w:rPr>
        <w:t xml:space="preserve">2016). “Mudra Yojana- A Strategic tool for Small Business Financing”, International </w:t>
      </w:r>
      <w:proofErr w:type="spellStart"/>
      <w:r w:rsidRPr="000D5D5A">
        <w:rPr>
          <w:rFonts w:ascii="Arial" w:hAnsi="Arial" w:cs="Arial"/>
          <w:sz w:val="20"/>
          <w:szCs w:val="20"/>
        </w:rPr>
        <w:t>Jopurnal</w:t>
      </w:r>
      <w:proofErr w:type="spellEnd"/>
      <w:r w:rsidRPr="000D5D5A">
        <w:rPr>
          <w:rFonts w:ascii="Arial" w:hAnsi="Arial" w:cs="Arial"/>
          <w:sz w:val="20"/>
          <w:szCs w:val="20"/>
        </w:rPr>
        <w:t xml:space="preserve"> of Advance Research in Computer Science and Management Studies, Vol.4, Issue 1, pp 68-72.</w:t>
      </w:r>
    </w:p>
    <w:p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lastRenderedPageBreak/>
        <w:t>Shenti</w:t>
      </w:r>
      <w:proofErr w:type="spellEnd"/>
      <w:r w:rsidRPr="000D5D5A">
        <w:rPr>
          <w:rFonts w:ascii="Arial" w:hAnsi="Arial" w:cs="Arial"/>
          <w:sz w:val="20"/>
          <w:szCs w:val="20"/>
        </w:rPr>
        <w:t xml:space="preserve"> Kumar. (2017). Impact of MUDRA Yojana on Financial Inclusion, International Journal of Science, Technology and Management, 6(1), 165-169.</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Sudarsana Murthy, D. (2016). Performance Evaluation of MSMEs - An Empirical Study. International Journal of Research and Development - A Management Review, 5(1), 77-82.</w:t>
      </w:r>
    </w:p>
    <w:p w:rsidR="000D5D5A" w:rsidRPr="001A33A9" w:rsidRDefault="000D5D5A" w:rsidP="000D5D5A">
      <w:pPr>
        <w:pStyle w:val="NormalWeb"/>
        <w:numPr>
          <w:ilvl w:val="0"/>
          <w:numId w:val="4"/>
        </w:numPr>
        <w:jc w:val="both"/>
        <w:rPr>
          <w:rFonts w:ascii="Arial" w:hAnsi="Arial" w:cs="Arial"/>
          <w:sz w:val="20"/>
          <w:szCs w:val="20"/>
        </w:rPr>
      </w:pPr>
      <w:r w:rsidRPr="000D5D5A">
        <w:rPr>
          <w:rFonts w:ascii="Arial" w:hAnsi="Arial" w:cs="Arial"/>
          <w:sz w:val="20"/>
          <w:szCs w:val="20"/>
        </w:rPr>
        <w:t xml:space="preserve">T, Avani (2016). “How the MUDRA Bank Helps SME’s to Grow”, International Journal of Research in Applied, Natural and Social Sciences, Vol.4, Issue 8, pp. 113-118. </w:t>
      </w:r>
    </w:p>
    <w:p w:rsidR="000D5D5A" w:rsidRPr="007577D6" w:rsidRDefault="00B2331D" w:rsidP="00B56C6D">
      <w:pPr>
        <w:pStyle w:val="ListParagraph"/>
        <w:numPr>
          <w:ilvl w:val="0"/>
          <w:numId w:val="5"/>
        </w:numPr>
        <w:spacing w:after="160"/>
        <w:rPr>
          <w:rFonts w:ascii="Times New Roman" w:hAnsi="Times New Roman"/>
          <w:sz w:val="24"/>
          <w:szCs w:val="24"/>
        </w:rPr>
      </w:pPr>
      <w:hyperlink r:id="rId18" w:history="1">
        <w:r w:rsidR="000D5D5A" w:rsidRPr="007577D6">
          <w:rPr>
            <w:rStyle w:val="Hyperlink"/>
            <w:rFonts w:ascii="Times New Roman" w:hAnsi="Times New Roman"/>
            <w:sz w:val="24"/>
            <w:szCs w:val="24"/>
          </w:rPr>
          <w:t>www.mudra.org.in</w:t>
        </w:r>
      </w:hyperlink>
    </w:p>
    <w:p w:rsidR="000D5D5A" w:rsidRPr="007577D6" w:rsidRDefault="00B2331D" w:rsidP="00B56C6D">
      <w:pPr>
        <w:pStyle w:val="ListParagraph"/>
        <w:numPr>
          <w:ilvl w:val="0"/>
          <w:numId w:val="5"/>
        </w:numPr>
        <w:spacing w:after="160"/>
        <w:rPr>
          <w:rFonts w:ascii="Times New Roman" w:hAnsi="Times New Roman"/>
          <w:sz w:val="24"/>
          <w:szCs w:val="24"/>
        </w:rPr>
      </w:pPr>
      <w:hyperlink r:id="rId19" w:history="1">
        <w:r w:rsidR="000D5D5A" w:rsidRPr="007577D6">
          <w:rPr>
            <w:rStyle w:val="Hyperlink"/>
            <w:rFonts w:ascii="Times New Roman" w:hAnsi="Times New Roman"/>
            <w:sz w:val="24"/>
            <w:szCs w:val="24"/>
          </w:rPr>
          <w:t>https://www.sidbi.in/</w:t>
        </w:r>
      </w:hyperlink>
    </w:p>
    <w:p w:rsidR="000D5D5A" w:rsidRPr="007577D6" w:rsidRDefault="00B2331D" w:rsidP="00B56C6D">
      <w:pPr>
        <w:pStyle w:val="ListParagraph"/>
        <w:numPr>
          <w:ilvl w:val="0"/>
          <w:numId w:val="5"/>
        </w:numPr>
        <w:spacing w:after="160"/>
        <w:rPr>
          <w:rFonts w:ascii="Times New Roman" w:hAnsi="Times New Roman"/>
          <w:sz w:val="24"/>
          <w:szCs w:val="24"/>
        </w:rPr>
      </w:pPr>
      <w:hyperlink r:id="rId20" w:history="1">
        <w:r w:rsidR="000D5D5A" w:rsidRPr="007577D6">
          <w:rPr>
            <w:rStyle w:val="Hyperlink"/>
            <w:rFonts w:ascii="Times New Roman" w:hAnsi="Times New Roman"/>
            <w:sz w:val="24"/>
            <w:szCs w:val="24"/>
          </w:rPr>
          <w:t>https://www.standupmitra.in/</w:t>
        </w:r>
      </w:hyperlink>
    </w:p>
    <w:p w:rsidR="000D5D5A" w:rsidRPr="007577D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financialservices.gov.in</w:t>
      </w:r>
    </w:p>
    <w:p w:rsidR="000D5D5A" w:rsidRPr="007577D6" w:rsidRDefault="00B2331D" w:rsidP="00B56C6D">
      <w:pPr>
        <w:pStyle w:val="ListParagraph"/>
        <w:numPr>
          <w:ilvl w:val="0"/>
          <w:numId w:val="5"/>
        </w:numPr>
        <w:spacing w:after="160"/>
        <w:rPr>
          <w:rFonts w:ascii="Times New Roman" w:hAnsi="Times New Roman"/>
          <w:sz w:val="24"/>
          <w:szCs w:val="24"/>
        </w:rPr>
      </w:pPr>
      <w:hyperlink r:id="rId21" w:history="1">
        <w:r w:rsidR="000D5D5A" w:rsidRPr="007577D6">
          <w:rPr>
            <w:rStyle w:val="Hyperlink"/>
            <w:rFonts w:ascii="Times New Roman" w:hAnsi="Times New Roman"/>
            <w:sz w:val="24"/>
            <w:szCs w:val="24"/>
          </w:rPr>
          <w:t>www.nabard.org</w:t>
        </w:r>
      </w:hyperlink>
    </w:p>
    <w:p w:rsidR="000D5D5A"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udyamimitra.in</w:t>
      </w:r>
    </w:p>
    <w:p w:rsidR="00790ADA" w:rsidRPr="00FD7F1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www.rbi.org.in</w:t>
      </w:r>
    </w:p>
    <w:sectPr w:rsidR="00790ADA" w:rsidRPr="00FD7F16" w:rsidSect="0094128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31D" w:rsidRDefault="00B2331D" w:rsidP="00C37E61">
      <w:r>
        <w:separator/>
      </w:r>
    </w:p>
  </w:endnote>
  <w:endnote w:type="continuationSeparator" w:id="0">
    <w:p w:rsidR="00B2331D" w:rsidRDefault="00B233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94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941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3" w:rsidRPr="00941280" w:rsidRDefault="00C15AA3" w:rsidP="0094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31D" w:rsidRDefault="00B2331D" w:rsidP="00C37E61">
      <w:r>
        <w:separator/>
      </w:r>
    </w:p>
  </w:footnote>
  <w:footnote w:type="continuationSeparator" w:id="0">
    <w:p w:rsidR="00B2331D" w:rsidRDefault="00B233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B23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B23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3" w:rsidRPr="00296529" w:rsidRDefault="00B2331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C15AA3" w:rsidRPr="00296529" w:rsidRDefault="00C15A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15AA3" w:rsidRPr="00296529" w:rsidRDefault="00C15AA3" w:rsidP="00296529">
    <w:pPr>
      <w:jc w:val="center"/>
      <w:rPr>
        <w:rFonts w:ascii="Times New Roman" w:eastAsia="Calibri" w:hAnsi="Times New Roman"/>
        <w:i/>
        <w:sz w:val="18"/>
        <w:szCs w:val="22"/>
      </w:rPr>
    </w:pPr>
    <w:r>
      <w:rPr>
        <w:rFonts w:ascii="Times New Roman" w:eastAsia="Calibri" w:hAnsi="Times New Roman"/>
        <w:i/>
        <w:sz w:val="18"/>
        <w:szCs w:val="22"/>
      </w:rPr>
      <w:t>.</w:t>
    </w:r>
  </w:p>
  <w:p w:rsidR="00C15AA3" w:rsidRPr="00296529" w:rsidRDefault="00C15A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15AA3" w:rsidRDefault="00C15A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15AA3" w:rsidRDefault="00C15A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15AA3" w:rsidRDefault="00C15AA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5C08"/>
    <w:multiLevelType w:val="hybridMultilevel"/>
    <w:tmpl w:val="27625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F0178"/>
    <w:multiLevelType w:val="hybridMultilevel"/>
    <w:tmpl w:val="22D8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4B3D"/>
    <w:multiLevelType w:val="hybridMultilevel"/>
    <w:tmpl w:val="16B8DDF6"/>
    <w:lvl w:ilvl="0" w:tplc="F08AA7E8">
      <w:start w:val="2"/>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613B4D72"/>
    <w:multiLevelType w:val="hybridMultilevel"/>
    <w:tmpl w:val="BAFCF61E"/>
    <w:lvl w:ilvl="0" w:tplc="40090001">
      <w:start w:val="1"/>
      <w:numFmt w:val="bullet"/>
      <w:lvlText w:val=""/>
      <w:lvlJc w:val="left"/>
      <w:pPr>
        <w:ind w:left="1080" w:hanging="72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45406B3"/>
    <w:multiLevelType w:val="hybridMultilevel"/>
    <w:tmpl w:val="42D4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9CD"/>
    <w:rsid w:val="000B1E33"/>
    <w:rsid w:val="000B4E2F"/>
    <w:rsid w:val="000D5D5A"/>
    <w:rsid w:val="000D689F"/>
    <w:rsid w:val="000E7B7B"/>
    <w:rsid w:val="000E7D62"/>
    <w:rsid w:val="00103357"/>
    <w:rsid w:val="00123C9F"/>
    <w:rsid w:val="00126190"/>
    <w:rsid w:val="00130F17"/>
    <w:rsid w:val="001320BF"/>
    <w:rsid w:val="00163BC4"/>
    <w:rsid w:val="00191062"/>
    <w:rsid w:val="00192B72"/>
    <w:rsid w:val="001A29D8"/>
    <w:rsid w:val="001A33A9"/>
    <w:rsid w:val="001A5CAA"/>
    <w:rsid w:val="001B0427"/>
    <w:rsid w:val="001D3A51"/>
    <w:rsid w:val="001E10D2"/>
    <w:rsid w:val="001E25B4"/>
    <w:rsid w:val="001E44FE"/>
    <w:rsid w:val="00200595"/>
    <w:rsid w:val="00204835"/>
    <w:rsid w:val="00231920"/>
    <w:rsid w:val="0023195C"/>
    <w:rsid w:val="00234C24"/>
    <w:rsid w:val="002405DF"/>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ABD"/>
    <w:rsid w:val="0039224F"/>
    <w:rsid w:val="003A43A4"/>
    <w:rsid w:val="003A7E18"/>
    <w:rsid w:val="003B44E4"/>
    <w:rsid w:val="003C4C86"/>
    <w:rsid w:val="003C6258"/>
    <w:rsid w:val="003E2904"/>
    <w:rsid w:val="00401927"/>
    <w:rsid w:val="00403B6D"/>
    <w:rsid w:val="0041027F"/>
    <w:rsid w:val="00412475"/>
    <w:rsid w:val="00423789"/>
    <w:rsid w:val="00440F43"/>
    <w:rsid w:val="00441B6F"/>
    <w:rsid w:val="00446221"/>
    <w:rsid w:val="00450E62"/>
    <w:rsid w:val="004539DB"/>
    <w:rsid w:val="004630CE"/>
    <w:rsid w:val="00471A80"/>
    <w:rsid w:val="004B7062"/>
    <w:rsid w:val="004D305E"/>
    <w:rsid w:val="004D4277"/>
    <w:rsid w:val="00502516"/>
    <w:rsid w:val="00505F06"/>
    <w:rsid w:val="00506828"/>
    <w:rsid w:val="0053056E"/>
    <w:rsid w:val="00554FDA"/>
    <w:rsid w:val="005C784C"/>
    <w:rsid w:val="005D17F6"/>
    <w:rsid w:val="005E5539"/>
    <w:rsid w:val="005E6418"/>
    <w:rsid w:val="00602BF5"/>
    <w:rsid w:val="00617FDD"/>
    <w:rsid w:val="00633614"/>
    <w:rsid w:val="00633F68"/>
    <w:rsid w:val="00636EB2"/>
    <w:rsid w:val="006375B8"/>
    <w:rsid w:val="0066510A"/>
    <w:rsid w:val="00673F9F"/>
    <w:rsid w:val="00681CBB"/>
    <w:rsid w:val="00686953"/>
    <w:rsid w:val="00687DEA"/>
    <w:rsid w:val="00687E67"/>
    <w:rsid w:val="0069265A"/>
    <w:rsid w:val="006967F7"/>
    <w:rsid w:val="006A0AF3"/>
    <w:rsid w:val="006A250C"/>
    <w:rsid w:val="006B21D3"/>
    <w:rsid w:val="006B57D0"/>
    <w:rsid w:val="006D30FF"/>
    <w:rsid w:val="006D6940"/>
    <w:rsid w:val="006F11EC"/>
    <w:rsid w:val="006F34FA"/>
    <w:rsid w:val="0070082C"/>
    <w:rsid w:val="007369E6"/>
    <w:rsid w:val="00746E59"/>
    <w:rsid w:val="00754C9A"/>
    <w:rsid w:val="0075599A"/>
    <w:rsid w:val="00761D52"/>
    <w:rsid w:val="0077749E"/>
    <w:rsid w:val="00790ADA"/>
    <w:rsid w:val="007A3D33"/>
    <w:rsid w:val="007D2288"/>
    <w:rsid w:val="007E088F"/>
    <w:rsid w:val="007F7B32"/>
    <w:rsid w:val="00804BC2"/>
    <w:rsid w:val="0081431A"/>
    <w:rsid w:val="0083216F"/>
    <w:rsid w:val="00834A54"/>
    <w:rsid w:val="00860000"/>
    <w:rsid w:val="00861D88"/>
    <w:rsid w:val="00863BD3"/>
    <w:rsid w:val="008641ED"/>
    <w:rsid w:val="00866D66"/>
    <w:rsid w:val="008671C6"/>
    <w:rsid w:val="00875803"/>
    <w:rsid w:val="008B459E"/>
    <w:rsid w:val="008E13AE"/>
    <w:rsid w:val="008E1506"/>
    <w:rsid w:val="008E710C"/>
    <w:rsid w:val="008F69D6"/>
    <w:rsid w:val="00902823"/>
    <w:rsid w:val="009068BB"/>
    <w:rsid w:val="00915CA6"/>
    <w:rsid w:val="0092717C"/>
    <w:rsid w:val="00927834"/>
    <w:rsid w:val="00941280"/>
    <w:rsid w:val="009500A6"/>
    <w:rsid w:val="00957C18"/>
    <w:rsid w:val="009659BA"/>
    <w:rsid w:val="00983040"/>
    <w:rsid w:val="009B3F90"/>
    <w:rsid w:val="009B3FB9"/>
    <w:rsid w:val="009C2465"/>
    <w:rsid w:val="009D35A0"/>
    <w:rsid w:val="009D7EB7"/>
    <w:rsid w:val="009E048A"/>
    <w:rsid w:val="009E08E9"/>
    <w:rsid w:val="009E3DB9"/>
    <w:rsid w:val="009E6E35"/>
    <w:rsid w:val="009F09E1"/>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18D"/>
    <w:rsid w:val="00AE008F"/>
    <w:rsid w:val="00AF5199"/>
    <w:rsid w:val="00B01FCD"/>
    <w:rsid w:val="00B1776C"/>
    <w:rsid w:val="00B2331D"/>
    <w:rsid w:val="00B52583"/>
    <w:rsid w:val="00B52896"/>
    <w:rsid w:val="00B56C6D"/>
    <w:rsid w:val="00B66EEA"/>
    <w:rsid w:val="00B95236"/>
    <w:rsid w:val="00B96BD9"/>
    <w:rsid w:val="00BA1B01"/>
    <w:rsid w:val="00BA2641"/>
    <w:rsid w:val="00BA5E21"/>
    <w:rsid w:val="00BB37AA"/>
    <w:rsid w:val="00BC53A0"/>
    <w:rsid w:val="00BE62AD"/>
    <w:rsid w:val="00BF121F"/>
    <w:rsid w:val="00BF1F80"/>
    <w:rsid w:val="00C15AA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90E"/>
    <w:rsid w:val="00D173F1"/>
    <w:rsid w:val="00D42AD4"/>
    <w:rsid w:val="00D63E52"/>
    <w:rsid w:val="00D74CB0"/>
    <w:rsid w:val="00D8295D"/>
    <w:rsid w:val="00DC2A65"/>
    <w:rsid w:val="00DE15F0"/>
    <w:rsid w:val="00DE5663"/>
    <w:rsid w:val="00DE78AA"/>
    <w:rsid w:val="00E053D0"/>
    <w:rsid w:val="00E15994"/>
    <w:rsid w:val="00E3114E"/>
    <w:rsid w:val="00E31A70"/>
    <w:rsid w:val="00E35B02"/>
    <w:rsid w:val="00E6214D"/>
    <w:rsid w:val="00E66496"/>
    <w:rsid w:val="00E66B35"/>
    <w:rsid w:val="00E66E10"/>
    <w:rsid w:val="00E769F6"/>
    <w:rsid w:val="00E8407C"/>
    <w:rsid w:val="00E84F3C"/>
    <w:rsid w:val="00EA012C"/>
    <w:rsid w:val="00EC6A55"/>
    <w:rsid w:val="00ED0288"/>
    <w:rsid w:val="00EE52CB"/>
    <w:rsid w:val="00EF581D"/>
    <w:rsid w:val="00EF7833"/>
    <w:rsid w:val="00EF7FD8"/>
    <w:rsid w:val="00F04044"/>
    <w:rsid w:val="00F06F59"/>
    <w:rsid w:val="00F17988"/>
    <w:rsid w:val="00F270ED"/>
    <w:rsid w:val="00F469F0"/>
    <w:rsid w:val="00F53273"/>
    <w:rsid w:val="00F67D08"/>
    <w:rsid w:val="00F755E4"/>
    <w:rsid w:val="00F77D02"/>
    <w:rsid w:val="00FA260B"/>
    <w:rsid w:val="00FB3A86"/>
    <w:rsid w:val="00FD36C8"/>
    <w:rsid w:val="00FD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C54A10B"/>
  <w15:docId w15:val="{53ACF609-C949-4E1B-B3A7-559DFBB3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0B09C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0B09C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3F9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B09CD"/>
    <w:pPr>
      <w:ind w:left="720"/>
      <w:contextualSpacing/>
    </w:pPr>
  </w:style>
  <w:style w:type="character" w:customStyle="1" w:styleId="Heading3Char">
    <w:name w:val="Heading 3 Char"/>
    <w:basedOn w:val="DefaultParagraphFont"/>
    <w:link w:val="Heading3"/>
    <w:uiPriority w:val="9"/>
    <w:rsid w:val="000B09CD"/>
    <w:rPr>
      <w:b/>
      <w:bCs/>
      <w:sz w:val="27"/>
      <w:szCs w:val="27"/>
    </w:rPr>
  </w:style>
  <w:style w:type="character" w:customStyle="1" w:styleId="Heading4Char">
    <w:name w:val="Heading 4 Char"/>
    <w:basedOn w:val="DefaultParagraphFont"/>
    <w:link w:val="Heading4"/>
    <w:uiPriority w:val="9"/>
    <w:rsid w:val="000B09CD"/>
    <w:rPr>
      <w:rFonts w:asciiTheme="majorHAnsi" w:eastAsiaTheme="majorEastAsia" w:hAnsiTheme="majorHAnsi" w:cstheme="majorBidi"/>
      <w:i/>
      <w:iCs/>
      <w:color w:val="365F91" w:themeColor="accent1" w:themeShade="BF"/>
      <w:sz w:val="22"/>
      <w:szCs w:val="22"/>
    </w:rPr>
  </w:style>
  <w:style w:type="character" w:styleId="PlaceholderText">
    <w:name w:val="Placeholder Text"/>
    <w:basedOn w:val="DefaultParagraphFont"/>
    <w:uiPriority w:val="99"/>
    <w:semiHidden/>
    <w:rsid w:val="000B09CD"/>
    <w:rPr>
      <w:color w:val="808080"/>
    </w:rPr>
  </w:style>
  <w:style w:type="character" w:customStyle="1" w:styleId="HeaderChar">
    <w:name w:val="Header Char"/>
    <w:basedOn w:val="DefaultParagraphFont"/>
    <w:link w:val="Header"/>
    <w:uiPriority w:val="99"/>
    <w:rsid w:val="000B09CD"/>
    <w:rPr>
      <w:rFonts w:ascii="Helvetica" w:hAnsi="Helvetica"/>
    </w:rPr>
  </w:style>
  <w:style w:type="character" w:customStyle="1" w:styleId="FooterChar">
    <w:name w:val="Footer Char"/>
    <w:basedOn w:val="DefaultParagraphFont"/>
    <w:link w:val="Footer"/>
    <w:uiPriority w:val="99"/>
    <w:rsid w:val="000B09CD"/>
    <w:rPr>
      <w:rFonts w:ascii="Helvetica" w:hAnsi="Helvetica"/>
    </w:rPr>
  </w:style>
  <w:style w:type="character" w:styleId="Strong">
    <w:name w:val="Strong"/>
    <w:basedOn w:val="DefaultParagraphFont"/>
    <w:uiPriority w:val="22"/>
    <w:qFormat/>
    <w:rsid w:val="000B09CD"/>
    <w:rPr>
      <w:b/>
      <w:bCs/>
    </w:rPr>
  </w:style>
  <w:style w:type="paragraph" w:customStyle="1" w:styleId="query-text-line">
    <w:name w:val="query-text-line"/>
    <w:basedOn w:val="Normal"/>
    <w:rsid w:val="000B09CD"/>
    <w:pPr>
      <w:spacing w:before="100" w:beforeAutospacing="1" w:after="100" w:afterAutospacing="1"/>
    </w:pPr>
    <w:rPr>
      <w:rFonts w:ascii="Times New Roman" w:hAnsi="Times New Roman"/>
      <w:sz w:val="24"/>
      <w:szCs w:val="24"/>
    </w:rPr>
  </w:style>
  <w:style w:type="paragraph" w:customStyle="1" w:styleId="msonormal0">
    <w:name w:val="msonormal"/>
    <w:basedOn w:val="Normal"/>
    <w:rsid w:val="000B09CD"/>
    <w:pPr>
      <w:spacing w:before="100" w:beforeAutospacing="1" w:after="100" w:afterAutospacing="1"/>
    </w:pPr>
    <w:rPr>
      <w:rFonts w:ascii="Times New Roman" w:eastAsiaTheme="minorEastAsia" w:hAnsi="Times New Roman"/>
      <w:sz w:val="24"/>
      <w:szCs w:val="24"/>
    </w:rPr>
  </w:style>
  <w:style w:type="paragraph" w:styleId="Bibliography">
    <w:name w:val="Bibliography"/>
    <w:basedOn w:val="Normal"/>
    <w:next w:val="Normal"/>
    <w:uiPriority w:val="37"/>
    <w:unhideWhenUsed/>
    <w:rsid w:val="000B09CD"/>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204335">
      <w:bodyDiv w:val="1"/>
      <w:marLeft w:val="0"/>
      <w:marRight w:val="0"/>
      <w:marTop w:val="0"/>
      <w:marBottom w:val="0"/>
      <w:divBdr>
        <w:top w:val="none" w:sz="0" w:space="0" w:color="auto"/>
        <w:left w:val="none" w:sz="0" w:space="0" w:color="auto"/>
        <w:bottom w:val="none" w:sz="0" w:space="0" w:color="auto"/>
        <w:right w:val="none" w:sz="0" w:space="0" w:color="auto"/>
      </w:divBdr>
    </w:div>
    <w:div w:id="149030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2994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86098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udra.org.in" TargetMode="External"/><Relationship Id="rId3" Type="http://schemas.openxmlformats.org/officeDocument/2006/relationships/styles" Target="styles.xml"/><Relationship Id="rId21" Type="http://schemas.openxmlformats.org/officeDocument/2006/relationships/hyperlink" Target="http://www.nabard.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305/RRIJM.2025.V10.N4.008" TargetMode="External"/><Relationship Id="rId2" Type="http://schemas.openxmlformats.org/officeDocument/2006/relationships/numbering" Target="numbering.xml"/><Relationship Id="rId16" Type="http://schemas.openxmlformats.org/officeDocument/2006/relationships/hyperlink" Target="https://doi.org/10.30560/HSSR.V2N2P17" TargetMode="External"/><Relationship Id="rId20" Type="http://schemas.openxmlformats.org/officeDocument/2006/relationships/hyperlink" Target="https://www.standupmit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862/kiit-parikalpana/2017/v13/i2/1645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idbi.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Workin%20Articles\mudr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Sheet1!$B$1:$B$2</c:f>
              <c:strCache>
                <c:ptCount val="2"/>
                <c:pt idx="0">
                  <c:v>Capital adequacy </c:v>
                </c:pt>
                <c:pt idx="1">
                  <c:v>CAGR </c:v>
                </c:pt>
              </c:strCache>
            </c:strRef>
          </c:tx>
          <c:spPr>
            <a:ln w="9525" cap="flat" cmpd="sng" algn="ctr">
              <a:solidFill>
                <a:schemeClr val="accent1">
                  <a:alpha val="70000"/>
                </a:schemeClr>
              </a:solid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xVal>
            <c:numRef>
              <c:f>Sheet1!$A$3:$A$11</c:f>
              <c:numCache>
                <c:formatCode>General</c:formatCode>
                <c:ptCount val="9"/>
                <c:pt idx="0">
                  <c:v>2016</c:v>
                </c:pt>
                <c:pt idx="1">
                  <c:v>2017</c:v>
                </c:pt>
                <c:pt idx="2">
                  <c:v>2018</c:v>
                </c:pt>
                <c:pt idx="3">
                  <c:v>2019</c:v>
                </c:pt>
                <c:pt idx="4">
                  <c:v>2020</c:v>
                </c:pt>
                <c:pt idx="5">
                  <c:v>2021</c:v>
                </c:pt>
                <c:pt idx="6">
                  <c:v>2022</c:v>
                </c:pt>
                <c:pt idx="7">
                  <c:v>2023</c:v>
                </c:pt>
                <c:pt idx="8">
                  <c:v>2024</c:v>
                </c:pt>
              </c:numCache>
            </c:numRef>
          </c:xVal>
          <c:yVal>
            <c:numRef>
              <c:f>Sheet1!$B$3:$B$11</c:f>
              <c:numCache>
                <c:formatCode>General</c:formatCode>
                <c:ptCount val="9"/>
                <c:pt idx="0">
                  <c:v>83.460000000000022</c:v>
                </c:pt>
                <c:pt idx="1">
                  <c:v>56.18</c:v>
                </c:pt>
                <c:pt idx="2">
                  <c:v>45.18</c:v>
                </c:pt>
                <c:pt idx="3">
                  <c:v>64.290000000000006</c:v>
                </c:pt>
                <c:pt idx="4">
                  <c:v>61.220000000000013</c:v>
                </c:pt>
                <c:pt idx="5">
                  <c:v>117.71000000000002</c:v>
                </c:pt>
                <c:pt idx="6">
                  <c:v>65.89</c:v>
                </c:pt>
                <c:pt idx="7">
                  <c:v>71.61</c:v>
                </c:pt>
                <c:pt idx="8">
                  <c:v>81.47</c:v>
                </c:pt>
              </c:numCache>
            </c:numRef>
          </c:yVal>
          <c:smooth val="0"/>
          <c:extLst>
            <c:ext xmlns:c16="http://schemas.microsoft.com/office/drawing/2014/chart" uri="{C3380CC4-5D6E-409C-BE32-E72D297353CC}">
              <c16:uniqueId val="{00000000-29AE-4AEA-94B1-0823A2F57EDE}"/>
            </c:ext>
          </c:extLst>
        </c:ser>
        <c:dLbls>
          <c:showLegendKey val="0"/>
          <c:showVal val="0"/>
          <c:showCatName val="0"/>
          <c:showSerName val="0"/>
          <c:showPercent val="0"/>
          <c:showBubbleSize val="0"/>
        </c:dLbls>
        <c:axId val="168308096"/>
        <c:axId val="169686528"/>
      </c:scatterChart>
      <c:valAx>
        <c:axId val="1683080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69686528"/>
        <c:crosses val="autoZero"/>
        <c:crossBetween val="midCat"/>
      </c:valAx>
      <c:valAx>
        <c:axId val="1696865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6830809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Sha22</b:Tag>
    <b:SourceType>JournalArticle</b:SourceType>
    <b:Guid>{A486ED4C-9982-4687-93A3-7041CC2CE298}</b:Guid>
    <b:Author>
      <b:Author>
        <b:NameList>
          <b:Person>
            <b:Last>S.</b:Last>
            <b:First>Shashank</b:First>
            <b:Middle>B.</b:Middle>
          </b:Person>
        </b:NameList>
      </b:Author>
    </b:Author>
    <b:Title>A Case Study on the Impacts of the Pradhan Mantri Mudra Yojana on the Banking Sector in India</b:Title>
    <b:JournalName>International Journal of Case Studies in Business IT and Education</b:JournalName>
    <b:Year>2022</b:Year>
    <b:Pages>2581-6942</b:Pages>
    <b:RefOrder>1</b:RefOrder>
  </b:Source>
</b:Sources>
</file>

<file path=customXml/itemProps1.xml><?xml version="1.0" encoding="utf-8"?>
<ds:datastoreItem xmlns:ds="http://schemas.openxmlformats.org/officeDocument/2006/customXml" ds:itemID="{23744C42-C7E3-4D74-90B5-78159D4D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15</Pages>
  <Words>5586</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146</cp:revision>
  <cp:lastPrinted>1999-07-06T11:00:00Z</cp:lastPrinted>
  <dcterms:created xsi:type="dcterms:W3CDTF">2014-10-25T14:34:00Z</dcterms:created>
  <dcterms:modified xsi:type="dcterms:W3CDTF">2025-10-09T12:12:00Z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b83c0402-0de7-4f29-b754-8d1d48a17819</vt:lpwstr>
  </property>
</Properties>
</file>