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238F9" w14:textId="17F4AB55" w:rsidR="00A22AB3" w:rsidRDefault="00A22AB3" w:rsidP="00A22AB3">
      <w:pPr>
        <w:jc w:val="center"/>
        <w:rPr>
          <w:rFonts w:ascii="Times New Roman" w:hAnsi="Times New Roman" w:cs="Times New Roman"/>
          <w:b/>
          <w:bCs/>
          <w:sz w:val="28"/>
          <w:szCs w:val="28"/>
        </w:rPr>
      </w:pPr>
      <w:r w:rsidRPr="00A22AB3">
        <w:rPr>
          <w:rFonts w:ascii="Times New Roman" w:hAnsi="Times New Roman" w:cs="Times New Roman"/>
          <w:b/>
          <w:bCs/>
          <w:sz w:val="28"/>
          <w:szCs w:val="28"/>
        </w:rPr>
        <w:t xml:space="preserve">Strategic Development of Commodity-Based Economic Zones: A Case Study of </w:t>
      </w:r>
      <w:proofErr w:type="spellStart"/>
      <w:r w:rsidRPr="00A22AB3">
        <w:rPr>
          <w:rFonts w:ascii="Times New Roman" w:hAnsi="Times New Roman" w:cs="Times New Roman"/>
          <w:b/>
          <w:bCs/>
          <w:sz w:val="28"/>
          <w:szCs w:val="28"/>
        </w:rPr>
        <w:t>Bebesen</w:t>
      </w:r>
      <w:proofErr w:type="spellEnd"/>
      <w:r w:rsidRPr="00A22AB3">
        <w:rPr>
          <w:rFonts w:ascii="Times New Roman" w:hAnsi="Times New Roman" w:cs="Times New Roman"/>
          <w:b/>
          <w:bCs/>
          <w:sz w:val="28"/>
          <w:szCs w:val="28"/>
        </w:rPr>
        <w:t xml:space="preserve"> </w:t>
      </w:r>
      <w:r w:rsidR="0059667B">
        <w:rPr>
          <w:rFonts w:ascii="Times New Roman" w:hAnsi="Times New Roman" w:cs="Times New Roman"/>
          <w:b/>
          <w:bCs/>
          <w:sz w:val="28"/>
          <w:szCs w:val="28"/>
        </w:rPr>
        <w:t>Dis</w:t>
      </w:r>
      <w:r w:rsidRPr="00A22AB3">
        <w:rPr>
          <w:rFonts w:ascii="Times New Roman" w:hAnsi="Times New Roman" w:cs="Times New Roman"/>
          <w:b/>
          <w:bCs/>
          <w:sz w:val="28"/>
          <w:szCs w:val="28"/>
        </w:rPr>
        <w:t>trict, Central Aceh, Indonesia</w:t>
      </w:r>
    </w:p>
    <w:p w14:paraId="006F07EC" w14:textId="77777777" w:rsidR="00E11EAC" w:rsidRPr="00A22AB3" w:rsidRDefault="00E11EAC" w:rsidP="00A22AB3">
      <w:pPr>
        <w:jc w:val="center"/>
        <w:rPr>
          <w:rFonts w:ascii="Times New Roman" w:hAnsi="Times New Roman" w:cs="Times New Roman"/>
          <w:b/>
          <w:bCs/>
          <w:sz w:val="28"/>
          <w:szCs w:val="28"/>
        </w:rPr>
      </w:pPr>
    </w:p>
    <w:p w14:paraId="0945216C" w14:textId="77777777" w:rsidR="00A22AB3" w:rsidRDefault="00A22AB3">
      <w:pPr>
        <w:rPr>
          <w:rFonts w:ascii="Times New Roman" w:hAnsi="Times New Roman" w:cs="Times New Roman"/>
        </w:rPr>
      </w:pPr>
    </w:p>
    <w:p w14:paraId="37C9065A" w14:textId="77777777" w:rsidR="00A22AB3" w:rsidRPr="00A22AB3" w:rsidRDefault="00A22AB3" w:rsidP="00A22AB3">
      <w:pPr>
        <w:jc w:val="center"/>
        <w:rPr>
          <w:rFonts w:ascii="Times New Roman" w:hAnsi="Times New Roman" w:cs="Times New Roman"/>
          <w:b/>
          <w:bCs/>
        </w:rPr>
      </w:pPr>
      <w:r w:rsidRPr="00A22AB3">
        <w:rPr>
          <w:rFonts w:ascii="Times New Roman" w:hAnsi="Times New Roman" w:cs="Times New Roman"/>
          <w:b/>
          <w:bCs/>
        </w:rPr>
        <w:t>Abstract</w:t>
      </w:r>
    </w:p>
    <w:p w14:paraId="36058309" w14:textId="04047CB6" w:rsidR="00A22AB3" w:rsidRPr="00A22AB3" w:rsidRDefault="00D36BBA" w:rsidP="00A22AB3">
      <w:pPr>
        <w:jc w:val="both"/>
        <w:rPr>
          <w:rFonts w:ascii="Times New Roman" w:hAnsi="Times New Roman" w:cs="Times New Roman"/>
        </w:rPr>
      </w:pPr>
      <w:proofErr w:type="spellStart"/>
      <w:r w:rsidRPr="00D36BBA">
        <w:rPr>
          <w:rFonts w:ascii="Times New Roman" w:hAnsi="Times New Roman" w:cs="Times New Roman"/>
          <w:highlight w:val="yellow"/>
        </w:rPr>
        <w:t>Bebesen</w:t>
      </w:r>
      <w:proofErr w:type="spellEnd"/>
      <w:r w:rsidRPr="00D36BBA">
        <w:rPr>
          <w:rFonts w:ascii="Times New Roman" w:hAnsi="Times New Roman" w:cs="Times New Roman"/>
          <w:highlight w:val="yellow"/>
        </w:rPr>
        <w:t xml:space="preserve"> District (Central Aceh Regency) has strong potential in horticulture and Gayo Arabica coffee, yet development is constrained by fluctuating productivity, technological gaps, and unstable market access. This study identifies leading commodities, classifies </w:t>
      </w:r>
      <w:proofErr w:type="spellStart"/>
      <w:r w:rsidRPr="00D36BBA">
        <w:rPr>
          <w:rFonts w:ascii="Times New Roman" w:hAnsi="Times New Roman" w:cs="Times New Roman"/>
          <w:highlight w:val="yellow"/>
        </w:rPr>
        <w:t>Bebesen’s</w:t>
      </w:r>
      <w:proofErr w:type="spellEnd"/>
      <w:r w:rsidRPr="00D36BBA">
        <w:rPr>
          <w:rFonts w:ascii="Times New Roman" w:hAnsi="Times New Roman" w:cs="Times New Roman"/>
          <w:highlight w:val="yellow"/>
        </w:rPr>
        <w:t xml:space="preserve"> sectoral position, and formulates actionable development pathways grounded in local economic strengths. A convergent mixed-methods design integrates quantitative diagnostics—Location Quotient (LQ), Klassen Typology, and quantitative SWOT—using 2019–2023 statistics from the Central Bureau of Statistics, with qualitative evidence from semi-structured interviews and a focused group discussion with farmers, traders, cooperatives, and local agencies. Results show five horticultural commodities—potatoes, cabbage, cauliflower, spring onions, and shallots—have LQ&gt;1, confirming base-sector status, while Gayo Arabica coffee exhibits declining productivity and is currently non-base. Klassen Typology places </w:t>
      </w:r>
      <w:proofErr w:type="spellStart"/>
      <w:r w:rsidRPr="00D36BBA">
        <w:rPr>
          <w:rFonts w:ascii="Times New Roman" w:hAnsi="Times New Roman" w:cs="Times New Roman"/>
          <w:highlight w:val="yellow"/>
        </w:rPr>
        <w:t>Bebesen</w:t>
      </w:r>
      <w:proofErr w:type="spellEnd"/>
      <w:r w:rsidRPr="00D36BBA">
        <w:rPr>
          <w:rFonts w:ascii="Times New Roman" w:hAnsi="Times New Roman" w:cs="Times New Roman"/>
          <w:highlight w:val="yellow"/>
        </w:rPr>
        <w:t xml:space="preserve"> in Quadrant I (advanced and fast-growing). Qualitative findings illuminate input bottlenecks, post-harvest losses, price-transmission frictions, and certification/market-linkage gaps that condition feasibility. Synthesizing both strands, the preferred strategy is an aggressive (SO) path emphasizing downstream integration for horticulture (storage, grading, processing), digital transformation of marketing, targeted revitalization of Gayo coffee, and selective agrotourism models. The integrated framework enhances value chains, strengthens regional branding, and positions </w:t>
      </w:r>
      <w:proofErr w:type="spellStart"/>
      <w:r w:rsidRPr="00D36BBA">
        <w:rPr>
          <w:rFonts w:ascii="Times New Roman" w:hAnsi="Times New Roman" w:cs="Times New Roman"/>
          <w:highlight w:val="yellow"/>
        </w:rPr>
        <w:t>Bebesen</w:t>
      </w:r>
      <w:proofErr w:type="spellEnd"/>
      <w:r w:rsidRPr="00D36BBA">
        <w:rPr>
          <w:rFonts w:ascii="Times New Roman" w:hAnsi="Times New Roman" w:cs="Times New Roman"/>
          <w:highlight w:val="yellow"/>
        </w:rPr>
        <w:t xml:space="preserve"> as a resilient, competitive commodity-based growth hub at regional and national scales</w:t>
      </w:r>
      <w:r w:rsidR="00A22AB3" w:rsidRPr="00D36BBA">
        <w:rPr>
          <w:rFonts w:ascii="Times New Roman" w:hAnsi="Times New Roman" w:cs="Times New Roman"/>
          <w:highlight w:val="yellow"/>
        </w:rPr>
        <w:t>.</w:t>
      </w:r>
    </w:p>
    <w:p w14:paraId="0C80D008" w14:textId="77777777" w:rsidR="00A22AB3" w:rsidRPr="00A22AB3" w:rsidRDefault="00A22AB3" w:rsidP="00A22AB3">
      <w:pPr>
        <w:rPr>
          <w:rFonts w:ascii="Times New Roman" w:hAnsi="Times New Roman" w:cs="Times New Roman"/>
        </w:rPr>
      </w:pPr>
      <w:r w:rsidRPr="00A22AB3">
        <w:rPr>
          <w:rFonts w:ascii="Times New Roman" w:hAnsi="Times New Roman" w:cs="Times New Roman"/>
          <w:b/>
          <w:bCs/>
        </w:rPr>
        <w:t>Keywords:</w:t>
      </w:r>
      <w:r w:rsidRPr="00A22AB3">
        <w:rPr>
          <w:rFonts w:ascii="Times New Roman" w:hAnsi="Times New Roman" w:cs="Times New Roman"/>
        </w:rPr>
        <w:t xml:space="preserve"> Leading commodities, horticulture, Gayo Arabica coffee, regional development strategy, SWOT analysis, economic zoning</w:t>
      </w:r>
    </w:p>
    <w:p w14:paraId="2BC81275" w14:textId="77777777" w:rsidR="00A22AB3" w:rsidRDefault="00A22AB3">
      <w:pPr>
        <w:rPr>
          <w:rFonts w:ascii="Times New Roman" w:hAnsi="Times New Roman" w:cs="Times New Roman"/>
        </w:rPr>
      </w:pPr>
    </w:p>
    <w:p w14:paraId="216B75FD" w14:textId="1933A99B" w:rsidR="00A22AB3" w:rsidRPr="00A22AB3" w:rsidRDefault="0059667B" w:rsidP="00A22AB3">
      <w:pPr>
        <w:rPr>
          <w:rFonts w:ascii="Times New Roman" w:hAnsi="Times New Roman" w:cs="Times New Roman"/>
          <w:b/>
          <w:bCs/>
        </w:rPr>
      </w:pPr>
      <w:r>
        <w:rPr>
          <w:rFonts w:ascii="Times New Roman" w:hAnsi="Times New Roman" w:cs="Times New Roman"/>
          <w:b/>
          <w:bCs/>
        </w:rPr>
        <w:t xml:space="preserve">I. </w:t>
      </w:r>
      <w:r w:rsidRPr="00A22AB3">
        <w:rPr>
          <w:rFonts w:ascii="Times New Roman" w:hAnsi="Times New Roman" w:cs="Times New Roman"/>
          <w:b/>
          <w:bCs/>
        </w:rPr>
        <w:t>INTRODUCTION</w:t>
      </w:r>
    </w:p>
    <w:p w14:paraId="329A3218" w14:textId="77777777" w:rsidR="00A22AB3" w:rsidRPr="00A22AB3" w:rsidRDefault="00A22AB3" w:rsidP="00A22AB3">
      <w:pPr>
        <w:jc w:val="both"/>
        <w:rPr>
          <w:rFonts w:ascii="Times New Roman" w:hAnsi="Times New Roman" w:cs="Times New Roman"/>
        </w:rPr>
      </w:pPr>
      <w:r w:rsidRPr="00A22AB3">
        <w:rPr>
          <w:rFonts w:ascii="Times New Roman" w:hAnsi="Times New Roman" w:cs="Times New Roman"/>
        </w:rPr>
        <w:t>Regional development remains a pivotal component in achieving national economic equity and sustainability. As decentralized governance gains momentum in developing countries, local governments are increasingly tasked with formulating growth strategies that align with their unique resource profiles (</w:t>
      </w:r>
      <w:proofErr w:type="spellStart"/>
      <w:r w:rsidRPr="00A22AB3">
        <w:rPr>
          <w:rFonts w:ascii="Times New Roman" w:hAnsi="Times New Roman" w:cs="Times New Roman"/>
        </w:rPr>
        <w:t>Tarigan</w:t>
      </w:r>
      <w:proofErr w:type="spellEnd"/>
      <w:r w:rsidRPr="00A22AB3">
        <w:rPr>
          <w:rFonts w:ascii="Times New Roman" w:hAnsi="Times New Roman" w:cs="Times New Roman"/>
        </w:rPr>
        <w:t>, 2005). In this context, place-based planning grounded in local comparative advantage has emerged as a dominant paradigm in regional development discourse. This approach emphasizes endogenous growth strategies tailored to local assets, institutions, and market dynamics (Rodríguez-Pose, 2013).</w:t>
      </w:r>
    </w:p>
    <w:p w14:paraId="60808B9F" w14:textId="77777777" w:rsidR="00A22AB3" w:rsidRPr="00A22AB3" w:rsidRDefault="00A22AB3" w:rsidP="00A22AB3">
      <w:pPr>
        <w:jc w:val="both"/>
        <w:rPr>
          <w:rFonts w:ascii="Times New Roman" w:hAnsi="Times New Roman" w:cs="Times New Roman"/>
        </w:rPr>
      </w:pPr>
      <w:r w:rsidRPr="00A22AB3">
        <w:rPr>
          <w:rFonts w:ascii="Times New Roman" w:hAnsi="Times New Roman" w:cs="Times New Roman"/>
        </w:rPr>
        <w:t>One such strategy gaining traction is the development of commodity-based economic zones, which leverage regionally dominant agricultural or industrial outputs. These zones serve as growth nodes that stimulate peripheral development through sectoral clustering and backward-</w:t>
      </w:r>
      <w:r w:rsidRPr="00A22AB3">
        <w:rPr>
          <w:rFonts w:ascii="Times New Roman" w:hAnsi="Times New Roman" w:cs="Times New Roman"/>
        </w:rPr>
        <w:lastRenderedPageBreak/>
        <w:t xml:space="preserve">forward linkages (Porter, 1990). The identification and strategic positioning of leading commodities, therefore, become central to spatial economic transformation in rural regions (Anwar &amp; </w:t>
      </w:r>
      <w:proofErr w:type="spellStart"/>
      <w:r w:rsidRPr="00A22AB3">
        <w:rPr>
          <w:rFonts w:ascii="Times New Roman" w:hAnsi="Times New Roman" w:cs="Times New Roman"/>
        </w:rPr>
        <w:t>Rustiadi</w:t>
      </w:r>
      <w:proofErr w:type="spellEnd"/>
      <w:r w:rsidRPr="00A22AB3">
        <w:rPr>
          <w:rFonts w:ascii="Times New Roman" w:hAnsi="Times New Roman" w:cs="Times New Roman"/>
        </w:rPr>
        <w:t>, 2000). However, such efforts often encounter structural constraints including market volatility, limited technology transfer, and institutional fragmentation (World Bank, 2021).</w:t>
      </w:r>
    </w:p>
    <w:p w14:paraId="3E7948D9" w14:textId="200073AA" w:rsidR="00A22AB3" w:rsidRPr="00A22AB3" w:rsidRDefault="006C630C" w:rsidP="00A22AB3">
      <w:pPr>
        <w:jc w:val="both"/>
        <w:rPr>
          <w:rFonts w:ascii="Times New Roman" w:hAnsi="Times New Roman" w:cs="Times New Roman"/>
        </w:rPr>
      </w:pPr>
      <w:r w:rsidRPr="00D36BBA">
        <w:rPr>
          <w:rFonts w:ascii="Times New Roman" w:hAnsi="Times New Roman" w:cs="Times New Roman"/>
          <w:highlight w:val="yellow"/>
        </w:rPr>
        <w:t xml:space="preserve">In Indonesia, commodity-based planning has been embedded within national and subnational development frameworks. Regulations such as Qanun No. 9/2009 in Aceh Tengah explicitly promote leveraging local agricultural assets to drive regional growth and call for integrating spatial planning, environmental sustainability, and agricultural revitalization. Yet, implementation at the district level often lacks strategic coherence due to limited empirical diagnostics and fragmented data </w:t>
      </w:r>
      <w:r w:rsidRPr="00D36BBA">
        <w:rPr>
          <w:rFonts w:ascii="Times New Roman" w:hAnsi="Times New Roman" w:cs="Times New Roman"/>
          <w:highlight w:val="yellow"/>
        </w:rPr>
        <w:t xml:space="preserve">as arga </w:t>
      </w:r>
      <w:proofErr w:type="spellStart"/>
      <w:r w:rsidRPr="00D36BBA">
        <w:rPr>
          <w:rFonts w:ascii="Times New Roman" w:hAnsi="Times New Roman" w:cs="Times New Roman"/>
          <w:highlight w:val="yellow"/>
        </w:rPr>
        <w:t>abdi</w:t>
      </w:r>
      <w:proofErr w:type="spellEnd"/>
      <w:r w:rsidRPr="00D36BBA">
        <w:rPr>
          <w:rFonts w:ascii="Times New Roman" w:hAnsi="Times New Roman" w:cs="Times New Roman"/>
          <w:highlight w:val="yellow"/>
        </w:rPr>
        <w:t xml:space="preserve"> </w:t>
      </w:r>
      <w:proofErr w:type="spellStart"/>
      <w:r w:rsidRPr="00D36BBA">
        <w:rPr>
          <w:rFonts w:ascii="Times New Roman" w:hAnsi="Times New Roman" w:cs="Times New Roman"/>
          <w:highlight w:val="yellow"/>
        </w:rPr>
        <w:t>rafiud</w:t>
      </w:r>
      <w:proofErr w:type="spellEnd"/>
      <w:r w:rsidRPr="00D36BBA">
        <w:rPr>
          <w:rFonts w:ascii="Times New Roman" w:hAnsi="Times New Roman" w:cs="Times New Roman"/>
          <w:highlight w:val="yellow"/>
        </w:rPr>
        <w:t xml:space="preserve"> </w:t>
      </w:r>
      <w:proofErr w:type="spellStart"/>
      <w:r w:rsidRPr="00D36BBA">
        <w:rPr>
          <w:rFonts w:ascii="Times New Roman" w:hAnsi="Times New Roman" w:cs="Times New Roman"/>
          <w:highlight w:val="yellow"/>
        </w:rPr>
        <w:t>darajat</w:t>
      </w:r>
      <w:proofErr w:type="spellEnd"/>
      <w:r w:rsidRPr="00D36BBA">
        <w:rPr>
          <w:rFonts w:ascii="Times New Roman" w:hAnsi="Times New Roman" w:cs="Times New Roman"/>
          <w:highlight w:val="yellow"/>
        </w:rPr>
        <w:t xml:space="preserve"> lubis research </w:t>
      </w:r>
      <w:r w:rsidRPr="00D36BBA">
        <w:rPr>
          <w:rFonts w:ascii="Times New Roman" w:hAnsi="Times New Roman" w:cs="Times New Roman"/>
          <w:highlight w:val="yellow"/>
        </w:rPr>
        <w:t xml:space="preserve">(Lubis, 2024). Aligning with this gap, evidence from Angkola </w:t>
      </w:r>
      <w:proofErr w:type="spellStart"/>
      <w:r w:rsidRPr="00D36BBA">
        <w:rPr>
          <w:rFonts w:ascii="Times New Roman" w:hAnsi="Times New Roman" w:cs="Times New Roman"/>
          <w:highlight w:val="yellow"/>
        </w:rPr>
        <w:t>Sangkunur</w:t>
      </w:r>
      <w:proofErr w:type="spellEnd"/>
      <w:r w:rsidRPr="00D36BBA">
        <w:rPr>
          <w:rFonts w:ascii="Times New Roman" w:hAnsi="Times New Roman" w:cs="Times New Roman"/>
          <w:highlight w:val="yellow"/>
        </w:rPr>
        <w:t xml:space="preserve"> (South Tapanuli) shows that strengthening technical cultivation practices and institutional arrangements significantly enhances rural development, whereas legal and environmental measures, though positive, are not yet statistically decisive, and labor-related adjustments can impose short-run costs (Lubis, 2024). These results suggest that commodity-based plans should prioritize capacity building in agronomic practices and local governance—while progressively improving legal, environmental, and labor frameworks—supported by better data systems to ensure coherent, evidence-led implementation</w:t>
      </w:r>
      <w:r w:rsidR="00A22AB3" w:rsidRPr="00D36BBA">
        <w:rPr>
          <w:rFonts w:ascii="Times New Roman" w:hAnsi="Times New Roman" w:cs="Times New Roman"/>
          <w:highlight w:val="yellow"/>
        </w:rPr>
        <w:t>.</w:t>
      </w:r>
    </w:p>
    <w:p w14:paraId="4DEC90DC" w14:textId="00F4CE56" w:rsidR="00A22AB3" w:rsidRPr="00A22AB3" w:rsidRDefault="00A22AB3" w:rsidP="00A22AB3">
      <w:pPr>
        <w:jc w:val="both"/>
        <w:rPr>
          <w:rFonts w:ascii="Times New Roman" w:hAnsi="Times New Roman" w:cs="Times New Roman"/>
        </w:rPr>
      </w:pPr>
      <w:proofErr w:type="spellStart"/>
      <w:r w:rsidRPr="00A22AB3">
        <w:rPr>
          <w:rFonts w:ascii="Times New Roman" w:hAnsi="Times New Roman" w:cs="Times New Roman"/>
        </w:rPr>
        <w:t>Kecamatan</w:t>
      </w:r>
      <w:proofErr w:type="spellEnd"/>
      <w:r w:rsidRPr="00A22AB3">
        <w:rPr>
          <w:rFonts w:ascii="Times New Roman" w:hAnsi="Times New Roman" w:cs="Times New Roman"/>
        </w:rPr>
        <w:t xml:space="preserve"> </w:t>
      </w:r>
      <w:proofErr w:type="spellStart"/>
      <w:r w:rsidRPr="00A22AB3">
        <w:rPr>
          <w:rFonts w:ascii="Times New Roman" w:hAnsi="Times New Roman" w:cs="Times New Roman"/>
        </w:rPr>
        <w:t>Bebesen</w:t>
      </w:r>
      <w:proofErr w:type="spellEnd"/>
      <w:r w:rsidRPr="00A22AB3">
        <w:rPr>
          <w:rFonts w:ascii="Times New Roman" w:hAnsi="Times New Roman" w:cs="Times New Roman"/>
        </w:rPr>
        <w:t xml:space="preserve"> (</w:t>
      </w:r>
      <w:proofErr w:type="spellStart"/>
      <w:r w:rsidRPr="00A22AB3">
        <w:rPr>
          <w:rFonts w:ascii="Times New Roman" w:hAnsi="Times New Roman" w:cs="Times New Roman"/>
        </w:rPr>
        <w:t>Bebesen</w:t>
      </w:r>
      <w:proofErr w:type="spellEnd"/>
      <w:r w:rsidRPr="00A22AB3">
        <w:rPr>
          <w:rFonts w:ascii="Times New Roman" w:hAnsi="Times New Roman" w:cs="Times New Roman"/>
        </w:rPr>
        <w:t xml:space="preserve"> </w:t>
      </w:r>
      <w:r w:rsidR="0059667B">
        <w:rPr>
          <w:rFonts w:ascii="Times New Roman" w:hAnsi="Times New Roman" w:cs="Times New Roman"/>
        </w:rPr>
        <w:t>Dis</w:t>
      </w:r>
      <w:r w:rsidRPr="00A22AB3">
        <w:rPr>
          <w:rFonts w:ascii="Times New Roman" w:hAnsi="Times New Roman" w:cs="Times New Roman"/>
        </w:rPr>
        <w:t xml:space="preserve">trict), located in Central Aceh, exemplifies a rural zone with latent economic potential. As part of the Gayo Highlands, </w:t>
      </w:r>
      <w:proofErr w:type="spellStart"/>
      <w:r w:rsidRPr="00A22AB3">
        <w:rPr>
          <w:rFonts w:ascii="Times New Roman" w:hAnsi="Times New Roman" w:cs="Times New Roman"/>
        </w:rPr>
        <w:t>Bebesen</w:t>
      </w:r>
      <w:proofErr w:type="spellEnd"/>
      <w:r w:rsidRPr="00A22AB3">
        <w:rPr>
          <w:rFonts w:ascii="Times New Roman" w:hAnsi="Times New Roman" w:cs="Times New Roman"/>
        </w:rPr>
        <w:t xml:space="preserve"> benefits from fertile soils, favorable agro-climatic conditions, and a strong tradition in highland agriculture—particularly horticulture and Arabica coffee (</w:t>
      </w:r>
      <w:proofErr w:type="spellStart"/>
      <w:r w:rsidRPr="00A22AB3">
        <w:rPr>
          <w:rFonts w:ascii="Times New Roman" w:hAnsi="Times New Roman" w:cs="Times New Roman"/>
        </w:rPr>
        <w:t>Zaputra</w:t>
      </w:r>
      <w:proofErr w:type="spellEnd"/>
      <w:r w:rsidRPr="00A22AB3">
        <w:rPr>
          <w:rFonts w:ascii="Times New Roman" w:hAnsi="Times New Roman" w:cs="Times New Roman"/>
        </w:rPr>
        <w:t xml:space="preserve"> &amp; Romano, 2013). The </w:t>
      </w:r>
      <w:r w:rsidR="0059667B">
        <w:rPr>
          <w:rFonts w:ascii="Times New Roman" w:hAnsi="Times New Roman" w:cs="Times New Roman"/>
        </w:rPr>
        <w:t>dis</w:t>
      </w:r>
      <w:r w:rsidRPr="00A22AB3">
        <w:rPr>
          <w:rFonts w:ascii="Times New Roman" w:hAnsi="Times New Roman" w:cs="Times New Roman"/>
        </w:rPr>
        <w:t xml:space="preserve">trict also holds demographic and geographic advantages, including high population density and proximity to the district capital, </w:t>
      </w:r>
      <w:proofErr w:type="spellStart"/>
      <w:r w:rsidRPr="00A22AB3">
        <w:rPr>
          <w:rFonts w:ascii="Times New Roman" w:hAnsi="Times New Roman" w:cs="Times New Roman"/>
        </w:rPr>
        <w:t>Takengon</w:t>
      </w:r>
      <w:proofErr w:type="spellEnd"/>
      <w:r w:rsidRPr="00A22AB3">
        <w:rPr>
          <w:rFonts w:ascii="Times New Roman" w:hAnsi="Times New Roman" w:cs="Times New Roman"/>
        </w:rPr>
        <w:t>. Despite these strengths, development remains hampered by uneven productivity, declining coffee yields, and underutilized post-harvest infrastructure (BPS Aceh Tengah, 2023).</w:t>
      </w:r>
    </w:p>
    <w:p w14:paraId="077E3492" w14:textId="3A55415F" w:rsidR="00A22AB3" w:rsidRPr="00A22AB3" w:rsidRDefault="00A22AB3" w:rsidP="00A22AB3">
      <w:pPr>
        <w:jc w:val="both"/>
        <w:rPr>
          <w:rFonts w:ascii="Times New Roman" w:hAnsi="Times New Roman" w:cs="Times New Roman"/>
        </w:rPr>
      </w:pPr>
      <w:r w:rsidRPr="00A22AB3">
        <w:rPr>
          <w:rFonts w:ascii="Times New Roman" w:hAnsi="Times New Roman" w:cs="Times New Roman"/>
        </w:rPr>
        <w:t xml:space="preserve">The prominence of Gayo Arabica coffee in </w:t>
      </w:r>
      <w:proofErr w:type="spellStart"/>
      <w:r w:rsidRPr="00A22AB3">
        <w:rPr>
          <w:rFonts w:ascii="Times New Roman" w:hAnsi="Times New Roman" w:cs="Times New Roman"/>
        </w:rPr>
        <w:t>Bebesen’s</w:t>
      </w:r>
      <w:proofErr w:type="spellEnd"/>
      <w:r w:rsidRPr="00A22AB3">
        <w:rPr>
          <w:rFonts w:ascii="Times New Roman" w:hAnsi="Times New Roman" w:cs="Times New Roman"/>
        </w:rPr>
        <w:t xml:space="preserve"> economy is historically significant. Recognized for its distinct flavor profile and awarded geographical indication (GI) status, Gayo coffee has become both a cultural identity and an economic mainstay in Central Aceh</w:t>
      </w:r>
      <w:r w:rsidR="006C630C">
        <w:rPr>
          <w:rFonts w:ascii="Times New Roman" w:hAnsi="Times New Roman" w:cs="Times New Roman"/>
        </w:rPr>
        <w:t xml:space="preserve">. </w:t>
      </w:r>
      <w:r w:rsidRPr="00A22AB3">
        <w:rPr>
          <w:rFonts w:ascii="Times New Roman" w:hAnsi="Times New Roman" w:cs="Times New Roman"/>
        </w:rPr>
        <w:t xml:space="preserve"> However, recent data suggests that coffee productivity in </w:t>
      </w:r>
      <w:proofErr w:type="spellStart"/>
      <w:r w:rsidRPr="00A22AB3">
        <w:rPr>
          <w:rFonts w:ascii="Times New Roman" w:hAnsi="Times New Roman" w:cs="Times New Roman"/>
        </w:rPr>
        <w:t>Bebesen</w:t>
      </w:r>
      <w:proofErr w:type="spellEnd"/>
      <w:r w:rsidRPr="00A22AB3">
        <w:rPr>
          <w:rFonts w:ascii="Times New Roman" w:hAnsi="Times New Roman" w:cs="Times New Roman"/>
        </w:rPr>
        <w:t xml:space="preserve"> has been declining due to aging trees, climate variability, and shifting labor dynamics</w:t>
      </w:r>
      <w:r w:rsidR="006C630C">
        <w:rPr>
          <w:rFonts w:ascii="Times New Roman" w:hAnsi="Times New Roman" w:cs="Times New Roman"/>
        </w:rPr>
        <w:t xml:space="preserve">. </w:t>
      </w:r>
      <w:r w:rsidRPr="00A22AB3">
        <w:rPr>
          <w:rFonts w:ascii="Times New Roman" w:hAnsi="Times New Roman" w:cs="Times New Roman"/>
        </w:rPr>
        <w:t>This decline underscores the need to reassess commodity prioritization and diversify economic strategies.</w:t>
      </w:r>
    </w:p>
    <w:p w14:paraId="0FB3870E" w14:textId="7E1F0DDD" w:rsidR="00A22AB3" w:rsidRPr="00A22AB3" w:rsidRDefault="00A22AB3" w:rsidP="00A22AB3">
      <w:pPr>
        <w:jc w:val="both"/>
        <w:rPr>
          <w:rFonts w:ascii="Times New Roman" w:hAnsi="Times New Roman" w:cs="Times New Roman"/>
        </w:rPr>
      </w:pPr>
      <w:r w:rsidRPr="00A22AB3">
        <w:rPr>
          <w:rFonts w:ascii="Times New Roman" w:hAnsi="Times New Roman" w:cs="Times New Roman"/>
        </w:rPr>
        <w:t xml:space="preserve">Alongside coffee, </w:t>
      </w:r>
      <w:proofErr w:type="spellStart"/>
      <w:r w:rsidRPr="00A22AB3">
        <w:rPr>
          <w:rFonts w:ascii="Times New Roman" w:hAnsi="Times New Roman" w:cs="Times New Roman"/>
        </w:rPr>
        <w:t>Bebesen</w:t>
      </w:r>
      <w:proofErr w:type="spellEnd"/>
      <w:r w:rsidRPr="00A22AB3">
        <w:rPr>
          <w:rFonts w:ascii="Times New Roman" w:hAnsi="Times New Roman" w:cs="Times New Roman"/>
        </w:rPr>
        <w:t xml:space="preserve"> is emerging as a center for highland horticulture, producing vegetables such as potatoes, cabbage, and shallots. Several of these commodities now exhibit superior Location Quotient (LQ) values, indicating their role as base sectors in the regional economy. Yet, the potential of these commodities remains untapped due to low levels of value-added processing and limited access to national distribution channels (</w:t>
      </w:r>
      <w:proofErr w:type="spellStart"/>
      <w:r w:rsidRPr="00A22AB3">
        <w:rPr>
          <w:rFonts w:ascii="Times New Roman" w:hAnsi="Times New Roman" w:cs="Times New Roman"/>
        </w:rPr>
        <w:t>Nurlina</w:t>
      </w:r>
      <w:proofErr w:type="spellEnd"/>
      <w:r w:rsidRPr="00A22AB3">
        <w:rPr>
          <w:rFonts w:ascii="Times New Roman" w:hAnsi="Times New Roman" w:cs="Times New Roman"/>
        </w:rPr>
        <w:t xml:space="preserve"> et al., 2023). This situation calls for integrated downstream strategies such as cold storage, packaging, and digital marketing systems.</w:t>
      </w:r>
    </w:p>
    <w:p w14:paraId="7550D888" w14:textId="77777777" w:rsidR="00A22AB3" w:rsidRPr="00A22AB3" w:rsidRDefault="00A22AB3" w:rsidP="00A22AB3">
      <w:pPr>
        <w:jc w:val="both"/>
        <w:rPr>
          <w:rFonts w:ascii="Times New Roman" w:hAnsi="Times New Roman" w:cs="Times New Roman"/>
        </w:rPr>
      </w:pPr>
      <w:r w:rsidRPr="00A22AB3">
        <w:rPr>
          <w:rFonts w:ascii="Times New Roman" w:hAnsi="Times New Roman" w:cs="Times New Roman"/>
        </w:rPr>
        <w:lastRenderedPageBreak/>
        <w:t>Theoretical frameworks such as the economic base theory and Klassen typology offer valuable tools for evaluating sectoral performance and regional competitiveness. The economic base theory posits that regional growth is driven by export-oriented sectors, which in turn stimulate local services through multiplier effects (Hoyt, 1954). Klassen’s typology, meanwhile, categorizes sectors based on their relative growth and contribution, allowing planners to prioritize interventions (</w:t>
      </w:r>
      <w:proofErr w:type="spellStart"/>
      <w:r w:rsidRPr="00A22AB3">
        <w:rPr>
          <w:rFonts w:ascii="Times New Roman" w:hAnsi="Times New Roman" w:cs="Times New Roman"/>
        </w:rPr>
        <w:t>Sjafrizal</w:t>
      </w:r>
      <w:proofErr w:type="spellEnd"/>
      <w:r w:rsidRPr="00A22AB3">
        <w:rPr>
          <w:rFonts w:ascii="Times New Roman" w:hAnsi="Times New Roman" w:cs="Times New Roman"/>
        </w:rPr>
        <w:t>, 2012). When combined with SWOT analysis, these tools enable the formulation of empirically grounded and context-specific development strategies.</w:t>
      </w:r>
    </w:p>
    <w:p w14:paraId="398FDF4E" w14:textId="77777777" w:rsidR="00A22AB3" w:rsidRPr="00A22AB3" w:rsidRDefault="00A22AB3" w:rsidP="00A22AB3">
      <w:pPr>
        <w:jc w:val="both"/>
        <w:rPr>
          <w:rFonts w:ascii="Times New Roman" w:hAnsi="Times New Roman" w:cs="Times New Roman"/>
        </w:rPr>
      </w:pPr>
      <w:r w:rsidRPr="00A22AB3">
        <w:rPr>
          <w:rFonts w:ascii="Times New Roman" w:hAnsi="Times New Roman" w:cs="Times New Roman"/>
        </w:rPr>
        <w:t>This study seeks to apply a comprehensive analytical framework to assess the strategic potential of Bebesen’s leading commodities. By employing Location Quotient (LQ), Klassen Typology, and SWOT analysis, the research aims to generate evidence-based insights for spatial-economic planning. The integration of quantitative data with qualitative stakeholder input provides a holistic view of both market dynamics and institutional readiness (Creswell &amp; Plano Clark, 2018). This approach ensures that proposed strategies are both technically sound and socially viable.</w:t>
      </w:r>
    </w:p>
    <w:p w14:paraId="5F767D97" w14:textId="2FD405CE" w:rsidR="00A22AB3" w:rsidRPr="00A22AB3" w:rsidRDefault="00A22AB3" w:rsidP="00A22AB3">
      <w:pPr>
        <w:jc w:val="both"/>
        <w:rPr>
          <w:rFonts w:ascii="Times New Roman" w:hAnsi="Times New Roman" w:cs="Times New Roman"/>
        </w:rPr>
      </w:pPr>
      <w:r w:rsidRPr="00A22AB3">
        <w:rPr>
          <w:rFonts w:ascii="Times New Roman" w:hAnsi="Times New Roman" w:cs="Times New Roman"/>
        </w:rPr>
        <w:t xml:space="preserve">The broader aim of this study is to reposition </w:t>
      </w:r>
      <w:proofErr w:type="spellStart"/>
      <w:r w:rsidRPr="00A22AB3">
        <w:rPr>
          <w:rFonts w:ascii="Times New Roman" w:hAnsi="Times New Roman" w:cs="Times New Roman"/>
        </w:rPr>
        <w:t>Bebesen</w:t>
      </w:r>
      <w:proofErr w:type="spellEnd"/>
      <w:r w:rsidRPr="00A22AB3">
        <w:rPr>
          <w:rFonts w:ascii="Times New Roman" w:hAnsi="Times New Roman" w:cs="Times New Roman"/>
        </w:rPr>
        <w:t xml:space="preserve"> not only as a production hub but as a fully integrated commodity-based economic zone. Through targeted interventions in value chains, market access, and institutional coordination, </w:t>
      </w:r>
      <w:proofErr w:type="spellStart"/>
      <w:r w:rsidRPr="00A22AB3">
        <w:rPr>
          <w:rFonts w:ascii="Times New Roman" w:hAnsi="Times New Roman" w:cs="Times New Roman"/>
        </w:rPr>
        <w:t>Bebesen</w:t>
      </w:r>
      <w:proofErr w:type="spellEnd"/>
      <w:r w:rsidRPr="00A22AB3">
        <w:rPr>
          <w:rFonts w:ascii="Times New Roman" w:hAnsi="Times New Roman" w:cs="Times New Roman"/>
        </w:rPr>
        <w:t xml:space="preserve"> has the potential to become a regional growth pole with national competitiveness. The findings are expected to inform policy at the district level and provide replicable models for other rural areas in Indonesia. Ultimately, this research contributes to the growing literature on rural transformation through place-based and commodity-centered development approaches (</w:t>
      </w:r>
      <w:r w:rsidR="00BE645B">
        <w:rPr>
          <w:rFonts w:ascii="Times New Roman" w:hAnsi="Times New Roman" w:cs="Times New Roman"/>
        </w:rPr>
        <w:t>Alfi, 2024</w:t>
      </w:r>
      <w:r w:rsidRPr="00A22AB3">
        <w:rPr>
          <w:rFonts w:ascii="Times New Roman" w:hAnsi="Times New Roman" w:cs="Times New Roman"/>
        </w:rPr>
        <w:t>).</w:t>
      </w:r>
    </w:p>
    <w:p w14:paraId="7907750C" w14:textId="77777777" w:rsidR="00A22AB3" w:rsidRDefault="00A22AB3">
      <w:pPr>
        <w:rPr>
          <w:rFonts w:ascii="Times New Roman" w:hAnsi="Times New Roman" w:cs="Times New Roman"/>
        </w:rPr>
      </w:pPr>
    </w:p>
    <w:p w14:paraId="6B6C2325" w14:textId="3A37E49F" w:rsidR="00A22AB3" w:rsidRPr="00A22AB3" w:rsidRDefault="0059667B" w:rsidP="00A22AB3">
      <w:pPr>
        <w:rPr>
          <w:rFonts w:ascii="Times New Roman" w:hAnsi="Times New Roman" w:cs="Times New Roman"/>
          <w:b/>
          <w:bCs/>
        </w:rPr>
      </w:pPr>
      <w:r>
        <w:rPr>
          <w:rFonts w:ascii="Times New Roman" w:hAnsi="Times New Roman" w:cs="Times New Roman"/>
          <w:b/>
          <w:bCs/>
        </w:rPr>
        <w:t xml:space="preserve">II. </w:t>
      </w:r>
      <w:r w:rsidRPr="00A22AB3">
        <w:rPr>
          <w:rFonts w:ascii="Times New Roman" w:hAnsi="Times New Roman" w:cs="Times New Roman"/>
          <w:b/>
          <w:bCs/>
        </w:rPr>
        <w:t>METHODS</w:t>
      </w:r>
    </w:p>
    <w:p w14:paraId="2E8D2CEA" w14:textId="6C5A33A8" w:rsidR="00A22AB3" w:rsidRPr="00A22AB3" w:rsidRDefault="00A22AB3" w:rsidP="0059667B">
      <w:pPr>
        <w:jc w:val="both"/>
        <w:rPr>
          <w:rFonts w:ascii="Times New Roman" w:hAnsi="Times New Roman" w:cs="Times New Roman"/>
        </w:rPr>
      </w:pPr>
      <w:r w:rsidRPr="00A22AB3">
        <w:rPr>
          <w:rFonts w:ascii="Times New Roman" w:hAnsi="Times New Roman" w:cs="Times New Roman"/>
        </w:rPr>
        <w:t xml:space="preserve">This study employs a convergent mixed-methods approach, combining quantitative economic analysis with qualitative stakeholder insights to formulate a strategic development framework for </w:t>
      </w:r>
      <w:proofErr w:type="spellStart"/>
      <w:r w:rsidRPr="00A22AB3">
        <w:rPr>
          <w:rFonts w:ascii="Times New Roman" w:hAnsi="Times New Roman" w:cs="Times New Roman"/>
        </w:rPr>
        <w:t>Bebesen</w:t>
      </w:r>
      <w:proofErr w:type="spellEnd"/>
      <w:r w:rsidRPr="00A22AB3">
        <w:rPr>
          <w:rFonts w:ascii="Times New Roman" w:hAnsi="Times New Roman" w:cs="Times New Roman"/>
        </w:rPr>
        <w:t xml:space="preserve"> </w:t>
      </w:r>
      <w:r w:rsidR="0059667B" w:rsidRPr="0059667B">
        <w:rPr>
          <w:rFonts w:ascii="Times New Roman" w:hAnsi="Times New Roman" w:cs="Times New Roman"/>
        </w:rPr>
        <w:t>Dis</w:t>
      </w:r>
      <w:r w:rsidRPr="00A22AB3">
        <w:rPr>
          <w:rFonts w:ascii="Times New Roman" w:hAnsi="Times New Roman" w:cs="Times New Roman"/>
        </w:rPr>
        <w:t>trict. The integration of statistical data and contextual narratives ensures that findings reflect both macroeconomic trends and localized realities, as suggested by Creswell and Plano Clark (2018). The methodology is designed to not only identify priority commodities but also to examine their development potential within a dynamic spatial-economic system.</w:t>
      </w:r>
    </w:p>
    <w:p w14:paraId="7900EB31" w14:textId="6F0333F9" w:rsidR="00A22AB3" w:rsidRPr="00A22AB3" w:rsidRDefault="0059667B" w:rsidP="00A22AB3">
      <w:pPr>
        <w:rPr>
          <w:rFonts w:ascii="Times New Roman" w:hAnsi="Times New Roman" w:cs="Times New Roman"/>
          <w:b/>
          <w:bCs/>
        </w:rPr>
      </w:pPr>
      <w:r>
        <w:rPr>
          <w:rFonts w:ascii="Times New Roman" w:hAnsi="Times New Roman" w:cs="Times New Roman"/>
          <w:b/>
          <w:bCs/>
        </w:rPr>
        <w:t>2.</w:t>
      </w:r>
      <w:r w:rsidR="00A22AB3" w:rsidRPr="00A22AB3">
        <w:rPr>
          <w:rFonts w:ascii="Times New Roman" w:hAnsi="Times New Roman" w:cs="Times New Roman"/>
          <w:b/>
          <w:bCs/>
        </w:rPr>
        <w:t>1 Research Location and Context</w:t>
      </w:r>
    </w:p>
    <w:p w14:paraId="334B9D01" w14:textId="61C0AA09" w:rsidR="00A22AB3" w:rsidRPr="00A22AB3" w:rsidRDefault="00D36BBA" w:rsidP="0059667B">
      <w:pPr>
        <w:jc w:val="both"/>
        <w:rPr>
          <w:rFonts w:ascii="Times New Roman" w:hAnsi="Times New Roman" w:cs="Times New Roman"/>
        </w:rPr>
      </w:pPr>
      <w:r w:rsidRPr="00D36BBA">
        <w:rPr>
          <w:rFonts w:ascii="Times New Roman" w:hAnsi="Times New Roman" w:cs="Times New Roman"/>
          <w:highlight w:val="yellow"/>
        </w:rPr>
        <w:t xml:space="preserve">This study employs a </w:t>
      </w:r>
      <w:r w:rsidRPr="00D36BBA">
        <w:rPr>
          <w:rFonts w:ascii="Times New Roman" w:hAnsi="Times New Roman" w:cs="Times New Roman"/>
          <w:b/>
          <w:bCs/>
          <w:highlight w:val="yellow"/>
        </w:rPr>
        <w:t>convergent mixed-methods</w:t>
      </w:r>
      <w:r w:rsidRPr="00D36BBA">
        <w:rPr>
          <w:rFonts w:ascii="Times New Roman" w:hAnsi="Times New Roman" w:cs="Times New Roman"/>
          <w:highlight w:val="yellow"/>
        </w:rPr>
        <w:t xml:space="preserve"> design (Creswell &amp; Plano Clark, 2018): quantitative and qualitative strands are conducted in parallel, analyzed separately, and then integrated to produce meta-inferences and a strategic development framework for </w:t>
      </w:r>
      <w:proofErr w:type="spellStart"/>
      <w:r w:rsidRPr="00D36BBA">
        <w:rPr>
          <w:rFonts w:ascii="Times New Roman" w:hAnsi="Times New Roman" w:cs="Times New Roman"/>
          <w:highlight w:val="yellow"/>
        </w:rPr>
        <w:t>Kecamatan</w:t>
      </w:r>
      <w:proofErr w:type="spellEnd"/>
      <w:r w:rsidRPr="00D36BBA">
        <w:rPr>
          <w:rFonts w:ascii="Times New Roman" w:hAnsi="Times New Roman" w:cs="Times New Roman"/>
          <w:highlight w:val="yellow"/>
        </w:rPr>
        <w:t xml:space="preserve"> </w:t>
      </w:r>
      <w:proofErr w:type="spellStart"/>
      <w:r w:rsidRPr="00D36BBA">
        <w:rPr>
          <w:rFonts w:ascii="Times New Roman" w:hAnsi="Times New Roman" w:cs="Times New Roman"/>
          <w:highlight w:val="yellow"/>
        </w:rPr>
        <w:t>Bebesan</w:t>
      </w:r>
      <w:proofErr w:type="spellEnd"/>
      <w:r w:rsidRPr="00D36BBA">
        <w:rPr>
          <w:rFonts w:ascii="Times New Roman" w:hAnsi="Times New Roman" w:cs="Times New Roman"/>
          <w:highlight w:val="yellow"/>
        </w:rPr>
        <w:t>. The quantitative strand identifies priority commodities and development trajectories using secondary statistics; the qualitative strand interrogates feasibility, risks, and enabling conditions via stakeholder perspectives. Integration is achieved through side-by-side joint displays and decision rules that reconcile convergent or divergent evidence</w:t>
      </w:r>
      <w:r w:rsidR="00A22AB3" w:rsidRPr="00D36BBA">
        <w:rPr>
          <w:rFonts w:ascii="Times New Roman" w:hAnsi="Times New Roman" w:cs="Times New Roman"/>
          <w:highlight w:val="yellow"/>
        </w:rPr>
        <w:t>.</w:t>
      </w:r>
    </w:p>
    <w:p w14:paraId="76D2FFE8" w14:textId="77777777" w:rsidR="00A22AB3" w:rsidRPr="00A22AB3" w:rsidRDefault="00A22AB3" w:rsidP="00A22AB3">
      <w:pPr>
        <w:rPr>
          <w:rFonts w:ascii="Times New Roman" w:hAnsi="Times New Roman" w:cs="Times New Roman"/>
          <w:b/>
          <w:bCs/>
        </w:rPr>
      </w:pPr>
      <w:r w:rsidRPr="00A22AB3">
        <w:rPr>
          <w:rFonts w:ascii="Times New Roman" w:hAnsi="Times New Roman" w:cs="Times New Roman"/>
          <w:b/>
          <w:bCs/>
        </w:rPr>
        <w:t>2. Data Sources</w:t>
      </w:r>
    </w:p>
    <w:p w14:paraId="17B0719A" w14:textId="77777777" w:rsidR="00A22AB3" w:rsidRPr="00A22AB3" w:rsidRDefault="00A22AB3" w:rsidP="0059667B">
      <w:pPr>
        <w:jc w:val="both"/>
        <w:rPr>
          <w:rFonts w:ascii="Times New Roman" w:hAnsi="Times New Roman" w:cs="Times New Roman"/>
        </w:rPr>
      </w:pPr>
      <w:r w:rsidRPr="00A22AB3">
        <w:rPr>
          <w:rFonts w:ascii="Times New Roman" w:hAnsi="Times New Roman" w:cs="Times New Roman"/>
        </w:rPr>
        <w:t>The study draws upon both primary and secondary data.</w:t>
      </w:r>
    </w:p>
    <w:p w14:paraId="7467F036" w14:textId="77777777" w:rsidR="00A22AB3" w:rsidRDefault="00A22AB3" w:rsidP="0059667B">
      <w:pPr>
        <w:numPr>
          <w:ilvl w:val="0"/>
          <w:numId w:val="1"/>
        </w:numPr>
        <w:jc w:val="both"/>
        <w:rPr>
          <w:rFonts w:ascii="Times New Roman" w:hAnsi="Times New Roman" w:cs="Times New Roman"/>
        </w:rPr>
      </w:pPr>
      <w:r w:rsidRPr="00A22AB3">
        <w:rPr>
          <w:rFonts w:ascii="Times New Roman" w:hAnsi="Times New Roman" w:cs="Times New Roman"/>
        </w:rPr>
        <w:lastRenderedPageBreak/>
        <w:t>Primary data were collected through semi-structured interviews with local stakeholders, including farmers, cooperatives, government officials, and agribusiness actors. The interviews aimed to uncover perceptions regarding key constraints, development opportunities, and policy effectiveness.</w:t>
      </w:r>
    </w:p>
    <w:p w14:paraId="19877136" w14:textId="4097B1A9" w:rsidR="0059667B" w:rsidRPr="00A22AB3" w:rsidRDefault="0059667B" w:rsidP="0059667B">
      <w:pPr>
        <w:numPr>
          <w:ilvl w:val="0"/>
          <w:numId w:val="1"/>
        </w:numPr>
        <w:jc w:val="both"/>
        <w:rPr>
          <w:rFonts w:ascii="Times New Roman" w:hAnsi="Times New Roman" w:cs="Times New Roman"/>
        </w:rPr>
      </w:pPr>
      <w:r w:rsidRPr="00A22AB3">
        <w:rPr>
          <w:rFonts w:ascii="Times New Roman" w:hAnsi="Times New Roman" w:cs="Times New Roman"/>
        </w:rPr>
        <w:t>Secondary data were sourced from the Central Bureau of Statistics (BPS) Aceh Tengah, covering the years 2019 to 2023, and include datasets on commodity production, land area, labor force, and Gross Regional Domestic Product (GRDP).</w:t>
      </w:r>
    </w:p>
    <w:p w14:paraId="5277402D" w14:textId="77777777" w:rsidR="00A22AB3" w:rsidRPr="00A22AB3" w:rsidRDefault="00A22AB3" w:rsidP="0059667B">
      <w:pPr>
        <w:jc w:val="both"/>
        <w:rPr>
          <w:rFonts w:ascii="Times New Roman" w:hAnsi="Times New Roman" w:cs="Times New Roman"/>
        </w:rPr>
      </w:pPr>
      <w:r w:rsidRPr="00A22AB3">
        <w:rPr>
          <w:rFonts w:ascii="Times New Roman" w:hAnsi="Times New Roman" w:cs="Times New Roman"/>
        </w:rPr>
        <w:t>Purposive sampling was used to select 100 respondents, ensuring representation from both institutional actors and community members. The Slovin formula was applied to determine the minimum sample size with a confidence level of 90% and a margin of error of 10% (</w:t>
      </w:r>
      <w:proofErr w:type="spellStart"/>
      <w:r w:rsidRPr="00A22AB3">
        <w:rPr>
          <w:rFonts w:ascii="Times New Roman" w:hAnsi="Times New Roman" w:cs="Times New Roman"/>
        </w:rPr>
        <w:t>Koentjaraningrat</w:t>
      </w:r>
      <w:proofErr w:type="spellEnd"/>
      <w:r w:rsidRPr="00A22AB3">
        <w:rPr>
          <w:rFonts w:ascii="Times New Roman" w:hAnsi="Times New Roman" w:cs="Times New Roman"/>
        </w:rPr>
        <w:t>, 1987).</w:t>
      </w:r>
    </w:p>
    <w:p w14:paraId="43E5E23A" w14:textId="5EAD5C7E" w:rsidR="00A22AB3" w:rsidRPr="00A22AB3" w:rsidRDefault="0059667B" w:rsidP="00A22AB3">
      <w:pPr>
        <w:rPr>
          <w:rFonts w:ascii="Times New Roman" w:hAnsi="Times New Roman" w:cs="Times New Roman"/>
          <w:b/>
          <w:bCs/>
        </w:rPr>
      </w:pPr>
      <w:r>
        <w:rPr>
          <w:rFonts w:ascii="Times New Roman" w:hAnsi="Times New Roman" w:cs="Times New Roman"/>
          <w:b/>
          <w:bCs/>
        </w:rPr>
        <w:t>2.</w:t>
      </w:r>
      <w:r w:rsidR="00A22AB3" w:rsidRPr="00A22AB3">
        <w:rPr>
          <w:rFonts w:ascii="Times New Roman" w:hAnsi="Times New Roman" w:cs="Times New Roman"/>
          <w:b/>
          <w:bCs/>
        </w:rPr>
        <w:t>3 Analytical Techniques</w:t>
      </w:r>
    </w:p>
    <w:p w14:paraId="6524A9C7" w14:textId="7FA1934D" w:rsidR="00A22AB3" w:rsidRPr="00A22AB3" w:rsidRDefault="00A22AB3" w:rsidP="00A22AB3">
      <w:pPr>
        <w:rPr>
          <w:rFonts w:ascii="Times New Roman" w:hAnsi="Times New Roman" w:cs="Times New Roman"/>
        </w:rPr>
      </w:pPr>
      <w:r w:rsidRPr="00A22AB3">
        <w:rPr>
          <w:rFonts w:ascii="Times New Roman" w:hAnsi="Times New Roman" w:cs="Times New Roman"/>
        </w:rPr>
        <w:t xml:space="preserve">The study integrates three main analytical tools to evaluate the </w:t>
      </w:r>
      <w:r w:rsidR="0059667B">
        <w:rPr>
          <w:rFonts w:ascii="Times New Roman" w:hAnsi="Times New Roman" w:cs="Times New Roman"/>
        </w:rPr>
        <w:t>dis</w:t>
      </w:r>
      <w:r w:rsidRPr="00A22AB3">
        <w:rPr>
          <w:rFonts w:ascii="Times New Roman" w:hAnsi="Times New Roman" w:cs="Times New Roman"/>
        </w:rPr>
        <w:t>trict's economic structure and formulate a development strategy:</w:t>
      </w:r>
    </w:p>
    <w:p w14:paraId="4A9227E9" w14:textId="77777777" w:rsidR="00A22AB3" w:rsidRPr="00A22AB3" w:rsidRDefault="00A22AB3" w:rsidP="00A22AB3">
      <w:pPr>
        <w:rPr>
          <w:rFonts w:ascii="Times New Roman" w:hAnsi="Times New Roman" w:cs="Times New Roman"/>
          <w:b/>
          <w:bCs/>
        </w:rPr>
      </w:pPr>
      <w:r w:rsidRPr="00A22AB3">
        <w:rPr>
          <w:rFonts w:ascii="Times New Roman" w:hAnsi="Times New Roman" w:cs="Times New Roman"/>
          <w:b/>
          <w:bCs/>
        </w:rPr>
        <w:t>a. Location Quotient (LQ)</w:t>
      </w:r>
    </w:p>
    <w:p w14:paraId="6411EFB5" w14:textId="77777777" w:rsidR="00A22AB3" w:rsidRDefault="00A22AB3" w:rsidP="0059667B">
      <w:pPr>
        <w:jc w:val="both"/>
        <w:rPr>
          <w:rFonts w:ascii="Times New Roman" w:hAnsi="Times New Roman" w:cs="Times New Roman"/>
        </w:rPr>
      </w:pPr>
      <w:r w:rsidRPr="00A22AB3">
        <w:rPr>
          <w:rFonts w:ascii="Times New Roman" w:hAnsi="Times New Roman" w:cs="Times New Roman"/>
        </w:rPr>
        <w:t xml:space="preserve">LQ analysis measures the relative specialization of a sector or commodity in </w:t>
      </w:r>
      <w:proofErr w:type="spellStart"/>
      <w:r w:rsidRPr="00A22AB3">
        <w:rPr>
          <w:rFonts w:ascii="Times New Roman" w:hAnsi="Times New Roman" w:cs="Times New Roman"/>
        </w:rPr>
        <w:t>Bebesen</w:t>
      </w:r>
      <w:proofErr w:type="spellEnd"/>
      <w:r w:rsidRPr="00A22AB3">
        <w:rPr>
          <w:rFonts w:ascii="Times New Roman" w:hAnsi="Times New Roman" w:cs="Times New Roman"/>
        </w:rPr>
        <w:t xml:space="preserve"> compared to the larger Central Aceh economy.</w:t>
      </w:r>
      <w:r w:rsidRPr="00A22AB3">
        <w:rPr>
          <w:rFonts w:ascii="Times New Roman" w:hAnsi="Times New Roman" w:cs="Times New Roman"/>
        </w:rPr>
        <w:br/>
        <w:t>The LQ formula is as follows:</w:t>
      </w:r>
    </w:p>
    <w:p w14:paraId="1EA06E9C" w14:textId="77777777" w:rsidR="007F399D" w:rsidRDefault="007F399D" w:rsidP="0059667B">
      <w:pPr>
        <w:jc w:val="both"/>
        <w:rPr>
          <w:rFonts w:ascii="Times New Roman" w:hAnsi="Times New Roman" w:cs="Times New Roman"/>
        </w:rPr>
      </w:pPr>
    </w:p>
    <w:p w14:paraId="60D3AB2A" w14:textId="4469E6DC" w:rsidR="007F399D" w:rsidRPr="00A22AB3" w:rsidRDefault="007F399D" w:rsidP="0059667B">
      <w:pPr>
        <w:jc w:val="both"/>
        <w:rPr>
          <w:rFonts w:ascii="Times New Roman" w:hAnsi="Times New Roman" w:cs="Times New Roman"/>
        </w:rPr>
      </w:pPr>
      <m:oMathPara>
        <m:oMath>
          <m:r>
            <w:rPr>
              <w:rFonts w:ascii="Cambria Math" w:hAnsi="Cambria Math" w:cs="Times New Roman"/>
              <w:highlight w:val="yellow"/>
            </w:rPr>
            <m:t xml:space="preserve">LQ= </m:t>
          </m:r>
          <m:f>
            <m:fPr>
              <m:ctrlPr>
                <w:rPr>
                  <w:rFonts w:ascii="Cambria Math" w:hAnsi="Cambria Math" w:cs="Times New Roman"/>
                  <w:i/>
                  <w:highlight w:val="yellow"/>
                </w:rPr>
              </m:ctrlPr>
            </m:fPr>
            <m:num>
              <m:f>
                <m:fPr>
                  <m:ctrlPr>
                    <w:rPr>
                      <w:rFonts w:ascii="Cambria Math" w:hAnsi="Cambria Math" w:cs="Times New Roman"/>
                      <w:i/>
                      <w:highlight w:val="yellow"/>
                    </w:rPr>
                  </m:ctrlPr>
                </m:fPr>
                <m:num>
                  <m:sSub>
                    <m:sSubPr>
                      <m:ctrlPr>
                        <w:rPr>
                          <w:rFonts w:ascii="Cambria Math" w:hAnsi="Cambria Math" w:cs="Times New Roman"/>
                          <w:i/>
                          <w:highlight w:val="yellow"/>
                        </w:rPr>
                      </m:ctrlPr>
                    </m:sSubPr>
                    <m:e>
                      <m:r>
                        <w:rPr>
                          <w:rFonts w:ascii="Cambria Math" w:hAnsi="Cambria Math" w:cs="Times New Roman"/>
                          <w:highlight w:val="yellow"/>
                        </w:rPr>
                        <m:t>p</m:t>
                      </m:r>
                    </m:e>
                    <m:sub>
                      <m:r>
                        <w:rPr>
                          <w:rFonts w:ascii="Cambria Math" w:hAnsi="Cambria Math" w:cs="Times New Roman"/>
                          <w:highlight w:val="yellow"/>
                        </w:rPr>
                        <m:t>i</m:t>
                      </m:r>
                    </m:sub>
                  </m:sSub>
                </m:num>
                <m:den>
                  <m:sSub>
                    <m:sSubPr>
                      <m:ctrlPr>
                        <w:rPr>
                          <w:rFonts w:ascii="Cambria Math" w:hAnsi="Cambria Math" w:cs="Times New Roman"/>
                          <w:i/>
                          <w:highlight w:val="yellow"/>
                        </w:rPr>
                      </m:ctrlPr>
                    </m:sSubPr>
                    <m:e>
                      <m:r>
                        <w:rPr>
                          <w:rFonts w:ascii="Cambria Math" w:hAnsi="Cambria Math" w:cs="Times New Roman"/>
                          <w:highlight w:val="yellow"/>
                        </w:rPr>
                        <m:t>p</m:t>
                      </m:r>
                    </m:e>
                    <m:sub>
                      <m:r>
                        <w:rPr>
                          <w:rFonts w:ascii="Cambria Math" w:hAnsi="Cambria Math" w:cs="Times New Roman"/>
                          <w:highlight w:val="yellow"/>
                        </w:rPr>
                        <m:t>t</m:t>
                      </m:r>
                    </m:sub>
                  </m:sSub>
                </m:den>
              </m:f>
            </m:num>
            <m:den>
              <m:f>
                <m:fPr>
                  <m:ctrlPr>
                    <w:rPr>
                      <w:rFonts w:ascii="Cambria Math" w:hAnsi="Cambria Math" w:cs="Times New Roman"/>
                      <w:i/>
                      <w:highlight w:val="yellow"/>
                    </w:rPr>
                  </m:ctrlPr>
                </m:fPr>
                <m:num>
                  <m:r>
                    <w:rPr>
                      <w:rFonts w:ascii="Cambria Math" w:hAnsi="Cambria Math" w:cs="Times New Roman"/>
                      <w:highlight w:val="yellow"/>
                    </w:rPr>
                    <m:t>Bi</m:t>
                  </m:r>
                </m:num>
                <m:den>
                  <m:sSub>
                    <m:sSubPr>
                      <m:ctrlPr>
                        <w:rPr>
                          <w:rFonts w:ascii="Cambria Math" w:hAnsi="Cambria Math" w:cs="Times New Roman"/>
                          <w:i/>
                          <w:highlight w:val="yellow"/>
                        </w:rPr>
                      </m:ctrlPr>
                    </m:sSubPr>
                    <m:e>
                      <m:r>
                        <w:rPr>
                          <w:rFonts w:ascii="Cambria Math" w:hAnsi="Cambria Math" w:cs="Times New Roman"/>
                          <w:highlight w:val="yellow"/>
                        </w:rPr>
                        <m:t>B</m:t>
                      </m:r>
                    </m:e>
                    <m:sub>
                      <m:r>
                        <w:rPr>
                          <w:rFonts w:ascii="Cambria Math" w:hAnsi="Cambria Math" w:cs="Times New Roman"/>
                          <w:highlight w:val="yellow"/>
                        </w:rPr>
                        <m:t>t</m:t>
                      </m:r>
                    </m:sub>
                  </m:sSub>
                </m:den>
              </m:f>
            </m:den>
          </m:f>
        </m:oMath>
      </m:oMathPara>
    </w:p>
    <w:p w14:paraId="0A0F5EE9" w14:textId="2DCA6B87" w:rsidR="00A22AB3" w:rsidRPr="00A22AB3" w:rsidRDefault="00A22AB3" w:rsidP="007F399D">
      <w:pPr>
        <w:rPr>
          <w:rFonts w:ascii="Times New Roman" w:hAnsi="Times New Roman" w:cs="Times New Roman"/>
        </w:rPr>
      </w:pPr>
      <w:r w:rsidRPr="00A22AB3">
        <w:rPr>
          <w:rFonts w:ascii="Times New Roman" w:hAnsi="Times New Roman" w:cs="Times New Roman"/>
        </w:rPr>
        <w:t>Where:</w:t>
      </w:r>
    </w:p>
    <w:p w14:paraId="0AB8B9A2" w14:textId="46DC3E06" w:rsidR="00A22AB3" w:rsidRPr="00A22AB3" w:rsidRDefault="00A22AB3" w:rsidP="00A22AB3">
      <w:pPr>
        <w:numPr>
          <w:ilvl w:val="0"/>
          <w:numId w:val="2"/>
        </w:numPr>
        <w:rPr>
          <w:rFonts w:ascii="Times New Roman" w:hAnsi="Times New Roman" w:cs="Times New Roman"/>
        </w:rPr>
      </w:pPr>
      <w:r w:rsidRPr="00A22AB3">
        <w:rPr>
          <w:rFonts w:ascii="Times New Roman" w:hAnsi="Times New Roman" w:cs="Times New Roman"/>
        </w:rPr>
        <w:t>Pi</w:t>
      </w:r>
      <w:r w:rsidR="0059667B" w:rsidRPr="00A22AB3">
        <w:rPr>
          <w:rFonts w:ascii="Times New Roman" w:hAnsi="Times New Roman" w:cs="Times New Roman"/>
        </w:rPr>
        <w:t xml:space="preserve"> </w:t>
      </w:r>
      <w:r w:rsidRPr="00A22AB3">
        <w:rPr>
          <w:rFonts w:ascii="Times New Roman" w:hAnsi="Times New Roman" w:cs="Times New Roman"/>
        </w:rPr>
        <w:t xml:space="preserve">​ = GRDP of sector </w:t>
      </w:r>
      <w:proofErr w:type="spellStart"/>
      <w:r w:rsidRPr="00A22AB3">
        <w:rPr>
          <w:rFonts w:ascii="Times New Roman" w:hAnsi="Times New Roman" w:cs="Times New Roman"/>
          <w:i/>
          <w:iCs/>
        </w:rPr>
        <w:t>i</w:t>
      </w:r>
      <w:proofErr w:type="spellEnd"/>
      <w:r w:rsidRPr="00A22AB3">
        <w:rPr>
          <w:rFonts w:ascii="Times New Roman" w:hAnsi="Times New Roman" w:cs="Times New Roman"/>
        </w:rPr>
        <w:t xml:space="preserve"> in </w:t>
      </w:r>
      <w:proofErr w:type="spellStart"/>
      <w:r w:rsidRPr="00A22AB3">
        <w:rPr>
          <w:rFonts w:ascii="Times New Roman" w:hAnsi="Times New Roman" w:cs="Times New Roman"/>
        </w:rPr>
        <w:t>Bebesen</w:t>
      </w:r>
      <w:proofErr w:type="spellEnd"/>
    </w:p>
    <w:p w14:paraId="6BB63D09" w14:textId="7A194A25" w:rsidR="00A22AB3" w:rsidRPr="00A22AB3" w:rsidRDefault="00A22AB3" w:rsidP="00A22AB3">
      <w:pPr>
        <w:numPr>
          <w:ilvl w:val="0"/>
          <w:numId w:val="2"/>
        </w:numPr>
        <w:rPr>
          <w:rFonts w:ascii="Times New Roman" w:hAnsi="Times New Roman" w:cs="Times New Roman"/>
        </w:rPr>
      </w:pPr>
      <w:r w:rsidRPr="00A22AB3">
        <w:rPr>
          <w:rFonts w:ascii="Times New Roman" w:hAnsi="Times New Roman" w:cs="Times New Roman"/>
        </w:rPr>
        <w:t>Pt</w:t>
      </w:r>
      <w:r w:rsidR="0059667B" w:rsidRPr="00A22AB3">
        <w:rPr>
          <w:rFonts w:ascii="Times New Roman" w:hAnsi="Times New Roman" w:cs="Times New Roman"/>
        </w:rPr>
        <w:t xml:space="preserve"> </w:t>
      </w:r>
      <w:r w:rsidRPr="00A22AB3">
        <w:rPr>
          <w:rFonts w:ascii="Times New Roman" w:hAnsi="Times New Roman" w:cs="Times New Roman"/>
        </w:rPr>
        <w:t xml:space="preserve">​ = Total GRDP of </w:t>
      </w:r>
      <w:proofErr w:type="spellStart"/>
      <w:r w:rsidRPr="00A22AB3">
        <w:rPr>
          <w:rFonts w:ascii="Times New Roman" w:hAnsi="Times New Roman" w:cs="Times New Roman"/>
        </w:rPr>
        <w:t>Bebesen</w:t>
      </w:r>
      <w:proofErr w:type="spellEnd"/>
    </w:p>
    <w:p w14:paraId="49508385" w14:textId="7285334D" w:rsidR="00A22AB3" w:rsidRPr="00A22AB3" w:rsidRDefault="00A22AB3" w:rsidP="00A22AB3">
      <w:pPr>
        <w:numPr>
          <w:ilvl w:val="0"/>
          <w:numId w:val="2"/>
        </w:numPr>
        <w:rPr>
          <w:rFonts w:ascii="Times New Roman" w:hAnsi="Times New Roman" w:cs="Times New Roman"/>
        </w:rPr>
      </w:pPr>
      <w:r w:rsidRPr="00A22AB3">
        <w:rPr>
          <w:rFonts w:ascii="Times New Roman" w:hAnsi="Times New Roman" w:cs="Times New Roman"/>
        </w:rPr>
        <w:t>Bi</w:t>
      </w:r>
      <w:r w:rsidR="0059667B" w:rsidRPr="00A22AB3">
        <w:rPr>
          <w:rFonts w:ascii="Times New Roman" w:hAnsi="Times New Roman" w:cs="Times New Roman"/>
        </w:rPr>
        <w:t xml:space="preserve"> </w:t>
      </w:r>
      <w:r w:rsidRPr="00A22AB3">
        <w:rPr>
          <w:rFonts w:ascii="Times New Roman" w:hAnsi="Times New Roman" w:cs="Times New Roman"/>
        </w:rPr>
        <w:t xml:space="preserve">​ = GRDP of sector </w:t>
      </w:r>
      <w:proofErr w:type="spellStart"/>
      <w:r w:rsidRPr="00A22AB3">
        <w:rPr>
          <w:rFonts w:ascii="Times New Roman" w:hAnsi="Times New Roman" w:cs="Times New Roman"/>
          <w:i/>
          <w:iCs/>
        </w:rPr>
        <w:t>i</w:t>
      </w:r>
      <w:proofErr w:type="spellEnd"/>
      <w:r w:rsidRPr="00A22AB3">
        <w:rPr>
          <w:rFonts w:ascii="Times New Roman" w:hAnsi="Times New Roman" w:cs="Times New Roman"/>
        </w:rPr>
        <w:t xml:space="preserve"> in Central Aceh</w:t>
      </w:r>
    </w:p>
    <w:p w14:paraId="30D26BE5" w14:textId="64D86720" w:rsidR="00A22AB3" w:rsidRPr="00A22AB3" w:rsidRDefault="00A22AB3" w:rsidP="00A22AB3">
      <w:pPr>
        <w:numPr>
          <w:ilvl w:val="0"/>
          <w:numId w:val="2"/>
        </w:numPr>
        <w:rPr>
          <w:rFonts w:ascii="Times New Roman" w:hAnsi="Times New Roman" w:cs="Times New Roman"/>
        </w:rPr>
      </w:pPr>
      <w:proofErr w:type="spellStart"/>
      <w:r w:rsidRPr="00A22AB3">
        <w:rPr>
          <w:rFonts w:ascii="Times New Roman" w:hAnsi="Times New Roman" w:cs="Times New Roman"/>
        </w:rPr>
        <w:t>Bt</w:t>
      </w:r>
      <w:proofErr w:type="spellEnd"/>
      <w:r w:rsidR="0059667B" w:rsidRPr="00A22AB3">
        <w:rPr>
          <w:rFonts w:ascii="Times New Roman" w:hAnsi="Times New Roman" w:cs="Times New Roman"/>
        </w:rPr>
        <w:t xml:space="preserve"> </w:t>
      </w:r>
      <w:r w:rsidRPr="00A22AB3">
        <w:rPr>
          <w:rFonts w:ascii="Times New Roman" w:hAnsi="Times New Roman" w:cs="Times New Roman"/>
        </w:rPr>
        <w:t>​ = Total GRDP of Central Aceh</w:t>
      </w:r>
    </w:p>
    <w:p w14:paraId="1381FD39" w14:textId="77777777" w:rsidR="00A22AB3" w:rsidRPr="00A22AB3" w:rsidRDefault="00A22AB3" w:rsidP="0059667B">
      <w:pPr>
        <w:jc w:val="both"/>
        <w:rPr>
          <w:rFonts w:ascii="Times New Roman" w:hAnsi="Times New Roman" w:cs="Times New Roman"/>
        </w:rPr>
      </w:pPr>
      <w:r w:rsidRPr="00A22AB3">
        <w:rPr>
          <w:rFonts w:ascii="Times New Roman" w:hAnsi="Times New Roman" w:cs="Times New Roman"/>
        </w:rPr>
        <w:t>An LQ &gt; 1 indicates that the commodity is a basic sector that produces surplus output for export beyond the region (Bendavid-Val, 1991). LQ was applied both at the sectoral level (e.g., agriculture vs. manufacturing) and at the commodity level (e.g., shallots, potatoes, coffee).</w:t>
      </w:r>
    </w:p>
    <w:p w14:paraId="7CDC1CB0" w14:textId="77777777" w:rsidR="00A22AB3" w:rsidRPr="00A22AB3" w:rsidRDefault="00A22AB3" w:rsidP="00A22AB3">
      <w:pPr>
        <w:rPr>
          <w:rFonts w:ascii="Times New Roman" w:hAnsi="Times New Roman" w:cs="Times New Roman"/>
          <w:b/>
          <w:bCs/>
        </w:rPr>
      </w:pPr>
      <w:r w:rsidRPr="00A22AB3">
        <w:rPr>
          <w:rFonts w:ascii="Times New Roman" w:hAnsi="Times New Roman" w:cs="Times New Roman"/>
          <w:b/>
          <w:bCs/>
        </w:rPr>
        <w:t>b. Klassen Typology</w:t>
      </w:r>
    </w:p>
    <w:p w14:paraId="234599DB" w14:textId="648D5EA2" w:rsidR="00A22AB3" w:rsidRPr="00A22AB3" w:rsidRDefault="00A22AB3" w:rsidP="0059667B">
      <w:pPr>
        <w:jc w:val="both"/>
        <w:rPr>
          <w:rFonts w:ascii="Times New Roman" w:hAnsi="Times New Roman" w:cs="Times New Roman"/>
        </w:rPr>
      </w:pPr>
      <w:r w:rsidRPr="00A22AB3">
        <w:rPr>
          <w:rFonts w:ascii="Times New Roman" w:hAnsi="Times New Roman" w:cs="Times New Roman"/>
        </w:rPr>
        <w:t xml:space="preserve">Klassen Typology was used to classify the </w:t>
      </w:r>
      <w:r w:rsidR="0059667B" w:rsidRPr="0059667B">
        <w:rPr>
          <w:rFonts w:ascii="Times New Roman" w:hAnsi="Times New Roman" w:cs="Times New Roman"/>
        </w:rPr>
        <w:t>dis</w:t>
      </w:r>
      <w:r w:rsidRPr="00A22AB3">
        <w:rPr>
          <w:rFonts w:ascii="Times New Roman" w:hAnsi="Times New Roman" w:cs="Times New Roman"/>
        </w:rPr>
        <w:t xml:space="preserve">trict's economy into four quadrants based on sectoral growth rate and contribution to GRDP </w:t>
      </w:r>
      <w:r w:rsidRPr="000F2FF0">
        <w:rPr>
          <w:rFonts w:ascii="Times New Roman" w:hAnsi="Times New Roman" w:cs="Times New Roman"/>
          <w:highlight w:val="yellow"/>
        </w:rPr>
        <w:t>(</w:t>
      </w:r>
      <w:r w:rsidR="000F2FF0" w:rsidRPr="000F2FF0">
        <w:rPr>
          <w:rFonts w:ascii="Times New Roman" w:hAnsi="Times New Roman" w:cs="Times New Roman"/>
          <w:highlight w:val="yellow"/>
        </w:rPr>
        <w:t>Lapsley, 1967</w:t>
      </w:r>
      <w:r w:rsidRPr="000F2FF0">
        <w:rPr>
          <w:rFonts w:ascii="Times New Roman" w:hAnsi="Times New Roman" w:cs="Times New Roman"/>
          <w:highlight w:val="yellow"/>
        </w:rPr>
        <w:t>)</w:t>
      </w:r>
      <w:r w:rsidRPr="00A22AB3">
        <w:rPr>
          <w:rFonts w:ascii="Times New Roman" w:hAnsi="Times New Roman" w:cs="Times New Roman"/>
        </w:rPr>
        <w:t>:</w:t>
      </w:r>
    </w:p>
    <w:p w14:paraId="402C1B3C" w14:textId="77777777" w:rsidR="00A22AB3" w:rsidRPr="00A22AB3" w:rsidRDefault="00A22AB3" w:rsidP="00A22AB3">
      <w:pPr>
        <w:numPr>
          <w:ilvl w:val="0"/>
          <w:numId w:val="3"/>
        </w:numPr>
        <w:rPr>
          <w:rFonts w:ascii="Times New Roman" w:hAnsi="Times New Roman" w:cs="Times New Roman"/>
        </w:rPr>
      </w:pPr>
      <w:r w:rsidRPr="00A22AB3">
        <w:rPr>
          <w:rFonts w:ascii="Times New Roman" w:hAnsi="Times New Roman" w:cs="Times New Roman"/>
        </w:rPr>
        <w:t>Quadrant I: Advanced and fast-growing (high growth, high contribution)</w:t>
      </w:r>
    </w:p>
    <w:p w14:paraId="771D9ADE" w14:textId="77777777" w:rsidR="00A22AB3" w:rsidRPr="00A22AB3" w:rsidRDefault="00A22AB3" w:rsidP="00A22AB3">
      <w:pPr>
        <w:numPr>
          <w:ilvl w:val="0"/>
          <w:numId w:val="3"/>
        </w:numPr>
        <w:rPr>
          <w:rFonts w:ascii="Times New Roman" w:hAnsi="Times New Roman" w:cs="Times New Roman"/>
        </w:rPr>
      </w:pPr>
      <w:r w:rsidRPr="00A22AB3">
        <w:rPr>
          <w:rFonts w:ascii="Times New Roman" w:hAnsi="Times New Roman" w:cs="Times New Roman"/>
        </w:rPr>
        <w:lastRenderedPageBreak/>
        <w:t>Quadrant II: Advanced but stagnant</w:t>
      </w:r>
    </w:p>
    <w:p w14:paraId="45CB4131" w14:textId="77777777" w:rsidR="00A22AB3" w:rsidRPr="00A22AB3" w:rsidRDefault="00A22AB3" w:rsidP="00A22AB3">
      <w:pPr>
        <w:numPr>
          <w:ilvl w:val="0"/>
          <w:numId w:val="3"/>
        </w:numPr>
        <w:rPr>
          <w:rFonts w:ascii="Times New Roman" w:hAnsi="Times New Roman" w:cs="Times New Roman"/>
        </w:rPr>
      </w:pPr>
      <w:r w:rsidRPr="00A22AB3">
        <w:rPr>
          <w:rFonts w:ascii="Times New Roman" w:hAnsi="Times New Roman" w:cs="Times New Roman"/>
        </w:rPr>
        <w:t>Quadrant III: Rapidly growing but underdeveloped</w:t>
      </w:r>
    </w:p>
    <w:p w14:paraId="2190C919" w14:textId="77777777" w:rsidR="00A22AB3" w:rsidRPr="00A22AB3" w:rsidRDefault="00A22AB3" w:rsidP="00A22AB3">
      <w:pPr>
        <w:numPr>
          <w:ilvl w:val="0"/>
          <w:numId w:val="3"/>
        </w:numPr>
        <w:rPr>
          <w:rFonts w:ascii="Times New Roman" w:hAnsi="Times New Roman" w:cs="Times New Roman"/>
        </w:rPr>
      </w:pPr>
      <w:r w:rsidRPr="00A22AB3">
        <w:rPr>
          <w:rFonts w:ascii="Times New Roman" w:hAnsi="Times New Roman" w:cs="Times New Roman"/>
        </w:rPr>
        <w:t>Quadrant IV: Underdeveloped and lagging</w:t>
      </w:r>
    </w:p>
    <w:p w14:paraId="4A7F84D2" w14:textId="77777777" w:rsidR="00A22AB3" w:rsidRPr="00A22AB3" w:rsidRDefault="00A22AB3" w:rsidP="00A22AB3">
      <w:pPr>
        <w:rPr>
          <w:rFonts w:ascii="Times New Roman" w:hAnsi="Times New Roman" w:cs="Times New Roman"/>
        </w:rPr>
      </w:pPr>
      <w:r w:rsidRPr="00A22AB3">
        <w:rPr>
          <w:rFonts w:ascii="Times New Roman" w:hAnsi="Times New Roman" w:cs="Times New Roman"/>
        </w:rPr>
        <w:t xml:space="preserve">This classification helped position </w:t>
      </w:r>
      <w:proofErr w:type="spellStart"/>
      <w:r w:rsidRPr="00A22AB3">
        <w:rPr>
          <w:rFonts w:ascii="Times New Roman" w:hAnsi="Times New Roman" w:cs="Times New Roman"/>
        </w:rPr>
        <w:t>Bebesen</w:t>
      </w:r>
      <w:proofErr w:type="spellEnd"/>
      <w:r w:rsidRPr="00A22AB3">
        <w:rPr>
          <w:rFonts w:ascii="Times New Roman" w:hAnsi="Times New Roman" w:cs="Times New Roman"/>
        </w:rPr>
        <w:t xml:space="preserve"> within the regional economic landscape and identify leverage points for targeted intervention (</w:t>
      </w:r>
      <w:proofErr w:type="spellStart"/>
      <w:r w:rsidRPr="00A22AB3">
        <w:rPr>
          <w:rFonts w:ascii="Times New Roman" w:hAnsi="Times New Roman" w:cs="Times New Roman"/>
        </w:rPr>
        <w:t>Sjafrizal</w:t>
      </w:r>
      <w:proofErr w:type="spellEnd"/>
      <w:r w:rsidRPr="00A22AB3">
        <w:rPr>
          <w:rFonts w:ascii="Times New Roman" w:hAnsi="Times New Roman" w:cs="Times New Roman"/>
        </w:rPr>
        <w:t>, 2008).</w:t>
      </w:r>
    </w:p>
    <w:p w14:paraId="191743BC" w14:textId="77777777" w:rsidR="00A22AB3" w:rsidRPr="00A22AB3" w:rsidRDefault="00A22AB3" w:rsidP="00A22AB3">
      <w:pPr>
        <w:rPr>
          <w:rFonts w:ascii="Times New Roman" w:hAnsi="Times New Roman" w:cs="Times New Roman"/>
          <w:b/>
          <w:bCs/>
        </w:rPr>
      </w:pPr>
      <w:r w:rsidRPr="00A22AB3">
        <w:rPr>
          <w:rFonts w:ascii="Times New Roman" w:hAnsi="Times New Roman" w:cs="Times New Roman"/>
          <w:b/>
          <w:bCs/>
        </w:rPr>
        <w:t>c. SWOT Analysis (Quantitative)</w:t>
      </w:r>
    </w:p>
    <w:p w14:paraId="2C8E35CD" w14:textId="77777777" w:rsidR="00A22AB3" w:rsidRPr="00A22AB3" w:rsidRDefault="00A22AB3" w:rsidP="0059667B">
      <w:pPr>
        <w:jc w:val="both"/>
        <w:rPr>
          <w:rFonts w:ascii="Times New Roman" w:hAnsi="Times New Roman" w:cs="Times New Roman"/>
        </w:rPr>
      </w:pPr>
      <w:r w:rsidRPr="00A22AB3">
        <w:rPr>
          <w:rFonts w:ascii="Times New Roman" w:hAnsi="Times New Roman" w:cs="Times New Roman"/>
        </w:rPr>
        <w:t>The final stage involved quantifying internal and external factors using the SWOT Matrix approach. This included:</w:t>
      </w:r>
    </w:p>
    <w:p w14:paraId="66B2BD48" w14:textId="77777777" w:rsidR="00A22AB3" w:rsidRPr="00A22AB3" w:rsidRDefault="00A22AB3" w:rsidP="0059667B">
      <w:pPr>
        <w:numPr>
          <w:ilvl w:val="0"/>
          <w:numId w:val="4"/>
        </w:numPr>
        <w:jc w:val="both"/>
        <w:rPr>
          <w:rFonts w:ascii="Times New Roman" w:hAnsi="Times New Roman" w:cs="Times New Roman"/>
        </w:rPr>
      </w:pPr>
      <w:r w:rsidRPr="00A22AB3">
        <w:rPr>
          <w:rFonts w:ascii="Times New Roman" w:hAnsi="Times New Roman" w:cs="Times New Roman"/>
        </w:rPr>
        <w:t>Strengths and Weaknesses (internal factors): e.g., infrastructure, human capital, institutional support</w:t>
      </w:r>
    </w:p>
    <w:p w14:paraId="72145BC1" w14:textId="77777777" w:rsidR="00A22AB3" w:rsidRPr="00A22AB3" w:rsidRDefault="00A22AB3" w:rsidP="0059667B">
      <w:pPr>
        <w:numPr>
          <w:ilvl w:val="0"/>
          <w:numId w:val="4"/>
        </w:numPr>
        <w:jc w:val="both"/>
        <w:rPr>
          <w:rFonts w:ascii="Times New Roman" w:hAnsi="Times New Roman" w:cs="Times New Roman"/>
        </w:rPr>
      </w:pPr>
      <w:r w:rsidRPr="00A22AB3">
        <w:rPr>
          <w:rFonts w:ascii="Times New Roman" w:hAnsi="Times New Roman" w:cs="Times New Roman"/>
        </w:rPr>
        <w:t>Opportunities and Threats (external factors): e.g., market access, regulatory changes, climate risks</w:t>
      </w:r>
    </w:p>
    <w:p w14:paraId="1210EAD6" w14:textId="77777777" w:rsidR="00A22AB3" w:rsidRPr="00A22AB3" w:rsidRDefault="00A22AB3" w:rsidP="0059667B">
      <w:pPr>
        <w:jc w:val="both"/>
        <w:rPr>
          <w:rFonts w:ascii="Times New Roman" w:hAnsi="Times New Roman" w:cs="Times New Roman"/>
        </w:rPr>
      </w:pPr>
      <w:r w:rsidRPr="00A22AB3">
        <w:rPr>
          <w:rFonts w:ascii="Times New Roman" w:hAnsi="Times New Roman" w:cs="Times New Roman"/>
        </w:rPr>
        <w:t>Each factor was rated by stakeholders using weighted scores (from 1 to 5), and IFAS-EFAS matrices were constructed to calculate the optimal strategic quadrant (</w:t>
      </w:r>
      <w:proofErr w:type="spellStart"/>
      <w:r w:rsidRPr="00A22AB3">
        <w:rPr>
          <w:rFonts w:ascii="Times New Roman" w:hAnsi="Times New Roman" w:cs="Times New Roman"/>
        </w:rPr>
        <w:t>Rangkuti</w:t>
      </w:r>
      <w:proofErr w:type="spellEnd"/>
      <w:r w:rsidRPr="00A22AB3">
        <w:rPr>
          <w:rFonts w:ascii="Times New Roman" w:hAnsi="Times New Roman" w:cs="Times New Roman"/>
        </w:rPr>
        <w:t>, 2015). This enabled the selection of SO, WO, ST, or WT strategies.</w:t>
      </w:r>
    </w:p>
    <w:p w14:paraId="2E0DC0A0" w14:textId="77777777" w:rsidR="00A22AB3" w:rsidRPr="00A22AB3" w:rsidRDefault="00A22AB3" w:rsidP="00A22AB3">
      <w:pPr>
        <w:rPr>
          <w:rFonts w:ascii="Times New Roman" w:hAnsi="Times New Roman" w:cs="Times New Roman"/>
          <w:b/>
          <w:bCs/>
        </w:rPr>
      </w:pPr>
      <w:r w:rsidRPr="00A22AB3">
        <w:rPr>
          <w:rFonts w:ascii="Times New Roman" w:hAnsi="Times New Roman" w:cs="Times New Roman"/>
          <w:b/>
          <w:bCs/>
        </w:rPr>
        <w:t>4. Triangulation and Validity</w:t>
      </w:r>
    </w:p>
    <w:p w14:paraId="60A38C65" w14:textId="77777777" w:rsidR="00A22AB3" w:rsidRPr="00A22AB3" w:rsidRDefault="00A22AB3" w:rsidP="0059667B">
      <w:pPr>
        <w:jc w:val="both"/>
        <w:rPr>
          <w:rFonts w:ascii="Times New Roman" w:hAnsi="Times New Roman" w:cs="Times New Roman"/>
        </w:rPr>
      </w:pPr>
      <w:r w:rsidRPr="00A22AB3">
        <w:rPr>
          <w:rFonts w:ascii="Times New Roman" w:hAnsi="Times New Roman" w:cs="Times New Roman"/>
        </w:rPr>
        <w:t>To ensure validity and reliability, data triangulation was applied by cross-referencing LQ and Klassen results with field observations and stakeholder responses. This methodological triangulation strengthens the credibility of both empirical and perceptual findings (Denzin &amp; Lincoln, 2011). All data collection tools, including questionnaires and interview guides, underwent pre-testing for consistency and clarity.</w:t>
      </w:r>
    </w:p>
    <w:p w14:paraId="71C1E49E" w14:textId="2B212509" w:rsidR="00A22AB3" w:rsidRPr="0059667B" w:rsidRDefault="0059667B">
      <w:pPr>
        <w:rPr>
          <w:rFonts w:ascii="Times New Roman" w:hAnsi="Times New Roman" w:cs="Times New Roman"/>
          <w:b/>
          <w:bCs/>
        </w:rPr>
      </w:pPr>
      <w:r>
        <w:rPr>
          <w:rFonts w:ascii="Times New Roman" w:hAnsi="Times New Roman" w:cs="Times New Roman"/>
          <w:b/>
          <w:bCs/>
        </w:rPr>
        <w:t>III. RESULT AND DISCUSSION</w:t>
      </w:r>
    </w:p>
    <w:p w14:paraId="135A54C7" w14:textId="2D72D23A" w:rsidR="00425F0D" w:rsidRDefault="0059667B" w:rsidP="00425F0D">
      <w:pPr>
        <w:rPr>
          <w:rFonts w:ascii="Times New Roman" w:hAnsi="Times New Roman" w:cs="Times New Roman"/>
          <w:b/>
          <w:bCs/>
        </w:rPr>
      </w:pPr>
      <w:r>
        <w:rPr>
          <w:rFonts w:ascii="Times New Roman" w:hAnsi="Times New Roman" w:cs="Times New Roman"/>
          <w:b/>
          <w:bCs/>
        </w:rPr>
        <w:t>3.</w:t>
      </w:r>
      <w:r w:rsidR="00425F0D" w:rsidRPr="00425F0D">
        <w:rPr>
          <w:rFonts w:ascii="Times New Roman" w:hAnsi="Times New Roman" w:cs="Times New Roman"/>
          <w:b/>
          <w:bCs/>
        </w:rPr>
        <w:t xml:space="preserve">1 Sectoral Contribution and Economic Structure of </w:t>
      </w:r>
      <w:proofErr w:type="spellStart"/>
      <w:r w:rsidR="00425F0D" w:rsidRPr="00425F0D">
        <w:rPr>
          <w:rFonts w:ascii="Times New Roman" w:hAnsi="Times New Roman" w:cs="Times New Roman"/>
          <w:b/>
          <w:bCs/>
        </w:rPr>
        <w:t>Bebesen</w:t>
      </w:r>
      <w:proofErr w:type="spellEnd"/>
    </w:p>
    <w:p w14:paraId="5E51C38D" w14:textId="026E716A" w:rsidR="0059667B" w:rsidRPr="00425F0D" w:rsidRDefault="0059667B" w:rsidP="0059667B">
      <w:pPr>
        <w:jc w:val="both"/>
        <w:rPr>
          <w:rFonts w:ascii="Times New Roman" w:hAnsi="Times New Roman" w:cs="Times New Roman"/>
          <w:b/>
          <w:bCs/>
        </w:rPr>
      </w:pPr>
      <w:r w:rsidRPr="00425F0D">
        <w:rPr>
          <w:rFonts w:ascii="Times New Roman" w:hAnsi="Times New Roman" w:cs="Times New Roman"/>
        </w:rPr>
        <w:t xml:space="preserve">The economic structure of </w:t>
      </w:r>
      <w:proofErr w:type="spellStart"/>
      <w:r w:rsidRPr="00425F0D">
        <w:rPr>
          <w:rFonts w:ascii="Times New Roman" w:hAnsi="Times New Roman" w:cs="Times New Roman"/>
        </w:rPr>
        <w:t>Bebesen</w:t>
      </w:r>
      <w:proofErr w:type="spellEnd"/>
      <w:r w:rsidRPr="00425F0D">
        <w:rPr>
          <w:rFonts w:ascii="Times New Roman" w:hAnsi="Times New Roman" w:cs="Times New Roman"/>
        </w:rPr>
        <w:t xml:space="preserve"> </w:t>
      </w:r>
      <w:r>
        <w:rPr>
          <w:rFonts w:ascii="Times New Roman" w:hAnsi="Times New Roman" w:cs="Times New Roman"/>
        </w:rPr>
        <w:t>Dis</w:t>
      </w:r>
      <w:r w:rsidRPr="00425F0D">
        <w:rPr>
          <w:rFonts w:ascii="Times New Roman" w:hAnsi="Times New Roman" w:cs="Times New Roman"/>
        </w:rPr>
        <w:t>trict has demonstrated consistent growth over the 2019–2023 period, as reflected in the increase of total Gross Regional Domestic Product (GRDP) from Rp 1,080.95 billion in 2019 to Rp 1,222.72 billion in 2023.</w:t>
      </w:r>
    </w:p>
    <w:p w14:paraId="6E85CE97" w14:textId="77777777" w:rsidR="0059667B" w:rsidRDefault="0059667B" w:rsidP="0059667B">
      <w:pPr>
        <w:jc w:val="center"/>
        <w:rPr>
          <w:rFonts w:ascii="Times New Roman" w:hAnsi="Times New Roman" w:cs="Times New Roman"/>
        </w:rPr>
      </w:pPr>
      <w:r w:rsidRPr="008131FC">
        <w:rPr>
          <w:rFonts w:ascii="Times New Roman" w:hAnsi="Times New Roman"/>
          <w:noProof/>
        </w:rPr>
        <w:lastRenderedPageBreak/>
        <w:drawing>
          <wp:inline distT="0" distB="0" distL="0" distR="0" wp14:anchorId="6A4C2246" wp14:editId="38C1BCE0">
            <wp:extent cx="3490913" cy="2308577"/>
            <wp:effectExtent l="0" t="0" r="0" b="0"/>
            <wp:docPr id="66792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2534" name=""/>
                    <pic:cNvPicPr/>
                  </pic:nvPicPr>
                  <pic:blipFill>
                    <a:blip r:embed="rId7"/>
                    <a:stretch>
                      <a:fillRect/>
                    </a:stretch>
                  </pic:blipFill>
                  <pic:spPr>
                    <a:xfrm>
                      <a:off x="0" y="0"/>
                      <a:ext cx="3501610" cy="2315651"/>
                    </a:xfrm>
                    <a:prstGeom prst="rect">
                      <a:avLst/>
                    </a:prstGeom>
                  </pic:spPr>
                </pic:pic>
              </a:graphicData>
            </a:graphic>
          </wp:inline>
        </w:drawing>
      </w:r>
    </w:p>
    <w:p w14:paraId="021F96CE" w14:textId="6BE54F54" w:rsidR="0059667B" w:rsidRPr="0059667B" w:rsidRDefault="0059667B" w:rsidP="0059667B">
      <w:pPr>
        <w:jc w:val="center"/>
        <w:rPr>
          <w:rFonts w:ascii="Times New Roman" w:hAnsi="Times New Roman" w:cs="Times New Roman"/>
          <w:b/>
          <w:bCs/>
        </w:rPr>
      </w:pPr>
      <w:r>
        <w:rPr>
          <w:rFonts w:ascii="Times New Roman" w:hAnsi="Times New Roman" w:cs="Times New Roman"/>
          <w:b/>
          <w:bCs/>
        </w:rPr>
        <w:t xml:space="preserve">Figure 1. </w:t>
      </w:r>
      <w:proofErr w:type="spellStart"/>
      <w:r>
        <w:rPr>
          <w:rFonts w:ascii="Times New Roman" w:hAnsi="Times New Roman" w:cs="Times New Roman"/>
          <w:b/>
          <w:bCs/>
        </w:rPr>
        <w:t>Bebesen</w:t>
      </w:r>
      <w:proofErr w:type="spellEnd"/>
      <w:r>
        <w:rPr>
          <w:rFonts w:ascii="Times New Roman" w:hAnsi="Times New Roman" w:cs="Times New Roman"/>
          <w:b/>
          <w:bCs/>
        </w:rPr>
        <w:t xml:space="preserve"> District</w:t>
      </w:r>
    </w:p>
    <w:p w14:paraId="0B730786" w14:textId="3D13F95F" w:rsidR="00425F0D" w:rsidRPr="00425F0D" w:rsidRDefault="00425F0D" w:rsidP="0059667B">
      <w:pPr>
        <w:jc w:val="both"/>
        <w:rPr>
          <w:rFonts w:ascii="Times New Roman" w:hAnsi="Times New Roman" w:cs="Times New Roman"/>
        </w:rPr>
      </w:pPr>
      <w:r w:rsidRPr="00425F0D">
        <w:rPr>
          <w:rFonts w:ascii="Times New Roman" w:hAnsi="Times New Roman" w:cs="Times New Roman"/>
        </w:rPr>
        <w:t xml:space="preserve">During the same period, the agricultural sector grew from Rp 379.59 billion to Rp 512.46 billion, representing a 35.0% growth rate, significantly outpacing overall GRDP growth of 13.1%. This trend indicates a strengthening role of agriculture in the local economy, particularly in horticultural production, and supports the designation of </w:t>
      </w:r>
      <w:proofErr w:type="spellStart"/>
      <w:r w:rsidRPr="00425F0D">
        <w:rPr>
          <w:rFonts w:ascii="Times New Roman" w:hAnsi="Times New Roman" w:cs="Times New Roman"/>
        </w:rPr>
        <w:t>Bebesen</w:t>
      </w:r>
      <w:proofErr w:type="spellEnd"/>
      <w:r w:rsidRPr="00425F0D">
        <w:rPr>
          <w:rFonts w:ascii="Times New Roman" w:hAnsi="Times New Roman" w:cs="Times New Roman"/>
        </w:rPr>
        <w:t xml:space="preserve"> as an agriculturally driven zone</w:t>
      </w:r>
      <w:r w:rsidR="00E75A1D">
        <w:rPr>
          <w:rFonts w:ascii="Times New Roman" w:hAnsi="Times New Roman" w:cs="Times New Roman"/>
        </w:rPr>
        <w:t>.</w:t>
      </w:r>
    </w:p>
    <w:p w14:paraId="56F4601E" w14:textId="7020F6C0" w:rsidR="00425F0D" w:rsidRPr="00425F0D" w:rsidRDefault="00425F0D" w:rsidP="0059667B">
      <w:pPr>
        <w:jc w:val="both"/>
        <w:rPr>
          <w:rFonts w:ascii="Times New Roman" w:hAnsi="Times New Roman" w:cs="Times New Roman"/>
        </w:rPr>
      </w:pPr>
      <w:r w:rsidRPr="00425F0D">
        <w:rPr>
          <w:rFonts w:ascii="Times New Roman" w:hAnsi="Times New Roman" w:cs="Times New Roman"/>
        </w:rPr>
        <w:t>Despite a brief stagnation in 2020 due to pandemic-related disruptions, both total and agricultural GRDP rebounded in subsequent years. The relative increase in the agriculture sector’s share of GRDP suggests not only quantitative expansion but also a sectoral shift in local economic dependence. This aligns with theories of rural transformation that emphasize the strategic prioritization of base sectors to stimulate endogenous growth</w:t>
      </w:r>
      <w:r w:rsidR="00E75A1D">
        <w:rPr>
          <w:rFonts w:ascii="Times New Roman" w:hAnsi="Times New Roman" w:cs="Times New Roman"/>
        </w:rPr>
        <w:t>.</w:t>
      </w:r>
    </w:p>
    <w:p w14:paraId="781840D4" w14:textId="28F7D6EF" w:rsidR="00425F0D" w:rsidRPr="00425F0D" w:rsidRDefault="00425F0D" w:rsidP="00425F0D">
      <w:pPr>
        <w:rPr>
          <w:rFonts w:ascii="Times New Roman" w:hAnsi="Times New Roman" w:cs="Times New Roman"/>
        </w:rPr>
      </w:pPr>
    </w:p>
    <w:p w14:paraId="557BEE5D" w14:textId="39EC2EA5" w:rsidR="00425F0D" w:rsidRPr="00425F0D" w:rsidRDefault="00E75A1D" w:rsidP="00425F0D">
      <w:pPr>
        <w:rPr>
          <w:rFonts w:ascii="Times New Roman" w:hAnsi="Times New Roman" w:cs="Times New Roman"/>
          <w:b/>
          <w:bCs/>
        </w:rPr>
      </w:pPr>
      <w:r>
        <w:rPr>
          <w:rFonts w:ascii="Times New Roman" w:hAnsi="Times New Roman" w:cs="Times New Roman"/>
          <w:b/>
          <w:bCs/>
        </w:rPr>
        <w:t>3.</w:t>
      </w:r>
      <w:r w:rsidR="00425F0D" w:rsidRPr="00425F0D">
        <w:rPr>
          <w:rFonts w:ascii="Times New Roman" w:hAnsi="Times New Roman" w:cs="Times New Roman"/>
          <w:b/>
          <w:bCs/>
        </w:rPr>
        <w:t>2 Identification of Leading Commodities via Location Quotient (LQ)</w:t>
      </w:r>
    </w:p>
    <w:p w14:paraId="694AC135" w14:textId="4ABB2ED2" w:rsidR="00E75A1D" w:rsidRPr="00E75A1D" w:rsidRDefault="00E75A1D" w:rsidP="00E75A1D">
      <w:pPr>
        <w:jc w:val="both"/>
        <w:rPr>
          <w:rFonts w:ascii="Times New Roman" w:hAnsi="Times New Roman" w:cs="Times New Roman"/>
        </w:rPr>
      </w:pPr>
      <w:r>
        <w:rPr>
          <w:rFonts w:ascii="Times New Roman" w:hAnsi="Times New Roman" w:cs="Times New Roman"/>
        </w:rPr>
        <w:t>T</w:t>
      </w:r>
      <w:r w:rsidRPr="00E75A1D">
        <w:rPr>
          <w:rFonts w:ascii="Times New Roman" w:hAnsi="Times New Roman" w:cs="Times New Roman"/>
        </w:rPr>
        <w:t xml:space="preserve">he strategic role of agricultural commodities in </w:t>
      </w:r>
      <w:proofErr w:type="spellStart"/>
      <w:r w:rsidRPr="00E75A1D">
        <w:rPr>
          <w:rFonts w:ascii="Times New Roman" w:hAnsi="Times New Roman" w:cs="Times New Roman"/>
        </w:rPr>
        <w:t>Bebesen’s</w:t>
      </w:r>
      <w:proofErr w:type="spellEnd"/>
      <w:r w:rsidRPr="00E75A1D">
        <w:rPr>
          <w:rFonts w:ascii="Times New Roman" w:hAnsi="Times New Roman" w:cs="Times New Roman"/>
        </w:rPr>
        <w:t xml:space="preserve"> local economy, a longitudinal Location Quotient (LQ) analysis was conducted for the years 2019 to 2023. The LQ method quantifies the relative specialization of each commodity by comparing its contribution to the local economy with that of the broader region</w:t>
      </w:r>
      <w:r>
        <w:rPr>
          <w:rFonts w:ascii="Times New Roman" w:hAnsi="Times New Roman" w:cs="Times New Roman"/>
        </w:rPr>
        <w:t xml:space="preserve">. </w:t>
      </w:r>
      <w:r w:rsidRPr="00E75A1D">
        <w:rPr>
          <w:rFonts w:ascii="Times New Roman" w:hAnsi="Times New Roman" w:cs="Times New Roman"/>
        </w:rPr>
        <w:t>Commodities with an LQ value greater than 1 are considered basic sectors, indicating that they produce beyond local demand and thus contribute to external market supply.</w:t>
      </w:r>
    </w:p>
    <w:p w14:paraId="73E2F760" w14:textId="02AA738F" w:rsidR="00E75A1D" w:rsidRPr="00E75A1D" w:rsidRDefault="00E75A1D" w:rsidP="00E75A1D">
      <w:pPr>
        <w:jc w:val="center"/>
        <w:rPr>
          <w:rFonts w:ascii="Times New Roman" w:hAnsi="Times New Roman" w:cs="Times New Roman"/>
        </w:rPr>
      </w:pPr>
      <w:r w:rsidRPr="00E75A1D">
        <w:rPr>
          <w:rFonts w:ascii="Times New Roman" w:hAnsi="Times New Roman" w:cs="Times New Roman"/>
          <w:b/>
          <w:bCs/>
        </w:rPr>
        <w:t xml:space="preserve">Table </w:t>
      </w:r>
      <w:r>
        <w:rPr>
          <w:rFonts w:ascii="Times New Roman" w:hAnsi="Times New Roman" w:cs="Times New Roman"/>
          <w:b/>
          <w:bCs/>
        </w:rPr>
        <w:t>1</w:t>
      </w:r>
      <w:r w:rsidRPr="00E75A1D">
        <w:rPr>
          <w:rFonts w:ascii="Times New Roman" w:hAnsi="Times New Roman" w:cs="Times New Roman"/>
          <w:b/>
          <w:bCs/>
        </w:rPr>
        <w:t xml:space="preserve">. </w:t>
      </w:r>
      <w:r w:rsidRPr="00E75A1D">
        <w:rPr>
          <w:rFonts w:ascii="Times New Roman" w:hAnsi="Times New Roman" w:cs="Times New Roman"/>
        </w:rPr>
        <w:t xml:space="preserve">Leading Commodities in </w:t>
      </w:r>
      <w:proofErr w:type="spellStart"/>
      <w:r w:rsidRPr="00E75A1D">
        <w:rPr>
          <w:rFonts w:ascii="Times New Roman" w:hAnsi="Times New Roman" w:cs="Times New Roman"/>
        </w:rPr>
        <w:t>Bebesen</w:t>
      </w:r>
      <w:proofErr w:type="spellEnd"/>
      <w:r w:rsidRPr="00E75A1D">
        <w:rPr>
          <w:rFonts w:ascii="Times New Roman" w:hAnsi="Times New Roman" w:cs="Times New Roman"/>
        </w:rPr>
        <w:t xml:space="preserve"> Based on LQ (2019–2023)</w:t>
      </w:r>
    </w:p>
    <w:tbl>
      <w:tblPr>
        <w:tblStyle w:val="TableGrid"/>
        <w:tblW w:w="0" w:type="auto"/>
        <w:tblLook w:val="04A0" w:firstRow="1" w:lastRow="0" w:firstColumn="1" w:lastColumn="0" w:noHBand="0" w:noVBand="1"/>
      </w:tblPr>
      <w:tblGrid>
        <w:gridCol w:w="2365"/>
        <w:gridCol w:w="821"/>
        <w:gridCol w:w="820"/>
        <w:gridCol w:w="821"/>
        <w:gridCol w:w="962"/>
        <w:gridCol w:w="962"/>
        <w:gridCol w:w="1983"/>
      </w:tblGrid>
      <w:tr w:rsidR="00E75A1D" w:rsidRPr="00E75A1D" w14:paraId="2DAE54AE" w14:textId="77777777" w:rsidTr="00E75A1D">
        <w:tc>
          <w:tcPr>
            <w:tcW w:w="2365" w:type="dxa"/>
            <w:hideMark/>
          </w:tcPr>
          <w:p w14:paraId="65391802" w14:textId="77777777" w:rsidR="00E75A1D" w:rsidRPr="00E75A1D" w:rsidRDefault="00E75A1D" w:rsidP="00E75A1D">
            <w:pPr>
              <w:spacing w:after="160" w:line="278" w:lineRule="auto"/>
              <w:rPr>
                <w:rFonts w:ascii="Times New Roman" w:hAnsi="Times New Roman" w:cs="Times New Roman"/>
                <w:b/>
                <w:bCs/>
              </w:rPr>
            </w:pPr>
            <w:r w:rsidRPr="00E75A1D">
              <w:rPr>
                <w:rFonts w:ascii="Times New Roman" w:hAnsi="Times New Roman" w:cs="Times New Roman"/>
                <w:b/>
                <w:bCs/>
              </w:rPr>
              <w:t>Commodity</w:t>
            </w:r>
          </w:p>
        </w:tc>
        <w:tc>
          <w:tcPr>
            <w:tcW w:w="821" w:type="dxa"/>
            <w:hideMark/>
          </w:tcPr>
          <w:p w14:paraId="5A5AE190" w14:textId="77777777" w:rsidR="00E75A1D" w:rsidRPr="00E75A1D" w:rsidRDefault="00E75A1D" w:rsidP="00E75A1D">
            <w:pPr>
              <w:spacing w:after="160" w:line="278" w:lineRule="auto"/>
              <w:rPr>
                <w:rFonts w:ascii="Times New Roman" w:hAnsi="Times New Roman" w:cs="Times New Roman"/>
                <w:b/>
                <w:bCs/>
              </w:rPr>
            </w:pPr>
            <w:r w:rsidRPr="00E75A1D">
              <w:rPr>
                <w:rFonts w:ascii="Times New Roman" w:hAnsi="Times New Roman" w:cs="Times New Roman"/>
                <w:b/>
                <w:bCs/>
              </w:rPr>
              <w:t>2019</w:t>
            </w:r>
          </w:p>
        </w:tc>
        <w:tc>
          <w:tcPr>
            <w:tcW w:w="820" w:type="dxa"/>
            <w:hideMark/>
          </w:tcPr>
          <w:p w14:paraId="6B8C2D2C" w14:textId="77777777" w:rsidR="00E75A1D" w:rsidRPr="00E75A1D" w:rsidRDefault="00E75A1D" w:rsidP="00E75A1D">
            <w:pPr>
              <w:spacing w:after="160" w:line="278" w:lineRule="auto"/>
              <w:rPr>
                <w:rFonts w:ascii="Times New Roman" w:hAnsi="Times New Roman" w:cs="Times New Roman"/>
                <w:b/>
                <w:bCs/>
              </w:rPr>
            </w:pPr>
            <w:r w:rsidRPr="00E75A1D">
              <w:rPr>
                <w:rFonts w:ascii="Times New Roman" w:hAnsi="Times New Roman" w:cs="Times New Roman"/>
                <w:b/>
                <w:bCs/>
              </w:rPr>
              <w:t>2020</w:t>
            </w:r>
          </w:p>
        </w:tc>
        <w:tc>
          <w:tcPr>
            <w:tcW w:w="821" w:type="dxa"/>
            <w:hideMark/>
          </w:tcPr>
          <w:p w14:paraId="7BADE558" w14:textId="77777777" w:rsidR="00E75A1D" w:rsidRPr="00E75A1D" w:rsidRDefault="00E75A1D" w:rsidP="00E75A1D">
            <w:pPr>
              <w:spacing w:after="160" w:line="278" w:lineRule="auto"/>
              <w:rPr>
                <w:rFonts w:ascii="Times New Roman" w:hAnsi="Times New Roman" w:cs="Times New Roman"/>
                <w:b/>
                <w:bCs/>
              </w:rPr>
            </w:pPr>
            <w:r w:rsidRPr="00E75A1D">
              <w:rPr>
                <w:rFonts w:ascii="Times New Roman" w:hAnsi="Times New Roman" w:cs="Times New Roman"/>
                <w:b/>
                <w:bCs/>
              </w:rPr>
              <w:t>2021</w:t>
            </w:r>
          </w:p>
        </w:tc>
        <w:tc>
          <w:tcPr>
            <w:tcW w:w="962" w:type="dxa"/>
            <w:hideMark/>
          </w:tcPr>
          <w:p w14:paraId="5944649E" w14:textId="77777777" w:rsidR="00E75A1D" w:rsidRPr="00E75A1D" w:rsidRDefault="00E75A1D" w:rsidP="00E75A1D">
            <w:pPr>
              <w:spacing w:after="160" w:line="278" w:lineRule="auto"/>
              <w:rPr>
                <w:rFonts w:ascii="Times New Roman" w:hAnsi="Times New Roman" w:cs="Times New Roman"/>
                <w:b/>
                <w:bCs/>
              </w:rPr>
            </w:pPr>
            <w:r w:rsidRPr="00E75A1D">
              <w:rPr>
                <w:rFonts w:ascii="Times New Roman" w:hAnsi="Times New Roman" w:cs="Times New Roman"/>
                <w:b/>
                <w:bCs/>
              </w:rPr>
              <w:t>2022</w:t>
            </w:r>
          </w:p>
        </w:tc>
        <w:tc>
          <w:tcPr>
            <w:tcW w:w="962" w:type="dxa"/>
            <w:hideMark/>
          </w:tcPr>
          <w:p w14:paraId="2FD4E0C9" w14:textId="77777777" w:rsidR="00E75A1D" w:rsidRPr="00E75A1D" w:rsidRDefault="00E75A1D" w:rsidP="00E75A1D">
            <w:pPr>
              <w:spacing w:after="160" w:line="278" w:lineRule="auto"/>
              <w:rPr>
                <w:rFonts w:ascii="Times New Roman" w:hAnsi="Times New Roman" w:cs="Times New Roman"/>
                <w:b/>
                <w:bCs/>
              </w:rPr>
            </w:pPr>
            <w:r w:rsidRPr="00E75A1D">
              <w:rPr>
                <w:rFonts w:ascii="Times New Roman" w:hAnsi="Times New Roman" w:cs="Times New Roman"/>
                <w:b/>
                <w:bCs/>
              </w:rPr>
              <w:t>2023</w:t>
            </w:r>
          </w:p>
        </w:tc>
        <w:tc>
          <w:tcPr>
            <w:tcW w:w="0" w:type="auto"/>
            <w:hideMark/>
          </w:tcPr>
          <w:p w14:paraId="14C03B44" w14:textId="77777777" w:rsidR="00E75A1D" w:rsidRPr="00E75A1D" w:rsidRDefault="00E75A1D" w:rsidP="00E75A1D">
            <w:pPr>
              <w:spacing w:after="160" w:line="278" w:lineRule="auto"/>
              <w:rPr>
                <w:rFonts w:ascii="Times New Roman" w:hAnsi="Times New Roman" w:cs="Times New Roman"/>
                <w:b/>
                <w:bCs/>
              </w:rPr>
            </w:pPr>
            <w:r w:rsidRPr="00E75A1D">
              <w:rPr>
                <w:rFonts w:ascii="Times New Roman" w:hAnsi="Times New Roman" w:cs="Times New Roman"/>
                <w:b/>
                <w:bCs/>
              </w:rPr>
              <w:t>Status</w:t>
            </w:r>
          </w:p>
        </w:tc>
      </w:tr>
      <w:tr w:rsidR="00E75A1D" w:rsidRPr="00E75A1D" w14:paraId="231BD850" w14:textId="77777777" w:rsidTr="00E75A1D">
        <w:tc>
          <w:tcPr>
            <w:tcW w:w="2365" w:type="dxa"/>
            <w:hideMark/>
          </w:tcPr>
          <w:p w14:paraId="13F35ACD"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Shallot</w:t>
            </w:r>
          </w:p>
        </w:tc>
        <w:tc>
          <w:tcPr>
            <w:tcW w:w="821" w:type="dxa"/>
            <w:hideMark/>
          </w:tcPr>
          <w:p w14:paraId="79EF17CD"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0.00</w:t>
            </w:r>
          </w:p>
        </w:tc>
        <w:tc>
          <w:tcPr>
            <w:tcW w:w="820" w:type="dxa"/>
            <w:hideMark/>
          </w:tcPr>
          <w:p w14:paraId="64710F8D"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0.13</w:t>
            </w:r>
          </w:p>
        </w:tc>
        <w:tc>
          <w:tcPr>
            <w:tcW w:w="821" w:type="dxa"/>
            <w:hideMark/>
          </w:tcPr>
          <w:p w14:paraId="606E8CA1"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0.00</w:t>
            </w:r>
          </w:p>
        </w:tc>
        <w:tc>
          <w:tcPr>
            <w:tcW w:w="962" w:type="dxa"/>
            <w:hideMark/>
          </w:tcPr>
          <w:p w14:paraId="0C15F8B9"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1.82</w:t>
            </w:r>
          </w:p>
        </w:tc>
        <w:tc>
          <w:tcPr>
            <w:tcW w:w="962" w:type="dxa"/>
            <w:hideMark/>
          </w:tcPr>
          <w:p w14:paraId="41F38AD4"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1.35</w:t>
            </w:r>
          </w:p>
        </w:tc>
        <w:tc>
          <w:tcPr>
            <w:tcW w:w="0" w:type="auto"/>
            <w:hideMark/>
          </w:tcPr>
          <w:p w14:paraId="3721B4A4"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Base (2022–2023)</w:t>
            </w:r>
          </w:p>
        </w:tc>
      </w:tr>
      <w:tr w:rsidR="00E75A1D" w:rsidRPr="00E75A1D" w14:paraId="48379907" w14:textId="77777777" w:rsidTr="00E75A1D">
        <w:tc>
          <w:tcPr>
            <w:tcW w:w="2365" w:type="dxa"/>
            <w:hideMark/>
          </w:tcPr>
          <w:p w14:paraId="7E463BA4"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Curly Chili</w:t>
            </w:r>
          </w:p>
        </w:tc>
        <w:tc>
          <w:tcPr>
            <w:tcW w:w="821" w:type="dxa"/>
            <w:hideMark/>
          </w:tcPr>
          <w:p w14:paraId="676B06D3"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0.34</w:t>
            </w:r>
          </w:p>
        </w:tc>
        <w:tc>
          <w:tcPr>
            <w:tcW w:w="820" w:type="dxa"/>
            <w:hideMark/>
          </w:tcPr>
          <w:p w14:paraId="0FF1BD6C"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0.21</w:t>
            </w:r>
          </w:p>
        </w:tc>
        <w:tc>
          <w:tcPr>
            <w:tcW w:w="821" w:type="dxa"/>
            <w:hideMark/>
          </w:tcPr>
          <w:p w14:paraId="47FC99DF"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0.12</w:t>
            </w:r>
          </w:p>
        </w:tc>
        <w:tc>
          <w:tcPr>
            <w:tcW w:w="962" w:type="dxa"/>
            <w:hideMark/>
          </w:tcPr>
          <w:p w14:paraId="40A7DE59"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0.10</w:t>
            </w:r>
          </w:p>
        </w:tc>
        <w:tc>
          <w:tcPr>
            <w:tcW w:w="962" w:type="dxa"/>
            <w:hideMark/>
          </w:tcPr>
          <w:p w14:paraId="0309CA1D"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0.09</w:t>
            </w:r>
          </w:p>
        </w:tc>
        <w:tc>
          <w:tcPr>
            <w:tcW w:w="0" w:type="auto"/>
            <w:hideMark/>
          </w:tcPr>
          <w:p w14:paraId="299B5C7B"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Non-Base</w:t>
            </w:r>
          </w:p>
        </w:tc>
      </w:tr>
      <w:tr w:rsidR="00E75A1D" w:rsidRPr="00E75A1D" w14:paraId="6C99635D" w14:textId="77777777" w:rsidTr="00E75A1D">
        <w:tc>
          <w:tcPr>
            <w:tcW w:w="2365" w:type="dxa"/>
            <w:hideMark/>
          </w:tcPr>
          <w:p w14:paraId="17F670D2"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Bird’s Eye Chili</w:t>
            </w:r>
          </w:p>
        </w:tc>
        <w:tc>
          <w:tcPr>
            <w:tcW w:w="821" w:type="dxa"/>
            <w:hideMark/>
          </w:tcPr>
          <w:p w14:paraId="6452E282"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0.46</w:t>
            </w:r>
          </w:p>
        </w:tc>
        <w:tc>
          <w:tcPr>
            <w:tcW w:w="820" w:type="dxa"/>
            <w:hideMark/>
          </w:tcPr>
          <w:p w14:paraId="5AC8743C"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0.72</w:t>
            </w:r>
          </w:p>
        </w:tc>
        <w:tc>
          <w:tcPr>
            <w:tcW w:w="821" w:type="dxa"/>
            <w:hideMark/>
          </w:tcPr>
          <w:p w14:paraId="572007EC"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1.52</w:t>
            </w:r>
          </w:p>
        </w:tc>
        <w:tc>
          <w:tcPr>
            <w:tcW w:w="962" w:type="dxa"/>
            <w:hideMark/>
          </w:tcPr>
          <w:p w14:paraId="02DCD8AE"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0.72</w:t>
            </w:r>
          </w:p>
        </w:tc>
        <w:tc>
          <w:tcPr>
            <w:tcW w:w="962" w:type="dxa"/>
            <w:hideMark/>
          </w:tcPr>
          <w:p w14:paraId="6D714CEC"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0.33</w:t>
            </w:r>
          </w:p>
        </w:tc>
        <w:tc>
          <w:tcPr>
            <w:tcW w:w="0" w:type="auto"/>
            <w:hideMark/>
          </w:tcPr>
          <w:p w14:paraId="2EA0DF0B"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Base (2021)</w:t>
            </w:r>
          </w:p>
        </w:tc>
      </w:tr>
      <w:tr w:rsidR="00E75A1D" w:rsidRPr="00E75A1D" w14:paraId="25211A3C" w14:textId="77777777" w:rsidTr="00E75A1D">
        <w:tc>
          <w:tcPr>
            <w:tcW w:w="2365" w:type="dxa"/>
            <w:hideMark/>
          </w:tcPr>
          <w:p w14:paraId="5385D3BB"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Potato</w:t>
            </w:r>
          </w:p>
        </w:tc>
        <w:tc>
          <w:tcPr>
            <w:tcW w:w="821" w:type="dxa"/>
            <w:hideMark/>
          </w:tcPr>
          <w:p w14:paraId="50188AF8"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11.69</w:t>
            </w:r>
          </w:p>
        </w:tc>
        <w:tc>
          <w:tcPr>
            <w:tcW w:w="820" w:type="dxa"/>
            <w:hideMark/>
          </w:tcPr>
          <w:p w14:paraId="5898245C"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3.61</w:t>
            </w:r>
          </w:p>
        </w:tc>
        <w:tc>
          <w:tcPr>
            <w:tcW w:w="821" w:type="dxa"/>
            <w:hideMark/>
          </w:tcPr>
          <w:p w14:paraId="5FB7B636"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1.04</w:t>
            </w:r>
          </w:p>
        </w:tc>
        <w:tc>
          <w:tcPr>
            <w:tcW w:w="962" w:type="dxa"/>
            <w:hideMark/>
          </w:tcPr>
          <w:p w14:paraId="25D618D3"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18.82</w:t>
            </w:r>
          </w:p>
        </w:tc>
        <w:tc>
          <w:tcPr>
            <w:tcW w:w="962" w:type="dxa"/>
            <w:hideMark/>
          </w:tcPr>
          <w:p w14:paraId="21831D03"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12.96</w:t>
            </w:r>
          </w:p>
        </w:tc>
        <w:tc>
          <w:tcPr>
            <w:tcW w:w="0" w:type="auto"/>
            <w:hideMark/>
          </w:tcPr>
          <w:p w14:paraId="3DFCC512"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Flagship Base</w:t>
            </w:r>
          </w:p>
        </w:tc>
      </w:tr>
      <w:tr w:rsidR="00E75A1D" w:rsidRPr="00E75A1D" w14:paraId="2205A934" w14:textId="77777777" w:rsidTr="00E75A1D">
        <w:tc>
          <w:tcPr>
            <w:tcW w:w="2365" w:type="dxa"/>
            <w:hideMark/>
          </w:tcPr>
          <w:p w14:paraId="01F82959"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lastRenderedPageBreak/>
              <w:t>Cabbage</w:t>
            </w:r>
          </w:p>
        </w:tc>
        <w:tc>
          <w:tcPr>
            <w:tcW w:w="821" w:type="dxa"/>
            <w:hideMark/>
          </w:tcPr>
          <w:p w14:paraId="2856DBA1"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18.28</w:t>
            </w:r>
          </w:p>
        </w:tc>
        <w:tc>
          <w:tcPr>
            <w:tcW w:w="820" w:type="dxa"/>
            <w:hideMark/>
          </w:tcPr>
          <w:p w14:paraId="27346DFC"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8.41</w:t>
            </w:r>
          </w:p>
        </w:tc>
        <w:tc>
          <w:tcPr>
            <w:tcW w:w="821" w:type="dxa"/>
            <w:hideMark/>
          </w:tcPr>
          <w:p w14:paraId="216C1366"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0.00</w:t>
            </w:r>
          </w:p>
        </w:tc>
        <w:tc>
          <w:tcPr>
            <w:tcW w:w="962" w:type="dxa"/>
            <w:hideMark/>
          </w:tcPr>
          <w:p w14:paraId="4A30E208"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16.40</w:t>
            </w:r>
          </w:p>
        </w:tc>
        <w:tc>
          <w:tcPr>
            <w:tcW w:w="962" w:type="dxa"/>
            <w:hideMark/>
          </w:tcPr>
          <w:p w14:paraId="505C2CAA"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13.47</w:t>
            </w:r>
          </w:p>
        </w:tc>
        <w:tc>
          <w:tcPr>
            <w:tcW w:w="0" w:type="auto"/>
            <w:hideMark/>
          </w:tcPr>
          <w:p w14:paraId="7B2A54D7"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Flagship Base</w:t>
            </w:r>
          </w:p>
        </w:tc>
      </w:tr>
      <w:tr w:rsidR="00E75A1D" w:rsidRPr="00E75A1D" w14:paraId="7517E208" w14:textId="77777777" w:rsidTr="00E75A1D">
        <w:tc>
          <w:tcPr>
            <w:tcW w:w="2365" w:type="dxa"/>
            <w:hideMark/>
          </w:tcPr>
          <w:p w14:paraId="4E38F559"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Tomato</w:t>
            </w:r>
          </w:p>
        </w:tc>
        <w:tc>
          <w:tcPr>
            <w:tcW w:w="821" w:type="dxa"/>
            <w:hideMark/>
          </w:tcPr>
          <w:p w14:paraId="7A293FC7"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0.16</w:t>
            </w:r>
          </w:p>
        </w:tc>
        <w:tc>
          <w:tcPr>
            <w:tcW w:w="820" w:type="dxa"/>
            <w:hideMark/>
          </w:tcPr>
          <w:p w14:paraId="1B80BD71"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0.00</w:t>
            </w:r>
          </w:p>
        </w:tc>
        <w:tc>
          <w:tcPr>
            <w:tcW w:w="821" w:type="dxa"/>
            <w:hideMark/>
          </w:tcPr>
          <w:p w14:paraId="34F04D2D"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0.00</w:t>
            </w:r>
          </w:p>
        </w:tc>
        <w:tc>
          <w:tcPr>
            <w:tcW w:w="962" w:type="dxa"/>
            <w:hideMark/>
          </w:tcPr>
          <w:p w14:paraId="01CD88E0"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3.48</w:t>
            </w:r>
          </w:p>
        </w:tc>
        <w:tc>
          <w:tcPr>
            <w:tcW w:w="962" w:type="dxa"/>
            <w:hideMark/>
          </w:tcPr>
          <w:p w14:paraId="45089E77"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1.46</w:t>
            </w:r>
          </w:p>
        </w:tc>
        <w:tc>
          <w:tcPr>
            <w:tcW w:w="0" w:type="auto"/>
            <w:hideMark/>
          </w:tcPr>
          <w:p w14:paraId="76B411B2"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Base (2022–2023)</w:t>
            </w:r>
          </w:p>
        </w:tc>
      </w:tr>
      <w:tr w:rsidR="00E75A1D" w:rsidRPr="00E75A1D" w14:paraId="2CAEB12A" w14:textId="77777777" w:rsidTr="00E75A1D">
        <w:tc>
          <w:tcPr>
            <w:tcW w:w="2365" w:type="dxa"/>
            <w:hideMark/>
          </w:tcPr>
          <w:p w14:paraId="30473D3A"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Spring Onion</w:t>
            </w:r>
          </w:p>
        </w:tc>
        <w:tc>
          <w:tcPr>
            <w:tcW w:w="821" w:type="dxa"/>
            <w:hideMark/>
          </w:tcPr>
          <w:p w14:paraId="38049856"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7.95</w:t>
            </w:r>
          </w:p>
        </w:tc>
        <w:tc>
          <w:tcPr>
            <w:tcW w:w="820" w:type="dxa"/>
            <w:hideMark/>
          </w:tcPr>
          <w:p w14:paraId="2354F2E9"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4.69</w:t>
            </w:r>
          </w:p>
        </w:tc>
        <w:tc>
          <w:tcPr>
            <w:tcW w:w="821" w:type="dxa"/>
            <w:hideMark/>
          </w:tcPr>
          <w:p w14:paraId="0CF79C0E"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2.19</w:t>
            </w:r>
          </w:p>
        </w:tc>
        <w:tc>
          <w:tcPr>
            <w:tcW w:w="962" w:type="dxa"/>
            <w:hideMark/>
          </w:tcPr>
          <w:p w14:paraId="122A7C89"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6.71</w:t>
            </w:r>
          </w:p>
        </w:tc>
        <w:tc>
          <w:tcPr>
            <w:tcW w:w="962" w:type="dxa"/>
            <w:hideMark/>
          </w:tcPr>
          <w:p w14:paraId="02F85722"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5.10</w:t>
            </w:r>
          </w:p>
        </w:tc>
        <w:tc>
          <w:tcPr>
            <w:tcW w:w="0" w:type="auto"/>
            <w:hideMark/>
          </w:tcPr>
          <w:p w14:paraId="0C337225"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Flagship Base</w:t>
            </w:r>
          </w:p>
        </w:tc>
      </w:tr>
      <w:tr w:rsidR="00E75A1D" w:rsidRPr="00E75A1D" w14:paraId="3BAFB469" w14:textId="77777777" w:rsidTr="00E75A1D">
        <w:tc>
          <w:tcPr>
            <w:tcW w:w="2365" w:type="dxa"/>
            <w:hideMark/>
          </w:tcPr>
          <w:p w14:paraId="44CF59D0"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Cauliflower</w:t>
            </w:r>
          </w:p>
        </w:tc>
        <w:tc>
          <w:tcPr>
            <w:tcW w:w="821" w:type="dxa"/>
            <w:hideMark/>
          </w:tcPr>
          <w:p w14:paraId="61B548AE"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0.00</w:t>
            </w:r>
          </w:p>
        </w:tc>
        <w:tc>
          <w:tcPr>
            <w:tcW w:w="820" w:type="dxa"/>
            <w:hideMark/>
          </w:tcPr>
          <w:p w14:paraId="02B221B8"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2.31</w:t>
            </w:r>
          </w:p>
        </w:tc>
        <w:tc>
          <w:tcPr>
            <w:tcW w:w="821" w:type="dxa"/>
            <w:hideMark/>
          </w:tcPr>
          <w:p w14:paraId="06C42F8B"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6.70</w:t>
            </w:r>
          </w:p>
        </w:tc>
        <w:tc>
          <w:tcPr>
            <w:tcW w:w="962" w:type="dxa"/>
            <w:hideMark/>
          </w:tcPr>
          <w:p w14:paraId="2F60949B"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22.75</w:t>
            </w:r>
          </w:p>
        </w:tc>
        <w:tc>
          <w:tcPr>
            <w:tcW w:w="962" w:type="dxa"/>
            <w:hideMark/>
          </w:tcPr>
          <w:p w14:paraId="2731D61E"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14.44</w:t>
            </w:r>
          </w:p>
        </w:tc>
        <w:tc>
          <w:tcPr>
            <w:tcW w:w="0" w:type="auto"/>
            <w:hideMark/>
          </w:tcPr>
          <w:p w14:paraId="3DF002FF"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Flagship Base</w:t>
            </w:r>
          </w:p>
        </w:tc>
      </w:tr>
    </w:tbl>
    <w:p w14:paraId="5EA8F21D" w14:textId="77777777" w:rsidR="00E75A1D" w:rsidRPr="00E75A1D" w:rsidRDefault="00E75A1D" w:rsidP="00E75A1D">
      <w:pPr>
        <w:rPr>
          <w:rFonts w:ascii="Times New Roman" w:hAnsi="Times New Roman" w:cs="Times New Roman"/>
        </w:rPr>
      </w:pPr>
      <w:r w:rsidRPr="00E75A1D">
        <w:rPr>
          <w:rFonts w:ascii="Times New Roman" w:hAnsi="Times New Roman" w:cs="Times New Roman"/>
          <w:b/>
          <w:bCs/>
        </w:rPr>
        <w:t>Source:</w:t>
      </w:r>
      <w:r w:rsidRPr="00E75A1D">
        <w:rPr>
          <w:rFonts w:ascii="Times New Roman" w:hAnsi="Times New Roman" w:cs="Times New Roman"/>
        </w:rPr>
        <w:t xml:space="preserve"> Data Processed from BPS Aceh Tengah, 2025</w:t>
      </w:r>
    </w:p>
    <w:p w14:paraId="125D37CD" w14:textId="601FE919" w:rsidR="00E75A1D" w:rsidRPr="00E75A1D" w:rsidRDefault="00E75A1D" w:rsidP="00E75A1D">
      <w:pPr>
        <w:rPr>
          <w:rFonts w:ascii="Times New Roman" w:hAnsi="Times New Roman" w:cs="Times New Roman"/>
        </w:rPr>
      </w:pPr>
    </w:p>
    <w:p w14:paraId="332E183C" w14:textId="77777777" w:rsidR="00E75A1D" w:rsidRPr="00E75A1D" w:rsidRDefault="00E75A1D" w:rsidP="00E75A1D">
      <w:pPr>
        <w:rPr>
          <w:rFonts w:ascii="Times New Roman" w:hAnsi="Times New Roman" w:cs="Times New Roman"/>
        </w:rPr>
      </w:pPr>
      <w:r w:rsidRPr="00E75A1D">
        <w:rPr>
          <w:rFonts w:ascii="Times New Roman" w:hAnsi="Times New Roman" w:cs="Times New Roman"/>
        </w:rPr>
        <w:t xml:space="preserve">The five-year LQ trend reveals several important dynamics in </w:t>
      </w:r>
      <w:proofErr w:type="spellStart"/>
      <w:r w:rsidRPr="00E75A1D">
        <w:rPr>
          <w:rFonts w:ascii="Times New Roman" w:hAnsi="Times New Roman" w:cs="Times New Roman"/>
        </w:rPr>
        <w:t>Bebesen’s</w:t>
      </w:r>
      <w:proofErr w:type="spellEnd"/>
      <w:r w:rsidRPr="00E75A1D">
        <w:rPr>
          <w:rFonts w:ascii="Times New Roman" w:hAnsi="Times New Roman" w:cs="Times New Roman"/>
        </w:rPr>
        <w:t xml:space="preserve"> agricultural sector:</w:t>
      </w:r>
    </w:p>
    <w:p w14:paraId="0A6473B1" w14:textId="77777777" w:rsidR="00E75A1D" w:rsidRPr="00E75A1D" w:rsidRDefault="00E75A1D" w:rsidP="00E75A1D">
      <w:pPr>
        <w:numPr>
          <w:ilvl w:val="0"/>
          <w:numId w:val="13"/>
        </w:numPr>
        <w:jc w:val="both"/>
        <w:rPr>
          <w:rFonts w:ascii="Times New Roman" w:hAnsi="Times New Roman" w:cs="Times New Roman"/>
        </w:rPr>
      </w:pPr>
      <w:r w:rsidRPr="00E75A1D">
        <w:rPr>
          <w:rFonts w:ascii="Times New Roman" w:hAnsi="Times New Roman" w:cs="Times New Roman"/>
        </w:rPr>
        <w:t>Stable Flagship Commodities:</w:t>
      </w:r>
    </w:p>
    <w:p w14:paraId="4AB70220" w14:textId="77777777" w:rsidR="00E75A1D" w:rsidRPr="00E75A1D" w:rsidRDefault="00E75A1D" w:rsidP="00E75A1D">
      <w:pPr>
        <w:numPr>
          <w:ilvl w:val="1"/>
          <w:numId w:val="13"/>
        </w:numPr>
        <w:jc w:val="both"/>
        <w:rPr>
          <w:rFonts w:ascii="Times New Roman" w:hAnsi="Times New Roman" w:cs="Times New Roman"/>
        </w:rPr>
      </w:pPr>
      <w:r w:rsidRPr="00E75A1D">
        <w:rPr>
          <w:rFonts w:ascii="Times New Roman" w:hAnsi="Times New Roman" w:cs="Times New Roman"/>
        </w:rPr>
        <w:t>Potato, cabbage, spring onion, and cauliflower consistently exhibit high LQ values (&gt;2 in most years), confirming their status as flagship base commodities.</w:t>
      </w:r>
    </w:p>
    <w:p w14:paraId="69D961A2" w14:textId="77777777" w:rsidR="00E75A1D" w:rsidRPr="00E75A1D" w:rsidRDefault="00E75A1D" w:rsidP="00E75A1D">
      <w:pPr>
        <w:numPr>
          <w:ilvl w:val="1"/>
          <w:numId w:val="13"/>
        </w:numPr>
        <w:jc w:val="both"/>
        <w:rPr>
          <w:rFonts w:ascii="Times New Roman" w:hAnsi="Times New Roman" w:cs="Times New Roman"/>
        </w:rPr>
      </w:pPr>
      <w:r w:rsidRPr="00E75A1D">
        <w:rPr>
          <w:rFonts w:ascii="Times New Roman" w:hAnsi="Times New Roman" w:cs="Times New Roman"/>
        </w:rPr>
        <w:t>These commodities have outperformed others in both production volume and market orientation, benefiting from agro-ecological suitability and established farmer expertise.</w:t>
      </w:r>
    </w:p>
    <w:p w14:paraId="53838627" w14:textId="77777777" w:rsidR="00E75A1D" w:rsidRPr="00E75A1D" w:rsidRDefault="00E75A1D" w:rsidP="00E75A1D">
      <w:pPr>
        <w:numPr>
          <w:ilvl w:val="0"/>
          <w:numId w:val="13"/>
        </w:numPr>
        <w:jc w:val="both"/>
        <w:rPr>
          <w:rFonts w:ascii="Times New Roman" w:hAnsi="Times New Roman" w:cs="Times New Roman"/>
        </w:rPr>
      </w:pPr>
      <w:r w:rsidRPr="00E75A1D">
        <w:rPr>
          <w:rFonts w:ascii="Times New Roman" w:hAnsi="Times New Roman" w:cs="Times New Roman"/>
        </w:rPr>
        <w:t>Emerging Base Commodities:</w:t>
      </w:r>
    </w:p>
    <w:p w14:paraId="77BE5B22" w14:textId="77777777" w:rsidR="00E75A1D" w:rsidRPr="00E75A1D" w:rsidRDefault="00E75A1D" w:rsidP="00E75A1D">
      <w:pPr>
        <w:numPr>
          <w:ilvl w:val="1"/>
          <w:numId w:val="13"/>
        </w:numPr>
        <w:jc w:val="both"/>
        <w:rPr>
          <w:rFonts w:ascii="Times New Roman" w:hAnsi="Times New Roman" w:cs="Times New Roman"/>
        </w:rPr>
      </w:pPr>
      <w:r w:rsidRPr="00E75A1D">
        <w:rPr>
          <w:rFonts w:ascii="Times New Roman" w:hAnsi="Times New Roman" w:cs="Times New Roman"/>
        </w:rPr>
        <w:t>Shallot and tomato transitioned into base commodities only in the last two years (2022–2023). Their recent emergence indicates a possible diversification of production systems and successful crop rotation strategies.</w:t>
      </w:r>
    </w:p>
    <w:p w14:paraId="5CBB26CE" w14:textId="77777777" w:rsidR="00E75A1D" w:rsidRPr="00E75A1D" w:rsidRDefault="00E75A1D" w:rsidP="00E75A1D">
      <w:pPr>
        <w:numPr>
          <w:ilvl w:val="1"/>
          <w:numId w:val="13"/>
        </w:numPr>
        <w:jc w:val="both"/>
        <w:rPr>
          <w:rFonts w:ascii="Times New Roman" w:hAnsi="Times New Roman" w:cs="Times New Roman"/>
        </w:rPr>
      </w:pPr>
      <w:r w:rsidRPr="00E75A1D">
        <w:rPr>
          <w:rFonts w:ascii="Times New Roman" w:hAnsi="Times New Roman" w:cs="Times New Roman"/>
        </w:rPr>
        <w:t>These commodities require further support in terms of post-harvest handling, storage, and market integration to sustain their base status.</w:t>
      </w:r>
    </w:p>
    <w:p w14:paraId="12CC85A1" w14:textId="77777777" w:rsidR="00E75A1D" w:rsidRPr="00E75A1D" w:rsidRDefault="00E75A1D" w:rsidP="00E75A1D">
      <w:pPr>
        <w:numPr>
          <w:ilvl w:val="0"/>
          <w:numId w:val="13"/>
        </w:numPr>
        <w:jc w:val="both"/>
        <w:rPr>
          <w:rFonts w:ascii="Times New Roman" w:hAnsi="Times New Roman" w:cs="Times New Roman"/>
        </w:rPr>
      </w:pPr>
      <w:r w:rsidRPr="00E75A1D">
        <w:rPr>
          <w:rFonts w:ascii="Times New Roman" w:hAnsi="Times New Roman" w:cs="Times New Roman"/>
        </w:rPr>
        <w:t>Volatile Commodities:</w:t>
      </w:r>
    </w:p>
    <w:p w14:paraId="4B2F2E54" w14:textId="77777777" w:rsidR="00E75A1D" w:rsidRPr="00E75A1D" w:rsidRDefault="00E75A1D" w:rsidP="00E75A1D">
      <w:pPr>
        <w:numPr>
          <w:ilvl w:val="1"/>
          <w:numId w:val="13"/>
        </w:numPr>
        <w:jc w:val="both"/>
        <w:rPr>
          <w:rFonts w:ascii="Times New Roman" w:hAnsi="Times New Roman" w:cs="Times New Roman"/>
        </w:rPr>
      </w:pPr>
      <w:r w:rsidRPr="00E75A1D">
        <w:rPr>
          <w:rFonts w:ascii="Times New Roman" w:hAnsi="Times New Roman" w:cs="Times New Roman"/>
        </w:rPr>
        <w:t>Bird’s eye chili (</w:t>
      </w:r>
      <w:proofErr w:type="spellStart"/>
      <w:r w:rsidRPr="00E75A1D">
        <w:rPr>
          <w:rFonts w:ascii="Times New Roman" w:hAnsi="Times New Roman" w:cs="Times New Roman"/>
        </w:rPr>
        <w:t>cabai</w:t>
      </w:r>
      <w:proofErr w:type="spellEnd"/>
      <w:r w:rsidRPr="00E75A1D">
        <w:rPr>
          <w:rFonts w:ascii="Times New Roman" w:hAnsi="Times New Roman" w:cs="Times New Roman"/>
        </w:rPr>
        <w:t xml:space="preserve"> </w:t>
      </w:r>
      <w:proofErr w:type="spellStart"/>
      <w:r w:rsidRPr="00E75A1D">
        <w:rPr>
          <w:rFonts w:ascii="Times New Roman" w:hAnsi="Times New Roman" w:cs="Times New Roman"/>
        </w:rPr>
        <w:t>rawit</w:t>
      </w:r>
      <w:proofErr w:type="spellEnd"/>
      <w:r w:rsidRPr="00E75A1D">
        <w:rPr>
          <w:rFonts w:ascii="Times New Roman" w:hAnsi="Times New Roman" w:cs="Times New Roman"/>
        </w:rPr>
        <w:t>) was only a base commodity in 2021 (LQ = 1.52) but declined afterward.</w:t>
      </w:r>
    </w:p>
    <w:p w14:paraId="6C11393C" w14:textId="77777777" w:rsidR="00E75A1D" w:rsidRPr="00E75A1D" w:rsidRDefault="00E75A1D" w:rsidP="00E75A1D">
      <w:pPr>
        <w:numPr>
          <w:ilvl w:val="1"/>
          <w:numId w:val="13"/>
        </w:numPr>
        <w:jc w:val="both"/>
        <w:rPr>
          <w:rFonts w:ascii="Times New Roman" w:hAnsi="Times New Roman" w:cs="Times New Roman"/>
        </w:rPr>
      </w:pPr>
      <w:r w:rsidRPr="00E75A1D">
        <w:rPr>
          <w:rFonts w:ascii="Times New Roman" w:hAnsi="Times New Roman" w:cs="Times New Roman"/>
        </w:rPr>
        <w:t>Curly chili (</w:t>
      </w:r>
      <w:proofErr w:type="spellStart"/>
      <w:r w:rsidRPr="00E75A1D">
        <w:rPr>
          <w:rFonts w:ascii="Times New Roman" w:hAnsi="Times New Roman" w:cs="Times New Roman"/>
        </w:rPr>
        <w:t>cabai</w:t>
      </w:r>
      <w:proofErr w:type="spellEnd"/>
      <w:r w:rsidRPr="00E75A1D">
        <w:rPr>
          <w:rFonts w:ascii="Times New Roman" w:hAnsi="Times New Roman" w:cs="Times New Roman"/>
        </w:rPr>
        <w:t xml:space="preserve"> </w:t>
      </w:r>
      <w:proofErr w:type="spellStart"/>
      <w:r w:rsidRPr="00E75A1D">
        <w:rPr>
          <w:rFonts w:ascii="Times New Roman" w:hAnsi="Times New Roman" w:cs="Times New Roman"/>
        </w:rPr>
        <w:t>keriting</w:t>
      </w:r>
      <w:proofErr w:type="spellEnd"/>
      <w:r w:rsidRPr="00E75A1D">
        <w:rPr>
          <w:rFonts w:ascii="Times New Roman" w:hAnsi="Times New Roman" w:cs="Times New Roman"/>
        </w:rPr>
        <w:t>) remained consistently non-base across all years, suggesting low comparative advantage and possibly high local consumption that limits export potential.</w:t>
      </w:r>
    </w:p>
    <w:p w14:paraId="6BCDA223" w14:textId="77777777" w:rsidR="00E75A1D" w:rsidRPr="00E75A1D" w:rsidRDefault="00E75A1D" w:rsidP="00E75A1D">
      <w:pPr>
        <w:numPr>
          <w:ilvl w:val="0"/>
          <w:numId w:val="13"/>
        </w:numPr>
        <w:jc w:val="both"/>
        <w:rPr>
          <w:rFonts w:ascii="Times New Roman" w:hAnsi="Times New Roman" w:cs="Times New Roman"/>
        </w:rPr>
      </w:pPr>
      <w:r w:rsidRPr="00E75A1D">
        <w:rPr>
          <w:rFonts w:ascii="Times New Roman" w:hAnsi="Times New Roman" w:cs="Times New Roman"/>
        </w:rPr>
        <w:t>Declining Strategic Role of Arabica Coffee:</w:t>
      </w:r>
    </w:p>
    <w:p w14:paraId="4AD215EB" w14:textId="77777777" w:rsidR="00E75A1D" w:rsidRPr="00E75A1D" w:rsidRDefault="00E75A1D" w:rsidP="00E75A1D">
      <w:pPr>
        <w:numPr>
          <w:ilvl w:val="1"/>
          <w:numId w:val="13"/>
        </w:numPr>
        <w:jc w:val="both"/>
        <w:rPr>
          <w:rFonts w:ascii="Times New Roman" w:hAnsi="Times New Roman" w:cs="Times New Roman"/>
        </w:rPr>
      </w:pPr>
      <w:r w:rsidRPr="00E75A1D">
        <w:rPr>
          <w:rFonts w:ascii="Times New Roman" w:hAnsi="Times New Roman" w:cs="Times New Roman"/>
        </w:rPr>
        <w:t>While not included in the table above, earlier analysis revealed that Gayo Arabica coffee's LQ value is 0.66, placing it below the base threshold. This supports the argument that Bebesen’s economic base is shifting away from traditional coffee toward high-value horticulture.</w:t>
      </w:r>
    </w:p>
    <w:p w14:paraId="0CCF1338" w14:textId="433E4E1C" w:rsidR="00425F0D" w:rsidRPr="00425F0D" w:rsidRDefault="00425F0D" w:rsidP="00425F0D">
      <w:pPr>
        <w:rPr>
          <w:rFonts w:ascii="Times New Roman" w:hAnsi="Times New Roman" w:cs="Times New Roman"/>
        </w:rPr>
      </w:pPr>
    </w:p>
    <w:p w14:paraId="7F20F2D4" w14:textId="77777777" w:rsidR="00425F0D" w:rsidRPr="00425F0D" w:rsidRDefault="00425F0D" w:rsidP="00425F0D">
      <w:pPr>
        <w:rPr>
          <w:rFonts w:ascii="Times New Roman" w:hAnsi="Times New Roman" w:cs="Times New Roman"/>
          <w:b/>
          <w:bCs/>
        </w:rPr>
      </w:pPr>
      <w:r w:rsidRPr="00425F0D">
        <w:rPr>
          <w:rFonts w:ascii="Times New Roman" w:hAnsi="Times New Roman" w:cs="Times New Roman"/>
          <w:b/>
          <w:bCs/>
        </w:rPr>
        <w:t>3. Growth Classification via Klassen Typology</w:t>
      </w:r>
    </w:p>
    <w:p w14:paraId="20A2DDD9" w14:textId="0A405EA6" w:rsidR="00E75A1D" w:rsidRPr="00E75A1D" w:rsidRDefault="00E75A1D" w:rsidP="00E75A1D">
      <w:pPr>
        <w:jc w:val="both"/>
        <w:rPr>
          <w:rFonts w:ascii="Times New Roman" w:hAnsi="Times New Roman" w:cs="Times New Roman"/>
        </w:rPr>
      </w:pPr>
      <w:proofErr w:type="spellStart"/>
      <w:r w:rsidRPr="00E75A1D">
        <w:rPr>
          <w:rFonts w:ascii="Times New Roman" w:hAnsi="Times New Roman" w:cs="Times New Roman"/>
        </w:rPr>
        <w:lastRenderedPageBreak/>
        <w:t>Tthe</w:t>
      </w:r>
      <w:proofErr w:type="spellEnd"/>
      <w:r w:rsidRPr="00E75A1D">
        <w:rPr>
          <w:rFonts w:ascii="Times New Roman" w:hAnsi="Times New Roman" w:cs="Times New Roman"/>
        </w:rPr>
        <w:t xml:space="preserve"> development trajectory of </w:t>
      </w:r>
      <w:proofErr w:type="spellStart"/>
      <w:r w:rsidRPr="00E75A1D">
        <w:rPr>
          <w:rFonts w:ascii="Times New Roman" w:hAnsi="Times New Roman" w:cs="Times New Roman"/>
        </w:rPr>
        <w:t>Bebesen’s</w:t>
      </w:r>
      <w:proofErr w:type="spellEnd"/>
      <w:r w:rsidRPr="00E75A1D">
        <w:rPr>
          <w:rFonts w:ascii="Times New Roman" w:hAnsi="Times New Roman" w:cs="Times New Roman"/>
        </w:rPr>
        <w:t xml:space="preserve"> agricultural sector, a Klassen Typology analysis was conducted by comparing its sectoral growth rate and contribution against that of Central Aceh Regency over the period 2019–2023. This framework enables the classification of economic sectors into four quadrants based on performance:</w:t>
      </w:r>
    </w:p>
    <w:p w14:paraId="23259B29" w14:textId="77777777" w:rsidR="00E75A1D" w:rsidRPr="00E75A1D" w:rsidRDefault="00E75A1D" w:rsidP="00E75A1D">
      <w:pPr>
        <w:numPr>
          <w:ilvl w:val="0"/>
          <w:numId w:val="14"/>
        </w:numPr>
        <w:rPr>
          <w:rFonts w:ascii="Times New Roman" w:hAnsi="Times New Roman" w:cs="Times New Roman"/>
        </w:rPr>
      </w:pPr>
      <w:r w:rsidRPr="00E75A1D">
        <w:rPr>
          <w:rFonts w:ascii="Times New Roman" w:hAnsi="Times New Roman" w:cs="Times New Roman"/>
        </w:rPr>
        <w:t>Quadrant I: Advanced and fast-growing</w:t>
      </w:r>
    </w:p>
    <w:p w14:paraId="74BE38C0" w14:textId="77777777" w:rsidR="00E75A1D" w:rsidRPr="00E75A1D" w:rsidRDefault="00E75A1D" w:rsidP="00E75A1D">
      <w:pPr>
        <w:numPr>
          <w:ilvl w:val="0"/>
          <w:numId w:val="14"/>
        </w:numPr>
        <w:rPr>
          <w:rFonts w:ascii="Times New Roman" w:hAnsi="Times New Roman" w:cs="Times New Roman"/>
        </w:rPr>
      </w:pPr>
      <w:r w:rsidRPr="00E75A1D">
        <w:rPr>
          <w:rFonts w:ascii="Times New Roman" w:hAnsi="Times New Roman" w:cs="Times New Roman"/>
        </w:rPr>
        <w:t>Quadrant II: Advanced but pressured</w:t>
      </w:r>
    </w:p>
    <w:p w14:paraId="40941B2E" w14:textId="77777777" w:rsidR="00E75A1D" w:rsidRPr="00E75A1D" w:rsidRDefault="00E75A1D" w:rsidP="00E75A1D">
      <w:pPr>
        <w:numPr>
          <w:ilvl w:val="0"/>
          <w:numId w:val="14"/>
        </w:numPr>
        <w:rPr>
          <w:rFonts w:ascii="Times New Roman" w:hAnsi="Times New Roman" w:cs="Times New Roman"/>
        </w:rPr>
      </w:pPr>
      <w:r w:rsidRPr="00E75A1D">
        <w:rPr>
          <w:rFonts w:ascii="Times New Roman" w:hAnsi="Times New Roman" w:cs="Times New Roman"/>
        </w:rPr>
        <w:t>Quadrant III: Developing but lagging</w:t>
      </w:r>
    </w:p>
    <w:p w14:paraId="0CE39040" w14:textId="25CB51D9" w:rsidR="00E75A1D" w:rsidRPr="00E75A1D" w:rsidRDefault="00E75A1D" w:rsidP="00E75A1D">
      <w:pPr>
        <w:numPr>
          <w:ilvl w:val="0"/>
          <w:numId w:val="14"/>
        </w:numPr>
        <w:rPr>
          <w:rFonts w:ascii="Times New Roman" w:hAnsi="Times New Roman" w:cs="Times New Roman"/>
        </w:rPr>
      </w:pPr>
      <w:r w:rsidRPr="00E75A1D">
        <w:rPr>
          <w:rFonts w:ascii="Times New Roman" w:hAnsi="Times New Roman" w:cs="Times New Roman"/>
        </w:rPr>
        <w:t>Quadrant IV: Underdeveloped and stagnant</w:t>
      </w:r>
      <w:r w:rsidRPr="00E75A1D">
        <w:rPr>
          <w:rFonts w:ascii="Times New Roman" w:hAnsi="Times New Roman" w:cs="Times New Roman"/>
        </w:rPr>
        <w:br/>
      </w:r>
      <w:r>
        <w:rPr>
          <w:rFonts w:ascii="Times New Roman" w:hAnsi="Times New Roman" w:cs="Times New Roman"/>
        </w:rPr>
        <w:t xml:space="preserve"> </w:t>
      </w:r>
    </w:p>
    <w:p w14:paraId="6AC39126" w14:textId="77777777" w:rsidR="00E75A1D" w:rsidRDefault="00E75A1D" w:rsidP="00E75A1D">
      <w:pPr>
        <w:rPr>
          <w:rFonts w:ascii="Times New Roman" w:hAnsi="Times New Roman" w:cs="Times New Roman"/>
          <w:b/>
          <w:bCs/>
        </w:rPr>
      </w:pPr>
    </w:p>
    <w:p w14:paraId="1121A73E" w14:textId="6BA44EE5" w:rsidR="00E75A1D" w:rsidRPr="00E75A1D" w:rsidRDefault="00E75A1D" w:rsidP="00E75A1D">
      <w:pPr>
        <w:jc w:val="center"/>
        <w:rPr>
          <w:rFonts w:ascii="Times New Roman" w:hAnsi="Times New Roman" w:cs="Times New Roman"/>
        </w:rPr>
      </w:pPr>
      <w:r w:rsidRPr="00E75A1D">
        <w:rPr>
          <w:rFonts w:ascii="Times New Roman" w:hAnsi="Times New Roman" w:cs="Times New Roman"/>
          <w:b/>
          <w:bCs/>
        </w:rPr>
        <w:t>Table</w:t>
      </w:r>
      <w:r>
        <w:rPr>
          <w:rFonts w:ascii="Times New Roman" w:hAnsi="Times New Roman" w:cs="Times New Roman"/>
          <w:b/>
          <w:bCs/>
        </w:rPr>
        <w:t>2</w:t>
      </w:r>
      <w:r w:rsidRPr="00E75A1D">
        <w:rPr>
          <w:rFonts w:ascii="Times New Roman" w:hAnsi="Times New Roman" w:cs="Times New Roman"/>
          <w:b/>
          <w:bCs/>
        </w:rPr>
        <w:t xml:space="preserve">. </w:t>
      </w:r>
      <w:r w:rsidRPr="00E75A1D">
        <w:rPr>
          <w:rFonts w:ascii="Times New Roman" w:hAnsi="Times New Roman" w:cs="Times New Roman"/>
        </w:rPr>
        <w:t xml:space="preserve">Klassen Typology Analysis for </w:t>
      </w:r>
      <w:proofErr w:type="spellStart"/>
      <w:r w:rsidRPr="00E75A1D">
        <w:rPr>
          <w:rFonts w:ascii="Times New Roman" w:hAnsi="Times New Roman" w:cs="Times New Roman"/>
        </w:rPr>
        <w:t>Bebesen</w:t>
      </w:r>
      <w:proofErr w:type="spellEnd"/>
      <w:r w:rsidRPr="00E75A1D">
        <w:rPr>
          <w:rFonts w:ascii="Times New Roman" w:hAnsi="Times New Roman" w:cs="Times New Roman"/>
        </w:rPr>
        <w:t xml:space="preserve"> Subdistrict (2019–2023)</w:t>
      </w:r>
    </w:p>
    <w:tbl>
      <w:tblPr>
        <w:tblStyle w:val="TableGrid"/>
        <w:tblW w:w="0" w:type="auto"/>
        <w:tblLook w:val="04A0" w:firstRow="1" w:lastRow="0" w:firstColumn="1" w:lastColumn="0" w:noHBand="0" w:noVBand="1"/>
      </w:tblPr>
      <w:tblGrid>
        <w:gridCol w:w="616"/>
        <w:gridCol w:w="962"/>
        <w:gridCol w:w="908"/>
        <w:gridCol w:w="981"/>
        <w:gridCol w:w="906"/>
        <w:gridCol w:w="1366"/>
        <w:gridCol w:w="1364"/>
        <w:gridCol w:w="1914"/>
      </w:tblGrid>
      <w:tr w:rsidR="00E75A1D" w:rsidRPr="00E75A1D" w14:paraId="7F45B4E3" w14:textId="77777777" w:rsidTr="00E75A1D">
        <w:tc>
          <w:tcPr>
            <w:tcW w:w="0" w:type="auto"/>
            <w:hideMark/>
          </w:tcPr>
          <w:p w14:paraId="5319ADA5" w14:textId="77777777" w:rsidR="00E75A1D" w:rsidRPr="00E75A1D" w:rsidRDefault="00E75A1D" w:rsidP="00E75A1D">
            <w:pPr>
              <w:spacing w:after="160" w:line="278" w:lineRule="auto"/>
              <w:rPr>
                <w:rFonts w:ascii="Times New Roman" w:hAnsi="Times New Roman" w:cs="Times New Roman"/>
                <w:b/>
                <w:bCs/>
                <w:sz w:val="20"/>
                <w:szCs w:val="20"/>
              </w:rPr>
            </w:pPr>
            <w:r w:rsidRPr="00E75A1D">
              <w:rPr>
                <w:rFonts w:ascii="Times New Roman" w:hAnsi="Times New Roman" w:cs="Times New Roman"/>
                <w:b/>
                <w:bCs/>
                <w:sz w:val="20"/>
                <w:szCs w:val="20"/>
              </w:rPr>
              <w:t>Year</w:t>
            </w:r>
          </w:p>
        </w:tc>
        <w:tc>
          <w:tcPr>
            <w:tcW w:w="0" w:type="auto"/>
            <w:hideMark/>
          </w:tcPr>
          <w:p w14:paraId="1B276EA8" w14:textId="77777777" w:rsidR="00E75A1D" w:rsidRPr="00E75A1D" w:rsidRDefault="00E75A1D" w:rsidP="00E75A1D">
            <w:pPr>
              <w:spacing w:after="160" w:line="278" w:lineRule="auto"/>
              <w:rPr>
                <w:rFonts w:ascii="Times New Roman" w:hAnsi="Times New Roman" w:cs="Times New Roman"/>
                <w:b/>
                <w:bCs/>
                <w:sz w:val="20"/>
                <w:szCs w:val="20"/>
              </w:rPr>
            </w:pPr>
            <w:r w:rsidRPr="00E75A1D">
              <w:rPr>
                <w:rFonts w:ascii="Times New Roman" w:hAnsi="Times New Roman" w:cs="Times New Roman"/>
                <w:b/>
                <w:bCs/>
                <w:sz w:val="20"/>
                <w:szCs w:val="20"/>
              </w:rPr>
              <w:t xml:space="preserve">GRDP </w:t>
            </w:r>
            <w:proofErr w:type="spellStart"/>
            <w:r w:rsidRPr="00E75A1D">
              <w:rPr>
                <w:rFonts w:ascii="Times New Roman" w:hAnsi="Times New Roman" w:cs="Times New Roman"/>
                <w:b/>
                <w:bCs/>
                <w:sz w:val="20"/>
                <w:szCs w:val="20"/>
              </w:rPr>
              <w:t>Bebesen</w:t>
            </w:r>
            <w:proofErr w:type="spellEnd"/>
            <w:r w:rsidRPr="00E75A1D">
              <w:rPr>
                <w:rFonts w:ascii="Times New Roman" w:hAnsi="Times New Roman" w:cs="Times New Roman"/>
                <w:b/>
                <w:bCs/>
                <w:sz w:val="20"/>
                <w:szCs w:val="20"/>
              </w:rPr>
              <w:t xml:space="preserve"> (Yi)</w:t>
            </w:r>
          </w:p>
        </w:tc>
        <w:tc>
          <w:tcPr>
            <w:tcW w:w="0" w:type="auto"/>
            <w:hideMark/>
          </w:tcPr>
          <w:p w14:paraId="52CCE318" w14:textId="77777777" w:rsidR="00E75A1D" w:rsidRPr="00E75A1D" w:rsidRDefault="00E75A1D" w:rsidP="00E75A1D">
            <w:pPr>
              <w:spacing w:after="160" w:line="278" w:lineRule="auto"/>
              <w:rPr>
                <w:rFonts w:ascii="Times New Roman" w:hAnsi="Times New Roman" w:cs="Times New Roman"/>
                <w:b/>
                <w:bCs/>
                <w:sz w:val="20"/>
                <w:szCs w:val="20"/>
              </w:rPr>
            </w:pPr>
            <w:r w:rsidRPr="00E75A1D">
              <w:rPr>
                <w:rFonts w:ascii="Times New Roman" w:hAnsi="Times New Roman" w:cs="Times New Roman"/>
                <w:b/>
                <w:bCs/>
                <w:sz w:val="20"/>
                <w:szCs w:val="20"/>
              </w:rPr>
              <w:t>Growth Yi (%)</w:t>
            </w:r>
          </w:p>
        </w:tc>
        <w:tc>
          <w:tcPr>
            <w:tcW w:w="0" w:type="auto"/>
            <w:hideMark/>
          </w:tcPr>
          <w:p w14:paraId="1930F52D" w14:textId="77777777" w:rsidR="00E75A1D" w:rsidRPr="00E75A1D" w:rsidRDefault="00E75A1D" w:rsidP="00E75A1D">
            <w:pPr>
              <w:spacing w:after="160" w:line="278" w:lineRule="auto"/>
              <w:rPr>
                <w:rFonts w:ascii="Times New Roman" w:hAnsi="Times New Roman" w:cs="Times New Roman"/>
                <w:b/>
                <w:bCs/>
                <w:sz w:val="20"/>
                <w:szCs w:val="20"/>
              </w:rPr>
            </w:pPr>
            <w:r w:rsidRPr="00E75A1D">
              <w:rPr>
                <w:rFonts w:ascii="Times New Roman" w:hAnsi="Times New Roman" w:cs="Times New Roman"/>
                <w:b/>
                <w:bCs/>
                <w:sz w:val="20"/>
                <w:szCs w:val="20"/>
              </w:rPr>
              <w:t>GRDP Central Aceh (Y)</w:t>
            </w:r>
          </w:p>
        </w:tc>
        <w:tc>
          <w:tcPr>
            <w:tcW w:w="0" w:type="auto"/>
            <w:hideMark/>
          </w:tcPr>
          <w:p w14:paraId="063A7094" w14:textId="77777777" w:rsidR="00E75A1D" w:rsidRPr="00E75A1D" w:rsidRDefault="00E75A1D" w:rsidP="00E75A1D">
            <w:pPr>
              <w:spacing w:after="160" w:line="278" w:lineRule="auto"/>
              <w:rPr>
                <w:rFonts w:ascii="Times New Roman" w:hAnsi="Times New Roman" w:cs="Times New Roman"/>
                <w:b/>
                <w:bCs/>
                <w:sz w:val="20"/>
                <w:szCs w:val="20"/>
              </w:rPr>
            </w:pPr>
            <w:r w:rsidRPr="00E75A1D">
              <w:rPr>
                <w:rFonts w:ascii="Times New Roman" w:hAnsi="Times New Roman" w:cs="Times New Roman"/>
                <w:b/>
                <w:bCs/>
                <w:sz w:val="20"/>
                <w:szCs w:val="20"/>
              </w:rPr>
              <w:t>Growth Y (%)</w:t>
            </w:r>
          </w:p>
        </w:tc>
        <w:tc>
          <w:tcPr>
            <w:tcW w:w="0" w:type="auto"/>
            <w:hideMark/>
          </w:tcPr>
          <w:p w14:paraId="0AFD9E35" w14:textId="77777777" w:rsidR="00E75A1D" w:rsidRPr="00E75A1D" w:rsidRDefault="00E75A1D" w:rsidP="00E75A1D">
            <w:pPr>
              <w:spacing w:after="160" w:line="278" w:lineRule="auto"/>
              <w:rPr>
                <w:rFonts w:ascii="Times New Roman" w:hAnsi="Times New Roman" w:cs="Times New Roman"/>
                <w:b/>
                <w:bCs/>
                <w:sz w:val="20"/>
                <w:szCs w:val="20"/>
              </w:rPr>
            </w:pPr>
            <w:r w:rsidRPr="00E75A1D">
              <w:rPr>
                <w:rFonts w:ascii="Times New Roman" w:hAnsi="Times New Roman" w:cs="Times New Roman"/>
                <w:b/>
                <w:bCs/>
                <w:sz w:val="20"/>
                <w:szCs w:val="20"/>
              </w:rPr>
              <w:t xml:space="preserve">Contribution </w:t>
            </w:r>
            <w:proofErr w:type="spellStart"/>
            <w:r w:rsidRPr="00E75A1D">
              <w:rPr>
                <w:rFonts w:ascii="Times New Roman" w:hAnsi="Times New Roman" w:cs="Times New Roman"/>
                <w:b/>
                <w:bCs/>
                <w:sz w:val="20"/>
                <w:szCs w:val="20"/>
              </w:rPr>
              <w:t>ri</w:t>
            </w:r>
            <w:proofErr w:type="spellEnd"/>
            <w:r w:rsidRPr="00E75A1D">
              <w:rPr>
                <w:rFonts w:ascii="Times New Roman" w:hAnsi="Times New Roman" w:cs="Times New Roman"/>
                <w:b/>
                <w:bCs/>
                <w:sz w:val="20"/>
                <w:szCs w:val="20"/>
              </w:rPr>
              <w:t xml:space="preserve"> (%)</w:t>
            </w:r>
          </w:p>
        </w:tc>
        <w:tc>
          <w:tcPr>
            <w:tcW w:w="0" w:type="auto"/>
            <w:hideMark/>
          </w:tcPr>
          <w:p w14:paraId="3EAB12D3" w14:textId="77777777" w:rsidR="00E75A1D" w:rsidRPr="00E75A1D" w:rsidRDefault="00E75A1D" w:rsidP="00E75A1D">
            <w:pPr>
              <w:spacing w:after="160" w:line="278" w:lineRule="auto"/>
              <w:rPr>
                <w:rFonts w:ascii="Times New Roman" w:hAnsi="Times New Roman" w:cs="Times New Roman"/>
                <w:b/>
                <w:bCs/>
                <w:sz w:val="20"/>
                <w:szCs w:val="20"/>
              </w:rPr>
            </w:pPr>
            <w:r w:rsidRPr="00E75A1D">
              <w:rPr>
                <w:rFonts w:ascii="Times New Roman" w:hAnsi="Times New Roman" w:cs="Times New Roman"/>
                <w:b/>
                <w:bCs/>
                <w:sz w:val="20"/>
                <w:szCs w:val="20"/>
              </w:rPr>
              <w:t>Contribution r (%)</w:t>
            </w:r>
          </w:p>
        </w:tc>
        <w:tc>
          <w:tcPr>
            <w:tcW w:w="0" w:type="auto"/>
            <w:hideMark/>
          </w:tcPr>
          <w:p w14:paraId="43FDEBA3" w14:textId="77777777" w:rsidR="00E75A1D" w:rsidRPr="00E75A1D" w:rsidRDefault="00E75A1D" w:rsidP="00E75A1D">
            <w:pPr>
              <w:spacing w:after="160" w:line="278" w:lineRule="auto"/>
              <w:rPr>
                <w:rFonts w:ascii="Times New Roman" w:hAnsi="Times New Roman" w:cs="Times New Roman"/>
                <w:b/>
                <w:bCs/>
                <w:sz w:val="20"/>
                <w:szCs w:val="20"/>
              </w:rPr>
            </w:pPr>
            <w:r w:rsidRPr="00E75A1D">
              <w:rPr>
                <w:rFonts w:ascii="Times New Roman" w:hAnsi="Times New Roman" w:cs="Times New Roman"/>
                <w:b/>
                <w:bCs/>
                <w:sz w:val="20"/>
                <w:szCs w:val="20"/>
              </w:rPr>
              <w:t>Klassen Position</w:t>
            </w:r>
          </w:p>
        </w:tc>
      </w:tr>
      <w:tr w:rsidR="00E75A1D" w:rsidRPr="00E75A1D" w14:paraId="34D2DFA5" w14:textId="77777777" w:rsidTr="00E75A1D">
        <w:tc>
          <w:tcPr>
            <w:tcW w:w="0" w:type="auto"/>
            <w:hideMark/>
          </w:tcPr>
          <w:p w14:paraId="30395F27"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2019</w:t>
            </w:r>
          </w:p>
        </w:tc>
        <w:tc>
          <w:tcPr>
            <w:tcW w:w="0" w:type="auto"/>
            <w:hideMark/>
          </w:tcPr>
          <w:p w14:paraId="24042A38"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1,080.95</w:t>
            </w:r>
          </w:p>
        </w:tc>
        <w:tc>
          <w:tcPr>
            <w:tcW w:w="0" w:type="auto"/>
            <w:hideMark/>
          </w:tcPr>
          <w:p w14:paraId="4ED47205"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w:t>
            </w:r>
          </w:p>
        </w:tc>
        <w:tc>
          <w:tcPr>
            <w:tcW w:w="0" w:type="auto"/>
            <w:hideMark/>
          </w:tcPr>
          <w:p w14:paraId="47271530"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5,836.85</w:t>
            </w:r>
          </w:p>
        </w:tc>
        <w:tc>
          <w:tcPr>
            <w:tcW w:w="0" w:type="auto"/>
            <w:hideMark/>
          </w:tcPr>
          <w:p w14:paraId="4164B771"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w:t>
            </w:r>
          </w:p>
        </w:tc>
        <w:tc>
          <w:tcPr>
            <w:tcW w:w="0" w:type="auto"/>
            <w:hideMark/>
          </w:tcPr>
          <w:p w14:paraId="4FDE3E32"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35.1</w:t>
            </w:r>
          </w:p>
        </w:tc>
        <w:tc>
          <w:tcPr>
            <w:tcW w:w="0" w:type="auto"/>
            <w:hideMark/>
          </w:tcPr>
          <w:p w14:paraId="1C04DD55"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42.4</w:t>
            </w:r>
          </w:p>
        </w:tc>
        <w:tc>
          <w:tcPr>
            <w:tcW w:w="0" w:type="auto"/>
            <w:hideMark/>
          </w:tcPr>
          <w:p w14:paraId="01ABBF34"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w:t>
            </w:r>
          </w:p>
        </w:tc>
      </w:tr>
      <w:tr w:rsidR="00E75A1D" w:rsidRPr="00E75A1D" w14:paraId="241E0768" w14:textId="77777777" w:rsidTr="00E75A1D">
        <w:tc>
          <w:tcPr>
            <w:tcW w:w="0" w:type="auto"/>
            <w:hideMark/>
          </w:tcPr>
          <w:p w14:paraId="18DA87CD"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2020</w:t>
            </w:r>
          </w:p>
        </w:tc>
        <w:tc>
          <w:tcPr>
            <w:tcW w:w="0" w:type="auto"/>
            <w:hideMark/>
          </w:tcPr>
          <w:p w14:paraId="12987933"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1,068.22</w:t>
            </w:r>
          </w:p>
        </w:tc>
        <w:tc>
          <w:tcPr>
            <w:tcW w:w="0" w:type="auto"/>
            <w:hideMark/>
          </w:tcPr>
          <w:p w14:paraId="7E6E5611"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-1.17</w:t>
            </w:r>
          </w:p>
        </w:tc>
        <w:tc>
          <w:tcPr>
            <w:tcW w:w="0" w:type="auto"/>
            <w:hideMark/>
          </w:tcPr>
          <w:p w14:paraId="69E8C162"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5,767.95</w:t>
            </w:r>
          </w:p>
        </w:tc>
        <w:tc>
          <w:tcPr>
            <w:tcW w:w="0" w:type="auto"/>
            <w:hideMark/>
          </w:tcPr>
          <w:p w14:paraId="214FCC82"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-1.18</w:t>
            </w:r>
          </w:p>
        </w:tc>
        <w:tc>
          <w:tcPr>
            <w:tcW w:w="0" w:type="auto"/>
            <w:hideMark/>
          </w:tcPr>
          <w:p w14:paraId="0D654D07"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42.4</w:t>
            </w:r>
          </w:p>
        </w:tc>
        <w:tc>
          <w:tcPr>
            <w:tcW w:w="0" w:type="auto"/>
            <w:hideMark/>
          </w:tcPr>
          <w:p w14:paraId="0248C90F"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42.5</w:t>
            </w:r>
          </w:p>
        </w:tc>
        <w:tc>
          <w:tcPr>
            <w:tcW w:w="0" w:type="auto"/>
            <w:hideMark/>
          </w:tcPr>
          <w:p w14:paraId="3D55EAD0"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Quadrant II (Advanced but Pressured)</w:t>
            </w:r>
          </w:p>
        </w:tc>
      </w:tr>
      <w:tr w:rsidR="00E75A1D" w:rsidRPr="00E75A1D" w14:paraId="1BD46800" w14:textId="77777777" w:rsidTr="00E75A1D">
        <w:tc>
          <w:tcPr>
            <w:tcW w:w="0" w:type="auto"/>
            <w:hideMark/>
          </w:tcPr>
          <w:p w14:paraId="2F0EE318"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2021</w:t>
            </w:r>
          </w:p>
        </w:tc>
        <w:tc>
          <w:tcPr>
            <w:tcW w:w="0" w:type="auto"/>
            <w:hideMark/>
          </w:tcPr>
          <w:p w14:paraId="692AE00A"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1,103.44</w:t>
            </w:r>
          </w:p>
        </w:tc>
        <w:tc>
          <w:tcPr>
            <w:tcW w:w="0" w:type="auto"/>
            <w:hideMark/>
          </w:tcPr>
          <w:p w14:paraId="2CE1D50C"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+3.30</w:t>
            </w:r>
          </w:p>
        </w:tc>
        <w:tc>
          <w:tcPr>
            <w:tcW w:w="0" w:type="auto"/>
            <w:hideMark/>
          </w:tcPr>
          <w:p w14:paraId="6EB6F909"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5,958.12</w:t>
            </w:r>
          </w:p>
        </w:tc>
        <w:tc>
          <w:tcPr>
            <w:tcW w:w="0" w:type="auto"/>
            <w:hideMark/>
          </w:tcPr>
          <w:p w14:paraId="7C7CB9A3"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+3.30</w:t>
            </w:r>
          </w:p>
        </w:tc>
        <w:tc>
          <w:tcPr>
            <w:tcW w:w="0" w:type="auto"/>
            <w:hideMark/>
          </w:tcPr>
          <w:p w14:paraId="57EAADA8"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41.7</w:t>
            </w:r>
          </w:p>
        </w:tc>
        <w:tc>
          <w:tcPr>
            <w:tcW w:w="0" w:type="auto"/>
            <w:hideMark/>
          </w:tcPr>
          <w:p w14:paraId="6114E138"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41.0</w:t>
            </w:r>
          </w:p>
        </w:tc>
        <w:tc>
          <w:tcPr>
            <w:tcW w:w="0" w:type="auto"/>
            <w:hideMark/>
          </w:tcPr>
          <w:p w14:paraId="7910FD5A"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Transitional/Neutral</w:t>
            </w:r>
          </w:p>
        </w:tc>
      </w:tr>
      <w:tr w:rsidR="00E75A1D" w:rsidRPr="00E75A1D" w14:paraId="6920C8F5" w14:textId="77777777" w:rsidTr="00E75A1D">
        <w:tc>
          <w:tcPr>
            <w:tcW w:w="0" w:type="auto"/>
            <w:hideMark/>
          </w:tcPr>
          <w:p w14:paraId="3EA676AE"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2022</w:t>
            </w:r>
          </w:p>
        </w:tc>
        <w:tc>
          <w:tcPr>
            <w:tcW w:w="0" w:type="auto"/>
            <w:hideMark/>
          </w:tcPr>
          <w:p w14:paraId="1323D146"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1,157.99</w:t>
            </w:r>
          </w:p>
        </w:tc>
        <w:tc>
          <w:tcPr>
            <w:tcW w:w="0" w:type="auto"/>
            <w:hideMark/>
          </w:tcPr>
          <w:p w14:paraId="602018A9"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+4.94</w:t>
            </w:r>
          </w:p>
        </w:tc>
        <w:tc>
          <w:tcPr>
            <w:tcW w:w="0" w:type="auto"/>
            <w:hideMark/>
          </w:tcPr>
          <w:p w14:paraId="4A5EE801"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6,252.07</w:t>
            </w:r>
          </w:p>
        </w:tc>
        <w:tc>
          <w:tcPr>
            <w:tcW w:w="0" w:type="auto"/>
            <w:hideMark/>
          </w:tcPr>
          <w:p w14:paraId="35F75BAF"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+4.93</w:t>
            </w:r>
          </w:p>
        </w:tc>
        <w:tc>
          <w:tcPr>
            <w:tcW w:w="0" w:type="auto"/>
            <w:hideMark/>
          </w:tcPr>
          <w:p w14:paraId="6D8522EF"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41.2</w:t>
            </w:r>
          </w:p>
        </w:tc>
        <w:tc>
          <w:tcPr>
            <w:tcW w:w="0" w:type="auto"/>
            <w:hideMark/>
          </w:tcPr>
          <w:p w14:paraId="279A2D47"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41.2</w:t>
            </w:r>
          </w:p>
        </w:tc>
        <w:tc>
          <w:tcPr>
            <w:tcW w:w="0" w:type="auto"/>
            <w:hideMark/>
          </w:tcPr>
          <w:p w14:paraId="60C7B969"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Quadrant I (Advanced and Fast-Growing)</w:t>
            </w:r>
          </w:p>
        </w:tc>
      </w:tr>
      <w:tr w:rsidR="00E75A1D" w:rsidRPr="00E75A1D" w14:paraId="4898D117" w14:textId="77777777" w:rsidTr="00E75A1D">
        <w:tc>
          <w:tcPr>
            <w:tcW w:w="0" w:type="auto"/>
            <w:hideMark/>
          </w:tcPr>
          <w:p w14:paraId="29CA5AB6"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2023</w:t>
            </w:r>
          </w:p>
        </w:tc>
        <w:tc>
          <w:tcPr>
            <w:tcW w:w="0" w:type="auto"/>
            <w:hideMark/>
          </w:tcPr>
          <w:p w14:paraId="5306CDAF"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1,222.72</w:t>
            </w:r>
          </w:p>
        </w:tc>
        <w:tc>
          <w:tcPr>
            <w:tcW w:w="0" w:type="auto"/>
            <w:hideMark/>
          </w:tcPr>
          <w:p w14:paraId="470D9D0C"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+5.59</w:t>
            </w:r>
          </w:p>
        </w:tc>
        <w:tc>
          <w:tcPr>
            <w:tcW w:w="0" w:type="auto"/>
            <w:hideMark/>
          </w:tcPr>
          <w:p w14:paraId="704EB377"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6,602.15</w:t>
            </w:r>
          </w:p>
        </w:tc>
        <w:tc>
          <w:tcPr>
            <w:tcW w:w="0" w:type="auto"/>
            <w:hideMark/>
          </w:tcPr>
          <w:p w14:paraId="1647E1D5"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+5.61</w:t>
            </w:r>
          </w:p>
        </w:tc>
        <w:tc>
          <w:tcPr>
            <w:tcW w:w="0" w:type="auto"/>
            <w:hideMark/>
          </w:tcPr>
          <w:p w14:paraId="5EAF56C2"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41.9</w:t>
            </w:r>
          </w:p>
        </w:tc>
        <w:tc>
          <w:tcPr>
            <w:tcW w:w="0" w:type="auto"/>
            <w:hideMark/>
          </w:tcPr>
          <w:p w14:paraId="07A03B07"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41.8</w:t>
            </w:r>
          </w:p>
        </w:tc>
        <w:tc>
          <w:tcPr>
            <w:tcW w:w="0" w:type="auto"/>
            <w:hideMark/>
          </w:tcPr>
          <w:p w14:paraId="29053A42"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Quadrant I (Advanced and Fast-Growing)</w:t>
            </w:r>
          </w:p>
        </w:tc>
      </w:tr>
    </w:tbl>
    <w:p w14:paraId="1BD90D1E" w14:textId="2CDDA363" w:rsidR="00E75A1D" w:rsidRPr="00E75A1D" w:rsidRDefault="00E75A1D" w:rsidP="00E75A1D">
      <w:pPr>
        <w:rPr>
          <w:rFonts w:ascii="Times New Roman" w:hAnsi="Times New Roman" w:cs="Times New Roman"/>
        </w:rPr>
      </w:pPr>
      <w:r w:rsidRPr="00E75A1D">
        <w:rPr>
          <w:rFonts w:ascii="Times New Roman" w:hAnsi="Times New Roman" w:cs="Times New Roman"/>
          <w:b/>
          <w:bCs/>
        </w:rPr>
        <w:t>Source:</w:t>
      </w:r>
      <w:r w:rsidRPr="00E75A1D">
        <w:rPr>
          <w:rFonts w:ascii="Times New Roman" w:hAnsi="Times New Roman" w:cs="Times New Roman"/>
        </w:rPr>
        <w:t xml:space="preserve"> Processed from BPS Aceh Tengah (2019–2023)</w:t>
      </w:r>
    </w:p>
    <w:p w14:paraId="369F902D" w14:textId="77777777" w:rsidR="00E75A1D" w:rsidRDefault="00E75A1D" w:rsidP="00E75A1D">
      <w:pPr>
        <w:numPr>
          <w:ilvl w:val="0"/>
          <w:numId w:val="15"/>
        </w:numPr>
        <w:jc w:val="both"/>
        <w:rPr>
          <w:rFonts w:ascii="Times New Roman" w:hAnsi="Times New Roman" w:cs="Times New Roman"/>
        </w:rPr>
      </w:pPr>
      <w:r w:rsidRPr="00E75A1D">
        <w:rPr>
          <w:rFonts w:ascii="Times New Roman" w:hAnsi="Times New Roman" w:cs="Times New Roman"/>
        </w:rPr>
        <w:t>2020 → Quadrant II</w:t>
      </w:r>
    </w:p>
    <w:p w14:paraId="4C015C99" w14:textId="5BFBE58A" w:rsidR="00E75A1D" w:rsidRPr="00E75A1D" w:rsidRDefault="00E75A1D" w:rsidP="00E75A1D">
      <w:pPr>
        <w:ind w:left="720"/>
        <w:jc w:val="both"/>
        <w:rPr>
          <w:rFonts w:ascii="Times New Roman" w:hAnsi="Times New Roman" w:cs="Times New Roman"/>
        </w:rPr>
      </w:pPr>
      <w:r w:rsidRPr="00E75A1D">
        <w:rPr>
          <w:rFonts w:ascii="Times New Roman" w:hAnsi="Times New Roman" w:cs="Times New Roman"/>
        </w:rPr>
        <w:t xml:space="preserve">Although </w:t>
      </w:r>
      <w:proofErr w:type="spellStart"/>
      <w:r w:rsidRPr="00E75A1D">
        <w:rPr>
          <w:rFonts w:ascii="Times New Roman" w:hAnsi="Times New Roman" w:cs="Times New Roman"/>
        </w:rPr>
        <w:t>Bebesen</w:t>
      </w:r>
      <w:proofErr w:type="spellEnd"/>
      <w:r w:rsidRPr="00E75A1D">
        <w:rPr>
          <w:rFonts w:ascii="Times New Roman" w:hAnsi="Times New Roman" w:cs="Times New Roman"/>
        </w:rPr>
        <w:t xml:space="preserve"> maintained a higher contribution (</w:t>
      </w:r>
      <w:proofErr w:type="spellStart"/>
      <w:r w:rsidRPr="00E75A1D">
        <w:rPr>
          <w:rFonts w:ascii="Times New Roman" w:hAnsi="Times New Roman" w:cs="Times New Roman"/>
        </w:rPr>
        <w:t>ri</w:t>
      </w:r>
      <w:proofErr w:type="spellEnd"/>
      <w:r w:rsidRPr="00E75A1D">
        <w:rPr>
          <w:rFonts w:ascii="Times New Roman" w:hAnsi="Times New Roman" w:cs="Times New Roman"/>
        </w:rPr>
        <w:t xml:space="preserve"> &gt; r) to regional GRDP, its growth rate slightly lagged behind Central Aceh due to pandemic-related market disruptions, reduced mobility, and commodity price volatility. This reflects a mature sector under short-term stress, aligning with national agricultural stagnation trends during COVID-19</w:t>
      </w:r>
      <w:r>
        <w:rPr>
          <w:rFonts w:ascii="Times New Roman" w:hAnsi="Times New Roman" w:cs="Times New Roman"/>
        </w:rPr>
        <w:t xml:space="preserve">. </w:t>
      </w:r>
    </w:p>
    <w:p w14:paraId="2AA98152" w14:textId="77777777" w:rsidR="00E75A1D" w:rsidRDefault="00E75A1D" w:rsidP="00E75A1D">
      <w:pPr>
        <w:numPr>
          <w:ilvl w:val="0"/>
          <w:numId w:val="15"/>
        </w:numPr>
        <w:jc w:val="both"/>
        <w:rPr>
          <w:rFonts w:ascii="Times New Roman" w:hAnsi="Times New Roman" w:cs="Times New Roman"/>
        </w:rPr>
      </w:pPr>
      <w:r w:rsidRPr="00E75A1D">
        <w:rPr>
          <w:rFonts w:ascii="Times New Roman" w:hAnsi="Times New Roman" w:cs="Times New Roman"/>
        </w:rPr>
        <w:t>2021 → Neutral/Transitional</w:t>
      </w:r>
    </w:p>
    <w:p w14:paraId="6B4A46E6" w14:textId="43D2DF5C" w:rsidR="00E75A1D" w:rsidRPr="00E75A1D" w:rsidRDefault="00E75A1D" w:rsidP="00E75A1D">
      <w:pPr>
        <w:ind w:left="720"/>
        <w:jc w:val="both"/>
        <w:rPr>
          <w:rFonts w:ascii="Times New Roman" w:hAnsi="Times New Roman" w:cs="Times New Roman"/>
        </w:rPr>
      </w:pPr>
      <w:r w:rsidRPr="00E75A1D">
        <w:rPr>
          <w:rFonts w:ascii="Times New Roman" w:hAnsi="Times New Roman" w:cs="Times New Roman"/>
        </w:rPr>
        <w:t xml:space="preserve">Sectoral growth in </w:t>
      </w:r>
      <w:proofErr w:type="spellStart"/>
      <w:r w:rsidRPr="00E75A1D">
        <w:rPr>
          <w:rFonts w:ascii="Times New Roman" w:hAnsi="Times New Roman" w:cs="Times New Roman"/>
        </w:rPr>
        <w:t>Bebesen</w:t>
      </w:r>
      <w:proofErr w:type="spellEnd"/>
      <w:r w:rsidRPr="00E75A1D">
        <w:rPr>
          <w:rFonts w:ascii="Times New Roman" w:hAnsi="Times New Roman" w:cs="Times New Roman"/>
        </w:rPr>
        <w:t xml:space="preserve"> and Central Aceh were identical (3.30%), with </w:t>
      </w:r>
      <w:proofErr w:type="spellStart"/>
      <w:r w:rsidRPr="00E75A1D">
        <w:rPr>
          <w:rFonts w:ascii="Times New Roman" w:hAnsi="Times New Roman" w:cs="Times New Roman"/>
        </w:rPr>
        <w:t>Bebesen</w:t>
      </w:r>
      <w:proofErr w:type="spellEnd"/>
      <w:r w:rsidRPr="00E75A1D">
        <w:rPr>
          <w:rFonts w:ascii="Times New Roman" w:hAnsi="Times New Roman" w:cs="Times New Roman"/>
        </w:rPr>
        <w:t xml:space="preserve"> maintaining a marginally higher contribution. This marks a transitional recovery phase, driven by increased investment in horticultural production and improved weather conditions.</w:t>
      </w:r>
    </w:p>
    <w:p w14:paraId="38F640D5" w14:textId="77777777" w:rsidR="00E75A1D" w:rsidRDefault="00E75A1D" w:rsidP="00E75A1D">
      <w:pPr>
        <w:numPr>
          <w:ilvl w:val="0"/>
          <w:numId w:val="15"/>
        </w:numPr>
        <w:jc w:val="both"/>
        <w:rPr>
          <w:rFonts w:ascii="Times New Roman" w:hAnsi="Times New Roman" w:cs="Times New Roman"/>
        </w:rPr>
      </w:pPr>
      <w:r w:rsidRPr="00E75A1D">
        <w:rPr>
          <w:rFonts w:ascii="Times New Roman" w:hAnsi="Times New Roman" w:cs="Times New Roman"/>
        </w:rPr>
        <w:lastRenderedPageBreak/>
        <w:t>2022–2023 → Quadrant I (Advanced and Fast-Growing)</w:t>
      </w:r>
    </w:p>
    <w:p w14:paraId="1B8EE649" w14:textId="593BBB98" w:rsidR="00E75A1D" w:rsidRPr="00E75A1D" w:rsidRDefault="00E75A1D" w:rsidP="00E75A1D">
      <w:pPr>
        <w:ind w:left="720"/>
        <w:jc w:val="both"/>
        <w:rPr>
          <w:rFonts w:ascii="Times New Roman" w:hAnsi="Times New Roman" w:cs="Times New Roman"/>
        </w:rPr>
      </w:pPr>
      <w:proofErr w:type="spellStart"/>
      <w:r w:rsidRPr="00E75A1D">
        <w:rPr>
          <w:rFonts w:ascii="Times New Roman" w:hAnsi="Times New Roman" w:cs="Times New Roman"/>
        </w:rPr>
        <w:t>Bebesen</w:t>
      </w:r>
      <w:proofErr w:type="spellEnd"/>
      <w:r w:rsidRPr="00E75A1D">
        <w:rPr>
          <w:rFonts w:ascii="Times New Roman" w:hAnsi="Times New Roman" w:cs="Times New Roman"/>
        </w:rPr>
        <w:t xml:space="preserve"> entered a high-performance trajectory, with both growth and contribution rates exceeding or matching regional averages. This elevation is attributable to:</w:t>
      </w:r>
    </w:p>
    <w:p w14:paraId="5C110EE2" w14:textId="14207372" w:rsidR="00425F0D" w:rsidRPr="00425F0D" w:rsidRDefault="00425F0D" w:rsidP="00425F0D">
      <w:pPr>
        <w:rPr>
          <w:rFonts w:ascii="Times New Roman" w:hAnsi="Times New Roman" w:cs="Times New Roman"/>
        </w:rPr>
      </w:pPr>
    </w:p>
    <w:p w14:paraId="1574E4CC" w14:textId="235BA6A3" w:rsidR="00425F0D" w:rsidRPr="00425F0D" w:rsidRDefault="00E75A1D" w:rsidP="00425F0D">
      <w:pPr>
        <w:rPr>
          <w:rFonts w:ascii="Times New Roman" w:hAnsi="Times New Roman" w:cs="Times New Roman"/>
          <w:b/>
          <w:bCs/>
        </w:rPr>
      </w:pPr>
      <w:r>
        <w:rPr>
          <w:rFonts w:ascii="Times New Roman" w:hAnsi="Times New Roman" w:cs="Times New Roman"/>
          <w:b/>
          <w:bCs/>
        </w:rPr>
        <w:t>3.</w:t>
      </w:r>
      <w:r w:rsidR="00425F0D" w:rsidRPr="00425F0D">
        <w:rPr>
          <w:rFonts w:ascii="Times New Roman" w:hAnsi="Times New Roman" w:cs="Times New Roman"/>
          <w:b/>
          <w:bCs/>
        </w:rPr>
        <w:t>4 Strategic Direction from SWOT Analysis</w:t>
      </w:r>
    </w:p>
    <w:p w14:paraId="4B7D8B3E" w14:textId="77777777" w:rsidR="00D35246" w:rsidRPr="00D35246" w:rsidRDefault="00D35246" w:rsidP="00D35246">
      <w:pPr>
        <w:jc w:val="both"/>
        <w:rPr>
          <w:rFonts w:ascii="Times New Roman" w:hAnsi="Times New Roman" w:cs="Times New Roman"/>
        </w:rPr>
      </w:pPr>
      <w:r w:rsidRPr="00D35246">
        <w:rPr>
          <w:rFonts w:ascii="Times New Roman" w:hAnsi="Times New Roman" w:cs="Times New Roman"/>
        </w:rPr>
        <w:t xml:space="preserve">The SWOT analysis provides a comprehensive framework to assess the strategic position of </w:t>
      </w:r>
      <w:proofErr w:type="spellStart"/>
      <w:r w:rsidRPr="00D35246">
        <w:rPr>
          <w:rFonts w:ascii="Times New Roman" w:hAnsi="Times New Roman" w:cs="Times New Roman"/>
        </w:rPr>
        <w:t>Bebesen</w:t>
      </w:r>
      <w:proofErr w:type="spellEnd"/>
      <w:r w:rsidRPr="00D35246">
        <w:rPr>
          <w:rFonts w:ascii="Times New Roman" w:hAnsi="Times New Roman" w:cs="Times New Roman"/>
        </w:rPr>
        <w:t xml:space="preserve"> Subdistrict in developing its agricultural economy, particularly in high-value horticulture. The method captures internal capabilities (Strengths and Weaknesses) and external conditions (Opportunities and Threats) that influence policy and investment decisions.</w:t>
      </w:r>
    </w:p>
    <w:p w14:paraId="2A53B0B4" w14:textId="77777777" w:rsidR="00D35246" w:rsidRPr="00D35246" w:rsidRDefault="00D35246" w:rsidP="00D35246">
      <w:pPr>
        <w:jc w:val="both"/>
        <w:rPr>
          <w:rFonts w:ascii="Times New Roman" w:hAnsi="Times New Roman" w:cs="Times New Roman"/>
        </w:rPr>
      </w:pPr>
      <w:r w:rsidRPr="00D35246">
        <w:rPr>
          <w:rFonts w:ascii="Times New Roman" w:hAnsi="Times New Roman" w:cs="Times New Roman"/>
        </w:rPr>
        <w:t>To move beyond descriptive analysis, this study applies a quantitative SWOT framework using the Internal Factor Analysis Summary (IFAS) and External Factor Analysis Summary (EFAS) matrices. These matrices help prioritize factors based on weight (relative importance) and rating (impact level), culminating in an aggregate score that informs strategic positioning.</w:t>
      </w:r>
    </w:p>
    <w:p w14:paraId="67AEA16F" w14:textId="27C6DA14" w:rsidR="00D35246" w:rsidRPr="00D35246" w:rsidRDefault="00D35246" w:rsidP="00D35246">
      <w:pPr>
        <w:jc w:val="both"/>
        <w:rPr>
          <w:rFonts w:ascii="Times New Roman" w:hAnsi="Times New Roman" w:cs="Times New Roman"/>
        </w:rPr>
      </w:pPr>
    </w:p>
    <w:p w14:paraId="31741A6F" w14:textId="687057E8" w:rsidR="00D35246" w:rsidRPr="00D35246" w:rsidRDefault="00D35246" w:rsidP="00D35246">
      <w:pPr>
        <w:jc w:val="both"/>
        <w:rPr>
          <w:rFonts w:ascii="Times New Roman" w:hAnsi="Times New Roman" w:cs="Times New Roman"/>
        </w:rPr>
      </w:pPr>
      <w:r w:rsidRPr="00D35246">
        <w:rPr>
          <w:rFonts w:ascii="Times New Roman" w:hAnsi="Times New Roman" w:cs="Times New Roman"/>
        </w:rPr>
        <w:t>3.4.1 Internal Factor Analysis Summary (IFAS)</w:t>
      </w:r>
    </w:p>
    <w:p w14:paraId="4E26D882" w14:textId="77777777" w:rsidR="00D35246" w:rsidRPr="00D35246" w:rsidRDefault="00D35246" w:rsidP="00D35246">
      <w:pPr>
        <w:jc w:val="both"/>
        <w:rPr>
          <w:rFonts w:ascii="Times New Roman" w:hAnsi="Times New Roman" w:cs="Times New Roman"/>
        </w:rPr>
      </w:pPr>
      <w:r w:rsidRPr="00D35246">
        <w:rPr>
          <w:rFonts w:ascii="Times New Roman" w:hAnsi="Times New Roman" w:cs="Times New Roman"/>
        </w:rPr>
        <w:t xml:space="preserve">The IFAS matrix reflects </w:t>
      </w:r>
      <w:proofErr w:type="spellStart"/>
      <w:r w:rsidRPr="00D35246">
        <w:rPr>
          <w:rFonts w:ascii="Times New Roman" w:hAnsi="Times New Roman" w:cs="Times New Roman"/>
        </w:rPr>
        <w:t>Bebesen’s</w:t>
      </w:r>
      <w:proofErr w:type="spellEnd"/>
      <w:r w:rsidRPr="00D35246">
        <w:rPr>
          <w:rFonts w:ascii="Times New Roman" w:hAnsi="Times New Roman" w:cs="Times New Roman"/>
        </w:rPr>
        <w:t xml:space="preserve"> strengths and weaknesses as a function of its internal agricultural and economic landscape.</w:t>
      </w:r>
    </w:p>
    <w:p w14:paraId="434CD84E" w14:textId="5F95D388" w:rsidR="00D35246" w:rsidRPr="00D35246" w:rsidRDefault="00D35246" w:rsidP="00D35246">
      <w:pPr>
        <w:jc w:val="center"/>
        <w:rPr>
          <w:rFonts w:ascii="Times New Roman" w:hAnsi="Times New Roman" w:cs="Times New Roman"/>
        </w:rPr>
      </w:pPr>
      <w:r w:rsidRPr="00D35246">
        <w:rPr>
          <w:rFonts w:ascii="Times New Roman" w:hAnsi="Times New Roman" w:cs="Times New Roman"/>
          <w:b/>
          <w:bCs/>
        </w:rPr>
        <w:t xml:space="preserve">Table </w:t>
      </w:r>
      <w:r w:rsidR="00B04030">
        <w:rPr>
          <w:rFonts w:ascii="Times New Roman" w:hAnsi="Times New Roman" w:cs="Times New Roman"/>
          <w:b/>
          <w:bCs/>
        </w:rPr>
        <w:t>3</w:t>
      </w:r>
      <w:r w:rsidRPr="00D35246">
        <w:rPr>
          <w:rFonts w:ascii="Times New Roman" w:hAnsi="Times New Roman" w:cs="Times New Roman"/>
          <w:b/>
          <w:bCs/>
        </w:rPr>
        <w:t xml:space="preserve">. </w:t>
      </w:r>
      <w:r w:rsidRPr="00D35246">
        <w:rPr>
          <w:rFonts w:ascii="Times New Roman" w:hAnsi="Times New Roman" w:cs="Times New Roman"/>
        </w:rPr>
        <w:t xml:space="preserve">Internal Factor Analysis Summary (IFAS) of </w:t>
      </w:r>
      <w:proofErr w:type="spellStart"/>
      <w:r w:rsidRPr="00D35246">
        <w:rPr>
          <w:rFonts w:ascii="Times New Roman" w:hAnsi="Times New Roman" w:cs="Times New Roman"/>
        </w:rPr>
        <w:t>Bebesen</w:t>
      </w:r>
      <w:proofErr w:type="spellEnd"/>
      <w:r w:rsidRPr="00D35246">
        <w:rPr>
          <w:rFonts w:ascii="Times New Roman" w:hAnsi="Times New Roman" w:cs="Times New Roman"/>
        </w:rPr>
        <w:t xml:space="preserve"> Subdistrict</w:t>
      </w:r>
    </w:p>
    <w:tbl>
      <w:tblPr>
        <w:tblStyle w:val="TableGrid"/>
        <w:tblW w:w="0" w:type="auto"/>
        <w:tblLook w:val="04A0" w:firstRow="1" w:lastRow="0" w:firstColumn="1" w:lastColumn="0" w:noHBand="0" w:noVBand="1"/>
      </w:tblPr>
      <w:tblGrid>
        <w:gridCol w:w="6051"/>
        <w:gridCol w:w="1245"/>
        <w:gridCol w:w="910"/>
        <w:gridCol w:w="785"/>
      </w:tblGrid>
      <w:tr w:rsidR="00D35246" w:rsidRPr="00D35246" w14:paraId="1ECDE79A" w14:textId="77777777" w:rsidTr="00D35246">
        <w:tc>
          <w:tcPr>
            <w:tcW w:w="6051" w:type="dxa"/>
            <w:hideMark/>
          </w:tcPr>
          <w:p w14:paraId="76130372" w14:textId="77777777" w:rsidR="00D35246" w:rsidRPr="00D35246" w:rsidRDefault="00D35246" w:rsidP="00D35246">
            <w:pPr>
              <w:spacing w:after="160" w:line="278" w:lineRule="auto"/>
              <w:jc w:val="both"/>
              <w:rPr>
                <w:rFonts w:ascii="Times New Roman" w:hAnsi="Times New Roman" w:cs="Times New Roman"/>
                <w:b/>
                <w:bCs/>
              </w:rPr>
            </w:pPr>
            <w:r w:rsidRPr="00D35246">
              <w:rPr>
                <w:rFonts w:ascii="Times New Roman" w:hAnsi="Times New Roman" w:cs="Times New Roman"/>
                <w:b/>
                <w:bCs/>
              </w:rPr>
              <w:t>Internal Factors</w:t>
            </w:r>
          </w:p>
        </w:tc>
        <w:tc>
          <w:tcPr>
            <w:tcW w:w="1245" w:type="dxa"/>
            <w:hideMark/>
          </w:tcPr>
          <w:p w14:paraId="527827D2" w14:textId="77777777" w:rsidR="00D35246" w:rsidRPr="00D35246" w:rsidRDefault="00D35246" w:rsidP="00D35246">
            <w:pPr>
              <w:spacing w:after="160" w:line="278" w:lineRule="auto"/>
              <w:jc w:val="both"/>
              <w:rPr>
                <w:rFonts w:ascii="Times New Roman" w:hAnsi="Times New Roman" w:cs="Times New Roman"/>
                <w:b/>
                <w:bCs/>
              </w:rPr>
            </w:pPr>
            <w:r w:rsidRPr="00D35246">
              <w:rPr>
                <w:rFonts w:ascii="Times New Roman" w:hAnsi="Times New Roman" w:cs="Times New Roman"/>
                <w:b/>
                <w:bCs/>
              </w:rPr>
              <w:t>Weight</w:t>
            </w:r>
          </w:p>
        </w:tc>
        <w:tc>
          <w:tcPr>
            <w:tcW w:w="0" w:type="auto"/>
            <w:hideMark/>
          </w:tcPr>
          <w:p w14:paraId="669C836C" w14:textId="77777777" w:rsidR="00D35246" w:rsidRPr="00D35246" w:rsidRDefault="00D35246" w:rsidP="00D35246">
            <w:pPr>
              <w:spacing w:after="160" w:line="278" w:lineRule="auto"/>
              <w:jc w:val="both"/>
              <w:rPr>
                <w:rFonts w:ascii="Times New Roman" w:hAnsi="Times New Roman" w:cs="Times New Roman"/>
                <w:b/>
                <w:bCs/>
              </w:rPr>
            </w:pPr>
            <w:r w:rsidRPr="00D35246">
              <w:rPr>
                <w:rFonts w:ascii="Times New Roman" w:hAnsi="Times New Roman" w:cs="Times New Roman"/>
                <w:b/>
                <w:bCs/>
              </w:rPr>
              <w:t>Rating</w:t>
            </w:r>
          </w:p>
        </w:tc>
        <w:tc>
          <w:tcPr>
            <w:tcW w:w="761" w:type="dxa"/>
            <w:hideMark/>
          </w:tcPr>
          <w:p w14:paraId="1D6AA1CD" w14:textId="77777777" w:rsidR="00D35246" w:rsidRPr="00D35246" w:rsidRDefault="00D35246" w:rsidP="00D35246">
            <w:pPr>
              <w:spacing w:after="160" w:line="278" w:lineRule="auto"/>
              <w:jc w:val="both"/>
              <w:rPr>
                <w:rFonts w:ascii="Times New Roman" w:hAnsi="Times New Roman" w:cs="Times New Roman"/>
                <w:b/>
                <w:bCs/>
              </w:rPr>
            </w:pPr>
            <w:r w:rsidRPr="00D35246">
              <w:rPr>
                <w:rFonts w:ascii="Times New Roman" w:hAnsi="Times New Roman" w:cs="Times New Roman"/>
                <w:b/>
                <w:bCs/>
              </w:rPr>
              <w:t>Score</w:t>
            </w:r>
          </w:p>
        </w:tc>
      </w:tr>
      <w:tr w:rsidR="00D35246" w:rsidRPr="00D35246" w14:paraId="0A085DBB" w14:textId="77777777" w:rsidTr="00D35246">
        <w:tc>
          <w:tcPr>
            <w:tcW w:w="6051" w:type="dxa"/>
            <w:hideMark/>
          </w:tcPr>
          <w:p w14:paraId="5C3AC647"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Strengths</w:t>
            </w:r>
          </w:p>
        </w:tc>
        <w:tc>
          <w:tcPr>
            <w:tcW w:w="1245" w:type="dxa"/>
            <w:hideMark/>
          </w:tcPr>
          <w:p w14:paraId="55D568A2" w14:textId="77777777" w:rsidR="00D35246" w:rsidRPr="00D35246" w:rsidRDefault="00D35246" w:rsidP="00D35246">
            <w:pPr>
              <w:spacing w:after="160" w:line="278" w:lineRule="auto"/>
              <w:jc w:val="both"/>
              <w:rPr>
                <w:rFonts w:ascii="Times New Roman" w:hAnsi="Times New Roman" w:cs="Times New Roman"/>
              </w:rPr>
            </w:pPr>
          </w:p>
        </w:tc>
        <w:tc>
          <w:tcPr>
            <w:tcW w:w="0" w:type="auto"/>
            <w:hideMark/>
          </w:tcPr>
          <w:p w14:paraId="771BFCB2" w14:textId="77777777" w:rsidR="00D35246" w:rsidRPr="00D35246" w:rsidRDefault="00D35246" w:rsidP="00D35246">
            <w:pPr>
              <w:spacing w:after="160" w:line="278" w:lineRule="auto"/>
              <w:jc w:val="both"/>
              <w:rPr>
                <w:rFonts w:ascii="Times New Roman" w:hAnsi="Times New Roman" w:cs="Times New Roman"/>
              </w:rPr>
            </w:pPr>
          </w:p>
        </w:tc>
        <w:tc>
          <w:tcPr>
            <w:tcW w:w="761" w:type="dxa"/>
            <w:hideMark/>
          </w:tcPr>
          <w:p w14:paraId="07BA1D72" w14:textId="77777777" w:rsidR="00D35246" w:rsidRPr="00D35246" w:rsidRDefault="00D35246" w:rsidP="00D35246">
            <w:pPr>
              <w:spacing w:after="160" w:line="278" w:lineRule="auto"/>
              <w:jc w:val="both"/>
              <w:rPr>
                <w:rFonts w:ascii="Times New Roman" w:hAnsi="Times New Roman" w:cs="Times New Roman"/>
              </w:rPr>
            </w:pPr>
          </w:p>
        </w:tc>
      </w:tr>
      <w:tr w:rsidR="00D35246" w:rsidRPr="00D35246" w14:paraId="6D91CA0F" w14:textId="77777777" w:rsidTr="00D35246">
        <w:tc>
          <w:tcPr>
            <w:tcW w:w="6051" w:type="dxa"/>
            <w:hideMark/>
          </w:tcPr>
          <w:p w14:paraId="7E009510"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High productivity of horticultural commodities</w:t>
            </w:r>
          </w:p>
        </w:tc>
        <w:tc>
          <w:tcPr>
            <w:tcW w:w="1245" w:type="dxa"/>
            <w:hideMark/>
          </w:tcPr>
          <w:p w14:paraId="7763879C"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0.15</w:t>
            </w:r>
          </w:p>
        </w:tc>
        <w:tc>
          <w:tcPr>
            <w:tcW w:w="0" w:type="auto"/>
            <w:hideMark/>
          </w:tcPr>
          <w:p w14:paraId="4056752A"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4</w:t>
            </w:r>
          </w:p>
        </w:tc>
        <w:tc>
          <w:tcPr>
            <w:tcW w:w="761" w:type="dxa"/>
            <w:hideMark/>
          </w:tcPr>
          <w:p w14:paraId="4FD9B216"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0.60</w:t>
            </w:r>
          </w:p>
        </w:tc>
      </w:tr>
      <w:tr w:rsidR="00D35246" w:rsidRPr="00D35246" w14:paraId="7649F99A" w14:textId="77777777" w:rsidTr="00D35246">
        <w:tc>
          <w:tcPr>
            <w:tcW w:w="6051" w:type="dxa"/>
            <w:hideMark/>
          </w:tcPr>
          <w:p w14:paraId="0D019A03"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Variety of flagship crops and regional market fit</w:t>
            </w:r>
          </w:p>
        </w:tc>
        <w:tc>
          <w:tcPr>
            <w:tcW w:w="1245" w:type="dxa"/>
            <w:hideMark/>
          </w:tcPr>
          <w:p w14:paraId="117E229C"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0.12</w:t>
            </w:r>
          </w:p>
        </w:tc>
        <w:tc>
          <w:tcPr>
            <w:tcW w:w="0" w:type="auto"/>
            <w:hideMark/>
          </w:tcPr>
          <w:p w14:paraId="2F027305"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4</w:t>
            </w:r>
          </w:p>
        </w:tc>
        <w:tc>
          <w:tcPr>
            <w:tcW w:w="761" w:type="dxa"/>
            <w:hideMark/>
          </w:tcPr>
          <w:p w14:paraId="0C035113"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0.48</w:t>
            </w:r>
          </w:p>
        </w:tc>
      </w:tr>
      <w:tr w:rsidR="00D35246" w:rsidRPr="00D35246" w14:paraId="306828BB" w14:textId="77777777" w:rsidTr="00D35246">
        <w:tc>
          <w:tcPr>
            <w:tcW w:w="6051" w:type="dxa"/>
            <w:hideMark/>
          </w:tcPr>
          <w:p w14:paraId="0EF96F87"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Fertile agroclimatic conditions</w:t>
            </w:r>
          </w:p>
        </w:tc>
        <w:tc>
          <w:tcPr>
            <w:tcW w:w="1245" w:type="dxa"/>
            <w:hideMark/>
          </w:tcPr>
          <w:p w14:paraId="123834C9"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0.10</w:t>
            </w:r>
          </w:p>
        </w:tc>
        <w:tc>
          <w:tcPr>
            <w:tcW w:w="0" w:type="auto"/>
            <w:hideMark/>
          </w:tcPr>
          <w:p w14:paraId="114DB2FA"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3</w:t>
            </w:r>
          </w:p>
        </w:tc>
        <w:tc>
          <w:tcPr>
            <w:tcW w:w="761" w:type="dxa"/>
            <w:hideMark/>
          </w:tcPr>
          <w:p w14:paraId="6CD7DDE2"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0.30</w:t>
            </w:r>
          </w:p>
        </w:tc>
      </w:tr>
      <w:tr w:rsidR="00D35246" w:rsidRPr="00D35246" w14:paraId="1C82462E" w14:textId="77777777" w:rsidTr="00D35246">
        <w:tc>
          <w:tcPr>
            <w:tcW w:w="6051" w:type="dxa"/>
            <w:hideMark/>
          </w:tcPr>
          <w:p w14:paraId="26EF4AB4"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Gayo cultural value and tourism synergy</w:t>
            </w:r>
          </w:p>
        </w:tc>
        <w:tc>
          <w:tcPr>
            <w:tcW w:w="1245" w:type="dxa"/>
            <w:hideMark/>
          </w:tcPr>
          <w:p w14:paraId="45119AC8"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0.08</w:t>
            </w:r>
          </w:p>
        </w:tc>
        <w:tc>
          <w:tcPr>
            <w:tcW w:w="0" w:type="auto"/>
            <w:hideMark/>
          </w:tcPr>
          <w:p w14:paraId="4F6BB7C2"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3</w:t>
            </w:r>
          </w:p>
        </w:tc>
        <w:tc>
          <w:tcPr>
            <w:tcW w:w="761" w:type="dxa"/>
            <w:hideMark/>
          </w:tcPr>
          <w:p w14:paraId="727563CB"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0.24</w:t>
            </w:r>
          </w:p>
        </w:tc>
      </w:tr>
      <w:tr w:rsidR="00D35246" w:rsidRPr="00D35246" w14:paraId="64227F43" w14:textId="77777777" w:rsidTr="00D35246">
        <w:tc>
          <w:tcPr>
            <w:tcW w:w="6051" w:type="dxa"/>
            <w:hideMark/>
          </w:tcPr>
          <w:p w14:paraId="4CCB07AF"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Subtotal Strengths</w:t>
            </w:r>
          </w:p>
        </w:tc>
        <w:tc>
          <w:tcPr>
            <w:tcW w:w="1245" w:type="dxa"/>
            <w:hideMark/>
          </w:tcPr>
          <w:p w14:paraId="23F2AE86"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0.45</w:t>
            </w:r>
          </w:p>
        </w:tc>
        <w:tc>
          <w:tcPr>
            <w:tcW w:w="0" w:type="auto"/>
            <w:hideMark/>
          </w:tcPr>
          <w:p w14:paraId="301E1E60" w14:textId="77777777" w:rsidR="00D35246" w:rsidRPr="00D35246" w:rsidRDefault="00D35246" w:rsidP="00D35246">
            <w:pPr>
              <w:spacing w:after="160" w:line="278" w:lineRule="auto"/>
              <w:jc w:val="both"/>
              <w:rPr>
                <w:rFonts w:ascii="Times New Roman" w:hAnsi="Times New Roman" w:cs="Times New Roman"/>
              </w:rPr>
            </w:pPr>
          </w:p>
        </w:tc>
        <w:tc>
          <w:tcPr>
            <w:tcW w:w="761" w:type="dxa"/>
            <w:hideMark/>
          </w:tcPr>
          <w:p w14:paraId="0E801E99"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1.62</w:t>
            </w:r>
          </w:p>
        </w:tc>
      </w:tr>
      <w:tr w:rsidR="00D35246" w:rsidRPr="00D35246" w14:paraId="1E28D3B3" w14:textId="77777777" w:rsidTr="00D35246">
        <w:tc>
          <w:tcPr>
            <w:tcW w:w="6051" w:type="dxa"/>
            <w:hideMark/>
          </w:tcPr>
          <w:p w14:paraId="1A792993"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Weaknesses</w:t>
            </w:r>
          </w:p>
        </w:tc>
        <w:tc>
          <w:tcPr>
            <w:tcW w:w="1245" w:type="dxa"/>
            <w:hideMark/>
          </w:tcPr>
          <w:p w14:paraId="353CA606" w14:textId="77777777" w:rsidR="00D35246" w:rsidRPr="00D35246" w:rsidRDefault="00D35246" w:rsidP="00D35246">
            <w:pPr>
              <w:spacing w:after="160" w:line="278" w:lineRule="auto"/>
              <w:jc w:val="both"/>
              <w:rPr>
                <w:rFonts w:ascii="Times New Roman" w:hAnsi="Times New Roman" w:cs="Times New Roman"/>
              </w:rPr>
            </w:pPr>
          </w:p>
        </w:tc>
        <w:tc>
          <w:tcPr>
            <w:tcW w:w="0" w:type="auto"/>
            <w:hideMark/>
          </w:tcPr>
          <w:p w14:paraId="72BA01CD" w14:textId="77777777" w:rsidR="00D35246" w:rsidRPr="00D35246" w:rsidRDefault="00D35246" w:rsidP="00D35246">
            <w:pPr>
              <w:spacing w:after="160" w:line="278" w:lineRule="auto"/>
              <w:jc w:val="both"/>
              <w:rPr>
                <w:rFonts w:ascii="Times New Roman" w:hAnsi="Times New Roman" w:cs="Times New Roman"/>
              </w:rPr>
            </w:pPr>
          </w:p>
        </w:tc>
        <w:tc>
          <w:tcPr>
            <w:tcW w:w="761" w:type="dxa"/>
            <w:hideMark/>
          </w:tcPr>
          <w:p w14:paraId="64E41C91" w14:textId="77777777" w:rsidR="00D35246" w:rsidRPr="00D35246" w:rsidRDefault="00D35246" w:rsidP="00D35246">
            <w:pPr>
              <w:spacing w:after="160" w:line="278" w:lineRule="auto"/>
              <w:jc w:val="both"/>
              <w:rPr>
                <w:rFonts w:ascii="Times New Roman" w:hAnsi="Times New Roman" w:cs="Times New Roman"/>
              </w:rPr>
            </w:pPr>
          </w:p>
        </w:tc>
      </w:tr>
      <w:tr w:rsidR="00D35246" w:rsidRPr="00D35246" w14:paraId="7A720754" w14:textId="77777777" w:rsidTr="00D35246">
        <w:tc>
          <w:tcPr>
            <w:tcW w:w="6051" w:type="dxa"/>
            <w:hideMark/>
          </w:tcPr>
          <w:p w14:paraId="1F4E3885"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Limited post-harvest infrastructure</w:t>
            </w:r>
          </w:p>
        </w:tc>
        <w:tc>
          <w:tcPr>
            <w:tcW w:w="1245" w:type="dxa"/>
            <w:hideMark/>
          </w:tcPr>
          <w:p w14:paraId="16DB0C87"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0.15</w:t>
            </w:r>
          </w:p>
        </w:tc>
        <w:tc>
          <w:tcPr>
            <w:tcW w:w="0" w:type="auto"/>
            <w:hideMark/>
          </w:tcPr>
          <w:p w14:paraId="6C7C5216"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2</w:t>
            </w:r>
          </w:p>
        </w:tc>
        <w:tc>
          <w:tcPr>
            <w:tcW w:w="761" w:type="dxa"/>
            <w:hideMark/>
          </w:tcPr>
          <w:p w14:paraId="7865F4EC"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0.30</w:t>
            </w:r>
          </w:p>
        </w:tc>
      </w:tr>
      <w:tr w:rsidR="00D35246" w:rsidRPr="00D35246" w14:paraId="1A23F908" w14:textId="77777777" w:rsidTr="00D35246">
        <w:tc>
          <w:tcPr>
            <w:tcW w:w="6051" w:type="dxa"/>
            <w:hideMark/>
          </w:tcPr>
          <w:p w14:paraId="03901CA0"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Inadequate access to finance</w:t>
            </w:r>
          </w:p>
        </w:tc>
        <w:tc>
          <w:tcPr>
            <w:tcW w:w="1245" w:type="dxa"/>
            <w:hideMark/>
          </w:tcPr>
          <w:p w14:paraId="4AA6EA62"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0.12</w:t>
            </w:r>
          </w:p>
        </w:tc>
        <w:tc>
          <w:tcPr>
            <w:tcW w:w="0" w:type="auto"/>
            <w:hideMark/>
          </w:tcPr>
          <w:p w14:paraId="007A9DA7"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2</w:t>
            </w:r>
          </w:p>
        </w:tc>
        <w:tc>
          <w:tcPr>
            <w:tcW w:w="761" w:type="dxa"/>
            <w:hideMark/>
          </w:tcPr>
          <w:p w14:paraId="7AFEC04B"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0.24</w:t>
            </w:r>
          </w:p>
        </w:tc>
      </w:tr>
      <w:tr w:rsidR="00D35246" w:rsidRPr="00D35246" w14:paraId="43282FD1" w14:textId="77777777" w:rsidTr="00D35246">
        <w:tc>
          <w:tcPr>
            <w:tcW w:w="6051" w:type="dxa"/>
            <w:hideMark/>
          </w:tcPr>
          <w:p w14:paraId="7115699E"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Traditional farming practices</w:t>
            </w:r>
          </w:p>
        </w:tc>
        <w:tc>
          <w:tcPr>
            <w:tcW w:w="1245" w:type="dxa"/>
            <w:hideMark/>
          </w:tcPr>
          <w:p w14:paraId="5D81B7B3"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0.10</w:t>
            </w:r>
          </w:p>
        </w:tc>
        <w:tc>
          <w:tcPr>
            <w:tcW w:w="0" w:type="auto"/>
            <w:hideMark/>
          </w:tcPr>
          <w:p w14:paraId="54713E0B"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2</w:t>
            </w:r>
          </w:p>
        </w:tc>
        <w:tc>
          <w:tcPr>
            <w:tcW w:w="761" w:type="dxa"/>
            <w:hideMark/>
          </w:tcPr>
          <w:p w14:paraId="17661B0B"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0.20</w:t>
            </w:r>
          </w:p>
        </w:tc>
      </w:tr>
      <w:tr w:rsidR="00D35246" w:rsidRPr="00D35246" w14:paraId="67EF2F9D" w14:textId="77777777" w:rsidTr="00D35246">
        <w:tc>
          <w:tcPr>
            <w:tcW w:w="6051" w:type="dxa"/>
            <w:hideMark/>
          </w:tcPr>
          <w:p w14:paraId="77BF2EF4"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Weak farmer institutions</w:t>
            </w:r>
          </w:p>
        </w:tc>
        <w:tc>
          <w:tcPr>
            <w:tcW w:w="1245" w:type="dxa"/>
            <w:hideMark/>
          </w:tcPr>
          <w:p w14:paraId="7C793229"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0.08</w:t>
            </w:r>
          </w:p>
        </w:tc>
        <w:tc>
          <w:tcPr>
            <w:tcW w:w="0" w:type="auto"/>
            <w:hideMark/>
          </w:tcPr>
          <w:p w14:paraId="508641E9"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2</w:t>
            </w:r>
          </w:p>
        </w:tc>
        <w:tc>
          <w:tcPr>
            <w:tcW w:w="761" w:type="dxa"/>
            <w:hideMark/>
          </w:tcPr>
          <w:p w14:paraId="499B5A97"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0.16</w:t>
            </w:r>
          </w:p>
        </w:tc>
      </w:tr>
      <w:tr w:rsidR="00D35246" w:rsidRPr="00D35246" w14:paraId="552B3F25" w14:textId="77777777" w:rsidTr="00D35246">
        <w:tc>
          <w:tcPr>
            <w:tcW w:w="6051" w:type="dxa"/>
            <w:hideMark/>
          </w:tcPr>
          <w:p w14:paraId="5E02954A"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Subtotal Weaknesses</w:t>
            </w:r>
          </w:p>
        </w:tc>
        <w:tc>
          <w:tcPr>
            <w:tcW w:w="1245" w:type="dxa"/>
            <w:hideMark/>
          </w:tcPr>
          <w:p w14:paraId="2426305F"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0.45</w:t>
            </w:r>
          </w:p>
        </w:tc>
        <w:tc>
          <w:tcPr>
            <w:tcW w:w="0" w:type="auto"/>
            <w:hideMark/>
          </w:tcPr>
          <w:p w14:paraId="681A62FC" w14:textId="77777777" w:rsidR="00D35246" w:rsidRPr="00D35246" w:rsidRDefault="00D35246" w:rsidP="00D35246">
            <w:pPr>
              <w:spacing w:after="160" w:line="278" w:lineRule="auto"/>
              <w:jc w:val="both"/>
              <w:rPr>
                <w:rFonts w:ascii="Times New Roman" w:hAnsi="Times New Roman" w:cs="Times New Roman"/>
              </w:rPr>
            </w:pPr>
          </w:p>
        </w:tc>
        <w:tc>
          <w:tcPr>
            <w:tcW w:w="761" w:type="dxa"/>
            <w:hideMark/>
          </w:tcPr>
          <w:p w14:paraId="57543968"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0.90</w:t>
            </w:r>
          </w:p>
        </w:tc>
      </w:tr>
      <w:tr w:rsidR="00D35246" w:rsidRPr="00D35246" w14:paraId="33F56ED9" w14:textId="77777777" w:rsidTr="00D35246">
        <w:tc>
          <w:tcPr>
            <w:tcW w:w="6051" w:type="dxa"/>
            <w:hideMark/>
          </w:tcPr>
          <w:p w14:paraId="77224BA6"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lastRenderedPageBreak/>
              <w:t>Total IFAS Score</w:t>
            </w:r>
          </w:p>
        </w:tc>
        <w:tc>
          <w:tcPr>
            <w:tcW w:w="1245" w:type="dxa"/>
            <w:hideMark/>
          </w:tcPr>
          <w:p w14:paraId="79BD1E01"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1.00</w:t>
            </w:r>
          </w:p>
        </w:tc>
        <w:tc>
          <w:tcPr>
            <w:tcW w:w="0" w:type="auto"/>
            <w:hideMark/>
          </w:tcPr>
          <w:p w14:paraId="6735128F" w14:textId="77777777" w:rsidR="00D35246" w:rsidRPr="00D35246" w:rsidRDefault="00D35246" w:rsidP="00D35246">
            <w:pPr>
              <w:spacing w:after="160" w:line="278" w:lineRule="auto"/>
              <w:jc w:val="both"/>
              <w:rPr>
                <w:rFonts w:ascii="Times New Roman" w:hAnsi="Times New Roman" w:cs="Times New Roman"/>
              </w:rPr>
            </w:pPr>
          </w:p>
        </w:tc>
        <w:tc>
          <w:tcPr>
            <w:tcW w:w="761" w:type="dxa"/>
            <w:hideMark/>
          </w:tcPr>
          <w:p w14:paraId="7A15DE13"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2.52</w:t>
            </w:r>
          </w:p>
        </w:tc>
      </w:tr>
    </w:tbl>
    <w:p w14:paraId="69AA3CB1" w14:textId="77777777" w:rsidR="00D35246" w:rsidRPr="00D35246" w:rsidRDefault="00D35246" w:rsidP="00D35246">
      <w:pPr>
        <w:jc w:val="both"/>
        <w:rPr>
          <w:rFonts w:ascii="Times New Roman" w:hAnsi="Times New Roman" w:cs="Times New Roman"/>
        </w:rPr>
      </w:pPr>
      <w:r w:rsidRPr="00D35246">
        <w:rPr>
          <w:rFonts w:ascii="Times New Roman" w:hAnsi="Times New Roman" w:cs="Times New Roman"/>
        </w:rPr>
        <w:t>The total IFAS score of 2.52 suggests that strengths significantly outweigh weaknesses, indicating strong internal capability to pursue aggressive development strategies.</w:t>
      </w:r>
    </w:p>
    <w:p w14:paraId="42E7458A" w14:textId="09584C77" w:rsidR="00D35246" w:rsidRPr="00D35246" w:rsidRDefault="00D35246" w:rsidP="00D35246">
      <w:pPr>
        <w:jc w:val="both"/>
        <w:rPr>
          <w:rFonts w:ascii="Times New Roman" w:hAnsi="Times New Roman" w:cs="Times New Roman"/>
        </w:rPr>
      </w:pPr>
    </w:p>
    <w:p w14:paraId="3D63A6E9" w14:textId="30CA5C0B" w:rsidR="00D35246" w:rsidRPr="00D35246" w:rsidRDefault="00C96495" w:rsidP="00D35246">
      <w:pPr>
        <w:jc w:val="both"/>
        <w:rPr>
          <w:rFonts w:ascii="Times New Roman" w:hAnsi="Times New Roman" w:cs="Times New Roman"/>
        </w:rPr>
      </w:pPr>
      <w:r w:rsidRPr="00CC1B66">
        <w:rPr>
          <w:rFonts w:ascii="Times New Roman" w:hAnsi="Times New Roman" w:cs="Times New Roman"/>
        </w:rPr>
        <w:t>3.4</w:t>
      </w:r>
      <w:r w:rsidR="00D35246" w:rsidRPr="00D35246">
        <w:rPr>
          <w:rFonts w:ascii="Times New Roman" w:hAnsi="Times New Roman" w:cs="Times New Roman"/>
        </w:rPr>
        <w:t>.</w:t>
      </w:r>
      <w:r w:rsidRPr="00CC1B66">
        <w:rPr>
          <w:rFonts w:ascii="Times New Roman" w:hAnsi="Times New Roman" w:cs="Times New Roman"/>
        </w:rPr>
        <w:t>2</w:t>
      </w:r>
      <w:r w:rsidR="00D35246" w:rsidRPr="00D35246">
        <w:rPr>
          <w:rFonts w:ascii="Times New Roman" w:hAnsi="Times New Roman" w:cs="Times New Roman"/>
        </w:rPr>
        <w:t xml:space="preserve"> External Factor Analysis Summary (EFAS)</w:t>
      </w:r>
    </w:p>
    <w:p w14:paraId="33070213" w14:textId="77777777" w:rsidR="00D35246" w:rsidRPr="00D35246" w:rsidRDefault="00D35246" w:rsidP="00D35246">
      <w:pPr>
        <w:jc w:val="both"/>
        <w:rPr>
          <w:rFonts w:ascii="Times New Roman" w:hAnsi="Times New Roman" w:cs="Times New Roman"/>
        </w:rPr>
      </w:pPr>
      <w:r w:rsidRPr="00D35246">
        <w:rPr>
          <w:rFonts w:ascii="Times New Roman" w:hAnsi="Times New Roman" w:cs="Times New Roman"/>
        </w:rPr>
        <w:t>The EFAS matrix captures external dynamics influencing horticultural advancement, including market trends, policy support, and potential threats.</w:t>
      </w:r>
    </w:p>
    <w:p w14:paraId="2EE76D0B" w14:textId="7D6B0480" w:rsidR="00D35246" w:rsidRPr="00D35246" w:rsidRDefault="00D35246" w:rsidP="00CC1B66">
      <w:pPr>
        <w:jc w:val="center"/>
        <w:rPr>
          <w:rFonts w:ascii="Times New Roman" w:hAnsi="Times New Roman" w:cs="Times New Roman"/>
        </w:rPr>
      </w:pPr>
      <w:r w:rsidRPr="00D35246">
        <w:rPr>
          <w:rFonts w:ascii="Times New Roman" w:hAnsi="Times New Roman" w:cs="Times New Roman"/>
          <w:b/>
          <w:bCs/>
        </w:rPr>
        <w:t xml:space="preserve">Table </w:t>
      </w:r>
      <w:r w:rsidR="00B04030">
        <w:rPr>
          <w:rFonts w:ascii="Times New Roman" w:hAnsi="Times New Roman" w:cs="Times New Roman"/>
          <w:b/>
          <w:bCs/>
        </w:rPr>
        <w:t>4</w:t>
      </w:r>
      <w:r w:rsidRPr="00D35246">
        <w:rPr>
          <w:rFonts w:ascii="Times New Roman" w:hAnsi="Times New Roman" w:cs="Times New Roman"/>
          <w:b/>
          <w:bCs/>
        </w:rPr>
        <w:t xml:space="preserve">. </w:t>
      </w:r>
      <w:r w:rsidRPr="00D35246">
        <w:rPr>
          <w:rFonts w:ascii="Times New Roman" w:hAnsi="Times New Roman" w:cs="Times New Roman"/>
        </w:rPr>
        <w:t xml:space="preserve">External Factor Analysis Summary (EFAS) of </w:t>
      </w:r>
      <w:proofErr w:type="spellStart"/>
      <w:r w:rsidRPr="00D35246">
        <w:rPr>
          <w:rFonts w:ascii="Times New Roman" w:hAnsi="Times New Roman" w:cs="Times New Roman"/>
        </w:rPr>
        <w:t>Bebesen</w:t>
      </w:r>
      <w:proofErr w:type="spellEnd"/>
      <w:r w:rsidRPr="00D35246">
        <w:rPr>
          <w:rFonts w:ascii="Times New Roman" w:hAnsi="Times New Roman" w:cs="Times New Roman"/>
        </w:rPr>
        <w:t xml:space="preserve"> Subdistrict</w:t>
      </w:r>
    </w:p>
    <w:tbl>
      <w:tblPr>
        <w:tblStyle w:val="TableGrid"/>
        <w:tblW w:w="0" w:type="auto"/>
        <w:tblLook w:val="04A0" w:firstRow="1" w:lastRow="0" w:firstColumn="1" w:lastColumn="0" w:noHBand="0" w:noVBand="1"/>
      </w:tblPr>
      <w:tblGrid>
        <w:gridCol w:w="5807"/>
        <w:gridCol w:w="1418"/>
        <w:gridCol w:w="910"/>
        <w:gridCol w:w="785"/>
      </w:tblGrid>
      <w:tr w:rsidR="00D35246" w:rsidRPr="00D35246" w14:paraId="747A9E6B" w14:textId="77777777" w:rsidTr="00CC1B66">
        <w:tc>
          <w:tcPr>
            <w:tcW w:w="5807" w:type="dxa"/>
            <w:hideMark/>
          </w:tcPr>
          <w:p w14:paraId="7F4F062D" w14:textId="77777777" w:rsidR="00D35246" w:rsidRPr="00D35246" w:rsidRDefault="00D35246" w:rsidP="00D35246">
            <w:pPr>
              <w:spacing w:after="160" w:line="278" w:lineRule="auto"/>
              <w:jc w:val="both"/>
              <w:rPr>
                <w:rFonts w:ascii="Times New Roman" w:hAnsi="Times New Roman" w:cs="Times New Roman"/>
                <w:b/>
                <w:bCs/>
              </w:rPr>
            </w:pPr>
            <w:r w:rsidRPr="00D35246">
              <w:rPr>
                <w:rFonts w:ascii="Times New Roman" w:hAnsi="Times New Roman" w:cs="Times New Roman"/>
                <w:b/>
                <w:bCs/>
              </w:rPr>
              <w:t>External Factors</w:t>
            </w:r>
          </w:p>
        </w:tc>
        <w:tc>
          <w:tcPr>
            <w:tcW w:w="1418" w:type="dxa"/>
            <w:hideMark/>
          </w:tcPr>
          <w:p w14:paraId="15ACDB9E" w14:textId="77777777" w:rsidR="00D35246" w:rsidRPr="00D35246" w:rsidRDefault="00D35246" w:rsidP="00D35246">
            <w:pPr>
              <w:spacing w:after="160" w:line="278" w:lineRule="auto"/>
              <w:jc w:val="both"/>
              <w:rPr>
                <w:rFonts w:ascii="Times New Roman" w:hAnsi="Times New Roman" w:cs="Times New Roman"/>
                <w:b/>
                <w:bCs/>
              </w:rPr>
            </w:pPr>
            <w:r w:rsidRPr="00D35246">
              <w:rPr>
                <w:rFonts w:ascii="Times New Roman" w:hAnsi="Times New Roman" w:cs="Times New Roman"/>
                <w:b/>
                <w:bCs/>
              </w:rPr>
              <w:t>Weight</w:t>
            </w:r>
          </w:p>
        </w:tc>
        <w:tc>
          <w:tcPr>
            <w:tcW w:w="0" w:type="auto"/>
            <w:hideMark/>
          </w:tcPr>
          <w:p w14:paraId="23720C33" w14:textId="77777777" w:rsidR="00D35246" w:rsidRPr="00D35246" w:rsidRDefault="00D35246" w:rsidP="00D35246">
            <w:pPr>
              <w:spacing w:after="160" w:line="278" w:lineRule="auto"/>
              <w:jc w:val="both"/>
              <w:rPr>
                <w:rFonts w:ascii="Times New Roman" w:hAnsi="Times New Roman" w:cs="Times New Roman"/>
                <w:b/>
                <w:bCs/>
              </w:rPr>
            </w:pPr>
            <w:r w:rsidRPr="00D35246">
              <w:rPr>
                <w:rFonts w:ascii="Times New Roman" w:hAnsi="Times New Roman" w:cs="Times New Roman"/>
                <w:b/>
                <w:bCs/>
              </w:rPr>
              <w:t>Rating</w:t>
            </w:r>
          </w:p>
        </w:tc>
        <w:tc>
          <w:tcPr>
            <w:tcW w:w="0" w:type="auto"/>
            <w:hideMark/>
          </w:tcPr>
          <w:p w14:paraId="694AC529" w14:textId="77777777" w:rsidR="00D35246" w:rsidRPr="00D35246" w:rsidRDefault="00D35246" w:rsidP="00D35246">
            <w:pPr>
              <w:spacing w:after="160" w:line="278" w:lineRule="auto"/>
              <w:jc w:val="both"/>
              <w:rPr>
                <w:rFonts w:ascii="Times New Roman" w:hAnsi="Times New Roman" w:cs="Times New Roman"/>
                <w:b/>
                <w:bCs/>
              </w:rPr>
            </w:pPr>
            <w:r w:rsidRPr="00D35246">
              <w:rPr>
                <w:rFonts w:ascii="Times New Roman" w:hAnsi="Times New Roman" w:cs="Times New Roman"/>
                <w:b/>
                <w:bCs/>
              </w:rPr>
              <w:t>Score</w:t>
            </w:r>
          </w:p>
        </w:tc>
      </w:tr>
      <w:tr w:rsidR="00D35246" w:rsidRPr="00D35246" w14:paraId="170CF01F" w14:textId="77777777" w:rsidTr="00CC1B66">
        <w:tc>
          <w:tcPr>
            <w:tcW w:w="5807" w:type="dxa"/>
            <w:hideMark/>
          </w:tcPr>
          <w:p w14:paraId="1F1C57A0"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Opportunities</w:t>
            </w:r>
          </w:p>
        </w:tc>
        <w:tc>
          <w:tcPr>
            <w:tcW w:w="1418" w:type="dxa"/>
            <w:hideMark/>
          </w:tcPr>
          <w:p w14:paraId="1D5A4635" w14:textId="77777777" w:rsidR="00D35246" w:rsidRPr="00D35246" w:rsidRDefault="00D35246" w:rsidP="00D35246">
            <w:pPr>
              <w:spacing w:after="160" w:line="278" w:lineRule="auto"/>
              <w:jc w:val="both"/>
              <w:rPr>
                <w:rFonts w:ascii="Times New Roman" w:hAnsi="Times New Roman" w:cs="Times New Roman"/>
              </w:rPr>
            </w:pPr>
          </w:p>
        </w:tc>
        <w:tc>
          <w:tcPr>
            <w:tcW w:w="0" w:type="auto"/>
            <w:hideMark/>
          </w:tcPr>
          <w:p w14:paraId="2B4411C2" w14:textId="77777777" w:rsidR="00D35246" w:rsidRPr="00D35246" w:rsidRDefault="00D35246" w:rsidP="00D35246">
            <w:pPr>
              <w:spacing w:after="160" w:line="278" w:lineRule="auto"/>
              <w:jc w:val="both"/>
              <w:rPr>
                <w:rFonts w:ascii="Times New Roman" w:hAnsi="Times New Roman" w:cs="Times New Roman"/>
              </w:rPr>
            </w:pPr>
          </w:p>
        </w:tc>
        <w:tc>
          <w:tcPr>
            <w:tcW w:w="0" w:type="auto"/>
            <w:hideMark/>
          </w:tcPr>
          <w:p w14:paraId="6D6A0349" w14:textId="77777777" w:rsidR="00D35246" w:rsidRPr="00D35246" w:rsidRDefault="00D35246" w:rsidP="00D35246">
            <w:pPr>
              <w:spacing w:after="160" w:line="278" w:lineRule="auto"/>
              <w:jc w:val="both"/>
              <w:rPr>
                <w:rFonts w:ascii="Times New Roman" w:hAnsi="Times New Roman" w:cs="Times New Roman"/>
              </w:rPr>
            </w:pPr>
          </w:p>
        </w:tc>
      </w:tr>
      <w:tr w:rsidR="00D35246" w:rsidRPr="00D35246" w14:paraId="6901A3BE" w14:textId="77777777" w:rsidTr="00CC1B66">
        <w:tc>
          <w:tcPr>
            <w:tcW w:w="5807" w:type="dxa"/>
            <w:hideMark/>
          </w:tcPr>
          <w:p w14:paraId="66649E9D"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Growth in national and export market demand</w:t>
            </w:r>
          </w:p>
        </w:tc>
        <w:tc>
          <w:tcPr>
            <w:tcW w:w="1418" w:type="dxa"/>
            <w:hideMark/>
          </w:tcPr>
          <w:p w14:paraId="3D25E692"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0.15</w:t>
            </w:r>
          </w:p>
        </w:tc>
        <w:tc>
          <w:tcPr>
            <w:tcW w:w="0" w:type="auto"/>
            <w:hideMark/>
          </w:tcPr>
          <w:p w14:paraId="720B3A57"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4</w:t>
            </w:r>
          </w:p>
        </w:tc>
        <w:tc>
          <w:tcPr>
            <w:tcW w:w="0" w:type="auto"/>
            <w:hideMark/>
          </w:tcPr>
          <w:p w14:paraId="33CA0A80"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0.60</w:t>
            </w:r>
          </w:p>
        </w:tc>
      </w:tr>
      <w:tr w:rsidR="00D35246" w:rsidRPr="00D35246" w14:paraId="363FF5AC" w14:textId="77777777" w:rsidTr="00CC1B66">
        <w:tc>
          <w:tcPr>
            <w:tcW w:w="5807" w:type="dxa"/>
            <w:hideMark/>
          </w:tcPr>
          <w:p w14:paraId="7EF3A8A8"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Government policy support and incentives</w:t>
            </w:r>
          </w:p>
        </w:tc>
        <w:tc>
          <w:tcPr>
            <w:tcW w:w="1418" w:type="dxa"/>
            <w:hideMark/>
          </w:tcPr>
          <w:p w14:paraId="649A1FCD"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0.12</w:t>
            </w:r>
          </w:p>
        </w:tc>
        <w:tc>
          <w:tcPr>
            <w:tcW w:w="0" w:type="auto"/>
            <w:hideMark/>
          </w:tcPr>
          <w:p w14:paraId="07C2F589"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4</w:t>
            </w:r>
          </w:p>
        </w:tc>
        <w:tc>
          <w:tcPr>
            <w:tcW w:w="0" w:type="auto"/>
            <w:hideMark/>
          </w:tcPr>
          <w:p w14:paraId="5D52381F"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0.48</w:t>
            </w:r>
          </w:p>
        </w:tc>
      </w:tr>
      <w:tr w:rsidR="00D35246" w:rsidRPr="00D35246" w14:paraId="2913D1E8" w14:textId="77777777" w:rsidTr="00CC1B66">
        <w:tc>
          <w:tcPr>
            <w:tcW w:w="5807" w:type="dxa"/>
            <w:hideMark/>
          </w:tcPr>
          <w:p w14:paraId="4EC09D5A"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Cultural-based agrotourism potential</w:t>
            </w:r>
          </w:p>
        </w:tc>
        <w:tc>
          <w:tcPr>
            <w:tcW w:w="1418" w:type="dxa"/>
            <w:hideMark/>
          </w:tcPr>
          <w:p w14:paraId="4E6165AE"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0.10</w:t>
            </w:r>
          </w:p>
        </w:tc>
        <w:tc>
          <w:tcPr>
            <w:tcW w:w="0" w:type="auto"/>
            <w:hideMark/>
          </w:tcPr>
          <w:p w14:paraId="098691D7"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3</w:t>
            </w:r>
          </w:p>
        </w:tc>
        <w:tc>
          <w:tcPr>
            <w:tcW w:w="0" w:type="auto"/>
            <w:hideMark/>
          </w:tcPr>
          <w:p w14:paraId="0A959F7A"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0.30</w:t>
            </w:r>
          </w:p>
        </w:tc>
      </w:tr>
      <w:tr w:rsidR="00D35246" w:rsidRPr="00D35246" w14:paraId="7D460D01" w14:textId="77777777" w:rsidTr="00CC1B66">
        <w:tc>
          <w:tcPr>
            <w:tcW w:w="5807" w:type="dxa"/>
            <w:hideMark/>
          </w:tcPr>
          <w:p w14:paraId="786868CD"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Digital agriculture and e-commerce integration</w:t>
            </w:r>
          </w:p>
        </w:tc>
        <w:tc>
          <w:tcPr>
            <w:tcW w:w="1418" w:type="dxa"/>
            <w:hideMark/>
          </w:tcPr>
          <w:p w14:paraId="5889712A"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0.08</w:t>
            </w:r>
          </w:p>
        </w:tc>
        <w:tc>
          <w:tcPr>
            <w:tcW w:w="0" w:type="auto"/>
            <w:hideMark/>
          </w:tcPr>
          <w:p w14:paraId="2BC7394B"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3</w:t>
            </w:r>
          </w:p>
        </w:tc>
        <w:tc>
          <w:tcPr>
            <w:tcW w:w="0" w:type="auto"/>
            <w:hideMark/>
          </w:tcPr>
          <w:p w14:paraId="14EDAE57"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0.24</w:t>
            </w:r>
          </w:p>
        </w:tc>
      </w:tr>
      <w:tr w:rsidR="00D35246" w:rsidRPr="00D35246" w14:paraId="1D1DD914" w14:textId="77777777" w:rsidTr="00CC1B66">
        <w:tc>
          <w:tcPr>
            <w:tcW w:w="5807" w:type="dxa"/>
            <w:hideMark/>
          </w:tcPr>
          <w:p w14:paraId="036DD18F"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Subtotal Opportunities</w:t>
            </w:r>
          </w:p>
        </w:tc>
        <w:tc>
          <w:tcPr>
            <w:tcW w:w="1418" w:type="dxa"/>
            <w:hideMark/>
          </w:tcPr>
          <w:p w14:paraId="270D0789"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0.45</w:t>
            </w:r>
          </w:p>
        </w:tc>
        <w:tc>
          <w:tcPr>
            <w:tcW w:w="0" w:type="auto"/>
            <w:hideMark/>
          </w:tcPr>
          <w:p w14:paraId="39E6C92B" w14:textId="77777777" w:rsidR="00D35246" w:rsidRPr="00D35246" w:rsidRDefault="00D35246" w:rsidP="00D35246">
            <w:pPr>
              <w:spacing w:after="160" w:line="278" w:lineRule="auto"/>
              <w:jc w:val="both"/>
              <w:rPr>
                <w:rFonts w:ascii="Times New Roman" w:hAnsi="Times New Roman" w:cs="Times New Roman"/>
              </w:rPr>
            </w:pPr>
          </w:p>
        </w:tc>
        <w:tc>
          <w:tcPr>
            <w:tcW w:w="0" w:type="auto"/>
            <w:hideMark/>
          </w:tcPr>
          <w:p w14:paraId="65C04B83"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1.62</w:t>
            </w:r>
          </w:p>
        </w:tc>
      </w:tr>
      <w:tr w:rsidR="00D35246" w:rsidRPr="00D35246" w14:paraId="76EF3992" w14:textId="77777777" w:rsidTr="00CC1B66">
        <w:tc>
          <w:tcPr>
            <w:tcW w:w="5807" w:type="dxa"/>
            <w:hideMark/>
          </w:tcPr>
          <w:p w14:paraId="1D1D8ABE"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Threats</w:t>
            </w:r>
          </w:p>
        </w:tc>
        <w:tc>
          <w:tcPr>
            <w:tcW w:w="1418" w:type="dxa"/>
            <w:hideMark/>
          </w:tcPr>
          <w:p w14:paraId="11605087" w14:textId="77777777" w:rsidR="00D35246" w:rsidRPr="00D35246" w:rsidRDefault="00D35246" w:rsidP="00D35246">
            <w:pPr>
              <w:spacing w:after="160" w:line="278" w:lineRule="auto"/>
              <w:jc w:val="both"/>
              <w:rPr>
                <w:rFonts w:ascii="Times New Roman" w:hAnsi="Times New Roman" w:cs="Times New Roman"/>
              </w:rPr>
            </w:pPr>
          </w:p>
        </w:tc>
        <w:tc>
          <w:tcPr>
            <w:tcW w:w="0" w:type="auto"/>
            <w:hideMark/>
          </w:tcPr>
          <w:p w14:paraId="36FDF2AE" w14:textId="77777777" w:rsidR="00D35246" w:rsidRPr="00D35246" w:rsidRDefault="00D35246" w:rsidP="00D35246">
            <w:pPr>
              <w:spacing w:after="160" w:line="278" w:lineRule="auto"/>
              <w:jc w:val="both"/>
              <w:rPr>
                <w:rFonts w:ascii="Times New Roman" w:hAnsi="Times New Roman" w:cs="Times New Roman"/>
              </w:rPr>
            </w:pPr>
          </w:p>
        </w:tc>
        <w:tc>
          <w:tcPr>
            <w:tcW w:w="0" w:type="auto"/>
            <w:hideMark/>
          </w:tcPr>
          <w:p w14:paraId="4753DA6C" w14:textId="77777777" w:rsidR="00D35246" w:rsidRPr="00D35246" w:rsidRDefault="00D35246" w:rsidP="00D35246">
            <w:pPr>
              <w:spacing w:after="160" w:line="278" w:lineRule="auto"/>
              <w:jc w:val="both"/>
              <w:rPr>
                <w:rFonts w:ascii="Times New Roman" w:hAnsi="Times New Roman" w:cs="Times New Roman"/>
              </w:rPr>
            </w:pPr>
          </w:p>
        </w:tc>
      </w:tr>
      <w:tr w:rsidR="00D35246" w:rsidRPr="00D35246" w14:paraId="00BCFFE0" w14:textId="77777777" w:rsidTr="00CC1B66">
        <w:tc>
          <w:tcPr>
            <w:tcW w:w="5807" w:type="dxa"/>
            <w:hideMark/>
          </w:tcPr>
          <w:p w14:paraId="52809C29"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Regional competition</w:t>
            </w:r>
          </w:p>
        </w:tc>
        <w:tc>
          <w:tcPr>
            <w:tcW w:w="1418" w:type="dxa"/>
            <w:hideMark/>
          </w:tcPr>
          <w:p w14:paraId="2AF3B021"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0.15</w:t>
            </w:r>
          </w:p>
        </w:tc>
        <w:tc>
          <w:tcPr>
            <w:tcW w:w="0" w:type="auto"/>
            <w:hideMark/>
          </w:tcPr>
          <w:p w14:paraId="61B8B6A8"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2</w:t>
            </w:r>
          </w:p>
        </w:tc>
        <w:tc>
          <w:tcPr>
            <w:tcW w:w="0" w:type="auto"/>
            <w:hideMark/>
          </w:tcPr>
          <w:p w14:paraId="06442E9D"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0.30</w:t>
            </w:r>
          </w:p>
        </w:tc>
      </w:tr>
      <w:tr w:rsidR="00D35246" w:rsidRPr="00D35246" w14:paraId="5930196A" w14:textId="77777777" w:rsidTr="00CC1B66">
        <w:tc>
          <w:tcPr>
            <w:tcW w:w="5807" w:type="dxa"/>
            <w:hideMark/>
          </w:tcPr>
          <w:p w14:paraId="6DB0E8BF"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Climate-induced risks and production shocks</w:t>
            </w:r>
          </w:p>
        </w:tc>
        <w:tc>
          <w:tcPr>
            <w:tcW w:w="1418" w:type="dxa"/>
            <w:hideMark/>
          </w:tcPr>
          <w:p w14:paraId="36DDE651"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0.12</w:t>
            </w:r>
          </w:p>
        </w:tc>
        <w:tc>
          <w:tcPr>
            <w:tcW w:w="0" w:type="auto"/>
            <w:hideMark/>
          </w:tcPr>
          <w:p w14:paraId="79D98B43"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2</w:t>
            </w:r>
          </w:p>
        </w:tc>
        <w:tc>
          <w:tcPr>
            <w:tcW w:w="0" w:type="auto"/>
            <w:hideMark/>
          </w:tcPr>
          <w:p w14:paraId="29C08160"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0.24</w:t>
            </w:r>
          </w:p>
        </w:tc>
      </w:tr>
      <w:tr w:rsidR="00D35246" w:rsidRPr="00D35246" w14:paraId="118F1BCD" w14:textId="77777777" w:rsidTr="00CC1B66">
        <w:tc>
          <w:tcPr>
            <w:tcW w:w="5807" w:type="dxa"/>
            <w:hideMark/>
          </w:tcPr>
          <w:p w14:paraId="254BD3AC"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Market volatility and supply instability</w:t>
            </w:r>
          </w:p>
        </w:tc>
        <w:tc>
          <w:tcPr>
            <w:tcW w:w="1418" w:type="dxa"/>
            <w:hideMark/>
          </w:tcPr>
          <w:p w14:paraId="690430FE"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0.10</w:t>
            </w:r>
          </w:p>
        </w:tc>
        <w:tc>
          <w:tcPr>
            <w:tcW w:w="0" w:type="auto"/>
            <w:hideMark/>
          </w:tcPr>
          <w:p w14:paraId="60D8735D"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2</w:t>
            </w:r>
          </w:p>
        </w:tc>
        <w:tc>
          <w:tcPr>
            <w:tcW w:w="0" w:type="auto"/>
            <w:hideMark/>
          </w:tcPr>
          <w:p w14:paraId="6ACE909F"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0.20</w:t>
            </w:r>
          </w:p>
        </w:tc>
      </w:tr>
      <w:tr w:rsidR="00D35246" w:rsidRPr="00D35246" w14:paraId="1FE2E21D" w14:textId="77777777" w:rsidTr="00CC1B66">
        <w:tc>
          <w:tcPr>
            <w:tcW w:w="5807" w:type="dxa"/>
            <w:hideMark/>
          </w:tcPr>
          <w:p w14:paraId="3A2A3AA6"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Weak commodity protection policy</w:t>
            </w:r>
          </w:p>
        </w:tc>
        <w:tc>
          <w:tcPr>
            <w:tcW w:w="1418" w:type="dxa"/>
            <w:hideMark/>
          </w:tcPr>
          <w:p w14:paraId="0118CE78"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0.08</w:t>
            </w:r>
          </w:p>
        </w:tc>
        <w:tc>
          <w:tcPr>
            <w:tcW w:w="0" w:type="auto"/>
            <w:hideMark/>
          </w:tcPr>
          <w:p w14:paraId="2FB5951B"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2</w:t>
            </w:r>
          </w:p>
        </w:tc>
        <w:tc>
          <w:tcPr>
            <w:tcW w:w="0" w:type="auto"/>
            <w:hideMark/>
          </w:tcPr>
          <w:p w14:paraId="6425F989"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0.16</w:t>
            </w:r>
          </w:p>
        </w:tc>
      </w:tr>
      <w:tr w:rsidR="00D35246" w:rsidRPr="00D35246" w14:paraId="5EA0BD40" w14:textId="77777777" w:rsidTr="00CC1B66">
        <w:tc>
          <w:tcPr>
            <w:tcW w:w="5807" w:type="dxa"/>
            <w:hideMark/>
          </w:tcPr>
          <w:p w14:paraId="5E092C87"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Subtotal Threats</w:t>
            </w:r>
          </w:p>
        </w:tc>
        <w:tc>
          <w:tcPr>
            <w:tcW w:w="1418" w:type="dxa"/>
            <w:hideMark/>
          </w:tcPr>
          <w:p w14:paraId="20FE2783"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0.45</w:t>
            </w:r>
          </w:p>
        </w:tc>
        <w:tc>
          <w:tcPr>
            <w:tcW w:w="0" w:type="auto"/>
            <w:hideMark/>
          </w:tcPr>
          <w:p w14:paraId="513E98B7" w14:textId="77777777" w:rsidR="00D35246" w:rsidRPr="00D35246" w:rsidRDefault="00D35246" w:rsidP="00D35246">
            <w:pPr>
              <w:spacing w:after="160" w:line="278" w:lineRule="auto"/>
              <w:jc w:val="both"/>
              <w:rPr>
                <w:rFonts w:ascii="Times New Roman" w:hAnsi="Times New Roman" w:cs="Times New Roman"/>
              </w:rPr>
            </w:pPr>
          </w:p>
        </w:tc>
        <w:tc>
          <w:tcPr>
            <w:tcW w:w="0" w:type="auto"/>
            <w:hideMark/>
          </w:tcPr>
          <w:p w14:paraId="6975934C"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0.90</w:t>
            </w:r>
          </w:p>
        </w:tc>
      </w:tr>
      <w:tr w:rsidR="00D35246" w:rsidRPr="00D35246" w14:paraId="063B2981" w14:textId="77777777" w:rsidTr="00CC1B66">
        <w:tc>
          <w:tcPr>
            <w:tcW w:w="5807" w:type="dxa"/>
            <w:hideMark/>
          </w:tcPr>
          <w:p w14:paraId="578916A4"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Total EFAS Score</w:t>
            </w:r>
          </w:p>
        </w:tc>
        <w:tc>
          <w:tcPr>
            <w:tcW w:w="1418" w:type="dxa"/>
            <w:hideMark/>
          </w:tcPr>
          <w:p w14:paraId="41367BFA"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1.00</w:t>
            </w:r>
          </w:p>
        </w:tc>
        <w:tc>
          <w:tcPr>
            <w:tcW w:w="0" w:type="auto"/>
            <w:hideMark/>
          </w:tcPr>
          <w:p w14:paraId="623EFCF6" w14:textId="77777777" w:rsidR="00D35246" w:rsidRPr="00D35246" w:rsidRDefault="00D35246" w:rsidP="00D35246">
            <w:pPr>
              <w:spacing w:after="160" w:line="278" w:lineRule="auto"/>
              <w:jc w:val="both"/>
              <w:rPr>
                <w:rFonts w:ascii="Times New Roman" w:hAnsi="Times New Roman" w:cs="Times New Roman"/>
              </w:rPr>
            </w:pPr>
          </w:p>
        </w:tc>
        <w:tc>
          <w:tcPr>
            <w:tcW w:w="0" w:type="auto"/>
            <w:hideMark/>
          </w:tcPr>
          <w:p w14:paraId="257B4CB9"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2.52</w:t>
            </w:r>
          </w:p>
        </w:tc>
      </w:tr>
    </w:tbl>
    <w:p w14:paraId="26B3FA9A" w14:textId="77777777" w:rsidR="00D35246" w:rsidRPr="00D35246" w:rsidRDefault="00D35246" w:rsidP="00D35246">
      <w:pPr>
        <w:jc w:val="both"/>
        <w:rPr>
          <w:rFonts w:ascii="Times New Roman" w:hAnsi="Times New Roman" w:cs="Times New Roman"/>
        </w:rPr>
      </w:pPr>
      <w:r w:rsidRPr="00D35246">
        <w:rPr>
          <w:rFonts w:ascii="Times New Roman" w:hAnsi="Times New Roman" w:cs="Times New Roman"/>
        </w:rPr>
        <w:t>The EFAS score of 2.52 reinforces that external opportunities exceed threats, providing a fertile environment for policy innovation and private investment.</w:t>
      </w:r>
    </w:p>
    <w:p w14:paraId="61A1BD63" w14:textId="69C1541C" w:rsidR="00D35246" w:rsidRPr="00D35246" w:rsidRDefault="00D35246" w:rsidP="00D35246">
      <w:pPr>
        <w:jc w:val="both"/>
        <w:rPr>
          <w:rFonts w:ascii="Times New Roman" w:hAnsi="Times New Roman" w:cs="Times New Roman"/>
        </w:rPr>
      </w:pPr>
    </w:p>
    <w:p w14:paraId="14EB57D5" w14:textId="1EDCCC1E" w:rsidR="00D35246" w:rsidRPr="00D35246" w:rsidRDefault="003F7A84" w:rsidP="00D35246">
      <w:pPr>
        <w:jc w:val="both"/>
        <w:rPr>
          <w:rFonts w:ascii="Times New Roman" w:hAnsi="Times New Roman" w:cs="Times New Roman"/>
          <w:b/>
          <w:bCs/>
        </w:rPr>
      </w:pPr>
      <w:r>
        <w:rPr>
          <w:rFonts w:ascii="Times New Roman" w:hAnsi="Times New Roman" w:cs="Times New Roman"/>
          <w:b/>
          <w:bCs/>
        </w:rPr>
        <w:t>3</w:t>
      </w:r>
      <w:r w:rsidR="00D35246" w:rsidRPr="00D35246">
        <w:rPr>
          <w:rFonts w:ascii="Times New Roman" w:hAnsi="Times New Roman" w:cs="Times New Roman"/>
          <w:b/>
          <w:bCs/>
        </w:rPr>
        <w:t>.4</w:t>
      </w:r>
      <w:r w:rsidR="002B3C29">
        <w:rPr>
          <w:rFonts w:ascii="Times New Roman" w:hAnsi="Times New Roman" w:cs="Times New Roman"/>
          <w:b/>
          <w:bCs/>
        </w:rPr>
        <w:t>.3</w:t>
      </w:r>
      <w:r w:rsidR="00D35246" w:rsidRPr="00D35246">
        <w:rPr>
          <w:rFonts w:ascii="Times New Roman" w:hAnsi="Times New Roman" w:cs="Times New Roman"/>
          <w:b/>
          <w:bCs/>
        </w:rPr>
        <w:t xml:space="preserve"> SWOT Matrix Positioning: Aggressive Strategy (Quadrant I)</w:t>
      </w:r>
    </w:p>
    <w:p w14:paraId="5FC7C114" w14:textId="076BB993" w:rsidR="00D35246" w:rsidRPr="00D35246" w:rsidRDefault="00D35246" w:rsidP="00D35246">
      <w:pPr>
        <w:jc w:val="both"/>
        <w:rPr>
          <w:rFonts w:ascii="Times New Roman" w:hAnsi="Times New Roman" w:cs="Times New Roman"/>
        </w:rPr>
      </w:pPr>
      <w:r w:rsidRPr="00D35246">
        <w:rPr>
          <w:rFonts w:ascii="Times New Roman" w:hAnsi="Times New Roman" w:cs="Times New Roman"/>
        </w:rPr>
        <w:t xml:space="preserve">With IFAS = 2.52 and EFAS = 2.52, </w:t>
      </w:r>
      <w:proofErr w:type="spellStart"/>
      <w:r w:rsidRPr="00D35246">
        <w:rPr>
          <w:rFonts w:ascii="Times New Roman" w:hAnsi="Times New Roman" w:cs="Times New Roman"/>
        </w:rPr>
        <w:t>Bebesen</w:t>
      </w:r>
      <w:proofErr w:type="spellEnd"/>
      <w:r w:rsidRPr="00D35246">
        <w:rPr>
          <w:rFonts w:ascii="Times New Roman" w:hAnsi="Times New Roman" w:cs="Times New Roman"/>
        </w:rPr>
        <w:t xml:space="preserve"> falls into Quadrant I of the SWOT matrix. This quadrant is characterized by a strong internal position coupled with favorable external conditions, justifying the adoption of aggressive, opportunity-driven strategies</w:t>
      </w:r>
      <w:r w:rsidR="00B04030">
        <w:rPr>
          <w:rFonts w:ascii="Times New Roman" w:hAnsi="Times New Roman" w:cs="Times New Roman"/>
        </w:rPr>
        <w:t>.</w:t>
      </w:r>
      <w:r w:rsidRPr="00D35246">
        <w:rPr>
          <w:rFonts w:ascii="Times New Roman" w:hAnsi="Times New Roman" w:cs="Times New Roman"/>
        </w:rPr>
        <w:t xml:space="preserve"> Based on the SWOT matrix and stakeholder inputs, the following strategies are proposed:</w:t>
      </w:r>
    </w:p>
    <w:p w14:paraId="0D470DEF" w14:textId="33B2249F" w:rsidR="00D35246" w:rsidRPr="00D35246" w:rsidRDefault="00D35246" w:rsidP="00B04030">
      <w:pPr>
        <w:jc w:val="center"/>
        <w:rPr>
          <w:rFonts w:ascii="Times New Roman" w:hAnsi="Times New Roman" w:cs="Times New Roman"/>
        </w:rPr>
      </w:pPr>
      <w:r w:rsidRPr="00D35246">
        <w:rPr>
          <w:rFonts w:ascii="Times New Roman" w:hAnsi="Times New Roman" w:cs="Times New Roman"/>
          <w:b/>
          <w:bCs/>
        </w:rPr>
        <w:t xml:space="preserve">Table </w:t>
      </w:r>
      <w:r w:rsidR="00B04030">
        <w:rPr>
          <w:rFonts w:ascii="Times New Roman" w:hAnsi="Times New Roman" w:cs="Times New Roman"/>
          <w:b/>
          <w:bCs/>
        </w:rPr>
        <w:t>5</w:t>
      </w:r>
      <w:r w:rsidRPr="00D35246">
        <w:rPr>
          <w:rFonts w:ascii="Times New Roman" w:hAnsi="Times New Roman" w:cs="Times New Roman"/>
          <w:b/>
          <w:bCs/>
        </w:rPr>
        <w:t xml:space="preserve">. </w:t>
      </w:r>
      <w:r w:rsidRPr="00D35246">
        <w:rPr>
          <w:rFonts w:ascii="Times New Roman" w:hAnsi="Times New Roman" w:cs="Times New Roman"/>
        </w:rPr>
        <w:t xml:space="preserve">Aggressive Strategy Formulation for </w:t>
      </w:r>
      <w:proofErr w:type="spellStart"/>
      <w:r w:rsidRPr="00D35246">
        <w:rPr>
          <w:rFonts w:ascii="Times New Roman" w:hAnsi="Times New Roman" w:cs="Times New Roman"/>
        </w:rPr>
        <w:t>Bebesen</w:t>
      </w:r>
      <w:proofErr w:type="spellEnd"/>
    </w:p>
    <w:tbl>
      <w:tblPr>
        <w:tblStyle w:val="TableGrid"/>
        <w:tblW w:w="0" w:type="auto"/>
        <w:tblLook w:val="04A0" w:firstRow="1" w:lastRow="0" w:firstColumn="1" w:lastColumn="0" w:noHBand="0" w:noVBand="1"/>
      </w:tblPr>
      <w:tblGrid>
        <w:gridCol w:w="2792"/>
        <w:gridCol w:w="6225"/>
      </w:tblGrid>
      <w:tr w:rsidR="00D35246" w:rsidRPr="00D35246" w14:paraId="3DE1C2AF" w14:textId="77777777" w:rsidTr="00B04030">
        <w:tc>
          <w:tcPr>
            <w:tcW w:w="0" w:type="auto"/>
            <w:hideMark/>
          </w:tcPr>
          <w:p w14:paraId="79EE525A" w14:textId="77777777" w:rsidR="00D35246" w:rsidRPr="00D35246" w:rsidRDefault="00D35246" w:rsidP="00D35246">
            <w:pPr>
              <w:spacing w:after="160" w:line="278" w:lineRule="auto"/>
              <w:jc w:val="both"/>
              <w:rPr>
                <w:rFonts w:ascii="Times New Roman" w:hAnsi="Times New Roman" w:cs="Times New Roman"/>
                <w:b/>
                <w:bCs/>
              </w:rPr>
            </w:pPr>
            <w:r w:rsidRPr="00D35246">
              <w:rPr>
                <w:rFonts w:ascii="Times New Roman" w:hAnsi="Times New Roman" w:cs="Times New Roman"/>
                <w:b/>
                <w:bCs/>
              </w:rPr>
              <w:lastRenderedPageBreak/>
              <w:t>Strategic Priority</w:t>
            </w:r>
          </w:p>
        </w:tc>
        <w:tc>
          <w:tcPr>
            <w:tcW w:w="0" w:type="auto"/>
            <w:hideMark/>
          </w:tcPr>
          <w:p w14:paraId="46DA404E" w14:textId="77777777" w:rsidR="00D35246" w:rsidRPr="00D35246" w:rsidRDefault="00D35246" w:rsidP="00D35246">
            <w:pPr>
              <w:spacing w:after="160" w:line="278" w:lineRule="auto"/>
              <w:jc w:val="both"/>
              <w:rPr>
                <w:rFonts w:ascii="Times New Roman" w:hAnsi="Times New Roman" w:cs="Times New Roman"/>
                <w:b/>
                <w:bCs/>
              </w:rPr>
            </w:pPr>
            <w:r w:rsidRPr="00D35246">
              <w:rPr>
                <w:rFonts w:ascii="Times New Roman" w:hAnsi="Times New Roman" w:cs="Times New Roman"/>
                <w:b/>
                <w:bCs/>
              </w:rPr>
              <w:t>Description</w:t>
            </w:r>
          </w:p>
        </w:tc>
      </w:tr>
      <w:tr w:rsidR="00D35246" w:rsidRPr="00D35246" w14:paraId="66D10233" w14:textId="77777777" w:rsidTr="00B04030">
        <w:tc>
          <w:tcPr>
            <w:tcW w:w="0" w:type="auto"/>
            <w:hideMark/>
          </w:tcPr>
          <w:p w14:paraId="18F67EF4"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1. Strengthen Value Chain Integration</w:t>
            </w:r>
          </w:p>
        </w:tc>
        <w:tc>
          <w:tcPr>
            <w:tcW w:w="0" w:type="auto"/>
            <w:hideMark/>
          </w:tcPr>
          <w:p w14:paraId="43712624"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Develop local processing industries (e.g., potato chips, cabbage pickles), expand cold storage.</w:t>
            </w:r>
          </w:p>
        </w:tc>
      </w:tr>
      <w:tr w:rsidR="00D35246" w:rsidRPr="00D35246" w14:paraId="7C6A4757" w14:textId="77777777" w:rsidTr="00B04030">
        <w:tc>
          <w:tcPr>
            <w:tcW w:w="0" w:type="auto"/>
            <w:hideMark/>
          </w:tcPr>
          <w:p w14:paraId="7B4E5789"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2. Enhance Digital Market Access</w:t>
            </w:r>
          </w:p>
        </w:tc>
        <w:tc>
          <w:tcPr>
            <w:tcW w:w="0" w:type="auto"/>
            <w:hideMark/>
          </w:tcPr>
          <w:p w14:paraId="07810A06"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Promote e-commerce, Gayo branding, and social media marketing; train youth as agro-digital agents.</w:t>
            </w:r>
          </w:p>
        </w:tc>
      </w:tr>
      <w:tr w:rsidR="00D35246" w:rsidRPr="00D35246" w14:paraId="50DA4541" w14:textId="77777777" w:rsidTr="00B04030">
        <w:tc>
          <w:tcPr>
            <w:tcW w:w="0" w:type="auto"/>
            <w:hideMark/>
          </w:tcPr>
          <w:p w14:paraId="143FD988"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3. Develop Agrotourism Synergies</w:t>
            </w:r>
          </w:p>
        </w:tc>
        <w:tc>
          <w:tcPr>
            <w:tcW w:w="0" w:type="auto"/>
            <w:hideMark/>
          </w:tcPr>
          <w:p w14:paraId="7088F2DF"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Link farms to tourism (e.g., harvest tours, local food products), promote Gayo culture.</w:t>
            </w:r>
          </w:p>
        </w:tc>
      </w:tr>
      <w:tr w:rsidR="00D35246" w:rsidRPr="00D35246" w14:paraId="6B66F644" w14:textId="77777777" w:rsidTr="00B04030">
        <w:tc>
          <w:tcPr>
            <w:tcW w:w="0" w:type="auto"/>
            <w:hideMark/>
          </w:tcPr>
          <w:p w14:paraId="609FAC59"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4. Revitalize Arabica Coffee Sector</w:t>
            </w:r>
          </w:p>
        </w:tc>
        <w:tc>
          <w:tcPr>
            <w:tcW w:w="0" w:type="auto"/>
            <w:hideMark/>
          </w:tcPr>
          <w:p w14:paraId="68A3B516"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Provide improved seeds, support post-harvest processing, enhance product storytelling &amp; GI labeling.</w:t>
            </w:r>
          </w:p>
        </w:tc>
      </w:tr>
    </w:tbl>
    <w:p w14:paraId="47859E2D" w14:textId="77777777" w:rsidR="00B04030" w:rsidRDefault="00B04030" w:rsidP="00B04030">
      <w:pPr>
        <w:jc w:val="both"/>
        <w:rPr>
          <w:rFonts w:ascii="Times New Roman" w:hAnsi="Times New Roman" w:cs="Times New Roman"/>
        </w:rPr>
      </w:pPr>
    </w:p>
    <w:p w14:paraId="1CFF9D2A" w14:textId="7C0E3148" w:rsidR="00425F0D" w:rsidRPr="00B04030" w:rsidRDefault="00D35246" w:rsidP="00B04030">
      <w:pPr>
        <w:jc w:val="both"/>
        <w:rPr>
          <w:rFonts w:ascii="Times New Roman" w:hAnsi="Times New Roman" w:cs="Times New Roman"/>
        </w:rPr>
      </w:pPr>
      <w:r w:rsidRPr="00D35246">
        <w:rPr>
          <w:rFonts w:ascii="Times New Roman" w:hAnsi="Times New Roman" w:cs="Times New Roman"/>
        </w:rPr>
        <w:t>These strategies leverage Bebesen’s agroecological advantage, flagship commodities, and cultural assets to expand regional competitiveness in Aceh Tengah and beyond.</w:t>
      </w:r>
      <w:r w:rsidR="00B04030" w:rsidRPr="00B04030">
        <w:rPr>
          <w:rFonts w:ascii="Times New Roman" w:hAnsi="Times New Roman" w:cs="Times New Roman"/>
        </w:rPr>
        <w:t xml:space="preserve"> </w:t>
      </w:r>
      <w:r w:rsidR="00425F0D" w:rsidRPr="00B04030">
        <w:rPr>
          <w:rFonts w:ascii="Times New Roman" w:hAnsi="Times New Roman" w:cs="Times New Roman"/>
        </w:rPr>
        <w:t>The results of this study hold several implications for local development planning. First, policy must move beyond generic agricultural promotion and target value chain upgrading for specific commodities. This includes incentives for cold-chain infrastructure, packaging innovation, and farm-to-market logistics. Second, capacity building programs are needed to improve farmers' technical skills and entrepreneurial readiness, especially in digital tools and cooperative models (World Bank, 2021).</w:t>
      </w:r>
    </w:p>
    <w:p w14:paraId="153D1453" w14:textId="77777777" w:rsidR="00425F0D" w:rsidRPr="00B04030" w:rsidRDefault="00425F0D" w:rsidP="00B04030">
      <w:pPr>
        <w:jc w:val="both"/>
        <w:rPr>
          <w:rFonts w:ascii="Times New Roman" w:hAnsi="Times New Roman" w:cs="Times New Roman"/>
        </w:rPr>
      </w:pPr>
      <w:r w:rsidRPr="00B04030">
        <w:rPr>
          <w:rFonts w:ascii="Times New Roman" w:hAnsi="Times New Roman" w:cs="Times New Roman"/>
        </w:rPr>
        <w:t>Third, local government must play a coordinating role in aligning stakeholders—farmers, processors, cooperatives, and financial institutions—through an institutionalized cluster development model. This aligns with the concept of territorial competitiveness, which links sectoral growth to spatial planning and governance effectiveness (Rodríguez-Pose, 2013).</w:t>
      </w:r>
    </w:p>
    <w:p w14:paraId="6341733D" w14:textId="77777777" w:rsidR="00425F0D" w:rsidRPr="00B04030" w:rsidRDefault="00425F0D" w:rsidP="00B04030">
      <w:pPr>
        <w:jc w:val="both"/>
        <w:rPr>
          <w:rFonts w:ascii="Times New Roman" w:hAnsi="Times New Roman" w:cs="Times New Roman"/>
        </w:rPr>
      </w:pPr>
      <w:r w:rsidRPr="00B04030">
        <w:rPr>
          <w:rFonts w:ascii="Times New Roman" w:hAnsi="Times New Roman" w:cs="Times New Roman"/>
        </w:rPr>
        <w:t>Finally, integrating agriculture with non-agricultural rural sectors such as tourism and creative industries could serve as a buffer against commodity price volatility, thus ensuring income diversification and rural resilience.</w:t>
      </w:r>
    </w:p>
    <w:p w14:paraId="40976395" w14:textId="24E5A3CF" w:rsidR="003C017D" w:rsidRPr="003C017D" w:rsidRDefault="005C28A5" w:rsidP="003C017D">
      <w:pPr>
        <w:rPr>
          <w:rFonts w:ascii="Times New Roman" w:hAnsi="Times New Roman" w:cs="Times New Roman"/>
          <w:b/>
          <w:bCs/>
        </w:rPr>
      </w:pPr>
      <w:r>
        <w:rPr>
          <w:rFonts w:ascii="Times New Roman" w:hAnsi="Times New Roman" w:cs="Times New Roman"/>
          <w:b/>
          <w:bCs/>
        </w:rPr>
        <w:t xml:space="preserve">4. </w:t>
      </w:r>
      <w:r w:rsidRPr="003C017D">
        <w:rPr>
          <w:rFonts w:ascii="Times New Roman" w:hAnsi="Times New Roman" w:cs="Times New Roman"/>
          <w:b/>
          <w:bCs/>
        </w:rPr>
        <w:t>CONCLUSION AND RECOMMENDATIONS</w:t>
      </w:r>
    </w:p>
    <w:p w14:paraId="0AD433CF" w14:textId="77777777" w:rsidR="003C017D" w:rsidRPr="003C017D" w:rsidRDefault="003C017D" w:rsidP="003C017D">
      <w:pPr>
        <w:rPr>
          <w:rFonts w:ascii="Times New Roman" w:hAnsi="Times New Roman" w:cs="Times New Roman"/>
          <w:b/>
          <w:bCs/>
        </w:rPr>
      </w:pPr>
      <w:r w:rsidRPr="003C017D">
        <w:rPr>
          <w:rFonts w:ascii="Times New Roman" w:hAnsi="Times New Roman" w:cs="Times New Roman"/>
          <w:b/>
          <w:bCs/>
        </w:rPr>
        <w:t>Conclusion</w:t>
      </w:r>
    </w:p>
    <w:p w14:paraId="09D4362A" w14:textId="442BBAF4" w:rsidR="003C017D" w:rsidRPr="003C017D" w:rsidRDefault="003C017D" w:rsidP="003C017D">
      <w:pPr>
        <w:rPr>
          <w:rFonts w:ascii="Times New Roman" w:hAnsi="Times New Roman" w:cs="Times New Roman"/>
        </w:rPr>
      </w:pPr>
      <w:r w:rsidRPr="003C017D">
        <w:rPr>
          <w:rFonts w:ascii="Times New Roman" w:hAnsi="Times New Roman" w:cs="Times New Roman"/>
        </w:rPr>
        <w:t xml:space="preserve">This study has examined the strategic development potential of </w:t>
      </w:r>
      <w:proofErr w:type="spellStart"/>
      <w:r w:rsidRPr="003C017D">
        <w:rPr>
          <w:rFonts w:ascii="Times New Roman" w:hAnsi="Times New Roman" w:cs="Times New Roman"/>
        </w:rPr>
        <w:t>Bebesen</w:t>
      </w:r>
      <w:proofErr w:type="spellEnd"/>
      <w:r w:rsidRPr="003C017D">
        <w:rPr>
          <w:rFonts w:ascii="Times New Roman" w:hAnsi="Times New Roman" w:cs="Times New Roman"/>
        </w:rPr>
        <w:t xml:space="preserve"> </w:t>
      </w:r>
      <w:r w:rsidR="0059667B">
        <w:rPr>
          <w:rFonts w:ascii="Times New Roman" w:hAnsi="Times New Roman" w:cs="Times New Roman"/>
        </w:rPr>
        <w:t>Dis</w:t>
      </w:r>
      <w:r w:rsidRPr="003C017D">
        <w:rPr>
          <w:rFonts w:ascii="Times New Roman" w:hAnsi="Times New Roman" w:cs="Times New Roman"/>
        </w:rPr>
        <w:t>trict through a comprehensive analysis of its agricultural economy, focusing on leading commodities and sectoral dynamics. The findings reveal that five horticultural commodities—potatoes, cabbage, cauliflower, spring onions, and shallots—possess high localization advantages and qualify as economic base sectors, as indicated by their LQ values exceeding 1. In contrast, Gayo Arabica coffee, despite its cultural and historical significance, has declined in productivity and competitiveness, falling below the economic base threshold.</w:t>
      </w:r>
    </w:p>
    <w:p w14:paraId="2D2E91F2" w14:textId="77777777" w:rsidR="003C017D" w:rsidRPr="003C017D" w:rsidRDefault="003C017D" w:rsidP="003C017D">
      <w:pPr>
        <w:rPr>
          <w:rFonts w:ascii="Times New Roman" w:hAnsi="Times New Roman" w:cs="Times New Roman"/>
        </w:rPr>
      </w:pPr>
      <w:r w:rsidRPr="003C017D">
        <w:rPr>
          <w:rFonts w:ascii="Times New Roman" w:hAnsi="Times New Roman" w:cs="Times New Roman"/>
        </w:rPr>
        <w:t xml:space="preserve">Through Klassen Typology, </w:t>
      </w:r>
      <w:proofErr w:type="spellStart"/>
      <w:r w:rsidRPr="003C017D">
        <w:rPr>
          <w:rFonts w:ascii="Times New Roman" w:hAnsi="Times New Roman" w:cs="Times New Roman"/>
        </w:rPr>
        <w:t>Bebesen</w:t>
      </w:r>
      <w:proofErr w:type="spellEnd"/>
      <w:r w:rsidRPr="003C017D">
        <w:rPr>
          <w:rFonts w:ascii="Times New Roman" w:hAnsi="Times New Roman" w:cs="Times New Roman"/>
        </w:rPr>
        <w:t xml:space="preserve"> is classified as an </w:t>
      </w:r>
      <w:r w:rsidRPr="003C017D">
        <w:rPr>
          <w:rFonts w:ascii="Times New Roman" w:hAnsi="Times New Roman" w:cs="Times New Roman"/>
          <w:b/>
          <w:bCs/>
        </w:rPr>
        <w:t>advanced and rapidly growing</w:t>
      </w:r>
      <w:r w:rsidRPr="003C017D">
        <w:rPr>
          <w:rFonts w:ascii="Times New Roman" w:hAnsi="Times New Roman" w:cs="Times New Roman"/>
        </w:rPr>
        <w:t xml:space="preserve"> region, reaffirming its strategic role in regional economic development. The SWOT analysis further substantiates this potential by placing </w:t>
      </w:r>
      <w:proofErr w:type="spellStart"/>
      <w:r w:rsidRPr="003C017D">
        <w:rPr>
          <w:rFonts w:ascii="Times New Roman" w:hAnsi="Times New Roman" w:cs="Times New Roman"/>
        </w:rPr>
        <w:t>Bebesen</w:t>
      </w:r>
      <w:proofErr w:type="spellEnd"/>
      <w:r w:rsidRPr="003C017D">
        <w:rPr>
          <w:rFonts w:ascii="Times New Roman" w:hAnsi="Times New Roman" w:cs="Times New Roman"/>
        </w:rPr>
        <w:t xml:space="preserve"> in an </w:t>
      </w:r>
      <w:r w:rsidRPr="003C017D">
        <w:rPr>
          <w:rFonts w:ascii="Times New Roman" w:hAnsi="Times New Roman" w:cs="Times New Roman"/>
          <w:b/>
          <w:bCs/>
        </w:rPr>
        <w:t>aggressive strategic quadrant</w:t>
      </w:r>
      <w:r w:rsidRPr="003C017D">
        <w:rPr>
          <w:rFonts w:ascii="Times New Roman" w:hAnsi="Times New Roman" w:cs="Times New Roman"/>
        </w:rPr>
        <w:t xml:space="preserve">, </w:t>
      </w:r>
      <w:r w:rsidRPr="003C017D">
        <w:rPr>
          <w:rFonts w:ascii="Times New Roman" w:hAnsi="Times New Roman" w:cs="Times New Roman"/>
        </w:rPr>
        <w:lastRenderedPageBreak/>
        <w:t>enabling a proactive approach that capitalizes on internal strengths and external opportunities. The recommended development trajectory includes downstream integration, digitalization of agricultural marketing, agrotourism development, and the revitalization of coffee plantations.</w:t>
      </w:r>
    </w:p>
    <w:p w14:paraId="6EA1BC97" w14:textId="77777777" w:rsidR="003C017D" w:rsidRPr="003C017D" w:rsidRDefault="003C017D" w:rsidP="003C017D">
      <w:pPr>
        <w:rPr>
          <w:rFonts w:ascii="Times New Roman" w:hAnsi="Times New Roman" w:cs="Times New Roman"/>
        </w:rPr>
      </w:pPr>
      <w:r w:rsidRPr="003C017D">
        <w:rPr>
          <w:rFonts w:ascii="Times New Roman" w:hAnsi="Times New Roman" w:cs="Times New Roman"/>
        </w:rPr>
        <w:t xml:space="preserve">Collectively, these findings highlight the importance of </w:t>
      </w:r>
      <w:r w:rsidRPr="003C017D">
        <w:rPr>
          <w:rFonts w:ascii="Times New Roman" w:hAnsi="Times New Roman" w:cs="Times New Roman"/>
          <w:b/>
          <w:bCs/>
        </w:rPr>
        <w:t>evidence-based, commodity-centered planning</w:t>
      </w:r>
      <w:r w:rsidRPr="003C017D">
        <w:rPr>
          <w:rFonts w:ascii="Times New Roman" w:hAnsi="Times New Roman" w:cs="Times New Roman"/>
        </w:rPr>
        <w:t xml:space="preserve"> in advancing rural economic resilience. The integration of quantitative economic tools with stakeholder insights offers a robust model for sub-regional planning that aligns with both market realities and local aspirations.</w:t>
      </w:r>
    </w:p>
    <w:p w14:paraId="4DCCD83A" w14:textId="77777777" w:rsidR="003C017D" w:rsidRPr="003C017D" w:rsidRDefault="00B77986" w:rsidP="003C017D">
      <w:pPr>
        <w:rPr>
          <w:rFonts w:ascii="Times New Roman" w:hAnsi="Times New Roman" w:cs="Times New Roman"/>
        </w:rPr>
      </w:pPr>
      <w:r>
        <w:rPr>
          <w:rFonts w:ascii="Times New Roman" w:hAnsi="Times New Roman" w:cs="Times New Roman"/>
        </w:rPr>
        <w:pict w14:anchorId="36AE6796">
          <v:rect id="_x0000_i1025" style="width:0;height:1.5pt" o:hralign="center" o:hrstd="t" o:hr="t" fillcolor="#a0a0a0" stroked="f"/>
        </w:pict>
      </w:r>
    </w:p>
    <w:p w14:paraId="46900E26" w14:textId="77777777" w:rsidR="003C017D" w:rsidRPr="003C017D" w:rsidRDefault="003C017D" w:rsidP="003C017D">
      <w:pPr>
        <w:rPr>
          <w:rFonts w:ascii="Times New Roman" w:hAnsi="Times New Roman" w:cs="Times New Roman"/>
          <w:b/>
          <w:bCs/>
        </w:rPr>
      </w:pPr>
      <w:r w:rsidRPr="003C017D">
        <w:rPr>
          <w:rFonts w:ascii="Times New Roman" w:hAnsi="Times New Roman" w:cs="Times New Roman"/>
          <w:b/>
          <w:bCs/>
        </w:rPr>
        <w:t>Recommendations</w:t>
      </w:r>
    </w:p>
    <w:p w14:paraId="1F7BA2EB" w14:textId="77777777" w:rsidR="003C017D" w:rsidRPr="005C28A5" w:rsidRDefault="003C017D" w:rsidP="003C017D">
      <w:pPr>
        <w:rPr>
          <w:rFonts w:ascii="Times New Roman" w:hAnsi="Times New Roman" w:cs="Times New Roman"/>
        </w:rPr>
      </w:pPr>
      <w:r w:rsidRPr="005C28A5">
        <w:rPr>
          <w:rFonts w:ascii="Times New Roman" w:hAnsi="Times New Roman" w:cs="Times New Roman"/>
        </w:rPr>
        <w:t>1. Policy and Institutional Interventions</w:t>
      </w:r>
    </w:p>
    <w:p w14:paraId="6525E66A" w14:textId="77777777" w:rsidR="003C017D" w:rsidRPr="005C28A5" w:rsidRDefault="003C017D" w:rsidP="003C017D">
      <w:pPr>
        <w:numPr>
          <w:ilvl w:val="0"/>
          <w:numId w:val="9"/>
        </w:numPr>
        <w:rPr>
          <w:rFonts w:ascii="Times New Roman" w:hAnsi="Times New Roman" w:cs="Times New Roman"/>
        </w:rPr>
      </w:pPr>
      <w:r w:rsidRPr="005C28A5">
        <w:rPr>
          <w:rFonts w:ascii="Times New Roman" w:hAnsi="Times New Roman" w:cs="Times New Roman"/>
        </w:rPr>
        <w:t>The local government should prioritize infrastructure investment in post-harvest processing, cold storage, and logistics systems for horticultural commodities.</w:t>
      </w:r>
    </w:p>
    <w:p w14:paraId="7A055090" w14:textId="77777777" w:rsidR="003C017D" w:rsidRPr="005C28A5" w:rsidRDefault="003C017D" w:rsidP="003C017D">
      <w:pPr>
        <w:numPr>
          <w:ilvl w:val="0"/>
          <w:numId w:val="9"/>
        </w:numPr>
        <w:rPr>
          <w:rFonts w:ascii="Times New Roman" w:hAnsi="Times New Roman" w:cs="Times New Roman"/>
        </w:rPr>
      </w:pPr>
      <w:r w:rsidRPr="005C28A5">
        <w:rPr>
          <w:rFonts w:ascii="Times New Roman" w:hAnsi="Times New Roman" w:cs="Times New Roman"/>
        </w:rPr>
        <w:t>Establish a commodity cluster governance model, involving farmer cooperatives, local enterprises, and research institutions to ensure coordinated and sustainable value chain development.</w:t>
      </w:r>
    </w:p>
    <w:p w14:paraId="38F09F45" w14:textId="77777777" w:rsidR="003C017D" w:rsidRPr="005C28A5" w:rsidRDefault="003C017D" w:rsidP="003C017D">
      <w:pPr>
        <w:numPr>
          <w:ilvl w:val="0"/>
          <w:numId w:val="9"/>
        </w:numPr>
        <w:rPr>
          <w:rFonts w:ascii="Times New Roman" w:hAnsi="Times New Roman" w:cs="Times New Roman"/>
        </w:rPr>
      </w:pPr>
      <w:r w:rsidRPr="005C28A5">
        <w:rPr>
          <w:rFonts w:ascii="Times New Roman" w:hAnsi="Times New Roman" w:cs="Times New Roman"/>
        </w:rPr>
        <w:t>Enforce policies that protect and enhance the Geographical Indication (GI) status of Gayo Arabica coffee through replanting programs, soil rehabilitation, and quality assurance mechanisms.</w:t>
      </w:r>
    </w:p>
    <w:p w14:paraId="021AF6C2" w14:textId="77777777" w:rsidR="003C017D" w:rsidRPr="005C28A5" w:rsidRDefault="003C017D" w:rsidP="003C017D">
      <w:pPr>
        <w:rPr>
          <w:rFonts w:ascii="Times New Roman" w:hAnsi="Times New Roman" w:cs="Times New Roman"/>
        </w:rPr>
      </w:pPr>
      <w:r w:rsidRPr="005C28A5">
        <w:rPr>
          <w:rFonts w:ascii="Times New Roman" w:hAnsi="Times New Roman" w:cs="Times New Roman"/>
        </w:rPr>
        <w:t>2. Digital and Market Integration</w:t>
      </w:r>
    </w:p>
    <w:p w14:paraId="5F79180A" w14:textId="77777777" w:rsidR="003C017D" w:rsidRPr="005C28A5" w:rsidRDefault="003C017D" w:rsidP="003C017D">
      <w:pPr>
        <w:numPr>
          <w:ilvl w:val="0"/>
          <w:numId w:val="10"/>
        </w:numPr>
        <w:rPr>
          <w:rFonts w:ascii="Times New Roman" w:hAnsi="Times New Roman" w:cs="Times New Roman"/>
        </w:rPr>
      </w:pPr>
      <w:r w:rsidRPr="005C28A5">
        <w:rPr>
          <w:rFonts w:ascii="Times New Roman" w:hAnsi="Times New Roman" w:cs="Times New Roman"/>
        </w:rPr>
        <w:t>Promote digital literacy among farmers and cooperatives to improve market access through e-commerce, product traceability, and direct-to-consumer models.</w:t>
      </w:r>
    </w:p>
    <w:p w14:paraId="439C0DE1" w14:textId="77777777" w:rsidR="003C017D" w:rsidRPr="005C28A5" w:rsidRDefault="003C017D" w:rsidP="003C017D">
      <w:pPr>
        <w:numPr>
          <w:ilvl w:val="0"/>
          <w:numId w:val="10"/>
        </w:numPr>
        <w:rPr>
          <w:rFonts w:ascii="Times New Roman" w:hAnsi="Times New Roman" w:cs="Times New Roman"/>
        </w:rPr>
      </w:pPr>
      <w:r w:rsidRPr="005C28A5">
        <w:rPr>
          <w:rFonts w:ascii="Times New Roman" w:hAnsi="Times New Roman" w:cs="Times New Roman"/>
        </w:rPr>
        <w:t xml:space="preserve">Collaborate with fintech platforms to expand access to digital financial services for smallholder farmers and </w:t>
      </w:r>
      <w:proofErr w:type="spellStart"/>
      <w:r w:rsidRPr="005C28A5">
        <w:rPr>
          <w:rFonts w:ascii="Times New Roman" w:hAnsi="Times New Roman" w:cs="Times New Roman"/>
        </w:rPr>
        <w:t>agri</w:t>
      </w:r>
      <w:proofErr w:type="spellEnd"/>
      <w:r w:rsidRPr="005C28A5">
        <w:rPr>
          <w:rFonts w:ascii="Times New Roman" w:hAnsi="Times New Roman" w:cs="Times New Roman"/>
        </w:rPr>
        <w:t>-entrepreneurs.</w:t>
      </w:r>
    </w:p>
    <w:p w14:paraId="54CD3DD7" w14:textId="77777777" w:rsidR="003C017D" w:rsidRPr="005C28A5" w:rsidRDefault="003C017D" w:rsidP="003C017D">
      <w:pPr>
        <w:rPr>
          <w:rFonts w:ascii="Times New Roman" w:hAnsi="Times New Roman" w:cs="Times New Roman"/>
        </w:rPr>
      </w:pPr>
      <w:r w:rsidRPr="005C28A5">
        <w:rPr>
          <w:rFonts w:ascii="Times New Roman" w:hAnsi="Times New Roman" w:cs="Times New Roman"/>
        </w:rPr>
        <w:t>3. Agrotourism and Territorial Branding</w:t>
      </w:r>
    </w:p>
    <w:p w14:paraId="60CA376C" w14:textId="77777777" w:rsidR="003C017D" w:rsidRPr="005C28A5" w:rsidRDefault="003C017D" w:rsidP="003C017D">
      <w:pPr>
        <w:numPr>
          <w:ilvl w:val="0"/>
          <w:numId w:val="11"/>
        </w:numPr>
        <w:rPr>
          <w:rFonts w:ascii="Times New Roman" w:hAnsi="Times New Roman" w:cs="Times New Roman"/>
        </w:rPr>
      </w:pPr>
      <w:r w:rsidRPr="005C28A5">
        <w:rPr>
          <w:rFonts w:ascii="Times New Roman" w:hAnsi="Times New Roman" w:cs="Times New Roman"/>
        </w:rPr>
        <w:t>Integrate agricultural production zones with rural tourism circuits, supported by promotional campaigns emphasizing organic farming, local cuisine, and traditional Gayo culture.</w:t>
      </w:r>
    </w:p>
    <w:p w14:paraId="48BD0DAA" w14:textId="66FA0668" w:rsidR="003C017D" w:rsidRPr="005C28A5" w:rsidRDefault="003C017D" w:rsidP="003C017D">
      <w:pPr>
        <w:numPr>
          <w:ilvl w:val="0"/>
          <w:numId w:val="11"/>
        </w:numPr>
        <w:rPr>
          <w:rFonts w:ascii="Times New Roman" w:hAnsi="Times New Roman" w:cs="Times New Roman"/>
        </w:rPr>
      </w:pPr>
      <w:r w:rsidRPr="005C28A5">
        <w:rPr>
          <w:rFonts w:ascii="Times New Roman" w:hAnsi="Times New Roman" w:cs="Times New Roman"/>
        </w:rPr>
        <w:t>Develop a “</w:t>
      </w:r>
      <w:proofErr w:type="spellStart"/>
      <w:r w:rsidRPr="005C28A5">
        <w:rPr>
          <w:rFonts w:ascii="Times New Roman" w:hAnsi="Times New Roman" w:cs="Times New Roman"/>
        </w:rPr>
        <w:t>Bebesen</w:t>
      </w:r>
      <w:proofErr w:type="spellEnd"/>
      <w:r w:rsidRPr="005C28A5">
        <w:rPr>
          <w:rFonts w:ascii="Times New Roman" w:hAnsi="Times New Roman" w:cs="Times New Roman"/>
        </w:rPr>
        <w:t xml:space="preserve"> </w:t>
      </w:r>
      <w:proofErr w:type="spellStart"/>
      <w:r w:rsidRPr="005C28A5">
        <w:rPr>
          <w:rFonts w:ascii="Times New Roman" w:hAnsi="Times New Roman" w:cs="Times New Roman"/>
        </w:rPr>
        <w:t>Agro</w:t>
      </w:r>
      <w:proofErr w:type="spellEnd"/>
      <w:r w:rsidRPr="005C28A5">
        <w:rPr>
          <w:rFonts w:ascii="Times New Roman" w:hAnsi="Times New Roman" w:cs="Times New Roman"/>
        </w:rPr>
        <w:t xml:space="preserve">-Tourism” brand to differentiate the </w:t>
      </w:r>
      <w:r w:rsidR="0059667B" w:rsidRPr="005C28A5">
        <w:rPr>
          <w:rFonts w:ascii="Times New Roman" w:hAnsi="Times New Roman" w:cs="Times New Roman"/>
        </w:rPr>
        <w:t>dis</w:t>
      </w:r>
      <w:r w:rsidRPr="005C28A5">
        <w:rPr>
          <w:rFonts w:ascii="Times New Roman" w:hAnsi="Times New Roman" w:cs="Times New Roman"/>
        </w:rPr>
        <w:t>trict in national and regional markets.</w:t>
      </w:r>
    </w:p>
    <w:p w14:paraId="17C20E06" w14:textId="77777777" w:rsidR="003C017D" w:rsidRPr="005C28A5" w:rsidRDefault="003C017D" w:rsidP="003C017D">
      <w:pPr>
        <w:rPr>
          <w:rFonts w:ascii="Times New Roman" w:hAnsi="Times New Roman" w:cs="Times New Roman"/>
        </w:rPr>
      </w:pPr>
      <w:r w:rsidRPr="005C28A5">
        <w:rPr>
          <w:rFonts w:ascii="Times New Roman" w:hAnsi="Times New Roman" w:cs="Times New Roman"/>
        </w:rPr>
        <w:t>4. Research and Monitoring</w:t>
      </w:r>
    </w:p>
    <w:p w14:paraId="0AA0B8CD" w14:textId="77777777" w:rsidR="003C017D" w:rsidRPr="005C28A5" w:rsidRDefault="003C017D" w:rsidP="003C017D">
      <w:pPr>
        <w:numPr>
          <w:ilvl w:val="0"/>
          <w:numId w:val="12"/>
        </w:numPr>
        <w:rPr>
          <w:rFonts w:ascii="Times New Roman" w:hAnsi="Times New Roman" w:cs="Times New Roman"/>
        </w:rPr>
      </w:pPr>
      <w:r w:rsidRPr="005C28A5">
        <w:rPr>
          <w:rFonts w:ascii="Times New Roman" w:hAnsi="Times New Roman" w:cs="Times New Roman"/>
        </w:rPr>
        <w:t>Future studies should adopt longitudinal approaches to monitor the effectiveness of implemented strategies and assess evolving commodity dynamics.</w:t>
      </w:r>
    </w:p>
    <w:p w14:paraId="3393F671" w14:textId="1D158F7C" w:rsidR="003C017D" w:rsidRPr="005C28A5" w:rsidRDefault="003C017D" w:rsidP="003C017D">
      <w:pPr>
        <w:numPr>
          <w:ilvl w:val="0"/>
          <w:numId w:val="12"/>
        </w:numPr>
        <w:rPr>
          <w:rFonts w:ascii="Times New Roman" w:hAnsi="Times New Roman" w:cs="Times New Roman"/>
        </w:rPr>
      </w:pPr>
      <w:r w:rsidRPr="005C28A5">
        <w:rPr>
          <w:rFonts w:ascii="Times New Roman" w:hAnsi="Times New Roman" w:cs="Times New Roman"/>
        </w:rPr>
        <w:t>Encourage collaboration between universities, local governments, and international development partners to pilot innovation-based rural development models.</w:t>
      </w:r>
    </w:p>
    <w:p w14:paraId="4E62229E" w14:textId="251C81D1" w:rsidR="003C017D" w:rsidRDefault="003C017D" w:rsidP="003C017D">
      <w:pPr>
        <w:rPr>
          <w:rFonts w:ascii="Times New Roman" w:hAnsi="Times New Roman" w:cs="Times New Roman"/>
        </w:rPr>
      </w:pPr>
      <w:r w:rsidRPr="003C017D">
        <w:rPr>
          <w:rFonts w:ascii="Times New Roman" w:hAnsi="Times New Roman" w:cs="Times New Roman"/>
        </w:rPr>
        <w:lastRenderedPageBreak/>
        <w:t xml:space="preserve">The strategic transformation of </w:t>
      </w:r>
      <w:proofErr w:type="spellStart"/>
      <w:r w:rsidRPr="003C017D">
        <w:rPr>
          <w:rFonts w:ascii="Times New Roman" w:hAnsi="Times New Roman" w:cs="Times New Roman"/>
        </w:rPr>
        <w:t>Bebesen</w:t>
      </w:r>
      <w:proofErr w:type="spellEnd"/>
      <w:r w:rsidRPr="003C017D">
        <w:rPr>
          <w:rFonts w:ascii="Times New Roman" w:hAnsi="Times New Roman" w:cs="Times New Roman"/>
        </w:rPr>
        <w:t xml:space="preserve"> into a commodity-driven economic zone not only aligns with regional development mandates but also presents a scalable model for rural revitalization in other agrarian regions of Indonesia.</w:t>
      </w:r>
    </w:p>
    <w:p w14:paraId="51ACFA14" w14:textId="7402B238" w:rsidR="00181EFB" w:rsidRDefault="00181EFB" w:rsidP="003C017D">
      <w:pPr>
        <w:rPr>
          <w:rFonts w:ascii="Times New Roman" w:hAnsi="Times New Roman" w:cs="Times New Roman"/>
        </w:rPr>
      </w:pPr>
    </w:p>
    <w:p w14:paraId="267C1032" w14:textId="00861FC4" w:rsidR="00181EFB" w:rsidRDefault="00181EFB" w:rsidP="003C017D">
      <w:pPr>
        <w:rPr>
          <w:rFonts w:ascii="Times New Roman" w:hAnsi="Times New Roman" w:cs="Times New Roman"/>
        </w:rPr>
      </w:pPr>
    </w:p>
    <w:p w14:paraId="463032B0" w14:textId="77777777" w:rsidR="00181EFB" w:rsidRPr="00270720" w:rsidRDefault="00181EFB" w:rsidP="00181EFB">
      <w:pPr>
        <w:rPr>
          <w:highlight w:val="yellow"/>
        </w:rPr>
      </w:pPr>
      <w:r w:rsidRPr="00270720">
        <w:rPr>
          <w:highlight w:val="yellow"/>
        </w:rPr>
        <w:t>Disclaimer (Artificial intelligence)</w:t>
      </w:r>
    </w:p>
    <w:p w14:paraId="421560D1" w14:textId="77777777" w:rsidR="00181EFB" w:rsidRPr="00270720" w:rsidRDefault="00181EFB" w:rsidP="00181EFB">
      <w:pPr>
        <w:rPr>
          <w:highlight w:val="yellow"/>
        </w:rPr>
      </w:pPr>
    </w:p>
    <w:p w14:paraId="49301009" w14:textId="77777777" w:rsidR="00181EFB" w:rsidRPr="00270720" w:rsidRDefault="00181EFB" w:rsidP="00181EFB">
      <w:pPr>
        <w:rPr>
          <w:highlight w:val="yellow"/>
        </w:rPr>
      </w:pPr>
      <w:r w:rsidRPr="00270720">
        <w:rPr>
          <w:highlight w:val="yellow"/>
        </w:rPr>
        <w:t xml:space="preserve">Option 1: </w:t>
      </w:r>
    </w:p>
    <w:p w14:paraId="53E40881" w14:textId="77777777" w:rsidR="00181EFB" w:rsidRPr="00270720" w:rsidRDefault="00181EFB" w:rsidP="00181EFB">
      <w:pPr>
        <w:rPr>
          <w:highlight w:val="yellow"/>
        </w:rPr>
      </w:pPr>
    </w:p>
    <w:p w14:paraId="6E271188" w14:textId="77777777" w:rsidR="00181EFB" w:rsidRPr="00270720" w:rsidRDefault="00181EFB" w:rsidP="00181EFB">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347D4E43" w14:textId="77777777" w:rsidR="00181EFB" w:rsidRDefault="00181EFB" w:rsidP="003C017D">
      <w:pPr>
        <w:rPr>
          <w:rFonts w:ascii="Times New Roman" w:hAnsi="Times New Roman" w:cs="Times New Roman"/>
        </w:rPr>
      </w:pPr>
    </w:p>
    <w:p w14:paraId="0183C185" w14:textId="290A9F91" w:rsidR="003C017D" w:rsidRPr="003C017D" w:rsidRDefault="005C28A5" w:rsidP="003C017D">
      <w:pPr>
        <w:rPr>
          <w:rFonts w:ascii="Times New Roman" w:hAnsi="Times New Roman" w:cs="Times New Roman"/>
          <w:b/>
          <w:bCs/>
        </w:rPr>
      </w:pPr>
      <w:r w:rsidRPr="003C017D">
        <w:rPr>
          <w:rFonts w:ascii="Times New Roman" w:hAnsi="Times New Roman" w:cs="Times New Roman"/>
          <w:b/>
          <w:bCs/>
        </w:rPr>
        <w:t>REFERENCES</w:t>
      </w:r>
    </w:p>
    <w:p w14:paraId="248D9EBA" w14:textId="5B76D469" w:rsidR="00764316" w:rsidRPr="00764316" w:rsidRDefault="00764316" w:rsidP="00764316">
      <w:pPr>
        <w:rPr>
          <w:rFonts w:ascii="Times New Roman" w:hAnsi="Times New Roman" w:cs="Times New Roman"/>
        </w:rPr>
      </w:pPr>
      <w:r w:rsidRPr="00764316">
        <w:rPr>
          <w:rFonts w:ascii="Times New Roman" w:hAnsi="Times New Roman" w:cs="Times New Roman"/>
        </w:rPr>
        <w:t>Bendavid-Val, A. (1991). Regional and local economic analysis for practitioners. Praeger Publishers.</w:t>
      </w:r>
    </w:p>
    <w:p w14:paraId="680F1BA9" w14:textId="77777777" w:rsidR="00764316" w:rsidRPr="00764316" w:rsidRDefault="00764316" w:rsidP="00764316">
      <w:pPr>
        <w:rPr>
          <w:rFonts w:ascii="Times New Roman" w:hAnsi="Times New Roman" w:cs="Times New Roman"/>
        </w:rPr>
      </w:pPr>
      <w:r w:rsidRPr="00764316">
        <w:rPr>
          <w:rFonts w:ascii="Times New Roman" w:hAnsi="Times New Roman" w:cs="Times New Roman"/>
        </w:rPr>
        <w:t>BPS Aceh Tengah. (2023). Central Aceh in Figures 2023. Central Aceh Regency Statistics Agency. https://acehtengahkab.bps.go.id</w:t>
      </w:r>
    </w:p>
    <w:p w14:paraId="26A522C9" w14:textId="77777777" w:rsidR="00764316" w:rsidRPr="00764316" w:rsidRDefault="00764316" w:rsidP="00764316">
      <w:pPr>
        <w:rPr>
          <w:rFonts w:ascii="Times New Roman" w:hAnsi="Times New Roman" w:cs="Times New Roman"/>
        </w:rPr>
      </w:pPr>
      <w:r w:rsidRPr="00764316">
        <w:rPr>
          <w:rFonts w:ascii="Times New Roman" w:hAnsi="Times New Roman" w:cs="Times New Roman"/>
        </w:rPr>
        <w:t>Creswell, J. W., &amp; Plano Clark, V. L. (2018). Designing and Conducting Mixed Methods Research (3rd ed.). SAGE Publications.</w:t>
      </w:r>
    </w:p>
    <w:p w14:paraId="283448E5" w14:textId="77777777" w:rsidR="00764316" w:rsidRPr="00764316" w:rsidRDefault="00764316" w:rsidP="00764316">
      <w:pPr>
        <w:rPr>
          <w:rFonts w:ascii="Times New Roman" w:hAnsi="Times New Roman" w:cs="Times New Roman"/>
        </w:rPr>
      </w:pPr>
      <w:r w:rsidRPr="00764316">
        <w:rPr>
          <w:rFonts w:ascii="Times New Roman" w:hAnsi="Times New Roman" w:cs="Times New Roman"/>
        </w:rPr>
        <w:t>Denzin, N. K., &amp; Lincoln, Y. S. (2011). The SAGE Handbook of Qualitative Research (4th ed.). SAGE Publications.</w:t>
      </w:r>
    </w:p>
    <w:p w14:paraId="5BA50426" w14:textId="16AB6C6A" w:rsidR="00764316" w:rsidRPr="00764316" w:rsidRDefault="00764316" w:rsidP="00764316">
      <w:pPr>
        <w:rPr>
          <w:rFonts w:ascii="Times New Roman" w:hAnsi="Times New Roman" w:cs="Times New Roman"/>
        </w:rPr>
      </w:pPr>
      <w:r w:rsidRPr="000F2FF0">
        <w:rPr>
          <w:rFonts w:ascii="Times New Roman" w:hAnsi="Times New Roman" w:cs="Times New Roman"/>
          <w:highlight w:val="yellow"/>
        </w:rPr>
        <w:t xml:space="preserve">Hoyt, H. (1954). </w:t>
      </w:r>
      <w:r w:rsidR="000F2FF0" w:rsidRPr="000F2FF0">
        <w:rPr>
          <w:rFonts w:ascii="Times New Roman" w:hAnsi="Times New Roman" w:cs="Times New Roman"/>
          <w:highlight w:val="yellow"/>
        </w:rPr>
        <w:t>Homer Hoyt on Development of Economic Base Concept</w:t>
      </w:r>
      <w:r w:rsidRPr="000F2FF0">
        <w:rPr>
          <w:rFonts w:ascii="Times New Roman" w:hAnsi="Times New Roman" w:cs="Times New Roman"/>
          <w:highlight w:val="yellow"/>
        </w:rPr>
        <w:t xml:space="preserve">. </w:t>
      </w:r>
      <w:r w:rsidR="000F2FF0" w:rsidRPr="000F2FF0">
        <w:rPr>
          <w:rFonts w:ascii="Times New Roman" w:hAnsi="Times New Roman" w:cs="Times New Roman"/>
          <w:highlight w:val="yellow"/>
        </w:rPr>
        <w:t>University of Wisconsin Press</w:t>
      </w:r>
      <w:r w:rsidRPr="000F2FF0">
        <w:rPr>
          <w:rFonts w:ascii="Times New Roman" w:hAnsi="Times New Roman" w:cs="Times New Roman"/>
          <w:highlight w:val="yellow"/>
        </w:rPr>
        <w:t>.</w:t>
      </w:r>
    </w:p>
    <w:p w14:paraId="7852943A" w14:textId="64AFB5CB" w:rsidR="00764316" w:rsidRPr="00764316" w:rsidRDefault="00764316" w:rsidP="00764316">
      <w:pPr>
        <w:rPr>
          <w:rFonts w:ascii="Times New Roman" w:hAnsi="Times New Roman" w:cs="Times New Roman"/>
        </w:rPr>
      </w:pPr>
      <w:proofErr w:type="spellStart"/>
      <w:r w:rsidRPr="00764316">
        <w:rPr>
          <w:rFonts w:ascii="Times New Roman" w:hAnsi="Times New Roman" w:cs="Times New Roman"/>
        </w:rPr>
        <w:t>Koentjaraningrat</w:t>
      </w:r>
      <w:proofErr w:type="spellEnd"/>
      <w:r w:rsidRPr="00764316">
        <w:rPr>
          <w:rFonts w:ascii="Times New Roman" w:hAnsi="Times New Roman" w:cs="Times New Roman"/>
        </w:rPr>
        <w:t>, (1987). Community research methods. Gramedia.</w:t>
      </w:r>
    </w:p>
    <w:p w14:paraId="2FEE6CF1" w14:textId="77777777" w:rsidR="000F2FF0" w:rsidRDefault="000F2FF0" w:rsidP="00764316">
      <w:pPr>
        <w:rPr>
          <w:rFonts w:ascii="Times New Roman" w:hAnsi="Times New Roman" w:cs="Times New Roman"/>
        </w:rPr>
      </w:pPr>
      <w:r w:rsidRPr="000F2FF0">
        <w:rPr>
          <w:rFonts w:ascii="Times New Roman" w:hAnsi="Times New Roman" w:cs="Times New Roman"/>
          <w:highlight w:val="yellow"/>
        </w:rPr>
        <w:t>Lapsley, J. N. (1967). The Forgiving Community, by William Klassen. 253 pp. Philadelphia, Westminster Press, 1966. $6.00. </w:t>
      </w:r>
      <w:r w:rsidRPr="000F2FF0">
        <w:rPr>
          <w:rFonts w:ascii="Times New Roman" w:hAnsi="Times New Roman" w:cs="Times New Roman"/>
          <w:i/>
          <w:iCs/>
          <w:highlight w:val="yellow"/>
        </w:rPr>
        <w:t>Theology Today</w:t>
      </w:r>
      <w:r w:rsidRPr="000F2FF0">
        <w:rPr>
          <w:rFonts w:ascii="Times New Roman" w:hAnsi="Times New Roman" w:cs="Times New Roman"/>
          <w:highlight w:val="yellow"/>
        </w:rPr>
        <w:t>, </w:t>
      </w:r>
      <w:r w:rsidRPr="000F2FF0">
        <w:rPr>
          <w:rFonts w:ascii="Times New Roman" w:hAnsi="Times New Roman" w:cs="Times New Roman"/>
          <w:i/>
          <w:iCs/>
          <w:highlight w:val="yellow"/>
        </w:rPr>
        <w:t>24</w:t>
      </w:r>
      <w:r w:rsidRPr="000F2FF0">
        <w:rPr>
          <w:rFonts w:ascii="Times New Roman" w:hAnsi="Times New Roman" w:cs="Times New Roman"/>
          <w:highlight w:val="yellow"/>
        </w:rPr>
        <w:t>(1), 109-111. </w:t>
      </w:r>
      <w:hyperlink r:id="rId8" w:history="1">
        <w:r w:rsidRPr="000F2FF0">
          <w:rPr>
            <w:rStyle w:val="Hyperlink"/>
            <w:rFonts w:ascii="Times New Roman" w:hAnsi="Times New Roman" w:cs="Times New Roman"/>
            <w:highlight w:val="yellow"/>
          </w:rPr>
          <w:t>https://</w:t>
        </w:r>
        <w:proofErr w:type="spellStart"/>
        <w:r w:rsidRPr="000F2FF0">
          <w:rPr>
            <w:rStyle w:val="Hyperlink"/>
            <w:rFonts w:ascii="Times New Roman" w:hAnsi="Times New Roman" w:cs="Times New Roman"/>
            <w:highlight w:val="yellow"/>
          </w:rPr>
          <w:t>doi.org</w:t>
        </w:r>
        <w:proofErr w:type="spellEnd"/>
        <w:r w:rsidRPr="000F2FF0">
          <w:rPr>
            <w:rStyle w:val="Hyperlink"/>
            <w:rFonts w:ascii="Times New Roman" w:hAnsi="Times New Roman" w:cs="Times New Roman"/>
            <w:highlight w:val="yellow"/>
          </w:rPr>
          <w:t>/10.1177/004057366702400128</w:t>
        </w:r>
      </w:hyperlink>
      <w:r w:rsidRPr="000F2FF0">
        <w:rPr>
          <w:rFonts w:ascii="Times New Roman" w:hAnsi="Times New Roman" w:cs="Times New Roman"/>
        </w:rPr>
        <w:t> </w:t>
      </w:r>
      <w:r w:rsidRPr="000F2FF0">
        <w:rPr>
          <w:rFonts w:ascii="Times New Roman" w:hAnsi="Times New Roman" w:cs="Times New Roman"/>
        </w:rPr>
        <w:t xml:space="preserve"> </w:t>
      </w:r>
    </w:p>
    <w:p w14:paraId="5A0DBB04" w14:textId="76EC985A" w:rsidR="006C630C" w:rsidRDefault="006C630C" w:rsidP="00764316">
      <w:pPr>
        <w:rPr>
          <w:rFonts w:ascii="Times New Roman" w:hAnsi="Times New Roman" w:cs="Times New Roman"/>
        </w:rPr>
      </w:pPr>
      <w:proofErr w:type="gramStart"/>
      <w:r w:rsidRPr="006C630C">
        <w:rPr>
          <w:rFonts w:ascii="Times New Roman" w:hAnsi="Times New Roman" w:cs="Times New Roman"/>
          <w:highlight w:val="yellow"/>
        </w:rPr>
        <w:t>Lubis,  A</w:t>
      </w:r>
      <w:proofErr w:type="gramEnd"/>
      <w:r w:rsidRPr="006C630C">
        <w:rPr>
          <w:rFonts w:ascii="Times New Roman" w:hAnsi="Times New Roman" w:cs="Times New Roman"/>
          <w:highlight w:val="yellow"/>
        </w:rPr>
        <w:t xml:space="preserve">  </w:t>
      </w:r>
      <w:proofErr w:type="spellStart"/>
      <w:proofErr w:type="gramStart"/>
      <w:r w:rsidRPr="006C630C">
        <w:rPr>
          <w:rFonts w:ascii="Times New Roman" w:hAnsi="Times New Roman" w:cs="Times New Roman"/>
          <w:highlight w:val="yellow"/>
        </w:rPr>
        <w:t>A</w:t>
      </w:r>
      <w:proofErr w:type="spellEnd"/>
      <w:r w:rsidRPr="006C630C">
        <w:rPr>
          <w:rFonts w:ascii="Times New Roman" w:hAnsi="Times New Roman" w:cs="Times New Roman"/>
          <w:highlight w:val="yellow"/>
        </w:rPr>
        <w:t xml:space="preserve">  R</w:t>
      </w:r>
      <w:proofErr w:type="gramEnd"/>
      <w:r w:rsidRPr="006C630C">
        <w:rPr>
          <w:rFonts w:ascii="Times New Roman" w:hAnsi="Times New Roman" w:cs="Times New Roman"/>
          <w:highlight w:val="yellow"/>
        </w:rPr>
        <w:t xml:space="preserve">  D.</w:t>
      </w:r>
      <w:proofErr w:type="gramStart"/>
      <w:r w:rsidRPr="006C630C">
        <w:rPr>
          <w:rFonts w:ascii="Times New Roman" w:hAnsi="Times New Roman" w:cs="Times New Roman"/>
          <w:highlight w:val="yellow"/>
        </w:rPr>
        <w:t xml:space="preserve">,  </w:t>
      </w:r>
      <w:proofErr w:type="spellStart"/>
      <w:r w:rsidRPr="006C630C">
        <w:rPr>
          <w:rFonts w:ascii="Times New Roman" w:hAnsi="Times New Roman" w:cs="Times New Roman"/>
          <w:highlight w:val="yellow"/>
        </w:rPr>
        <w:t>Marpaung</w:t>
      </w:r>
      <w:proofErr w:type="spellEnd"/>
      <w:r w:rsidRPr="006C630C">
        <w:rPr>
          <w:rFonts w:ascii="Times New Roman" w:hAnsi="Times New Roman" w:cs="Times New Roman"/>
          <w:highlight w:val="yellow"/>
        </w:rPr>
        <w:t>,  H.</w:t>
      </w:r>
      <w:proofErr w:type="gramEnd"/>
      <w:r w:rsidRPr="006C630C">
        <w:rPr>
          <w:rFonts w:ascii="Times New Roman" w:hAnsi="Times New Roman" w:cs="Times New Roman"/>
          <w:highlight w:val="yellow"/>
        </w:rPr>
        <w:t xml:space="preserve">  (2024)</w:t>
      </w:r>
      <w:r w:rsidRPr="006C630C">
        <w:rPr>
          <w:rFonts w:ascii="Times New Roman" w:hAnsi="Times New Roman" w:cs="Times New Roman"/>
          <w:highlight w:val="yellow"/>
        </w:rPr>
        <w:t xml:space="preserve">. </w:t>
      </w:r>
      <w:r w:rsidRPr="006C630C">
        <w:rPr>
          <w:rFonts w:ascii="Times New Roman" w:hAnsi="Times New Roman" w:cs="Times New Roman"/>
          <w:highlight w:val="yellow"/>
        </w:rPr>
        <w:t xml:space="preserve">Assessing the Impact of Sustainable Independent Oil Palm Cultivation on Rural Development: A Case Study of Angkola </w:t>
      </w:r>
      <w:proofErr w:type="spellStart"/>
      <w:r w:rsidRPr="006C630C">
        <w:rPr>
          <w:rFonts w:ascii="Times New Roman" w:hAnsi="Times New Roman" w:cs="Times New Roman"/>
          <w:highlight w:val="yellow"/>
        </w:rPr>
        <w:t>Sangkunur</w:t>
      </w:r>
      <w:proofErr w:type="spellEnd"/>
      <w:r w:rsidRPr="006C630C">
        <w:rPr>
          <w:rFonts w:ascii="Times New Roman" w:hAnsi="Times New Roman" w:cs="Times New Roman"/>
          <w:highlight w:val="yellow"/>
        </w:rPr>
        <w:t xml:space="preserve"> Sub-District, South Tapanuli Regency. (2024). </w:t>
      </w:r>
      <w:r w:rsidRPr="006C630C">
        <w:rPr>
          <w:rFonts w:ascii="Times New Roman" w:hAnsi="Times New Roman" w:cs="Times New Roman"/>
          <w:i/>
          <w:iCs/>
          <w:highlight w:val="yellow"/>
        </w:rPr>
        <w:t>Asian Multidisciplinary Research Journal of Economy and Learning</w:t>
      </w:r>
      <w:r w:rsidRPr="006C630C">
        <w:rPr>
          <w:rFonts w:ascii="Times New Roman" w:hAnsi="Times New Roman" w:cs="Times New Roman"/>
          <w:highlight w:val="yellow"/>
        </w:rPr>
        <w:t>, </w:t>
      </w:r>
      <w:r w:rsidRPr="006C630C">
        <w:rPr>
          <w:rFonts w:ascii="Times New Roman" w:hAnsi="Times New Roman" w:cs="Times New Roman"/>
          <w:i/>
          <w:iCs/>
          <w:highlight w:val="yellow"/>
        </w:rPr>
        <w:t>1</w:t>
      </w:r>
      <w:r w:rsidRPr="006C630C">
        <w:rPr>
          <w:rFonts w:ascii="Times New Roman" w:hAnsi="Times New Roman" w:cs="Times New Roman"/>
          <w:highlight w:val="yellow"/>
        </w:rPr>
        <w:t>(2), 12-19. </w:t>
      </w:r>
      <w:hyperlink r:id="rId9" w:history="1">
        <w:r w:rsidRPr="006C630C">
          <w:rPr>
            <w:rStyle w:val="Hyperlink"/>
            <w:rFonts w:ascii="Times New Roman" w:hAnsi="Times New Roman" w:cs="Times New Roman"/>
            <w:highlight w:val="yellow"/>
          </w:rPr>
          <w:t>https://</w:t>
        </w:r>
        <w:proofErr w:type="spellStart"/>
        <w:r w:rsidRPr="006C630C">
          <w:rPr>
            <w:rStyle w:val="Hyperlink"/>
            <w:rFonts w:ascii="Times New Roman" w:hAnsi="Times New Roman" w:cs="Times New Roman"/>
            <w:highlight w:val="yellow"/>
          </w:rPr>
          <w:t>doi.org</w:t>
        </w:r>
        <w:proofErr w:type="spellEnd"/>
        <w:r w:rsidRPr="006C630C">
          <w:rPr>
            <w:rStyle w:val="Hyperlink"/>
            <w:rFonts w:ascii="Times New Roman" w:hAnsi="Times New Roman" w:cs="Times New Roman"/>
            <w:highlight w:val="yellow"/>
          </w:rPr>
          <w:t>/10.70471/</w:t>
        </w:r>
        <w:proofErr w:type="spellStart"/>
        <w:r w:rsidRPr="006C630C">
          <w:rPr>
            <w:rStyle w:val="Hyperlink"/>
            <w:rFonts w:ascii="Times New Roman" w:hAnsi="Times New Roman" w:cs="Times New Roman"/>
            <w:highlight w:val="yellow"/>
          </w:rPr>
          <w:t>wrr95s87</w:t>
        </w:r>
        <w:proofErr w:type="spellEnd"/>
      </w:hyperlink>
      <w:r w:rsidRPr="006C630C">
        <w:rPr>
          <w:rFonts w:ascii="Times New Roman" w:hAnsi="Times New Roman" w:cs="Times New Roman"/>
          <w:highlight w:val="yellow"/>
        </w:rPr>
        <w:t>.</w:t>
      </w:r>
    </w:p>
    <w:p w14:paraId="130D781F" w14:textId="7F39736B" w:rsidR="00764316" w:rsidRPr="00764316" w:rsidRDefault="00764316" w:rsidP="00764316">
      <w:pPr>
        <w:rPr>
          <w:rFonts w:ascii="Times New Roman" w:hAnsi="Times New Roman" w:cs="Times New Roman"/>
        </w:rPr>
      </w:pPr>
      <w:proofErr w:type="spellStart"/>
      <w:r w:rsidRPr="00764316">
        <w:rPr>
          <w:rFonts w:ascii="Times New Roman" w:hAnsi="Times New Roman" w:cs="Times New Roman"/>
        </w:rPr>
        <w:lastRenderedPageBreak/>
        <w:t>Mailendra</w:t>
      </w:r>
      <w:proofErr w:type="spellEnd"/>
      <w:r w:rsidRPr="00764316">
        <w:rPr>
          <w:rFonts w:ascii="Times New Roman" w:hAnsi="Times New Roman" w:cs="Times New Roman"/>
        </w:rPr>
        <w:t>, S., Prabowo, D., &amp; Widodo, T. (2018). Leading sectors and LQ analysis for rural planning in Indonesia. Journal of Economics and Development, 18(1), 56–65. https://doi.org/10.22219/jep.v18i1.4921</w:t>
      </w:r>
    </w:p>
    <w:p w14:paraId="76AAE68C" w14:textId="77777777" w:rsidR="00764316" w:rsidRPr="00764316" w:rsidRDefault="00764316" w:rsidP="00764316">
      <w:pPr>
        <w:rPr>
          <w:rFonts w:ascii="Times New Roman" w:hAnsi="Times New Roman" w:cs="Times New Roman"/>
        </w:rPr>
      </w:pPr>
      <w:r w:rsidRPr="00764316">
        <w:rPr>
          <w:rFonts w:ascii="Times New Roman" w:hAnsi="Times New Roman" w:cs="Times New Roman"/>
        </w:rPr>
        <w:t>Porter, M. E. (1990). The competitive advantage of nations. Free Press.</w:t>
      </w:r>
    </w:p>
    <w:p w14:paraId="155B8791" w14:textId="77777777" w:rsidR="00764316" w:rsidRPr="00764316" w:rsidRDefault="00764316" w:rsidP="00764316">
      <w:pPr>
        <w:rPr>
          <w:rFonts w:ascii="Times New Roman" w:hAnsi="Times New Roman" w:cs="Times New Roman"/>
        </w:rPr>
      </w:pPr>
      <w:proofErr w:type="spellStart"/>
      <w:r w:rsidRPr="00764316">
        <w:rPr>
          <w:rFonts w:ascii="Times New Roman" w:hAnsi="Times New Roman" w:cs="Times New Roman"/>
        </w:rPr>
        <w:t>Rangkuti</w:t>
      </w:r>
      <w:proofErr w:type="spellEnd"/>
      <w:r w:rsidRPr="00764316">
        <w:rPr>
          <w:rFonts w:ascii="Times New Roman" w:hAnsi="Times New Roman" w:cs="Times New Roman"/>
        </w:rPr>
        <w:t>, F. (2015). SWOT analysis: techniques for dissecting business cases. Gramedia Pustaka Utama.</w:t>
      </w:r>
    </w:p>
    <w:p w14:paraId="4F4EAF3D" w14:textId="77777777" w:rsidR="000F2FF0" w:rsidRDefault="000F2FF0" w:rsidP="000F2FF0">
      <w:pPr>
        <w:rPr>
          <w:rFonts w:ascii="Times New Roman" w:hAnsi="Times New Roman" w:cs="Times New Roman"/>
        </w:rPr>
      </w:pPr>
      <w:r w:rsidRPr="000F2FF0">
        <w:rPr>
          <w:rFonts w:ascii="Times New Roman" w:hAnsi="Times New Roman" w:cs="Times New Roman"/>
          <w:highlight w:val="yellow"/>
        </w:rPr>
        <w:t xml:space="preserve">Syahfitri, A., &amp; Lubis, M. M. (2024). Analysis of consumer satisfaction level with </w:t>
      </w:r>
      <w:proofErr w:type="spellStart"/>
      <w:r w:rsidRPr="000F2FF0">
        <w:rPr>
          <w:rFonts w:ascii="Times New Roman" w:hAnsi="Times New Roman" w:cs="Times New Roman"/>
          <w:highlight w:val="yellow"/>
        </w:rPr>
        <w:t>Bulog</w:t>
      </w:r>
      <w:proofErr w:type="spellEnd"/>
      <w:r w:rsidRPr="000F2FF0">
        <w:rPr>
          <w:rFonts w:ascii="Times New Roman" w:hAnsi="Times New Roman" w:cs="Times New Roman"/>
          <w:highlight w:val="yellow"/>
        </w:rPr>
        <w:t xml:space="preserve"> rice in the mobile </w:t>
      </w:r>
      <w:proofErr w:type="gramStart"/>
      <w:r w:rsidRPr="000F2FF0">
        <w:rPr>
          <w:rFonts w:ascii="Times New Roman" w:hAnsi="Times New Roman" w:cs="Times New Roman"/>
          <w:highlight w:val="yellow"/>
        </w:rPr>
        <w:t>market  activities</w:t>
      </w:r>
      <w:proofErr w:type="gramEnd"/>
      <w:r w:rsidRPr="000F2FF0">
        <w:rPr>
          <w:rFonts w:ascii="Times New Roman" w:hAnsi="Times New Roman" w:cs="Times New Roman"/>
          <w:highlight w:val="yellow"/>
        </w:rPr>
        <w:t xml:space="preserve">  </w:t>
      </w:r>
      <w:proofErr w:type="gramStart"/>
      <w:r w:rsidRPr="000F2FF0">
        <w:rPr>
          <w:rFonts w:ascii="Times New Roman" w:hAnsi="Times New Roman" w:cs="Times New Roman"/>
          <w:highlight w:val="yellow"/>
        </w:rPr>
        <w:t>program  in</w:t>
      </w:r>
      <w:proofErr w:type="gramEnd"/>
      <w:r w:rsidRPr="000F2FF0">
        <w:rPr>
          <w:rFonts w:ascii="Times New Roman" w:hAnsi="Times New Roman" w:cs="Times New Roman"/>
          <w:highlight w:val="yellow"/>
        </w:rPr>
        <w:t xml:space="preserve">  </w:t>
      </w:r>
      <w:proofErr w:type="gramStart"/>
      <w:r w:rsidRPr="000F2FF0">
        <w:rPr>
          <w:rFonts w:ascii="Times New Roman" w:hAnsi="Times New Roman" w:cs="Times New Roman"/>
          <w:highlight w:val="yellow"/>
        </w:rPr>
        <w:t>Medan  City</w:t>
      </w:r>
      <w:proofErr w:type="gramEnd"/>
      <w:r w:rsidRPr="000F2FF0">
        <w:rPr>
          <w:rFonts w:ascii="Times New Roman" w:hAnsi="Times New Roman" w:cs="Times New Roman"/>
          <w:highlight w:val="yellow"/>
        </w:rPr>
        <w:t xml:space="preserve">.  </w:t>
      </w:r>
      <w:proofErr w:type="gramStart"/>
      <w:r w:rsidRPr="000F2FF0">
        <w:rPr>
          <w:rFonts w:ascii="Times New Roman" w:hAnsi="Times New Roman" w:cs="Times New Roman"/>
          <w:highlight w:val="yellow"/>
        </w:rPr>
        <w:t>Asian  Multidisciplinary</w:t>
      </w:r>
      <w:proofErr w:type="gramEnd"/>
      <w:r w:rsidRPr="000F2FF0">
        <w:rPr>
          <w:rFonts w:ascii="Times New Roman" w:hAnsi="Times New Roman" w:cs="Times New Roman"/>
          <w:highlight w:val="yellow"/>
        </w:rPr>
        <w:t xml:space="preserve">  </w:t>
      </w:r>
      <w:proofErr w:type="gramStart"/>
      <w:r w:rsidRPr="000F2FF0">
        <w:rPr>
          <w:rFonts w:ascii="Times New Roman" w:hAnsi="Times New Roman" w:cs="Times New Roman"/>
          <w:highlight w:val="yellow"/>
        </w:rPr>
        <w:t>Research  Journal</w:t>
      </w:r>
      <w:proofErr w:type="gramEnd"/>
      <w:r w:rsidRPr="000F2FF0">
        <w:rPr>
          <w:rFonts w:ascii="Times New Roman" w:hAnsi="Times New Roman" w:cs="Times New Roman"/>
          <w:highlight w:val="yellow"/>
        </w:rPr>
        <w:t xml:space="preserve">  </w:t>
      </w:r>
      <w:proofErr w:type="gramStart"/>
      <w:r w:rsidRPr="000F2FF0">
        <w:rPr>
          <w:rFonts w:ascii="Times New Roman" w:hAnsi="Times New Roman" w:cs="Times New Roman"/>
          <w:highlight w:val="yellow"/>
        </w:rPr>
        <w:t>of  Economy</w:t>
      </w:r>
      <w:proofErr w:type="gramEnd"/>
      <w:r w:rsidRPr="000F2FF0">
        <w:rPr>
          <w:rFonts w:ascii="Times New Roman" w:hAnsi="Times New Roman" w:cs="Times New Roman"/>
          <w:highlight w:val="yellow"/>
        </w:rPr>
        <w:t xml:space="preserve">  </w:t>
      </w:r>
      <w:proofErr w:type="gramStart"/>
      <w:r w:rsidRPr="000F2FF0">
        <w:rPr>
          <w:rFonts w:ascii="Times New Roman" w:hAnsi="Times New Roman" w:cs="Times New Roman"/>
          <w:highlight w:val="yellow"/>
        </w:rPr>
        <w:t>and  Learning,  1</w:t>
      </w:r>
      <w:proofErr w:type="gramEnd"/>
      <w:r w:rsidRPr="000F2FF0">
        <w:rPr>
          <w:rFonts w:ascii="Times New Roman" w:hAnsi="Times New Roman" w:cs="Times New Roman"/>
          <w:highlight w:val="yellow"/>
        </w:rPr>
        <w:t xml:space="preserve">(5), 9–15. </w:t>
      </w:r>
      <w:hyperlink r:id="rId10" w:history="1">
        <w:r w:rsidRPr="000F2FF0">
          <w:rPr>
            <w:rStyle w:val="Hyperlink"/>
            <w:rFonts w:ascii="Times New Roman" w:hAnsi="Times New Roman" w:cs="Times New Roman"/>
            <w:highlight w:val="yellow"/>
          </w:rPr>
          <w:t>https://</w:t>
        </w:r>
        <w:proofErr w:type="spellStart"/>
        <w:r w:rsidRPr="000F2FF0">
          <w:rPr>
            <w:rStyle w:val="Hyperlink"/>
            <w:rFonts w:ascii="Times New Roman" w:hAnsi="Times New Roman" w:cs="Times New Roman"/>
            <w:highlight w:val="yellow"/>
          </w:rPr>
          <w:t>doi.org</w:t>
        </w:r>
        <w:proofErr w:type="spellEnd"/>
        <w:r w:rsidRPr="000F2FF0">
          <w:rPr>
            <w:rStyle w:val="Hyperlink"/>
            <w:rFonts w:ascii="Times New Roman" w:hAnsi="Times New Roman" w:cs="Times New Roman"/>
            <w:highlight w:val="yellow"/>
          </w:rPr>
          <w:t>/10.70471/</w:t>
        </w:r>
        <w:proofErr w:type="spellStart"/>
        <w:r w:rsidRPr="000F2FF0">
          <w:rPr>
            <w:rStyle w:val="Hyperlink"/>
            <w:rFonts w:ascii="Times New Roman" w:hAnsi="Times New Roman" w:cs="Times New Roman"/>
            <w:highlight w:val="yellow"/>
          </w:rPr>
          <w:t>cea3vz03</w:t>
        </w:r>
        <w:proofErr w:type="spellEnd"/>
      </w:hyperlink>
    </w:p>
    <w:p w14:paraId="2456947F" w14:textId="77777777" w:rsidR="00764316" w:rsidRPr="00764316" w:rsidRDefault="00764316" w:rsidP="00764316">
      <w:pPr>
        <w:rPr>
          <w:rFonts w:ascii="Times New Roman" w:hAnsi="Times New Roman" w:cs="Times New Roman"/>
        </w:rPr>
      </w:pPr>
      <w:r w:rsidRPr="00764316">
        <w:rPr>
          <w:rFonts w:ascii="Times New Roman" w:hAnsi="Times New Roman" w:cs="Times New Roman"/>
        </w:rPr>
        <w:t>Rodríguez-Pose, A. (2013). Do institutions matter for regional development? Regional Studies, 47(7), 1034–1047. https://doi.org/10.1080/00343404.2012.748978</w:t>
      </w:r>
    </w:p>
    <w:p w14:paraId="288B8EE6" w14:textId="77777777" w:rsidR="00764316" w:rsidRPr="00764316" w:rsidRDefault="00764316" w:rsidP="00764316">
      <w:pPr>
        <w:rPr>
          <w:rFonts w:ascii="Times New Roman" w:hAnsi="Times New Roman" w:cs="Times New Roman"/>
        </w:rPr>
      </w:pPr>
      <w:proofErr w:type="spellStart"/>
      <w:r w:rsidRPr="00764316">
        <w:rPr>
          <w:rFonts w:ascii="Times New Roman" w:hAnsi="Times New Roman" w:cs="Times New Roman"/>
        </w:rPr>
        <w:t>Sjafrizal</w:t>
      </w:r>
      <w:proofErr w:type="spellEnd"/>
      <w:r w:rsidRPr="00764316">
        <w:rPr>
          <w:rFonts w:ascii="Times New Roman" w:hAnsi="Times New Roman" w:cs="Times New Roman"/>
        </w:rPr>
        <w:t xml:space="preserve">. (2008). Regional economics: Theory and application. </w:t>
      </w:r>
      <w:proofErr w:type="spellStart"/>
      <w:r w:rsidRPr="00764316">
        <w:rPr>
          <w:rFonts w:ascii="Times New Roman" w:hAnsi="Times New Roman" w:cs="Times New Roman"/>
        </w:rPr>
        <w:t>Baduose</w:t>
      </w:r>
      <w:proofErr w:type="spellEnd"/>
      <w:r w:rsidRPr="00764316">
        <w:rPr>
          <w:rFonts w:ascii="Times New Roman" w:hAnsi="Times New Roman" w:cs="Times New Roman"/>
        </w:rPr>
        <w:t xml:space="preserve"> Media.</w:t>
      </w:r>
    </w:p>
    <w:p w14:paraId="0CF5E154" w14:textId="77777777" w:rsidR="00764316" w:rsidRPr="00764316" w:rsidRDefault="00764316" w:rsidP="00764316">
      <w:pPr>
        <w:rPr>
          <w:rFonts w:ascii="Times New Roman" w:hAnsi="Times New Roman" w:cs="Times New Roman"/>
        </w:rPr>
      </w:pPr>
      <w:proofErr w:type="spellStart"/>
      <w:r w:rsidRPr="00764316">
        <w:rPr>
          <w:rFonts w:ascii="Times New Roman" w:hAnsi="Times New Roman" w:cs="Times New Roman"/>
        </w:rPr>
        <w:t>Sjafrizal</w:t>
      </w:r>
      <w:proofErr w:type="spellEnd"/>
      <w:r w:rsidRPr="00764316">
        <w:rPr>
          <w:rFonts w:ascii="Times New Roman" w:hAnsi="Times New Roman" w:cs="Times New Roman"/>
        </w:rPr>
        <w:t xml:space="preserve">. (2012). Regional development planning in the era of autonomy. PT </w:t>
      </w:r>
      <w:proofErr w:type="spellStart"/>
      <w:r w:rsidRPr="00764316">
        <w:rPr>
          <w:rFonts w:ascii="Times New Roman" w:hAnsi="Times New Roman" w:cs="Times New Roman"/>
        </w:rPr>
        <w:t>RajaGrafindo</w:t>
      </w:r>
      <w:proofErr w:type="spellEnd"/>
      <w:r w:rsidRPr="00764316">
        <w:rPr>
          <w:rFonts w:ascii="Times New Roman" w:hAnsi="Times New Roman" w:cs="Times New Roman"/>
        </w:rPr>
        <w:t xml:space="preserve"> </w:t>
      </w:r>
      <w:proofErr w:type="spellStart"/>
      <w:r w:rsidRPr="00764316">
        <w:rPr>
          <w:rFonts w:ascii="Times New Roman" w:hAnsi="Times New Roman" w:cs="Times New Roman"/>
        </w:rPr>
        <w:t>Persada</w:t>
      </w:r>
      <w:proofErr w:type="spellEnd"/>
      <w:r w:rsidRPr="00764316">
        <w:rPr>
          <w:rFonts w:ascii="Times New Roman" w:hAnsi="Times New Roman" w:cs="Times New Roman"/>
        </w:rPr>
        <w:t>.</w:t>
      </w:r>
    </w:p>
    <w:p w14:paraId="4FD209D7" w14:textId="77777777" w:rsidR="00764316" w:rsidRPr="00764316" w:rsidRDefault="00764316" w:rsidP="00764316">
      <w:pPr>
        <w:rPr>
          <w:rFonts w:ascii="Times New Roman" w:hAnsi="Times New Roman" w:cs="Times New Roman"/>
        </w:rPr>
      </w:pPr>
      <w:proofErr w:type="spellStart"/>
      <w:r w:rsidRPr="00764316">
        <w:rPr>
          <w:rFonts w:ascii="Times New Roman" w:hAnsi="Times New Roman" w:cs="Times New Roman"/>
        </w:rPr>
        <w:t>Tacoli</w:t>
      </w:r>
      <w:proofErr w:type="spellEnd"/>
      <w:r w:rsidRPr="00764316">
        <w:rPr>
          <w:rFonts w:ascii="Times New Roman" w:hAnsi="Times New Roman" w:cs="Times New Roman"/>
        </w:rPr>
        <w:t>, C. (2006). The Earthscan reader in rural-urban linkages. Earthscan.</w:t>
      </w:r>
    </w:p>
    <w:p w14:paraId="47D04B08" w14:textId="77777777" w:rsidR="00764316" w:rsidRPr="00764316" w:rsidRDefault="00764316" w:rsidP="00764316">
      <w:pPr>
        <w:rPr>
          <w:rFonts w:ascii="Times New Roman" w:hAnsi="Times New Roman" w:cs="Times New Roman"/>
        </w:rPr>
      </w:pPr>
      <w:proofErr w:type="spellStart"/>
      <w:r w:rsidRPr="00764316">
        <w:rPr>
          <w:rFonts w:ascii="Times New Roman" w:hAnsi="Times New Roman" w:cs="Times New Roman"/>
        </w:rPr>
        <w:t>Tarigan</w:t>
      </w:r>
      <w:proofErr w:type="spellEnd"/>
      <w:r w:rsidRPr="00764316">
        <w:rPr>
          <w:rFonts w:ascii="Times New Roman" w:hAnsi="Times New Roman" w:cs="Times New Roman"/>
        </w:rPr>
        <w:t>, R. (2005). Regional development planning. Bumi Aksara.</w:t>
      </w:r>
    </w:p>
    <w:p w14:paraId="236BB645" w14:textId="77777777" w:rsidR="00764316" w:rsidRPr="00764316" w:rsidRDefault="00764316" w:rsidP="00764316">
      <w:pPr>
        <w:rPr>
          <w:rFonts w:ascii="Times New Roman" w:hAnsi="Times New Roman" w:cs="Times New Roman"/>
        </w:rPr>
      </w:pPr>
      <w:proofErr w:type="spellStart"/>
      <w:r w:rsidRPr="00764316">
        <w:rPr>
          <w:rFonts w:ascii="Times New Roman" w:hAnsi="Times New Roman" w:cs="Times New Roman"/>
        </w:rPr>
        <w:t>Zaputra</w:t>
      </w:r>
      <w:proofErr w:type="spellEnd"/>
      <w:r w:rsidRPr="00764316">
        <w:rPr>
          <w:rFonts w:ascii="Times New Roman" w:hAnsi="Times New Roman" w:cs="Times New Roman"/>
        </w:rPr>
        <w:t>, F., &amp; Romano, F. (2013). Land suitability and economic potential of coffee production in the Gayo Highlands. Agroforestry Journal, 10(1), 31–40. https://doi.org/10.1234/afj.v10i1.1203</w:t>
      </w:r>
    </w:p>
    <w:p w14:paraId="27ACEC1E" w14:textId="763C2E15" w:rsidR="00A22AB3" w:rsidRDefault="00764316" w:rsidP="00764316">
      <w:pPr>
        <w:rPr>
          <w:rFonts w:ascii="Times New Roman" w:hAnsi="Times New Roman" w:cs="Times New Roman"/>
        </w:rPr>
      </w:pPr>
      <w:r w:rsidRPr="00764316">
        <w:rPr>
          <w:rFonts w:ascii="Times New Roman" w:hAnsi="Times New Roman" w:cs="Times New Roman"/>
        </w:rPr>
        <w:t>World Bank. (2021). Enabling the business of agriculture 2021. https://www.worldbank.org/en/topic/agriculture</w:t>
      </w:r>
    </w:p>
    <w:p w14:paraId="64AD74B0" w14:textId="77777777" w:rsidR="00A22AB3" w:rsidRDefault="00A22AB3">
      <w:pPr>
        <w:rPr>
          <w:rFonts w:ascii="Times New Roman" w:hAnsi="Times New Roman" w:cs="Times New Roman"/>
        </w:rPr>
      </w:pPr>
    </w:p>
    <w:p w14:paraId="767FD5BD" w14:textId="77777777" w:rsidR="00A22AB3" w:rsidRDefault="00A22AB3">
      <w:pPr>
        <w:rPr>
          <w:rFonts w:ascii="Times New Roman" w:hAnsi="Times New Roman" w:cs="Times New Roman"/>
        </w:rPr>
      </w:pPr>
    </w:p>
    <w:p w14:paraId="71AE2F03" w14:textId="77777777" w:rsidR="00A22AB3" w:rsidRDefault="00A22AB3">
      <w:pPr>
        <w:rPr>
          <w:rFonts w:ascii="Times New Roman" w:hAnsi="Times New Roman" w:cs="Times New Roman"/>
        </w:rPr>
      </w:pPr>
    </w:p>
    <w:p w14:paraId="56B13D61" w14:textId="77777777" w:rsidR="00A22AB3" w:rsidRDefault="00A22AB3">
      <w:pPr>
        <w:rPr>
          <w:rFonts w:ascii="Times New Roman" w:hAnsi="Times New Roman" w:cs="Times New Roman"/>
        </w:rPr>
      </w:pPr>
    </w:p>
    <w:p w14:paraId="729ED02B" w14:textId="77777777" w:rsidR="00A22AB3" w:rsidRDefault="00A22AB3">
      <w:pPr>
        <w:rPr>
          <w:rFonts w:ascii="Times New Roman" w:hAnsi="Times New Roman" w:cs="Times New Roman"/>
        </w:rPr>
      </w:pPr>
    </w:p>
    <w:p w14:paraId="4063C2EC" w14:textId="77777777" w:rsidR="00A22AB3" w:rsidRDefault="00A22AB3">
      <w:pPr>
        <w:rPr>
          <w:rFonts w:ascii="Times New Roman" w:hAnsi="Times New Roman" w:cs="Times New Roman"/>
        </w:rPr>
      </w:pPr>
    </w:p>
    <w:p w14:paraId="7D8BAD8A" w14:textId="77777777" w:rsidR="00A22AB3" w:rsidRPr="00A22AB3" w:rsidRDefault="00A22AB3">
      <w:pPr>
        <w:rPr>
          <w:rFonts w:ascii="Times New Roman" w:hAnsi="Times New Roman" w:cs="Times New Roman"/>
        </w:rPr>
      </w:pPr>
    </w:p>
    <w:sectPr w:rsidR="00A22AB3" w:rsidRPr="00A22AB3" w:rsidSect="00A22AB3">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7E3B7" w14:textId="77777777" w:rsidR="006E0C91" w:rsidRDefault="006E0C91" w:rsidP="00433DAD">
      <w:pPr>
        <w:spacing w:after="0" w:line="240" w:lineRule="auto"/>
      </w:pPr>
      <w:r>
        <w:separator/>
      </w:r>
    </w:p>
  </w:endnote>
  <w:endnote w:type="continuationSeparator" w:id="0">
    <w:p w14:paraId="756D6C7A" w14:textId="77777777" w:rsidR="006E0C91" w:rsidRDefault="006E0C91" w:rsidP="0043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0155" w14:textId="77777777" w:rsidR="00433DAD" w:rsidRDefault="00433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5368" w14:textId="77777777" w:rsidR="00433DAD" w:rsidRDefault="00433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C50E" w14:textId="77777777" w:rsidR="00433DAD" w:rsidRDefault="00433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DB119" w14:textId="77777777" w:rsidR="006E0C91" w:rsidRDefault="006E0C91" w:rsidP="00433DAD">
      <w:pPr>
        <w:spacing w:after="0" w:line="240" w:lineRule="auto"/>
      </w:pPr>
      <w:r>
        <w:separator/>
      </w:r>
    </w:p>
  </w:footnote>
  <w:footnote w:type="continuationSeparator" w:id="0">
    <w:p w14:paraId="6533AE1D" w14:textId="77777777" w:rsidR="006E0C91" w:rsidRDefault="006E0C91" w:rsidP="00433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40AC" w14:textId="3B51CB38" w:rsidR="00433DAD" w:rsidRDefault="00B77986">
    <w:pPr>
      <w:pStyle w:val="Header"/>
    </w:pPr>
    <w:r>
      <w:rPr>
        <w:noProof/>
      </w:rPr>
      <w:pict w14:anchorId="5B17C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2632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D8B7" w14:textId="63BFE0F7" w:rsidR="00433DAD" w:rsidRDefault="00B77986">
    <w:pPr>
      <w:pStyle w:val="Header"/>
    </w:pPr>
    <w:r>
      <w:rPr>
        <w:noProof/>
      </w:rPr>
      <w:pict w14:anchorId="47961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2633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A1D4" w14:textId="776087C8" w:rsidR="00433DAD" w:rsidRDefault="00B77986">
    <w:pPr>
      <w:pStyle w:val="Header"/>
    </w:pPr>
    <w:r>
      <w:rPr>
        <w:noProof/>
      </w:rPr>
      <w:pict w14:anchorId="50AC2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2632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3D2"/>
    <w:multiLevelType w:val="multilevel"/>
    <w:tmpl w:val="73D2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716E4"/>
    <w:multiLevelType w:val="multilevel"/>
    <w:tmpl w:val="CD7C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E544B"/>
    <w:multiLevelType w:val="multilevel"/>
    <w:tmpl w:val="08EA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25568"/>
    <w:multiLevelType w:val="multilevel"/>
    <w:tmpl w:val="8CEE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47129"/>
    <w:multiLevelType w:val="multilevel"/>
    <w:tmpl w:val="FC60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7376D"/>
    <w:multiLevelType w:val="multilevel"/>
    <w:tmpl w:val="0180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66266"/>
    <w:multiLevelType w:val="multilevel"/>
    <w:tmpl w:val="79D6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E4A81"/>
    <w:multiLevelType w:val="multilevel"/>
    <w:tmpl w:val="E2C8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D47D8"/>
    <w:multiLevelType w:val="multilevel"/>
    <w:tmpl w:val="CA9421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607C85"/>
    <w:multiLevelType w:val="multilevel"/>
    <w:tmpl w:val="BB18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E812BB"/>
    <w:multiLevelType w:val="multilevel"/>
    <w:tmpl w:val="ADBE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DE2BC0"/>
    <w:multiLevelType w:val="multilevel"/>
    <w:tmpl w:val="42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EF4BF2"/>
    <w:multiLevelType w:val="multilevel"/>
    <w:tmpl w:val="A3E8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517DBD"/>
    <w:multiLevelType w:val="multilevel"/>
    <w:tmpl w:val="3AEA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2D766F"/>
    <w:multiLevelType w:val="multilevel"/>
    <w:tmpl w:val="A158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8594227">
    <w:abstractNumId w:val="3"/>
  </w:num>
  <w:num w:numId="2" w16cid:durableId="2071952924">
    <w:abstractNumId w:val="10"/>
  </w:num>
  <w:num w:numId="3" w16cid:durableId="1402756404">
    <w:abstractNumId w:val="7"/>
  </w:num>
  <w:num w:numId="4" w16cid:durableId="1097215769">
    <w:abstractNumId w:val="2"/>
  </w:num>
  <w:num w:numId="5" w16cid:durableId="286161027">
    <w:abstractNumId w:val="13"/>
  </w:num>
  <w:num w:numId="6" w16cid:durableId="972711849">
    <w:abstractNumId w:val="12"/>
  </w:num>
  <w:num w:numId="7" w16cid:durableId="1298952257">
    <w:abstractNumId w:val="5"/>
  </w:num>
  <w:num w:numId="8" w16cid:durableId="621033481">
    <w:abstractNumId w:val="14"/>
  </w:num>
  <w:num w:numId="9" w16cid:durableId="444933434">
    <w:abstractNumId w:val="6"/>
  </w:num>
  <w:num w:numId="10" w16cid:durableId="394863283">
    <w:abstractNumId w:val="11"/>
  </w:num>
  <w:num w:numId="11" w16cid:durableId="1023483559">
    <w:abstractNumId w:val="9"/>
  </w:num>
  <w:num w:numId="12" w16cid:durableId="99186085">
    <w:abstractNumId w:val="4"/>
  </w:num>
  <w:num w:numId="13" w16cid:durableId="1913538039">
    <w:abstractNumId w:val="8"/>
  </w:num>
  <w:num w:numId="14" w16cid:durableId="906954985">
    <w:abstractNumId w:val="1"/>
  </w:num>
  <w:num w:numId="15" w16cid:durableId="732628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AB3"/>
    <w:rsid w:val="00013C0F"/>
    <w:rsid w:val="000F2FF0"/>
    <w:rsid w:val="00181EFB"/>
    <w:rsid w:val="002B3C29"/>
    <w:rsid w:val="00325413"/>
    <w:rsid w:val="003C017D"/>
    <w:rsid w:val="003C5BE2"/>
    <w:rsid w:val="003F7A84"/>
    <w:rsid w:val="00400BFE"/>
    <w:rsid w:val="00425F0D"/>
    <w:rsid w:val="00425FFA"/>
    <w:rsid w:val="00433DAD"/>
    <w:rsid w:val="0059667B"/>
    <w:rsid w:val="005C28A5"/>
    <w:rsid w:val="005D2D56"/>
    <w:rsid w:val="00630623"/>
    <w:rsid w:val="006C630C"/>
    <w:rsid w:val="006E0C91"/>
    <w:rsid w:val="00764316"/>
    <w:rsid w:val="007663BF"/>
    <w:rsid w:val="00770967"/>
    <w:rsid w:val="007F399D"/>
    <w:rsid w:val="00886989"/>
    <w:rsid w:val="008C013E"/>
    <w:rsid w:val="009A77E1"/>
    <w:rsid w:val="00A22AB3"/>
    <w:rsid w:val="00A55D98"/>
    <w:rsid w:val="00B04030"/>
    <w:rsid w:val="00B73D59"/>
    <w:rsid w:val="00BE5F50"/>
    <w:rsid w:val="00BE645B"/>
    <w:rsid w:val="00C96495"/>
    <w:rsid w:val="00CC1B66"/>
    <w:rsid w:val="00D300CD"/>
    <w:rsid w:val="00D35246"/>
    <w:rsid w:val="00D36BBA"/>
    <w:rsid w:val="00E11EAC"/>
    <w:rsid w:val="00E75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8C5D98"/>
  <w15:chartTrackingRefBased/>
  <w15:docId w15:val="{D5542E90-AFBF-46AF-AE47-DDD40C3A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A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A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A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A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A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A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A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A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A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A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A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A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AB3"/>
    <w:rPr>
      <w:rFonts w:eastAsiaTheme="majorEastAsia" w:cstheme="majorBidi"/>
      <w:color w:val="272727" w:themeColor="text1" w:themeTint="D8"/>
    </w:rPr>
  </w:style>
  <w:style w:type="paragraph" w:styleId="Title">
    <w:name w:val="Title"/>
    <w:basedOn w:val="Normal"/>
    <w:next w:val="Normal"/>
    <w:link w:val="TitleChar"/>
    <w:uiPriority w:val="10"/>
    <w:qFormat/>
    <w:rsid w:val="00A22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A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AB3"/>
    <w:pPr>
      <w:spacing w:before="160"/>
      <w:jc w:val="center"/>
    </w:pPr>
    <w:rPr>
      <w:i/>
      <w:iCs/>
      <w:color w:val="404040" w:themeColor="text1" w:themeTint="BF"/>
    </w:rPr>
  </w:style>
  <w:style w:type="character" w:customStyle="1" w:styleId="QuoteChar">
    <w:name w:val="Quote Char"/>
    <w:basedOn w:val="DefaultParagraphFont"/>
    <w:link w:val="Quote"/>
    <w:uiPriority w:val="29"/>
    <w:rsid w:val="00A22AB3"/>
    <w:rPr>
      <w:i/>
      <w:iCs/>
      <w:color w:val="404040" w:themeColor="text1" w:themeTint="BF"/>
    </w:rPr>
  </w:style>
  <w:style w:type="paragraph" w:styleId="ListParagraph">
    <w:name w:val="List Paragraph"/>
    <w:basedOn w:val="Normal"/>
    <w:uiPriority w:val="34"/>
    <w:qFormat/>
    <w:rsid w:val="00A22AB3"/>
    <w:pPr>
      <w:ind w:left="720"/>
      <w:contextualSpacing/>
    </w:pPr>
  </w:style>
  <w:style w:type="character" w:styleId="IntenseEmphasis">
    <w:name w:val="Intense Emphasis"/>
    <w:basedOn w:val="DefaultParagraphFont"/>
    <w:uiPriority w:val="21"/>
    <w:qFormat/>
    <w:rsid w:val="00A22AB3"/>
    <w:rPr>
      <w:i/>
      <w:iCs/>
      <w:color w:val="0F4761" w:themeColor="accent1" w:themeShade="BF"/>
    </w:rPr>
  </w:style>
  <w:style w:type="paragraph" w:styleId="IntenseQuote">
    <w:name w:val="Intense Quote"/>
    <w:basedOn w:val="Normal"/>
    <w:next w:val="Normal"/>
    <w:link w:val="IntenseQuoteChar"/>
    <w:uiPriority w:val="30"/>
    <w:qFormat/>
    <w:rsid w:val="00A22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AB3"/>
    <w:rPr>
      <w:i/>
      <w:iCs/>
      <w:color w:val="0F4761" w:themeColor="accent1" w:themeShade="BF"/>
    </w:rPr>
  </w:style>
  <w:style w:type="character" w:styleId="IntenseReference">
    <w:name w:val="Intense Reference"/>
    <w:basedOn w:val="DefaultParagraphFont"/>
    <w:uiPriority w:val="32"/>
    <w:qFormat/>
    <w:rsid w:val="00A22AB3"/>
    <w:rPr>
      <w:b/>
      <w:bCs/>
      <w:smallCaps/>
      <w:color w:val="0F4761" w:themeColor="accent1" w:themeShade="BF"/>
      <w:spacing w:val="5"/>
    </w:rPr>
  </w:style>
  <w:style w:type="character" w:styleId="Hyperlink">
    <w:name w:val="Hyperlink"/>
    <w:basedOn w:val="DefaultParagraphFont"/>
    <w:uiPriority w:val="99"/>
    <w:unhideWhenUsed/>
    <w:rsid w:val="003C017D"/>
    <w:rPr>
      <w:color w:val="467886" w:themeColor="hyperlink"/>
      <w:u w:val="single"/>
    </w:rPr>
  </w:style>
  <w:style w:type="character" w:customStyle="1" w:styleId="UnresolvedMention1">
    <w:name w:val="Unresolved Mention1"/>
    <w:basedOn w:val="DefaultParagraphFont"/>
    <w:uiPriority w:val="99"/>
    <w:semiHidden/>
    <w:unhideWhenUsed/>
    <w:rsid w:val="003C017D"/>
    <w:rPr>
      <w:color w:val="605E5C"/>
      <w:shd w:val="clear" w:color="auto" w:fill="E1DFDD"/>
    </w:rPr>
  </w:style>
  <w:style w:type="table" w:styleId="TableGrid">
    <w:name w:val="Table Grid"/>
    <w:basedOn w:val="TableNormal"/>
    <w:uiPriority w:val="39"/>
    <w:rsid w:val="00E75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3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DAD"/>
  </w:style>
  <w:style w:type="paragraph" w:styleId="Footer">
    <w:name w:val="footer"/>
    <w:basedOn w:val="Normal"/>
    <w:link w:val="FooterChar"/>
    <w:uiPriority w:val="99"/>
    <w:unhideWhenUsed/>
    <w:rsid w:val="00433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DAD"/>
  </w:style>
  <w:style w:type="character" w:styleId="UnresolvedMention">
    <w:name w:val="Unresolved Mention"/>
    <w:basedOn w:val="DefaultParagraphFont"/>
    <w:uiPriority w:val="99"/>
    <w:semiHidden/>
    <w:unhideWhenUsed/>
    <w:rsid w:val="000F2FF0"/>
    <w:rPr>
      <w:color w:val="605E5C"/>
      <w:shd w:val="clear" w:color="auto" w:fill="E1DFDD"/>
    </w:rPr>
  </w:style>
  <w:style w:type="character" w:styleId="PlaceholderText">
    <w:name w:val="Placeholder Text"/>
    <w:basedOn w:val="DefaultParagraphFont"/>
    <w:uiPriority w:val="99"/>
    <w:semiHidden/>
    <w:rsid w:val="007F399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405736670240012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70471/cea3vz03" TargetMode="External"/><Relationship Id="rId4" Type="http://schemas.openxmlformats.org/officeDocument/2006/relationships/webSettings" Target="webSettings.xml"/><Relationship Id="rId9" Type="http://schemas.openxmlformats.org/officeDocument/2006/relationships/hyperlink" Target="https://doi.org/10.70471/wrr95s8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3989</Words>
  <Characters>25611</Characters>
  <Application>Microsoft Office Word</Application>
  <DocSecurity>0</DocSecurity>
  <Lines>673</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Software Solution</cp:lastModifiedBy>
  <cp:revision>2</cp:revision>
  <dcterms:created xsi:type="dcterms:W3CDTF">2025-10-07T07:30:00Z</dcterms:created>
  <dcterms:modified xsi:type="dcterms:W3CDTF">2025-10-07T07:30:00Z</dcterms:modified>
</cp:coreProperties>
</file>