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DD781" w14:textId="446625E5" w:rsidR="004878C8" w:rsidRPr="00904805" w:rsidRDefault="004878C8" w:rsidP="00A11211">
      <w:pPr>
        <w:spacing w:line="360" w:lineRule="auto"/>
        <w:jc w:val="center"/>
        <w:rPr>
          <w:rFonts w:ascii="Times New Roman" w:hAnsi="Times New Roman" w:cs="Times New Roman"/>
          <w:b/>
          <w:bCs/>
          <w:sz w:val="28"/>
          <w:szCs w:val="28"/>
        </w:rPr>
      </w:pPr>
      <w:r w:rsidRPr="004878C8">
        <w:rPr>
          <w:rFonts w:ascii="Times New Roman" w:hAnsi="Times New Roman" w:cs="Times New Roman"/>
          <w:b/>
          <w:bCs/>
          <w:sz w:val="28"/>
          <w:szCs w:val="28"/>
          <w:highlight w:val="yellow"/>
        </w:rPr>
        <w:t xml:space="preserve">The Impact of Remittances Sent to India </w:t>
      </w:r>
      <w:r w:rsidR="0066318F">
        <w:rPr>
          <w:rFonts w:ascii="Times New Roman" w:hAnsi="Times New Roman" w:cs="Times New Roman"/>
          <w:b/>
          <w:bCs/>
          <w:sz w:val="28"/>
          <w:szCs w:val="28"/>
          <w:highlight w:val="yellow"/>
        </w:rPr>
        <w:t>(</w:t>
      </w:r>
      <w:r w:rsidRPr="004878C8">
        <w:rPr>
          <w:rFonts w:ascii="Times New Roman" w:hAnsi="Times New Roman" w:cs="Times New Roman"/>
          <w:b/>
          <w:bCs/>
          <w:sz w:val="28"/>
          <w:szCs w:val="28"/>
          <w:highlight w:val="yellow"/>
        </w:rPr>
        <w:t>1980-2021</w:t>
      </w:r>
      <w:r w:rsidR="0066318F">
        <w:rPr>
          <w:rFonts w:ascii="Times New Roman" w:hAnsi="Times New Roman" w:cs="Times New Roman"/>
          <w:b/>
          <w:bCs/>
          <w:sz w:val="28"/>
          <w:szCs w:val="28"/>
          <w:highlight w:val="yellow"/>
        </w:rPr>
        <w:t>)</w:t>
      </w:r>
      <w:r w:rsidRPr="004878C8">
        <w:rPr>
          <w:rFonts w:ascii="Times New Roman" w:hAnsi="Times New Roman" w:cs="Times New Roman"/>
          <w:b/>
          <w:bCs/>
          <w:sz w:val="28"/>
          <w:szCs w:val="28"/>
          <w:highlight w:val="yellow"/>
        </w:rPr>
        <w:t xml:space="preserve"> on Economic Growth and Capital Formation: An Econometric Case Study</w:t>
      </w:r>
    </w:p>
    <w:p w14:paraId="05A57A0C" w14:textId="77777777" w:rsidR="00BB7A84" w:rsidRPr="005D0A6A" w:rsidRDefault="00BB7A84" w:rsidP="00BB7A84">
      <w:pPr>
        <w:spacing w:line="360" w:lineRule="auto"/>
        <w:jc w:val="center"/>
        <w:rPr>
          <w:rFonts w:ascii="Times New Roman" w:hAnsi="Times New Roman" w:cs="Times New Roman"/>
          <w:b/>
          <w:bCs/>
          <w:sz w:val="24"/>
          <w:szCs w:val="24"/>
        </w:rPr>
      </w:pPr>
      <w:r w:rsidRPr="005D0A6A">
        <w:rPr>
          <w:rFonts w:ascii="Times New Roman" w:hAnsi="Times New Roman" w:cs="Times New Roman"/>
          <w:b/>
          <w:bCs/>
          <w:i/>
          <w:iCs/>
          <w:sz w:val="24"/>
          <w:szCs w:val="24"/>
        </w:rPr>
        <w:t>Abstract</w:t>
      </w:r>
    </w:p>
    <w:p w14:paraId="3847C3C0"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present study analyzes the impact of remittances on economic growth in India from 1980 to 2021, using annual time series data sourced from World Development Indicators, World Bank. This study utilizes the Johansen co-integration test, Vector Error Correction Model (VECM) and Granger Causality test to investigate the long-term equilibrium linkages and short-run dynamics among gross domestic product, gross capital formation and remittances. The findings indicate the existence of long-run relationship, suggesting that capital stock has a positive and significant impact on growth, whereas remittances contribute positively to economic performance, their impact is relatively modest, because a substantial portion of remitted funds is directed toward household consumption and non-productive use rather than investment in productive sectors. In the short-run, remittance and capital stock influence growth with an 18% rate of adjustment towards equilibrium. Granger causality test indicates a unidirectional causal relation from remittances to economic growth and from remittance to capital stock. The findings suggest that while remittances may not directly stimulate economic growth, they indirectly facilitate capital accumulation, human capital enhancement and household spending, therefore adding to India’s economic performance. The study emphasizes the necessity for policies that direct remittance inflows towards productive investments to optimize their developmental potential.</w:t>
      </w:r>
    </w:p>
    <w:p w14:paraId="342D68BA" w14:textId="77777777" w:rsidR="00BB7A84" w:rsidRPr="005D0A6A" w:rsidRDefault="00BB7A84" w:rsidP="00BB7A84">
      <w:pPr>
        <w:spacing w:line="360" w:lineRule="auto"/>
        <w:jc w:val="both"/>
        <w:rPr>
          <w:rFonts w:ascii="Times New Roman" w:hAnsi="Times New Roman" w:cs="Times New Roman"/>
          <w:bCs/>
          <w:i/>
          <w:iCs/>
          <w:sz w:val="24"/>
          <w:szCs w:val="24"/>
        </w:rPr>
      </w:pPr>
      <w:r w:rsidRPr="005D0A6A">
        <w:rPr>
          <w:rFonts w:ascii="Times New Roman" w:hAnsi="Times New Roman" w:cs="Times New Roman"/>
          <w:b/>
          <w:sz w:val="24"/>
          <w:szCs w:val="24"/>
        </w:rPr>
        <w:t xml:space="preserve">Keywords: </w:t>
      </w:r>
      <w:r w:rsidRPr="005D0A6A">
        <w:rPr>
          <w:rFonts w:ascii="Times New Roman" w:hAnsi="Times New Roman" w:cs="Times New Roman"/>
          <w:bCs/>
          <w:i/>
          <w:iCs/>
          <w:sz w:val="24"/>
          <w:szCs w:val="24"/>
        </w:rPr>
        <w:t xml:space="preserve">Capital stock, economic growth, Granger Causality, India, remittances, VECM </w:t>
      </w:r>
    </w:p>
    <w:p w14:paraId="4D178874" w14:textId="77777777" w:rsidR="00BB7A84" w:rsidRPr="005D0A6A" w:rsidRDefault="00BB7A84" w:rsidP="00BB7A84">
      <w:pPr>
        <w:spacing w:line="360" w:lineRule="auto"/>
        <w:rPr>
          <w:rFonts w:ascii="Times New Roman" w:hAnsi="Times New Roman" w:cs="Times New Roman"/>
          <w:b/>
          <w:sz w:val="24"/>
          <w:szCs w:val="24"/>
        </w:rPr>
      </w:pPr>
    </w:p>
    <w:p w14:paraId="6AA05890" w14:textId="77777777" w:rsidR="00A11211" w:rsidRPr="0041441E" w:rsidRDefault="00A11211" w:rsidP="00A11211">
      <w:pPr>
        <w:spacing w:line="360" w:lineRule="auto"/>
        <w:rPr>
          <w:rFonts w:ascii="Times New Roman" w:hAnsi="Times New Roman" w:cs="Times New Roman"/>
          <w:b/>
          <w:bCs/>
          <w:sz w:val="28"/>
          <w:szCs w:val="28"/>
        </w:rPr>
      </w:pPr>
    </w:p>
    <w:p w14:paraId="448181F4" w14:textId="77777777" w:rsidR="00A11211" w:rsidRPr="00A11211" w:rsidRDefault="00A11211" w:rsidP="00A11211">
      <w:pPr>
        <w:spacing w:line="360" w:lineRule="auto"/>
        <w:rPr>
          <w:rFonts w:ascii="Times New Roman" w:hAnsi="Times New Roman" w:cs="Times New Roman"/>
          <w:sz w:val="28"/>
          <w:szCs w:val="28"/>
        </w:rPr>
      </w:pPr>
    </w:p>
    <w:p w14:paraId="4EC1EFC1" w14:textId="77777777" w:rsidR="00A80680" w:rsidRDefault="00A80680" w:rsidP="00A11211"/>
    <w:p w14:paraId="65650E6E" w14:textId="77777777" w:rsidR="00A11211" w:rsidRDefault="00A11211" w:rsidP="00A11211"/>
    <w:p w14:paraId="7D275AB7" w14:textId="77777777" w:rsidR="00A11211" w:rsidRDefault="00A11211" w:rsidP="00A11211"/>
    <w:p w14:paraId="162E658B" w14:textId="77777777" w:rsidR="00A11211" w:rsidRDefault="00A11211" w:rsidP="00A11211">
      <w:pPr>
        <w:spacing w:line="360" w:lineRule="auto"/>
        <w:jc w:val="both"/>
        <w:rPr>
          <w:rFonts w:ascii="Times New Roman" w:hAnsi="Times New Roman" w:cs="Times New Roman"/>
          <w:b/>
          <w:bCs/>
          <w:sz w:val="24"/>
          <w:szCs w:val="24"/>
        </w:rPr>
      </w:pPr>
    </w:p>
    <w:p w14:paraId="0CFA523A" w14:textId="30B14E1D" w:rsidR="00A11211" w:rsidRPr="005B25C1" w:rsidRDefault="005B25C1" w:rsidP="005B25C1">
      <w:pPr>
        <w:spacing w:line="360" w:lineRule="auto"/>
        <w:rPr>
          <w:rFonts w:ascii="Times New Roman" w:hAnsi="Times New Roman" w:cs="Times New Roman"/>
          <w:b/>
          <w:bCs/>
          <w:sz w:val="28"/>
          <w:szCs w:val="28"/>
        </w:rPr>
      </w:pPr>
      <w:r>
        <w:rPr>
          <w:rFonts w:ascii="Times New Roman" w:hAnsi="Times New Roman" w:cs="Times New Roman"/>
          <w:b/>
          <w:sz w:val="28"/>
          <w:szCs w:val="28"/>
        </w:rPr>
        <w:t>I.</w:t>
      </w:r>
      <w:r w:rsidRPr="005B25C1">
        <w:rPr>
          <w:rFonts w:ascii="Times New Roman" w:hAnsi="Times New Roman" w:cs="Times New Roman"/>
          <w:b/>
          <w:sz w:val="28"/>
          <w:szCs w:val="28"/>
        </w:rPr>
        <w:t xml:space="preserve"> Introduction</w:t>
      </w:r>
    </w:p>
    <w:p w14:paraId="7A312E8B"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Remittance is the significant source of external financing for developing nations (Ratha, 2003). According to the World Migration Report 2022, there are 281 million international migrants in 2020, which is 3.6 percent of the world’s population. According to the estimation of UN DESA 2021, about 35 to 40 million people relocate every five years. The number of international migrations is expected to reach 405 million by 2050, if the number of migrants keeps growing at the same rate as it has in the last two decades (United Nations, 2022). Migrants’ remittance is the vital component of the growth of developing countries. The most noticeable and immediate benefit of international migration is remittances, which migrants send back to their home countries. In general, remittance is the money that foreign worker transfers their earnings to home country. The Indian diaspora ranks second worldwide with an estimated 30 million people currently residing outside of their home nation. It recognizes how important the Indian diaspora is, which has helped India in several ways, including economically and globally. Remittances to India have been going up steadily, and this trend got stronger when economic reforms were put into the place in 1991 (World Bank, 2022). </w:t>
      </w:r>
    </w:p>
    <w:p w14:paraId="4BD38288"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Remittances transferred outside to developing countries are increasingly the principal source of money coming into many developing countries. In most nations where emigration is frequent, remittances have already exceeded export revenues. Remittances are the second biggest source of external finance for developing nations after foreign direct investment. They are worth approximately three times as much as the official development aid given to lower-income countries (United Nations, 2005).</w:t>
      </w:r>
    </w:p>
    <w:p w14:paraId="0C4374F3" w14:textId="6B8C5C41"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figure 1 shows, remittances have always been higher than other types of foreign flows such as foreign direct investment (FDI) and official development assistance (ODA). The global financial crisis of 2007-08 affected foreign direct investment (FDI</w:t>
      </w:r>
      <w:r w:rsidR="00BB7A84">
        <w:rPr>
          <w:rFonts w:ascii="Times New Roman" w:hAnsi="Times New Roman" w:cs="Times New Roman"/>
          <w:sz w:val="24"/>
          <w:szCs w:val="24"/>
        </w:rPr>
        <w:t>)</w:t>
      </w:r>
      <w:r>
        <w:rPr>
          <w:rFonts w:ascii="Times New Roman" w:hAnsi="Times New Roman" w:cs="Times New Roman"/>
          <w:sz w:val="24"/>
          <w:szCs w:val="24"/>
        </w:rPr>
        <w:t xml:space="preserve">, yest remittances increased substantially. In 2016, both remittances and foreign direct investment were on the decline, but they have substantially grown quickly. Remittances function more like to compensatory payments than to foreign investment flows (Chami et al., 2005). In contrast, Giuliano et al. (2006) contended that remittances enhance the economic growth in economically disadvantaged countries by providing </w:t>
      </w:r>
      <w:r>
        <w:rPr>
          <w:rFonts w:ascii="Times New Roman" w:hAnsi="Times New Roman" w:cs="Times New Roman"/>
          <w:sz w:val="24"/>
          <w:szCs w:val="24"/>
        </w:rPr>
        <w:lastRenderedPageBreak/>
        <w:t>credit that would have been inaccessible. However, they observed an adverse link between remittance flows and economic growth in nations with an adequately developed in financial sector.</w:t>
      </w:r>
    </w:p>
    <w:p w14:paraId="12EA4414" w14:textId="77777777" w:rsidR="00A11211" w:rsidRPr="00F41E7B" w:rsidRDefault="00A11211" w:rsidP="00A11211">
      <w:pPr>
        <w:spacing w:line="360" w:lineRule="auto"/>
        <w:jc w:val="both"/>
        <w:rPr>
          <w:rFonts w:ascii="Times New Roman" w:hAnsi="Times New Roman" w:cs="Times New Roman"/>
          <w:b/>
          <w:bCs/>
          <w:sz w:val="24"/>
          <w:szCs w:val="24"/>
        </w:rPr>
      </w:pPr>
      <w:r w:rsidRPr="00F41E7B">
        <w:rPr>
          <w:rFonts w:ascii="Times New Roman" w:hAnsi="Times New Roman" w:cs="Times New Roman"/>
          <w:b/>
          <w:bCs/>
          <w:iCs/>
          <w:sz w:val="24"/>
          <w:szCs w:val="24"/>
        </w:rPr>
        <w:t>Figure 1: Remittances via-vis other foreign inflows to India 1980 to 2020 (in current $US).</w:t>
      </w:r>
      <w:r w:rsidRPr="00F41E7B">
        <w:rPr>
          <w:rFonts w:ascii="Times New Roman" w:hAnsi="Times New Roman" w:cs="Times New Roman"/>
          <w:b/>
          <w:bCs/>
          <w:noProof/>
          <w:sz w:val="24"/>
          <w:szCs w:val="24"/>
        </w:rPr>
        <w:drawing>
          <wp:inline distT="0" distB="0" distL="0" distR="0" wp14:anchorId="1C4ED218" wp14:editId="16DE9287">
            <wp:extent cx="6102350" cy="36195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276C7" w14:textId="77777777"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Source: World Development Indicators World Bank (202</w:t>
      </w:r>
      <w:r>
        <w:rPr>
          <w:rFonts w:ascii="Times New Roman" w:hAnsi="Times New Roman" w:cs="Times New Roman"/>
          <w:i/>
          <w:sz w:val="24"/>
          <w:szCs w:val="24"/>
        </w:rPr>
        <w:t>2</w:t>
      </w:r>
      <w:r w:rsidRPr="00D176A1">
        <w:rPr>
          <w:rFonts w:ascii="Times New Roman" w:hAnsi="Times New Roman" w:cs="Times New Roman"/>
          <w:i/>
          <w:sz w:val="24"/>
          <w:szCs w:val="24"/>
        </w:rPr>
        <w:t>)</w:t>
      </w:r>
    </w:p>
    <w:p w14:paraId="50D37D05"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India's economy benefits greatly from foreign remittances, which also help to meet the needs of the population. India continued to be the leading recipient of remittances in the world in 2021, getting USD 89 billion from Indian expats around the world.</w:t>
      </w:r>
    </w:p>
    <w:p w14:paraId="5C7002A7" w14:textId="77777777" w:rsidR="00A11211" w:rsidRPr="00D176A1" w:rsidRDefault="00A11211" w:rsidP="00A11211">
      <w:pPr>
        <w:spacing w:line="360" w:lineRule="auto"/>
        <w:jc w:val="both"/>
        <w:rPr>
          <w:rFonts w:ascii="Times New Roman" w:hAnsi="Times New Roman" w:cs="Times New Roman"/>
          <w:sz w:val="24"/>
          <w:szCs w:val="24"/>
        </w:rPr>
      </w:pPr>
    </w:p>
    <w:p w14:paraId="5022B8B4" w14:textId="77777777" w:rsidR="00A11211" w:rsidRPr="00D176A1" w:rsidRDefault="00A11211" w:rsidP="00A11211">
      <w:pPr>
        <w:spacing w:line="360" w:lineRule="auto"/>
        <w:jc w:val="both"/>
        <w:rPr>
          <w:rFonts w:ascii="Times New Roman" w:hAnsi="Times New Roman" w:cs="Times New Roman"/>
          <w:sz w:val="24"/>
          <w:szCs w:val="24"/>
        </w:rPr>
      </w:pPr>
    </w:p>
    <w:p w14:paraId="5F14AAC7" w14:textId="77777777" w:rsidR="00A11211" w:rsidRPr="00D176A1" w:rsidRDefault="00A11211" w:rsidP="00A11211">
      <w:pPr>
        <w:spacing w:line="360" w:lineRule="auto"/>
        <w:jc w:val="both"/>
        <w:rPr>
          <w:rFonts w:ascii="Times New Roman" w:hAnsi="Times New Roman" w:cs="Times New Roman"/>
          <w:sz w:val="24"/>
          <w:szCs w:val="24"/>
        </w:rPr>
      </w:pPr>
    </w:p>
    <w:p w14:paraId="36E888E2" w14:textId="77777777" w:rsidR="00A11211" w:rsidRDefault="00A11211" w:rsidP="00A11211">
      <w:pPr>
        <w:spacing w:line="360" w:lineRule="auto"/>
        <w:jc w:val="both"/>
        <w:rPr>
          <w:rFonts w:ascii="Times New Roman" w:hAnsi="Times New Roman" w:cs="Times New Roman"/>
          <w:sz w:val="24"/>
          <w:szCs w:val="24"/>
        </w:rPr>
      </w:pPr>
    </w:p>
    <w:p w14:paraId="11D811DB" w14:textId="77777777" w:rsidR="00A11211" w:rsidRDefault="00A11211" w:rsidP="00A11211">
      <w:pPr>
        <w:spacing w:line="360" w:lineRule="auto"/>
        <w:jc w:val="both"/>
        <w:rPr>
          <w:rFonts w:ascii="Times New Roman" w:hAnsi="Times New Roman" w:cs="Times New Roman"/>
          <w:sz w:val="24"/>
          <w:szCs w:val="24"/>
        </w:rPr>
      </w:pPr>
    </w:p>
    <w:p w14:paraId="2931CA8A" w14:textId="77777777" w:rsidR="00A11211" w:rsidRDefault="00A11211" w:rsidP="00A11211">
      <w:pPr>
        <w:spacing w:line="360" w:lineRule="auto"/>
        <w:jc w:val="both"/>
        <w:rPr>
          <w:rFonts w:ascii="Times New Roman" w:hAnsi="Times New Roman" w:cs="Times New Roman"/>
          <w:sz w:val="24"/>
          <w:szCs w:val="24"/>
        </w:rPr>
      </w:pPr>
    </w:p>
    <w:p w14:paraId="7633CAA6" w14:textId="77777777" w:rsidR="00A11211" w:rsidRPr="00D176A1" w:rsidRDefault="00A11211" w:rsidP="00A11211">
      <w:pPr>
        <w:spacing w:line="360" w:lineRule="auto"/>
        <w:jc w:val="both"/>
        <w:rPr>
          <w:rFonts w:ascii="Times New Roman" w:hAnsi="Times New Roman" w:cs="Times New Roman"/>
          <w:sz w:val="24"/>
          <w:szCs w:val="24"/>
        </w:rPr>
      </w:pPr>
    </w:p>
    <w:p w14:paraId="3BF23D30" w14:textId="77777777" w:rsidR="00A11211" w:rsidRPr="0082371A" w:rsidRDefault="00A11211" w:rsidP="00A11211">
      <w:pPr>
        <w:spacing w:line="360" w:lineRule="auto"/>
        <w:jc w:val="both"/>
        <w:rPr>
          <w:rFonts w:ascii="Times New Roman" w:hAnsi="Times New Roman" w:cs="Times New Roman"/>
          <w:b/>
          <w:bCs/>
          <w:sz w:val="24"/>
          <w:szCs w:val="24"/>
        </w:rPr>
      </w:pPr>
      <w:r w:rsidRPr="0082371A">
        <w:rPr>
          <w:rFonts w:ascii="Times New Roman" w:hAnsi="Times New Roman" w:cs="Times New Roman"/>
          <w:b/>
          <w:bCs/>
          <w:sz w:val="24"/>
          <w:szCs w:val="24"/>
        </w:rPr>
        <w:t>Fig</w:t>
      </w:r>
      <w:r>
        <w:rPr>
          <w:rFonts w:ascii="Times New Roman" w:hAnsi="Times New Roman" w:cs="Times New Roman"/>
          <w:b/>
          <w:bCs/>
          <w:sz w:val="24"/>
          <w:szCs w:val="24"/>
        </w:rPr>
        <w:t xml:space="preserve">ure </w:t>
      </w:r>
      <w:r w:rsidRPr="0082371A">
        <w:rPr>
          <w:rFonts w:ascii="Times New Roman" w:hAnsi="Times New Roman" w:cs="Times New Roman"/>
          <w:b/>
          <w:bCs/>
          <w:sz w:val="24"/>
          <w:szCs w:val="24"/>
        </w:rPr>
        <w:t>2: Top 20 Major Remittances Receiving Countries, 2021 ($US current millions)</w:t>
      </w:r>
    </w:p>
    <w:p w14:paraId="57223014" w14:textId="48E10DA6" w:rsidR="00A11211" w:rsidRPr="00D176A1"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noProof/>
          <w:sz w:val="24"/>
          <w:szCs w:val="24"/>
        </w:rPr>
        <w:drawing>
          <wp:inline distT="0" distB="0" distL="0" distR="0" wp14:anchorId="73A7F42C" wp14:editId="0D4F1F7E">
            <wp:extent cx="5974080" cy="3779520"/>
            <wp:effectExtent l="0" t="0" r="7620" b="11430"/>
            <wp:docPr id="3" name="Chart 3">
              <a:extLst xmlns:a="http://schemas.openxmlformats.org/drawingml/2006/main">
                <a:ext uri="{FF2B5EF4-FFF2-40B4-BE49-F238E27FC236}">
                  <a16:creationId xmlns:a16="http://schemas.microsoft.com/office/drawing/2014/main" id="{27E8C199-9966-F9A5-0FBF-703A8F863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176A1">
        <w:rPr>
          <w:rFonts w:ascii="Times New Roman" w:hAnsi="Times New Roman" w:cs="Times New Roman"/>
          <w:i/>
          <w:sz w:val="24"/>
          <w:szCs w:val="24"/>
        </w:rPr>
        <w:t>Source: World Bank KNOMAD (202</w:t>
      </w:r>
      <w:r w:rsidR="00CA568E">
        <w:rPr>
          <w:rFonts w:ascii="Times New Roman" w:hAnsi="Times New Roman" w:cs="Times New Roman"/>
          <w:i/>
          <w:sz w:val="24"/>
          <w:szCs w:val="24"/>
        </w:rPr>
        <w:t>3</w:t>
      </w:r>
      <w:r w:rsidRPr="00D176A1">
        <w:rPr>
          <w:rFonts w:ascii="Times New Roman" w:hAnsi="Times New Roman" w:cs="Times New Roman"/>
          <w:i/>
          <w:sz w:val="24"/>
          <w:szCs w:val="24"/>
        </w:rPr>
        <w:t>).</w:t>
      </w:r>
    </w:p>
    <w:p w14:paraId="559B60B5" w14:textId="265B4556"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 xml:space="preserve">According to </w:t>
      </w:r>
      <w:r>
        <w:rPr>
          <w:rFonts w:ascii="Times New Roman" w:hAnsi="Times New Roman" w:cs="Times New Roman"/>
          <w:sz w:val="24"/>
          <w:szCs w:val="24"/>
        </w:rPr>
        <w:t>f</w:t>
      </w:r>
      <w:r w:rsidRPr="00D176A1">
        <w:rPr>
          <w:rFonts w:ascii="Times New Roman" w:hAnsi="Times New Roman" w:cs="Times New Roman"/>
          <w:sz w:val="24"/>
          <w:szCs w:val="24"/>
        </w:rPr>
        <w:t>ig</w:t>
      </w:r>
      <w:r>
        <w:rPr>
          <w:rFonts w:ascii="Times New Roman" w:hAnsi="Times New Roman" w:cs="Times New Roman"/>
          <w:sz w:val="24"/>
          <w:szCs w:val="24"/>
        </w:rPr>
        <w:t xml:space="preserve">ure </w:t>
      </w:r>
      <w:r w:rsidRPr="00D176A1">
        <w:rPr>
          <w:rFonts w:ascii="Times New Roman" w:hAnsi="Times New Roman" w:cs="Times New Roman"/>
          <w:sz w:val="24"/>
          <w:szCs w:val="24"/>
        </w:rPr>
        <w:t>2, among the top 20 countries that will receive remittances in 2021, India will be the top recipient nation, followed by China, Mexico, Philippines, France, Egypt, Pakistan, Bangladesh, Germany, Nigeria, Ukraine, Vietnam, Guatemala, Dominican Republic, Morocco, Italy, Russian Federation, Indonesia, Uzbekistan and Romania. (World Bank, 202</w:t>
      </w:r>
      <w:r w:rsidR="00CA568E">
        <w:rPr>
          <w:rFonts w:ascii="Times New Roman" w:hAnsi="Times New Roman" w:cs="Times New Roman"/>
          <w:sz w:val="24"/>
          <w:szCs w:val="24"/>
        </w:rPr>
        <w:t>3</w:t>
      </w:r>
      <w:r w:rsidRPr="00D176A1">
        <w:rPr>
          <w:rFonts w:ascii="Times New Roman" w:hAnsi="Times New Roman" w:cs="Times New Roman"/>
          <w:sz w:val="24"/>
          <w:szCs w:val="24"/>
        </w:rPr>
        <w:t>).</w:t>
      </w:r>
    </w:p>
    <w:p w14:paraId="44D9D9BE" w14:textId="77777777" w:rsidR="00A11211" w:rsidRPr="005B25C1" w:rsidRDefault="00A11211" w:rsidP="00A11211">
      <w:pPr>
        <w:spacing w:line="360" w:lineRule="auto"/>
        <w:jc w:val="both"/>
        <w:rPr>
          <w:rFonts w:ascii="Times New Roman" w:hAnsi="Times New Roman" w:cs="Times New Roman"/>
          <w:sz w:val="28"/>
          <w:szCs w:val="28"/>
        </w:rPr>
      </w:pPr>
      <w:r w:rsidRPr="005B25C1">
        <w:rPr>
          <w:rFonts w:ascii="Times New Roman" w:hAnsi="Times New Roman" w:cs="Times New Roman"/>
          <w:b/>
          <w:bCs/>
          <w:sz w:val="28"/>
          <w:szCs w:val="28"/>
        </w:rPr>
        <w:t>II</w:t>
      </w:r>
      <w:r w:rsidRPr="005B25C1">
        <w:rPr>
          <w:rFonts w:ascii="Times New Roman" w:hAnsi="Times New Roman" w:cs="Times New Roman"/>
          <w:b/>
          <w:sz w:val="28"/>
          <w:szCs w:val="28"/>
        </w:rPr>
        <w:t>. Review of Literature</w:t>
      </w:r>
    </w:p>
    <w:p w14:paraId="398B22F1" w14:textId="77777777" w:rsidR="00BB7A84" w:rsidRDefault="00BB7A84" w:rsidP="00BB7A84">
      <w:pPr>
        <w:spacing w:line="360" w:lineRule="auto"/>
        <w:ind w:firstLine="720"/>
        <w:jc w:val="both"/>
        <w:rPr>
          <w:rFonts w:ascii="Times New Roman" w:hAnsi="Times New Roman" w:cs="Times New Roman"/>
          <w:sz w:val="24"/>
          <w:szCs w:val="24"/>
        </w:rPr>
      </w:pPr>
      <w:r w:rsidRPr="009F49D1">
        <w:rPr>
          <w:rFonts w:ascii="Times New Roman" w:hAnsi="Times New Roman" w:cs="Times New Roman"/>
          <w:sz w:val="24"/>
          <w:szCs w:val="24"/>
        </w:rPr>
        <w:t xml:space="preserve">The theoretical basis for analyzing remittances and economic growth is derived from both neoclassical and endogenous growth models. The Solow (1956) growth model proposes that capital formation, encompassing foreign inflows is crucial to long-term economic growth. The Endogenous Growth Theory (Romer, 1990) expands upon this by emphasizing the significance of human capital, technological advancement and knowledge spillovers as stimulants for sustainable growth, hence establishing the impact of remittance on growth through investments in education, </w:t>
      </w:r>
      <w:r w:rsidRPr="009F49D1">
        <w:rPr>
          <w:rFonts w:ascii="Times New Roman" w:hAnsi="Times New Roman" w:cs="Times New Roman"/>
          <w:sz w:val="24"/>
          <w:szCs w:val="24"/>
        </w:rPr>
        <w:lastRenderedPageBreak/>
        <w:t>health and enterprise development. The remittance-growth framework also suggests that remittances could serve as a counter-cyclical capital source, alleviating liquidity restrictions and stabilizing consumption and investment (Giuliano &amp; Ruiz-Arranz, 2009; Ratha, 2013).</w:t>
      </w:r>
    </w:p>
    <w:p w14:paraId="29C84F25"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There exists a substantial and expanding body of work that endeavors to empirically assess the impact of remittances on economic growth. Remittances are seen as an essential source of financing for investment and consumption activities that ultimately foster overall economic growth (Pradhan et al., 2008; Randazzo &amp; Piracha, 2019). Likewise, capital inflow via foreign direct investment is regarded as a prospective source of financing for domestic investment, hence promoting economic growth (Tahir et al., 2020). However, another perspective asserts that institutional factors are necessary for long-term growth and that FDI and remittance flows have not been enough to cause better economic growth (Nyasha &amp; Odhiambo, 2020; Song et al., 2021). Remittances positively influence economic growth by enhancing employment opportunities in the recipient country and reducing the incidence of compulsion to migrate from low-income countries (Ratha &amp; Shaw, 2006; Freund &amp; Spatafora, 2008). In the same way, remittances also contribute to overall human and social capital of communities (Sasin &amp; McKenzie, 2007). A few well-known works of literature argue that FDI boosts the productive potential of domestic firms and provides ownership that positively affects economic growth (Rivera-Batiz &amp; Romer, 1991; Haddad &amp; Harrison, 1993).</w:t>
      </w:r>
    </w:p>
    <w:p w14:paraId="0490FEE2"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effect of remittances on economic expansion and the reduction of poverty has been the subject of numerous studies. In a cross-sectional analysis of 36 countries, Pradhan et al. (2008) found that remittances, one of five variables in a linear regression model, have a tiny but beneficial impact on economic growth. In their study of 99 countries from 1975 to 2003, Aggarwal et al. (2006) discovered that remittances have a favorable impact on bank deposits and credit to GDP. Citing earlier research that demonstrates the beneficial effects of these two variables on economic growth, the authors then extrapolate the positive influence on development.</w:t>
      </w:r>
      <w:r>
        <w:rPr>
          <w:rFonts w:ascii="Times New Roman" w:hAnsi="Times New Roman" w:cs="Times New Roman"/>
          <w:sz w:val="24"/>
          <w:szCs w:val="24"/>
        </w:rPr>
        <w:t xml:space="preserve">  </w:t>
      </w:r>
    </w:p>
    <w:p w14:paraId="498EDFAB" w14:textId="77777777" w:rsidR="00BB7A84" w:rsidRPr="00A53D02" w:rsidRDefault="00BB7A84" w:rsidP="00BB7A84">
      <w:pPr>
        <w:spacing w:after="0" w:line="360" w:lineRule="auto"/>
        <w:jc w:val="both"/>
        <w:rPr>
          <w:rFonts w:ascii="Times New Roman" w:eastAsia="Times New Roman" w:hAnsi="Times New Roman" w:cs="Times New Roman"/>
          <w:sz w:val="24"/>
          <w:szCs w:val="24"/>
        </w:rPr>
      </w:pPr>
      <w:r w:rsidRPr="005D0A6A">
        <w:rPr>
          <w:rFonts w:ascii="Times New Roman" w:hAnsi="Times New Roman" w:cs="Times New Roman"/>
          <w:sz w:val="24"/>
          <w:szCs w:val="24"/>
        </w:rPr>
        <w:t xml:space="preserve">Numerous studies demonstrate a beneficial effect, contending that remittances serve as a substantial catalyst for economic expansion by augmenting household income, facilitating investment and fostering human capital development. Remittances help African economies expand by increasing savings and investment (Fayissa &amp; Nsiah, 2010), whereas Meyer and Shera (2017), utilizing a panel dataset, validated that remittance inflows enhance production by promoting </w:t>
      </w:r>
      <w:r w:rsidRPr="005D0A6A">
        <w:rPr>
          <w:rFonts w:ascii="Times New Roman" w:hAnsi="Times New Roman" w:cs="Times New Roman"/>
          <w:sz w:val="24"/>
          <w:szCs w:val="24"/>
        </w:rPr>
        <w:lastRenderedPageBreak/>
        <w:t xml:space="preserve">expenditure, investment and financial inclusion. </w:t>
      </w:r>
      <w:r w:rsidRPr="00A53D02">
        <w:rPr>
          <w:rFonts w:ascii="Times New Roman" w:eastAsia="Times New Roman" w:hAnsi="Times New Roman" w:cs="Times New Roman"/>
          <w:sz w:val="24"/>
          <w:szCs w:val="24"/>
        </w:rPr>
        <w:t>Remittances are essential for economic development as they enhance household spending, savings, and investment. In Bangladesh, remittances have a significant long-term positive impact on economic development, despite their variable short-term effects, highlighting the importance of channeling them into productive endeavors supported by financial and institutional improvements (Kumar &amp; Stauvermann, 2014). These findings correspond with extensive research indicating that remittances can stimulate growth, especially when supported by robust financial and institutional structures.</w:t>
      </w:r>
    </w:p>
    <w:p w14:paraId="09278C79" w14:textId="77777777" w:rsidR="00BB7A84" w:rsidRDefault="00BB7A84" w:rsidP="00BB7A84">
      <w:pPr>
        <w:spacing w:line="360" w:lineRule="auto"/>
        <w:ind w:firstLine="720"/>
        <w:jc w:val="both"/>
        <w:rPr>
          <w:rFonts w:ascii="Times New Roman" w:hAnsi="Times New Roman" w:cs="Times New Roman"/>
          <w:sz w:val="24"/>
          <w:szCs w:val="24"/>
        </w:rPr>
      </w:pPr>
    </w:p>
    <w:p w14:paraId="4D44C045"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In the Indian context, research conducted by Kumar (2013) and Srinivasan and Kalaivani (2016) underscores the significant importance of remittances in facilitating economic growth by bolstering household consumption and productive investments.</w:t>
      </w:r>
    </w:p>
    <w:p w14:paraId="6190E763" w14:textId="77777777" w:rsidR="00BB7A84" w:rsidRPr="005D0A6A" w:rsidRDefault="00BB7A84" w:rsidP="00BB7A84">
      <w:pPr>
        <w:spacing w:line="360" w:lineRule="auto"/>
        <w:ind w:firstLine="720"/>
        <w:jc w:val="both"/>
        <w:rPr>
          <w:rFonts w:ascii="Times New Roman" w:eastAsia="Times New Roman" w:hAnsi="Times New Roman" w:cs="Times New Roman"/>
          <w:sz w:val="24"/>
          <w:szCs w:val="24"/>
        </w:rPr>
      </w:pPr>
      <w:r w:rsidRPr="005D0A6A">
        <w:rPr>
          <w:rFonts w:ascii="Times New Roman" w:hAnsi="Times New Roman" w:cs="Times New Roman"/>
          <w:sz w:val="24"/>
          <w:szCs w:val="24"/>
        </w:rPr>
        <w:t xml:space="preserve">Taylor (1992) and Faini (2001) establish a favorable correlation between remittances and economic growth. Conversely, Spatafora (2005) finds no correlation between the increase in remittances and per capita output. On the other hand, remittances adversely affect economic growth in a sample of 113 countries in a significant cross-country analysis. Existing studies on remittances has primarily focused on poverty alleviation rather than overall economic growth (Adams and Page, 2003). The impact of remittances on economic growth in both host and home countries of expatriate workers has garnered the interest of development economists. Conflicting viewpoints have emerged concerning the impact on the expatriate employees’ country of origin. Some researchers assert that remittances foster economic growth </w:t>
      </w:r>
      <w:r w:rsidRPr="005D0A6A">
        <w:rPr>
          <w:rFonts w:ascii="Times New Roman" w:eastAsia="Times New Roman" w:hAnsi="Times New Roman" w:cs="Times New Roman"/>
          <w:sz w:val="24"/>
          <w:szCs w:val="24"/>
        </w:rPr>
        <w:t>(Adelman and Taylor, 1990; Durand et al., 1996), while others, including Chami et al. (2005), Ekanayake and Halkides, and Spatafora (2005), hold a contrary perspective. For example, inhabitants of a host nation may seek jobs in their own country if the unemployment rate is elevated there. As individuals’ salaries increase, they can travel greater distances in pursuit of higher-paying employment, therefore enhancing remittances to their home nations. The magnitude of remittance revenue may be affected by economic growth for the aforementioned reasons.</w:t>
      </w:r>
    </w:p>
    <w:p w14:paraId="0F09B661" w14:textId="77777777" w:rsidR="00BB7A84" w:rsidRPr="005D0A6A" w:rsidRDefault="00BB7A84" w:rsidP="00BB7A84">
      <w:pPr>
        <w:spacing w:line="360" w:lineRule="auto"/>
        <w:ind w:firstLine="720"/>
        <w:jc w:val="both"/>
        <w:rPr>
          <w:rFonts w:ascii="Times New Roman" w:eastAsia="Times New Roman" w:hAnsi="Times New Roman" w:cs="Times New Roman"/>
          <w:sz w:val="24"/>
          <w:szCs w:val="24"/>
        </w:rPr>
      </w:pPr>
      <w:r w:rsidRPr="005D0A6A">
        <w:rPr>
          <w:rFonts w:ascii="Times New Roman" w:eastAsia="Times New Roman" w:hAnsi="Times New Roman" w:cs="Times New Roman"/>
          <w:sz w:val="24"/>
          <w:szCs w:val="24"/>
        </w:rPr>
        <w:t xml:space="preserve">The aim of the present study is to analyze the impact of remittances on economic growth in India. India continues to be an important source of expatriate workers. The size of expatriate workers has risen substantially throughout the years. In the process remittances have emerged as a vital source of foreign exchange earnings for the nation. Thus, the country offers a distinctive </w:t>
      </w:r>
      <w:r w:rsidRPr="005D0A6A">
        <w:rPr>
          <w:rFonts w:ascii="Times New Roman" w:eastAsia="Times New Roman" w:hAnsi="Times New Roman" w:cs="Times New Roman"/>
          <w:sz w:val="24"/>
          <w:szCs w:val="24"/>
        </w:rPr>
        <w:lastRenderedPageBreak/>
        <w:t>opportunity to examine the influence and causal relationship between remittances and economic growth.</w:t>
      </w:r>
    </w:p>
    <w:p w14:paraId="02A672EC"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b/>
          <w:sz w:val="24"/>
          <w:szCs w:val="24"/>
        </w:rPr>
        <w:t>III. Data and Methodology</w:t>
      </w:r>
    </w:p>
    <w:p w14:paraId="46936661"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present study is based on secondary data from the World Development Indicators (World Bank, 2023) for the period 1980-2021. To test the significant impact of remittances on economic growth, we set up the growth equation as follows;</w:t>
      </w:r>
    </w:p>
    <w:p w14:paraId="1FCB7C3F"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i/>
          <w:iCs/>
          <w:sz w:val="24"/>
          <w:szCs w:val="24"/>
        </w:rPr>
        <w:t xml:space="preserve">                          ln </w:t>
      </w:r>
      <w:proofErr w:type="spellStart"/>
      <w:r w:rsidRPr="005D0A6A">
        <w:rPr>
          <w:rFonts w:ascii="Times New Roman" w:hAnsi="Times New Roman" w:cs="Times New Roman"/>
          <w:i/>
          <w:iCs/>
          <w:sz w:val="24"/>
          <w:szCs w:val="24"/>
        </w:rPr>
        <w:t>GDP</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α+β</w:t>
      </w:r>
      <w:r w:rsidRPr="005D0A6A">
        <w:rPr>
          <w:rFonts w:ascii="Times New Roman" w:hAnsi="Times New Roman" w:cs="Times New Roman"/>
          <w:i/>
          <w:iCs/>
          <w:sz w:val="24"/>
          <w:szCs w:val="24"/>
          <w:vertAlign w:val="subscript"/>
        </w:rPr>
        <w:t>1</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REMt</w:t>
      </w:r>
      <w:proofErr w:type="spellEnd"/>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rPr>
        <w:t>…………………………... (</w:t>
      </w:r>
      <w:r w:rsidRPr="005D0A6A">
        <w:rPr>
          <w:rFonts w:ascii="Times New Roman" w:hAnsi="Times New Roman" w:cs="Times New Roman"/>
          <w:sz w:val="24"/>
          <w:szCs w:val="24"/>
        </w:rPr>
        <w:t>1)</w:t>
      </w:r>
    </w:p>
    <w:p w14:paraId="5C6A41AB"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sz w:val="24"/>
          <w:szCs w:val="24"/>
        </w:rPr>
        <w:t>“Where ‘</w:t>
      </w:r>
      <w:r w:rsidRPr="005D0A6A">
        <w:rPr>
          <w:rFonts w:ascii="Times New Roman" w:hAnsi="Times New Roman" w:cs="Times New Roman"/>
          <w:i/>
          <w:sz w:val="24"/>
          <w:szCs w:val="24"/>
        </w:rPr>
        <w:t>ln</w:t>
      </w:r>
      <w:r w:rsidRPr="005D0A6A">
        <w:rPr>
          <w:rFonts w:ascii="Times New Roman" w:hAnsi="Times New Roman" w:cs="Times New Roman"/>
          <w:sz w:val="24"/>
          <w:szCs w:val="24"/>
        </w:rPr>
        <w:t>’ denotes the natural logarithms of respective variables. Data for real GDP per capita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GDP) represents the data for Real GDP Per capita which is used as proxy for per capita income,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GFCF) is the Real Gross Fixed Capital Formation which is used as proxy for capital stock, and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REM) is the Real Remittances per capita, these are the variables were taken from WDI for the year 1980-2021 in US$ at current prices”.</w:t>
      </w:r>
    </w:p>
    <w:p w14:paraId="73663394"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In order to eliminate spurious regression, the unit root test for stationarity was conducted to complete the econometric approach. Series were examined for cointegration in a second phase to ascertain the long-term connection. The outcome of the cointegration test revealed whether a correction term existed in the model, which was then employed in the following action. The error-correction model (ECM) is used to determine the relationship in this third phase if the series are cointegrated of the same order (Engle, R., &amp; Granger, 1987). In accordance with the Engle-Granger method, co-integration in the model is checked using the residual series produced by the following equation.</w:t>
      </w:r>
    </w:p>
    <w:p w14:paraId="32D5BBA3"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rPr>
        <w:t>= ln</w:t>
      </w:r>
      <w:r w:rsidRPr="005D0A6A">
        <w:rPr>
          <w:rFonts w:ascii="Times New Roman" w:hAnsi="Times New Roman" w:cs="Times New Roman"/>
          <w:sz w:val="24"/>
          <w:szCs w:val="24"/>
        </w:rPr>
        <w:t xml:space="preserve"> </w:t>
      </w:r>
      <w:proofErr w:type="spellStart"/>
      <w:r w:rsidRPr="005D0A6A">
        <w:rPr>
          <w:rFonts w:ascii="Times New Roman" w:hAnsi="Times New Roman" w:cs="Times New Roman"/>
          <w:sz w:val="24"/>
          <w:szCs w:val="24"/>
        </w:rPr>
        <w:t>GDP</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α+β</w:t>
      </w:r>
      <w:r w:rsidRPr="005D0A6A">
        <w:rPr>
          <w:rFonts w:ascii="Times New Roman" w:hAnsi="Times New Roman" w:cs="Times New Roman"/>
          <w:i/>
          <w:iCs/>
          <w:sz w:val="24"/>
          <w:szCs w:val="24"/>
          <w:vertAlign w:val="subscript"/>
        </w:rPr>
        <w:t>1</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xml:space="preserve">) </w:t>
      </w:r>
      <w:r w:rsidRPr="005D0A6A">
        <w:rPr>
          <w:rFonts w:ascii="Times New Roman" w:hAnsi="Times New Roman" w:cs="Times New Roman"/>
          <w:sz w:val="24"/>
          <w:szCs w:val="24"/>
        </w:rPr>
        <w:t>…………………</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 xml:space="preserve"> (2)</w:t>
      </w:r>
    </w:p>
    <w:p w14:paraId="4C8C3441" w14:textId="77777777" w:rsidR="00BB7A84" w:rsidRPr="005D0A6A" w:rsidRDefault="00BB7A84" w:rsidP="00BB7A84">
      <w:pPr>
        <w:spacing w:line="360" w:lineRule="auto"/>
        <w:jc w:val="both"/>
        <w:rPr>
          <w:rFonts w:ascii="Times New Roman" w:hAnsi="Times New Roman" w:cs="Times New Roman"/>
          <w:b/>
          <w:bCs/>
          <w:i/>
          <w:iCs/>
          <w:sz w:val="24"/>
          <w:szCs w:val="24"/>
        </w:rPr>
      </w:pPr>
      <w:r w:rsidRPr="005D0A6A">
        <w:rPr>
          <w:rFonts w:ascii="Times New Roman" w:hAnsi="Times New Roman" w:cs="Times New Roman"/>
          <w:b/>
          <w:bCs/>
          <w:i/>
          <w:iCs/>
          <w:sz w:val="24"/>
          <w:szCs w:val="24"/>
        </w:rPr>
        <w:t>Unit Root Test</w:t>
      </w:r>
      <w:r w:rsidRPr="005D0A6A">
        <w:rPr>
          <w:rFonts w:ascii="Times New Roman" w:hAnsi="Times New Roman" w:cs="Times New Roman"/>
          <w:i/>
          <w:iCs/>
          <w:sz w:val="24"/>
          <w:szCs w:val="24"/>
        </w:rPr>
        <w:t xml:space="preserve"> </w:t>
      </w:r>
    </w:p>
    <w:p w14:paraId="39BD8BDD"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Both the causality test and the cointegration test require a stationary test (</w:t>
      </w:r>
      <w:proofErr w:type="spellStart"/>
      <w:r w:rsidRPr="005D0A6A">
        <w:rPr>
          <w:rFonts w:ascii="Times New Roman" w:hAnsi="Times New Roman" w:cs="Times New Roman"/>
          <w:sz w:val="24"/>
          <w:szCs w:val="24"/>
        </w:rPr>
        <w:t>Gyanwaly</w:t>
      </w:r>
      <w:proofErr w:type="spellEnd"/>
      <w:r w:rsidRPr="005D0A6A">
        <w:rPr>
          <w:rFonts w:ascii="Times New Roman" w:hAnsi="Times New Roman" w:cs="Times New Roman"/>
          <w:sz w:val="24"/>
          <w:szCs w:val="24"/>
        </w:rPr>
        <w:t xml:space="preserve">, 2012). For every series taken into consideration in the analysis, it is critical to test for non-stationary behavior, defined as mean, variance, and autocovariance that are not constant across time. A series is said to be integrated of order "n" if, after being differentiated "n" times, it becomes stationary. This is the first stage in time series econometrics to establish causation between variables. The </w:t>
      </w:r>
      <w:r w:rsidRPr="005D0A6A">
        <w:rPr>
          <w:rFonts w:ascii="Times New Roman" w:hAnsi="Times New Roman" w:cs="Times New Roman"/>
          <w:sz w:val="24"/>
          <w:szCs w:val="24"/>
        </w:rPr>
        <w:lastRenderedPageBreak/>
        <w:t>next stage is to check for the presence of cointegration, which is the long-term link between variables, if the series are found to be integrated of the same order (Gujarati, 2004).</w:t>
      </w:r>
    </w:p>
    <w:p w14:paraId="37AB667E"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b/>
          <w:bCs/>
          <w:i/>
          <w:iCs/>
          <w:sz w:val="24"/>
          <w:szCs w:val="24"/>
        </w:rPr>
        <w:t>Error Correction Mechanism (ECM)</w:t>
      </w:r>
    </w:p>
    <w:p w14:paraId="4587B502"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Since the cointegration tests described in the preceding section showed that the variables in our analysis are cointegrated of order one, i.e., the long-run causality, the ECM mechanism is utilized in this paper to evaluate the link between GDP and remittances. Error-correction mechanism (ECM) is employed to test the relationship in equation (2), because the Engle-Granger critical value indicates that the model has a long-run association. Based on the error-correction term ECT (-1), the ECM can evaluate long-term causal linkages and can be expressed as;</w:t>
      </w:r>
    </w:p>
    <w:p w14:paraId="0237E147"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b/>
          <w:bCs/>
          <w:sz w:val="24"/>
          <w:szCs w:val="24"/>
        </w:rPr>
        <w:t xml:space="preserve">  </w:t>
      </w:r>
      <w:r w:rsidRPr="005D0A6A">
        <w:rPr>
          <w:rFonts w:ascii="Times New Roman" w:hAnsi="Times New Roman" w:cs="Times New Roman"/>
          <w:sz w:val="24"/>
          <w:szCs w:val="24"/>
        </w:rPr>
        <w:t xml:space="preserve">∆ </w:t>
      </w:r>
      <w:r w:rsidRPr="005D0A6A">
        <w:rPr>
          <w:rFonts w:ascii="Times New Roman" w:hAnsi="Times New Roman" w:cs="Times New Roman"/>
          <w:i/>
          <w:iCs/>
          <w:sz w:val="24"/>
          <w:szCs w:val="24"/>
        </w:rPr>
        <w:t>ln</w:t>
      </w:r>
      <w:r w:rsidRPr="005D0A6A">
        <w:rPr>
          <w:rFonts w:ascii="Times New Roman" w:hAnsi="Times New Roman" w:cs="Times New Roman"/>
          <w:sz w:val="24"/>
          <w:szCs w:val="24"/>
        </w:rPr>
        <w:t xml:space="preserve"> GDP</w:t>
      </w:r>
      <w:r w:rsidRPr="005D0A6A">
        <w:rPr>
          <w:rFonts w:ascii="Times New Roman" w:hAnsi="Times New Roman" w:cs="Times New Roman"/>
          <w:sz w:val="24"/>
          <w:szCs w:val="24"/>
          <w:vertAlign w:val="subscript"/>
        </w:rPr>
        <w:t>t</w:t>
      </w:r>
      <w:r w:rsidRPr="005D0A6A">
        <w:rPr>
          <w:rFonts w:ascii="Times New Roman" w:hAnsi="Times New Roman" w:cs="Times New Roman"/>
          <w:sz w:val="24"/>
          <w:szCs w:val="24"/>
        </w:rPr>
        <w:t xml:space="preserve">= </w:t>
      </w:r>
      <w:r w:rsidRPr="005D0A6A">
        <w:rPr>
          <w:rFonts w:ascii="Times New Roman" w:hAnsi="Times New Roman" w:cs="Times New Roman"/>
          <w:i/>
          <w:iCs/>
          <w:sz w:val="24"/>
          <w:szCs w:val="24"/>
        </w:rPr>
        <w:t>α +β</w:t>
      </w:r>
      <w:r w:rsidRPr="005D0A6A">
        <w:rPr>
          <w:rFonts w:ascii="Times New Roman" w:hAnsi="Times New Roman" w:cs="Times New Roman"/>
          <w:i/>
          <w:iCs/>
          <w:sz w:val="24"/>
          <w:szCs w:val="24"/>
          <w:vertAlign w:val="subscript"/>
        </w:rPr>
        <w:t>1</w:t>
      </w:r>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w:t>
      </w:r>
      <w:r w:rsidRPr="005D0A6A">
        <w:rPr>
          <w:rFonts w:ascii="Times New Roman" w:hAnsi="Times New Roman" w:cs="Times New Roman"/>
          <w:sz w:val="24"/>
          <w:szCs w:val="24"/>
          <w:vertAlign w:val="subscript"/>
        </w:rPr>
        <w:t>t</w:t>
      </w:r>
      <w:proofErr w:type="spellEnd"/>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sz w:val="24"/>
          <w:szCs w:val="24"/>
        </w:rPr>
        <w:t>…………………………………</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 xml:space="preserve"> (2)</w:t>
      </w:r>
    </w:p>
    <w:p w14:paraId="34CA0236"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sz w:val="24"/>
          <w:szCs w:val="24"/>
        </w:rPr>
        <w:t xml:space="preserve">Where ECTt-1 is the error correction term (ECT) resulting from the long-run cointegration relationship, and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vertAlign w:val="subscript"/>
        </w:rPr>
        <w:t xml:space="preserve"> </w:t>
      </w:r>
      <w:r w:rsidRPr="005D0A6A">
        <w:rPr>
          <w:rFonts w:ascii="Times New Roman" w:hAnsi="Times New Roman" w:cs="Times New Roman"/>
          <w:sz w:val="24"/>
          <w:szCs w:val="24"/>
        </w:rPr>
        <w:t>is the white noise error term, ∆ denotes the first difference of variables that captures their short-run disturbances throughout periods t=1,2, 3, 4, ……. n.</w:t>
      </w:r>
    </w:p>
    <w:p w14:paraId="44C3ABE8" w14:textId="77777777" w:rsidR="00BB7A84" w:rsidRPr="005D0A6A" w:rsidRDefault="00BB7A84" w:rsidP="00BB7A84">
      <w:pPr>
        <w:spacing w:line="360" w:lineRule="auto"/>
        <w:jc w:val="both"/>
        <w:rPr>
          <w:rFonts w:ascii="Times New Roman" w:hAnsi="Times New Roman" w:cs="Times New Roman"/>
          <w:b/>
          <w:bCs/>
          <w:i/>
          <w:iCs/>
          <w:sz w:val="24"/>
          <w:szCs w:val="24"/>
        </w:rPr>
      </w:pPr>
      <w:r w:rsidRPr="005D0A6A">
        <w:rPr>
          <w:rFonts w:ascii="Times New Roman" w:hAnsi="Times New Roman" w:cs="Times New Roman"/>
          <w:b/>
          <w:bCs/>
          <w:i/>
          <w:iCs/>
          <w:sz w:val="24"/>
          <w:szCs w:val="24"/>
        </w:rPr>
        <w:t xml:space="preserve">Long-Run and Short-Run Relationship </w:t>
      </w:r>
    </w:p>
    <w:p w14:paraId="21A6CF68"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pace of adjustment is indicated by the ECT coefficient, which also explains the long-term relationship between the dependent and independent variables. The size of the coefficient of ECT provides information on how much the dependent variables have deviated from the long-term equilibrium, and its significance coefficient implies that the dependent variables are derived from the long-term mechanism in the equilibrium connection. A negative number between 0 and -1, according to the general rule, shows roughly how many periods the equilibrium is regained. The ECT coefficient should also be substantial. Analyzing the significance of the independent variable's coefficients allows us to assess the short-run relationship at the same time.</w:t>
      </w:r>
    </w:p>
    <w:p w14:paraId="176F8061" w14:textId="77777777"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IV. Results and Discussions</w:t>
      </w:r>
    </w:p>
    <w:p w14:paraId="2B9CDA89"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The major goal of the study is to look at the relationship between remittances and economic growth in the Indian economy from 1980 to 2021. If remittances are used effectively, they can significantly increase savings, investment, the creation of human capital, and household consumption, lowering poverty and raising the country's GDP. Remittances' impact on </w:t>
      </w:r>
      <w:r w:rsidRPr="005D0A6A">
        <w:rPr>
          <w:rFonts w:ascii="Times New Roman" w:hAnsi="Times New Roman" w:cs="Times New Roman"/>
          <w:sz w:val="24"/>
          <w:szCs w:val="24"/>
        </w:rPr>
        <w:lastRenderedPageBreak/>
        <w:t>development is mostly influenced by their volume and successful usage by the recipient. Consequently, remittances can get through the saving and foreign exchange restrictions, allowing an economy to grow at a faster rate (Nayyar, 2008).</w:t>
      </w:r>
    </w:p>
    <w:p w14:paraId="3B7896AE" w14:textId="77777777" w:rsidR="00BB7A84" w:rsidRPr="005D0A6A" w:rsidRDefault="00BB7A84" w:rsidP="00BB7A84">
      <w:pPr>
        <w:spacing w:line="360" w:lineRule="auto"/>
        <w:ind w:firstLine="720"/>
        <w:jc w:val="both"/>
        <w:rPr>
          <w:rFonts w:ascii="Times New Roman" w:hAnsi="Times New Roman" w:cs="Times New Roman"/>
          <w:color w:val="000000" w:themeColor="text1"/>
          <w:sz w:val="24"/>
          <w:szCs w:val="24"/>
        </w:rPr>
      </w:pPr>
      <w:r w:rsidRPr="005D0A6A">
        <w:rPr>
          <w:rFonts w:ascii="Times New Roman" w:hAnsi="Times New Roman" w:cs="Times New Roman"/>
          <w:color w:val="000000" w:themeColor="text1"/>
          <w:sz w:val="24"/>
          <w:szCs w:val="24"/>
        </w:rPr>
        <w:t>The co-integration and VECM techniques are applied on selected indicators to determine the relationship between remittances and the expansion of the Indian economy. The result of the Augmented Dicky-Fuller (ADF) unit root test, as shown in Table 1, indicate that all variables- ln GDP, ln GFCF, and ln REM exhibit non-stationarity in their level form, given that the test statistics are insignificant at standard significance levels. Subsequently, upon applying the first difference, the ADF test statistics attain significance, with ln GDP and ln REM achieving stationarity at the 1% level, while ln GFCF achieves it at the 5% level. This signifies the rejection of the null hypothesis of a unit root in the differenced series, so confirming that all three variables are stationary at the first difference. The variables are integrated of order one, I (1), and appropriate for subsequent econometric approach, including cointegration testing.</w:t>
      </w:r>
    </w:p>
    <w:tbl>
      <w:tblPr>
        <w:tblStyle w:val="PlainTable21"/>
        <w:tblpPr w:leftFromText="180" w:rightFromText="180" w:vertAnchor="text" w:horzAnchor="margin" w:tblpXSpec="center" w:tblpY="530"/>
        <w:tblW w:w="4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115"/>
        <w:gridCol w:w="3094"/>
      </w:tblGrid>
      <w:tr w:rsidR="00BB7A84" w:rsidRPr="005D0A6A" w14:paraId="226B1330" w14:textId="77777777" w:rsidTr="0006261D">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833" w:type="pct"/>
          </w:tcPr>
          <w:p w14:paraId="1C39740B"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sz w:val="24"/>
                <w:szCs w:val="24"/>
              </w:rPr>
              <w:t>Variables</w:t>
            </w:r>
          </w:p>
        </w:tc>
        <w:tc>
          <w:tcPr>
            <w:tcW w:w="1286" w:type="pct"/>
          </w:tcPr>
          <w:p w14:paraId="632593E0" w14:textId="77777777" w:rsidR="00BB7A84" w:rsidRPr="005D0A6A" w:rsidRDefault="00BB7A84" w:rsidP="0006261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ADF at Level</w:t>
            </w:r>
          </w:p>
        </w:tc>
        <w:tc>
          <w:tcPr>
            <w:tcW w:w="1881" w:type="pct"/>
          </w:tcPr>
          <w:p w14:paraId="33A6D5F6" w14:textId="77777777" w:rsidR="00BB7A84" w:rsidRPr="005D0A6A" w:rsidRDefault="00BB7A84" w:rsidP="0006261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ADF at 1</w:t>
            </w:r>
            <w:r w:rsidRPr="005D0A6A">
              <w:rPr>
                <w:rFonts w:ascii="Times New Roman" w:hAnsi="Times New Roman" w:cs="Times New Roman"/>
                <w:sz w:val="24"/>
                <w:szCs w:val="24"/>
                <w:vertAlign w:val="superscript"/>
              </w:rPr>
              <w:t>st</w:t>
            </w:r>
            <w:r w:rsidRPr="005D0A6A">
              <w:rPr>
                <w:rFonts w:ascii="Times New Roman" w:hAnsi="Times New Roman" w:cs="Times New Roman"/>
                <w:sz w:val="24"/>
                <w:szCs w:val="24"/>
              </w:rPr>
              <w:t xml:space="preserve"> difference</w:t>
            </w:r>
          </w:p>
        </w:tc>
      </w:tr>
      <w:tr w:rsidR="00BB7A84" w:rsidRPr="005D0A6A" w14:paraId="2D8812BF" w14:textId="77777777" w:rsidTr="0006261D">
        <w:trPr>
          <w:trHeight w:val="188"/>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7F7F7F" w:themeColor="text1" w:themeTint="80"/>
              <w:bottom w:val="single" w:sz="4" w:space="0" w:color="7F7F7F" w:themeColor="text1" w:themeTint="80"/>
            </w:tcBorders>
          </w:tcPr>
          <w:p w14:paraId="00CBE398"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GDP</w:t>
            </w:r>
          </w:p>
        </w:tc>
        <w:tc>
          <w:tcPr>
            <w:tcW w:w="1286" w:type="pct"/>
            <w:tcBorders>
              <w:top w:val="single" w:sz="4" w:space="0" w:color="7F7F7F" w:themeColor="text1" w:themeTint="80"/>
              <w:bottom w:val="single" w:sz="4" w:space="0" w:color="7F7F7F" w:themeColor="text1" w:themeTint="80"/>
            </w:tcBorders>
          </w:tcPr>
          <w:p w14:paraId="28E6F8D0"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0.959418</w:t>
            </w:r>
          </w:p>
        </w:tc>
        <w:tc>
          <w:tcPr>
            <w:tcW w:w="1881" w:type="pct"/>
            <w:tcBorders>
              <w:top w:val="single" w:sz="4" w:space="0" w:color="7F7F7F" w:themeColor="text1" w:themeTint="80"/>
              <w:bottom w:val="single" w:sz="4" w:space="0" w:color="7F7F7F" w:themeColor="text1" w:themeTint="80"/>
            </w:tcBorders>
          </w:tcPr>
          <w:p w14:paraId="3FE41F0D"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-5.952947*</w:t>
            </w:r>
          </w:p>
        </w:tc>
      </w:tr>
      <w:tr w:rsidR="00BB7A84" w:rsidRPr="005D0A6A" w14:paraId="1CB98C58" w14:textId="77777777" w:rsidTr="0006261D">
        <w:trPr>
          <w:trHeight w:val="181"/>
        </w:trPr>
        <w:tc>
          <w:tcPr>
            <w:cnfStyle w:val="001000000000" w:firstRow="0" w:lastRow="0" w:firstColumn="1" w:lastColumn="0" w:oddVBand="0" w:evenVBand="0" w:oddHBand="0" w:evenHBand="0" w:firstRowFirstColumn="0" w:firstRowLastColumn="0" w:lastRowFirstColumn="0" w:lastRowLastColumn="0"/>
            <w:tcW w:w="1833" w:type="pct"/>
          </w:tcPr>
          <w:p w14:paraId="58440373"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GFCF</w:t>
            </w:r>
          </w:p>
        </w:tc>
        <w:tc>
          <w:tcPr>
            <w:tcW w:w="1286" w:type="pct"/>
          </w:tcPr>
          <w:p w14:paraId="4445395B"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4.584147</w:t>
            </w:r>
          </w:p>
        </w:tc>
        <w:tc>
          <w:tcPr>
            <w:tcW w:w="1881" w:type="pct"/>
          </w:tcPr>
          <w:p w14:paraId="2EB62516"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-2.290769**</w:t>
            </w:r>
          </w:p>
        </w:tc>
      </w:tr>
      <w:tr w:rsidR="00BB7A84" w:rsidRPr="005D0A6A" w14:paraId="5CB25DEE" w14:textId="77777777" w:rsidTr="0006261D">
        <w:trPr>
          <w:trHeight w:val="188"/>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7F7F7F" w:themeColor="text1" w:themeTint="80"/>
              <w:bottom w:val="single" w:sz="4" w:space="0" w:color="7F7F7F" w:themeColor="text1" w:themeTint="80"/>
            </w:tcBorders>
          </w:tcPr>
          <w:p w14:paraId="1549CD29"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REM</w:t>
            </w:r>
          </w:p>
        </w:tc>
        <w:tc>
          <w:tcPr>
            <w:tcW w:w="1286" w:type="pct"/>
            <w:tcBorders>
              <w:top w:val="single" w:sz="4" w:space="0" w:color="7F7F7F" w:themeColor="text1" w:themeTint="80"/>
              <w:bottom w:val="single" w:sz="4" w:space="0" w:color="7F7F7F" w:themeColor="text1" w:themeTint="80"/>
            </w:tcBorders>
          </w:tcPr>
          <w:p w14:paraId="4B50526B"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3.517464</w:t>
            </w:r>
          </w:p>
        </w:tc>
        <w:tc>
          <w:tcPr>
            <w:tcW w:w="1881" w:type="pct"/>
            <w:tcBorders>
              <w:top w:val="single" w:sz="4" w:space="0" w:color="7F7F7F" w:themeColor="text1" w:themeTint="80"/>
              <w:bottom w:val="single" w:sz="4" w:space="0" w:color="7F7F7F" w:themeColor="text1" w:themeTint="80"/>
            </w:tcBorders>
          </w:tcPr>
          <w:p w14:paraId="6376B95F"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-7.050117*</w:t>
            </w:r>
          </w:p>
        </w:tc>
      </w:tr>
    </w:tbl>
    <w:p w14:paraId="41CA6D4B" w14:textId="77777777" w:rsidR="00BB7A84" w:rsidRPr="005D0A6A" w:rsidRDefault="00BB7A84" w:rsidP="00BB7A84">
      <w:pPr>
        <w:spacing w:line="360" w:lineRule="auto"/>
        <w:jc w:val="both"/>
        <w:rPr>
          <w:rFonts w:ascii="Times New Roman" w:hAnsi="Times New Roman" w:cs="Times New Roman"/>
          <w:b/>
          <w:bCs/>
          <w:iCs/>
          <w:sz w:val="24"/>
          <w:szCs w:val="24"/>
        </w:rPr>
      </w:pPr>
      <w:r w:rsidRPr="005D0A6A">
        <w:rPr>
          <w:rFonts w:ascii="Times New Roman" w:hAnsi="Times New Roman" w:cs="Times New Roman"/>
          <w:b/>
          <w:bCs/>
          <w:iCs/>
          <w:sz w:val="24"/>
          <w:szCs w:val="24"/>
        </w:rPr>
        <w:t xml:space="preserve">         Table</w:t>
      </w:r>
      <w:r>
        <w:rPr>
          <w:rFonts w:ascii="Times New Roman" w:hAnsi="Times New Roman" w:cs="Times New Roman"/>
          <w:b/>
          <w:bCs/>
          <w:iCs/>
          <w:sz w:val="24"/>
          <w:szCs w:val="24"/>
        </w:rPr>
        <w:t xml:space="preserve"> </w:t>
      </w:r>
      <w:r w:rsidRPr="005D0A6A">
        <w:rPr>
          <w:rFonts w:ascii="Times New Roman" w:hAnsi="Times New Roman" w:cs="Times New Roman"/>
          <w:b/>
          <w:bCs/>
          <w:iCs/>
          <w:sz w:val="24"/>
          <w:szCs w:val="24"/>
        </w:rPr>
        <w:t>1: Unit Root Test (Augmented Dicky-Fuller)</w:t>
      </w:r>
    </w:p>
    <w:p w14:paraId="0DCFBD6D" w14:textId="77777777" w:rsidR="00BB7A84" w:rsidRPr="005D0A6A" w:rsidRDefault="00BB7A84" w:rsidP="00BB7A84">
      <w:pPr>
        <w:spacing w:line="360" w:lineRule="auto"/>
        <w:jc w:val="both"/>
        <w:rPr>
          <w:rFonts w:ascii="Times New Roman" w:hAnsi="Times New Roman" w:cs="Times New Roman"/>
          <w:i/>
          <w:sz w:val="24"/>
          <w:szCs w:val="24"/>
        </w:rPr>
      </w:pPr>
    </w:p>
    <w:p w14:paraId="75A2B6A4" w14:textId="77777777" w:rsidR="00BB7A84" w:rsidRPr="005D0A6A" w:rsidRDefault="00BB7A84" w:rsidP="00BB7A84">
      <w:pPr>
        <w:spacing w:line="360" w:lineRule="auto"/>
        <w:jc w:val="both"/>
        <w:rPr>
          <w:rFonts w:ascii="Times New Roman" w:hAnsi="Times New Roman" w:cs="Times New Roman"/>
          <w:i/>
          <w:sz w:val="24"/>
          <w:szCs w:val="24"/>
        </w:rPr>
      </w:pPr>
    </w:p>
    <w:p w14:paraId="7E45ACAF"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                      </w:t>
      </w:r>
    </w:p>
    <w:p w14:paraId="51FEA032"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                       </w:t>
      </w:r>
    </w:p>
    <w:p w14:paraId="30548A49"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i/>
          <w:sz w:val="24"/>
          <w:szCs w:val="24"/>
        </w:rPr>
        <w:t>Note: *and ** represent that the value is significant at the 1% and 5% level of significance</w:t>
      </w:r>
    </w:p>
    <w:p w14:paraId="3649F07B"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We proceed to test for the co integration relationships by using the Johansen test for co integration after determining that all variables are non-stationary and integrated of order one. Co-integrated variables ensure that we remove erroneous relationships and, as a result, share similar stochastic trends. Additionally, the fact that they exist allows us to formulate an Error Correction Model (ECM) once the long-term relationship between the variables is established. </w:t>
      </w:r>
    </w:p>
    <w:p w14:paraId="4D9B6FFB"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We first calculate the unrestricted VAR and establish the lag length selection criteria. The ideal lag length is 1, which was chosen. So, using the ideal lag length 1, we apply the Johansen co-integration test.</w:t>
      </w:r>
    </w:p>
    <w:p w14:paraId="5F23CD18"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
          <w:bCs/>
          <w:sz w:val="24"/>
          <w:szCs w:val="24"/>
        </w:rPr>
        <w:lastRenderedPageBreak/>
        <w:t>Table 2 Lag length selection criteria through VAR</w:t>
      </w:r>
    </w:p>
    <w:tbl>
      <w:tblPr>
        <w:tblStyle w:val="PlainTable21"/>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334"/>
        <w:gridCol w:w="1334"/>
        <w:gridCol w:w="1334"/>
        <w:gridCol w:w="1334"/>
        <w:gridCol w:w="1334"/>
        <w:gridCol w:w="1334"/>
      </w:tblGrid>
      <w:tr w:rsidR="00BB7A84" w:rsidRPr="005D0A6A" w14:paraId="6DB25D5E" w14:textId="77777777" w:rsidTr="0006261D">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bottom w:val="nil"/>
            </w:tcBorders>
          </w:tcPr>
          <w:p w14:paraId="7B7FF48C"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Lag</w:t>
            </w:r>
          </w:p>
        </w:tc>
        <w:tc>
          <w:tcPr>
            <w:tcW w:w="1334" w:type="dxa"/>
            <w:tcBorders>
              <w:bottom w:val="nil"/>
            </w:tcBorders>
          </w:tcPr>
          <w:p w14:paraId="76D58F19"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Log L</w:t>
            </w:r>
          </w:p>
        </w:tc>
        <w:tc>
          <w:tcPr>
            <w:tcW w:w="1334" w:type="dxa"/>
            <w:tcBorders>
              <w:bottom w:val="nil"/>
            </w:tcBorders>
          </w:tcPr>
          <w:p w14:paraId="79DFB62D"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LR</w:t>
            </w:r>
          </w:p>
        </w:tc>
        <w:tc>
          <w:tcPr>
            <w:tcW w:w="1334" w:type="dxa"/>
            <w:tcBorders>
              <w:bottom w:val="nil"/>
            </w:tcBorders>
          </w:tcPr>
          <w:p w14:paraId="165CE58B"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FPE</w:t>
            </w:r>
          </w:p>
        </w:tc>
        <w:tc>
          <w:tcPr>
            <w:tcW w:w="1334" w:type="dxa"/>
            <w:tcBorders>
              <w:bottom w:val="nil"/>
            </w:tcBorders>
          </w:tcPr>
          <w:p w14:paraId="04DECF7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AIC</w:t>
            </w:r>
          </w:p>
        </w:tc>
        <w:tc>
          <w:tcPr>
            <w:tcW w:w="1334" w:type="dxa"/>
            <w:tcBorders>
              <w:bottom w:val="nil"/>
            </w:tcBorders>
          </w:tcPr>
          <w:p w14:paraId="72C9535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SC</w:t>
            </w:r>
          </w:p>
        </w:tc>
        <w:tc>
          <w:tcPr>
            <w:tcW w:w="1334" w:type="dxa"/>
            <w:tcBorders>
              <w:bottom w:val="nil"/>
            </w:tcBorders>
          </w:tcPr>
          <w:p w14:paraId="308EB49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HQ</w:t>
            </w:r>
          </w:p>
        </w:tc>
      </w:tr>
      <w:tr w:rsidR="00BB7A84" w:rsidRPr="005D0A6A" w14:paraId="5761EE4C" w14:textId="77777777" w:rsidTr="0006261D">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6EB4C38D"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0</w:t>
            </w:r>
          </w:p>
        </w:tc>
        <w:tc>
          <w:tcPr>
            <w:tcW w:w="1334" w:type="dxa"/>
            <w:tcBorders>
              <w:top w:val="nil"/>
              <w:bottom w:val="nil"/>
            </w:tcBorders>
          </w:tcPr>
          <w:p w14:paraId="27BEE15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-25.49606</w:t>
            </w:r>
          </w:p>
        </w:tc>
        <w:tc>
          <w:tcPr>
            <w:tcW w:w="1334" w:type="dxa"/>
            <w:tcBorders>
              <w:top w:val="nil"/>
              <w:bottom w:val="nil"/>
            </w:tcBorders>
          </w:tcPr>
          <w:p w14:paraId="60D7E72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NA</w:t>
            </w:r>
          </w:p>
        </w:tc>
        <w:tc>
          <w:tcPr>
            <w:tcW w:w="1334" w:type="dxa"/>
            <w:tcBorders>
              <w:top w:val="nil"/>
              <w:bottom w:val="nil"/>
            </w:tcBorders>
          </w:tcPr>
          <w:p w14:paraId="55CC8D0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0.000865</w:t>
            </w:r>
          </w:p>
        </w:tc>
        <w:tc>
          <w:tcPr>
            <w:tcW w:w="1334" w:type="dxa"/>
            <w:tcBorders>
              <w:top w:val="nil"/>
              <w:bottom w:val="nil"/>
            </w:tcBorders>
          </w:tcPr>
          <w:p w14:paraId="234A292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1.461336</w:t>
            </w:r>
          </w:p>
        </w:tc>
        <w:tc>
          <w:tcPr>
            <w:tcW w:w="1334" w:type="dxa"/>
            <w:tcBorders>
              <w:top w:val="nil"/>
              <w:bottom w:val="nil"/>
            </w:tcBorders>
          </w:tcPr>
          <w:p w14:paraId="6F1A2D3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1.589303</w:t>
            </w:r>
          </w:p>
        </w:tc>
        <w:tc>
          <w:tcPr>
            <w:tcW w:w="1334" w:type="dxa"/>
            <w:tcBorders>
              <w:top w:val="nil"/>
              <w:bottom w:val="nil"/>
            </w:tcBorders>
          </w:tcPr>
          <w:p w14:paraId="5A46561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1.507250</w:t>
            </w:r>
          </w:p>
        </w:tc>
      </w:tr>
      <w:tr w:rsidR="00BB7A84" w:rsidRPr="005D0A6A" w14:paraId="6D2E1FC4" w14:textId="77777777" w:rsidTr="0006261D">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62FFC50E"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1</w:t>
            </w:r>
          </w:p>
        </w:tc>
        <w:tc>
          <w:tcPr>
            <w:tcW w:w="1334" w:type="dxa"/>
          </w:tcPr>
          <w:p w14:paraId="0937961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139.4411</w:t>
            </w:r>
          </w:p>
        </w:tc>
        <w:tc>
          <w:tcPr>
            <w:tcW w:w="1334" w:type="dxa"/>
          </w:tcPr>
          <w:p w14:paraId="34848D7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296.0411*</w:t>
            </w:r>
          </w:p>
        </w:tc>
        <w:tc>
          <w:tcPr>
            <w:tcW w:w="1334" w:type="dxa"/>
          </w:tcPr>
          <w:p w14:paraId="5C34347F"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2.92e-07*</w:t>
            </w:r>
          </w:p>
        </w:tc>
        <w:tc>
          <w:tcPr>
            <w:tcW w:w="1334" w:type="dxa"/>
          </w:tcPr>
          <w:p w14:paraId="59CEC84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-6.535442*</w:t>
            </w:r>
          </w:p>
        </w:tc>
        <w:tc>
          <w:tcPr>
            <w:tcW w:w="1334" w:type="dxa"/>
          </w:tcPr>
          <w:p w14:paraId="6CE6F57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-6.023577*</w:t>
            </w:r>
          </w:p>
        </w:tc>
        <w:tc>
          <w:tcPr>
            <w:tcW w:w="1334" w:type="dxa"/>
          </w:tcPr>
          <w:p w14:paraId="736462C5"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-6.351790*</w:t>
            </w:r>
          </w:p>
        </w:tc>
      </w:tr>
      <w:tr w:rsidR="00BB7A84" w:rsidRPr="005D0A6A" w14:paraId="2F7F4445" w14:textId="77777777" w:rsidTr="0006261D">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1D859A51"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2</w:t>
            </w:r>
          </w:p>
        </w:tc>
        <w:tc>
          <w:tcPr>
            <w:tcW w:w="1334" w:type="dxa"/>
            <w:tcBorders>
              <w:top w:val="nil"/>
              <w:bottom w:val="nil"/>
            </w:tcBorders>
          </w:tcPr>
          <w:p w14:paraId="297DCF7F"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143.8993</w:t>
            </w:r>
          </w:p>
        </w:tc>
        <w:tc>
          <w:tcPr>
            <w:tcW w:w="1334" w:type="dxa"/>
            <w:tcBorders>
              <w:top w:val="nil"/>
              <w:bottom w:val="nil"/>
            </w:tcBorders>
          </w:tcPr>
          <w:p w14:paraId="5A8E0C35"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7.316030</w:t>
            </w:r>
          </w:p>
        </w:tc>
        <w:tc>
          <w:tcPr>
            <w:tcW w:w="1334" w:type="dxa"/>
            <w:tcBorders>
              <w:top w:val="nil"/>
              <w:bottom w:val="nil"/>
            </w:tcBorders>
          </w:tcPr>
          <w:p w14:paraId="16773BA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3.72e-07</w:t>
            </w:r>
          </w:p>
        </w:tc>
        <w:tc>
          <w:tcPr>
            <w:tcW w:w="1334" w:type="dxa"/>
            <w:tcBorders>
              <w:top w:val="nil"/>
              <w:bottom w:val="nil"/>
            </w:tcBorders>
          </w:tcPr>
          <w:p w14:paraId="773731F4"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-6.302530</w:t>
            </w:r>
          </w:p>
        </w:tc>
        <w:tc>
          <w:tcPr>
            <w:tcW w:w="1334" w:type="dxa"/>
            <w:tcBorders>
              <w:top w:val="nil"/>
              <w:bottom w:val="nil"/>
            </w:tcBorders>
          </w:tcPr>
          <w:p w14:paraId="1B844CC3"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-5.406766</w:t>
            </w:r>
          </w:p>
        </w:tc>
        <w:tc>
          <w:tcPr>
            <w:tcW w:w="1334" w:type="dxa"/>
            <w:tcBorders>
              <w:top w:val="nil"/>
              <w:bottom w:val="nil"/>
            </w:tcBorders>
          </w:tcPr>
          <w:p w14:paraId="3D8196B4"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-5.981138</w:t>
            </w:r>
          </w:p>
        </w:tc>
      </w:tr>
      <w:tr w:rsidR="00BB7A84" w:rsidRPr="005D0A6A" w14:paraId="13A8C166" w14:textId="77777777" w:rsidTr="0006261D">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406ACC7B"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3</w:t>
            </w:r>
          </w:p>
        </w:tc>
        <w:tc>
          <w:tcPr>
            <w:tcW w:w="1334" w:type="dxa"/>
          </w:tcPr>
          <w:p w14:paraId="5C33541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150.8850</w:t>
            </w:r>
          </w:p>
        </w:tc>
        <w:tc>
          <w:tcPr>
            <w:tcW w:w="1334" w:type="dxa"/>
          </w:tcPr>
          <w:p w14:paraId="382EB6A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10.38897</w:t>
            </w:r>
          </w:p>
        </w:tc>
        <w:tc>
          <w:tcPr>
            <w:tcW w:w="1334" w:type="dxa"/>
          </w:tcPr>
          <w:p w14:paraId="7322D207"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4.22e-07</w:t>
            </w:r>
          </w:p>
        </w:tc>
        <w:tc>
          <w:tcPr>
            <w:tcW w:w="1334" w:type="dxa"/>
          </w:tcPr>
          <w:p w14:paraId="19E045D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-6.199232</w:t>
            </w:r>
          </w:p>
        </w:tc>
        <w:tc>
          <w:tcPr>
            <w:tcW w:w="1334" w:type="dxa"/>
          </w:tcPr>
          <w:p w14:paraId="4BE30C5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-4.919569</w:t>
            </w:r>
          </w:p>
        </w:tc>
        <w:tc>
          <w:tcPr>
            <w:tcW w:w="1334" w:type="dxa"/>
          </w:tcPr>
          <w:p w14:paraId="605E106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-5.740100</w:t>
            </w:r>
          </w:p>
        </w:tc>
      </w:tr>
    </w:tbl>
    <w:p w14:paraId="4C102871" w14:textId="77777777" w:rsidR="00BB7A84" w:rsidRPr="005D0A6A" w:rsidRDefault="00BB7A84" w:rsidP="00BB7A84">
      <w:pPr>
        <w:pStyle w:val="ListParagraph"/>
        <w:spacing w:line="360" w:lineRule="auto"/>
        <w:ind w:left="540"/>
        <w:jc w:val="both"/>
        <w:rPr>
          <w:rFonts w:ascii="Times New Roman" w:hAnsi="Times New Roman" w:cs="Times New Roman"/>
          <w:i/>
          <w:sz w:val="24"/>
          <w:szCs w:val="24"/>
        </w:rPr>
      </w:pPr>
      <w:r w:rsidRPr="005D0A6A">
        <w:rPr>
          <w:rFonts w:ascii="Times New Roman" w:hAnsi="Times New Roman" w:cs="Times New Roman"/>
          <w:i/>
          <w:sz w:val="24"/>
          <w:szCs w:val="24"/>
        </w:rPr>
        <w:t>Note: *Indicates lag order selected by the criterion.</w:t>
      </w:r>
    </w:p>
    <w:p w14:paraId="22EC4E58" w14:textId="77777777" w:rsidR="00BB7A84" w:rsidRPr="005D0A6A" w:rsidRDefault="00BB7A84" w:rsidP="00BB7A84">
      <w:pPr>
        <w:spacing w:line="360" w:lineRule="auto"/>
        <w:ind w:firstLine="540"/>
        <w:jc w:val="both"/>
        <w:rPr>
          <w:rFonts w:ascii="Times New Roman" w:hAnsi="Times New Roman" w:cs="Times New Roman"/>
          <w:iCs/>
          <w:sz w:val="24"/>
          <w:szCs w:val="24"/>
        </w:rPr>
      </w:pPr>
      <w:r w:rsidRPr="005D0A6A">
        <w:rPr>
          <w:rFonts w:ascii="Times New Roman" w:hAnsi="Times New Roman" w:cs="Times New Roman"/>
          <w:iCs/>
          <w:sz w:val="24"/>
          <w:szCs w:val="24"/>
        </w:rPr>
        <w:t>The Table 2, lag length selection criteria clearly demonstrate that a lag order of one is optimal for the model. At lag 1, the Log Likelihood significantly improves relative to lag 0, and the Likelihood ration (296.04) is statistically significant, indicating that the addition of one lag increases the model’s explanatory power. Moreover, the Final Prediction Error (FPE), Akaike Information Criterion (AIC), Schwarz Criterion (SC), and Hannan-Quinn (HQ) attain their minimum values at lag 1, indicating better forecasting precision and model adequacy. Despite the slight increase in Log Likelihood at higher lags, the associated FPE, AIC, SC and HQ values also increase, indicating a decline in efficiency attributable to over-parameterization. Consequently, based on statistical evidence and logical assessment of model consistency, lag 1 is selected as the ideal lag for VECM estimation.</w:t>
      </w:r>
    </w:p>
    <w:p w14:paraId="5E8650E5" w14:textId="77777777" w:rsidR="00BB7A84" w:rsidRPr="005D0A6A" w:rsidRDefault="00BB7A84" w:rsidP="00BB7A84">
      <w:pPr>
        <w:spacing w:line="360" w:lineRule="auto"/>
        <w:jc w:val="both"/>
        <w:rPr>
          <w:rFonts w:ascii="Times New Roman" w:hAnsi="Times New Roman" w:cs="Times New Roman"/>
          <w:b/>
          <w:bCs/>
          <w:sz w:val="24"/>
          <w:szCs w:val="24"/>
        </w:rPr>
      </w:pPr>
      <w:r w:rsidRPr="005D0A6A">
        <w:rPr>
          <w:rFonts w:ascii="Times New Roman" w:hAnsi="Times New Roman" w:cs="Times New Roman"/>
          <w:b/>
          <w:sz w:val="24"/>
          <w:szCs w:val="24"/>
        </w:rPr>
        <w:t xml:space="preserve">Table 3: </w:t>
      </w:r>
      <w:r w:rsidRPr="005D0A6A">
        <w:rPr>
          <w:rFonts w:ascii="Times New Roman" w:hAnsi="Times New Roman" w:cs="Times New Roman"/>
          <w:b/>
          <w:bCs/>
          <w:sz w:val="24"/>
          <w:szCs w:val="24"/>
        </w:rPr>
        <w:t>Results of the Co-integration test</w:t>
      </w:r>
    </w:p>
    <w:tbl>
      <w:tblPr>
        <w:tblStyle w:val="PlainTable21"/>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18"/>
        <w:gridCol w:w="1617"/>
        <w:gridCol w:w="1617"/>
        <w:gridCol w:w="1617"/>
        <w:gridCol w:w="1617"/>
      </w:tblGrid>
      <w:tr w:rsidR="00BB7A84" w:rsidRPr="005D0A6A" w14:paraId="47DA5EA2" w14:textId="77777777" w:rsidTr="0006261D">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bottom w:val="single" w:sz="4" w:space="0" w:color="auto"/>
            </w:tcBorders>
          </w:tcPr>
          <w:p w14:paraId="61DA539B"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Hypothesized</w:t>
            </w:r>
          </w:p>
        </w:tc>
        <w:tc>
          <w:tcPr>
            <w:tcW w:w="1618" w:type="dxa"/>
            <w:tcBorders>
              <w:bottom w:val="single" w:sz="4" w:space="0" w:color="auto"/>
            </w:tcBorders>
          </w:tcPr>
          <w:p w14:paraId="0FC6492A"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Eigen value</w:t>
            </w:r>
          </w:p>
        </w:tc>
        <w:tc>
          <w:tcPr>
            <w:tcW w:w="1617" w:type="dxa"/>
            <w:tcBorders>
              <w:bottom w:val="single" w:sz="4" w:space="0" w:color="auto"/>
            </w:tcBorders>
          </w:tcPr>
          <w:p w14:paraId="44F17A4B"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 xml:space="preserve">Trace statistics </w:t>
            </w:r>
          </w:p>
        </w:tc>
        <w:tc>
          <w:tcPr>
            <w:tcW w:w="1617" w:type="dxa"/>
            <w:tcBorders>
              <w:bottom w:val="single" w:sz="4" w:space="0" w:color="auto"/>
            </w:tcBorders>
          </w:tcPr>
          <w:p w14:paraId="7EED6543"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Critical value</w:t>
            </w:r>
          </w:p>
        </w:tc>
        <w:tc>
          <w:tcPr>
            <w:tcW w:w="1617" w:type="dxa"/>
            <w:tcBorders>
              <w:bottom w:val="single" w:sz="4" w:space="0" w:color="auto"/>
            </w:tcBorders>
          </w:tcPr>
          <w:p w14:paraId="7452A942"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Max-eigen value</w:t>
            </w:r>
          </w:p>
        </w:tc>
        <w:tc>
          <w:tcPr>
            <w:tcW w:w="1617" w:type="dxa"/>
            <w:tcBorders>
              <w:bottom w:val="single" w:sz="4" w:space="0" w:color="auto"/>
            </w:tcBorders>
          </w:tcPr>
          <w:p w14:paraId="223434CD"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Critical value</w:t>
            </w:r>
          </w:p>
        </w:tc>
      </w:tr>
      <w:tr w:rsidR="00BB7A84" w:rsidRPr="005D0A6A" w14:paraId="5EC793BB" w14:textId="77777777" w:rsidTr="0006261D">
        <w:trPr>
          <w:trHeight w:val="535"/>
          <w:jc w:val="center"/>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bottom w:val="nil"/>
            </w:tcBorders>
          </w:tcPr>
          <w:p w14:paraId="1F6D559B"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None *</w:t>
            </w:r>
          </w:p>
        </w:tc>
        <w:tc>
          <w:tcPr>
            <w:tcW w:w="1618" w:type="dxa"/>
            <w:tcBorders>
              <w:top w:val="single" w:sz="4" w:space="0" w:color="auto"/>
              <w:bottom w:val="nil"/>
            </w:tcBorders>
          </w:tcPr>
          <w:p w14:paraId="4079CC3D"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0.440782</w:t>
            </w:r>
          </w:p>
        </w:tc>
        <w:tc>
          <w:tcPr>
            <w:tcW w:w="1617" w:type="dxa"/>
            <w:tcBorders>
              <w:top w:val="single" w:sz="4" w:space="0" w:color="auto"/>
              <w:bottom w:val="nil"/>
            </w:tcBorders>
          </w:tcPr>
          <w:p w14:paraId="1B9D0B17"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45.96291</w:t>
            </w:r>
          </w:p>
          <w:p w14:paraId="72BF3D68"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(0.0024) *</w:t>
            </w:r>
          </w:p>
        </w:tc>
        <w:tc>
          <w:tcPr>
            <w:tcW w:w="1617" w:type="dxa"/>
            <w:tcBorders>
              <w:top w:val="single" w:sz="4" w:space="0" w:color="auto"/>
              <w:bottom w:val="nil"/>
            </w:tcBorders>
          </w:tcPr>
          <w:p w14:paraId="2DA3A6A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35.19275</w:t>
            </w:r>
          </w:p>
        </w:tc>
        <w:tc>
          <w:tcPr>
            <w:tcW w:w="1617" w:type="dxa"/>
            <w:tcBorders>
              <w:top w:val="single" w:sz="4" w:space="0" w:color="auto"/>
              <w:bottom w:val="nil"/>
            </w:tcBorders>
          </w:tcPr>
          <w:p w14:paraId="7A3C6565"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23.24864</w:t>
            </w:r>
          </w:p>
          <w:p w14:paraId="7A0ADE0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(0.0368) *</w:t>
            </w:r>
          </w:p>
        </w:tc>
        <w:tc>
          <w:tcPr>
            <w:tcW w:w="1617" w:type="dxa"/>
            <w:tcBorders>
              <w:top w:val="single" w:sz="4" w:space="0" w:color="auto"/>
              <w:bottom w:val="nil"/>
            </w:tcBorders>
          </w:tcPr>
          <w:p w14:paraId="0DF3D88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22.29962</w:t>
            </w:r>
          </w:p>
        </w:tc>
      </w:tr>
      <w:tr w:rsidR="00BB7A84" w:rsidRPr="005D0A6A" w14:paraId="4873E32C" w14:textId="77777777" w:rsidTr="0006261D">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Pr>
          <w:p w14:paraId="297B461A"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At most 1 *</w:t>
            </w:r>
          </w:p>
        </w:tc>
        <w:tc>
          <w:tcPr>
            <w:tcW w:w="1618" w:type="dxa"/>
          </w:tcPr>
          <w:p w14:paraId="793D0CC3"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0.328412</w:t>
            </w:r>
          </w:p>
        </w:tc>
        <w:tc>
          <w:tcPr>
            <w:tcW w:w="1617" w:type="dxa"/>
          </w:tcPr>
          <w:p w14:paraId="361F935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22.71427</w:t>
            </w:r>
          </w:p>
          <w:p w14:paraId="74637BA4"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(0.0225) *</w:t>
            </w:r>
          </w:p>
        </w:tc>
        <w:tc>
          <w:tcPr>
            <w:tcW w:w="1617" w:type="dxa"/>
          </w:tcPr>
          <w:p w14:paraId="278B2E07"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20.26184</w:t>
            </w:r>
          </w:p>
        </w:tc>
        <w:tc>
          <w:tcPr>
            <w:tcW w:w="1617" w:type="dxa"/>
          </w:tcPr>
          <w:p w14:paraId="2171884E"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15.92442</w:t>
            </w:r>
          </w:p>
          <w:p w14:paraId="1B86CFE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(0.0494) *</w:t>
            </w:r>
          </w:p>
        </w:tc>
        <w:tc>
          <w:tcPr>
            <w:tcW w:w="1617" w:type="dxa"/>
          </w:tcPr>
          <w:p w14:paraId="1DE3D520"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15.89210</w:t>
            </w:r>
          </w:p>
        </w:tc>
      </w:tr>
      <w:tr w:rsidR="00BB7A84" w:rsidRPr="005D0A6A" w14:paraId="1BE04111" w14:textId="77777777" w:rsidTr="0006261D">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top w:val="nil"/>
              <w:bottom w:val="single" w:sz="4" w:space="0" w:color="auto"/>
            </w:tcBorders>
          </w:tcPr>
          <w:p w14:paraId="20DEF1D1"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At most 2</w:t>
            </w:r>
          </w:p>
        </w:tc>
        <w:tc>
          <w:tcPr>
            <w:tcW w:w="1618" w:type="dxa"/>
            <w:tcBorders>
              <w:top w:val="nil"/>
              <w:bottom w:val="single" w:sz="4" w:space="0" w:color="auto"/>
            </w:tcBorders>
          </w:tcPr>
          <w:p w14:paraId="23EFA8C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0.156121</w:t>
            </w:r>
          </w:p>
        </w:tc>
        <w:tc>
          <w:tcPr>
            <w:tcW w:w="1617" w:type="dxa"/>
            <w:tcBorders>
              <w:top w:val="nil"/>
              <w:bottom w:val="single" w:sz="4" w:space="0" w:color="auto"/>
            </w:tcBorders>
          </w:tcPr>
          <w:p w14:paraId="3C2BC46C"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6.789849</w:t>
            </w:r>
          </w:p>
          <w:p w14:paraId="761B380D"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(0.1379)</w:t>
            </w:r>
          </w:p>
        </w:tc>
        <w:tc>
          <w:tcPr>
            <w:tcW w:w="1617" w:type="dxa"/>
            <w:tcBorders>
              <w:top w:val="nil"/>
              <w:bottom w:val="single" w:sz="4" w:space="0" w:color="auto"/>
            </w:tcBorders>
          </w:tcPr>
          <w:p w14:paraId="0D423C3E"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9.164546</w:t>
            </w:r>
          </w:p>
        </w:tc>
        <w:tc>
          <w:tcPr>
            <w:tcW w:w="1617" w:type="dxa"/>
            <w:tcBorders>
              <w:top w:val="nil"/>
              <w:bottom w:val="single" w:sz="4" w:space="0" w:color="auto"/>
            </w:tcBorders>
          </w:tcPr>
          <w:p w14:paraId="410DD13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6.789849</w:t>
            </w:r>
          </w:p>
          <w:p w14:paraId="4A1F274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(0.1379)</w:t>
            </w:r>
          </w:p>
        </w:tc>
        <w:tc>
          <w:tcPr>
            <w:tcW w:w="1617" w:type="dxa"/>
            <w:tcBorders>
              <w:top w:val="nil"/>
              <w:bottom w:val="single" w:sz="4" w:space="0" w:color="auto"/>
            </w:tcBorders>
          </w:tcPr>
          <w:p w14:paraId="2831DC6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9.164546</w:t>
            </w:r>
          </w:p>
        </w:tc>
      </w:tr>
    </w:tbl>
    <w:p w14:paraId="052CFC20"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Note: Figures in the parentheses </w:t>
      </w:r>
      <w:proofErr w:type="gramStart"/>
      <w:r w:rsidRPr="005D0A6A">
        <w:rPr>
          <w:rFonts w:ascii="Times New Roman" w:hAnsi="Times New Roman" w:cs="Times New Roman"/>
          <w:i/>
          <w:sz w:val="24"/>
          <w:szCs w:val="24"/>
        </w:rPr>
        <w:t>( )</w:t>
      </w:r>
      <w:proofErr w:type="gramEnd"/>
      <w:r w:rsidRPr="005D0A6A">
        <w:rPr>
          <w:rFonts w:ascii="Times New Roman" w:hAnsi="Times New Roman" w:cs="Times New Roman"/>
          <w:i/>
          <w:sz w:val="24"/>
          <w:szCs w:val="24"/>
        </w:rPr>
        <w:t xml:space="preserve"> indicate the p-value, * represents 5% level of significance.</w:t>
      </w:r>
    </w:p>
    <w:p w14:paraId="29D10E06" w14:textId="77777777" w:rsidR="00BB7A84" w:rsidRPr="005D0A6A" w:rsidRDefault="00BB7A84" w:rsidP="00BB7A84">
      <w:pPr>
        <w:spacing w:after="0"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lastRenderedPageBreak/>
        <w:t xml:space="preserve">The results of the Johansen co-integration test presented in table 3 indicate a long-term relationship among the variables. Bothe trace statistics </w:t>
      </w:r>
      <w:r w:rsidRPr="005D0A6A">
        <w:rPr>
          <w:rFonts w:ascii="Times New Roman" w:hAnsi="Times New Roman" w:cs="Times New Roman"/>
          <w:iCs/>
          <w:sz w:val="24"/>
          <w:szCs w:val="24"/>
        </w:rPr>
        <w:t>(45.96291)</w:t>
      </w:r>
      <w:r w:rsidRPr="005D0A6A">
        <w:rPr>
          <w:rFonts w:ascii="Times New Roman" w:hAnsi="Times New Roman" w:cs="Times New Roman"/>
          <w:sz w:val="24"/>
          <w:szCs w:val="24"/>
        </w:rPr>
        <w:t xml:space="preserve"> and the maximum eigen value (23.24864) statistics reject the null hypothesis of no co-integration at the 5% significance level. The null hypothesis of no co-integrating equation is rejected, signifying the presence of at least one co-integrating vector among the variables. Moreover, the hypothesis of at most of one co-integrating equation is rejected at 5% level of significance, indicating the existence of two co-integrating vectors. However, the hypothesis of a most of two co-integrating equations cannot be dismissed, as both the trace and maximum eigenvalue statistics are statistically insignificant at traditional levels. The results affirm that the variables exhibit at least of two long-term co-integrating connections, indicating a stable and persistent relationship among ln GDP, ln GCF and ln REM over time.</w:t>
      </w:r>
    </w:p>
    <w:p w14:paraId="5413D113" w14:textId="77777777" w:rsidR="00BB7A84" w:rsidRPr="005D0A6A" w:rsidRDefault="00BB7A84" w:rsidP="00BB7A84">
      <w:pPr>
        <w:spacing w:line="360" w:lineRule="auto"/>
        <w:jc w:val="both"/>
        <w:rPr>
          <w:rFonts w:ascii="Times New Roman" w:hAnsi="Times New Roman" w:cs="Times New Roman"/>
          <w:iCs/>
          <w:sz w:val="24"/>
          <w:szCs w:val="24"/>
        </w:rPr>
      </w:pPr>
    </w:p>
    <w:p w14:paraId="17489807" w14:textId="77777777" w:rsidR="00BB7A84" w:rsidRPr="005D0A6A" w:rsidRDefault="00BB7A84" w:rsidP="00BB7A84">
      <w:pPr>
        <w:spacing w:line="360" w:lineRule="auto"/>
        <w:jc w:val="both"/>
        <w:rPr>
          <w:rFonts w:ascii="Times New Roman" w:hAnsi="Times New Roman" w:cs="Times New Roman"/>
          <w:b/>
          <w:i/>
          <w:iCs/>
          <w:sz w:val="24"/>
          <w:szCs w:val="24"/>
        </w:rPr>
      </w:pPr>
      <w:r w:rsidRPr="005D0A6A">
        <w:rPr>
          <w:rFonts w:ascii="Times New Roman" w:hAnsi="Times New Roman" w:cs="Times New Roman"/>
          <w:b/>
          <w:i/>
          <w:iCs/>
          <w:sz w:val="24"/>
          <w:szCs w:val="24"/>
        </w:rPr>
        <w:t>Vector Error Correction Model (VECM)</w:t>
      </w:r>
    </w:p>
    <w:p w14:paraId="56FCFB04"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 xml:space="preserve">After conducting the cointegration test using Johansen &amp; </w:t>
      </w:r>
      <w:r w:rsidRPr="005D0A6A">
        <w:rPr>
          <w:rFonts w:ascii="Times New Roman" w:hAnsi="Times New Roman" w:cs="Times New Roman"/>
          <w:sz w:val="24"/>
          <w:szCs w:val="24"/>
        </w:rPr>
        <w:t>Julius co integration test</w:t>
      </w:r>
      <w:r w:rsidRPr="005D0A6A">
        <w:rPr>
          <w:rFonts w:ascii="Times New Roman" w:hAnsi="Times New Roman" w:cs="Times New Roman"/>
          <w:bCs/>
          <w:sz w:val="24"/>
          <w:szCs w:val="24"/>
        </w:rPr>
        <w:t xml:space="preserve"> both max eigen test and trace statistics suggested the existence of one cointegration between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GDP,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GFCF &amp;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REM by rejecting the null hypothesis of no cointegration. However, now it is important to know whether the long-run relationship between the variables exists or not; hence, the study will go for a VECM analysis. Where if the coefficient of independent variables is positive than there exists a positive long run relationship between both the dependent and independent variables.</w:t>
      </w:r>
    </w:p>
    <w:p w14:paraId="4236A451" w14:textId="77777777" w:rsidR="00BB7A84" w:rsidRPr="005D0A6A" w:rsidRDefault="00BB7A84" w:rsidP="00BB7A84">
      <w:pPr>
        <w:spacing w:line="360" w:lineRule="auto"/>
        <w:jc w:val="both"/>
        <w:rPr>
          <w:rFonts w:ascii="Times New Roman" w:hAnsi="Times New Roman" w:cs="Times New Roman"/>
          <w:bCs/>
          <w:i/>
          <w:iCs/>
          <w:sz w:val="24"/>
          <w:szCs w:val="24"/>
        </w:rPr>
      </w:pPr>
      <w:r w:rsidRPr="005D0A6A">
        <w:rPr>
          <w:rFonts w:ascii="Times New Roman" w:hAnsi="Times New Roman" w:cs="Times New Roman"/>
          <w:bCs/>
          <w:i/>
          <w:iCs/>
          <w:sz w:val="24"/>
          <w:szCs w:val="24"/>
        </w:rPr>
        <w:t>Long-run equation:</w:t>
      </w:r>
    </w:p>
    <w:p w14:paraId="454A856D" w14:textId="77777777" w:rsidR="00BB7A84" w:rsidRPr="005D0A6A" w:rsidRDefault="00BB7A84" w:rsidP="00BB7A84">
      <w:pPr>
        <w:spacing w:line="360" w:lineRule="auto"/>
        <w:ind w:left="720"/>
        <w:jc w:val="both"/>
        <w:rPr>
          <w:rFonts w:ascii="Times New Roman" w:hAnsi="Times New Roman" w:cs="Times New Roman"/>
          <w:bCs/>
          <w:sz w:val="24"/>
          <w:szCs w:val="24"/>
        </w:rPr>
      </w:pP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(GDP)</w:t>
      </w:r>
      <w:r w:rsidRPr="005D0A6A">
        <w:rPr>
          <w:rFonts w:ascii="Times New Roman" w:hAnsi="Times New Roman" w:cs="Times New Roman"/>
          <w:bCs/>
          <w:sz w:val="24"/>
          <w:szCs w:val="24"/>
          <w:vertAlign w:val="subscript"/>
        </w:rPr>
        <w:t>t-1</w:t>
      </w:r>
      <w:r w:rsidRPr="005D0A6A">
        <w:rPr>
          <w:rFonts w:ascii="Times New Roman" w:hAnsi="Times New Roman" w:cs="Times New Roman"/>
          <w:bCs/>
          <w:sz w:val="24"/>
          <w:szCs w:val="24"/>
        </w:rPr>
        <w:t xml:space="preserve">= </w:t>
      </w:r>
      <w:r w:rsidRPr="005D0A6A">
        <w:rPr>
          <w:rFonts w:ascii="Times New Roman" w:hAnsi="Times New Roman" w:cs="Times New Roman"/>
          <w:bCs/>
          <w:i/>
          <w:iCs/>
          <w:sz w:val="24"/>
          <w:szCs w:val="24"/>
        </w:rPr>
        <w:t>-7.09+0.50 ln (GFCF)</w:t>
      </w:r>
      <w:r w:rsidRPr="005D0A6A">
        <w:rPr>
          <w:rFonts w:ascii="Times New Roman" w:hAnsi="Times New Roman" w:cs="Times New Roman"/>
          <w:bCs/>
          <w:sz w:val="24"/>
          <w:szCs w:val="24"/>
          <w:vertAlign w:val="subscript"/>
        </w:rPr>
        <w:t>t-1</w:t>
      </w:r>
      <w:r w:rsidRPr="005D0A6A">
        <w:rPr>
          <w:rFonts w:ascii="Times New Roman" w:hAnsi="Times New Roman" w:cs="Times New Roman"/>
          <w:bCs/>
          <w:i/>
          <w:iCs/>
          <w:sz w:val="24"/>
          <w:szCs w:val="24"/>
        </w:rPr>
        <w:t>+0.078 ln (REM)</w:t>
      </w:r>
      <w:r w:rsidRPr="005D0A6A">
        <w:rPr>
          <w:rFonts w:ascii="Times New Roman" w:hAnsi="Times New Roman" w:cs="Times New Roman"/>
          <w:bCs/>
          <w:sz w:val="24"/>
          <w:szCs w:val="24"/>
          <w:vertAlign w:val="subscript"/>
        </w:rPr>
        <w:t>t-1</w:t>
      </w:r>
      <w:r w:rsidRPr="005D0A6A">
        <w:rPr>
          <w:rFonts w:ascii="Times New Roman" w:hAnsi="Times New Roman" w:cs="Times New Roman"/>
          <w:bCs/>
          <w:sz w:val="24"/>
          <w:szCs w:val="24"/>
        </w:rPr>
        <w:t>…………………. (3)</w:t>
      </w:r>
    </w:p>
    <w:p w14:paraId="56ED83CF"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Cs/>
          <w:sz w:val="24"/>
          <w:szCs w:val="24"/>
        </w:rPr>
        <w:t xml:space="preserve">From the above equation, i.e., the result of VECM analysis, it was found that the long run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GFCF has a positive and significant effect on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GDP, but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REM is positive but insignificant on </w:t>
      </w:r>
      <w:r w:rsidRPr="005D0A6A">
        <w:rPr>
          <w:rFonts w:ascii="Times New Roman" w:hAnsi="Times New Roman" w:cs="Times New Roman"/>
          <w:bCs/>
          <w:i/>
          <w:iCs/>
          <w:sz w:val="24"/>
          <w:szCs w:val="24"/>
        </w:rPr>
        <w:t>ln GDP</w:t>
      </w:r>
      <w:r w:rsidRPr="005D0A6A">
        <w:rPr>
          <w:rFonts w:ascii="Times New Roman" w:hAnsi="Times New Roman" w:cs="Times New Roman"/>
          <w:bCs/>
          <w:sz w:val="24"/>
          <w:szCs w:val="24"/>
        </w:rPr>
        <w:t xml:space="preserve">. </w:t>
      </w:r>
      <w:r w:rsidRPr="005D0A6A">
        <w:rPr>
          <w:rFonts w:ascii="Times New Roman" w:hAnsi="Times New Roman" w:cs="Times New Roman"/>
          <w:sz w:val="24"/>
          <w:szCs w:val="24"/>
        </w:rPr>
        <w:t xml:space="preserve">The long-run equation indicates that both gross fixed capital formation (GFCF) and remittances positively impact India’s economic growth, while their respective contributions vary considerably. The GFCF coefficient of 0.50 signifies that a one percent increase in capital stock results in a 0.50 percent rise in GDP, highlighting the essential importance of investment and capital accumulation in promoting long-term growth. In comparison, the remittance coefficient </w:t>
      </w:r>
      <w:r w:rsidRPr="005D0A6A">
        <w:rPr>
          <w:rFonts w:ascii="Times New Roman" w:hAnsi="Times New Roman" w:cs="Times New Roman"/>
          <w:sz w:val="24"/>
          <w:szCs w:val="24"/>
        </w:rPr>
        <w:lastRenderedPageBreak/>
        <w:t xml:space="preserve">(0.07) indicates that a one percent increase in remittance inflows results in only a 0.07 percent rise in GDP, underscoring a substantially weaker economic impact relative to capital stock. This finding indicates that although remittances favorably influence economic performance, their impact is relatively modest, possibly due to a significant portion of remitted money being allocated to household consumption and non-productive purposes instead of investment in productive sectors. </w:t>
      </w:r>
    </w:p>
    <w:p w14:paraId="70E67489"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i/>
          <w:iCs/>
          <w:sz w:val="24"/>
          <w:szCs w:val="24"/>
        </w:rPr>
        <w:t>Dynamic Short-run Relationship (VECM):</w:t>
      </w:r>
    </w:p>
    <w:p w14:paraId="5411B1E4"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sz w:val="24"/>
          <w:szCs w:val="24"/>
        </w:rPr>
        <w:t xml:space="preserve"> ∆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 xml:space="preserve">(GDP)= </w:t>
      </w:r>
      <w:r w:rsidRPr="005D0A6A">
        <w:rPr>
          <w:rFonts w:ascii="Times New Roman" w:hAnsi="Times New Roman" w:cs="Times New Roman"/>
          <w:i/>
          <w:iCs/>
          <w:sz w:val="24"/>
          <w:szCs w:val="24"/>
        </w:rPr>
        <w:t>-0.18 ECM</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+ 0.65 ∆ ln (GDP)</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- 0.51 ∆ ln (GFCF)</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+ 0.02 ∆ ln (REM)</w:t>
      </w:r>
      <w:r w:rsidRPr="005D0A6A">
        <w:rPr>
          <w:rFonts w:ascii="Times New Roman" w:hAnsi="Times New Roman" w:cs="Times New Roman"/>
          <w:i/>
          <w:iCs/>
          <w:sz w:val="24"/>
          <w:szCs w:val="24"/>
          <w:vertAlign w:val="subscript"/>
        </w:rPr>
        <w:t>t-1</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4)</w:t>
      </w:r>
    </w:p>
    <w:p w14:paraId="45E25710"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As per the short-run adjustment, ECM values for all variables are given in the above equation (4). According to the above equation (4), the ECM coefficient of GDP is negative and significant, which, as expected, explains that adjustments in these variables are significant in the short run. The coefficient value of ECT</w:t>
      </w:r>
      <w:r w:rsidRPr="005D0A6A">
        <w:rPr>
          <w:rFonts w:ascii="Times New Roman" w:hAnsi="Times New Roman" w:cs="Times New Roman"/>
          <w:sz w:val="24"/>
          <w:szCs w:val="24"/>
          <w:vertAlign w:val="subscript"/>
        </w:rPr>
        <w:t>t-1</w:t>
      </w:r>
      <w:r w:rsidRPr="005D0A6A">
        <w:rPr>
          <w:rFonts w:ascii="Times New Roman" w:hAnsi="Times New Roman" w:cs="Times New Roman"/>
          <w:sz w:val="24"/>
          <w:szCs w:val="24"/>
        </w:rPr>
        <w:t xml:space="preserve"> is -0.18, which means that the prior period’s deviation from the long-run equilibrium has been corrected in the current period with a 18% speed of adjustment.</w:t>
      </w:r>
    </w:p>
    <w:p w14:paraId="1732D57C"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Equation (4) demonstrates that the coefficient of the error correction term is -0.18, which is negative, confirming the presence of a long-term relationship among remittances, GDP, and investment. Approximately 18% of any short-run disequilibrium reverts to equilibrium annually, indicating a moderate adjustment rate (Engle &amp; Granger, 1987). The positive coefficient of lagged GDP growth (0.65) indicates persistence in growth, suggesting that previous growth significantly bolsters current growth, in accordance with the endogenous growth theory (Romer, 1990). The negative coefficient of gross fixed capital formation (-0.51) indicates that investment does not promptly result in increased growth in the short run, potentially due to delays in implementation or crowding-out effects, consistent with findings that capital accumulation has a more substantial impact in the long term (Pradhan, 2010). Remittances, characterized by a modest yet positive coefficient (0.02), contribute to income stabilization and facilitate consumption or minor investments (Giuliano &amp; Ruiz-Arranz, 2009; Ratha, 2013). The results indicate that India’s short-term growth is mostly influenced by past behavior and remittance inflows, whereas investment contributes more significantly in the long term. </w:t>
      </w:r>
    </w:p>
    <w:p w14:paraId="1434B344" w14:textId="77777777" w:rsidR="00BB7A84" w:rsidRPr="005D0A6A" w:rsidRDefault="00BB7A84" w:rsidP="00BB7A84">
      <w:pPr>
        <w:spacing w:line="360" w:lineRule="auto"/>
        <w:ind w:firstLine="720"/>
        <w:jc w:val="both"/>
        <w:rPr>
          <w:rFonts w:ascii="Times New Roman" w:hAnsi="Times New Roman" w:cs="Times New Roman"/>
          <w:sz w:val="24"/>
          <w:szCs w:val="24"/>
        </w:rPr>
      </w:pPr>
    </w:p>
    <w:p w14:paraId="44CDFA8A" w14:textId="77777777" w:rsidR="00BB7A84" w:rsidRPr="005D0A6A" w:rsidRDefault="00BB7A84" w:rsidP="00BB7A84">
      <w:pPr>
        <w:spacing w:line="360" w:lineRule="auto"/>
        <w:jc w:val="both"/>
        <w:rPr>
          <w:rFonts w:ascii="Times New Roman" w:hAnsi="Times New Roman" w:cs="Times New Roman"/>
          <w:b/>
          <w:sz w:val="24"/>
          <w:szCs w:val="24"/>
          <w:u w:val="single"/>
        </w:rPr>
      </w:pPr>
      <w:r w:rsidRPr="005D0A6A">
        <w:rPr>
          <w:rFonts w:ascii="Times New Roman" w:hAnsi="Times New Roman" w:cs="Times New Roman"/>
          <w:b/>
          <w:sz w:val="24"/>
          <w:szCs w:val="24"/>
        </w:rPr>
        <w:lastRenderedPageBreak/>
        <w:t>V. Granger Causality Test</w:t>
      </w:r>
    </w:p>
    <w:p w14:paraId="2D115ADF"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Pair-wise Granger Causality tests are then carried out to determine causality based on the error correction model. The findings demonstrate a one-way causal relationship between gross fixed capital formation and economic growth. As the p-value (0.06) is less than the 10% level of significance, we reject the null hypothesis of exogeneity of gross fixed capital creation in the economic growth function. As the p-value (0.04) is significant at the 5% threshold of significance, the result also implies that GDP also Granger causes GFCF. Furthermore, there is a one-way causal relationship between gross fixed capital formation and GDP. According to the findings, there is a one-way causal relationship between remittances and gross fixed capital formation as well as economic growth.</w:t>
      </w:r>
    </w:p>
    <w:p w14:paraId="0DD7F595" w14:textId="77777777" w:rsidR="00BB7A84" w:rsidRPr="005D0A6A" w:rsidRDefault="00BB7A84" w:rsidP="00BB7A84">
      <w:pPr>
        <w:spacing w:line="360" w:lineRule="auto"/>
        <w:jc w:val="both"/>
        <w:rPr>
          <w:rFonts w:ascii="Times New Roman" w:hAnsi="Times New Roman" w:cs="Times New Roman"/>
          <w:b/>
          <w:bCs/>
          <w:sz w:val="24"/>
          <w:szCs w:val="24"/>
        </w:rPr>
      </w:pPr>
    </w:p>
    <w:p w14:paraId="30F4FD11" w14:textId="77777777" w:rsidR="00BB7A84" w:rsidRPr="005D0A6A" w:rsidRDefault="00BB7A84" w:rsidP="00BB7A84">
      <w:pPr>
        <w:spacing w:line="360" w:lineRule="auto"/>
        <w:jc w:val="both"/>
        <w:rPr>
          <w:rFonts w:ascii="Times New Roman" w:hAnsi="Times New Roman" w:cs="Times New Roman"/>
          <w:b/>
          <w:bCs/>
          <w:sz w:val="24"/>
          <w:szCs w:val="24"/>
        </w:rPr>
      </w:pPr>
    </w:p>
    <w:p w14:paraId="419D47E6" w14:textId="77777777" w:rsidR="00BB7A84" w:rsidRPr="005D0A6A" w:rsidRDefault="00BB7A84" w:rsidP="00BB7A84">
      <w:pPr>
        <w:spacing w:line="360" w:lineRule="auto"/>
        <w:jc w:val="both"/>
        <w:rPr>
          <w:rFonts w:ascii="Times New Roman" w:hAnsi="Times New Roman" w:cs="Times New Roman"/>
          <w:b/>
          <w:bCs/>
          <w:sz w:val="24"/>
          <w:szCs w:val="24"/>
        </w:rPr>
      </w:pPr>
      <w:r w:rsidRPr="005D0A6A">
        <w:rPr>
          <w:rFonts w:ascii="Times New Roman" w:hAnsi="Times New Roman" w:cs="Times New Roman"/>
          <w:b/>
          <w:bCs/>
          <w:sz w:val="24"/>
          <w:szCs w:val="24"/>
        </w:rPr>
        <w:t>Table-4 Result of Granger Causality Test</w:t>
      </w:r>
    </w:p>
    <w:tbl>
      <w:tblPr>
        <w:tblStyle w:val="PlainTable11"/>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7"/>
        <w:gridCol w:w="2197"/>
        <w:gridCol w:w="2197"/>
      </w:tblGrid>
      <w:tr w:rsidR="00BB7A84" w:rsidRPr="005D0A6A" w14:paraId="7CCA3798" w14:textId="77777777" w:rsidTr="0006261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96" w:type="dxa"/>
          </w:tcPr>
          <w:p w14:paraId="49DC0A69" w14:textId="77777777" w:rsidR="00BB7A84" w:rsidRPr="005D0A6A" w:rsidRDefault="00BB7A84" w:rsidP="0006261D">
            <w:pPr>
              <w:spacing w:after="0" w:line="360" w:lineRule="auto"/>
              <w:jc w:val="center"/>
              <w:rPr>
                <w:rFonts w:ascii="Times New Roman" w:hAnsi="Times New Roman" w:cs="Times New Roman"/>
                <w:b w:val="0"/>
                <w:bCs w:val="0"/>
                <w:sz w:val="24"/>
                <w:szCs w:val="24"/>
              </w:rPr>
            </w:pPr>
            <w:r w:rsidRPr="005D0A6A">
              <w:rPr>
                <w:rFonts w:ascii="Times New Roman" w:hAnsi="Times New Roman" w:cs="Times New Roman"/>
                <w:sz w:val="24"/>
                <w:szCs w:val="24"/>
              </w:rPr>
              <w:t>Null Hypotheses</w:t>
            </w:r>
          </w:p>
        </w:tc>
        <w:tc>
          <w:tcPr>
            <w:tcW w:w="2197" w:type="dxa"/>
          </w:tcPr>
          <w:p w14:paraId="19883F67"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F-statistics</w:t>
            </w:r>
          </w:p>
        </w:tc>
        <w:tc>
          <w:tcPr>
            <w:tcW w:w="2197" w:type="dxa"/>
          </w:tcPr>
          <w:p w14:paraId="1AF5236B"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p-value</w:t>
            </w:r>
          </w:p>
        </w:tc>
        <w:tc>
          <w:tcPr>
            <w:tcW w:w="2197" w:type="dxa"/>
          </w:tcPr>
          <w:p w14:paraId="495C80E9"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 xml:space="preserve">Conclusion </w:t>
            </w:r>
          </w:p>
        </w:tc>
      </w:tr>
      <w:tr w:rsidR="00BB7A84" w:rsidRPr="005D0A6A" w14:paraId="4649D479"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74C3B0F6"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GFCF≠&gt; GDP</w:t>
            </w:r>
          </w:p>
          <w:p w14:paraId="1268B931"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GDP≠&gt; GFCF</w:t>
            </w:r>
          </w:p>
        </w:tc>
        <w:tc>
          <w:tcPr>
            <w:tcW w:w="2197" w:type="dxa"/>
            <w:shd w:val="clear" w:color="auto" w:fill="F2F2F2" w:themeFill="background1" w:themeFillShade="F2"/>
          </w:tcPr>
          <w:p w14:paraId="56954EF6"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2.93709</w:t>
            </w:r>
          </w:p>
          <w:p w14:paraId="39031C1E"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1.12988</w:t>
            </w:r>
          </w:p>
        </w:tc>
        <w:tc>
          <w:tcPr>
            <w:tcW w:w="2197" w:type="dxa"/>
            <w:shd w:val="clear" w:color="auto" w:fill="F2F2F2" w:themeFill="background1" w:themeFillShade="F2"/>
          </w:tcPr>
          <w:p w14:paraId="475A8231"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0.0947**</w:t>
            </w:r>
          </w:p>
          <w:p w14:paraId="76415CBA"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0.2945</w:t>
            </w:r>
          </w:p>
        </w:tc>
        <w:tc>
          <w:tcPr>
            <w:tcW w:w="2197" w:type="dxa"/>
            <w:shd w:val="clear" w:color="auto" w:fill="F2F2F2" w:themeFill="background1" w:themeFillShade="F2"/>
          </w:tcPr>
          <w:p w14:paraId="448F3DFC"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r w:rsidR="00BB7A84" w:rsidRPr="005D0A6A" w14:paraId="057AFBC4"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1968FD53"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REM≠&gt;GDP</w:t>
            </w:r>
          </w:p>
          <w:p w14:paraId="6BCB2B0C"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GDP≠&gt;REM</w:t>
            </w:r>
          </w:p>
        </w:tc>
        <w:tc>
          <w:tcPr>
            <w:tcW w:w="2197" w:type="dxa"/>
          </w:tcPr>
          <w:p w14:paraId="6C3F59A7"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7.82571</w:t>
            </w:r>
          </w:p>
          <w:p w14:paraId="555F43E4"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0.42150</w:t>
            </w:r>
          </w:p>
        </w:tc>
        <w:tc>
          <w:tcPr>
            <w:tcW w:w="2197" w:type="dxa"/>
          </w:tcPr>
          <w:p w14:paraId="42BC7525"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0.0080*</w:t>
            </w:r>
          </w:p>
          <w:p w14:paraId="52E6D4D2"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0.5201</w:t>
            </w:r>
          </w:p>
          <w:p w14:paraId="7C7F67F5"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tcPr>
          <w:p w14:paraId="3EC422E2"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r w:rsidR="00BB7A84" w:rsidRPr="005D0A6A" w14:paraId="491A2C85"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5A194280"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REM≠&gt;GFCF</w:t>
            </w:r>
          </w:p>
          <w:p w14:paraId="16192077"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GFCF≠&gt;REM</w:t>
            </w:r>
          </w:p>
        </w:tc>
        <w:tc>
          <w:tcPr>
            <w:tcW w:w="2197" w:type="dxa"/>
            <w:shd w:val="clear" w:color="auto" w:fill="F2F2F2" w:themeFill="background1" w:themeFillShade="F2"/>
          </w:tcPr>
          <w:p w14:paraId="5CFF2149"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5.32595</w:t>
            </w:r>
          </w:p>
          <w:p w14:paraId="42ACE63B"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1.28432</w:t>
            </w:r>
          </w:p>
        </w:tc>
        <w:tc>
          <w:tcPr>
            <w:tcW w:w="2197" w:type="dxa"/>
            <w:shd w:val="clear" w:color="auto" w:fill="F2F2F2" w:themeFill="background1" w:themeFillShade="F2"/>
          </w:tcPr>
          <w:p w14:paraId="7E0930CF"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0.0265*</w:t>
            </w:r>
          </w:p>
          <w:p w14:paraId="41A26B10"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0.2642</w:t>
            </w:r>
          </w:p>
          <w:p w14:paraId="0EF21404"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shd w:val="clear" w:color="auto" w:fill="F2F2F2" w:themeFill="background1" w:themeFillShade="F2"/>
          </w:tcPr>
          <w:p w14:paraId="77F690B3"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bl>
    <w:p w14:paraId="0C2AD026" w14:textId="77777777" w:rsidR="00BB7A84" w:rsidRPr="005D0A6A" w:rsidRDefault="00BB7A84" w:rsidP="00BB7A84">
      <w:pPr>
        <w:spacing w:line="360" w:lineRule="auto"/>
        <w:jc w:val="both"/>
        <w:rPr>
          <w:rFonts w:ascii="Times New Roman" w:hAnsi="Times New Roman" w:cs="Times New Roman"/>
          <w:b/>
          <w:bCs/>
          <w:sz w:val="24"/>
          <w:szCs w:val="24"/>
        </w:rPr>
      </w:pPr>
    </w:p>
    <w:p w14:paraId="617FEF82" w14:textId="77777777" w:rsidR="00BB7A84" w:rsidRPr="005D0A6A" w:rsidRDefault="00BB7A84" w:rsidP="00BB7A84">
      <w:pPr>
        <w:spacing w:line="360" w:lineRule="auto"/>
        <w:jc w:val="both"/>
        <w:rPr>
          <w:rFonts w:ascii="Times New Roman" w:hAnsi="Times New Roman" w:cs="Times New Roman"/>
          <w:b/>
          <w:bCs/>
          <w:sz w:val="24"/>
          <w:szCs w:val="24"/>
        </w:rPr>
      </w:pPr>
    </w:p>
    <w:p w14:paraId="041446CA" w14:textId="77777777" w:rsidR="00BB7A84" w:rsidRPr="005D0A6A" w:rsidRDefault="00BB7A84" w:rsidP="00BB7A84">
      <w:pPr>
        <w:pStyle w:val="ListParagraph"/>
        <w:spacing w:after="0"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Note: *and ** represent the 5% and 10% levels of significance.</w:t>
      </w:r>
    </w:p>
    <w:p w14:paraId="18EC70D4" w14:textId="77777777" w:rsidR="00BB7A84" w:rsidRPr="005D0A6A" w:rsidRDefault="00BB7A84" w:rsidP="00BB7A84">
      <w:pPr>
        <w:spacing w:after="0" w:line="360" w:lineRule="auto"/>
        <w:ind w:firstLine="720"/>
        <w:jc w:val="both"/>
        <w:rPr>
          <w:rFonts w:ascii="Times New Roman" w:hAnsi="Times New Roman" w:cs="Times New Roman"/>
          <w:iCs/>
          <w:sz w:val="24"/>
          <w:szCs w:val="24"/>
        </w:rPr>
      </w:pPr>
      <w:r w:rsidRPr="005D0A6A">
        <w:rPr>
          <w:rFonts w:ascii="Times New Roman" w:hAnsi="Times New Roman" w:cs="Times New Roman"/>
          <w:iCs/>
          <w:sz w:val="24"/>
          <w:szCs w:val="24"/>
        </w:rPr>
        <w:t xml:space="preserve">The result of the Granger causality test (Table 4) indicates significant relationships among remittances, investment, and economic growth. First a one-way relationship between gross capital formation and GDP at 10 % level of significance shows that capital accumulation is a big part of economic growth, but growth doesn’t seem to lead to more capital formation in the short-run. This </w:t>
      </w:r>
      <w:r w:rsidRPr="005D0A6A">
        <w:rPr>
          <w:rFonts w:ascii="Times New Roman" w:hAnsi="Times New Roman" w:cs="Times New Roman"/>
          <w:iCs/>
          <w:sz w:val="24"/>
          <w:szCs w:val="24"/>
        </w:rPr>
        <w:lastRenderedPageBreak/>
        <w:t>corresponds with the conclusions of Solow’s (1956) growth model, which posits that investment serves as a fundamental driver of economic growth. Secondly, a unidirectional causality from remittances to GDP is evident at the 5% significance level, underscoring the crucial influence of remittance inflows on economic growth. This substantiates the perspective that remittances serve as a reliable and countercyclical source of foreign capital, frequently exceeding foreign direct investment (FDI) in developing countries (Ratha, 2013). The outcome aligns with the findings by Giuliano and Ruiz-Arranz (2009), which contend that remittances alleviate liquidity constraints, thereby promoting higher growth. Finally, a unidirectional causality from remittances to gross fixed capital formation suggests that remittances enhance consumption and also facilitate productive investment endeavors. This outcome supports findings from Adams and Cuecuecha (2010), who stated that a portion of remittances is allocated to physical and human capital investment, hence enhancing long-term development prospects.</w:t>
      </w:r>
    </w:p>
    <w:p w14:paraId="41B12665" w14:textId="77777777" w:rsidR="00BB7A84" w:rsidRPr="005D0A6A" w:rsidRDefault="00BB7A84" w:rsidP="00BB7A84">
      <w:pPr>
        <w:spacing w:after="0" w:line="360" w:lineRule="auto"/>
        <w:ind w:firstLine="720"/>
        <w:jc w:val="both"/>
        <w:rPr>
          <w:rFonts w:ascii="Times New Roman" w:hAnsi="Times New Roman" w:cs="Times New Roman"/>
          <w:iCs/>
          <w:sz w:val="24"/>
          <w:szCs w:val="24"/>
        </w:rPr>
      </w:pPr>
      <w:r w:rsidRPr="005D0A6A">
        <w:rPr>
          <w:rFonts w:ascii="Times New Roman" w:hAnsi="Times New Roman" w:cs="Times New Roman"/>
          <w:iCs/>
          <w:sz w:val="24"/>
          <w:szCs w:val="24"/>
        </w:rPr>
        <w:t>Overall, these results demonstrate that remittances catalyze economic growth and capital formation in India, highlighting their dual function in enhancing household welfare and financing development.</w:t>
      </w:r>
    </w:p>
    <w:p w14:paraId="441ABF11" w14:textId="77777777" w:rsidR="00BB7A84" w:rsidRPr="005D0A6A" w:rsidRDefault="00BB7A84" w:rsidP="00BB7A84">
      <w:pPr>
        <w:spacing w:after="0" w:line="360" w:lineRule="auto"/>
        <w:jc w:val="both"/>
        <w:rPr>
          <w:rFonts w:ascii="Times New Roman" w:hAnsi="Times New Roman" w:cs="Times New Roman"/>
          <w:iCs/>
          <w:sz w:val="24"/>
          <w:szCs w:val="24"/>
        </w:rPr>
      </w:pPr>
    </w:p>
    <w:p w14:paraId="5120C8DD" w14:textId="77777777" w:rsidR="00BB7A84" w:rsidRPr="005D0A6A" w:rsidRDefault="00BB7A84" w:rsidP="00BB7A84">
      <w:pPr>
        <w:spacing w:line="360" w:lineRule="auto"/>
        <w:jc w:val="both"/>
        <w:rPr>
          <w:rFonts w:ascii="Times New Roman" w:hAnsi="Times New Roman" w:cs="Times New Roman"/>
          <w:bCs/>
          <w:sz w:val="24"/>
          <w:szCs w:val="24"/>
        </w:rPr>
      </w:pPr>
      <w:r w:rsidRPr="005D0A6A">
        <w:rPr>
          <w:rFonts w:ascii="Times New Roman" w:hAnsi="Times New Roman" w:cs="Times New Roman"/>
          <w:b/>
          <w:sz w:val="24"/>
          <w:szCs w:val="24"/>
        </w:rPr>
        <w:t>VI. Residual Diagnostic Test</w:t>
      </w:r>
    </w:p>
    <w:p w14:paraId="71C6B062"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A variety of post-estimation diagnostic tests are performed to validate the robustness of the model, including the Breusch-Godfrey serial correlation LM test, the Jarque-Bera normality test, and the heteroskedasticity test. The results of these tests validated that the model meets the fundamental econometric features, demonstrating an adequate functional form with residuals that are serially uncorrelated, normally distributed, homoscedastic residuals. Therefore, the estimated results are considered reliable and trustworthy interpretations.</w:t>
      </w:r>
    </w:p>
    <w:p w14:paraId="6E69813B" w14:textId="1DC89C55"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VIII. Conclusion</w:t>
      </w:r>
      <w:r w:rsidR="0066318F">
        <w:rPr>
          <w:rFonts w:ascii="Times New Roman" w:hAnsi="Times New Roman" w:cs="Times New Roman"/>
          <w:b/>
          <w:sz w:val="24"/>
          <w:szCs w:val="24"/>
        </w:rPr>
        <w:t>s</w:t>
      </w:r>
      <w:bookmarkStart w:id="0" w:name="_GoBack"/>
      <w:bookmarkEnd w:id="0"/>
    </w:p>
    <w:p w14:paraId="608FA859"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 xml:space="preserve">The present analysis has estimated the impact of remittances on economic growth in India in the long run as well as in the short run, using time series data for 42 years from the period 1980 to 2021 by employing the VECM model. By employing the Augmented Dicky-Fuller test statistics, it was shown that all the chosen variables are stationary, which indicated that a cointegration relationship existed between them. From the analysis of the Vector Error Correction Model, co integration results confirms that there exists a significant positive long run relationship between </w:t>
      </w:r>
      <w:r w:rsidRPr="005D0A6A">
        <w:rPr>
          <w:rFonts w:ascii="Times New Roman" w:hAnsi="Times New Roman" w:cs="Times New Roman"/>
          <w:bCs/>
          <w:sz w:val="24"/>
          <w:szCs w:val="24"/>
        </w:rPr>
        <w:lastRenderedPageBreak/>
        <w:t xml:space="preserve">gross fixed capital formation and economic growth, but positive insignificant relationship is found between the remittances and economic growth. The ECM results indicate that the convergence of the model implies that about 18% adjustment takes place every year. </w:t>
      </w:r>
    </w:p>
    <w:p w14:paraId="023A382D"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Cs/>
          <w:sz w:val="24"/>
          <w:szCs w:val="24"/>
        </w:rPr>
        <w:t>The empirical findings on India suggest that a unidirectional causal relationship exists between remittances and economic growth, and capital stock to economic growth as well. That means remittances cause economic growth, but growth does not lead to remittances, and in the same vein, capital stock also does not.</w:t>
      </w:r>
      <w:r w:rsidRPr="005D0A6A">
        <w:rPr>
          <w:rFonts w:ascii="Times New Roman" w:hAnsi="Times New Roman" w:cs="Times New Roman"/>
          <w:sz w:val="24"/>
          <w:szCs w:val="24"/>
        </w:rPr>
        <w:t xml:space="preserve"> </w:t>
      </w:r>
      <w:r w:rsidRPr="005D0A6A">
        <w:rPr>
          <w:rFonts w:ascii="Times New Roman" w:hAnsi="Times New Roman" w:cs="Times New Roman"/>
          <w:bCs/>
          <w:sz w:val="24"/>
          <w:szCs w:val="24"/>
        </w:rPr>
        <w:t xml:space="preserve">Therefore, it can be said that the role of remittances has positive impact on economic growth in India. However, capital stock was found to be positive and significant in contributing to economic growth. </w:t>
      </w:r>
      <w:r w:rsidRPr="005D0A6A">
        <w:rPr>
          <w:rFonts w:ascii="Times New Roman" w:hAnsi="Times New Roman" w:cs="Times New Roman"/>
          <w:sz w:val="24"/>
          <w:szCs w:val="24"/>
        </w:rPr>
        <w:t>Remittances positively impact economic growth through human capital investments. This suggests that in order to increase remittance support in the nation, the government should concentrate on raising its human capital levels.</w:t>
      </w:r>
    </w:p>
    <w:p w14:paraId="0E89C1A9" w14:textId="77777777" w:rsidR="00BB7A84" w:rsidRDefault="00BB7A84" w:rsidP="00BB7A84">
      <w:pPr>
        <w:spacing w:line="360" w:lineRule="auto"/>
        <w:ind w:firstLine="720"/>
        <w:jc w:val="both"/>
        <w:rPr>
          <w:rFonts w:ascii="Times New Roman" w:hAnsi="Times New Roman" w:cs="Times New Roman"/>
          <w:sz w:val="24"/>
          <w:szCs w:val="24"/>
        </w:rPr>
      </w:pPr>
    </w:p>
    <w:p w14:paraId="55D7236C" w14:textId="77777777" w:rsidR="00BB7A84" w:rsidRDefault="00BB7A84" w:rsidP="00BB7A84">
      <w:pPr>
        <w:spacing w:line="360" w:lineRule="auto"/>
        <w:ind w:firstLine="720"/>
        <w:jc w:val="both"/>
        <w:rPr>
          <w:rFonts w:ascii="Times New Roman" w:hAnsi="Times New Roman" w:cs="Times New Roman"/>
          <w:sz w:val="24"/>
          <w:szCs w:val="24"/>
        </w:rPr>
      </w:pPr>
    </w:p>
    <w:p w14:paraId="3976CB77" w14:textId="77777777" w:rsidR="00BB7A84" w:rsidRDefault="00BB7A84" w:rsidP="00BB7A84">
      <w:pPr>
        <w:spacing w:line="360" w:lineRule="auto"/>
        <w:ind w:firstLine="720"/>
        <w:jc w:val="both"/>
        <w:rPr>
          <w:rFonts w:ascii="Times New Roman" w:hAnsi="Times New Roman" w:cs="Times New Roman"/>
          <w:sz w:val="24"/>
          <w:szCs w:val="24"/>
        </w:rPr>
      </w:pPr>
    </w:p>
    <w:p w14:paraId="1D6856EB" w14:textId="77777777" w:rsidR="00BB7A84" w:rsidRDefault="00BB7A84" w:rsidP="00BB7A84">
      <w:pPr>
        <w:spacing w:line="360" w:lineRule="auto"/>
        <w:ind w:firstLine="720"/>
        <w:jc w:val="both"/>
        <w:rPr>
          <w:rFonts w:ascii="Times New Roman" w:hAnsi="Times New Roman" w:cs="Times New Roman"/>
          <w:sz w:val="24"/>
          <w:szCs w:val="24"/>
        </w:rPr>
      </w:pPr>
    </w:p>
    <w:p w14:paraId="46DB422C" w14:textId="77777777" w:rsidR="00BB7A84" w:rsidRDefault="00BB7A84" w:rsidP="00BB7A84">
      <w:pPr>
        <w:spacing w:line="360" w:lineRule="auto"/>
        <w:ind w:firstLine="720"/>
        <w:jc w:val="both"/>
        <w:rPr>
          <w:rFonts w:ascii="Times New Roman" w:hAnsi="Times New Roman" w:cs="Times New Roman"/>
          <w:sz w:val="24"/>
          <w:szCs w:val="24"/>
        </w:rPr>
      </w:pPr>
    </w:p>
    <w:p w14:paraId="648672CA" w14:textId="77777777" w:rsidR="00BB7A84" w:rsidRDefault="00BB7A84" w:rsidP="00BB7A84">
      <w:pPr>
        <w:spacing w:line="360" w:lineRule="auto"/>
        <w:ind w:firstLine="720"/>
        <w:jc w:val="both"/>
        <w:rPr>
          <w:rFonts w:ascii="Times New Roman" w:hAnsi="Times New Roman" w:cs="Times New Roman"/>
          <w:sz w:val="24"/>
          <w:szCs w:val="24"/>
        </w:rPr>
      </w:pPr>
    </w:p>
    <w:p w14:paraId="14EEA34D" w14:textId="77777777" w:rsidR="00BB7A84" w:rsidRDefault="00BB7A84" w:rsidP="00BB7A84">
      <w:pPr>
        <w:spacing w:line="360" w:lineRule="auto"/>
        <w:ind w:firstLine="720"/>
        <w:jc w:val="both"/>
        <w:rPr>
          <w:rFonts w:ascii="Times New Roman" w:hAnsi="Times New Roman" w:cs="Times New Roman"/>
          <w:sz w:val="24"/>
          <w:szCs w:val="24"/>
        </w:rPr>
      </w:pPr>
    </w:p>
    <w:p w14:paraId="21FB7460" w14:textId="77777777" w:rsidR="00BB7A84" w:rsidRDefault="00BB7A84" w:rsidP="00BB7A84">
      <w:pPr>
        <w:spacing w:line="360" w:lineRule="auto"/>
        <w:ind w:firstLine="720"/>
        <w:jc w:val="both"/>
        <w:rPr>
          <w:rFonts w:ascii="Times New Roman" w:hAnsi="Times New Roman" w:cs="Times New Roman"/>
          <w:sz w:val="24"/>
          <w:szCs w:val="24"/>
        </w:rPr>
      </w:pPr>
    </w:p>
    <w:p w14:paraId="46AC5194" w14:textId="77777777" w:rsidR="00BB7A84" w:rsidRDefault="00BB7A84" w:rsidP="00BB7A84">
      <w:pPr>
        <w:spacing w:line="360" w:lineRule="auto"/>
        <w:ind w:firstLine="720"/>
        <w:jc w:val="both"/>
        <w:rPr>
          <w:rFonts w:ascii="Times New Roman" w:hAnsi="Times New Roman" w:cs="Times New Roman"/>
          <w:sz w:val="24"/>
          <w:szCs w:val="24"/>
        </w:rPr>
      </w:pPr>
    </w:p>
    <w:p w14:paraId="5BC27846" w14:textId="77777777" w:rsidR="00BB7A84" w:rsidRDefault="00BB7A84" w:rsidP="00BB7A84">
      <w:pPr>
        <w:spacing w:line="360" w:lineRule="auto"/>
        <w:ind w:firstLine="720"/>
        <w:jc w:val="both"/>
        <w:rPr>
          <w:rFonts w:ascii="Times New Roman" w:hAnsi="Times New Roman" w:cs="Times New Roman"/>
          <w:sz w:val="24"/>
          <w:szCs w:val="24"/>
        </w:rPr>
      </w:pPr>
    </w:p>
    <w:p w14:paraId="4E8D09A5" w14:textId="77777777" w:rsidR="00BB7A84" w:rsidRDefault="00BB7A84" w:rsidP="00BB7A84">
      <w:pPr>
        <w:spacing w:line="360" w:lineRule="auto"/>
        <w:ind w:firstLine="720"/>
        <w:jc w:val="both"/>
        <w:rPr>
          <w:rFonts w:ascii="Times New Roman" w:hAnsi="Times New Roman" w:cs="Times New Roman"/>
          <w:sz w:val="24"/>
          <w:szCs w:val="24"/>
        </w:rPr>
      </w:pPr>
    </w:p>
    <w:p w14:paraId="13B7CE38" w14:textId="77777777" w:rsidR="00BB7A84" w:rsidRDefault="00BB7A84" w:rsidP="00BB7A84">
      <w:pPr>
        <w:spacing w:line="360" w:lineRule="auto"/>
        <w:ind w:firstLine="720"/>
        <w:jc w:val="both"/>
        <w:rPr>
          <w:rFonts w:ascii="Times New Roman" w:hAnsi="Times New Roman" w:cs="Times New Roman"/>
          <w:sz w:val="24"/>
          <w:szCs w:val="24"/>
        </w:rPr>
      </w:pPr>
    </w:p>
    <w:p w14:paraId="06FE5B5C" w14:textId="77777777" w:rsidR="00A434C0" w:rsidRDefault="00A434C0" w:rsidP="00A11211">
      <w:pPr>
        <w:spacing w:line="360" w:lineRule="auto"/>
        <w:jc w:val="both"/>
        <w:rPr>
          <w:rFonts w:ascii="Times New Roman" w:hAnsi="Times New Roman" w:cs="Times New Roman"/>
          <w:b/>
          <w:sz w:val="24"/>
          <w:szCs w:val="24"/>
        </w:rPr>
      </w:pPr>
    </w:p>
    <w:p w14:paraId="0B585A0E" w14:textId="77777777" w:rsidR="00A434C0" w:rsidRPr="00270720" w:rsidRDefault="00A434C0" w:rsidP="00A434C0">
      <w:pPr>
        <w:rPr>
          <w:highlight w:val="yellow"/>
        </w:rPr>
      </w:pPr>
      <w:r w:rsidRPr="00270720">
        <w:rPr>
          <w:highlight w:val="yellow"/>
        </w:rPr>
        <w:lastRenderedPageBreak/>
        <w:t>Disclaimer (Artificial intelligence)</w:t>
      </w:r>
    </w:p>
    <w:p w14:paraId="57837199" w14:textId="77777777" w:rsidR="00A434C0" w:rsidRPr="00270720" w:rsidRDefault="00A434C0" w:rsidP="00A434C0">
      <w:pPr>
        <w:rPr>
          <w:highlight w:val="yellow"/>
        </w:rPr>
      </w:pPr>
    </w:p>
    <w:p w14:paraId="68A9E25B" w14:textId="77777777" w:rsidR="00A434C0" w:rsidRPr="00270720" w:rsidRDefault="00A434C0" w:rsidP="00A434C0">
      <w:pPr>
        <w:rPr>
          <w:highlight w:val="yellow"/>
        </w:rPr>
      </w:pPr>
      <w:r w:rsidRPr="00270720">
        <w:rPr>
          <w:highlight w:val="yellow"/>
        </w:rPr>
        <w:t xml:space="preserve">Option 1: </w:t>
      </w:r>
    </w:p>
    <w:p w14:paraId="585DACDA" w14:textId="77777777" w:rsidR="00A434C0" w:rsidRPr="00270720" w:rsidRDefault="00A434C0" w:rsidP="00A434C0">
      <w:pPr>
        <w:rPr>
          <w:highlight w:val="yellow"/>
        </w:rPr>
      </w:pPr>
    </w:p>
    <w:p w14:paraId="1CBD0156" w14:textId="77777777" w:rsidR="00A434C0" w:rsidRPr="00270720" w:rsidRDefault="00A434C0" w:rsidP="00A434C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9E9076D" w14:textId="77777777" w:rsidR="00A434C0" w:rsidRPr="00270720" w:rsidRDefault="00A434C0" w:rsidP="00A434C0">
      <w:pPr>
        <w:rPr>
          <w:highlight w:val="yellow"/>
        </w:rPr>
      </w:pPr>
    </w:p>
    <w:p w14:paraId="1BCEA981" w14:textId="77777777" w:rsidR="00A434C0" w:rsidRPr="00270720" w:rsidRDefault="00A434C0" w:rsidP="00A434C0">
      <w:pPr>
        <w:rPr>
          <w:highlight w:val="yellow"/>
        </w:rPr>
      </w:pPr>
      <w:r w:rsidRPr="00270720">
        <w:rPr>
          <w:highlight w:val="yellow"/>
        </w:rPr>
        <w:t xml:space="preserve">Option 2: </w:t>
      </w:r>
    </w:p>
    <w:p w14:paraId="62498996" w14:textId="77777777" w:rsidR="00A434C0" w:rsidRPr="00270720" w:rsidRDefault="00A434C0" w:rsidP="00A434C0">
      <w:pPr>
        <w:rPr>
          <w:highlight w:val="yellow"/>
        </w:rPr>
      </w:pPr>
    </w:p>
    <w:p w14:paraId="3A302386" w14:textId="77777777" w:rsidR="00A434C0" w:rsidRPr="00270720" w:rsidRDefault="00A434C0" w:rsidP="00A434C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CF91F6" w14:textId="77777777" w:rsidR="00A434C0" w:rsidRPr="00270720" w:rsidRDefault="00A434C0" w:rsidP="00A434C0">
      <w:pPr>
        <w:rPr>
          <w:highlight w:val="yellow"/>
        </w:rPr>
      </w:pPr>
    </w:p>
    <w:p w14:paraId="2D1F72BE" w14:textId="77777777" w:rsidR="00A434C0" w:rsidRPr="00270720" w:rsidRDefault="00A434C0" w:rsidP="00A434C0">
      <w:pPr>
        <w:rPr>
          <w:highlight w:val="yellow"/>
        </w:rPr>
      </w:pPr>
      <w:r w:rsidRPr="00270720">
        <w:rPr>
          <w:highlight w:val="yellow"/>
        </w:rPr>
        <w:t>Details of the AI usage are given below:</w:t>
      </w:r>
    </w:p>
    <w:p w14:paraId="2A81BDD7" w14:textId="1855E298" w:rsidR="00A434C0" w:rsidRPr="00270720" w:rsidRDefault="00A434C0" w:rsidP="00A434C0">
      <w:pPr>
        <w:rPr>
          <w:highlight w:val="yellow"/>
        </w:rPr>
      </w:pPr>
      <w:r w:rsidRPr="00270720">
        <w:rPr>
          <w:highlight w:val="yellow"/>
        </w:rPr>
        <w:t>1.</w:t>
      </w:r>
      <w:r w:rsidR="00BB7A84" w:rsidRPr="00BB7A84">
        <w:rPr>
          <w:highlight w:val="yellow"/>
        </w:rPr>
        <w:t xml:space="preserve"> </w:t>
      </w:r>
      <w:r w:rsidR="00BB7A84" w:rsidRPr="00270720">
        <w:rPr>
          <w:highlight w:val="yellow"/>
        </w:rPr>
        <w:t>NO generative AI technologie</w:t>
      </w:r>
      <w:r w:rsidR="00BB7A84">
        <w:rPr>
          <w:highlight w:val="yellow"/>
        </w:rPr>
        <w:t>s</w:t>
      </w:r>
    </w:p>
    <w:p w14:paraId="4E5C9A46" w14:textId="3EF8493B" w:rsidR="00A434C0" w:rsidRPr="00270720" w:rsidRDefault="00A434C0" w:rsidP="00A434C0">
      <w:pPr>
        <w:rPr>
          <w:highlight w:val="yellow"/>
        </w:rPr>
      </w:pPr>
      <w:r w:rsidRPr="00270720">
        <w:rPr>
          <w:highlight w:val="yellow"/>
        </w:rPr>
        <w:t>2.</w:t>
      </w:r>
      <w:r w:rsidR="00BB7A84">
        <w:rPr>
          <w:highlight w:val="yellow"/>
        </w:rPr>
        <w:t xml:space="preserve"> </w:t>
      </w:r>
    </w:p>
    <w:p w14:paraId="51975FF9" w14:textId="77777777" w:rsidR="00A434C0" w:rsidRPr="00270720" w:rsidRDefault="00A434C0" w:rsidP="00A434C0">
      <w:r w:rsidRPr="00270720">
        <w:rPr>
          <w:highlight w:val="yellow"/>
        </w:rPr>
        <w:t>3.</w:t>
      </w:r>
    </w:p>
    <w:p w14:paraId="0CEA15F0" w14:textId="77777777" w:rsidR="00A434C0" w:rsidRDefault="00A434C0" w:rsidP="00A11211">
      <w:pPr>
        <w:spacing w:line="360" w:lineRule="auto"/>
        <w:jc w:val="both"/>
        <w:rPr>
          <w:rFonts w:ascii="Times New Roman" w:hAnsi="Times New Roman" w:cs="Times New Roman"/>
          <w:b/>
          <w:sz w:val="24"/>
          <w:szCs w:val="24"/>
        </w:rPr>
      </w:pPr>
    </w:p>
    <w:p w14:paraId="3349E527" w14:textId="77777777"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REFERENCES</w:t>
      </w:r>
    </w:p>
    <w:p w14:paraId="34E8D479" w14:textId="77777777" w:rsidR="00BB7A84" w:rsidRPr="005D0A6A" w:rsidRDefault="00BB7A84" w:rsidP="00BB7A84">
      <w:pPr>
        <w:pStyle w:val="NormalWeb"/>
        <w:spacing w:line="360" w:lineRule="auto"/>
        <w:ind w:left="360" w:hanging="720"/>
        <w:jc w:val="both"/>
      </w:pPr>
      <w:r w:rsidRPr="005D0A6A">
        <w:t xml:space="preserve">Adams, R. H., &amp; Cuecuecha, A. (2010). Remittances, Household Expenditure, and Investment in Guatemala. </w:t>
      </w:r>
      <w:r w:rsidRPr="005D0A6A">
        <w:rPr>
          <w:rStyle w:val="Emphasis"/>
        </w:rPr>
        <w:t>World Development</w:t>
      </w:r>
      <w:r w:rsidRPr="005D0A6A">
        <w:rPr>
          <w:rStyle w:val="Emphasis"/>
          <w:rFonts w:eastAsiaTheme="majorEastAsia"/>
        </w:rPr>
        <w:t>, 38</w:t>
      </w:r>
      <w:r w:rsidRPr="005D0A6A">
        <w:t xml:space="preserve">(11), 1626–1641. </w:t>
      </w:r>
    </w:p>
    <w:p w14:paraId="632BEE7C" w14:textId="77777777" w:rsidR="00BB7A84" w:rsidRPr="005D0A6A" w:rsidRDefault="00BB7A84" w:rsidP="00BB7A84">
      <w:pPr>
        <w:pStyle w:val="NormalWeb"/>
        <w:spacing w:line="360" w:lineRule="auto"/>
        <w:ind w:left="360" w:hanging="720"/>
        <w:jc w:val="both"/>
      </w:pPr>
      <w:r w:rsidRPr="005D0A6A">
        <w:t xml:space="preserve">Adams, R. H., &amp; Page, J. (2003). International Migration, Remittances, and Poverty in Developing Countries. </w:t>
      </w:r>
      <w:r w:rsidRPr="005D0A6A">
        <w:rPr>
          <w:rStyle w:val="Emphasis"/>
        </w:rPr>
        <w:t>World Bank Policy Research Working Paper No</w:t>
      </w:r>
      <w:r w:rsidRPr="005D0A6A">
        <w:rPr>
          <w:rStyle w:val="Emphasis"/>
          <w:rFonts w:eastAsiaTheme="majorEastAsia"/>
        </w:rPr>
        <w:t>. 3179</w:t>
      </w:r>
      <w:r w:rsidRPr="005D0A6A">
        <w:t xml:space="preserve">. </w:t>
      </w:r>
    </w:p>
    <w:p w14:paraId="276904A8" w14:textId="77777777" w:rsidR="00BB7A84" w:rsidRPr="005D0A6A" w:rsidRDefault="00BB7A84" w:rsidP="00BB7A84">
      <w:pPr>
        <w:pStyle w:val="NormalWeb"/>
        <w:spacing w:line="360" w:lineRule="auto"/>
        <w:ind w:left="360" w:hanging="720"/>
        <w:jc w:val="both"/>
      </w:pPr>
      <w:r w:rsidRPr="005D0A6A">
        <w:t xml:space="preserve">Adelman, I., &amp; Taylor, J. E. (1990). Is Structural Adjustment with a Human Face Possible? </w:t>
      </w:r>
      <w:r w:rsidRPr="005D0A6A">
        <w:rPr>
          <w:rStyle w:val="Emphasis"/>
        </w:rPr>
        <w:t>World Development</w:t>
      </w:r>
      <w:r w:rsidRPr="005D0A6A">
        <w:rPr>
          <w:rStyle w:val="Emphasis"/>
          <w:rFonts w:eastAsiaTheme="majorEastAsia"/>
        </w:rPr>
        <w:t>, 18</w:t>
      </w:r>
      <w:r w:rsidRPr="005D0A6A">
        <w:t>(8), 1211–1218.</w:t>
      </w:r>
    </w:p>
    <w:p w14:paraId="02E4734E" w14:textId="77777777" w:rsidR="00BB7A84" w:rsidRPr="005D0A6A" w:rsidRDefault="00BB7A84" w:rsidP="00BB7A84">
      <w:pPr>
        <w:pStyle w:val="NormalWeb"/>
        <w:spacing w:line="360" w:lineRule="auto"/>
        <w:ind w:left="360" w:hanging="720"/>
        <w:jc w:val="both"/>
      </w:pPr>
      <w:r w:rsidRPr="005D0A6A">
        <w:lastRenderedPageBreak/>
        <w:t xml:space="preserve">Aggarwal, R., </w:t>
      </w:r>
      <w:proofErr w:type="spellStart"/>
      <w:r w:rsidRPr="005D0A6A">
        <w:t>Demirgüç-Kunt</w:t>
      </w:r>
      <w:proofErr w:type="spellEnd"/>
      <w:r w:rsidRPr="005D0A6A">
        <w:t xml:space="preserve">, A., &amp; </w:t>
      </w:r>
      <w:proofErr w:type="spellStart"/>
      <w:r w:rsidRPr="005D0A6A">
        <w:t>Pería</w:t>
      </w:r>
      <w:proofErr w:type="spellEnd"/>
      <w:r w:rsidRPr="005D0A6A">
        <w:t xml:space="preserve">, M. S. M. (2006). Do Workers' Remittances Promote Financial Development? </w:t>
      </w:r>
      <w:r w:rsidRPr="005D0A6A">
        <w:rPr>
          <w:rStyle w:val="Emphasis"/>
        </w:rPr>
        <w:t>World Bank Policy Research Working Paper No</w:t>
      </w:r>
      <w:r w:rsidRPr="005D0A6A">
        <w:rPr>
          <w:rStyle w:val="Emphasis"/>
          <w:rFonts w:eastAsiaTheme="majorEastAsia"/>
        </w:rPr>
        <w:t>. 3957</w:t>
      </w:r>
      <w:r w:rsidRPr="005D0A6A">
        <w:t xml:space="preserve">. </w:t>
      </w:r>
    </w:p>
    <w:p w14:paraId="11283BC0" w14:textId="77777777" w:rsidR="00BB7A84" w:rsidRPr="005D0A6A" w:rsidRDefault="00BB7A84" w:rsidP="00BB7A84">
      <w:pPr>
        <w:pStyle w:val="NormalWeb"/>
        <w:spacing w:line="360" w:lineRule="auto"/>
        <w:ind w:left="360" w:hanging="720"/>
        <w:jc w:val="both"/>
      </w:pPr>
      <w:r w:rsidRPr="005D0A6A">
        <w:t xml:space="preserve">Chami, R., Fullenkamp, C., &amp; Jahjah, S. (2005). Are Immigrant Remittance Flows a Source of Capital for Development? </w:t>
      </w:r>
      <w:r w:rsidRPr="005D0A6A">
        <w:rPr>
          <w:rStyle w:val="Emphasis"/>
        </w:rPr>
        <w:t>IMF Staff Papers</w:t>
      </w:r>
      <w:r w:rsidRPr="005D0A6A">
        <w:t xml:space="preserve">, 52(1), 55–81. </w:t>
      </w:r>
    </w:p>
    <w:p w14:paraId="4F88E202" w14:textId="77777777" w:rsidR="00BB7A84" w:rsidRPr="005D0A6A" w:rsidRDefault="00BB7A84" w:rsidP="00BB7A84">
      <w:pPr>
        <w:pStyle w:val="NormalWeb"/>
        <w:spacing w:line="360" w:lineRule="auto"/>
        <w:ind w:left="360" w:hanging="720"/>
        <w:jc w:val="both"/>
      </w:pPr>
      <w:r w:rsidRPr="005D0A6A">
        <w:t xml:space="preserve">Durand, J., Kandel, W., Parrado, E. A., &amp; Massey, D. S. (1996). International Migration and Development in Mexican Sending Communities. </w:t>
      </w:r>
      <w:r w:rsidRPr="005D0A6A">
        <w:rPr>
          <w:rStyle w:val="Emphasis"/>
        </w:rPr>
        <w:t>Demography</w:t>
      </w:r>
      <w:r w:rsidRPr="005D0A6A">
        <w:rPr>
          <w:rStyle w:val="Emphasis"/>
          <w:rFonts w:eastAsiaTheme="majorEastAsia"/>
        </w:rPr>
        <w:t>, 33</w:t>
      </w:r>
      <w:r w:rsidRPr="005D0A6A">
        <w:t xml:space="preserve">(2), 249–264. </w:t>
      </w:r>
    </w:p>
    <w:p w14:paraId="51534C7A" w14:textId="77777777" w:rsidR="00BB7A84" w:rsidRPr="005D0A6A" w:rsidRDefault="00BB7A84" w:rsidP="00BB7A84">
      <w:pPr>
        <w:pStyle w:val="NormalWeb"/>
        <w:spacing w:line="360" w:lineRule="auto"/>
        <w:ind w:left="360" w:hanging="720"/>
        <w:jc w:val="both"/>
      </w:pPr>
      <w:r w:rsidRPr="005D0A6A">
        <w:t xml:space="preserve">Ekanayake, E. M., &amp; Halkides, M. (2008). Remittances, Foreign Direct Investment, and Growth: Evidence from Developing Countries. </w:t>
      </w:r>
      <w:r w:rsidRPr="005D0A6A">
        <w:rPr>
          <w:rStyle w:val="Emphasis"/>
        </w:rPr>
        <w:t xml:space="preserve">Proceedings </w:t>
      </w:r>
      <w:r w:rsidRPr="005D0A6A">
        <w:rPr>
          <w:rStyle w:val="Emphasis"/>
          <w:rFonts w:eastAsiaTheme="majorEastAsia"/>
        </w:rPr>
        <w:t xml:space="preserve">Of The 2008 </w:t>
      </w:r>
      <w:r w:rsidRPr="005D0A6A">
        <w:rPr>
          <w:rStyle w:val="Emphasis"/>
        </w:rPr>
        <w:t xml:space="preserve">Global Conference </w:t>
      </w:r>
      <w:r w:rsidRPr="005D0A6A">
        <w:rPr>
          <w:rStyle w:val="Emphasis"/>
          <w:rFonts w:eastAsiaTheme="majorEastAsia"/>
        </w:rPr>
        <w:t xml:space="preserve">on </w:t>
      </w:r>
      <w:r w:rsidRPr="005D0A6A">
        <w:rPr>
          <w:rStyle w:val="Emphasis"/>
        </w:rPr>
        <w:t xml:space="preserve">Business </w:t>
      </w:r>
      <w:r w:rsidRPr="005D0A6A">
        <w:rPr>
          <w:rStyle w:val="Emphasis"/>
          <w:rFonts w:eastAsiaTheme="majorEastAsia"/>
        </w:rPr>
        <w:t xml:space="preserve">and </w:t>
      </w:r>
      <w:r w:rsidRPr="005D0A6A">
        <w:rPr>
          <w:rStyle w:val="Emphasis"/>
        </w:rPr>
        <w:t>Finance</w:t>
      </w:r>
      <w:r w:rsidRPr="005D0A6A">
        <w:rPr>
          <w:rStyle w:val="Emphasis"/>
          <w:rFonts w:eastAsiaTheme="majorEastAsia"/>
        </w:rPr>
        <w:t>, 3</w:t>
      </w:r>
      <w:r w:rsidRPr="005D0A6A">
        <w:t xml:space="preserve">(2), 201–202. </w:t>
      </w:r>
    </w:p>
    <w:p w14:paraId="03A9D7CA" w14:textId="77777777" w:rsidR="00BB7A84" w:rsidRPr="005D0A6A" w:rsidRDefault="00BB7A84" w:rsidP="00BB7A84">
      <w:pPr>
        <w:pStyle w:val="NormalWeb"/>
        <w:spacing w:line="360" w:lineRule="auto"/>
        <w:ind w:left="360" w:hanging="720"/>
        <w:jc w:val="both"/>
      </w:pPr>
      <w:r w:rsidRPr="005D0A6A">
        <w:t xml:space="preserve">Engle, R. F., &amp; Granger, C. W. J. (1987). Co-Integration and Error Correction: Representation, Estimation, and Testing. </w:t>
      </w:r>
      <w:r w:rsidRPr="005D0A6A">
        <w:rPr>
          <w:rStyle w:val="Emphasis"/>
        </w:rPr>
        <w:t>Econometrica</w:t>
      </w:r>
      <w:r w:rsidRPr="005D0A6A">
        <w:rPr>
          <w:rStyle w:val="Emphasis"/>
          <w:rFonts w:eastAsiaTheme="majorEastAsia"/>
        </w:rPr>
        <w:t>, 55</w:t>
      </w:r>
      <w:r w:rsidRPr="005D0A6A">
        <w:t xml:space="preserve">(2), 251–276. </w:t>
      </w:r>
    </w:p>
    <w:p w14:paraId="25C81057" w14:textId="77777777" w:rsidR="00BB7A84" w:rsidRPr="005D0A6A" w:rsidRDefault="00BB7A84" w:rsidP="00BB7A84">
      <w:pPr>
        <w:pStyle w:val="NormalWeb"/>
        <w:spacing w:line="360" w:lineRule="auto"/>
        <w:ind w:left="360" w:hanging="720"/>
        <w:jc w:val="both"/>
      </w:pPr>
      <w:r w:rsidRPr="005D0A6A">
        <w:t xml:space="preserve">Faini, R. (2001). Migration And Remittances: The Impact on the Source Country. </w:t>
      </w:r>
      <w:r w:rsidRPr="005D0A6A">
        <w:rPr>
          <w:rStyle w:val="Emphasis"/>
        </w:rPr>
        <w:t>International Migration</w:t>
      </w:r>
      <w:r w:rsidRPr="005D0A6A">
        <w:rPr>
          <w:rStyle w:val="Emphasis"/>
          <w:rFonts w:eastAsiaTheme="majorEastAsia"/>
        </w:rPr>
        <w:t>, 39</w:t>
      </w:r>
      <w:r w:rsidRPr="005D0A6A">
        <w:t>(5), 59–76.</w:t>
      </w:r>
    </w:p>
    <w:p w14:paraId="072796AD" w14:textId="77777777" w:rsidR="00BB7A84" w:rsidRPr="005D0A6A" w:rsidRDefault="00BB7A84" w:rsidP="00BB7A84">
      <w:pPr>
        <w:pStyle w:val="NormalWeb"/>
        <w:spacing w:line="360" w:lineRule="auto"/>
        <w:ind w:left="360" w:hanging="720"/>
        <w:jc w:val="both"/>
      </w:pPr>
      <w:r w:rsidRPr="005D0A6A">
        <w:t xml:space="preserve">Fayissa, B., &amp; Nsiah, C. (2010). The Impact of Remittances on Economic Growth and Development in Africa. </w:t>
      </w:r>
      <w:r w:rsidRPr="005D0A6A">
        <w:rPr>
          <w:rStyle w:val="Emphasis"/>
        </w:rPr>
        <w:t>The American Economist</w:t>
      </w:r>
      <w:r w:rsidRPr="005D0A6A">
        <w:rPr>
          <w:rStyle w:val="Emphasis"/>
          <w:rFonts w:eastAsiaTheme="majorEastAsia"/>
        </w:rPr>
        <w:t>, 55</w:t>
      </w:r>
      <w:r w:rsidRPr="005D0A6A">
        <w:t xml:space="preserve">(2), 92–103. </w:t>
      </w:r>
    </w:p>
    <w:p w14:paraId="14CC1FC0" w14:textId="77777777" w:rsidR="00BB7A84" w:rsidRPr="005D0A6A" w:rsidRDefault="00BB7A84" w:rsidP="00BB7A84">
      <w:pPr>
        <w:pStyle w:val="NormalWeb"/>
        <w:spacing w:line="360" w:lineRule="auto"/>
        <w:ind w:left="360" w:hanging="720"/>
        <w:jc w:val="both"/>
      </w:pPr>
      <w:r w:rsidRPr="005D0A6A">
        <w:t xml:space="preserve">Freund, C., &amp; Spatafora, N. (2008). Remittances, Transaction Costs, and Informality.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rPr>
          <w:rStyle w:val="Emphasis"/>
          <w:rFonts w:eastAsiaTheme="majorEastAsia"/>
        </w:rPr>
        <w:t>, 86</w:t>
      </w:r>
      <w:r w:rsidRPr="005D0A6A">
        <w:t xml:space="preserve">(2), 356–366. </w:t>
      </w:r>
    </w:p>
    <w:p w14:paraId="75EAC55D" w14:textId="77777777" w:rsidR="00BB7A84" w:rsidRPr="005D0A6A" w:rsidRDefault="00BB7A84" w:rsidP="00BB7A84">
      <w:pPr>
        <w:pStyle w:val="NormalWeb"/>
        <w:spacing w:line="360" w:lineRule="auto"/>
        <w:ind w:left="360" w:hanging="720"/>
        <w:jc w:val="both"/>
      </w:pPr>
      <w:r w:rsidRPr="005D0A6A">
        <w:t xml:space="preserve">Giuliano, P., &amp; Ruiz-Arranz, M. (2006). Remittances, Financial Development, and Growth.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t xml:space="preserve">, 90(1), 144–152. </w:t>
      </w:r>
    </w:p>
    <w:p w14:paraId="4AA27EF7" w14:textId="77777777" w:rsidR="00BB7A84" w:rsidRPr="005D0A6A" w:rsidRDefault="00BB7A84" w:rsidP="00BB7A84">
      <w:pPr>
        <w:pStyle w:val="NormalWeb"/>
        <w:spacing w:line="360" w:lineRule="auto"/>
        <w:ind w:left="360" w:hanging="720"/>
        <w:jc w:val="both"/>
      </w:pPr>
      <w:r w:rsidRPr="005D0A6A">
        <w:t xml:space="preserve">Gujarati, D. N. (2004). </w:t>
      </w:r>
      <w:r w:rsidRPr="005D0A6A">
        <w:rPr>
          <w:rStyle w:val="Emphasis"/>
        </w:rPr>
        <w:t>Basic econometrics</w:t>
      </w:r>
      <w:r w:rsidRPr="005D0A6A">
        <w:t xml:space="preserve"> (4th ed.). New York, NY: McGraw-Hill.</w:t>
      </w:r>
    </w:p>
    <w:p w14:paraId="56ED9F13" w14:textId="77777777" w:rsidR="00BB7A84" w:rsidRPr="005D0A6A" w:rsidRDefault="00BB7A84" w:rsidP="00BB7A84">
      <w:pPr>
        <w:pStyle w:val="NormalWeb"/>
        <w:spacing w:line="360" w:lineRule="auto"/>
        <w:ind w:left="360" w:hanging="720"/>
        <w:jc w:val="both"/>
      </w:pPr>
      <w:proofErr w:type="spellStart"/>
      <w:r w:rsidRPr="005D0A6A">
        <w:t>Gyanwaly</w:t>
      </w:r>
      <w:proofErr w:type="spellEnd"/>
      <w:r w:rsidRPr="005D0A6A">
        <w:t xml:space="preserve">, K. (2012). </w:t>
      </w:r>
      <w:r w:rsidRPr="005D0A6A">
        <w:rPr>
          <w:rStyle w:val="Emphasis"/>
        </w:rPr>
        <w:t>Time series econometrics: Concepts and applications</w:t>
      </w:r>
      <w:r w:rsidRPr="005D0A6A">
        <w:t>. Kathmandu: National School of Economics.</w:t>
      </w:r>
    </w:p>
    <w:p w14:paraId="74FC7178" w14:textId="77777777" w:rsidR="00BB7A84" w:rsidRPr="005D0A6A" w:rsidRDefault="00BB7A84" w:rsidP="00BB7A84">
      <w:pPr>
        <w:pStyle w:val="NormalWeb"/>
        <w:spacing w:line="360" w:lineRule="auto"/>
        <w:ind w:left="360" w:hanging="720"/>
        <w:jc w:val="both"/>
      </w:pPr>
      <w:r w:rsidRPr="005D0A6A">
        <w:t xml:space="preserve">Haddad, M., &amp; Harrison, A. E. (1993). Are There Positive Spillovers from Direct Foreign Investment? Evidence From Panel Data for Morocco.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rPr>
          <w:rStyle w:val="Emphasis"/>
          <w:rFonts w:eastAsiaTheme="majorEastAsia"/>
        </w:rPr>
        <w:t>, 42</w:t>
      </w:r>
      <w:r w:rsidRPr="005D0A6A">
        <w:t xml:space="preserve">(1), 51–74. </w:t>
      </w:r>
    </w:p>
    <w:p w14:paraId="1399F312" w14:textId="77777777" w:rsidR="00BB7A84" w:rsidRPr="005D0A6A" w:rsidRDefault="00BB7A84" w:rsidP="00BB7A84">
      <w:pPr>
        <w:pStyle w:val="NormalWeb"/>
        <w:spacing w:line="360" w:lineRule="auto"/>
        <w:ind w:left="360" w:hanging="720"/>
        <w:jc w:val="both"/>
      </w:pPr>
      <w:r w:rsidRPr="005D0A6A">
        <w:lastRenderedPageBreak/>
        <w:t xml:space="preserve">International Organization for Migration (IOM). (2021). </w:t>
      </w:r>
      <w:r w:rsidRPr="005D0A6A">
        <w:rPr>
          <w:rStyle w:val="Emphasis"/>
        </w:rPr>
        <w:t xml:space="preserve">World Migration Report </w:t>
      </w:r>
      <w:r w:rsidRPr="005D0A6A">
        <w:rPr>
          <w:rStyle w:val="Emphasis"/>
          <w:rFonts w:eastAsiaTheme="majorEastAsia"/>
        </w:rPr>
        <w:t>2022</w:t>
      </w:r>
      <w:r w:rsidRPr="005D0A6A">
        <w:t xml:space="preserve">. Geneva: IOM. </w:t>
      </w:r>
    </w:p>
    <w:p w14:paraId="140EB15D" w14:textId="77777777" w:rsidR="00BB7A84" w:rsidRPr="005D0A6A" w:rsidRDefault="00BB7A84" w:rsidP="00BB7A84">
      <w:pPr>
        <w:pStyle w:val="NormalWeb"/>
        <w:spacing w:line="360" w:lineRule="auto"/>
        <w:ind w:left="360" w:hanging="720"/>
        <w:jc w:val="both"/>
      </w:pPr>
      <w:r w:rsidRPr="005D0A6A">
        <w:t xml:space="preserve">Kumar, R. (2013). The Effect of Remittances on The Indian Economy. </w:t>
      </w:r>
      <w:r w:rsidRPr="005D0A6A">
        <w:rPr>
          <w:rStyle w:val="Emphasis"/>
        </w:rPr>
        <w:t xml:space="preserve">Journal </w:t>
      </w:r>
      <w:r w:rsidRPr="005D0A6A">
        <w:rPr>
          <w:rStyle w:val="Emphasis"/>
          <w:rFonts w:eastAsiaTheme="majorEastAsia"/>
        </w:rPr>
        <w:t xml:space="preserve">Of </w:t>
      </w:r>
      <w:r w:rsidRPr="005D0A6A">
        <w:rPr>
          <w:rStyle w:val="Emphasis"/>
        </w:rPr>
        <w:t xml:space="preserve">Economics </w:t>
      </w:r>
      <w:r w:rsidRPr="005D0A6A">
        <w:rPr>
          <w:rStyle w:val="Emphasis"/>
          <w:rFonts w:eastAsiaTheme="majorEastAsia"/>
        </w:rPr>
        <w:t xml:space="preserve">and </w:t>
      </w:r>
      <w:r w:rsidRPr="005D0A6A">
        <w:rPr>
          <w:rStyle w:val="Emphasis"/>
        </w:rPr>
        <w:t>Business</w:t>
      </w:r>
      <w:r w:rsidRPr="005D0A6A">
        <w:rPr>
          <w:rStyle w:val="Emphasis"/>
          <w:rFonts w:eastAsiaTheme="majorEastAsia"/>
        </w:rPr>
        <w:t>, 66</w:t>
      </w:r>
      <w:r w:rsidRPr="005D0A6A">
        <w:t xml:space="preserve">(3), 1–15. </w:t>
      </w:r>
    </w:p>
    <w:p w14:paraId="12B6FCA1" w14:textId="77777777" w:rsidR="00BB7A84" w:rsidRPr="005D0A6A" w:rsidRDefault="00BB7A84" w:rsidP="00BB7A84">
      <w:pPr>
        <w:pStyle w:val="NormalWeb"/>
        <w:spacing w:line="360" w:lineRule="auto"/>
        <w:ind w:left="360" w:hanging="720"/>
        <w:jc w:val="both"/>
      </w:pPr>
      <w:r>
        <w:t xml:space="preserve">Kumar, R. R., &amp; Stauvermann, P. J. (2014). Exploring the Nexus between Remittances and Economic Growth: A Study of Bangladesh. </w:t>
      </w:r>
      <w:r>
        <w:rPr>
          <w:rStyle w:val="Emphasis"/>
        </w:rPr>
        <w:t>International Review of Economics, 61</w:t>
      </w:r>
      <w:r>
        <w:t xml:space="preserve">(4), 399–415. </w:t>
      </w:r>
    </w:p>
    <w:p w14:paraId="110656AD" w14:textId="77777777" w:rsidR="00BB7A84" w:rsidRPr="005D0A6A" w:rsidRDefault="00BB7A84" w:rsidP="00BB7A84">
      <w:pPr>
        <w:pStyle w:val="NormalWeb"/>
        <w:spacing w:line="360" w:lineRule="auto"/>
        <w:ind w:left="360" w:hanging="720"/>
        <w:jc w:val="both"/>
      </w:pPr>
      <w:r w:rsidRPr="005D0A6A">
        <w:t xml:space="preserve">Meyer, D., &amp; Shera, A. (2017). The Impact of Remittances on Economic Growth: An Econometric Model. </w:t>
      </w:r>
      <w:r w:rsidRPr="005D0A6A">
        <w:rPr>
          <w:rStyle w:val="Emphasis"/>
        </w:rPr>
        <w:t xml:space="preserve">Journal </w:t>
      </w:r>
      <w:r w:rsidRPr="005D0A6A">
        <w:rPr>
          <w:rStyle w:val="Emphasis"/>
          <w:rFonts w:eastAsiaTheme="majorEastAsia"/>
        </w:rPr>
        <w:t xml:space="preserve">of </w:t>
      </w:r>
      <w:r w:rsidRPr="005D0A6A">
        <w:rPr>
          <w:rStyle w:val="Emphasis"/>
        </w:rPr>
        <w:t>Economic Development</w:t>
      </w:r>
      <w:r w:rsidRPr="005D0A6A">
        <w:rPr>
          <w:rStyle w:val="Emphasis"/>
          <w:rFonts w:eastAsiaTheme="majorEastAsia"/>
        </w:rPr>
        <w:t>, 42</w:t>
      </w:r>
      <w:r w:rsidRPr="005D0A6A">
        <w:t xml:space="preserve">(1), 1–22. </w:t>
      </w:r>
    </w:p>
    <w:p w14:paraId="3B37E870" w14:textId="77777777" w:rsidR="00BB7A84" w:rsidRPr="005D0A6A" w:rsidRDefault="00BB7A84" w:rsidP="00BB7A84">
      <w:pPr>
        <w:spacing w:line="360" w:lineRule="auto"/>
        <w:ind w:left="360" w:hanging="720"/>
        <w:jc w:val="both"/>
        <w:rPr>
          <w:rFonts w:ascii="Times New Roman" w:hAnsi="Times New Roman" w:cs="Times New Roman"/>
          <w:sz w:val="24"/>
          <w:szCs w:val="24"/>
        </w:rPr>
      </w:pPr>
      <w:r w:rsidRPr="005D0A6A">
        <w:rPr>
          <w:rFonts w:ascii="Times New Roman" w:hAnsi="Times New Roman" w:cs="Times New Roman"/>
          <w:sz w:val="24"/>
          <w:szCs w:val="24"/>
        </w:rPr>
        <w:t xml:space="preserve">Nayyar, D. (2008). </w:t>
      </w:r>
      <w:r w:rsidRPr="005D0A6A">
        <w:rPr>
          <w:rStyle w:val="Emphasis"/>
          <w:rFonts w:ascii="Times New Roman" w:hAnsi="Times New Roman" w:cs="Times New Roman"/>
          <w:sz w:val="24"/>
          <w:szCs w:val="24"/>
        </w:rPr>
        <w:t>The Political Economy of Remittances: What Do We Know? What Do We Need to Know?</w:t>
      </w:r>
      <w:r w:rsidRPr="005D0A6A">
        <w:rPr>
          <w:rFonts w:ascii="Times New Roman" w:hAnsi="Times New Roman" w:cs="Times New Roman"/>
          <w:sz w:val="24"/>
          <w:szCs w:val="24"/>
        </w:rPr>
        <w:t xml:space="preserve"> In </w:t>
      </w:r>
      <w:r w:rsidRPr="005D0A6A">
        <w:rPr>
          <w:rStyle w:val="Emphasis"/>
          <w:rFonts w:ascii="Times New Roman" w:hAnsi="Times New Roman" w:cs="Times New Roman"/>
          <w:sz w:val="24"/>
          <w:szCs w:val="24"/>
        </w:rPr>
        <w:t>Migration and Development: Perspectives from The South</w:t>
      </w:r>
      <w:r w:rsidRPr="005D0A6A">
        <w:rPr>
          <w:rFonts w:ascii="Times New Roman" w:hAnsi="Times New Roman" w:cs="Times New Roman"/>
          <w:sz w:val="24"/>
          <w:szCs w:val="24"/>
        </w:rPr>
        <w:t>, 1–24. International Organization for Migration.</w:t>
      </w:r>
    </w:p>
    <w:p w14:paraId="6ADCF65D" w14:textId="77777777" w:rsidR="00BB7A84" w:rsidRPr="005D0A6A" w:rsidRDefault="00BB7A84" w:rsidP="00BB7A84">
      <w:pPr>
        <w:pStyle w:val="NormalWeb"/>
        <w:spacing w:line="360" w:lineRule="auto"/>
        <w:ind w:left="360" w:hanging="720"/>
        <w:jc w:val="both"/>
      </w:pPr>
      <w:r w:rsidRPr="005D0A6A">
        <w:t xml:space="preserve">Nyasha, S., &amp; Odhiambo, N. M. (2020). Institutional Quality and Economic Growth in Sub-Saharan Africa: A Panel Data Analysis. </w:t>
      </w:r>
      <w:r w:rsidRPr="005D0A6A">
        <w:rPr>
          <w:rStyle w:val="Emphasis"/>
        </w:rPr>
        <w:t xml:space="preserve">Journal </w:t>
      </w:r>
      <w:r w:rsidRPr="005D0A6A">
        <w:rPr>
          <w:rStyle w:val="Emphasis"/>
          <w:rFonts w:eastAsiaTheme="majorEastAsia"/>
        </w:rPr>
        <w:t xml:space="preserve">of </w:t>
      </w:r>
      <w:r w:rsidRPr="005D0A6A">
        <w:rPr>
          <w:rStyle w:val="Emphasis"/>
        </w:rPr>
        <w:t>African Business</w:t>
      </w:r>
      <w:r w:rsidRPr="005D0A6A">
        <w:rPr>
          <w:rStyle w:val="Emphasis"/>
          <w:rFonts w:eastAsiaTheme="majorEastAsia"/>
        </w:rPr>
        <w:t>, 21</w:t>
      </w:r>
      <w:r w:rsidRPr="005D0A6A">
        <w:t xml:space="preserve">(1), 1–19. </w:t>
      </w:r>
    </w:p>
    <w:p w14:paraId="39E43A48" w14:textId="77777777" w:rsidR="00BB7A84" w:rsidRPr="005D0A6A" w:rsidRDefault="00BB7A84" w:rsidP="00BB7A84">
      <w:pPr>
        <w:pStyle w:val="NormalWeb"/>
        <w:spacing w:line="360" w:lineRule="auto"/>
        <w:ind w:left="360" w:hanging="720"/>
        <w:jc w:val="both"/>
      </w:pPr>
      <w:r w:rsidRPr="005D0A6A">
        <w:t xml:space="preserve">Pradhan, R. P. (2010). Capital Formation, Financial Development, and Economic Growth in India: Evidence from Time Series Data. </w:t>
      </w:r>
      <w:r w:rsidRPr="005D0A6A">
        <w:rPr>
          <w:rStyle w:val="Emphasis"/>
        </w:rPr>
        <w:t xml:space="preserve">International Research Journal </w:t>
      </w:r>
      <w:r w:rsidRPr="005D0A6A">
        <w:rPr>
          <w:rStyle w:val="Emphasis"/>
          <w:rFonts w:eastAsiaTheme="majorEastAsia"/>
        </w:rPr>
        <w:t xml:space="preserve">of </w:t>
      </w:r>
      <w:r w:rsidRPr="005D0A6A">
        <w:rPr>
          <w:rStyle w:val="Emphasis"/>
        </w:rPr>
        <w:t xml:space="preserve">Finance </w:t>
      </w:r>
      <w:r w:rsidRPr="005D0A6A">
        <w:rPr>
          <w:rStyle w:val="Emphasis"/>
          <w:rFonts w:eastAsiaTheme="majorEastAsia"/>
        </w:rPr>
        <w:t xml:space="preserve">and </w:t>
      </w:r>
      <w:r w:rsidRPr="005D0A6A">
        <w:rPr>
          <w:rStyle w:val="Emphasis"/>
        </w:rPr>
        <w:t>Economics</w:t>
      </w:r>
      <w:r w:rsidRPr="005D0A6A">
        <w:rPr>
          <w:rStyle w:val="Emphasis"/>
          <w:rFonts w:eastAsiaTheme="majorEastAsia"/>
        </w:rPr>
        <w:t>, 38</w:t>
      </w:r>
      <w:r w:rsidRPr="005D0A6A">
        <w:t>, 50–58.</w:t>
      </w:r>
    </w:p>
    <w:p w14:paraId="039CB699" w14:textId="77777777" w:rsidR="00BB7A84" w:rsidRPr="005D0A6A" w:rsidRDefault="00BB7A84" w:rsidP="00BB7A84">
      <w:pPr>
        <w:pStyle w:val="NormalWeb"/>
        <w:spacing w:line="360" w:lineRule="auto"/>
        <w:ind w:left="360" w:hanging="720"/>
        <w:jc w:val="both"/>
      </w:pPr>
      <w:r w:rsidRPr="005D0A6A">
        <w:t xml:space="preserve">Pradhan, R. P., Upadhyaya, K. P., &amp; Upadhyaya, B. (2008). Remittances and Economic Growth in Developing Countries. </w:t>
      </w:r>
      <w:r w:rsidRPr="005D0A6A">
        <w:rPr>
          <w:rStyle w:val="Emphasis"/>
        </w:rPr>
        <w:t xml:space="preserve">The European Journal </w:t>
      </w:r>
      <w:r w:rsidRPr="005D0A6A">
        <w:rPr>
          <w:rStyle w:val="Emphasis"/>
          <w:rFonts w:eastAsiaTheme="majorEastAsia"/>
        </w:rPr>
        <w:t xml:space="preserve">of </w:t>
      </w:r>
      <w:r w:rsidRPr="005D0A6A">
        <w:rPr>
          <w:rStyle w:val="Emphasis"/>
        </w:rPr>
        <w:t>Development Research</w:t>
      </w:r>
      <w:r w:rsidRPr="005D0A6A">
        <w:rPr>
          <w:rStyle w:val="Emphasis"/>
          <w:rFonts w:eastAsiaTheme="majorEastAsia"/>
        </w:rPr>
        <w:t>, 20</w:t>
      </w:r>
      <w:r w:rsidRPr="005D0A6A">
        <w:t xml:space="preserve">(3), 497–506. </w:t>
      </w:r>
    </w:p>
    <w:p w14:paraId="2E15C846" w14:textId="77777777" w:rsidR="00BB7A84" w:rsidRPr="005D0A6A" w:rsidRDefault="00BB7A84" w:rsidP="00BB7A84">
      <w:pPr>
        <w:pStyle w:val="NormalWeb"/>
        <w:spacing w:line="360" w:lineRule="auto"/>
        <w:ind w:left="360" w:hanging="720"/>
        <w:jc w:val="both"/>
      </w:pPr>
      <w:r w:rsidRPr="005D0A6A">
        <w:t xml:space="preserve">Pradhan, R. P., Upadhyaya, K. P., &amp; Upadhyaya, B. (2008). Remittances and Economic Growth in Developing Countries. </w:t>
      </w:r>
      <w:r w:rsidRPr="005D0A6A">
        <w:rPr>
          <w:rStyle w:val="Emphasis"/>
        </w:rPr>
        <w:t xml:space="preserve">The European Journal </w:t>
      </w:r>
      <w:r w:rsidRPr="005D0A6A">
        <w:rPr>
          <w:rStyle w:val="Emphasis"/>
          <w:rFonts w:eastAsiaTheme="majorEastAsia"/>
        </w:rPr>
        <w:t xml:space="preserve">of </w:t>
      </w:r>
      <w:r w:rsidRPr="005D0A6A">
        <w:rPr>
          <w:rStyle w:val="Emphasis"/>
        </w:rPr>
        <w:t>Development Research</w:t>
      </w:r>
      <w:r w:rsidRPr="005D0A6A">
        <w:rPr>
          <w:rStyle w:val="Emphasis"/>
          <w:rFonts w:eastAsiaTheme="majorEastAsia"/>
        </w:rPr>
        <w:t>, 20</w:t>
      </w:r>
      <w:r w:rsidRPr="005D0A6A">
        <w:t xml:space="preserve">(3), 497–506. </w:t>
      </w:r>
    </w:p>
    <w:p w14:paraId="14B10438" w14:textId="77777777" w:rsidR="00BB7A84" w:rsidRPr="005D0A6A" w:rsidRDefault="00BB7A84" w:rsidP="00BB7A84">
      <w:pPr>
        <w:pStyle w:val="NormalWeb"/>
        <w:spacing w:line="360" w:lineRule="auto"/>
        <w:ind w:left="360" w:hanging="720"/>
        <w:jc w:val="both"/>
      </w:pPr>
      <w:r w:rsidRPr="005D0A6A">
        <w:t xml:space="preserve">Randazzo, T., &amp; Piracha, M. (2019). Remittances and Household Expenditure Behavior: Evidence from Senegal. </w:t>
      </w:r>
      <w:r w:rsidRPr="005D0A6A">
        <w:rPr>
          <w:rStyle w:val="Emphasis"/>
        </w:rPr>
        <w:t>Economic Modelling</w:t>
      </w:r>
      <w:r w:rsidRPr="005D0A6A">
        <w:rPr>
          <w:rStyle w:val="Emphasis"/>
          <w:rFonts w:eastAsiaTheme="majorEastAsia"/>
        </w:rPr>
        <w:t>, 79</w:t>
      </w:r>
      <w:r w:rsidRPr="005D0A6A">
        <w:t xml:space="preserve">, 141–153. </w:t>
      </w:r>
    </w:p>
    <w:p w14:paraId="65FB8333" w14:textId="77777777" w:rsidR="00BB7A84" w:rsidRPr="005D0A6A" w:rsidRDefault="00BB7A84" w:rsidP="00BB7A84">
      <w:pPr>
        <w:pStyle w:val="NormalWeb"/>
        <w:spacing w:line="360" w:lineRule="auto"/>
        <w:ind w:left="360" w:hanging="720"/>
        <w:jc w:val="both"/>
      </w:pPr>
      <w:r w:rsidRPr="005D0A6A">
        <w:t xml:space="preserve">Ratha, D. (2003). </w:t>
      </w:r>
      <w:r w:rsidRPr="005D0A6A">
        <w:rPr>
          <w:rStyle w:val="Emphasis"/>
        </w:rPr>
        <w:t xml:space="preserve">Workers’ </w:t>
      </w:r>
      <w:r w:rsidRPr="005D0A6A">
        <w:rPr>
          <w:rStyle w:val="Emphasis"/>
          <w:rFonts w:eastAsiaTheme="majorEastAsia"/>
        </w:rPr>
        <w:t xml:space="preserve">Remittances: </w:t>
      </w:r>
      <w:r w:rsidRPr="005D0A6A">
        <w:rPr>
          <w:rStyle w:val="Emphasis"/>
        </w:rPr>
        <w:t xml:space="preserve">An </w:t>
      </w:r>
      <w:r w:rsidRPr="005D0A6A">
        <w:rPr>
          <w:rStyle w:val="Emphasis"/>
          <w:rFonts w:eastAsiaTheme="majorEastAsia"/>
        </w:rPr>
        <w:t>Important and Stable Source of External Development Finance</w:t>
      </w:r>
      <w:r w:rsidRPr="005D0A6A">
        <w:t>.  Global Development Finance 2003 (Pp. 157–175). Washington, DC: World Bank.</w:t>
      </w:r>
    </w:p>
    <w:p w14:paraId="7CE537D4" w14:textId="77777777" w:rsidR="00BB7A84" w:rsidRPr="005D0A6A" w:rsidRDefault="00BB7A84" w:rsidP="00BB7A84">
      <w:pPr>
        <w:pStyle w:val="NormalWeb"/>
        <w:spacing w:line="360" w:lineRule="auto"/>
        <w:ind w:left="360" w:hanging="720"/>
        <w:jc w:val="both"/>
      </w:pPr>
      <w:r w:rsidRPr="005D0A6A">
        <w:lastRenderedPageBreak/>
        <w:t xml:space="preserve">Ratha, D. (2013). </w:t>
      </w:r>
      <w:r w:rsidRPr="005D0A6A">
        <w:rPr>
          <w:rStyle w:val="Emphasis"/>
        </w:rPr>
        <w:t xml:space="preserve">The </w:t>
      </w:r>
      <w:r w:rsidRPr="005D0A6A">
        <w:rPr>
          <w:rStyle w:val="Emphasis"/>
          <w:rFonts w:eastAsiaTheme="majorEastAsia"/>
        </w:rPr>
        <w:t>Impact of Remittances on Economic Growth and Poverty Reduction</w:t>
      </w:r>
      <w:r w:rsidRPr="005D0A6A">
        <w:t xml:space="preserve">. Migration Policy Institute. </w:t>
      </w:r>
    </w:p>
    <w:p w14:paraId="009BCD56" w14:textId="77777777" w:rsidR="00BB7A84" w:rsidRPr="005D0A6A" w:rsidRDefault="00BB7A84" w:rsidP="00BB7A84">
      <w:pPr>
        <w:pStyle w:val="NormalWeb"/>
        <w:spacing w:line="360" w:lineRule="auto"/>
        <w:ind w:left="360" w:hanging="720"/>
        <w:jc w:val="both"/>
      </w:pPr>
      <w:r w:rsidRPr="005D0A6A">
        <w:t xml:space="preserve">Ratha, D., &amp; Shaw, W. (2006). Migration And Development: A Perspective on Remittances. </w:t>
      </w:r>
      <w:r w:rsidRPr="005D0A6A">
        <w:rPr>
          <w:rStyle w:val="Emphasis"/>
        </w:rPr>
        <w:t>World Bank Policy Research Working Paper No</w:t>
      </w:r>
      <w:r w:rsidRPr="005D0A6A">
        <w:rPr>
          <w:rStyle w:val="Emphasis"/>
          <w:rFonts w:eastAsiaTheme="majorEastAsia"/>
        </w:rPr>
        <w:t>. 3957</w:t>
      </w:r>
      <w:r w:rsidRPr="005D0A6A">
        <w:t xml:space="preserve">. </w:t>
      </w:r>
    </w:p>
    <w:p w14:paraId="7420FF88" w14:textId="77777777" w:rsidR="00BB7A84" w:rsidRPr="005D0A6A" w:rsidRDefault="00BB7A84" w:rsidP="00BB7A84">
      <w:pPr>
        <w:pStyle w:val="NormalWeb"/>
        <w:spacing w:line="360" w:lineRule="auto"/>
        <w:ind w:left="360" w:hanging="720"/>
        <w:jc w:val="both"/>
      </w:pPr>
      <w:r w:rsidRPr="005D0A6A">
        <w:t xml:space="preserve">Rivera-Batiz, F. L., &amp; Romer, P. M. (1991). Economic Integration and Endogenous Growth. </w:t>
      </w:r>
      <w:r w:rsidRPr="005D0A6A">
        <w:rPr>
          <w:rStyle w:val="Emphasis"/>
        </w:rPr>
        <w:t xml:space="preserve">Quarterly Journal </w:t>
      </w:r>
      <w:r w:rsidRPr="005D0A6A">
        <w:rPr>
          <w:rStyle w:val="Emphasis"/>
          <w:rFonts w:eastAsiaTheme="majorEastAsia"/>
        </w:rPr>
        <w:t xml:space="preserve">of </w:t>
      </w:r>
      <w:r w:rsidRPr="005D0A6A">
        <w:rPr>
          <w:rStyle w:val="Emphasis"/>
        </w:rPr>
        <w:t>Economics</w:t>
      </w:r>
      <w:r w:rsidRPr="005D0A6A">
        <w:rPr>
          <w:rStyle w:val="Emphasis"/>
          <w:rFonts w:eastAsiaTheme="majorEastAsia"/>
        </w:rPr>
        <w:t>, 106</w:t>
      </w:r>
      <w:r w:rsidRPr="005D0A6A">
        <w:t xml:space="preserve">(2), 531–555. </w:t>
      </w:r>
    </w:p>
    <w:p w14:paraId="30F7F374" w14:textId="77777777" w:rsidR="00BB7A84" w:rsidRPr="005D0A6A" w:rsidRDefault="00BB7A84" w:rsidP="00BB7A84">
      <w:pPr>
        <w:pStyle w:val="NormalWeb"/>
        <w:spacing w:line="360" w:lineRule="auto"/>
        <w:ind w:left="360" w:hanging="720"/>
        <w:jc w:val="both"/>
      </w:pPr>
      <w:r w:rsidRPr="005D0A6A">
        <w:t xml:space="preserve">Romer, P. M. (1990). Endogenous Technological Change. </w:t>
      </w:r>
      <w:r w:rsidRPr="005D0A6A">
        <w:rPr>
          <w:rStyle w:val="Emphasis"/>
        </w:rPr>
        <w:t xml:space="preserve">Journal </w:t>
      </w:r>
      <w:r w:rsidRPr="005D0A6A">
        <w:rPr>
          <w:rStyle w:val="Emphasis"/>
          <w:rFonts w:eastAsiaTheme="majorEastAsia"/>
        </w:rPr>
        <w:t xml:space="preserve">Of </w:t>
      </w:r>
      <w:r w:rsidRPr="005D0A6A">
        <w:rPr>
          <w:rStyle w:val="Emphasis"/>
        </w:rPr>
        <w:t>Political Economy</w:t>
      </w:r>
      <w:r w:rsidRPr="005D0A6A">
        <w:rPr>
          <w:rStyle w:val="Emphasis"/>
          <w:rFonts w:eastAsiaTheme="majorEastAsia"/>
        </w:rPr>
        <w:t>, 98</w:t>
      </w:r>
      <w:r w:rsidRPr="005D0A6A">
        <w:t xml:space="preserve">(5, Part 2), S71–S102. </w:t>
      </w:r>
    </w:p>
    <w:p w14:paraId="33436F80" w14:textId="77777777" w:rsidR="00BB7A84" w:rsidRDefault="00BB7A84" w:rsidP="00BB7A84">
      <w:pPr>
        <w:pStyle w:val="NormalWeb"/>
        <w:spacing w:line="360" w:lineRule="auto"/>
        <w:ind w:left="360" w:hanging="720"/>
        <w:jc w:val="both"/>
      </w:pPr>
      <w:r>
        <w:t xml:space="preserve">Romer, P. M. (1990). Endogenous Technological Change. </w:t>
      </w:r>
      <w:r>
        <w:rPr>
          <w:rStyle w:val="Emphasis"/>
        </w:rPr>
        <w:t>Journal of Political Economy, 98</w:t>
      </w:r>
      <w:r>
        <w:t xml:space="preserve">(5, Part 2), S71–S102. </w:t>
      </w:r>
    </w:p>
    <w:p w14:paraId="3D194A7B" w14:textId="77777777" w:rsidR="00BB7A84" w:rsidRPr="005D0A6A" w:rsidRDefault="00BB7A84" w:rsidP="00BB7A84">
      <w:pPr>
        <w:pStyle w:val="NormalWeb"/>
        <w:spacing w:line="360" w:lineRule="auto"/>
        <w:ind w:left="360" w:hanging="720"/>
        <w:jc w:val="both"/>
      </w:pPr>
      <w:r w:rsidRPr="005D0A6A">
        <w:t xml:space="preserve">Sasin, M. J., &amp; Mckenzie, D. (2007). Migration, Remittances, Poverty, and Human Capital: Conceptual and Empirical Challenges. </w:t>
      </w:r>
      <w:r w:rsidRPr="005D0A6A">
        <w:rPr>
          <w:rStyle w:val="Emphasis"/>
        </w:rPr>
        <w:t>World Bank Policy Research Working Paper No</w:t>
      </w:r>
      <w:r w:rsidRPr="005D0A6A">
        <w:rPr>
          <w:rStyle w:val="Emphasis"/>
          <w:rFonts w:eastAsiaTheme="majorEastAsia"/>
        </w:rPr>
        <w:t>. 4272</w:t>
      </w:r>
      <w:r w:rsidRPr="005D0A6A">
        <w:t xml:space="preserve">. </w:t>
      </w:r>
    </w:p>
    <w:p w14:paraId="0E4B2761" w14:textId="77777777" w:rsidR="00BB7A84" w:rsidRPr="005D0A6A" w:rsidRDefault="00BB7A84" w:rsidP="00BB7A84">
      <w:pPr>
        <w:pStyle w:val="NormalWeb"/>
        <w:spacing w:line="360" w:lineRule="auto"/>
        <w:ind w:left="360" w:hanging="720"/>
        <w:jc w:val="both"/>
      </w:pPr>
      <w:r w:rsidRPr="005D0A6A">
        <w:t xml:space="preserve">Solow, R. M. (1956). A Contribution to the theory of Economic Growth. </w:t>
      </w:r>
      <w:r w:rsidRPr="005D0A6A">
        <w:rPr>
          <w:rStyle w:val="Emphasis"/>
        </w:rPr>
        <w:t xml:space="preserve">Quarterly Journal </w:t>
      </w:r>
      <w:r w:rsidRPr="005D0A6A">
        <w:rPr>
          <w:rStyle w:val="Emphasis"/>
          <w:rFonts w:eastAsiaTheme="majorEastAsia"/>
        </w:rPr>
        <w:t xml:space="preserve">of </w:t>
      </w:r>
      <w:r w:rsidRPr="005D0A6A">
        <w:rPr>
          <w:rStyle w:val="Emphasis"/>
        </w:rPr>
        <w:t>Economics</w:t>
      </w:r>
      <w:r w:rsidRPr="005D0A6A">
        <w:rPr>
          <w:rStyle w:val="Emphasis"/>
          <w:rFonts w:eastAsiaTheme="majorEastAsia"/>
        </w:rPr>
        <w:t>, 70</w:t>
      </w:r>
      <w:r w:rsidRPr="005D0A6A">
        <w:t xml:space="preserve">(1), 65–94. </w:t>
      </w:r>
    </w:p>
    <w:p w14:paraId="74326DC8" w14:textId="77777777" w:rsidR="00BB7A84" w:rsidRDefault="00BB7A84" w:rsidP="00BB7A84">
      <w:pPr>
        <w:pStyle w:val="NormalWeb"/>
        <w:spacing w:line="360" w:lineRule="auto"/>
        <w:ind w:left="360" w:hanging="720"/>
        <w:jc w:val="both"/>
      </w:pPr>
      <w:r>
        <w:t xml:space="preserve">Solow, R. M. (1956). A Contribution to the theory of Economic Growth. </w:t>
      </w:r>
      <w:r>
        <w:rPr>
          <w:rStyle w:val="Emphasis"/>
        </w:rPr>
        <w:t>Quarterly Journal of Economics, 70</w:t>
      </w:r>
      <w:r>
        <w:t xml:space="preserve">(1), 65–94. </w:t>
      </w:r>
    </w:p>
    <w:p w14:paraId="4DAA7EAD" w14:textId="77777777" w:rsidR="00BB7A84" w:rsidRPr="005D0A6A" w:rsidRDefault="00BB7A84" w:rsidP="00BB7A84">
      <w:pPr>
        <w:pStyle w:val="NormalWeb"/>
        <w:spacing w:line="360" w:lineRule="auto"/>
        <w:ind w:left="360" w:hanging="720"/>
        <w:jc w:val="both"/>
      </w:pPr>
      <w:r w:rsidRPr="005D0A6A">
        <w:t xml:space="preserve">Song, H., Liu, Y., &amp; Zhang, J. (2021). The Impact of Institutional Quality on Economic Growth: Evidence from China. </w:t>
      </w:r>
      <w:r w:rsidRPr="005D0A6A">
        <w:rPr>
          <w:rStyle w:val="Emphasis"/>
        </w:rPr>
        <w:t>Sustainability</w:t>
      </w:r>
      <w:r w:rsidRPr="005D0A6A">
        <w:rPr>
          <w:rStyle w:val="Emphasis"/>
          <w:rFonts w:eastAsiaTheme="majorEastAsia"/>
        </w:rPr>
        <w:t>, 13</w:t>
      </w:r>
      <w:r w:rsidRPr="005D0A6A">
        <w:t xml:space="preserve">(4), 1–16. </w:t>
      </w:r>
    </w:p>
    <w:p w14:paraId="20CA97C7" w14:textId="77777777" w:rsidR="00BB7A84" w:rsidRPr="005D0A6A" w:rsidRDefault="00BB7A84" w:rsidP="00BB7A84">
      <w:pPr>
        <w:pStyle w:val="NormalWeb"/>
        <w:spacing w:line="360" w:lineRule="auto"/>
        <w:ind w:left="360" w:hanging="720"/>
        <w:jc w:val="both"/>
      </w:pPr>
      <w:r w:rsidRPr="005D0A6A">
        <w:t xml:space="preserve">Spatafora, N. (2005). Workers' Remittances and Economic Growth. </w:t>
      </w:r>
      <w:r w:rsidRPr="005D0A6A">
        <w:rPr>
          <w:rStyle w:val="Emphasis"/>
        </w:rPr>
        <w:t>World Bank Policy Research Working Paper No</w:t>
      </w:r>
      <w:r w:rsidRPr="005D0A6A">
        <w:rPr>
          <w:rStyle w:val="Emphasis"/>
          <w:rFonts w:eastAsiaTheme="majorEastAsia"/>
        </w:rPr>
        <w:t>. 3571</w:t>
      </w:r>
      <w:r w:rsidRPr="005D0A6A">
        <w:t xml:space="preserve">. </w:t>
      </w:r>
    </w:p>
    <w:p w14:paraId="172D7A79" w14:textId="77777777" w:rsidR="00BB7A84" w:rsidRPr="005D0A6A" w:rsidRDefault="00BB7A84" w:rsidP="00BB7A84">
      <w:pPr>
        <w:pStyle w:val="NormalWeb"/>
        <w:spacing w:line="360" w:lineRule="auto"/>
        <w:ind w:left="360" w:hanging="720"/>
        <w:jc w:val="both"/>
      </w:pPr>
      <w:r w:rsidRPr="005D0A6A">
        <w:t xml:space="preserve">Srinivasan, P., &amp; Kalaivani, M. (2016). The Role of Remittances in India's Economic Growth. </w:t>
      </w:r>
      <w:r w:rsidRPr="005D0A6A">
        <w:rPr>
          <w:rStyle w:val="Emphasis"/>
        </w:rPr>
        <w:t xml:space="preserve">Journal </w:t>
      </w:r>
      <w:r w:rsidRPr="005D0A6A">
        <w:rPr>
          <w:rStyle w:val="Emphasis"/>
          <w:rFonts w:eastAsiaTheme="majorEastAsia"/>
        </w:rPr>
        <w:t xml:space="preserve">of </w:t>
      </w:r>
      <w:r w:rsidRPr="005D0A6A">
        <w:rPr>
          <w:rStyle w:val="Emphasis"/>
        </w:rPr>
        <w:t>South Asian Development</w:t>
      </w:r>
      <w:r w:rsidRPr="005D0A6A">
        <w:rPr>
          <w:rStyle w:val="Emphasis"/>
          <w:rFonts w:eastAsiaTheme="majorEastAsia"/>
        </w:rPr>
        <w:t>, 11</w:t>
      </w:r>
      <w:r w:rsidRPr="005D0A6A">
        <w:t xml:space="preserve">(2), 1–20. </w:t>
      </w:r>
    </w:p>
    <w:p w14:paraId="46C02AE1" w14:textId="77777777" w:rsidR="00BB7A84" w:rsidRPr="005D0A6A" w:rsidRDefault="00BB7A84" w:rsidP="00BB7A84">
      <w:pPr>
        <w:pStyle w:val="NormalWeb"/>
        <w:spacing w:line="360" w:lineRule="auto"/>
        <w:ind w:left="360" w:hanging="720"/>
        <w:jc w:val="both"/>
      </w:pPr>
      <w:r w:rsidRPr="005D0A6A">
        <w:t xml:space="preserve">Tahir, M., Shah, M. H., &amp; Khan, M. A. (2020). The Impact of Foreign Direct Investment on Economic Growth in Pakistan. </w:t>
      </w:r>
      <w:r w:rsidRPr="005D0A6A">
        <w:rPr>
          <w:rStyle w:val="Emphasis"/>
        </w:rPr>
        <w:t xml:space="preserve">Journal </w:t>
      </w:r>
      <w:r w:rsidRPr="005D0A6A">
        <w:rPr>
          <w:rStyle w:val="Emphasis"/>
          <w:rFonts w:eastAsiaTheme="majorEastAsia"/>
        </w:rPr>
        <w:t xml:space="preserve">of </w:t>
      </w:r>
      <w:r w:rsidRPr="005D0A6A">
        <w:rPr>
          <w:rStyle w:val="Emphasis"/>
        </w:rPr>
        <w:t xml:space="preserve">Economics </w:t>
      </w:r>
      <w:r w:rsidRPr="005D0A6A">
        <w:rPr>
          <w:rStyle w:val="Emphasis"/>
          <w:rFonts w:eastAsiaTheme="majorEastAsia"/>
        </w:rPr>
        <w:t xml:space="preserve">and </w:t>
      </w:r>
      <w:r w:rsidRPr="005D0A6A">
        <w:rPr>
          <w:rStyle w:val="Emphasis"/>
        </w:rPr>
        <w:t>Sustainable Development</w:t>
      </w:r>
      <w:r w:rsidRPr="005D0A6A">
        <w:rPr>
          <w:rStyle w:val="Emphasis"/>
          <w:rFonts w:eastAsiaTheme="majorEastAsia"/>
        </w:rPr>
        <w:t>, 11</w:t>
      </w:r>
      <w:r w:rsidRPr="005D0A6A">
        <w:t xml:space="preserve">(8), 1–10. </w:t>
      </w:r>
    </w:p>
    <w:p w14:paraId="5539D90C" w14:textId="77777777" w:rsidR="00BB7A84" w:rsidRPr="005D0A6A" w:rsidRDefault="00BB7A84" w:rsidP="00BB7A84">
      <w:pPr>
        <w:pStyle w:val="NormalWeb"/>
        <w:spacing w:line="360" w:lineRule="auto"/>
        <w:ind w:left="360" w:hanging="720"/>
        <w:jc w:val="both"/>
      </w:pPr>
      <w:r w:rsidRPr="005D0A6A">
        <w:lastRenderedPageBreak/>
        <w:t xml:space="preserve">Taylor, J. E. (1992). Remittances and Inequality Reconsidered: Direct, Indirect, and Intertemporal Effects. </w:t>
      </w:r>
      <w:r w:rsidRPr="005D0A6A">
        <w:rPr>
          <w:rStyle w:val="Emphasis"/>
        </w:rPr>
        <w:t xml:space="preserve">Journal </w:t>
      </w:r>
      <w:r w:rsidRPr="005D0A6A">
        <w:rPr>
          <w:rStyle w:val="Emphasis"/>
          <w:rFonts w:eastAsiaTheme="majorEastAsia"/>
        </w:rPr>
        <w:t xml:space="preserve">of </w:t>
      </w:r>
      <w:r w:rsidRPr="005D0A6A">
        <w:rPr>
          <w:rStyle w:val="Emphasis"/>
        </w:rPr>
        <w:t>Policy Modeling</w:t>
      </w:r>
      <w:r w:rsidRPr="005D0A6A">
        <w:rPr>
          <w:rStyle w:val="Emphasis"/>
          <w:rFonts w:eastAsiaTheme="majorEastAsia"/>
        </w:rPr>
        <w:t>, 14</w:t>
      </w:r>
      <w:r w:rsidRPr="005D0A6A">
        <w:t xml:space="preserve">(2), 187–208. </w:t>
      </w:r>
    </w:p>
    <w:p w14:paraId="27487D00" w14:textId="77777777" w:rsidR="00BB7A84" w:rsidRPr="005D0A6A" w:rsidRDefault="00BB7A84" w:rsidP="00BB7A84">
      <w:pPr>
        <w:pStyle w:val="NormalWeb"/>
        <w:spacing w:line="360" w:lineRule="auto"/>
        <w:ind w:left="360" w:hanging="720"/>
        <w:jc w:val="both"/>
      </w:pPr>
      <w:r w:rsidRPr="005D0A6A">
        <w:t xml:space="preserve">United Nations, Department of Economic and Social Affairs (UN DESA). (2021). </w:t>
      </w:r>
      <w:r w:rsidRPr="005D0A6A">
        <w:rPr>
          <w:rStyle w:val="Emphasis"/>
        </w:rPr>
        <w:t xml:space="preserve">International </w:t>
      </w:r>
      <w:r w:rsidRPr="005D0A6A">
        <w:rPr>
          <w:rStyle w:val="Emphasis"/>
          <w:rFonts w:eastAsiaTheme="majorEastAsia"/>
        </w:rPr>
        <w:t>Migration 2021 Highlights</w:t>
      </w:r>
      <w:r w:rsidRPr="005D0A6A">
        <w:t xml:space="preserve">. New York: United Nations. </w:t>
      </w:r>
    </w:p>
    <w:p w14:paraId="22F02219" w14:textId="77777777" w:rsidR="00BB7A84" w:rsidRPr="005D0A6A" w:rsidRDefault="00BB7A84" w:rsidP="00BB7A84">
      <w:pPr>
        <w:spacing w:line="360" w:lineRule="auto"/>
        <w:ind w:left="360" w:hanging="720"/>
        <w:jc w:val="both"/>
        <w:rPr>
          <w:rFonts w:ascii="Times New Roman" w:hAnsi="Times New Roman" w:cs="Times New Roman"/>
          <w:sz w:val="24"/>
          <w:szCs w:val="24"/>
        </w:rPr>
      </w:pPr>
      <w:r w:rsidRPr="005D0A6A">
        <w:rPr>
          <w:rFonts w:ascii="Times New Roman" w:hAnsi="Times New Roman" w:cs="Times New Roman"/>
          <w:sz w:val="24"/>
          <w:szCs w:val="24"/>
        </w:rPr>
        <w:t xml:space="preserve">United Nations. (2005). </w:t>
      </w:r>
      <w:r w:rsidRPr="005D0A6A">
        <w:rPr>
          <w:rStyle w:val="Emphasis"/>
          <w:rFonts w:ascii="Times New Roman" w:hAnsi="Times New Roman" w:cs="Times New Roman"/>
          <w:sz w:val="24"/>
          <w:szCs w:val="24"/>
        </w:rPr>
        <w:t>World Economic and Social Survey 2005: Financing for Development</w:t>
      </w:r>
      <w:r w:rsidRPr="005D0A6A">
        <w:rPr>
          <w:rFonts w:ascii="Times New Roman" w:hAnsi="Times New Roman" w:cs="Times New Roman"/>
          <w:sz w:val="24"/>
          <w:szCs w:val="24"/>
        </w:rPr>
        <w:t xml:space="preserve">. United Nations. </w:t>
      </w:r>
    </w:p>
    <w:p w14:paraId="7158DC4A" w14:textId="77777777" w:rsidR="00BB7A84" w:rsidRPr="005D0A6A" w:rsidRDefault="00BB7A84" w:rsidP="00BB7A84">
      <w:pPr>
        <w:pStyle w:val="NormalWeb"/>
        <w:spacing w:line="360" w:lineRule="auto"/>
        <w:ind w:left="360" w:hanging="720"/>
        <w:jc w:val="both"/>
      </w:pPr>
      <w:r w:rsidRPr="005D0A6A">
        <w:t xml:space="preserve">United Nations. (2022). </w:t>
      </w:r>
      <w:r w:rsidRPr="005D0A6A">
        <w:rPr>
          <w:rStyle w:val="Emphasis"/>
        </w:rPr>
        <w:t xml:space="preserve">World </w:t>
      </w:r>
      <w:r w:rsidRPr="005D0A6A">
        <w:rPr>
          <w:rStyle w:val="Emphasis"/>
          <w:rFonts w:eastAsiaTheme="majorEastAsia"/>
        </w:rPr>
        <w:t xml:space="preserve">Population Prospects 2022: </w:t>
      </w:r>
      <w:r w:rsidRPr="005D0A6A">
        <w:rPr>
          <w:rStyle w:val="Emphasis"/>
        </w:rPr>
        <w:t xml:space="preserve">Summary </w:t>
      </w:r>
      <w:r w:rsidRPr="005D0A6A">
        <w:rPr>
          <w:rStyle w:val="Emphasis"/>
          <w:rFonts w:eastAsiaTheme="majorEastAsia"/>
        </w:rPr>
        <w:t>of Results</w:t>
      </w:r>
      <w:r w:rsidRPr="005D0A6A">
        <w:t xml:space="preserve">. New York: United Nations. </w:t>
      </w:r>
    </w:p>
    <w:p w14:paraId="79080076" w14:textId="77777777" w:rsidR="00BB7A84" w:rsidRPr="005D0A6A" w:rsidRDefault="00BB7A84" w:rsidP="00BB7A84">
      <w:pPr>
        <w:pStyle w:val="NormalWeb"/>
        <w:spacing w:line="360" w:lineRule="auto"/>
        <w:ind w:left="360" w:hanging="720"/>
        <w:jc w:val="both"/>
      </w:pPr>
      <w:r w:rsidRPr="005D0A6A">
        <w:t xml:space="preserve">World Bank. (2022). </w:t>
      </w:r>
      <w:r w:rsidRPr="005D0A6A">
        <w:rPr>
          <w:rStyle w:val="Emphasis"/>
        </w:rPr>
        <w:t xml:space="preserve">Remittance </w:t>
      </w:r>
      <w:r w:rsidRPr="005D0A6A">
        <w:rPr>
          <w:rStyle w:val="Emphasis"/>
          <w:rFonts w:eastAsiaTheme="majorEastAsia"/>
        </w:rPr>
        <w:t xml:space="preserve">Flows Reached an All-Time High In 2022 In </w:t>
      </w:r>
      <w:r w:rsidRPr="005D0A6A">
        <w:rPr>
          <w:rStyle w:val="Emphasis"/>
        </w:rPr>
        <w:t>South Asia</w:t>
      </w:r>
      <w:r w:rsidRPr="005D0A6A">
        <w:t xml:space="preserve">. </w:t>
      </w:r>
    </w:p>
    <w:p w14:paraId="43069931" w14:textId="77777777" w:rsidR="00BB7A84" w:rsidRDefault="00BB7A84" w:rsidP="00BB7A84">
      <w:pPr>
        <w:pStyle w:val="NormalWeb"/>
        <w:spacing w:line="360" w:lineRule="auto"/>
        <w:ind w:left="360" w:hanging="720"/>
        <w:jc w:val="both"/>
      </w:pPr>
      <w:r w:rsidRPr="005D0A6A">
        <w:t xml:space="preserve">World Bank. (2023). </w:t>
      </w:r>
      <w:r w:rsidRPr="005D0A6A">
        <w:rPr>
          <w:rStyle w:val="Emphasis"/>
        </w:rPr>
        <w:t xml:space="preserve">Personal </w:t>
      </w:r>
      <w:r w:rsidRPr="005D0A6A">
        <w:rPr>
          <w:rStyle w:val="Emphasis"/>
          <w:rFonts w:eastAsiaTheme="majorEastAsia"/>
        </w:rPr>
        <w:t xml:space="preserve">Remittances, Received (Current </w:t>
      </w:r>
      <w:r w:rsidRPr="005D0A6A">
        <w:rPr>
          <w:rStyle w:val="Emphasis"/>
        </w:rPr>
        <w:t>US</w:t>
      </w:r>
      <w:r w:rsidRPr="005D0A6A">
        <w:rPr>
          <w:rStyle w:val="Emphasis"/>
          <w:rFonts w:eastAsiaTheme="majorEastAsia"/>
        </w:rPr>
        <w:t>$)</w:t>
      </w:r>
      <w:r w:rsidRPr="005D0A6A">
        <w:t>. World Development Indicator, World Bank.</w:t>
      </w:r>
    </w:p>
    <w:p w14:paraId="74B62E22" w14:textId="3A1E30FB" w:rsidR="00A11211" w:rsidRDefault="00A11211" w:rsidP="00A11211">
      <w:pPr>
        <w:spacing w:line="360" w:lineRule="auto"/>
        <w:ind w:left="720" w:hanging="720"/>
        <w:jc w:val="both"/>
        <w:rPr>
          <w:rFonts w:ascii="Times New Roman" w:hAnsi="Times New Roman" w:cs="Times New Roman"/>
          <w:sz w:val="24"/>
          <w:szCs w:val="24"/>
        </w:rPr>
      </w:pPr>
    </w:p>
    <w:sectPr w:rsidR="00A112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3D1D" w14:textId="77777777" w:rsidR="00A2338A" w:rsidRDefault="00A2338A" w:rsidP="00A11211">
      <w:pPr>
        <w:spacing w:after="0" w:line="240" w:lineRule="auto"/>
      </w:pPr>
      <w:r>
        <w:separator/>
      </w:r>
    </w:p>
  </w:endnote>
  <w:endnote w:type="continuationSeparator" w:id="0">
    <w:p w14:paraId="07FF29A1" w14:textId="77777777" w:rsidR="00A2338A" w:rsidRDefault="00A2338A" w:rsidP="00A1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EE7F" w14:textId="77777777" w:rsidR="002F359B" w:rsidRDefault="002F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5569" w14:textId="77777777" w:rsidR="002F359B" w:rsidRDefault="002F3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879A" w14:textId="77777777" w:rsidR="002F359B" w:rsidRDefault="002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2F4D" w14:textId="77777777" w:rsidR="00A2338A" w:rsidRDefault="00A2338A" w:rsidP="00A11211">
      <w:pPr>
        <w:spacing w:after="0" w:line="240" w:lineRule="auto"/>
      </w:pPr>
      <w:r>
        <w:separator/>
      </w:r>
    </w:p>
  </w:footnote>
  <w:footnote w:type="continuationSeparator" w:id="0">
    <w:p w14:paraId="5B2736B6" w14:textId="77777777" w:rsidR="00A2338A" w:rsidRDefault="00A2338A" w:rsidP="00A1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D304" w14:textId="78CD60C0" w:rsidR="002F359B" w:rsidRDefault="0066318F">
    <w:pPr>
      <w:pStyle w:val="Header"/>
    </w:pPr>
    <w:r>
      <w:rPr>
        <w:noProof/>
      </w:rPr>
      <w:pict w14:anchorId="63741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8501" w14:textId="52C9D219" w:rsidR="002F359B" w:rsidRDefault="0066318F">
    <w:pPr>
      <w:pStyle w:val="Header"/>
    </w:pPr>
    <w:r>
      <w:rPr>
        <w:noProof/>
      </w:rPr>
      <w:pict w14:anchorId="4B92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5549" w14:textId="21FA2030" w:rsidR="002F359B" w:rsidRDefault="0066318F">
    <w:pPr>
      <w:pStyle w:val="Header"/>
    </w:pPr>
    <w:r>
      <w:rPr>
        <w:noProof/>
      </w:rPr>
      <w:pict w14:anchorId="726B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74A"/>
    <w:multiLevelType w:val="hybridMultilevel"/>
    <w:tmpl w:val="B3C2925C"/>
    <w:lvl w:ilvl="0" w:tplc="889AE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969DA"/>
    <w:multiLevelType w:val="hybridMultilevel"/>
    <w:tmpl w:val="8CE24F52"/>
    <w:lvl w:ilvl="0" w:tplc="7C38F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MrAwMDU3NDIwMTZT0lEKTi0uzszPAykwqgUAm2YG6ywAAAA="/>
  </w:docVars>
  <w:rsids>
    <w:rsidRoot w:val="00A11211"/>
    <w:rsid w:val="00012401"/>
    <w:rsid w:val="00054695"/>
    <w:rsid w:val="00076720"/>
    <w:rsid w:val="00106B8E"/>
    <w:rsid w:val="00117C15"/>
    <w:rsid w:val="001447B0"/>
    <w:rsid w:val="00162CD8"/>
    <w:rsid w:val="001746C9"/>
    <w:rsid w:val="001832BF"/>
    <w:rsid w:val="001F10D2"/>
    <w:rsid w:val="001F7996"/>
    <w:rsid w:val="00284989"/>
    <w:rsid w:val="002F359B"/>
    <w:rsid w:val="00332EA4"/>
    <w:rsid w:val="00364FCE"/>
    <w:rsid w:val="003A09D6"/>
    <w:rsid w:val="003A7937"/>
    <w:rsid w:val="003D452B"/>
    <w:rsid w:val="0047558B"/>
    <w:rsid w:val="004878C8"/>
    <w:rsid w:val="004B6B0E"/>
    <w:rsid w:val="004B7FB8"/>
    <w:rsid w:val="004F237B"/>
    <w:rsid w:val="00507433"/>
    <w:rsid w:val="005B25C1"/>
    <w:rsid w:val="00631183"/>
    <w:rsid w:val="0066318F"/>
    <w:rsid w:val="00746021"/>
    <w:rsid w:val="007A77D2"/>
    <w:rsid w:val="008D7F24"/>
    <w:rsid w:val="00901067"/>
    <w:rsid w:val="0094089F"/>
    <w:rsid w:val="00963AB3"/>
    <w:rsid w:val="00A11211"/>
    <w:rsid w:val="00A2338A"/>
    <w:rsid w:val="00A434C0"/>
    <w:rsid w:val="00A60A7F"/>
    <w:rsid w:val="00A65992"/>
    <w:rsid w:val="00A80680"/>
    <w:rsid w:val="00AF52F0"/>
    <w:rsid w:val="00B03BFD"/>
    <w:rsid w:val="00B40C05"/>
    <w:rsid w:val="00B41F09"/>
    <w:rsid w:val="00BA1348"/>
    <w:rsid w:val="00BB7A84"/>
    <w:rsid w:val="00BF41FC"/>
    <w:rsid w:val="00BF7379"/>
    <w:rsid w:val="00C407CD"/>
    <w:rsid w:val="00C520A3"/>
    <w:rsid w:val="00C703A0"/>
    <w:rsid w:val="00CA568E"/>
    <w:rsid w:val="00D955E3"/>
    <w:rsid w:val="00DA0C8F"/>
    <w:rsid w:val="00E3323C"/>
    <w:rsid w:val="00E66F53"/>
    <w:rsid w:val="00E96868"/>
    <w:rsid w:val="00EB04E5"/>
    <w:rsid w:val="00EE42DF"/>
    <w:rsid w:val="00EF3000"/>
    <w:rsid w:val="00F00403"/>
    <w:rsid w:val="00F032FA"/>
    <w:rsid w:val="00F12E84"/>
    <w:rsid w:val="00F47EA4"/>
    <w:rsid w:val="00F77F47"/>
    <w:rsid w:val="00F9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D4EC6"/>
  <w15:chartTrackingRefBased/>
  <w15:docId w15:val="{D07984F0-2AB6-4B02-8431-7F5D3E9B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21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11"/>
    <w:rPr>
      <w:rFonts w:eastAsiaTheme="majorEastAsia" w:cstheme="majorBidi"/>
      <w:color w:val="272727" w:themeColor="text1" w:themeTint="D8"/>
    </w:rPr>
  </w:style>
  <w:style w:type="paragraph" w:styleId="Title">
    <w:name w:val="Title"/>
    <w:basedOn w:val="Normal"/>
    <w:next w:val="Normal"/>
    <w:link w:val="TitleChar"/>
    <w:uiPriority w:val="10"/>
    <w:qFormat/>
    <w:rsid w:val="00A1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11"/>
    <w:pPr>
      <w:spacing w:before="160"/>
      <w:jc w:val="center"/>
    </w:pPr>
    <w:rPr>
      <w:i/>
      <w:iCs/>
      <w:color w:val="404040" w:themeColor="text1" w:themeTint="BF"/>
    </w:rPr>
  </w:style>
  <w:style w:type="character" w:customStyle="1" w:styleId="QuoteChar">
    <w:name w:val="Quote Char"/>
    <w:basedOn w:val="DefaultParagraphFont"/>
    <w:link w:val="Quote"/>
    <w:uiPriority w:val="29"/>
    <w:rsid w:val="00A11211"/>
    <w:rPr>
      <w:i/>
      <w:iCs/>
      <w:color w:val="404040" w:themeColor="text1" w:themeTint="BF"/>
    </w:rPr>
  </w:style>
  <w:style w:type="paragraph" w:styleId="ListParagraph">
    <w:name w:val="List Paragraph"/>
    <w:basedOn w:val="Normal"/>
    <w:uiPriority w:val="34"/>
    <w:qFormat/>
    <w:rsid w:val="00A11211"/>
    <w:pPr>
      <w:ind w:left="720"/>
      <w:contextualSpacing/>
    </w:pPr>
  </w:style>
  <w:style w:type="character" w:styleId="IntenseEmphasis">
    <w:name w:val="Intense Emphasis"/>
    <w:basedOn w:val="DefaultParagraphFont"/>
    <w:uiPriority w:val="21"/>
    <w:qFormat/>
    <w:rsid w:val="00A11211"/>
    <w:rPr>
      <w:i/>
      <w:iCs/>
      <w:color w:val="2F5496" w:themeColor="accent1" w:themeShade="BF"/>
    </w:rPr>
  </w:style>
  <w:style w:type="paragraph" w:styleId="IntenseQuote">
    <w:name w:val="Intense Quote"/>
    <w:basedOn w:val="Normal"/>
    <w:next w:val="Normal"/>
    <w:link w:val="IntenseQuoteChar"/>
    <w:uiPriority w:val="30"/>
    <w:qFormat/>
    <w:rsid w:val="00A11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211"/>
    <w:rPr>
      <w:i/>
      <w:iCs/>
      <w:color w:val="2F5496" w:themeColor="accent1" w:themeShade="BF"/>
    </w:rPr>
  </w:style>
  <w:style w:type="character" w:styleId="IntenseReference">
    <w:name w:val="Intense Reference"/>
    <w:basedOn w:val="DefaultParagraphFont"/>
    <w:uiPriority w:val="32"/>
    <w:qFormat/>
    <w:rsid w:val="00A11211"/>
    <w:rPr>
      <w:b/>
      <w:bCs/>
      <w:smallCaps/>
      <w:color w:val="2F5496" w:themeColor="accent1" w:themeShade="BF"/>
      <w:spacing w:val="5"/>
    </w:rPr>
  </w:style>
  <w:style w:type="character" w:styleId="Hyperlink">
    <w:name w:val="Hyperlink"/>
    <w:basedOn w:val="DefaultParagraphFont"/>
    <w:uiPriority w:val="99"/>
    <w:unhideWhenUsed/>
    <w:rsid w:val="00A11211"/>
    <w:rPr>
      <w:color w:val="0563C1" w:themeColor="hyperlink"/>
      <w:u w:val="single"/>
    </w:rPr>
  </w:style>
  <w:style w:type="paragraph" w:styleId="FootnoteText">
    <w:name w:val="footnote text"/>
    <w:basedOn w:val="Normal"/>
    <w:link w:val="FootnoteTextChar"/>
    <w:uiPriority w:val="99"/>
    <w:semiHidden/>
    <w:unhideWhenUsed/>
    <w:rsid w:val="00A1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211"/>
    <w:rPr>
      <w:kern w:val="0"/>
      <w:sz w:val="20"/>
      <w:szCs w:val="20"/>
      <w14:ligatures w14:val="none"/>
    </w:rPr>
  </w:style>
  <w:style w:type="character" w:styleId="FootnoteReference">
    <w:name w:val="footnote reference"/>
    <w:basedOn w:val="DefaultParagraphFont"/>
    <w:uiPriority w:val="99"/>
    <w:semiHidden/>
    <w:unhideWhenUsed/>
    <w:rsid w:val="00A11211"/>
    <w:rPr>
      <w:vertAlign w:val="superscript"/>
    </w:rPr>
  </w:style>
  <w:style w:type="table" w:styleId="PlainTable2">
    <w:name w:val="Plain Table 2"/>
    <w:basedOn w:val="TableNormal"/>
    <w:uiPriority w:val="42"/>
    <w:rsid w:val="00A11211"/>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032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520A3"/>
    <w:rPr>
      <w:color w:val="605E5C"/>
      <w:shd w:val="clear" w:color="auto" w:fill="E1DFDD"/>
    </w:rPr>
  </w:style>
  <w:style w:type="paragraph" w:styleId="Header">
    <w:name w:val="header"/>
    <w:basedOn w:val="Normal"/>
    <w:link w:val="HeaderChar"/>
    <w:uiPriority w:val="99"/>
    <w:unhideWhenUsed/>
    <w:rsid w:val="002F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9B"/>
    <w:rPr>
      <w:kern w:val="0"/>
      <w:sz w:val="22"/>
      <w:szCs w:val="22"/>
      <w14:ligatures w14:val="none"/>
    </w:rPr>
  </w:style>
  <w:style w:type="paragraph" w:styleId="Footer">
    <w:name w:val="footer"/>
    <w:basedOn w:val="Normal"/>
    <w:link w:val="FooterChar"/>
    <w:uiPriority w:val="99"/>
    <w:unhideWhenUsed/>
    <w:rsid w:val="002F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9B"/>
    <w:rPr>
      <w:kern w:val="0"/>
      <w:sz w:val="22"/>
      <w:szCs w:val="22"/>
      <w14:ligatures w14:val="none"/>
    </w:rPr>
  </w:style>
  <w:style w:type="paragraph" w:styleId="CommentText">
    <w:name w:val="annotation text"/>
    <w:basedOn w:val="Normal"/>
    <w:link w:val="CommentTextChar"/>
    <w:uiPriority w:val="99"/>
    <w:unhideWhenUsed/>
    <w:rsid w:val="00BB7A84"/>
  </w:style>
  <w:style w:type="character" w:customStyle="1" w:styleId="CommentTextChar">
    <w:name w:val="Comment Text Char"/>
    <w:basedOn w:val="DefaultParagraphFont"/>
    <w:link w:val="CommentText"/>
    <w:uiPriority w:val="99"/>
    <w:rsid w:val="00BB7A84"/>
    <w:rPr>
      <w:kern w:val="0"/>
      <w:sz w:val="22"/>
      <w:szCs w:val="22"/>
      <w14:ligatures w14:val="none"/>
    </w:rPr>
  </w:style>
  <w:style w:type="table" w:customStyle="1" w:styleId="PlainTable21">
    <w:name w:val="Plain Table 21"/>
    <w:basedOn w:val="TableNormal"/>
    <w:uiPriority w:val="42"/>
    <w:rsid w:val="00BB7A84"/>
    <w:pPr>
      <w:spacing w:after="0" w:line="240" w:lineRule="auto"/>
    </w:pPr>
    <w:rPr>
      <w:kern w:val="0"/>
      <w:sz w:val="22"/>
      <w:szCs w:val="22"/>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qFormat/>
    <w:rsid w:val="00BB7A84"/>
    <w:pPr>
      <w:spacing w:after="0" w:line="240" w:lineRule="auto"/>
    </w:pPr>
    <w:rPr>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B7A84"/>
    <w:rPr>
      <w:sz w:val="16"/>
      <w:szCs w:val="16"/>
    </w:rPr>
  </w:style>
  <w:style w:type="paragraph" w:styleId="NormalWeb">
    <w:name w:val="Normal (Web)"/>
    <w:basedOn w:val="Normal"/>
    <w:uiPriority w:val="99"/>
    <w:semiHidden/>
    <w:unhideWhenUsed/>
    <w:rsid w:val="00BB7A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7A84"/>
    <w:rPr>
      <w:i/>
      <w:iCs/>
    </w:rPr>
  </w:style>
  <w:style w:type="paragraph" w:styleId="BalloonText">
    <w:name w:val="Balloon Text"/>
    <w:basedOn w:val="Normal"/>
    <w:link w:val="BalloonTextChar"/>
    <w:uiPriority w:val="99"/>
    <w:semiHidden/>
    <w:unhideWhenUsed/>
    <w:rsid w:val="00F47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EA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G:\New%20folder\New%20folder%20(2)\fdi%20od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16946d31819188/Desktop/inward_remittance_flows_as_of_dec._2_2022_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b="0">
                <a:latin typeface="Times New Roman" pitchFamily="18" charset="0"/>
                <a:cs typeface="Times New Roman" pitchFamily="18" charset="0"/>
              </a:rPr>
              <a:t>Remittances</a:t>
            </a:r>
            <a:r>
              <a:rPr lang="en-US" sz="1200" b="0" baseline="0">
                <a:latin typeface="Times New Roman" pitchFamily="18" charset="0"/>
                <a:cs typeface="Times New Roman" pitchFamily="18" charset="0"/>
              </a:rPr>
              <a:t> </a:t>
            </a:r>
            <a:r>
              <a:rPr lang="en-US" sz="1200" b="0" i="1" baseline="0">
                <a:latin typeface="Times New Roman" pitchFamily="18" charset="0"/>
                <a:cs typeface="Times New Roman" pitchFamily="18" charset="0"/>
              </a:rPr>
              <a:t>vis-a-vis</a:t>
            </a:r>
            <a:r>
              <a:rPr lang="en-US" sz="1200" b="0" baseline="0">
                <a:latin typeface="Times New Roman" pitchFamily="18" charset="0"/>
                <a:cs typeface="Times New Roman" pitchFamily="18" charset="0"/>
              </a:rPr>
              <a:t> other foreign inflows to India</a:t>
            </a:r>
            <a:endParaRPr lang="en-US" sz="1200" b="0">
              <a:latin typeface="Times New Roman" pitchFamily="18" charset="0"/>
              <a:cs typeface="Times New Roman" pitchFamily="18" charset="0"/>
            </a:endParaRPr>
          </a:p>
        </c:rich>
      </c:tx>
      <c:layout>
        <c:manualLayout>
          <c:xMode val="edge"/>
          <c:yMode val="edge"/>
          <c:x val="0.2294230769230769"/>
          <c:y val="0.93141075604053003"/>
        </c:manualLayout>
      </c:layout>
      <c:overlay val="0"/>
    </c:title>
    <c:autoTitleDeleted val="0"/>
    <c:plotArea>
      <c:layout>
        <c:manualLayout>
          <c:layoutTarget val="inner"/>
          <c:xMode val="edge"/>
          <c:yMode val="edge"/>
          <c:x val="0.15901333092988779"/>
          <c:y val="7.8480672870436738E-2"/>
          <c:w val="0.66076923076923244"/>
          <c:h val="0.72402514159414288"/>
        </c:manualLayout>
      </c:layout>
      <c:lineChart>
        <c:grouping val="standard"/>
        <c:varyColors val="0"/>
        <c:ser>
          <c:idx val="0"/>
          <c:order val="0"/>
          <c:tx>
            <c:v>FDI</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Sheet1!$B$2:$B$42</c:f>
              <c:numCache>
                <c:formatCode>General</c:formatCode>
                <c:ptCount val="41"/>
                <c:pt idx="0">
                  <c:v>79159999.900000006</c:v>
                </c:pt>
                <c:pt idx="1">
                  <c:v>91920000</c:v>
                </c:pt>
                <c:pt idx="2">
                  <c:v>72079999.900000006</c:v>
                </c:pt>
                <c:pt idx="3">
                  <c:v>5639999.9000000004</c:v>
                </c:pt>
                <c:pt idx="4">
                  <c:v>19239999.899999999</c:v>
                </c:pt>
                <c:pt idx="5">
                  <c:v>106090000</c:v>
                </c:pt>
                <c:pt idx="6">
                  <c:v>117730000</c:v>
                </c:pt>
                <c:pt idx="7">
                  <c:v>212319999.90000001</c:v>
                </c:pt>
                <c:pt idx="8">
                  <c:v>91250000</c:v>
                </c:pt>
                <c:pt idx="9">
                  <c:v>252099999.90000001</c:v>
                </c:pt>
                <c:pt idx="10">
                  <c:v>236690000</c:v>
                </c:pt>
                <c:pt idx="11">
                  <c:v>73537638.388532653</c:v>
                </c:pt>
                <c:pt idx="12">
                  <c:v>276512438.97389305</c:v>
                </c:pt>
                <c:pt idx="13">
                  <c:v>550370024.92938292</c:v>
                </c:pt>
                <c:pt idx="14">
                  <c:v>973271468.72287405</c:v>
                </c:pt>
                <c:pt idx="15">
                  <c:v>2143628110.28392</c:v>
                </c:pt>
                <c:pt idx="16">
                  <c:v>2426057021.9109201</c:v>
                </c:pt>
                <c:pt idx="17">
                  <c:v>3577330042.3458652</c:v>
                </c:pt>
                <c:pt idx="18">
                  <c:v>2634651657.77141</c:v>
                </c:pt>
                <c:pt idx="19">
                  <c:v>2168591054.37924</c:v>
                </c:pt>
                <c:pt idx="20">
                  <c:v>3584217307.1875601</c:v>
                </c:pt>
                <c:pt idx="21">
                  <c:v>5128093561.6268797</c:v>
                </c:pt>
                <c:pt idx="22">
                  <c:v>5208967106.2789402</c:v>
                </c:pt>
                <c:pt idx="23">
                  <c:v>3681984671.4342937</c:v>
                </c:pt>
                <c:pt idx="24">
                  <c:v>5429250989.8571701</c:v>
                </c:pt>
                <c:pt idx="25">
                  <c:v>7269407225.6143799</c:v>
                </c:pt>
                <c:pt idx="26">
                  <c:v>20029119267.139538</c:v>
                </c:pt>
                <c:pt idx="27">
                  <c:v>25227740886.6819</c:v>
                </c:pt>
                <c:pt idx="28">
                  <c:v>43406277075.810913</c:v>
                </c:pt>
                <c:pt idx="29">
                  <c:v>35581372929.664154</c:v>
                </c:pt>
                <c:pt idx="30">
                  <c:v>27396885033.783901</c:v>
                </c:pt>
                <c:pt idx="31">
                  <c:v>36498654597.859047</c:v>
                </c:pt>
                <c:pt idx="32">
                  <c:v>23995685014.214199</c:v>
                </c:pt>
                <c:pt idx="33">
                  <c:v>28153031270.320301</c:v>
                </c:pt>
                <c:pt idx="34">
                  <c:v>34576643694.138298</c:v>
                </c:pt>
                <c:pt idx="35">
                  <c:v>44009492129.531898</c:v>
                </c:pt>
                <c:pt idx="36">
                  <c:v>44458571545.797997</c:v>
                </c:pt>
                <c:pt idx="37">
                  <c:v>39966091358.738396</c:v>
                </c:pt>
                <c:pt idx="38">
                  <c:v>42117450737.264252</c:v>
                </c:pt>
                <c:pt idx="39">
                  <c:v>50610647353.591194</c:v>
                </c:pt>
                <c:pt idx="40">
                  <c:v>64362364994.375397</c:v>
                </c:pt>
              </c:numCache>
            </c:numRef>
          </c:val>
          <c:smooth val="0"/>
          <c:extLst>
            <c:ext xmlns:c16="http://schemas.microsoft.com/office/drawing/2014/chart" uri="{C3380CC4-5D6E-409C-BE32-E72D297353CC}">
              <c16:uniqueId val="{00000000-91FD-457D-B603-5782EC774536}"/>
            </c:ext>
          </c:extLst>
        </c:ser>
        <c:ser>
          <c:idx val="1"/>
          <c:order val="1"/>
          <c:tx>
            <c:v>Net ODA</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Sheet1!$C$2:$C$42</c:f>
              <c:numCache>
                <c:formatCode>General</c:formatCode>
                <c:ptCount val="41"/>
                <c:pt idx="0">
                  <c:v>2185959960.9375052</c:v>
                </c:pt>
                <c:pt idx="1">
                  <c:v>1972469970.70313</c:v>
                </c:pt>
                <c:pt idx="2">
                  <c:v>1635750000</c:v>
                </c:pt>
                <c:pt idx="3">
                  <c:v>1830510009.7656336</c:v>
                </c:pt>
                <c:pt idx="4">
                  <c:v>1665939941.4062521</c:v>
                </c:pt>
                <c:pt idx="5">
                  <c:v>1587010009.7656336</c:v>
                </c:pt>
                <c:pt idx="6">
                  <c:v>1989939941.4062521</c:v>
                </c:pt>
                <c:pt idx="7">
                  <c:v>1695479980.46875</c:v>
                </c:pt>
                <c:pt idx="8">
                  <c:v>1947650024.4140601</c:v>
                </c:pt>
                <c:pt idx="9">
                  <c:v>1766109985.3515599</c:v>
                </c:pt>
                <c:pt idx="10">
                  <c:v>1395000000</c:v>
                </c:pt>
                <c:pt idx="11">
                  <c:v>2733520019.53125</c:v>
                </c:pt>
                <c:pt idx="12">
                  <c:v>2425139892.5781302</c:v>
                </c:pt>
                <c:pt idx="13">
                  <c:v>1466290039.0625</c:v>
                </c:pt>
                <c:pt idx="14">
                  <c:v>2322320068.3593802</c:v>
                </c:pt>
                <c:pt idx="15">
                  <c:v>1732829956.0546901</c:v>
                </c:pt>
                <c:pt idx="16">
                  <c:v>1904150024.4140601</c:v>
                </c:pt>
                <c:pt idx="17">
                  <c:v>1646250000</c:v>
                </c:pt>
                <c:pt idx="18">
                  <c:v>1608949951.1718786</c:v>
                </c:pt>
                <c:pt idx="19">
                  <c:v>1490760009.7656336</c:v>
                </c:pt>
                <c:pt idx="20">
                  <c:v>1383420043.9453101</c:v>
                </c:pt>
                <c:pt idx="21">
                  <c:v>1729609985.3515599</c:v>
                </c:pt>
                <c:pt idx="22">
                  <c:v>1738209960.9375</c:v>
                </c:pt>
                <c:pt idx="23">
                  <c:v>720900024.41406298</c:v>
                </c:pt>
                <c:pt idx="24">
                  <c:v>778309997.55859399</c:v>
                </c:pt>
                <c:pt idx="25">
                  <c:v>1875959960.9375</c:v>
                </c:pt>
                <c:pt idx="26">
                  <c:v>1383579956.0546901</c:v>
                </c:pt>
                <c:pt idx="27">
                  <c:v>1329209960.9375</c:v>
                </c:pt>
                <c:pt idx="28">
                  <c:v>2011579956.0546901</c:v>
                </c:pt>
                <c:pt idx="29">
                  <c:v>2456610107.4218802</c:v>
                </c:pt>
                <c:pt idx="30">
                  <c:v>2831340087.8906302</c:v>
                </c:pt>
                <c:pt idx="31">
                  <c:v>3270219970.7031298</c:v>
                </c:pt>
                <c:pt idx="32">
                  <c:v>1681790039.0625</c:v>
                </c:pt>
                <c:pt idx="33">
                  <c:v>2456330078.125</c:v>
                </c:pt>
                <c:pt idx="34">
                  <c:v>2991820068.3593802</c:v>
                </c:pt>
                <c:pt idx="35">
                  <c:v>3174350097.65625</c:v>
                </c:pt>
                <c:pt idx="36">
                  <c:v>2678669921.8750052</c:v>
                </c:pt>
                <c:pt idx="37">
                  <c:v>3197679931.6406298</c:v>
                </c:pt>
                <c:pt idx="38">
                  <c:v>2461629882.8125052</c:v>
                </c:pt>
                <c:pt idx="39">
                  <c:v>2550409912.1093798</c:v>
                </c:pt>
                <c:pt idx="40">
                  <c:v>1794209960.9375</c:v>
                </c:pt>
              </c:numCache>
            </c:numRef>
          </c:val>
          <c:smooth val="0"/>
          <c:extLst>
            <c:ext xmlns:c16="http://schemas.microsoft.com/office/drawing/2014/chart" uri="{C3380CC4-5D6E-409C-BE32-E72D297353CC}">
              <c16:uniqueId val="{00000001-91FD-457D-B603-5782EC774536}"/>
            </c:ext>
          </c:extLst>
        </c:ser>
        <c:ser>
          <c:idx val="2"/>
          <c:order val="2"/>
          <c:tx>
            <c:v>Remittances</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Sheet1!$E$2:$E$42</c:f>
              <c:numCache>
                <c:formatCode>General</c:formatCode>
                <c:ptCount val="41"/>
                <c:pt idx="0">
                  <c:v>2761280684.5999999</c:v>
                </c:pt>
                <c:pt idx="1">
                  <c:v>2301890114.5999999</c:v>
                </c:pt>
                <c:pt idx="2">
                  <c:v>2621913836.3000002</c:v>
                </c:pt>
                <c:pt idx="3">
                  <c:v>2662479622.3000002</c:v>
                </c:pt>
                <c:pt idx="4">
                  <c:v>2293065837.4000001</c:v>
                </c:pt>
                <c:pt idx="5">
                  <c:v>2472285486.6999998</c:v>
                </c:pt>
                <c:pt idx="6">
                  <c:v>2243013880.4000001</c:v>
                </c:pt>
                <c:pt idx="7">
                  <c:v>2663469748.1999998</c:v>
                </c:pt>
                <c:pt idx="8">
                  <c:v>2316724190.5</c:v>
                </c:pt>
                <c:pt idx="9">
                  <c:v>2609857302</c:v>
                </c:pt>
                <c:pt idx="10">
                  <c:v>2383740065.6081424</c:v>
                </c:pt>
                <c:pt idx="11">
                  <c:v>3289109445.1017303</c:v>
                </c:pt>
                <c:pt idx="12">
                  <c:v>2897425636.8947215</c:v>
                </c:pt>
                <c:pt idx="13">
                  <c:v>3522788020.8303742</c:v>
                </c:pt>
                <c:pt idx="14">
                  <c:v>5856694457.8566275</c:v>
                </c:pt>
                <c:pt idx="15">
                  <c:v>6222996281.5047865</c:v>
                </c:pt>
                <c:pt idx="16">
                  <c:v>8765693606.594347</c:v>
                </c:pt>
                <c:pt idx="17">
                  <c:v>10330965043.377201</c:v>
                </c:pt>
                <c:pt idx="18">
                  <c:v>9479300349.992321</c:v>
                </c:pt>
                <c:pt idx="19">
                  <c:v>11124280843.181576</c:v>
                </c:pt>
                <c:pt idx="20">
                  <c:v>12883465957.061543</c:v>
                </c:pt>
                <c:pt idx="21">
                  <c:v>14273018777.531107</c:v>
                </c:pt>
                <c:pt idx="22">
                  <c:v>15735736285.913736</c:v>
                </c:pt>
                <c:pt idx="23">
                  <c:v>20999150983.033112</c:v>
                </c:pt>
                <c:pt idx="24">
                  <c:v>18750377106.624073</c:v>
                </c:pt>
                <c:pt idx="25">
                  <c:v>22125089480.498219</c:v>
                </c:pt>
                <c:pt idx="26">
                  <c:v>28333642279.85408</c:v>
                </c:pt>
                <c:pt idx="27">
                  <c:v>37216755275.250267</c:v>
                </c:pt>
                <c:pt idx="28">
                  <c:v>49977276916.32093</c:v>
                </c:pt>
                <c:pt idx="29">
                  <c:v>49204000000</c:v>
                </c:pt>
                <c:pt idx="30">
                  <c:v>53479960083.243195</c:v>
                </c:pt>
                <c:pt idx="31">
                  <c:v>62499075444.736664</c:v>
                </c:pt>
                <c:pt idx="32">
                  <c:v>68820517837.653625</c:v>
                </c:pt>
                <c:pt idx="33">
                  <c:v>69970360846.785843</c:v>
                </c:pt>
                <c:pt idx="34">
                  <c:v>70388642796.547089</c:v>
                </c:pt>
                <c:pt idx="35">
                  <c:v>68909693352.835083</c:v>
                </c:pt>
                <c:pt idx="36">
                  <c:v>62744364089.951141</c:v>
                </c:pt>
                <c:pt idx="37">
                  <c:v>68967175499.866547</c:v>
                </c:pt>
                <c:pt idx="38">
                  <c:v>78790170928.674225</c:v>
                </c:pt>
                <c:pt idx="39">
                  <c:v>83332078002.303207</c:v>
                </c:pt>
                <c:pt idx="40">
                  <c:v>83149172934.104294</c:v>
                </c:pt>
              </c:numCache>
            </c:numRef>
          </c:val>
          <c:smooth val="0"/>
          <c:extLst>
            <c:ext xmlns:c16="http://schemas.microsoft.com/office/drawing/2014/chart" uri="{C3380CC4-5D6E-409C-BE32-E72D297353CC}">
              <c16:uniqueId val="{00000002-91FD-457D-B603-5782EC774536}"/>
            </c:ext>
          </c:extLst>
        </c:ser>
        <c:dLbls>
          <c:showLegendKey val="0"/>
          <c:showVal val="0"/>
          <c:showCatName val="0"/>
          <c:showSerName val="0"/>
          <c:showPercent val="0"/>
          <c:showBubbleSize val="0"/>
        </c:dLbls>
        <c:smooth val="0"/>
        <c:axId val="54834688"/>
        <c:axId val="54836224"/>
      </c:lineChart>
      <c:catAx>
        <c:axId val="54834688"/>
        <c:scaling>
          <c:orientation val="minMax"/>
        </c:scaling>
        <c:delete val="0"/>
        <c:axPos val="b"/>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6224"/>
        <c:crosses val="autoZero"/>
        <c:auto val="1"/>
        <c:lblAlgn val="ctr"/>
        <c:lblOffset val="100"/>
        <c:noMultiLvlLbl val="0"/>
      </c:catAx>
      <c:valAx>
        <c:axId val="54836224"/>
        <c:scaling>
          <c:orientation val="minMax"/>
        </c:scaling>
        <c:delete val="0"/>
        <c:axPos val="l"/>
        <c:majorGridlines/>
        <c:title>
          <c:tx>
            <c:rich>
              <a:bodyPr/>
              <a:lstStyle/>
              <a:p>
                <a:pPr>
                  <a:defRPr lang="en-US" sz="1200" b="1"/>
                </a:pPr>
                <a:r>
                  <a:rPr lang="en-US" sz="1200" b="0">
                    <a:latin typeface="Times New Roman" pitchFamily="18" charset="0"/>
                    <a:cs typeface="Times New Roman" pitchFamily="18" charset="0"/>
                  </a:rPr>
                  <a:t>in</a:t>
                </a:r>
                <a:r>
                  <a:rPr lang="en-US" sz="1200" b="0" baseline="0">
                    <a:latin typeface="Times New Roman" pitchFamily="18" charset="0"/>
                    <a:cs typeface="Times New Roman" pitchFamily="18" charset="0"/>
                  </a:rPr>
                  <a:t> current $US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4688"/>
        <c:crosses val="autoZero"/>
        <c:crossBetween val="between"/>
      </c:valAx>
    </c:plotArea>
    <c:legend>
      <c:legendPos val="r"/>
      <c:legendEntry>
        <c:idx val="0"/>
        <c:txPr>
          <a:bodyPr/>
          <a:lstStyle/>
          <a:p>
            <a:pPr>
              <a:defRPr sz="1000">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txPr>
        <a:bodyPr/>
        <a:lstStyle/>
        <a:p>
          <a:pPr>
            <a:defRPr lang="en-US"/>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india</c:v>
          </c:tx>
          <c:spPr>
            <a:solidFill>
              <a:schemeClr val="accent1"/>
            </a:solidFill>
            <a:ln>
              <a:noFill/>
            </a:ln>
            <a:effectLst/>
          </c:spPr>
          <c:invertIfNegative val="0"/>
          <c:cat>
            <c:strRef>
              <c:f>Sheet2!$A$2:$A$21</c:f>
              <c:strCache>
                <c:ptCount val="20"/>
                <c:pt idx="0">
                  <c:v>India</c:v>
                </c:pt>
                <c:pt idx="1">
                  <c:v>China</c:v>
                </c:pt>
                <c:pt idx="2">
                  <c:v>Mexico</c:v>
                </c:pt>
                <c:pt idx="3">
                  <c:v>Philippines</c:v>
                </c:pt>
                <c:pt idx="4">
                  <c:v>France</c:v>
                </c:pt>
                <c:pt idx="5">
                  <c:v>Egypt, Arab Rep.</c:v>
                </c:pt>
                <c:pt idx="6">
                  <c:v>Pakistan</c:v>
                </c:pt>
                <c:pt idx="7">
                  <c:v>Bangladesh</c:v>
                </c:pt>
                <c:pt idx="8">
                  <c:v>Germany</c:v>
                </c:pt>
                <c:pt idx="9">
                  <c:v>Nigeria</c:v>
                </c:pt>
                <c:pt idx="10">
                  <c:v>Ukraine</c:v>
                </c:pt>
                <c:pt idx="11">
                  <c:v>Vietnam</c:v>
                </c:pt>
                <c:pt idx="12">
                  <c:v>Guatemala</c:v>
                </c:pt>
                <c:pt idx="13">
                  <c:v>Dominican Republic</c:v>
                </c:pt>
                <c:pt idx="14">
                  <c:v>Morocco</c:v>
                </c:pt>
                <c:pt idx="15">
                  <c:v>Italy</c:v>
                </c:pt>
                <c:pt idx="16">
                  <c:v>Russian Federation</c:v>
                </c:pt>
                <c:pt idx="17">
                  <c:v>Indonesia</c:v>
                </c:pt>
                <c:pt idx="18">
                  <c:v>Uzbekistan</c:v>
                </c:pt>
                <c:pt idx="19">
                  <c:v>Romania</c:v>
                </c:pt>
              </c:strCache>
            </c:strRef>
          </c:cat>
          <c:val>
            <c:numRef>
              <c:f>Sheet2!$B$2:$B$21</c:f>
              <c:numCache>
                <c:formatCode>#,##0</c:formatCode>
                <c:ptCount val="20"/>
                <c:pt idx="0">
                  <c:v>89375.152217565759</c:v>
                </c:pt>
                <c:pt idx="1">
                  <c:v>53000</c:v>
                </c:pt>
                <c:pt idx="2">
                  <c:v>54130.111445000002</c:v>
                </c:pt>
                <c:pt idx="3">
                  <c:v>36685.313168048</c:v>
                </c:pt>
                <c:pt idx="4">
                  <c:v>32077.312215223628</c:v>
                </c:pt>
                <c:pt idx="5">
                  <c:v>31487</c:v>
                </c:pt>
                <c:pt idx="6">
                  <c:v>31312</c:v>
                </c:pt>
                <c:pt idx="7">
                  <c:v>22202.917783868626</c:v>
                </c:pt>
                <c:pt idx="8">
                  <c:v>20411.777594011546</c:v>
                </c:pt>
                <c:pt idx="9">
                  <c:v>19483.402058910615</c:v>
                </c:pt>
                <c:pt idx="10">
                  <c:v>18060</c:v>
                </c:pt>
                <c:pt idx="11">
                  <c:v>18060</c:v>
                </c:pt>
                <c:pt idx="12">
                  <c:v>15395.390249999999</c:v>
                </c:pt>
                <c:pt idx="13">
                  <c:v>10742.8</c:v>
                </c:pt>
                <c:pt idx="14">
                  <c:v>10704.83003789597</c:v>
                </c:pt>
                <c:pt idx="15">
                  <c:v>10258.423410750358</c:v>
                </c:pt>
                <c:pt idx="16">
                  <c:v>9646.92</c:v>
                </c:pt>
                <c:pt idx="17">
                  <c:v>9402.4270888548472</c:v>
                </c:pt>
                <c:pt idx="18">
                  <c:v>9197.5264645253828</c:v>
                </c:pt>
                <c:pt idx="19">
                  <c:v>9159.745932684229</c:v>
                </c:pt>
              </c:numCache>
            </c:numRef>
          </c:val>
          <c:extLst>
            <c:ext xmlns:c16="http://schemas.microsoft.com/office/drawing/2014/chart" uri="{C3380CC4-5D6E-409C-BE32-E72D297353CC}">
              <c16:uniqueId val="{00000000-50BA-4E3A-AB8A-DF87E9CC6962}"/>
            </c:ext>
          </c:extLst>
        </c:ser>
        <c:dLbls>
          <c:showLegendKey val="0"/>
          <c:showVal val="0"/>
          <c:showCatName val="0"/>
          <c:showSerName val="0"/>
          <c:showPercent val="0"/>
          <c:showBubbleSize val="0"/>
        </c:dLbls>
        <c:gapWidth val="219"/>
        <c:overlap val="-27"/>
        <c:axId val="643110800"/>
        <c:axId val="643104560"/>
      </c:barChart>
      <c:catAx>
        <c:axId val="64311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04560"/>
        <c:crosses val="autoZero"/>
        <c:auto val="1"/>
        <c:lblAlgn val="ctr"/>
        <c:lblOffset val="100"/>
        <c:noMultiLvlLbl val="0"/>
      </c:catAx>
      <c:valAx>
        <c:axId val="64310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1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Seemarani Meher</dc:creator>
  <cp:keywords/>
  <dc:description/>
  <cp:lastModifiedBy>SDI PC New 16</cp:lastModifiedBy>
  <cp:revision>5</cp:revision>
  <dcterms:created xsi:type="dcterms:W3CDTF">2025-09-20T20:05:00Z</dcterms:created>
  <dcterms:modified xsi:type="dcterms:W3CDTF">2025-09-26T10:30:00Z</dcterms:modified>
</cp:coreProperties>
</file>